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3E58E545" w14:textId="77777777" w:rsidTr="0050356B">
        <w:trPr>
          <w:trHeight w:val="57"/>
        </w:trPr>
        <w:tc>
          <w:tcPr>
            <w:tcW w:w="6804" w:type="dxa"/>
            <w:shd w:val="clear" w:color="auto" w:fill="auto"/>
            <w:tcMar>
              <w:top w:w="312" w:type="dxa"/>
            </w:tcMar>
          </w:tcPr>
          <w:p w14:paraId="61275E48" w14:textId="77777777" w:rsidR="0050356B" w:rsidRPr="0050356B" w:rsidRDefault="0050356B" w:rsidP="00B70D28">
            <w:pPr>
              <w:pStyle w:val="Date"/>
              <w:framePr w:hSpace="0" w:wrap="auto" w:vAnchor="margin" w:hAnchor="text" w:xAlign="left" w:yAlign="inline"/>
              <w:suppressOverlap w:val="0"/>
            </w:pPr>
            <w:bookmarkStart w:id="0" w:name="_Hlk35433316"/>
            <w:bookmarkEnd w:id="0"/>
          </w:p>
        </w:tc>
      </w:tr>
      <w:tr w:rsidR="00A46288" w14:paraId="0D676F77" w14:textId="77777777" w:rsidTr="0050356B">
        <w:trPr>
          <w:trHeight w:val="2948"/>
        </w:trPr>
        <w:tc>
          <w:tcPr>
            <w:tcW w:w="6804" w:type="dxa"/>
            <w:shd w:val="clear" w:color="auto" w:fill="auto"/>
            <w:tcMar>
              <w:top w:w="312" w:type="dxa"/>
            </w:tcMar>
          </w:tcPr>
          <w:sdt>
            <w:sdtPr>
              <w:rPr>
                <w:rFonts w:asciiTheme="minorHAnsi" w:hAnsiTheme="minorHAnsi" w:cstheme="minorHAnsi"/>
                <w:bCs/>
              </w:rPr>
              <w:alias w:val="Title"/>
              <w:tag w:val=""/>
              <w:id w:val="-1484688983"/>
              <w:placeholder>
                <w:docPart w:val="6FB9E4744AA643859E35CA343A3E0C18"/>
              </w:placeholder>
              <w:dataBinding w:prefixMappings="xmlns:ns0='http://purl.org/dc/elements/1.1/' xmlns:ns1='http://schemas.openxmlformats.org/package/2006/metadata/core-properties' " w:xpath="/ns1:coreProperties[1]/ns0:title[1]" w:storeItemID="{6C3C8BC8-F283-45AE-878A-BAB7291924A1}"/>
              <w:text/>
            </w:sdtPr>
            <w:sdtContent>
              <w:p w14:paraId="73605E3B" w14:textId="77777777" w:rsidR="00A46288" w:rsidRPr="00B70D28" w:rsidRDefault="00092407" w:rsidP="00B70D28">
                <w:pPr>
                  <w:pStyle w:val="Title"/>
                  <w:framePr w:hSpace="0" w:wrap="auto" w:vAnchor="margin" w:hAnchor="text" w:xAlign="left" w:yAlign="inline"/>
                  <w:spacing w:line="240" w:lineRule="auto"/>
                  <w:suppressOverlap w:val="0"/>
                  <w:rPr>
                    <w:rFonts w:asciiTheme="minorHAnsi" w:hAnsiTheme="minorHAnsi" w:cstheme="minorHAnsi"/>
                    <w:bCs/>
                  </w:rPr>
                </w:pPr>
                <w:r w:rsidRPr="00B70D28">
                  <w:rPr>
                    <w:rFonts w:asciiTheme="minorHAnsi" w:hAnsiTheme="minorHAnsi" w:cstheme="minorHAnsi"/>
                    <w:bCs/>
                  </w:rPr>
                  <w:t>Caring for people displaying acute behavioural disturbance</w:t>
                </w:r>
              </w:p>
            </w:sdtContent>
          </w:sdt>
          <w:p w14:paraId="530BF94A" w14:textId="77777777" w:rsidR="00A46288" w:rsidRPr="00B70D28" w:rsidRDefault="00994A46" w:rsidP="0050356B">
            <w:pPr>
              <w:pStyle w:val="Subtitle"/>
              <w:framePr w:hSpace="0" w:wrap="auto" w:vAnchor="margin" w:hAnchor="text" w:xAlign="left" w:yAlign="inline"/>
              <w:suppressOverlap w:val="0"/>
              <w:rPr>
                <w:rFonts w:asciiTheme="minorHAnsi" w:hAnsiTheme="minorHAnsi" w:cstheme="minorHAnsi"/>
              </w:rPr>
            </w:pPr>
            <w:r w:rsidRPr="00B70D28">
              <w:rPr>
                <w:rFonts w:asciiTheme="minorHAnsi" w:hAnsiTheme="minorHAnsi" w:cstheme="minorHAnsi"/>
              </w:rPr>
              <w:t>Clinical guidance supplement</w:t>
            </w:r>
          </w:p>
        </w:tc>
      </w:tr>
    </w:tbl>
    <w:p w14:paraId="542BEB11" w14:textId="77777777" w:rsidR="00A46288" w:rsidRDefault="00A46288" w:rsidP="00A46288">
      <w:pPr>
        <w:pStyle w:val="NoSpacing"/>
      </w:pPr>
    </w:p>
    <w:p w14:paraId="33E5C5EA" w14:textId="77777777" w:rsidR="00A46288" w:rsidRDefault="00A46288" w:rsidP="00B70D28">
      <w:pPr>
        <w:sectPr w:rsidR="00A46288" w:rsidSect="00257461">
          <w:headerReference w:type="even" r:id="rId11"/>
          <w:headerReference w:type="default" r:id="rId12"/>
          <w:footerReference w:type="even" r:id="rId13"/>
          <w:footerReference w:type="default" r:id="rId14"/>
          <w:headerReference w:type="first" r:id="rId15"/>
          <w:footerReference w:type="first" r:id="rId16"/>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536"/>
        <w:gridCol w:w="3196"/>
        <w:gridCol w:w="2484"/>
      </w:tblGrid>
      <w:tr w:rsidR="00345077" w:rsidRPr="00736C0C" w14:paraId="2E4ED839" w14:textId="77777777" w:rsidTr="009E4A6D">
        <w:trPr>
          <w:trHeight w:val="2041"/>
        </w:trPr>
        <w:tc>
          <w:tcPr>
            <w:tcW w:w="4536" w:type="dxa"/>
            <w:tcMar>
              <w:left w:w="113" w:type="dxa"/>
            </w:tcMar>
          </w:tcPr>
          <w:p w14:paraId="0C788315" w14:textId="77777777" w:rsidR="00345077" w:rsidRPr="0051501B" w:rsidRDefault="00345077" w:rsidP="00B70D28">
            <w:bookmarkStart w:id="1" w:name="_Hlk35437116"/>
            <w:r w:rsidRPr="00B70D28">
              <w:rPr>
                <w:sz w:val="24"/>
                <w:szCs w:val="36"/>
              </w:rPr>
              <w:lastRenderedPageBreak/>
              <w:t xml:space="preserve">To receive this publication in an accessible format phone </w:t>
            </w:r>
            <w:r w:rsidRPr="00B70D28">
              <w:rPr>
                <w:sz w:val="24"/>
                <w:szCs w:val="36"/>
              </w:rPr>
              <w:br/>
              <w:t xml:space="preserve">03 9096 1384, using the National Relay Service 13 36 </w:t>
            </w:r>
            <w:r w:rsidRPr="00B70D28">
              <w:rPr>
                <w:spacing w:val="-2"/>
                <w:sz w:val="24"/>
                <w:szCs w:val="36"/>
              </w:rPr>
              <w:t xml:space="preserve">77 if required, or email </w:t>
            </w:r>
            <w:r w:rsidRPr="00B70D28">
              <w:rPr>
                <w:sz w:val="24"/>
                <w:szCs w:val="36"/>
              </w:rPr>
              <w:t>info@safercare.vic.gov.au</w:t>
            </w:r>
          </w:p>
        </w:tc>
        <w:tc>
          <w:tcPr>
            <w:tcW w:w="3196" w:type="dxa"/>
          </w:tcPr>
          <w:p w14:paraId="064964B8" w14:textId="77777777" w:rsidR="00345077" w:rsidRPr="00B70D28" w:rsidRDefault="00345077" w:rsidP="00B70D28">
            <w:pPr>
              <w:rPr>
                <w:rFonts w:ascii="Arial" w:hAnsi="Arial" w:cs="Arial"/>
              </w:rPr>
            </w:pPr>
            <w:r w:rsidRPr="00B70D28">
              <w:rPr>
                <w:rFonts w:ascii="Arial" w:hAnsi="Arial" w:cs="Arial"/>
              </w:rPr>
              <w:t xml:space="preserve">Authorised and </w:t>
            </w:r>
            <w:r w:rsidRPr="00B70D28">
              <w:rPr>
                <w:rFonts w:ascii="Arial" w:hAnsi="Arial" w:cs="Arial"/>
                <w:spacing w:val="-2"/>
              </w:rPr>
              <w:t>published by the Victorian</w:t>
            </w:r>
            <w:r w:rsidRPr="00B70D28">
              <w:rPr>
                <w:rFonts w:ascii="Arial" w:hAnsi="Arial" w:cs="Arial"/>
              </w:rPr>
              <w:t xml:space="preserve"> Government, 1 Treasury Place, Melbourne.</w:t>
            </w:r>
          </w:p>
          <w:p w14:paraId="48A9A123" w14:textId="34F29E75" w:rsidR="00345077" w:rsidRPr="00B70D28" w:rsidRDefault="00345077" w:rsidP="00B70D28">
            <w:pPr>
              <w:rPr>
                <w:rFonts w:ascii="Arial" w:hAnsi="Arial" w:cs="Arial"/>
              </w:rPr>
            </w:pPr>
            <w:r w:rsidRPr="00B70D28">
              <w:rPr>
                <w:rFonts w:ascii="Arial" w:hAnsi="Arial" w:cs="Arial"/>
              </w:rPr>
              <w:t xml:space="preserve">© State of Victoria, Australia, Safer Care Victoria, </w:t>
            </w:r>
            <w:r w:rsidR="009E4A6D" w:rsidRPr="00B70D28">
              <w:rPr>
                <w:rFonts w:ascii="Arial" w:hAnsi="Arial" w:cs="Arial"/>
              </w:rPr>
              <w:t>April 2020.</w:t>
            </w:r>
          </w:p>
          <w:p w14:paraId="2E97A1B2" w14:textId="77777777" w:rsidR="00345077" w:rsidRPr="00B70D28" w:rsidRDefault="00345077" w:rsidP="00B70D28">
            <w:pPr>
              <w:rPr>
                <w:rFonts w:ascii="Arial" w:hAnsi="Arial" w:cs="Arial"/>
              </w:rPr>
            </w:pPr>
            <w:r w:rsidRPr="00B70D28">
              <w:rPr>
                <w:rFonts w:ascii="Arial" w:hAnsi="Arial" w:cs="Arial"/>
              </w:rPr>
              <w:t>ISBN 978-1-76069-243-8 (pdf/online/MS word)</w:t>
            </w:r>
          </w:p>
          <w:p w14:paraId="0A22E550" w14:textId="150BA42A" w:rsidR="00345077" w:rsidRPr="00B70D28" w:rsidRDefault="00345077" w:rsidP="00B70D28">
            <w:pPr>
              <w:rPr>
                <w:rFonts w:ascii="Arial" w:hAnsi="Arial" w:cs="Arial"/>
                <w:szCs w:val="15"/>
              </w:rPr>
            </w:pPr>
            <w:r w:rsidRPr="00B70D28">
              <w:rPr>
                <w:rFonts w:ascii="Arial" w:hAnsi="Arial" w:cs="Arial"/>
                <w:sz w:val="16"/>
                <w:szCs w:val="15"/>
              </w:rPr>
              <w:t xml:space="preserve">Available at </w:t>
            </w:r>
            <w:hyperlink r:id="rId17" w:history="1">
              <w:r w:rsidRPr="00B70D28">
                <w:rPr>
                  <w:rStyle w:val="Hyperlink"/>
                  <w:rFonts w:ascii="Arial" w:hAnsi="Arial" w:cs="Arial"/>
                  <w:sz w:val="16"/>
                  <w:szCs w:val="15"/>
                </w:rPr>
                <w:t>www.safercare.vic.gov.au</w:t>
              </w:r>
            </w:hyperlink>
            <w:r w:rsidRPr="00B70D28">
              <w:rPr>
                <w:rFonts w:ascii="Arial" w:hAnsi="Arial" w:cs="Arial"/>
                <w:color w:val="4382B9"/>
                <w:sz w:val="16"/>
                <w:szCs w:val="15"/>
              </w:rPr>
              <w:t xml:space="preserve"> </w:t>
            </w:r>
          </w:p>
        </w:tc>
        <w:tc>
          <w:tcPr>
            <w:tcW w:w="2484" w:type="dxa"/>
          </w:tcPr>
          <w:p w14:paraId="77C3D1A6" w14:textId="77777777" w:rsidR="00345077" w:rsidRPr="00736C0C" w:rsidRDefault="00345077" w:rsidP="00B70D28">
            <w:r w:rsidRPr="00736C0C">
              <w:rPr>
                <w:noProof/>
              </w:rPr>
              <w:drawing>
                <wp:inline distT="0" distB="0" distL="0" distR="0" wp14:anchorId="21C9D38F" wp14:editId="56C5C80D">
                  <wp:extent cx="795600" cy="453600"/>
                  <wp:effectExtent l="0" t="0" r="508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bookmarkEnd w:id="1"/>
    <w:p w14:paraId="0E88B163" w14:textId="77777777" w:rsidR="0086277A" w:rsidRDefault="007C4073" w:rsidP="00B70D28">
      <w:r>
        <w:fldChar w:fldCharType="begin"/>
      </w:r>
      <w:r>
        <w:instrText xml:space="preserve"> Macrobutton NoMacro  </w:instrText>
      </w:r>
      <w:r>
        <w:fldChar w:fldCharType="end"/>
      </w:r>
      <w:r>
        <w:rPr>
          <w:noProof/>
        </w:rPr>
        <w:drawing>
          <wp:anchor distT="0" distB="0" distL="114300" distR="114300" simplePos="0" relativeHeight="251661312" behindDoc="1" locked="1" layoutInCell="1" allowOverlap="1" wp14:anchorId="4F74CCB7" wp14:editId="3EE67E98">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2D09E73A" w14:textId="77777777" w:rsidR="0086277A" w:rsidRDefault="0086277A" w:rsidP="00B70D28">
      <w:pPr>
        <w:sectPr w:rsidR="0086277A" w:rsidSect="007C4073">
          <w:headerReference w:type="even" r:id="rId20"/>
          <w:headerReference w:type="default" r:id="rId21"/>
          <w:headerReference w:type="first" r:id="rId22"/>
          <w:footerReference w:type="first" r:id="rId23"/>
          <w:pgSz w:w="11906" w:h="16838" w:code="9"/>
          <w:pgMar w:top="3402" w:right="851" w:bottom="1361" w:left="851" w:header="539" w:footer="624" w:gutter="0"/>
          <w:cols w:num="2" w:space="284"/>
          <w:docGrid w:linePitch="360"/>
        </w:sectPr>
      </w:pPr>
    </w:p>
    <w:sdt>
      <w:sdtPr>
        <w:rPr>
          <w:rFonts w:ascii="VIC SemiBold" w:eastAsiaTheme="minorEastAsia" w:hAnsi="VIC SemiBold" w:cstheme="minorBidi"/>
          <w:noProof/>
          <w:color w:val="auto"/>
          <w:spacing w:val="0"/>
          <w:sz w:val="20"/>
          <w:szCs w:val="20"/>
          <w:lang w:eastAsia="en-US"/>
        </w:rPr>
        <w:id w:val="-858962418"/>
        <w:docPartObj>
          <w:docPartGallery w:val="Table of Contents"/>
          <w:docPartUnique/>
        </w:docPartObj>
      </w:sdtPr>
      <w:sdtEndPr>
        <w:rPr>
          <w:rFonts w:asciiTheme="minorHAnsi" w:hAnsiTheme="minorHAnsi" w:cstheme="minorHAnsi"/>
          <w:bCs w:val="0"/>
        </w:rPr>
      </w:sdtEndPr>
      <w:sdtContent>
        <w:p w14:paraId="6FF861C0" w14:textId="77777777" w:rsidR="00431464" w:rsidRPr="00B70D28" w:rsidRDefault="00431464" w:rsidP="00B70D28">
          <w:pPr>
            <w:pStyle w:val="TOCHeading"/>
            <w:framePr w:wrap="around"/>
          </w:pPr>
          <w:r w:rsidRPr="00B70D28">
            <w:t>Contents</w:t>
          </w:r>
        </w:p>
        <w:p w14:paraId="621ACA7C" w14:textId="0F82365A" w:rsidR="00360D11" w:rsidRPr="00B70D28" w:rsidRDefault="00431464" w:rsidP="00B70D28">
          <w:pPr>
            <w:pStyle w:val="TOC1"/>
            <w:rPr>
              <w:sz w:val="22"/>
              <w:szCs w:val="22"/>
              <w:lang w:eastAsia="en-AU"/>
            </w:rPr>
          </w:pPr>
          <w:r w:rsidRPr="00B70D28">
            <w:fldChar w:fldCharType="begin"/>
          </w:r>
          <w:r w:rsidRPr="00B70D28">
            <w:instrText xml:space="preserve"> TOC \o "1-2" \h \z \u </w:instrText>
          </w:r>
          <w:r w:rsidRPr="00B70D28">
            <w:fldChar w:fldCharType="separate"/>
          </w:r>
          <w:hyperlink w:anchor="_Toc35436876" w:history="1">
            <w:r w:rsidR="00360D11" w:rsidRPr="00B70D28">
              <w:rPr>
                <w:rStyle w:val="Hyperlink"/>
              </w:rPr>
              <w:t xml:space="preserve">1. Guidance </w:t>
            </w:r>
            <w:r w:rsidR="003F1691" w:rsidRPr="00B70D28">
              <w:rPr>
                <w:rStyle w:val="Hyperlink"/>
              </w:rPr>
              <w:t>p</w:t>
            </w:r>
            <w:r w:rsidR="00360D11" w:rsidRPr="00B70D28">
              <w:rPr>
                <w:rStyle w:val="Hyperlink"/>
              </w:rPr>
              <w:t xml:space="preserve">roduction </w:t>
            </w:r>
            <w:r w:rsidR="003F1691" w:rsidRPr="00B70D28">
              <w:rPr>
                <w:rStyle w:val="Hyperlink"/>
              </w:rPr>
              <w:t>p</w:t>
            </w:r>
            <w:r w:rsidR="00360D11" w:rsidRPr="00B70D28">
              <w:rPr>
                <w:rStyle w:val="Hyperlink"/>
              </w:rPr>
              <w:t>rocess</w:t>
            </w:r>
            <w:r w:rsidR="00360D11" w:rsidRPr="00B70D28">
              <w:rPr>
                <w:webHidden/>
              </w:rPr>
              <w:tab/>
            </w:r>
            <w:r w:rsidR="00360D11" w:rsidRPr="00B70D28">
              <w:rPr>
                <w:webHidden/>
              </w:rPr>
              <w:fldChar w:fldCharType="begin"/>
            </w:r>
            <w:r w:rsidR="00360D11" w:rsidRPr="00B70D28">
              <w:rPr>
                <w:webHidden/>
              </w:rPr>
              <w:instrText xml:space="preserve"> PAGEREF _Toc35436876 \h </w:instrText>
            </w:r>
            <w:r w:rsidR="00360D11" w:rsidRPr="00B70D28">
              <w:rPr>
                <w:webHidden/>
              </w:rPr>
            </w:r>
            <w:r w:rsidR="00360D11" w:rsidRPr="00B70D28">
              <w:rPr>
                <w:webHidden/>
              </w:rPr>
              <w:fldChar w:fldCharType="separate"/>
            </w:r>
            <w:r w:rsidR="00033994" w:rsidRPr="00B70D28">
              <w:rPr>
                <w:webHidden/>
              </w:rPr>
              <w:t>2</w:t>
            </w:r>
            <w:r w:rsidR="00360D11" w:rsidRPr="00B70D28">
              <w:rPr>
                <w:webHidden/>
              </w:rPr>
              <w:fldChar w:fldCharType="end"/>
            </w:r>
          </w:hyperlink>
        </w:p>
        <w:p w14:paraId="38D6F2E7" w14:textId="65C08DA1" w:rsidR="00360D11" w:rsidRPr="00B70D28" w:rsidRDefault="00033994" w:rsidP="00B70D28">
          <w:pPr>
            <w:pStyle w:val="TOC2"/>
            <w:rPr>
              <w:color w:val="auto"/>
              <w:sz w:val="22"/>
              <w:szCs w:val="22"/>
            </w:rPr>
          </w:pPr>
          <w:hyperlink w:anchor="_Toc35436877" w:history="1">
            <w:r w:rsidR="00360D11" w:rsidRPr="00B70D28">
              <w:rPr>
                <w:rStyle w:val="Hyperlink"/>
                <w:b w:val="0"/>
                <w:bCs/>
              </w:rPr>
              <w:t xml:space="preserve">Topic </w:t>
            </w:r>
            <w:r w:rsidR="003F1691" w:rsidRPr="00B70D28">
              <w:rPr>
                <w:rStyle w:val="Hyperlink"/>
                <w:b w:val="0"/>
                <w:bCs/>
              </w:rPr>
              <w:t>s</w:t>
            </w:r>
            <w:r w:rsidR="00360D11" w:rsidRPr="00B70D28">
              <w:rPr>
                <w:rStyle w:val="Hyperlink"/>
                <w:b w:val="0"/>
                <w:bCs/>
              </w:rPr>
              <w:t>election</w:t>
            </w:r>
            <w:r w:rsidR="00360D11" w:rsidRPr="00B70D28">
              <w:rPr>
                <w:webHidden/>
              </w:rPr>
              <w:tab/>
            </w:r>
            <w:r w:rsidR="00360D11" w:rsidRPr="00B70D28">
              <w:rPr>
                <w:webHidden/>
              </w:rPr>
              <w:fldChar w:fldCharType="begin"/>
            </w:r>
            <w:r w:rsidR="00360D11" w:rsidRPr="00B70D28">
              <w:rPr>
                <w:webHidden/>
              </w:rPr>
              <w:instrText xml:space="preserve"> PAGEREF _Toc35436877 \h </w:instrText>
            </w:r>
            <w:r w:rsidR="00360D11" w:rsidRPr="00B70D28">
              <w:rPr>
                <w:webHidden/>
              </w:rPr>
            </w:r>
            <w:r w:rsidR="00360D11" w:rsidRPr="00B70D28">
              <w:rPr>
                <w:webHidden/>
              </w:rPr>
              <w:fldChar w:fldCharType="separate"/>
            </w:r>
            <w:r w:rsidRPr="00B70D28">
              <w:rPr>
                <w:webHidden/>
              </w:rPr>
              <w:t>2</w:t>
            </w:r>
            <w:r w:rsidR="00360D11" w:rsidRPr="00B70D28">
              <w:rPr>
                <w:webHidden/>
              </w:rPr>
              <w:fldChar w:fldCharType="end"/>
            </w:r>
          </w:hyperlink>
        </w:p>
        <w:p w14:paraId="29316B6D" w14:textId="35088263" w:rsidR="00360D11" w:rsidRPr="00B70D28" w:rsidRDefault="00033994" w:rsidP="00B70D28">
          <w:pPr>
            <w:pStyle w:val="TOC2"/>
            <w:rPr>
              <w:color w:val="auto"/>
              <w:sz w:val="22"/>
              <w:szCs w:val="22"/>
            </w:rPr>
          </w:pPr>
          <w:hyperlink w:anchor="_Toc35436878" w:history="1">
            <w:r w:rsidR="00360D11" w:rsidRPr="00B70D28">
              <w:rPr>
                <w:rStyle w:val="Hyperlink"/>
                <w:b w:val="0"/>
                <w:bCs/>
              </w:rPr>
              <w:t xml:space="preserve">Expert </w:t>
            </w:r>
            <w:r w:rsidR="003F1691" w:rsidRPr="00B70D28">
              <w:rPr>
                <w:rStyle w:val="Hyperlink"/>
                <w:b w:val="0"/>
                <w:bCs/>
              </w:rPr>
              <w:t>w</w:t>
            </w:r>
            <w:r w:rsidR="00360D11" w:rsidRPr="00B70D28">
              <w:rPr>
                <w:rStyle w:val="Hyperlink"/>
                <w:b w:val="0"/>
                <w:bCs/>
              </w:rPr>
              <w:t xml:space="preserve">orking </w:t>
            </w:r>
            <w:r w:rsidR="003F1691" w:rsidRPr="00B70D28">
              <w:rPr>
                <w:rStyle w:val="Hyperlink"/>
                <w:b w:val="0"/>
                <w:bCs/>
              </w:rPr>
              <w:t>g</w:t>
            </w:r>
            <w:r w:rsidR="00360D11" w:rsidRPr="00B70D28">
              <w:rPr>
                <w:rStyle w:val="Hyperlink"/>
                <w:b w:val="0"/>
                <w:bCs/>
              </w:rPr>
              <w:t>roup</w:t>
            </w:r>
            <w:r w:rsidR="00360D11" w:rsidRPr="00B70D28">
              <w:rPr>
                <w:webHidden/>
              </w:rPr>
              <w:tab/>
            </w:r>
            <w:r w:rsidR="00360D11" w:rsidRPr="00B70D28">
              <w:rPr>
                <w:webHidden/>
              </w:rPr>
              <w:fldChar w:fldCharType="begin"/>
            </w:r>
            <w:r w:rsidR="00360D11" w:rsidRPr="00B70D28">
              <w:rPr>
                <w:webHidden/>
              </w:rPr>
              <w:instrText xml:space="preserve"> PAGEREF _Toc35436878 \h </w:instrText>
            </w:r>
            <w:r w:rsidR="00360D11" w:rsidRPr="00B70D28">
              <w:rPr>
                <w:webHidden/>
              </w:rPr>
            </w:r>
            <w:r w:rsidR="00360D11" w:rsidRPr="00B70D28">
              <w:rPr>
                <w:webHidden/>
              </w:rPr>
              <w:fldChar w:fldCharType="separate"/>
            </w:r>
            <w:r w:rsidRPr="00B70D28">
              <w:rPr>
                <w:webHidden/>
              </w:rPr>
              <w:t>2</w:t>
            </w:r>
            <w:r w:rsidR="00360D11" w:rsidRPr="00B70D28">
              <w:rPr>
                <w:webHidden/>
              </w:rPr>
              <w:fldChar w:fldCharType="end"/>
            </w:r>
          </w:hyperlink>
        </w:p>
        <w:p w14:paraId="67F2F077" w14:textId="7624E050" w:rsidR="00360D11" w:rsidRPr="00B70D28" w:rsidRDefault="00033994" w:rsidP="00B70D28">
          <w:pPr>
            <w:pStyle w:val="TOC2"/>
            <w:rPr>
              <w:color w:val="auto"/>
              <w:sz w:val="22"/>
              <w:szCs w:val="22"/>
            </w:rPr>
          </w:pPr>
          <w:hyperlink w:anchor="_Toc35436879" w:history="1">
            <w:r w:rsidR="00360D11" w:rsidRPr="00B70D28">
              <w:rPr>
                <w:rStyle w:val="Hyperlink"/>
                <w:b w:val="0"/>
                <w:bCs/>
              </w:rPr>
              <w:t>Methodology to produce the guidance</w:t>
            </w:r>
            <w:r w:rsidR="00360D11" w:rsidRPr="00B70D28">
              <w:rPr>
                <w:webHidden/>
              </w:rPr>
              <w:tab/>
            </w:r>
            <w:r w:rsidR="00360D11" w:rsidRPr="00B70D28">
              <w:rPr>
                <w:webHidden/>
              </w:rPr>
              <w:fldChar w:fldCharType="begin"/>
            </w:r>
            <w:r w:rsidR="00360D11" w:rsidRPr="00B70D28">
              <w:rPr>
                <w:webHidden/>
              </w:rPr>
              <w:instrText xml:space="preserve"> PAGEREF _Toc35436879 \h </w:instrText>
            </w:r>
            <w:r w:rsidR="00360D11" w:rsidRPr="00B70D28">
              <w:rPr>
                <w:webHidden/>
              </w:rPr>
            </w:r>
            <w:r w:rsidR="00360D11" w:rsidRPr="00B70D28">
              <w:rPr>
                <w:webHidden/>
              </w:rPr>
              <w:fldChar w:fldCharType="separate"/>
            </w:r>
            <w:r w:rsidRPr="00B70D28">
              <w:rPr>
                <w:webHidden/>
              </w:rPr>
              <w:t>4</w:t>
            </w:r>
            <w:r w:rsidR="00360D11" w:rsidRPr="00B70D28">
              <w:rPr>
                <w:webHidden/>
              </w:rPr>
              <w:fldChar w:fldCharType="end"/>
            </w:r>
          </w:hyperlink>
        </w:p>
        <w:p w14:paraId="6DFFE416" w14:textId="426F09A8" w:rsidR="00360D11" w:rsidRPr="00B70D28" w:rsidRDefault="00033994" w:rsidP="00B70D28">
          <w:pPr>
            <w:pStyle w:val="TOC2"/>
            <w:rPr>
              <w:color w:val="auto"/>
              <w:sz w:val="22"/>
              <w:szCs w:val="22"/>
            </w:rPr>
          </w:pPr>
          <w:hyperlink w:anchor="_Toc35436880" w:history="1">
            <w:r w:rsidR="00360D11" w:rsidRPr="00B70D28">
              <w:rPr>
                <w:rStyle w:val="Hyperlink"/>
                <w:b w:val="0"/>
                <w:bCs/>
              </w:rPr>
              <w:t>Reaching consensus</w:t>
            </w:r>
            <w:r w:rsidR="00360D11" w:rsidRPr="00B70D28">
              <w:rPr>
                <w:webHidden/>
              </w:rPr>
              <w:tab/>
            </w:r>
            <w:r w:rsidR="00360D11" w:rsidRPr="00B70D28">
              <w:rPr>
                <w:webHidden/>
              </w:rPr>
              <w:fldChar w:fldCharType="begin"/>
            </w:r>
            <w:r w:rsidR="00360D11" w:rsidRPr="00B70D28">
              <w:rPr>
                <w:webHidden/>
              </w:rPr>
              <w:instrText xml:space="preserve"> PAGEREF _Toc35436880 \h </w:instrText>
            </w:r>
            <w:r w:rsidR="00360D11" w:rsidRPr="00B70D28">
              <w:rPr>
                <w:webHidden/>
              </w:rPr>
            </w:r>
            <w:r w:rsidR="00360D11" w:rsidRPr="00B70D28">
              <w:rPr>
                <w:webHidden/>
              </w:rPr>
              <w:fldChar w:fldCharType="separate"/>
            </w:r>
            <w:r w:rsidRPr="00B70D28">
              <w:rPr>
                <w:webHidden/>
              </w:rPr>
              <w:t>7</w:t>
            </w:r>
            <w:r w:rsidR="00360D11" w:rsidRPr="00B70D28">
              <w:rPr>
                <w:webHidden/>
              </w:rPr>
              <w:fldChar w:fldCharType="end"/>
            </w:r>
          </w:hyperlink>
        </w:p>
        <w:p w14:paraId="0CDE1E8D" w14:textId="78E8E255" w:rsidR="00360D11" w:rsidRPr="00B70D28" w:rsidRDefault="00033994" w:rsidP="00B70D28">
          <w:pPr>
            <w:pStyle w:val="TOC2"/>
            <w:rPr>
              <w:color w:val="auto"/>
              <w:sz w:val="22"/>
              <w:szCs w:val="22"/>
            </w:rPr>
          </w:pPr>
          <w:hyperlink w:anchor="_Toc35436881" w:history="1">
            <w:r w:rsidR="00360D11" w:rsidRPr="00B70D28">
              <w:rPr>
                <w:rStyle w:val="Hyperlink"/>
                <w:b w:val="0"/>
                <w:bCs/>
              </w:rPr>
              <w:t>Consultation</w:t>
            </w:r>
            <w:r w:rsidR="00360D11" w:rsidRPr="00B70D28">
              <w:rPr>
                <w:webHidden/>
              </w:rPr>
              <w:tab/>
            </w:r>
            <w:r w:rsidR="00360D11" w:rsidRPr="00B70D28">
              <w:rPr>
                <w:webHidden/>
              </w:rPr>
              <w:fldChar w:fldCharType="begin"/>
            </w:r>
            <w:r w:rsidR="00360D11" w:rsidRPr="00B70D28">
              <w:rPr>
                <w:webHidden/>
              </w:rPr>
              <w:instrText xml:space="preserve"> PAGEREF _Toc35436881 \h </w:instrText>
            </w:r>
            <w:r w:rsidR="00360D11" w:rsidRPr="00B70D28">
              <w:rPr>
                <w:webHidden/>
              </w:rPr>
            </w:r>
            <w:r w:rsidR="00360D11" w:rsidRPr="00B70D28">
              <w:rPr>
                <w:webHidden/>
              </w:rPr>
              <w:fldChar w:fldCharType="separate"/>
            </w:r>
            <w:r w:rsidRPr="00B70D28">
              <w:rPr>
                <w:webHidden/>
              </w:rPr>
              <w:t>7</w:t>
            </w:r>
            <w:r w:rsidR="00360D11" w:rsidRPr="00B70D28">
              <w:rPr>
                <w:webHidden/>
              </w:rPr>
              <w:fldChar w:fldCharType="end"/>
            </w:r>
          </w:hyperlink>
        </w:p>
        <w:p w14:paraId="4046B2C2" w14:textId="40C956C6" w:rsidR="00360D11" w:rsidRPr="00B70D28" w:rsidRDefault="00033994" w:rsidP="00B70D28">
          <w:pPr>
            <w:pStyle w:val="TOC2"/>
            <w:rPr>
              <w:color w:val="auto"/>
              <w:sz w:val="22"/>
              <w:szCs w:val="22"/>
            </w:rPr>
          </w:pPr>
          <w:hyperlink w:anchor="_Toc35436882" w:history="1">
            <w:r w:rsidR="00360D11" w:rsidRPr="00B70D28">
              <w:rPr>
                <w:rStyle w:val="Hyperlink"/>
                <w:b w:val="0"/>
                <w:bCs/>
              </w:rPr>
              <w:t>Review</w:t>
            </w:r>
            <w:r w:rsidR="00360D11" w:rsidRPr="00B70D28">
              <w:rPr>
                <w:webHidden/>
              </w:rPr>
              <w:tab/>
            </w:r>
            <w:r w:rsidR="00360D11" w:rsidRPr="00B70D28">
              <w:rPr>
                <w:webHidden/>
              </w:rPr>
              <w:fldChar w:fldCharType="begin"/>
            </w:r>
            <w:r w:rsidR="00360D11" w:rsidRPr="00B70D28">
              <w:rPr>
                <w:webHidden/>
              </w:rPr>
              <w:instrText xml:space="preserve"> PAGEREF _Toc35436882 \h </w:instrText>
            </w:r>
            <w:r w:rsidR="00360D11" w:rsidRPr="00B70D28">
              <w:rPr>
                <w:webHidden/>
              </w:rPr>
            </w:r>
            <w:r w:rsidR="00360D11" w:rsidRPr="00B70D28">
              <w:rPr>
                <w:webHidden/>
              </w:rPr>
              <w:fldChar w:fldCharType="separate"/>
            </w:r>
            <w:r w:rsidRPr="00B70D28">
              <w:rPr>
                <w:webHidden/>
              </w:rPr>
              <w:t>7</w:t>
            </w:r>
            <w:r w:rsidR="00360D11" w:rsidRPr="00B70D28">
              <w:rPr>
                <w:webHidden/>
              </w:rPr>
              <w:fldChar w:fldCharType="end"/>
            </w:r>
          </w:hyperlink>
        </w:p>
        <w:p w14:paraId="73448468" w14:textId="74E79A01" w:rsidR="00360D11" w:rsidRPr="00B70D28" w:rsidRDefault="00033994" w:rsidP="00B70D28">
          <w:pPr>
            <w:pStyle w:val="TOC2"/>
            <w:rPr>
              <w:color w:val="auto"/>
              <w:sz w:val="22"/>
              <w:szCs w:val="22"/>
            </w:rPr>
          </w:pPr>
          <w:hyperlink w:anchor="_Toc35436883" w:history="1">
            <w:r w:rsidR="00360D11" w:rsidRPr="00B70D28">
              <w:rPr>
                <w:rStyle w:val="Hyperlink"/>
                <w:b w:val="0"/>
                <w:bCs/>
              </w:rPr>
              <w:t>Future research priorities</w:t>
            </w:r>
            <w:r w:rsidR="00360D11" w:rsidRPr="00B70D28">
              <w:rPr>
                <w:webHidden/>
              </w:rPr>
              <w:tab/>
            </w:r>
            <w:r w:rsidR="00360D11" w:rsidRPr="00B70D28">
              <w:rPr>
                <w:webHidden/>
              </w:rPr>
              <w:fldChar w:fldCharType="begin"/>
            </w:r>
            <w:r w:rsidR="00360D11" w:rsidRPr="00B70D28">
              <w:rPr>
                <w:webHidden/>
              </w:rPr>
              <w:instrText xml:space="preserve"> PAGEREF _Toc35436883 \h </w:instrText>
            </w:r>
            <w:r w:rsidR="00360D11" w:rsidRPr="00B70D28">
              <w:rPr>
                <w:webHidden/>
              </w:rPr>
            </w:r>
            <w:r w:rsidR="00360D11" w:rsidRPr="00B70D28">
              <w:rPr>
                <w:webHidden/>
              </w:rPr>
              <w:fldChar w:fldCharType="separate"/>
            </w:r>
            <w:r w:rsidRPr="00B70D28">
              <w:rPr>
                <w:webHidden/>
              </w:rPr>
              <w:t>8</w:t>
            </w:r>
            <w:r w:rsidR="00360D11" w:rsidRPr="00B70D28">
              <w:rPr>
                <w:webHidden/>
              </w:rPr>
              <w:fldChar w:fldCharType="end"/>
            </w:r>
          </w:hyperlink>
        </w:p>
        <w:p w14:paraId="26987202" w14:textId="0DBB7426" w:rsidR="00360D11" w:rsidRPr="00B70D28" w:rsidRDefault="00033994" w:rsidP="00B70D28">
          <w:pPr>
            <w:pStyle w:val="TOC1"/>
            <w:rPr>
              <w:sz w:val="22"/>
              <w:szCs w:val="22"/>
              <w:lang w:eastAsia="en-AU"/>
            </w:rPr>
          </w:pPr>
          <w:hyperlink w:anchor="_Toc35436884" w:history="1">
            <w:r w:rsidR="00360D11" w:rsidRPr="00B70D28">
              <w:rPr>
                <w:rStyle w:val="Hyperlink"/>
              </w:rPr>
              <w:t>2. Governance</w:t>
            </w:r>
            <w:r w:rsidR="00360D11" w:rsidRPr="00B70D28">
              <w:rPr>
                <w:webHidden/>
              </w:rPr>
              <w:tab/>
            </w:r>
            <w:r w:rsidR="00360D11" w:rsidRPr="00B70D28">
              <w:rPr>
                <w:webHidden/>
              </w:rPr>
              <w:fldChar w:fldCharType="begin"/>
            </w:r>
            <w:r w:rsidR="00360D11" w:rsidRPr="00B70D28">
              <w:rPr>
                <w:webHidden/>
              </w:rPr>
              <w:instrText xml:space="preserve"> PAGEREF _Toc35436884 \h </w:instrText>
            </w:r>
            <w:r w:rsidR="00360D11" w:rsidRPr="00B70D28">
              <w:rPr>
                <w:webHidden/>
              </w:rPr>
            </w:r>
            <w:r w:rsidR="00360D11" w:rsidRPr="00B70D28">
              <w:rPr>
                <w:webHidden/>
              </w:rPr>
              <w:fldChar w:fldCharType="separate"/>
            </w:r>
            <w:r w:rsidRPr="00B70D28">
              <w:rPr>
                <w:webHidden/>
              </w:rPr>
              <w:t>9</w:t>
            </w:r>
            <w:r w:rsidR="00360D11" w:rsidRPr="00B70D28">
              <w:rPr>
                <w:webHidden/>
              </w:rPr>
              <w:fldChar w:fldCharType="end"/>
            </w:r>
          </w:hyperlink>
        </w:p>
        <w:p w14:paraId="415A83AE" w14:textId="669BC98C" w:rsidR="00360D11" w:rsidRPr="00B70D28" w:rsidRDefault="00033994" w:rsidP="00B70D28">
          <w:pPr>
            <w:pStyle w:val="TOC2"/>
            <w:rPr>
              <w:color w:val="auto"/>
              <w:sz w:val="22"/>
              <w:szCs w:val="22"/>
            </w:rPr>
          </w:pPr>
          <w:hyperlink w:anchor="_Toc35436885" w:history="1">
            <w:r w:rsidR="00360D11" w:rsidRPr="00B70D28">
              <w:rPr>
                <w:rStyle w:val="Hyperlink"/>
                <w:b w:val="0"/>
                <w:bCs/>
              </w:rPr>
              <w:t>Approval</w:t>
            </w:r>
            <w:r w:rsidR="00360D11" w:rsidRPr="00B70D28">
              <w:rPr>
                <w:webHidden/>
              </w:rPr>
              <w:tab/>
            </w:r>
            <w:r w:rsidR="00360D11" w:rsidRPr="00B70D28">
              <w:rPr>
                <w:webHidden/>
              </w:rPr>
              <w:fldChar w:fldCharType="begin"/>
            </w:r>
            <w:r w:rsidR="00360D11" w:rsidRPr="00B70D28">
              <w:rPr>
                <w:webHidden/>
              </w:rPr>
              <w:instrText xml:space="preserve"> PAGEREF _Toc35436885 \h </w:instrText>
            </w:r>
            <w:r w:rsidR="00360D11" w:rsidRPr="00B70D28">
              <w:rPr>
                <w:webHidden/>
              </w:rPr>
            </w:r>
            <w:r w:rsidR="00360D11" w:rsidRPr="00B70D28">
              <w:rPr>
                <w:webHidden/>
              </w:rPr>
              <w:fldChar w:fldCharType="separate"/>
            </w:r>
            <w:r w:rsidRPr="00B70D28">
              <w:rPr>
                <w:webHidden/>
              </w:rPr>
              <w:t>9</w:t>
            </w:r>
            <w:r w:rsidR="00360D11" w:rsidRPr="00B70D28">
              <w:rPr>
                <w:webHidden/>
              </w:rPr>
              <w:fldChar w:fldCharType="end"/>
            </w:r>
          </w:hyperlink>
        </w:p>
        <w:p w14:paraId="487A7297" w14:textId="0A654E40" w:rsidR="00360D11" w:rsidRPr="00B70D28" w:rsidRDefault="00033994" w:rsidP="00B70D28">
          <w:pPr>
            <w:pStyle w:val="TOC2"/>
            <w:rPr>
              <w:color w:val="auto"/>
              <w:sz w:val="22"/>
              <w:szCs w:val="22"/>
            </w:rPr>
          </w:pPr>
          <w:hyperlink w:anchor="_Toc35436886" w:history="1">
            <w:r w:rsidR="00360D11" w:rsidRPr="00B70D28">
              <w:rPr>
                <w:rStyle w:val="Hyperlink"/>
                <w:b w:val="0"/>
                <w:bCs/>
              </w:rPr>
              <w:t>Funding</w:t>
            </w:r>
            <w:r w:rsidR="00360D11" w:rsidRPr="00B70D28">
              <w:rPr>
                <w:webHidden/>
              </w:rPr>
              <w:tab/>
            </w:r>
            <w:r w:rsidR="00360D11" w:rsidRPr="00B70D28">
              <w:rPr>
                <w:webHidden/>
              </w:rPr>
              <w:fldChar w:fldCharType="begin"/>
            </w:r>
            <w:r w:rsidR="00360D11" w:rsidRPr="00B70D28">
              <w:rPr>
                <w:webHidden/>
              </w:rPr>
              <w:instrText xml:space="preserve"> PAGEREF _Toc35436886 \h </w:instrText>
            </w:r>
            <w:r w:rsidR="00360D11" w:rsidRPr="00B70D28">
              <w:rPr>
                <w:webHidden/>
              </w:rPr>
            </w:r>
            <w:r w:rsidR="00360D11" w:rsidRPr="00B70D28">
              <w:rPr>
                <w:webHidden/>
              </w:rPr>
              <w:fldChar w:fldCharType="separate"/>
            </w:r>
            <w:r w:rsidRPr="00B70D28">
              <w:rPr>
                <w:webHidden/>
              </w:rPr>
              <w:t>9</w:t>
            </w:r>
            <w:r w:rsidR="00360D11" w:rsidRPr="00B70D28">
              <w:rPr>
                <w:webHidden/>
              </w:rPr>
              <w:fldChar w:fldCharType="end"/>
            </w:r>
          </w:hyperlink>
        </w:p>
        <w:p w14:paraId="1C8AF688" w14:textId="66C2A3BA" w:rsidR="00360D11" w:rsidRPr="00B70D28" w:rsidRDefault="00033994" w:rsidP="00B70D28">
          <w:pPr>
            <w:pStyle w:val="TOC1"/>
            <w:rPr>
              <w:sz w:val="22"/>
              <w:szCs w:val="22"/>
              <w:lang w:eastAsia="en-AU"/>
            </w:rPr>
          </w:pPr>
          <w:hyperlink w:anchor="_Toc35436887" w:history="1">
            <w:r w:rsidR="00360D11" w:rsidRPr="00B70D28">
              <w:rPr>
                <w:rStyle w:val="Hyperlink"/>
                <w:b w:val="0"/>
                <w:bCs/>
              </w:rPr>
              <w:t>Appendix 1: Reviewed evidence</w:t>
            </w:r>
            <w:r w:rsidR="00360D11" w:rsidRPr="00B70D28">
              <w:rPr>
                <w:webHidden/>
              </w:rPr>
              <w:tab/>
            </w:r>
            <w:r w:rsidR="00360D11" w:rsidRPr="00B70D28">
              <w:rPr>
                <w:webHidden/>
              </w:rPr>
              <w:fldChar w:fldCharType="begin"/>
            </w:r>
            <w:r w:rsidR="00360D11" w:rsidRPr="00B70D28">
              <w:rPr>
                <w:webHidden/>
              </w:rPr>
              <w:instrText xml:space="preserve"> PAGEREF _Toc35436887 \h </w:instrText>
            </w:r>
            <w:r w:rsidR="00360D11" w:rsidRPr="00B70D28">
              <w:rPr>
                <w:webHidden/>
              </w:rPr>
            </w:r>
            <w:r w:rsidR="00360D11" w:rsidRPr="00B70D28">
              <w:rPr>
                <w:webHidden/>
              </w:rPr>
              <w:fldChar w:fldCharType="separate"/>
            </w:r>
            <w:r w:rsidRPr="00B70D28">
              <w:rPr>
                <w:webHidden/>
              </w:rPr>
              <w:t>10</w:t>
            </w:r>
            <w:r w:rsidR="00360D11" w:rsidRPr="00B70D28">
              <w:rPr>
                <w:webHidden/>
              </w:rPr>
              <w:fldChar w:fldCharType="end"/>
            </w:r>
          </w:hyperlink>
        </w:p>
        <w:p w14:paraId="0EBC5FCD" w14:textId="0383B271" w:rsidR="00431464" w:rsidRPr="00B70D28" w:rsidRDefault="00033994" w:rsidP="00B70D28">
          <w:pPr>
            <w:pStyle w:val="TOC1"/>
            <w:rPr>
              <w:sz w:val="22"/>
              <w:szCs w:val="22"/>
              <w:lang w:eastAsia="en-AU"/>
            </w:rPr>
          </w:pPr>
          <w:hyperlink w:anchor="_Toc35436888" w:history="1">
            <w:r w:rsidR="00360D11" w:rsidRPr="00B70D28">
              <w:rPr>
                <w:rStyle w:val="Hyperlink"/>
                <w:b w:val="0"/>
                <w:bCs/>
              </w:rPr>
              <w:t xml:space="preserve">Appendix 2: </w:t>
            </w:r>
            <w:r w:rsidR="003F1691" w:rsidRPr="00B70D28">
              <w:rPr>
                <w:rStyle w:val="Hyperlink"/>
                <w:b w:val="0"/>
                <w:bCs/>
              </w:rPr>
              <w:t>P</w:t>
            </w:r>
            <w:r w:rsidR="00360D11" w:rsidRPr="00B70D28">
              <w:rPr>
                <w:rStyle w:val="Hyperlink"/>
                <w:b w:val="0"/>
                <w:bCs/>
              </w:rPr>
              <w:t>ublic consultation report</w:t>
            </w:r>
            <w:r w:rsidR="00360D11" w:rsidRPr="00B70D28">
              <w:rPr>
                <w:webHidden/>
              </w:rPr>
              <w:tab/>
            </w:r>
            <w:r w:rsidR="00360D11" w:rsidRPr="00B70D28">
              <w:rPr>
                <w:webHidden/>
              </w:rPr>
              <w:fldChar w:fldCharType="begin"/>
            </w:r>
            <w:r w:rsidR="00360D11" w:rsidRPr="00B70D28">
              <w:rPr>
                <w:webHidden/>
              </w:rPr>
              <w:instrText xml:space="preserve"> PAGEREF _Toc35436888 \h </w:instrText>
            </w:r>
            <w:r w:rsidR="00360D11" w:rsidRPr="00B70D28">
              <w:rPr>
                <w:webHidden/>
              </w:rPr>
            </w:r>
            <w:r w:rsidR="00360D11" w:rsidRPr="00B70D28">
              <w:rPr>
                <w:webHidden/>
              </w:rPr>
              <w:fldChar w:fldCharType="separate"/>
            </w:r>
            <w:r w:rsidRPr="00B70D28">
              <w:rPr>
                <w:webHidden/>
              </w:rPr>
              <w:t>23</w:t>
            </w:r>
            <w:r w:rsidR="00360D11" w:rsidRPr="00B70D28">
              <w:rPr>
                <w:webHidden/>
              </w:rPr>
              <w:fldChar w:fldCharType="end"/>
            </w:r>
          </w:hyperlink>
          <w:r w:rsidR="00431464" w:rsidRPr="00B70D28">
            <w:fldChar w:fldCharType="end"/>
          </w:r>
        </w:p>
      </w:sdtContent>
    </w:sdt>
    <w:p w14:paraId="6BB3F970" w14:textId="77777777" w:rsidR="007A4046" w:rsidRDefault="007A4046" w:rsidP="00B70D28"/>
    <w:p w14:paraId="72751FD7" w14:textId="77777777" w:rsidR="0089550B" w:rsidRDefault="0089550B" w:rsidP="00B70D28">
      <w:pPr>
        <w:rPr>
          <w:rFonts w:eastAsiaTheme="majorEastAsia" w:cstheme="majorBidi"/>
          <w:color w:val="007586" w:themeColor="text2"/>
          <w:sz w:val="24"/>
          <w:szCs w:val="26"/>
        </w:rPr>
      </w:pPr>
      <w:r>
        <w:br w:type="page"/>
      </w:r>
    </w:p>
    <w:p w14:paraId="12537983" w14:textId="07F2DF3D" w:rsidR="0089550B" w:rsidRPr="00B70D28" w:rsidRDefault="008B67AE" w:rsidP="00B70D28">
      <w:pPr>
        <w:pStyle w:val="Heading1numbered"/>
        <w:framePr w:wrap="around"/>
      </w:pPr>
      <w:bookmarkStart w:id="2" w:name="_Toc35436876"/>
      <w:r w:rsidRPr="00B70D28">
        <w:lastRenderedPageBreak/>
        <w:t xml:space="preserve">1. </w:t>
      </w:r>
      <w:r w:rsidR="007A4046" w:rsidRPr="00B70D28">
        <w:t xml:space="preserve">Guidance </w:t>
      </w:r>
      <w:r w:rsidR="009E4A6D" w:rsidRPr="00B70D28">
        <w:t>p</w:t>
      </w:r>
      <w:r w:rsidR="007A4046" w:rsidRPr="00B70D28">
        <w:t xml:space="preserve">roduction </w:t>
      </w:r>
      <w:r w:rsidR="009E4A6D" w:rsidRPr="00B70D28">
        <w:t>p</w:t>
      </w:r>
      <w:r w:rsidR="007A4046" w:rsidRPr="00B70D28">
        <w:t>rocess</w:t>
      </w:r>
      <w:bookmarkEnd w:id="2"/>
    </w:p>
    <w:p w14:paraId="27695A8D" w14:textId="77777777" w:rsidR="001B3FBC" w:rsidRPr="0089550B" w:rsidRDefault="00730830" w:rsidP="00B70D28">
      <w:pPr>
        <w:pStyle w:val="Heading2"/>
        <w:sectPr w:rsidR="001B3FBC" w:rsidRPr="0089550B" w:rsidSect="00265EC8">
          <w:pgSz w:w="11906" w:h="16838" w:code="9"/>
          <w:pgMar w:top="3402" w:right="851" w:bottom="1361" w:left="851" w:header="539" w:footer="624" w:gutter="0"/>
          <w:pgNumType w:start="1"/>
          <w:cols w:space="284"/>
          <w:docGrid w:linePitch="360"/>
        </w:sectPr>
      </w:pPr>
      <w:bookmarkStart w:id="3" w:name="_Toc35436877"/>
      <w:r>
        <w:t>T</w:t>
      </w:r>
      <w:r w:rsidR="00994A46" w:rsidRPr="0089550B">
        <w:t>opic Selection</w:t>
      </w:r>
      <w:bookmarkEnd w:id="3"/>
    </w:p>
    <w:p w14:paraId="0FC3A366" w14:textId="5F9598C6" w:rsidR="00994A46" w:rsidRPr="00730830" w:rsidRDefault="00994A46" w:rsidP="00B70D28">
      <w:pPr>
        <w:pStyle w:val="Normalfollowingheading"/>
      </w:pPr>
      <w:r w:rsidRPr="00730830">
        <w:t>In 2018</w:t>
      </w:r>
      <w:r w:rsidR="000F6605">
        <w:t>,</w:t>
      </w:r>
      <w:r w:rsidRPr="00730830">
        <w:t xml:space="preserve"> Safer Care Victoria’s (SCV) Emergency Care Clinical Networ</w:t>
      </w:r>
      <w:r w:rsidR="00B45B0C">
        <w:t>k</w:t>
      </w:r>
      <w:r w:rsidRPr="00730830">
        <w:t xml:space="preserve"> hosted a strategy day attended by more than 160 clinicians from across the emergency care sector. Attendees at this day identified improving the care of people displaying behaviours of concern as a priority focus area. </w:t>
      </w:r>
    </w:p>
    <w:p w14:paraId="5F60412A" w14:textId="5E2E4033" w:rsidR="00994A46" w:rsidRPr="00B70D28" w:rsidRDefault="00994A46" w:rsidP="00B70D28">
      <w:r w:rsidRPr="00B70D28">
        <w:t xml:space="preserve">We subsequently formed a phase one expert working group to scope and prioritise improvement ideas. After reviewing literature, collecting data and consulting with Victorian healthcare stakeholders, one of the recommendations was to develop </w:t>
      </w:r>
      <w:proofErr w:type="spellStart"/>
      <w:r w:rsidRPr="00B70D28">
        <w:t>statewide</w:t>
      </w:r>
      <w:proofErr w:type="spellEnd"/>
      <w:r w:rsidRPr="00B70D28">
        <w:t xml:space="preserve"> evidence-based clinical guidance. The purpose of this guidance is to support person-centred, evidence-based practice and reduce unwarranted variation in care</w:t>
      </w:r>
      <w:r w:rsidR="00F85DA5" w:rsidRPr="00B70D28">
        <w:t>.</w:t>
      </w:r>
    </w:p>
    <w:p w14:paraId="0AB0E28B" w14:textId="77777777" w:rsidR="00994A46" w:rsidRPr="00730830" w:rsidRDefault="00994A46" w:rsidP="00B70D28">
      <w:pPr>
        <w:pStyle w:val="Heading3"/>
      </w:pPr>
      <w:r w:rsidRPr="00730830">
        <w:t>Scope</w:t>
      </w:r>
    </w:p>
    <w:p w14:paraId="3EEFB2C2" w14:textId="77777777" w:rsidR="00994A46" w:rsidRDefault="00994A46" w:rsidP="00B70D28">
      <w:pPr>
        <w:pStyle w:val="Normalfollowingheading"/>
      </w:pPr>
      <w:r w:rsidRPr="00730830">
        <w:t>The guidance is intended for use by emergency care clinicians in Victoria. Table 1 describes the scope of the guidance</w:t>
      </w:r>
      <w:r w:rsidRPr="00994A46">
        <w:t>.</w:t>
      </w:r>
    </w:p>
    <w:p w14:paraId="0CA9822A" w14:textId="2F0C2B57" w:rsidR="00994A46" w:rsidRPr="00730830" w:rsidRDefault="00994A46" w:rsidP="00B70D28">
      <w:pPr>
        <w:pStyle w:val="Caption"/>
      </w:pPr>
      <w:r w:rsidRPr="00730830">
        <w:t xml:space="preserve">Table </w:t>
      </w:r>
      <w:fldSimple w:instr=" SEQ Table \* ARABIC ">
        <w:r w:rsidR="00033994">
          <w:rPr>
            <w:noProof/>
          </w:rPr>
          <w:t>1</w:t>
        </w:r>
      </w:fldSimple>
      <w:r w:rsidR="000F6605">
        <w:t>:</w:t>
      </w:r>
      <w:r w:rsidRPr="00730830">
        <w:t xml:space="preserve"> Scope of the clinical guidance</w:t>
      </w:r>
    </w:p>
    <w:tbl>
      <w:tblPr>
        <w:tblStyle w:val="TableGrid"/>
        <w:tblW w:w="0" w:type="auto"/>
        <w:tblLook w:val="0420" w:firstRow="1" w:lastRow="0" w:firstColumn="0" w:lastColumn="0" w:noHBand="0" w:noVBand="1"/>
      </w:tblPr>
      <w:tblGrid>
        <w:gridCol w:w="5040"/>
        <w:gridCol w:w="5040"/>
      </w:tblGrid>
      <w:tr w:rsidR="00994A46" w:rsidRPr="002D0B04" w14:paraId="4C7F2CA3" w14:textId="77777777" w:rsidTr="00994A46">
        <w:trPr>
          <w:cnfStyle w:val="100000000000" w:firstRow="1" w:lastRow="0" w:firstColumn="0" w:lastColumn="0" w:oddVBand="0" w:evenVBand="0" w:oddHBand="0" w:evenHBand="0" w:firstRowFirstColumn="0" w:firstRowLastColumn="0" w:lastRowFirstColumn="0" w:lastRowLastColumn="0"/>
          <w:tblHeader/>
        </w:trPr>
        <w:tc>
          <w:tcPr>
            <w:tcW w:w="5040" w:type="dxa"/>
          </w:tcPr>
          <w:p w14:paraId="5DF335E3" w14:textId="77777777" w:rsidR="00994A46" w:rsidRPr="002D0B04" w:rsidRDefault="00994A46" w:rsidP="00B70D28">
            <w:pPr>
              <w:pStyle w:val="Tabletext"/>
            </w:pPr>
            <w:r w:rsidRPr="002D0B04">
              <w:t>In scope</w:t>
            </w:r>
          </w:p>
        </w:tc>
        <w:tc>
          <w:tcPr>
            <w:tcW w:w="5040" w:type="dxa"/>
          </w:tcPr>
          <w:p w14:paraId="56671AE2" w14:textId="77777777" w:rsidR="00994A46" w:rsidRPr="002D0B04" w:rsidRDefault="00994A46" w:rsidP="00B70D28">
            <w:pPr>
              <w:pStyle w:val="Tabletext"/>
            </w:pPr>
            <w:r w:rsidRPr="002D0B04">
              <w:t>Out of scope</w:t>
            </w:r>
          </w:p>
        </w:tc>
      </w:tr>
      <w:tr w:rsidR="00994A46" w:rsidRPr="002D0B04" w14:paraId="01CB9C9C" w14:textId="77777777" w:rsidTr="0089550B">
        <w:tc>
          <w:tcPr>
            <w:tcW w:w="5040" w:type="dxa"/>
          </w:tcPr>
          <w:p w14:paraId="45E04F91" w14:textId="77777777" w:rsidR="00994A46" w:rsidRPr="002D0B04" w:rsidRDefault="00994A46" w:rsidP="00B70D28">
            <w:pPr>
              <w:pStyle w:val="Tabletext"/>
            </w:pPr>
            <w:r w:rsidRPr="002D0B04">
              <w:t>Adult patients (16–65 years of age)</w:t>
            </w:r>
          </w:p>
        </w:tc>
        <w:tc>
          <w:tcPr>
            <w:tcW w:w="5040" w:type="dxa"/>
          </w:tcPr>
          <w:p w14:paraId="49594C29" w14:textId="77777777" w:rsidR="00994A46" w:rsidRPr="002D0B04" w:rsidRDefault="00994A46" w:rsidP="00B70D28">
            <w:pPr>
              <w:pStyle w:val="Tabletext"/>
            </w:pPr>
            <w:r w:rsidRPr="002D0B04">
              <w:t>Paediatric patients</w:t>
            </w:r>
          </w:p>
        </w:tc>
      </w:tr>
      <w:tr w:rsidR="00994A46" w:rsidRPr="002D0B04" w14:paraId="1B720D6C" w14:textId="77777777" w:rsidTr="0089550B">
        <w:tc>
          <w:tcPr>
            <w:tcW w:w="5040" w:type="dxa"/>
          </w:tcPr>
          <w:p w14:paraId="7B43CCBB" w14:textId="77777777" w:rsidR="00994A46" w:rsidRPr="002D0B04" w:rsidRDefault="00994A46" w:rsidP="00B70D28">
            <w:pPr>
              <w:pStyle w:val="Tabletext"/>
            </w:pPr>
            <w:r w:rsidRPr="002D0B04">
              <w:t>Urgent care centres</w:t>
            </w:r>
          </w:p>
        </w:tc>
        <w:tc>
          <w:tcPr>
            <w:tcW w:w="5040" w:type="dxa"/>
          </w:tcPr>
          <w:p w14:paraId="73122DC0" w14:textId="77777777" w:rsidR="00994A46" w:rsidRPr="002D0B04" w:rsidRDefault="00994A46" w:rsidP="00B70D28">
            <w:pPr>
              <w:pStyle w:val="Tabletext"/>
            </w:pPr>
            <w:r w:rsidRPr="002D0B04">
              <w:t>Clear organic cause for acute behavioural disturbance (e.g. dementia, delirium, closed head injury)</w:t>
            </w:r>
          </w:p>
        </w:tc>
      </w:tr>
      <w:tr w:rsidR="00994A46" w:rsidRPr="002D0B04" w14:paraId="653790CF" w14:textId="77777777" w:rsidTr="0089550B">
        <w:tc>
          <w:tcPr>
            <w:tcW w:w="5040" w:type="dxa"/>
          </w:tcPr>
          <w:p w14:paraId="0179A6A7" w14:textId="77777777" w:rsidR="00994A46" w:rsidRPr="002D0B04" w:rsidRDefault="00994A46" w:rsidP="00B70D28">
            <w:pPr>
              <w:pStyle w:val="Tabletext"/>
            </w:pPr>
            <w:r w:rsidRPr="002D0B04">
              <w:t>Emergency departments</w:t>
            </w:r>
          </w:p>
        </w:tc>
        <w:tc>
          <w:tcPr>
            <w:tcW w:w="5040" w:type="dxa"/>
          </w:tcPr>
          <w:p w14:paraId="32FB13E9" w14:textId="77777777" w:rsidR="00994A46" w:rsidRPr="002D0B04" w:rsidRDefault="00994A46" w:rsidP="00B70D28">
            <w:pPr>
              <w:pStyle w:val="Tabletext"/>
            </w:pPr>
            <w:r w:rsidRPr="002D0B04">
              <w:t>Care after discharge or transfer from an emergency department or urgent care centre</w:t>
            </w:r>
          </w:p>
        </w:tc>
      </w:tr>
      <w:tr w:rsidR="00994A46" w:rsidRPr="002D0B04" w14:paraId="7E87FB1D" w14:textId="77777777" w:rsidTr="0089550B">
        <w:tc>
          <w:tcPr>
            <w:tcW w:w="5040" w:type="dxa"/>
          </w:tcPr>
          <w:p w14:paraId="1FBB3F43" w14:textId="77777777" w:rsidR="00994A46" w:rsidRPr="002D0B04" w:rsidRDefault="00994A46" w:rsidP="00B70D28">
            <w:pPr>
              <w:pStyle w:val="Tabletext"/>
            </w:pPr>
            <w:r w:rsidRPr="002D0B04">
              <w:t>Transitions of care in and out of emergency departments or urgent care centres</w:t>
            </w:r>
          </w:p>
        </w:tc>
        <w:tc>
          <w:tcPr>
            <w:tcW w:w="5040" w:type="dxa"/>
          </w:tcPr>
          <w:p w14:paraId="6D76B844" w14:textId="77777777" w:rsidR="00994A46" w:rsidRPr="002D0B04" w:rsidRDefault="00994A46" w:rsidP="00B70D28">
            <w:pPr>
              <w:pStyle w:val="Tabletext"/>
            </w:pPr>
            <w:r w:rsidRPr="002D0B04">
              <w:t>Providing clinical guidance to Victoria Police</w:t>
            </w:r>
          </w:p>
        </w:tc>
      </w:tr>
      <w:tr w:rsidR="00994A46" w:rsidRPr="002D0B04" w14:paraId="5C724C95" w14:textId="77777777" w:rsidTr="0089550B">
        <w:tc>
          <w:tcPr>
            <w:tcW w:w="5040" w:type="dxa"/>
            <w:tcBorders>
              <w:bottom w:val="single" w:sz="2" w:space="0" w:color="80808B" w:themeColor="accent5"/>
            </w:tcBorders>
          </w:tcPr>
          <w:p w14:paraId="41B995D3" w14:textId="77777777" w:rsidR="00994A46" w:rsidRPr="002D0B04" w:rsidRDefault="00994A46" w:rsidP="00B70D28">
            <w:pPr>
              <w:pStyle w:val="Tabletext"/>
            </w:pPr>
          </w:p>
        </w:tc>
        <w:tc>
          <w:tcPr>
            <w:tcW w:w="5040" w:type="dxa"/>
            <w:tcBorders>
              <w:bottom w:val="single" w:sz="2" w:space="0" w:color="80808B" w:themeColor="accent5"/>
            </w:tcBorders>
          </w:tcPr>
          <w:p w14:paraId="07B59719" w14:textId="77777777" w:rsidR="00994A46" w:rsidRPr="002D0B04" w:rsidRDefault="00994A46" w:rsidP="00B70D28">
            <w:pPr>
              <w:pStyle w:val="Tabletext"/>
            </w:pPr>
            <w:r w:rsidRPr="002D0B04">
              <w:t>Prehospital care*</w:t>
            </w:r>
          </w:p>
        </w:tc>
      </w:tr>
    </w:tbl>
    <w:p w14:paraId="27F0DA4E" w14:textId="77777777" w:rsidR="00994A46" w:rsidRPr="00730830" w:rsidRDefault="00994A46" w:rsidP="00B70D28">
      <w:pPr>
        <w:pStyle w:val="FootnoteText"/>
      </w:pPr>
      <w:r w:rsidRPr="00730830">
        <w:t>* While out of scope, our guidance may be suitable to adapt.</w:t>
      </w:r>
    </w:p>
    <w:p w14:paraId="5DF3A492" w14:textId="36261AF1" w:rsidR="00994A46" w:rsidRPr="00730830" w:rsidRDefault="00730830" w:rsidP="00B70D28">
      <w:pPr>
        <w:pStyle w:val="Heading2"/>
      </w:pPr>
      <w:bookmarkStart w:id="4" w:name="_Toc35436878"/>
      <w:r w:rsidRPr="00730830">
        <w:t>E</w:t>
      </w:r>
      <w:r w:rsidR="001B3FBC" w:rsidRPr="00730830">
        <w:t xml:space="preserve">xpert </w:t>
      </w:r>
      <w:r w:rsidR="002D0B04">
        <w:t>w</w:t>
      </w:r>
      <w:r w:rsidR="001B3FBC" w:rsidRPr="00730830">
        <w:t xml:space="preserve">orking </w:t>
      </w:r>
      <w:r w:rsidR="002D0B04">
        <w:t>g</w:t>
      </w:r>
      <w:r w:rsidR="001B3FBC" w:rsidRPr="00730830">
        <w:t>roup</w:t>
      </w:r>
      <w:bookmarkEnd w:id="4"/>
    </w:p>
    <w:p w14:paraId="66FD64C1" w14:textId="2D2B2F40" w:rsidR="001B3FBC" w:rsidRPr="00730830" w:rsidRDefault="001B3FBC" w:rsidP="00B70D28">
      <w:pPr>
        <w:pStyle w:val="Normalfollowingheading"/>
      </w:pPr>
      <w:r w:rsidRPr="00730830">
        <w:t xml:space="preserve">We formed a phase two expert working group to develop the clinical guidance. The group, listed in </w:t>
      </w:r>
      <w:r w:rsidR="0054167B">
        <w:br/>
      </w:r>
      <w:r w:rsidRPr="00730830">
        <w:t>Table 2, consisted of three healthcare consumer representatives, 13 clinical experts and two SCV staff members.</w:t>
      </w:r>
    </w:p>
    <w:p w14:paraId="220F39A6" w14:textId="1648F384" w:rsidR="00994A46" w:rsidRPr="00730830" w:rsidRDefault="001B3FBC" w:rsidP="00B70D28">
      <w:r w:rsidRPr="00730830">
        <w:t xml:space="preserve">The </w:t>
      </w:r>
      <w:r w:rsidR="00B45B0C">
        <w:t>Network’s</w:t>
      </w:r>
      <w:r w:rsidRPr="00730830">
        <w:t xml:space="preserve"> Governance Committee appointed the chair of the expert working group, and all other members were selected through an expression of interest process open for three weeks. Applicants were asked to submit one paragraph outlining why they were interested in being involved and any relevant experience or skills. All expressions of interest were reviewed by SCV staff and final membership of the group was endorsed by the working group chair and the </w:t>
      </w:r>
      <w:r w:rsidR="00B45B0C">
        <w:t>Network</w:t>
      </w:r>
      <w:r w:rsidRPr="00730830">
        <w:t xml:space="preserve"> clinical lead.</w:t>
      </w:r>
    </w:p>
    <w:p w14:paraId="3EAC6EE4" w14:textId="77777777" w:rsidR="00B70D28" w:rsidRDefault="00B70D28">
      <w:pPr>
        <w:rPr>
          <w:b/>
          <w:bCs/>
          <w:color w:val="007586" w:themeColor="text2"/>
          <w:szCs w:val="18"/>
        </w:rPr>
      </w:pPr>
      <w:r>
        <w:lastRenderedPageBreak/>
        <w:br w:type="page"/>
      </w:r>
    </w:p>
    <w:p w14:paraId="3D23609C" w14:textId="24E6A09D" w:rsidR="001B3FBC" w:rsidRPr="00730830" w:rsidRDefault="001B3FBC" w:rsidP="00B70D28">
      <w:pPr>
        <w:pStyle w:val="Caption"/>
      </w:pPr>
      <w:r w:rsidRPr="00730830">
        <w:t xml:space="preserve">Table </w:t>
      </w:r>
      <w:fldSimple w:instr=" SEQ Table \* ARABIC ">
        <w:r w:rsidR="00033994">
          <w:rPr>
            <w:noProof/>
          </w:rPr>
          <w:t>2</w:t>
        </w:r>
      </w:fldSimple>
      <w:r w:rsidRPr="00730830">
        <w:rPr>
          <w:noProof/>
        </w:rPr>
        <w:t>:</w:t>
      </w:r>
      <w:r w:rsidRPr="00730830">
        <w:t xml:space="preserve"> Expert working group membership</w:t>
      </w:r>
    </w:p>
    <w:tbl>
      <w:tblPr>
        <w:tblStyle w:val="TableGrid"/>
        <w:tblW w:w="0" w:type="auto"/>
        <w:tblLook w:val="06A0" w:firstRow="1" w:lastRow="0" w:firstColumn="1" w:lastColumn="0" w:noHBand="1" w:noVBand="1"/>
      </w:tblPr>
      <w:tblGrid>
        <w:gridCol w:w="1818"/>
        <w:gridCol w:w="4958"/>
        <w:gridCol w:w="3090"/>
      </w:tblGrid>
      <w:tr w:rsidR="001B3FBC" w:rsidRPr="00B10991" w14:paraId="3536B952" w14:textId="77777777" w:rsidTr="0089550B">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0" w:type="auto"/>
          </w:tcPr>
          <w:p w14:paraId="113E0935" w14:textId="77777777" w:rsidR="001B3FBC" w:rsidRPr="00B10991" w:rsidRDefault="001B3FBC" w:rsidP="00B70D28">
            <w:pPr>
              <w:pStyle w:val="Tabletext"/>
            </w:pPr>
            <w:bookmarkStart w:id="5" w:name="_Hlk29367908"/>
            <w:r w:rsidRPr="00B10991">
              <w:t>Name</w:t>
            </w:r>
          </w:p>
        </w:tc>
        <w:tc>
          <w:tcPr>
            <w:tcW w:w="0" w:type="auto"/>
          </w:tcPr>
          <w:p w14:paraId="13F3E324" w14:textId="77777777" w:rsidR="001B3FBC" w:rsidRPr="00B10991" w:rsidRDefault="001B3FBC" w:rsidP="00B70D28">
            <w:pPr>
              <w:pStyle w:val="Tabletext"/>
              <w:cnfStyle w:val="100000000000" w:firstRow="1" w:lastRow="0" w:firstColumn="0" w:lastColumn="0" w:oddVBand="0" w:evenVBand="0" w:oddHBand="0" w:evenHBand="0" w:firstRowFirstColumn="0" w:firstRowLastColumn="0" w:lastRowFirstColumn="0" w:lastRowLastColumn="0"/>
            </w:pPr>
            <w:r w:rsidRPr="00B10991">
              <w:t>Role</w:t>
            </w:r>
          </w:p>
        </w:tc>
        <w:tc>
          <w:tcPr>
            <w:tcW w:w="0" w:type="auto"/>
          </w:tcPr>
          <w:p w14:paraId="0E5D87FD" w14:textId="77777777" w:rsidR="001B3FBC" w:rsidRPr="00B10991" w:rsidRDefault="001B3FBC" w:rsidP="00B70D28">
            <w:pPr>
              <w:pStyle w:val="Tabletext"/>
              <w:cnfStyle w:val="100000000000" w:firstRow="1" w:lastRow="0" w:firstColumn="0" w:lastColumn="0" w:oddVBand="0" w:evenVBand="0" w:oddHBand="0" w:evenHBand="0" w:firstRowFirstColumn="0" w:firstRowLastColumn="0" w:lastRowFirstColumn="0" w:lastRowLastColumn="0"/>
            </w:pPr>
            <w:r w:rsidRPr="00B10991">
              <w:t>Affiliation</w:t>
            </w:r>
          </w:p>
        </w:tc>
      </w:tr>
      <w:tr w:rsidR="001B3FBC" w:rsidRPr="00B10991" w14:paraId="452F9D83"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0F70526A" w14:textId="77777777" w:rsidR="001B3FBC" w:rsidRPr="00B10991" w:rsidRDefault="001B3FBC" w:rsidP="00B70D28">
            <w:pPr>
              <w:pStyle w:val="Tabletext"/>
            </w:pPr>
            <w:r w:rsidRPr="00B10991">
              <w:t>Thomas Chan (chair)</w:t>
            </w:r>
          </w:p>
        </w:tc>
        <w:tc>
          <w:tcPr>
            <w:tcW w:w="0" w:type="auto"/>
          </w:tcPr>
          <w:p w14:paraId="631654E4"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Emergency Physician</w:t>
            </w:r>
            <w:r w:rsidRPr="00B10991">
              <w:br/>
              <w:t>Director of Emergency Department</w:t>
            </w:r>
          </w:p>
        </w:tc>
        <w:tc>
          <w:tcPr>
            <w:tcW w:w="0" w:type="auto"/>
          </w:tcPr>
          <w:p w14:paraId="6AC3AB5B"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Austin Health</w:t>
            </w:r>
          </w:p>
          <w:p w14:paraId="6F91BDEA" w14:textId="77777777" w:rsidR="001B3FBC" w:rsidRPr="00B10991" w:rsidRDefault="001B3FBC" w:rsidP="00B70D28">
            <w:pPr>
              <w:cnfStyle w:val="000000000000" w:firstRow="0" w:lastRow="0" w:firstColumn="0" w:lastColumn="0" w:oddVBand="0" w:evenVBand="0" w:oddHBand="0" w:evenHBand="0" w:firstRowFirstColumn="0" w:firstRowLastColumn="0" w:lastRowFirstColumn="0" w:lastRowLastColumn="0"/>
            </w:pPr>
          </w:p>
        </w:tc>
      </w:tr>
      <w:tr w:rsidR="001B3FBC" w:rsidRPr="00B10991" w14:paraId="5754D875"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4EBA8CD2" w14:textId="77777777" w:rsidR="001B3FBC" w:rsidRPr="00B10991" w:rsidRDefault="001B3FBC" w:rsidP="00B70D28">
            <w:pPr>
              <w:pStyle w:val="Tabletext"/>
            </w:pPr>
            <w:r w:rsidRPr="00B10991">
              <w:t>Kristy Austin</w:t>
            </w:r>
          </w:p>
        </w:tc>
        <w:tc>
          <w:tcPr>
            <w:tcW w:w="0" w:type="auto"/>
          </w:tcPr>
          <w:p w14:paraId="65B93325"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National Standards Accreditation Lead</w:t>
            </w:r>
          </w:p>
        </w:tc>
        <w:tc>
          <w:tcPr>
            <w:tcW w:w="0" w:type="auto"/>
          </w:tcPr>
          <w:p w14:paraId="0CEC1100"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Ambulance Victoria</w:t>
            </w:r>
          </w:p>
        </w:tc>
      </w:tr>
      <w:tr w:rsidR="001B3FBC" w:rsidRPr="00B10991" w14:paraId="15CE640B"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6D00E7D4" w14:textId="77777777" w:rsidR="001B3FBC" w:rsidRPr="00B10991" w:rsidRDefault="001B3FBC" w:rsidP="00B70D28">
            <w:pPr>
              <w:pStyle w:val="Tabletext"/>
            </w:pPr>
            <w:r w:rsidRPr="00B10991">
              <w:t>Shaun Baxter</w:t>
            </w:r>
          </w:p>
        </w:tc>
        <w:tc>
          <w:tcPr>
            <w:tcW w:w="0" w:type="auto"/>
          </w:tcPr>
          <w:p w14:paraId="56CA9C5C"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Emergency Physician</w:t>
            </w:r>
          </w:p>
          <w:p w14:paraId="35DD6870"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Retrieval Physician</w:t>
            </w:r>
          </w:p>
        </w:tc>
        <w:tc>
          <w:tcPr>
            <w:tcW w:w="0" w:type="auto"/>
          </w:tcPr>
          <w:p w14:paraId="09FC6390"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Alfred Health</w:t>
            </w:r>
          </w:p>
          <w:p w14:paraId="32843ABE"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Adult Retrieval Victoria</w:t>
            </w:r>
          </w:p>
        </w:tc>
      </w:tr>
      <w:tr w:rsidR="001B3FBC" w:rsidRPr="00B10991" w14:paraId="71A05110"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29E0A562" w14:textId="77777777" w:rsidR="001B3FBC" w:rsidRPr="00B10991" w:rsidRDefault="001B3FBC" w:rsidP="00B70D28">
            <w:pPr>
              <w:pStyle w:val="Tabletext"/>
            </w:pPr>
            <w:r w:rsidRPr="00B10991">
              <w:t xml:space="preserve">Scott </w:t>
            </w:r>
            <w:proofErr w:type="spellStart"/>
            <w:r w:rsidRPr="00B10991">
              <w:t>Bennetts</w:t>
            </w:r>
            <w:proofErr w:type="spellEnd"/>
          </w:p>
        </w:tc>
        <w:tc>
          <w:tcPr>
            <w:tcW w:w="0" w:type="auto"/>
          </w:tcPr>
          <w:p w14:paraId="2A355A99"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Manager, Clinical Practice Guidelines</w:t>
            </w:r>
          </w:p>
        </w:tc>
        <w:tc>
          <w:tcPr>
            <w:tcW w:w="0" w:type="auto"/>
          </w:tcPr>
          <w:p w14:paraId="5BE169AF"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Ambulance Victoria</w:t>
            </w:r>
          </w:p>
        </w:tc>
      </w:tr>
      <w:tr w:rsidR="001B3FBC" w:rsidRPr="00B10991" w14:paraId="00103588"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2E52C1A2" w14:textId="77777777" w:rsidR="001B3FBC" w:rsidRPr="00B10991" w:rsidRDefault="001B3FBC" w:rsidP="00B70D28">
            <w:pPr>
              <w:pStyle w:val="Tabletext"/>
            </w:pPr>
            <w:r w:rsidRPr="00B10991">
              <w:t>Simon Craig</w:t>
            </w:r>
          </w:p>
        </w:tc>
        <w:tc>
          <w:tcPr>
            <w:tcW w:w="0" w:type="auto"/>
          </w:tcPr>
          <w:p w14:paraId="37DB3034"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Emergency Physician</w:t>
            </w:r>
          </w:p>
        </w:tc>
        <w:tc>
          <w:tcPr>
            <w:tcW w:w="0" w:type="auto"/>
          </w:tcPr>
          <w:p w14:paraId="6ED51840"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Monash Health</w:t>
            </w:r>
          </w:p>
        </w:tc>
      </w:tr>
      <w:tr w:rsidR="001B3FBC" w:rsidRPr="00B10991" w14:paraId="5611F37E"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08E253A3" w14:textId="77777777" w:rsidR="001B3FBC" w:rsidRPr="00B10991" w:rsidRDefault="001B3FBC" w:rsidP="00B70D28">
            <w:pPr>
              <w:pStyle w:val="Tabletext"/>
            </w:pPr>
            <w:r w:rsidRPr="00B10991">
              <w:t>Sim Crawford</w:t>
            </w:r>
          </w:p>
        </w:tc>
        <w:tc>
          <w:tcPr>
            <w:tcW w:w="0" w:type="auto"/>
          </w:tcPr>
          <w:p w14:paraId="6DAF54A7"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Consumer representative</w:t>
            </w:r>
          </w:p>
        </w:tc>
        <w:tc>
          <w:tcPr>
            <w:tcW w:w="0" w:type="auto"/>
          </w:tcPr>
          <w:p w14:paraId="7A4F7A40"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Community</w:t>
            </w:r>
          </w:p>
        </w:tc>
      </w:tr>
      <w:tr w:rsidR="001B3FBC" w:rsidRPr="00B10991" w14:paraId="5DDE9E0C"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09B70790" w14:textId="77777777" w:rsidR="001B3FBC" w:rsidRPr="00B10991" w:rsidRDefault="001B3FBC" w:rsidP="00B70D28">
            <w:pPr>
              <w:pStyle w:val="Tabletext"/>
            </w:pPr>
            <w:r w:rsidRPr="00B10991">
              <w:t>Jo Colvin</w:t>
            </w:r>
          </w:p>
        </w:tc>
        <w:tc>
          <w:tcPr>
            <w:tcW w:w="0" w:type="auto"/>
          </w:tcPr>
          <w:p w14:paraId="4DA9CA2C"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 xml:space="preserve">Emergency Department Alcohol and </w:t>
            </w:r>
            <w:proofErr w:type="gramStart"/>
            <w:r w:rsidRPr="00B10991">
              <w:t>Other</w:t>
            </w:r>
            <w:proofErr w:type="gramEnd"/>
            <w:r w:rsidRPr="00B10991">
              <w:t xml:space="preserve"> Drug Nurse Practitioner</w:t>
            </w:r>
          </w:p>
        </w:tc>
        <w:tc>
          <w:tcPr>
            <w:tcW w:w="0" w:type="auto"/>
          </w:tcPr>
          <w:p w14:paraId="05BDCFEE"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Latrobe Regional Hospital</w:t>
            </w:r>
          </w:p>
        </w:tc>
      </w:tr>
      <w:tr w:rsidR="001B3FBC" w:rsidRPr="00B10991" w14:paraId="5C318AC9"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4062223A" w14:textId="77777777" w:rsidR="001B3FBC" w:rsidRPr="00B10991" w:rsidRDefault="001B3FBC" w:rsidP="00B70D28">
            <w:pPr>
              <w:pStyle w:val="Tabletext"/>
            </w:pPr>
            <w:r w:rsidRPr="00B10991">
              <w:t>Dan Crompton</w:t>
            </w:r>
          </w:p>
        </w:tc>
        <w:tc>
          <w:tcPr>
            <w:tcW w:w="0" w:type="auto"/>
          </w:tcPr>
          <w:p w14:paraId="0FC7EC2E"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Emergency Physician</w:t>
            </w:r>
            <w:r w:rsidRPr="00B10991">
              <w:br/>
              <w:t>Director of Emergency Services</w:t>
            </w:r>
          </w:p>
          <w:p w14:paraId="03BC63C7"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Retrieval Physician</w:t>
            </w:r>
            <w:r w:rsidRPr="00B10991">
              <w:br/>
              <w:t>Director of Education and Training</w:t>
            </w:r>
          </w:p>
        </w:tc>
        <w:tc>
          <w:tcPr>
            <w:tcW w:w="0" w:type="auto"/>
          </w:tcPr>
          <w:p w14:paraId="6D4C6C35" w14:textId="2E4DD269"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 xml:space="preserve">Bass Coast Health (Wonthaggi </w:t>
            </w:r>
            <w:r w:rsidR="0054167B">
              <w:t>H</w:t>
            </w:r>
            <w:r w:rsidRPr="00B10991">
              <w:t>ospital)</w:t>
            </w:r>
          </w:p>
          <w:p w14:paraId="27E01FD2"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br/>
              <w:t>Adult Retrieval Victoria</w:t>
            </w:r>
          </w:p>
        </w:tc>
      </w:tr>
      <w:tr w:rsidR="001B3FBC" w:rsidRPr="00B10991" w14:paraId="11BE1C97"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73A63681" w14:textId="77777777" w:rsidR="001B3FBC" w:rsidRPr="00B10991" w:rsidRDefault="001B3FBC" w:rsidP="00B70D28">
            <w:pPr>
              <w:pStyle w:val="Tabletext"/>
            </w:pPr>
            <w:r w:rsidRPr="00B10991">
              <w:t>John Cunning</w:t>
            </w:r>
          </w:p>
        </w:tc>
        <w:tc>
          <w:tcPr>
            <w:tcW w:w="0" w:type="auto"/>
          </w:tcPr>
          <w:p w14:paraId="4A85EBDF"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Clinical Nurse Specialist (Psychiatry)</w:t>
            </w:r>
            <w:r w:rsidRPr="00B10991">
              <w:br/>
              <w:t>Associate Director of Nursing</w:t>
            </w:r>
          </w:p>
        </w:tc>
        <w:tc>
          <w:tcPr>
            <w:tcW w:w="0" w:type="auto"/>
          </w:tcPr>
          <w:p w14:paraId="0EB6B157"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Benalla Health</w:t>
            </w:r>
          </w:p>
        </w:tc>
      </w:tr>
      <w:tr w:rsidR="001B3FBC" w:rsidRPr="00B10991" w14:paraId="09817A73"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455B995B" w14:textId="77777777" w:rsidR="001B3FBC" w:rsidRPr="00B10991" w:rsidRDefault="001B3FBC" w:rsidP="00B70D28">
            <w:pPr>
              <w:pStyle w:val="Tabletext"/>
            </w:pPr>
            <w:r w:rsidRPr="00B10991">
              <w:t>Cathy Daniel</w:t>
            </w:r>
          </w:p>
        </w:tc>
        <w:tc>
          <w:tcPr>
            <w:tcW w:w="0" w:type="auto"/>
          </w:tcPr>
          <w:p w14:paraId="6617235B"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Consultation Liaison Nurse</w:t>
            </w:r>
          </w:p>
          <w:p w14:paraId="20B43819"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Coordinator of Postgraduate Mental Health Nursing</w:t>
            </w:r>
          </w:p>
        </w:tc>
        <w:tc>
          <w:tcPr>
            <w:tcW w:w="0" w:type="auto"/>
          </w:tcPr>
          <w:p w14:paraId="3CD8C8FC"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Royal Melbourne Hospital</w:t>
            </w:r>
          </w:p>
          <w:p w14:paraId="63A34456"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University of Melbourne</w:t>
            </w:r>
          </w:p>
        </w:tc>
      </w:tr>
      <w:tr w:rsidR="001B3FBC" w:rsidRPr="00B10991" w14:paraId="592A3D0A"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47435423" w14:textId="77777777" w:rsidR="001B3FBC" w:rsidRPr="00B10991" w:rsidRDefault="001B3FBC" w:rsidP="00B70D28">
            <w:pPr>
              <w:pStyle w:val="Tabletext"/>
            </w:pPr>
            <w:r w:rsidRPr="00B10991">
              <w:t>Claire Doherty</w:t>
            </w:r>
          </w:p>
        </w:tc>
        <w:tc>
          <w:tcPr>
            <w:tcW w:w="0" w:type="auto"/>
          </w:tcPr>
          <w:p w14:paraId="7CFF8BB1"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Project Lead, Emergency Care Clinical Network</w:t>
            </w:r>
          </w:p>
        </w:tc>
        <w:tc>
          <w:tcPr>
            <w:tcW w:w="0" w:type="auto"/>
          </w:tcPr>
          <w:p w14:paraId="729F025A"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Safer Care Victoria</w:t>
            </w:r>
          </w:p>
        </w:tc>
      </w:tr>
      <w:tr w:rsidR="001B3FBC" w:rsidRPr="00B10991" w14:paraId="6A72F6EE"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44749CB2" w14:textId="77777777" w:rsidR="001B3FBC" w:rsidRPr="00B10991" w:rsidRDefault="001B3FBC" w:rsidP="00B70D28">
            <w:pPr>
              <w:pStyle w:val="Tabletext"/>
            </w:pPr>
            <w:r w:rsidRPr="00B10991">
              <w:t xml:space="preserve">Daniel </w:t>
            </w:r>
            <w:proofErr w:type="spellStart"/>
            <w:r w:rsidRPr="00B10991">
              <w:t>Eltringham</w:t>
            </w:r>
            <w:proofErr w:type="spellEnd"/>
          </w:p>
        </w:tc>
        <w:tc>
          <w:tcPr>
            <w:tcW w:w="0" w:type="auto"/>
          </w:tcPr>
          <w:p w14:paraId="48AC405D"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Emergency Department Drug and Alcohol Care Coordinator</w:t>
            </w:r>
          </w:p>
        </w:tc>
        <w:tc>
          <w:tcPr>
            <w:tcW w:w="0" w:type="auto"/>
          </w:tcPr>
          <w:p w14:paraId="132E189D"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Bendigo Health</w:t>
            </w:r>
          </w:p>
        </w:tc>
      </w:tr>
      <w:tr w:rsidR="001B3FBC" w:rsidRPr="00B10991" w14:paraId="28B0A36B"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5777F5A1" w14:textId="77777777" w:rsidR="001B3FBC" w:rsidRPr="00B10991" w:rsidRDefault="001B3FBC" w:rsidP="00B70D28">
            <w:pPr>
              <w:pStyle w:val="Tabletext"/>
            </w:pPr>
            <w:r w:rsidRPr="00B10991">
              <w:t xml:space="preserve">Liz </w:t>
            </w:r>
            <w:proofErr w:type="spellStart"/>
            <w:r w:rsidRPr="00B10991">
              <w:t>Flemming</w:t>
            </w:r>
            <w:proofErr w:type="spellEnd"/>
            <w:r w:rsidRPr="00B10991">
              <w:t>-Judge</w:t>
            </w:r>
          </w:p>
        </w:tc>
        <w:tc>
          <w:tcPr>
            <w:tcW w:w="0" w:type="auto"/>
          </w:tcPr>
          <w:p w14:paraId="30171448"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Consumer representative</w:t>
            </w:r>
          </w:p>
        </w:tc>
        <w:tc>
          <w:tcPr>
            <w:tcW w:w="0" w:type="auto"/>
          </w:tcPr>
          <w:p w14:paraId="0071CC20"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Community</w:t>
            </w:r>
          </w:p>
        </w:tc>
      </w:tr>
      <w:tr w:rsidR="001B3FBC" w:rsidRPr="00B10991" w14:paraId="46204523"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1B7A17C4" w14:textId="77777777" w:rsidR="001B3FBC" w:rsidRPr="00B10991" w:rsidRDefault="001B3FBC" w:rsidP="00B70D28">
            <w:pPr>
              <w:pStyle w:val="Tabletext"/>
            </w:pPr>
            <w:r w:rsidRPr="00B10991">
              <w:t>James Fowler</w:t>
            </w:r>
          </w:p>
        </w:tc>
        <w:tc>
          <w:tcPr>
            <w:tcW w:w="0" w:type="auto"/>
          </w:tcPr>
          <w:p w14:paraId="35EE7BA7"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Clinical Fellow, Emergency Care Clinical Network</w:t>
            </w:r>
          </w:p>
        </w:tc>
        <w:tc>
          <w:tcPr>
            <w:tcW w:w="0" w:type="auto"/>
          </w:tcPr>
          <w:p w14:paraId="190A95C4"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Safer Care Victoria</w:t>
            </w:r>
          </w:p>
        </w:tc>
      </w:tr>
      <w:tr w:rsidR="001B3FBC" w:rsidRPr="00B10991" w14:paraId="7A8D86CD"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5F092DC0" w14:textId="77777777" w:rsidR="001B3FBC" w:rsidRPr="00B10991" w:rsidRDefault="001B3FBC" w:rsidP="00B70D28">
            <w:pPr>
              <w:pStyle w:val="Tabletext"/>
            </w:pPr>
            <w:r w:rsidRPr="00B10991">
              <w:t>Kate James</w:t>
            </w:r>
          </w:p>
        </w:tc>
        <w:tc>
          <w:tcPr>
            <w:tcW w:w="0" w:type="auto"/>
          </w:tcPr>
          <w:p w14:paraId="7E2CF703"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Emergency Department Clinical Nurse Specialist</w:t>
            </w:r>
          </w:p>
        </w:tc>
        <w:tc>
          <w:tcPr>
            <w:tcW w:w="0" w:type="auto"/>
          </w:tcPr>
          <w:p w14:paraId="1E0D2D3F" w14:textId="0B35FA89"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Werribee Mercy</w:t>
            </w:r>
            <w:r w:rsidR="00B45B0C">
              <w:t xml:space="preserve"> Hospital</w:t>
            </w:r>
          </w:p>
        </w:tc>
      </w:tr>
      <w:tr w:rsidR="001B3FBC" w:rsidRPr="00B10991" w14:paraId="7092131D"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22795A2A" w14:textId="77777777" w:rsidR="001B3FBC" w:rsidRPr="00B10991" w:rsidRDefault="001B3FBC" w:rsidP="00B70D28">
            <w:pPr>
              <w:pStyle w:val="Tabletext"/>
            </w:pPr>
            <w:r w:rsidRPr="00B10991">
              <w:t>Cristina Roman</w:t>
            </w:r>
          </w:p>
        </w:tc>
        <w:tc>
          <w:tcPr>
            <w:tcW w:w="0" w:type="auto"/>
          </w:tcPr>
          <w:p w14:paraId="2484C21E"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Emergency Department Pharmacist</w:t>
            </w:r>
          </w:p>
        </w:tc>
        <w:tc>
          <w:tcPr>
            <w:tcW w:w="0" w:type="auto"/>
          </w:tcPr>
          <w:p w14:paraId="1417CFF8"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Alfred Health</w:t>
            </w:r>
          </w:p>
        </w:tc>
      </w:tr>
      <w:tr w:rsidR="001B3FBC" w:rsidRPr="00B10991" w14:paraId="38DB2E97"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2EF43E51" w14:textId="77777777" w:rsidR="001B3FBC" w:rsidRPr="00B10991" w:rsidRDefault="001B3FBC" w:rsidP="00B70D28">
            <w:pPr>
              <w:pStyle w:val="Tabletext"/>
            </w:pPr>
            <w:r w:rsidRPr="00B10991">
              <w:t>Frances Sanders</w:t>
            </w:r>
          </w:p>
        </w:tc>
        <w:tc>
          <w:tcPr>
            <w:tcW w:w="0" w:type="auto"/>
          </w:tcPr>
          <w:p w14:paraId="6B0769C9"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Consumer representative</w:t>
            </w:r>
          </w:p>
        </w:tc>
        <w:tc>
          <w:tcPr>
            <w:tcW w:w="0" w:type="auto"/>
          </w:tcPr>
          <w:p w14:paraId="16724559"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Community</w:t>
            </w:r>
          </w:p>
        </w:tc>
      </w:tr>
      <w:tr w:rsidR="001B3FBC" w:rsidRPr="00B10991" w14:paraId="323C941C" w14:textId="77777777" w:rsidTr="0089550B">
        <w:trPr>
          <w:trHeight w:val="465"/>
        </w:trPr>
        <w:tc>
          <w:tcPr>
            <w:cnfStyle w:val="001000000000" w:firstRow="0" w:lastRow="0" w:firstColumn="1" w:lastColumn="0" w:oddVBand="0" w:evenVBand="0" w:oddHBand="0" w:evenHBand="0" w:firstRowFirstColumn="0" w:firstRowLastColumn="0" w:lastRowFirstColumn="0" w:lastRowLastColumn="0"/>
            <w:tcW w:w="0" w:type="auto"/>
          </w:tcPr>
          <w:p w14:paraId="4B9726BB" w14:textId="77777777" w:rsidR="001B3FBC" w:rsidRPr="00B10991" w:rsidRDefault="001B3FBC" w:rsidP="00B70D28">
            <w:pPr>
              <w:pStyle w:val="Tabletext"/>
            </w:pPr>
            <w:r w:rsidRPr="00B10991">
              <w:t>Penny Whelan</w:t>
            </w:r>
          </w:p>
        </w:tc>
        <w:tc>
          <w:tcPr>
            <w:tcW w:w="0" w:type="auto"/>
          </w:tcPr>
          <w:p w14:paraId="00B59F8A"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Emergency Department Nurse Unit Manager</w:t>
            </w:r>
          </w:p>
        </w:tc>
        <w:tc>
          <w:tcPr>
            <w:tcW w:w="0" w:type="auto"/>
          </w:tcPr>
          <w:p w14:paraId="52B62F2C" w14:textId="77777777" w:rsidR="001B3FBC" w:rsidRPr="00B10991"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B10991">
              <w:t>Goulburn Valley Health</w:t>
            </w:r>
          </w:p>
        </w:tc>
      </w:tr>
      <w:bookmarkEnd w:id="5"/>
    </w:tbl>
    <w:p w14:paraId="0B87D6FE" w14:textId="77777777" w:rsidR="00B70D28" w:rsidRDefault="00B70D28" w:rsidP="00B70D28">
      <w:pPr>
        <w:pStyle w:val="Heading3"/>
      </w:pPr>
    </w:p>
    <w:p w14:paraId="083C9CE3" w14:textId="77777777" w:rsidR="00B70D28" w:rsidRDefault="00B70D28">
      <w:pPr>
        <w:rPr>
          <w:rFonts w:asciiTheme="majorHAnsi" w:eastAsiaTheme="majorEastAsia" w:hAnsiTheme="majorHAnsi" w:cstheme="majorBidi"/>
          <w:b/>
          <w:bCs/>
          <w:color w:val="000000" w:themeColor="text1"/>
          <w:sz w:val="24"/>
          <w:szCs w:val="22"/>
        </w:rPr>
      </w:pPr>
      <w:r>
        <w:br w:type="page"/>
      </w:r>
    </w:p>
    <w:p w14:paraId="590AD568" w14:textId="754F8F62" w:rsidR="001B3FBC" w:rsidRPr="00730830" w:rsidRDefault="001B3FBC" w:rsidP="00B70D28">
      <w:pPr>
        <w:pStyle w:val="Heading3"/>
      </w:pPr>
      <w:r w:rsidRPr="00730830">
        <w:t>Healthcare consumer involvement</w:t>
      </w:r>
    </w:p>
    <w:p w14:paraId="0FA9CB74" w14:textId="77777777" w:rsidR="001B3FBC" w:rsidRPr="00730830" w:rsidRDefault="001B3FBC" w:rsidP="00B70D28">
      <w:pPr>
        <w:pStyle w:val="Normalfollowingheading"/>
      </w:pPr>
      <w:r w:rsidRPr="00730830">
        <w:t xml:space="preserve">Healthcare consumers are people, families and carers who are current or potential users of health services. All consumers included in our group have lived experience of behaviours of concern in emergency care settings. </w:t>
      </w:r>
    </w:p>
    <w:p w14:paraId="7FEEDE5A" w14:textId="42F62866" w:rsidR="001B3FBC" w:rsidRPr="00730830" w:rsidRDefault="001B3FBC" w:rsidP="00B70D28">
      <w:pPr>
        <w:pStyle w:val="Normalfollowingheading"/>
      </w:pPr>
      <w:r w:rsidRPr="00730830">
        <w:t xml:space="preserve">All consumers were offered orientation to SCV and the </w:t>
      </w:r>
      <w:r w:rsidR="00B45B0C">
        <w:t xml:space="preserve">Network </w:t>
      </w:r>
      <w:r w:rsidRPr="00730830">
        <w:t xml:space="preserve">and were reimbursed for their time and travel expenses. To support safe participation, consumers were given access to the Department of Health and Human Services </w:t>
      </w:r>
      <w:r w:rsidR="00B45B0C">
        <w:t xml:space="preserve">(DHHS) </w:t>
      </w:r>
      <w:r w:rsidRPr="00730830">
        <w:t>employee assistance program. Consumers were also offered the opportunity to debrief with SCV staff and the working group chair after every meeting.</w:t>
      </w:r>
    </w:p>
    <w:p w14:paraId="09D53243" w14:textId="77777777" w:rsidR="001B3FBC" w:rsidRPr="00730830" w:rsidRDefault="001B3FBC" w:rsidP="00B70D28">
      <w:pPr>
        <w:pStyle w:val="Heading3"/>
      </w:pPr>
      <w:r w:rsidRPr="00730830">
        <w:t>Conflicts of interest</w:t>
      </w:r>
    </w:p>
    <w:p w14:paraId="52F5E8B7" w14:textId="77777777" w:rsidR="001B3FBC" w:rsidRPr="00730830" w:rsidRDefault="001B3FBC" w:rsidP="00B70D28">
      <w:pPr>
        <w:pStyle w:val="Normalfollowingheading"/>
      </w:pPr>
      <w:r w:rsidRPr="00730830">
        <w:t>Expert working group members were required to declare any conflicts of interest in a formal declaration when joining the group. No relevant conflicts were identified.</w:t>
      </w:r>
    </w:p>
    <w:p w14:paraId="3EED8D0C" w14:textId="77777777" w:rsidR="001B3FBC" w:rsidRPr="00730830" w:rsidRDefault="00730830" w:rsidP="00B70D28">
      <w:pPr>
        <w:pStyle w:val="Heading2"/>
      </w:pPr>
      <w:bookmarkStart w:id="6" w:name="_Toc35436879"/>
      <w:r w:rsidRPr="00730830">
        <w:t>M</w:t>
      </w:r>
      <w:r w:rsidR="001B3FBC" w:rsidRPr="00730830">
        <w:t>ethodology to produce the guidance</w:t>
      </w:r>
      <w:bookmarkEnd w:id="6"/>
    </w:p>
    <w:p w14:paraId="3A48D3A9" w14:textId="77777777" w:rsidR="001B3FBC" w:rsidRPr="00730830" w:rsidRDefault="001B3FBC" w:rsidP="00B70D28">
      <w:pPr>
        <w:pStyle w:val="Heading3"/>
      </w:pPr>
      <w:r w:rsidRPr="00730830">
        <w:t>Production timeline</w:t>
      </w:r>
    </w:p>
    <w:p w14:paraId="16ECCD1E" w14:textId="2D5953F1" w:rsidR="001B3FBC" w:rsidRPr="00730830" w:rsidRDefault="001B3FBC" w:rsidP="00B70D28">
      <w:pPr>
        <w:pStyle w:val="Normalfollowingheading"/>
      </w:pPr>
      <w:r w:rsidRPr="00730830">
        <w:t>May 2019–April 2020</w:t>
      </w:r>
      <w:r w:rsidR="00C86373">
        <w:t>.</w:t>
      </w:r>
    </w:p>
    <w:p w14:paraId="1585BFC2" w14:textId="77777777" w:rsidR="001B3FBC" w:rsidRPr="00730830" w:rsidRDefault="001B3FBC" w:rsidP="00B70D28">
      <w:pPr>
        <w:pStyle w:val="Heading3"/>
      </w:pPr>
      <w:r w:rsidRPr="00730830">
        <w:t>Decision to endorse, adapt or develop</w:t>
      </w:r>
    </w:p>
    <w:p w14:paraId="471A305F" w14:textId="41C5AFB4" w:rsidR="001B3FBC" w:rsidRPr="00B70D28" w:rsidRDefault="001B3FBC" w:rsidP="00B70D28">
      <w:pPr>
        <w:pStyle w:val="Normalfollowingheading"/>
      </w:pPr>
      <w:r w:rsidRPr="00B70D28">
        <w:t xml:space="preserve">In line with SCV’s </w:t>
      </w:r>
      <w:hyperlink r:id="rId24" w:history="1">
        <w:r w:rsidRPr="00B70D28">
          <w:rPr>
            <w:rStyle w:val="Hyperlink"/>
            <w:color w:val="007586" w:themeColor="text2"/>
            <w:u w:val="single"/>
          </w:rPr>
          <w:t>evidence-based guidance strategy</w:t>
        </w:r>
      </w:hyperlink>
      <w:r w:rsidR="00D50EAC" w:rsidRPr="00B70D28">
        <w:t xml:space="preserve">, </w:t>
      </w:r>
      <w:r w:rsidRPr="00B70D28">
        <w:t>we evaluated existing guidance relating to people displaying acute behavioural disturbance for applicability and methodological rigour. Shortlisted guidance was evaluated by at least two expert working group members. High-scoring guidance was evaluated by at least three members, including one consumer representative.</w:t>
      </w:r>
    </w:p>
    <w:p w14:paraId="52BE7D82" w14:textId="4ED93B11" w:rsidR="001B3FBC" w:rsidRPr="00730830" w:rsidRDefault="001B3FBC" w:rsidP="00B70D28">
      <w:r w:rsidRPr="00730830">
        <w:t xml:space="preserve">After evaluation we decided to adapt, with permission, the Alfred Health </w:t>
      </w:r>
      <w:r w:rsidR="008C3EAE">
        <w:t>‘</w:t>
      </w:r>
      <w:r w:rsidRPr="008C3EAE">
        <w:rPr>
          <w:iCs/>
        </w:rPr>
        <w:t xml:space="preserve">Physical and mechanical restraint: assessment and application </w:t>
      </w:r>
      <w:r w:rsidRPr="00730830">
        <w:t>guideline</w:t>
      </w:r>
      <w:r w:rsidR="008C3EAE">
        <w:t>’</w:t>
      </w:r>
      <w:r w:rsidRPr="00730830">
        <w:t xml:space="preserve"> for our ‘</w:t>
      </w:r>
      <w:r w:rsidR="00B8066E">
        <w:t>P</w:t>
      </w:r>
      <w:r w:rsidRPr="00730830">
        <w:t>hysical and mechanical restraint and ongoing care while restrained’ section only.</w:t>
      </w:r>
    </w:p>
    <w:p w14:paraId="70E1CBA0" w14:textId="77777777" w:rsidR="001B3FBC" w:rsidRPr="00730830" w:rsidRDefault="001B3FBC" w:rsidP="00B70D28">
      <w:pPr>
        <w:pStyle w:val="Heading3"/>
      </w:pPr>
      <w:r w:rsidRPr="00730830">
        <w:t>Search method to review the evidence</w:t>
      </w:r>
    </w:p>
    <w:p w14:paraId="214DAC71" w14:textId="77777777" w:rsidR="001B3FBC" w:rsidRPr="00730830" w:rsidRDefault="001B3FBC" w:rsidP="00B70D28">
      <w:pPr>
        <w:pStyle w:val="Normalfollowingheading"/>
      </w:pPr>
      <w:r w:rsidRPr="00730830">
        <w:t>We developed the guidance using a basic search strategy involving both a formal and informal approach. Evidence sources included academic literature, legislation, government documents and grey literature.</w:t>
      </w:r>
    </w:p>
    <w:p w14:paraId="3BDD3382" w14:textId="77777777" w:rsidR="001B3FBC" w:rsidRPr="00730830" w:rsidRDefault="001B3FBC" w:rsidP="00B70D28">
      <w:pPr>
        <w:pStyle w:val="Heading4"/>
      </w:pPr>
      <w:r w:rsidRPr="00730830">
        <w:lastRenderedPageBreak/>
        <w:t>Databases searched</w:t>
      </w:r>
    </w:p>
    <w:p w14:paraId="300DCE81" w14:textId="5D153A3C" w:rsidR="001B3FBC" w:rsidRPr="00B70D28" w:rsidRDefault="001B3FBC" w:rsidP="00B70D28">
      <w:pPr>
        <w:pStyle w:val="Bullet1"/>
      </w:pPr>
      <w:proofErr w:type="spellStart"/>
      <w:r w:rsidRPr="00B70D28">
        <w:t>EbscoHost</w:t>
      </w:r>
      <w:proofErr w:type="spellEnd"/>
      <w:r w:rsidRPr="00B70D28">
        <w:t xml:space="preserve">: Academic Search Complete; Psych </w:t>
      </w:r>
      <w:r w:rsidR="00675E9B" w:rsidRPr="00B70D28">
        <w:t>and</w:t>
      </w:r>
      <w:r w:rsidRPr="00B70D28">
        <w:t xml:space="preserve"> </w:t>
      </w:r>
      <w:proofErr w:type="spellStart"/>
      <w:r w:rsidRPr="00B70D28">
        <w:t>Behavioral</w:t>
      </w:r>
      <w:proofErr w:type="spellEnd"/>
      <w:r w:rsidRPr="00B70D28">
        <w:t xml:space="preserve"> Science Collection; </w:t>
      </w:r>
      <w:proofErr w:type="spellStart"/>
      <w:r w:rsidRPr="00B70D28">
        <w:t>SocIndex</w:t>
      </w:r>
      <w:proofErr w:type="spellEnd"/>
    </w:p>
    <w:p w14:paraId="1CB80142" w14:textId="77777777" w:rsidR="001B3FBC" w:rsidRPr="00B70D28" w:rsidRDefault="001B3FBC" w:rsidP="00B70D28">
      <w:pPr>
        <w:pStyle w:val="Bullet1"/>
      </w:pPr>
      <w:r w:rsidRPr="00B70D28">
        <w:t xml:space="preserve">OVID: MEDLINE; </w:t>
      </w:r>
      <w:proofErr w:type="spellStart"/>
      <w:r w:rsidRPr="00B70D28">
        <w:t>PsychInfo</w:t>
      </w:r>
      <w:proofErr w:type="spellEnd"/>
    </w:p>
    <w:p w14:paraId="5A150503" w14:textId="77777777" w:rsidR="001B3FBC" w:rsidRPr="00B70D28" w:rsidRDefault="001B3FBC" w:rsidP="00B70D28">
      <w:pPr>
        <w:pStyle w:val="Bullet1"/>
      </w:pPr>
      <w:r w:rsidRPr="00B70D28">
        <w:t>Scopus</w:t>
      </w:r>
    </w:p>
    <w:p w14:paraId="736E1B3B" w14:textId="77777777" w:rsidR="001B3FBC" w:rsidRPr="00B70D28" w:rsidRDefault="001B3FBC" w:rsidP="00B70D28">
      <w:pPr>
        <w:pStyle w:val="Bullet1"/>
      </w:pPr>
      <w:r w:rsidRPr="00B70D28">
        <w:t>Cochrane Library</w:t>
      </w:r>
    </w:p>
    <w:p w14:paraId="621789C9" w14:textId="77777777" w:rsidR="001B3FBC" w:rsidRPr="00B70D28" w:rsidRDefault="001B3FBC" w:rsidP="00B70D28">
      <w:pPr>
        <w:pStyle w:val="Bullet1"/>
      </w:pPr>
      <w:r w:rsidRPr="00B70D28">
        <w:t>INFORMIT: Health Collection; CINCH (Australian Institute of Criminology); FAMILY (Australian Institute of Family Studies); Humanities and Social Science Collection; Australian Policy Observatory</w:t>
      </w:r>
    </w:p>
    <w:p w14:paraId="3C0DDED4" w14:textId="77777777" w:rsidR="001B3FBC" w:rsidRPr="00B70D28" w:rsidRDefault="001B3FBC" w:rsidP="00B70D28">
      <w:pPr>
        <w:pStyle w:val="Bullet1"/>
      </w:pPr>
      <w:r w:rsidRPr="00B70D28">
        <w:t>Google Scholar</w:t>
      </w:r>
    </w:p>
    <w:p w14:paraId="7B2A39B0" w14:textId="77777777" w:rsidR="001B3FBC" w:rsidRPr="00730830" w:rsidRDefault="001B3FBC" w:rsidP="00B70D28">
      <w:pPr>
        <w:pStyle w:val="Heading4"/>
      </w:pPr>
      <w:r w:rsidRPr="00730830">
        <w:t>Keywords</w:t>
      </w:r>
    </w:p>
    <w:p w14:paraId="1DF40A81" w14:textId="77777777" w:rsidR="001B3FBC" w:rsidRPr="00730830" w:rsidRDefault="001B3FBC" w:rsidP="00B70D28">
      <w:pPr>
        <w:pStyle w:val="Normalfollowingheading"/>
      </w:pPr>
      <w:r w:rsidRPr="00730830">
        <w:t xml:space="preserve">Keywords used in the basic search strategy included: acute behavioural disturbance, aggression, agitation, assessment, behaviour of concern, behavioural escalation, best practice, clinical guidance, continuing care, critical care, debrief, de-escalation, difficult behaviour, discharge, distress, emergency, emergency department, framework, guideline, handover, incident, mental health, </w:t>
      </w:r>
      <w:proofErr w:type="spellStart"/>
      <w:r w:rsidRPr="00730830">
        <w:t>oncall</w:t>
      </w:r>
      <w:proofErr w:type="spellEnd"/>
      <w:r w:rsidRPr="00730830">
        <w:t xml:space="preserve"> GP, paramedic, policy, post-discharge, post-incident, post-sedation, prehospital, psychomotor agitation, referral, restraint, risk assessment, sedation, situational crisis, transfer, urgent care and violence.</w:t>
      </w:r>
    </w:p>
    <w:p w14:paraId="3643AA31" w14:textId="77777777" w:rsidR="001B3FBC" w:rsidRPr="00730830" w:rsidRDefault="001B3FBC" w:rsidP="00B70D28">
      <w:pPr>
        <w:pStyle w:val="Heading3"/>
      </w:pPr>
      <w:r w:rsidRPr="00730830">
        <w:t>Reviewed evidence</w:t>
      </w:r>
    </w:p>
    <w:p w14:paraId="5CE4DD89" w14:textId="77777777" w:rsidR="001B3FBC" w:rsidRPr="00730830" w:rsidRDefault="001B3FBC" w:rsidP="00B70D28">
      <w:pPr>
        <w:pStyle w:val="Normalfollowingheading"/>
      </w:pPr>
      <w:r w:rsidRPr="00730830">
        <w:t>A bibliography of evidence the expert working group reviewed is included in Appendix 1. Not all reviewed evidence directly informed our guidance. We graded reviewed evidence according to the levels of evidence described in Table 3. These are based on the National Health and Medical Research Council’s (NHMRC) 2009 levels of evidence and grades for recommendations for developers of guidelines. Note that the definitions for level V and consensus differ from that proposed by the NHMRC. The expert working group decided to introduce these levels of evidence to reflect the importance of lived experiences of care and consensus statements from respected authorities.</w:t>
      </w:r>
    </w:p>
    <w:p w14:paraId="5313B266" w14:textId="7963DA82" w:rsidR="001B3FBC" w:rsidRPr="00730830" w:rsidRDefault="001B3FBC" w:rsidP="00B70D28">
      <w:pPr>
        <w:pStyle w:val="Caption"/>
      </w:pPr>
      <w:r w:rsidRPr="00730830">
        <w:lastRenderedPageBreak/>
        <w:t xml:space="preserve">Table </w:t>
      </w:r>
      <w:fldSimple w:instr=" SEQ Table \* ARABIC ">
        <w:r w:rsidR="00033994">
          <w:rPr>
            <w:noProof/>
          </w:rPr>
          <w:t>3</w:t>
        </w:r>
      </w:fldSimple>
      <w:r w:rsidRPr="00730830">
        <w:rPr>
          <w:noProof/>
        </w:rPr>
        <w:t>:</w:t>
      </w:r>
      <w:r w:rsidRPr="00730830">
        <w:t xml:space="preserve"> Levels of evidence</w:t>
      </w:r>
    </w:p>
    <w:tbl>
      <w:tblPr>
        <w:tblStyle w:val="TableGrid"/>
        <w:tblW w:w="5000" w:type="pct"/>
        <w:tblLook w:val="06A0" w:firstRow="1" w:lastRow="0" w:firstColumn="1" w:lastColumn="0" w:noHBand="1" w:noVBand="1"/>
      </w:tblPr>
      <w:tblGrid>
        <w:gridCol w:w="1102"/>
        <w:gridCol w:w="9102"/>
      </w:tblGrid>
      <w:tr w:rsidR="001B3FBC" w:rsidRPr="0094302C" w14:paraId="186E05BD" w14:textId="77777777" w:rsidTr="0089550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40" w:type="pct"/>
          </w:tcPr>
          <w:p w14:paraId="35AFE6E5" w14:textId="77777777" w:rsidR="001B3FBC" w:rsidRPr="0094302C" w:rsidRDefault="001B3FBC" w:rsidP="00B70D28">
            <w:pPr>
              <w:pStyle w:val="Tabletext"/>
            </w:pPr>
            <w:r w:rsidRPr="0094302C">
              <w:t>Level</w:t>
            </w:r>
          </w:p>
        </w:tc>
        <w:tc>
          <w:tcPr>
            <w:tcW w:w="4460" w:type="pct"/>
          </w:tcPr>
          <w:p w14:paraId="3839B1FD" w14:textId="77777777" w:rsidR="001B3FBC" w:rsidRPr="0094302C" w:rsidRDefault="001B3FBC" w:rsidP="00B70D28">
            <w:pPr>
              <w:pStyle w:val="Tabletext"/>
              <w:cnfStyle w:val="100000000000" w:firstRow="1" w:lastRow="0" w:firstColumn="0" w:lastColumn="0" w:oddVBand="0" w:evenVBand="0" w:oddHBand="0" w:evenHBand="0" w:firstRowFirstColumn="0" w:firstRowLastColumn="0" w:lastRowFirstColumn="0" w:lastRowLastColumn="0"/>
            </w:pPr>
            <w:r w:rsidRPr="0094302C">
              <w:t>Description</w:t>
            </w:r>
          </w:p>
        </w:tc>
      </w:tr>
      <w:tr w:rsidR="001B3FBC" w:rsidRPr="0094302C" w14:paraId="36D7818B" w14:textId="77777777" w:rsidTr="0089550B">
        <w:trPr>
          <w:trHeight w:val="20"/>
        </w:trPr>
        <w:tc>
          <w:tcPr>
            <w:cnfStyle w:val="001000000000" w:firstRow="0" w:lastRow="0" w:firstColumn="1" w:lastColumn="0" w:oddVBand="0" w:evenVBand="0" w:oddHBand="0" w:evenHBand="0" w:firstRowFirstColumn="0" w:firstRowLastColumn="0" w:lastRowFirstColumn="0" w:lastRowLastColumn="0"/>
            <w:tcW w:w="540" w:type="pct"/>
          </w:tcPr>
          <w:p w14:paraId="4FDEDA6F" w14:textId="77777777" w:rsidR="001B3FBC" w:rsidRPr="0094302C" w:rsidRDefault="001B3FBC" w:rsidP="00B70D28">
            <w:pPr>
              <w:pStyle w:val="Tabletext"/>
            </w:pPr>
            <w:r w:rsidRPr="0094302C">
              <w:t>I</w:t>
            </w:r>
          </w:p>
        </w:tc>
        <w:tc>
          <w:tcPr>
            <w:tcW w:w="4460" w:type="pct"/>
          </w:tcPr>
          <w:p w14:paraId="336EA5B3" w14:textId="77777777" w:rsidR="001B3FBC" w:rsidRPr="0094302C"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94302C">
              <w:t>Evidence obtained from a systematic review of all relevant randomised controlled trials</w:t>
            </w:r>
          </w:p>
        </w:tc>
      </w:tr>
      <w:tr w:rsidR="001B3FBC" w:rsidRPr="0094302C" w14:paraId="0304544B" w14:textId="77777777" w:rsidTr="0089550B">
        <w:trPr>
          <w:trHeight w:val="20"/>
        </w:trPr>
        <w:tc>
          <w:tcPr>
            <w:cnfStyle w:val="001000000000" w:firstRow="0" w:lastRow="0" w:firstColumn="1" w:lastColumn="0" w:oddVBand="0" w:evenVBand="0" w:oddHBand="0" w:evenHBand="0" w:firstRowFirstColumn="0" w:firstRowLastColumn="0" w:lastRowFirstColumn="0" w:lastRowLastColumn="0"/>
            <w:tcW w:w="540" w:type="pct"/>
          </w:tcPr>
          <w:p w14:paraId="04919036" w14:textId="77777777" w:rsidR="001B3FBC" w:rsidRPr="0094302C" w:rsidRDefault="001B3FBC" w:rsidP="00B70D28">
            <w:pPr>
              <w:pStyle w:val="Tabletext"/>
            </w:pPr>
            <w:r w:rsidRPr="0094302C">
              <w:t>II</w:t>
            </w:r>
          </w:p>
        </w:tc>
        <w:tc>
          <w:tcPr>
            <w:tcW w:w="4460" w:type="pct"/>
          </w:tcPr>
          <w:p w14:paraId="5F560B82" w14:textId="77777777" w:rsidR="001B3FBC" w:rsidRPr="0094302C"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94302C">
              <w:t>Evidence obtained from at least one properly designed randomised controlled trial</w:t>
            </w:r>
          </w:p>
        </w:tc>
      </w:tr>
      <w:tr w:rsidR="001B3FBC" w:rsidRPr="0094302C" w14:paraId="66D82F8B" w14:textId="77777777" w:rsidTr="0089550B">
        <w:trPr>
          <w:trHeight w:val="20"/>
        </w:trPr>
        <w:tc>
          <w:tcPr>
            <w:cnfStyle w:val="001000000000" w:firstRow="0" w:lastRow="0" w:firstColumn="1" w:lastColumn="0" w:oddVBand="0" w:evenVBand="0" w:oddHBand="0" w:evenHBand="0" w:firstRowFirstColumn="0" w:firstRowLastColumn="0" w:lastRowFirstColumn="0" w:lastRowLastColumn="0"/>
            <w:tcW w:w="540" w:type="pct"/>
          </w:tcPr>
          <w:p w14:paraId="58228175" w14:textId="77777777" w:rsidR="001B3FBC" w:rsidRPr="0094302C" w:rsidRDefault="001B3FBC" w:rsidP="00B70D28">
            <w:pPr>
              <w:pStyle w:val="Tabletext"/>
            </w:pPr>
            <w:r w:rsidRPr="0094302C">
              <w:t>III-1</w:t>
            </w:r>
          </w:p>
        </w:tc>
        <w:tc>
          <w:tcPr>
            <w:tcW w:w="4460" w:type="pct"/>
          </w:tcPr>
          <w:p w14:paraId="3ECD58E5" w14:textId="657A087F" w:rsidR="001B3FBC" w:rsidRPr="0094302C"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94302C">
              <w:t>Evidence obtained from well-designed</w:t>
            </w:r>
            <w:r w:rsidR="00BC621C">
              <w:t>,</w:t>
            </w:r>
            <w:r w:rsidRPr="0094302C">
              <w:t xml:space="preserve"> pseudo</w:t>
            </w:r>
            <w:r w:rsidR="00BC621C">
              <w:t>-</w:t>
            </w:r>
            <w:r w:rsidRPr="0094302C">
              <w:t>randomised controlled trials</w:t>
            </w:r>
          </w:p>
        </w:tc>
      </w:tr>
      <w:tr w:rsidR="001B3FBC" w:rsidRPr="0094302C" w14:paraId="1A247C9F" w14:textId="77777777" w:rsidTr="0089550B">
        <w:trPr>
          <w:trHeight w:val="20"/>
        </w:trPr>
        <w:tc>
          <w:tcPr>
            <w:cnfStyle w:val="001000000000" w:firstRow="0" w:lastRow="0" w:firstColumn="1" w:lastColumn="0" w:oddVBand="0" w:evenVBand="0" w:oddHBand="0" w:evenHBand="0" w:firstRowFirstColumn="0" w:firstRowLastColumn="0" w:lastRowFirstColumn="0" w:lastRowLastColumn="0"/>
            <w:tcW w:w="540" w:type="pct"/>
          </w:tcPr>
          <w:p w14:paraId="0EA4C5FC" w14:textId="77777777" w:rsidR="001B3FBC" w:rsidRPr="0094302C" w:rsidRDefault="001B3FBC" w:rsidP="00B70D28">
            <w:pPr>
              <w:pStyle w:val="Tabletext"/>
            </w:pPr>
            <w:r w:rsidRPr="0094302C">
              <w:t>III-2</w:t>
            </w:r>
          </w:p>
        </w:tc>
        <w:tc>
          <w:tcPr>
            <w:tcW w:w="4460" w:type="pct"/>
          </w:tcPr>
          <w:p w14:paraId="624C09E5" w14:textId="77777777" w:rsidR="001B3FBC" w:rsidRPr="0094302C"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94302C">
              <w:t>Evidence obtained from comparative studies with concurrent controls, including reviews of such studies. Examples include cohort studies, case-control studies, non-randomised experimental trials, interrupted time series with a control group</w:t>
            </w:r>
          </w:p>
        </w:tc>
      </w:tr>
      <w:tr w:rsidR="001B3FBC" w:rsidRPr="0094302C" w14:paraId="31164DD3" w14:textId="77777777" w:rsidTr="0089550B">
        <w:trPr>
          <w:trHeight w:val="20"/>
        </w:trPr>
        <w:tc>
          <w:tcPr>
            <w:cnfStyle w:val="001000000000" w:firstRow="0" w:lastRow="0" w:firstColumn="1" w:lastColumn="0" w:oddVBand="0" w:evenVBand="0" w:oddHBand="0" w:evenHBand="0" w:firstRowFirstColumn="0" w:firstRowLastColumn="0" w:lastRowFirstColumn="0" w:lastRowLastColumn="0"/>
            <w:tcW w:w="540" w:type="pct"/>
          </w:tcPr>
          <w:p w14:paraId="04CD9EDB" w14:textId="77777777" w:rsidR="001B3FBC" w:rsidRPr="0094302C" w:rsidRDefault="001B3FBC" w:rsidP="00B70D28">
            <w:pPr>
              <w:pStyle w:val="Tabletext"/>
            </w:pPr>
            <w:r w:rsidRPr="0094302C">
              <w:t>III-3</w:t>
            </w:r>
          </w:p>
        </w:tc>
        <w:tc>
          <w:tcPr>
            <w:tcW w:w="4460" w:type="pct"/>
          </w:tcPr>
          <w:p w14:paraId="5F53E8C9" w14:textId="502FBDAA" w:rsidR="001B3FBC" w:rsidRPr="0094302C"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94302C">
              <w:t>Evidence obtained from comparative studies without concurrent controls, including reviews of such studies. Examples include historical control studies, two or more single</w:t>
            </w:r>
            <w:r w:rsidR="00AF4988">
              <w:t>-</w:t>
            </w:r>
            <w:r w:rsidRPr="0094302C">
              <w:t>arm studies, interrupted time series without a parallel control group</w:t>
            </w:r>
          </w:p>
        </w:tc>
      </w:tr>
      <w:tr w:rsidR="001B3FBC" w:rsidRPr="0094302C" w14:paraId="2E2E92FA" w14:textId="77777777" w:rsidTr="0089550B">
        <w:trPr>
          <w:trHeight w:val="20"/>
        </w:trPr>
        <w:tc>
          <w:tcPr>
            <w:cnfStyle w:val="001000000000" w:firstRow="0" w:lastRow="0" w:firstColumn="1" w:lastColumn="0" w:oddVBand="0" w:evenVBand="0" w:oddHBand="0" w:evenHBand="0" w:firstRowFirstColumn="0" w:firstRowLastColumn="0" w:lastRowFirstColumn="0" w:lastRowLastColumn="0"/>
            <w:tcW w:w="540" w:type="pct"/>
          </w:tcPr>
          <w:p w14:paraId="3FB45338" w14:textId="77777777" w:rsidR="001B3FBC" w:rsidRPr="0094302C" w:rsidRDefault="001B3FBC" w:rsidP="00B70D28">
            <w:pPr>
              <w:pStyle w:val="Tabletext"/>
            </w:pPr>
            <w:r w:rsidRPr="0094302C">
              <w:t>IV</w:t>
            </w:r>
          </w:p>
        </w:tc>
        <w:tc>
          <w:tcPr>
            <w:tcW w:w="4460" w:type="pct"/>
          </w:tcPr>
          <w:p w14:paraId="03E974B2" w14:textId="77777777" w:rsidR="001B3FBC" w:rsidRPr="0094302C"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94302C">
              <w:t>Evidence obtained from case series with either post-test or pre-test/post-test outcomes</w:t>
            </w:r>
          </w:p>
        </w:tc>
      </w:tr>
      <w:tr w:rsidR="001B3FBC" w:rsidRPr="0094302C" w14:paraId="3B03F874" w14:textId="77777777" w:rsidTr="0089550B">
        <w:trPr>
          <w:trHeight w:val="20"/>
        </w:trPr>
        <w:tc>
          <w:tcPr>
            <w:cnfStyle w:val="001000000000" w:firstRow="0" w:lastRow="0" w:firstColumn="1" w:lastColumn="0" w:oddVBand="0" w:evenVBand="0" w:oddHBand="0" w:evenHBand="0" w:firstRowFirstColumn="0" w:firstRowLastColumn="0" w:lastRowFirstColumn="0" w:lastRowLastColumn="0"/>
            <w:tcW w:w="540" w:type="pct"/>
          </w:tcPr>
          <w:p w14:paraId="4BC95125" w14:textId="77777777" w:rsidR="001B3FBC" w:rsidRPr="0094302C" w:rsidRDefault="001B3FBC" w:rsidP="00B70D28">
            <w:pPr>
              <w:pStyle w:val="Tabletext"/>
            </w:pPr>
            <w:r w:rsidRPr="0094302C">
              <w:t>V</w:t>
            </w:r>
          </w:p>
        </w:tc>
        <w:tc>
          <w:tcPr>
            <w:tcW w:w="4460" w:type="pct"/>
          </w:tcPr>
          <w:p w14:paraId="053AC77F" w14:textId="77777777" w:rsidR="001B3FBC" w:rsidRPr="0094302C"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94302C">
              <w:t>Evidence obtained from single descriptive or qualitative studies, including reports of lived experiences of care</w:t>
            </w:r>
          </w:p>
        </w:tc>
      </w:tr>
      <w:tr w:rsidR="001B3FBC" w:rsidRPr="0094302C" w14:paraId="027BCE59" w14:textId="77777777" w:rsidTr="0089550B">
        <w:trPr>
          <w:trHeight w:val="20"/>
        </w:trPr>
        <w:tc>
          <w:tcPr>
            <w:cnfStyle w:val="001000000000" w:firstRow="0" w:lastRow="0" w:firstColumn="1" w:lastColumn="0" w:oddVBand="0" w:evenVBand="0" w:oddHBand="0" w:evenHBand="0" w:firstRowFirstColumn="0" w:firstRowLastColumn="0" w:lastRowFirstColumn="0" w:lastRowLastColumn="0"/>
            <w:tcW w:w="540" w:type="pct"/>
          </w:tcPr>
          <w:p w14:paraId="225F3F27" w14:textId="77777777" w:rsidR="001B3FBC" w:rsidRPr="0094302C" w:rsidRDefault="001B3FBC" w:rsidP="00B70D28">
            <w:pPr>
              <w:pStyle w:val="Tabletext"/>
            </w:pPr>
            <w:r w:rsidRPr="0094302C">
              <w:t>Consensus</w:t>
            </w:r>
          </w:p>
        </w:tc>
        <w:tc>
          <w:tcPr>
            <w:tcW w:w="4460" w:type="pct"/>
          </w:tcPr>
          <w:p w14:paraId="3B0679CF" w14:textId="77777777" w:rsidR="001B3FBC" w:rsidRPr="0094302C"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94302C">
              <w:t>Expert opinions based on respected authorities or reports of expert committees</w:t>
            </w:r>
          </w:p>
        </w:tc>
      </w:tr>
      <w:tr w:rsidR="001B3FBC" w:rsidRPr="0094302C" w14:paraId="61D67763" w14:textId="77777777" w:rsidTr="0089550B">
        <w:trPr>
          <w:trHeight w:val="20"/>
        </w:trPr>
        <w:tc>
          <w:tcPr>
            <w:cnfStyle w:val="001000000000" w:firstRow="0" w:lastRow="0" w:firstColumn="1" w:lastColumn="0" w:oddVBand="0" w:evenVBand="0" w:oddHBand="0" w:evenHBand="0" w:firstRowFirstColumn="0" w:firstRowLastColumn="0" w:lastRowFirstColumn="0" w:lastRowLastColumn="0"/>
            <w:tcW w:w="540" w:type="pct"/>
          </w:tcPr>
          <w:p w14:paraId="62A7DF22" w14:textId="77777777" w:rsidR="001B3FBC" w:rsidRPr="0094302C" w:rsidRDefault="001B3FBC" w:rsidP="00B70D28">
            <w:pPr>
              <w:pStyle w:val="Tabletext"/>
            </w:pPr>
            <w:r w:rsidRPr="0094302C">
              <w:t>N/A</w:t>
            </w:r>
          </w:p>
        </w:tc>
        <w:tc>
          <w:tcPr>
            <w:tcW w:w="4460" w:type="pct"/>
          </w:tcPr>
          <w:p w14:paraId="5D27FB09" w14:textId="77777777" w:rsidR="001B3FBC" w:rsidRPr="0094302C" w:rsidRDefault="001B3FBC" w:rsidP="00B70D28">
            <w:pPr>
              <w:pStyle w:val="Tabletext"/>
              <w:cnfStyle w:val="000000000000" w:firstRow="0" w:lastRow="0" w:firstColumn="0" w:lastColumn="0" w:oddVBand="0" w:evenVBand="0" w:oddHBand="0" w:evenHBand="0" w:firstRowFirstColumn="0" w:firstRowLastColumn="0" w:lastRowFirstColumn="0" w:lastRowLastColumn="0"/>
            </w:pPr>
            <w:r w:rsidRPr="0094302C">
              <w:t>Evidence that cannot be graded, such as legislation</w:t>
            </w:r>
          </w:p>
        </w:tc>
      </w:tr>
    </w:tbl>
    <w:p w14:paraId="7BAEF91D" w14:textId="77777777" w:rsidR="0064798F" w:rsidRPr="00730830" w:rsidRDefault="001B3FBC" w:rsidP="00B70D28">
      <w:r w:rsidRPr="00730830">
        <w:t>Table 4 summarises the levels of evidence for each section of our guidance as an indication of what type of evidence was identified and reviewed.</w:t>
      </w:r>
    </w:p>
    <w:p w14:paraId="0297B9D0" w14:textId="5045BCA8" w:rsidR="001B3FBC" w:rsidRPr="00730830" w:rsidRDefault="001B3FBC" w:rsidP="00B70D28">
      <w:pPr>
        <w:pStyle w:val="Caption"/>
      </w:pPr>
      <w:r w:rsidRPr="00730830">
        <w:t xml:space="preserve">Table </w:t>
      </w:r>
      <w:fldSimple w:instr=" SEQ Table \* ARABIC ">
        <w:r w:rsidR="00033994">
          <w:rPr>
            <w:noProof/>
          </w:rPr>
          <w:t>4</w:t>
        </w:r>
      </w:fldSimple>
      <w:r w:rsidRPr="00730830">
        <w:rPr>
          <w:noProof/>
        </w:rPr>
        <w:t>:</w:t>
      </w:r>
      <w:r w:rsidRPr="00730830">
        <w:t xml:space="preserve"> Level of evidence summary for each guidance section</w:t>
      </w:r>
    </w:p>
    <w:tbl>
      <w:tblPr>
        <w:tblStyle w:val="TableGrid"/>
        <w:tblW w:w="10206" w:type="dxa"/>
        <w:tblLayout w:type="fixed"/>
        <w:tblLook w:val="04A0" w:firstRow="1" w:lastRow="0" w:firstColumn="1" w:lastColumn="0" w:noHBand="0" w:noVBand="1"/>
      </w:tblPr>
      <w:tblGrid>
        <w:gridCol w:w="3261"/>
        <w:gridCol w:w="708"/>
        <w:gridCol w:w="709"/>
        <w:gridCol w:w="709"/>
        <w:gridCol w:w="708"/>
        <w:gridCol w:w="709"/>
        <w:gridCol w:w="709"/>
        <w:gridCol w:w="709"/>
        <w:gridCol w:w="1276"/>
        <w:gridCol w:w="708"/>
      </w:tblGrid>
      <w:tr w:rsidR="001B3FBC" w:rsidRPr="00E819E9" w14:paraId="5DB5755E" w14:textId="77777777" w:rsidTr="00E819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11BFFFD0" w14:textId="77777777" w:rsidR="001B3FBC" w:rsidRPr="00E819E9" w:rsidRDefault="001B3FBC" w:rsidP="00B70D28">
            <w:pPr>
              <w:pStyle w:val="Tabletextcentred"/>
            </w:pPr>
          </w:p>
        </w:tc>
        <w:tc>
          <w:tcPr>
            <w:tcW w:w="708" w:type="dxa"/>
          </w:tcPr>
          <w:p w14:paraId="0DC5783A" w14:textId="77777777" w:rsidR="001B3FBC" w:rsidRPr="00E819E9" w:rsidRDefault="001B3FBC" w:rsidP="00B70D28">
            <w:pPr>
              <w:pStyle w:val="Tabletextcentred"/>
              <w:cnfStyle w:val="100000000000" w:firstRow="1" w:lastRow="0" w:firstColumn="0" w:lastColumn="0" w:oddVBand="0" w:evenVBand="0" w:oddHBand="0" w:evenHBand="0" w:firstRowFirstColumn="0" w:firstRowLastColumn="0" w:lastRowFirstColumn="0" w:lastRowLastColumn="0"/>
            </w:pPr>
            <w:r w:rsidRPr="00E819E9">
              <w:t>Level I</w:t>
            </w:r>
          </w:p>
        </w:tc>
        <w:tc>
          <w:tcPr>
            <w:tcW w:w="709" w:type="dxa"/>
          </w:tcPr>
          <w:p w14:paraId="6BA2133F" w14:textId="77777777" w:rsidR="001B3FBC" w:rsidRPr="00E819E9" w:rsidRDefault="001B3FBC" w:rsidP="00B70D28">
            <w:pPr>
              <w:pStyle w:val="Tabletextcentred"/>
              <w:cnfStyle w:val="100000000000" w:firstRow="1" w:lastRow="0" w:firstColumn="0" w:lastColumn="0" w:oddVBand="0" w:evenVBand="0" w:oddHBand="0" w:evenHBand="0" w:firstRowFirstColumn="0" w:firstRowLastColumn="0" w:lastRowFirstColumn="0" w:lastRowLastColumn="0"/>
            </w:pPr>
            <w:r w:rsidRPr="00E819E9">
              <w:t>Level II</w:t>
            </w:r>
          </w:p>
        </w:tc>
        <w:tc>
          <w:tcPr>
            <w:tcW w:w="709" w:type="dxa"/>
          </w:tcPr>
          <w:p w14:paraId="43C95158" w14:textId="77777777" w:rsidR="001B3FBC" w:rsidRPr="00E819E9" w:rsidRDefault="001B3FBC" w:rsidP="00B70D28">
            <w:pPr>
              <w:pStyle w:val="Tabletextcentred"/>
              <w:cnfStyle w:val="100000000000" w:firstRow="1" w:lastRow="0" w:firstColumn="0" w:lastColumn="0" w:oddVBand="0" w:evenVBand="0" w:oddHBand="0" w:evenHBand="0" w:firstRowFirstColumn="0" w:firstRowLastColumn="0" w:lastRowFirstColumn="0" w:lastRowLastColumn="0"/>
            </w:pPr>
            <w:r w:rsidRPr="00E819E9">
              <w:t>Level III-1</w:t>
            </w:r>
          </w:p>
        </w:tc>
        <w:tc>
          <w:tcPr>
            <w:tcW w:w="708" w:type="dxa"/>
          </w:tcPr>
          <w:p w14:paraId="1D4287BE" w14:textId="77777777" w:rsidR="001B3FBC" w:rsidRPr="00E819E9" w:rsidRDefault="001B3FBC" w:rsidP="00B70D28">
            <w:pPr>
              <w:pStyle w:val="Tabletextcentred"/>
              <w:cnfStyle w:val="100000000000" w:firstRow="1" w:lastRow="0" w:firstColumn="0" w:lastColumn="0" w:oddVBand="0" w:evenVBand="0" w:oddHBand="0" w:evenHBand="0" w:firstRowFirstColumn="0" w:firstRowLastColumn="0" w:lastRowFirstColumn="0" w:lastRowLastColumn="0"/>
            </w:pPr>
            <w:r w:rsidRPr="00E819E9">
              <w:t>Level III-2</w:t>
            </w:r>
          </w:p>
        </w:tc>
        <w:tc>
          <w:tcPr>
            <w:tcW w:w="709" w:type="dxa"/>
          </w:tcPr>
          <w:p w14:paraId="1C5E57A5" w14:textId="77777777" w:rsidR="001B3FBC" w:rsidRPr="00E819E9" w:rsidRDefault="001B3FBC" w:rsidP="00B70D28">
            <w:pPr>
              <w:pStyle w:val="Tabletextcentred"/>
              <w:cnfStyle w:val="100000000000" w:firstRow="1" w:lastRow="0" w:firstColumn="0" w:lastColumn="0" w:oddVBand="0" w:evenVBand="0" w:oddHBand="0" w:evenHBand="0" w:firstRowFirstColumn="0" w:firstRowLastColumn="0" w:lastRowFirstColumn="0" w:lastRowLastColumn="0"/>
            </w:pPr>
            <w:r w:rsidRPr="00E819E9">
              <w:t>Level III-3</w:t>
            </w:r>
          </w:p>
        </w:tc>
        <w:tc>
          <w:tcPr>
            <w:tcW w:w="709" w:type="dxa"/>
          </w:tcPr>
          <w:p w14:paraId="6A5523B0" w14:textId="77777777" w:rsidR="001B3FBC" w:rsidRPr="00E819E9" w:rsidRDefault="001B3FBC" w:rsidP="00B70D28">
            <w:pPr>
              <w:pStyle w:val="Tabletextcentred"/>
              <w:cnfStyle w:val="100000000000" w:firstRow="1" w:lastRow="0" w:firstColumn="0" w:lastColumn="0" w:oddVBand="0" w:evenVBand="0" w:oddHBand="0" w:evenHBand="0" w:firstRowFirstColumn="0" w:firstRowLastColumn="0" w:lastRowFirstColumn="0" w:lastRowLastColumn="0"/>
            </w:pPr>
            <w:r w:rsidRPr="00E819E9">
              <w:t>Level IV</w:t>
            </w:r>
          </w:p>
        </w:tc>
        <w:tc>
          <w:tcPr>
            <w:tcW w:w="709" w:type="dxa"/>
          </w:tcPr>
          <w:p w14:paraId="5F471377" w14:textId="77777777" w:rsidR="001B3FBC" w:rsidRPr="00E819E9" w:rsidRDefault="001B3FBC" w:rsidP="00B70D28">
            <w:pPr>
              <w:pStyle w:val="Tabletextcentred"/>
              <w:cnfStyle w:val="100000000000" w:firstRow="1" w:lastRow="0" w:firstColumn="0" w:lastColumn="0" w:oddVBand="0" w:evenVBand="0" w:oddHBand="0" w:evenHBand="0" w:firstRowFirstColumn="0" w:firstRowLastColumn="0" w:lastRowFirstColumn="0" w:lastRowLastColumn="0"/>
            </w:pPr>
            <w:r w:rsidRPr="00E819E9">
              <w:t>Level V</w:t>
            </w:r>
          </w:p>
        </w:tc>
        <w:tc>
          <w:tcPr>
            <w:tcW w:w="1276" w:type="dxa"/>
          </w:tcPr>
          <w:p w14:paraId="44C2B816" w14:textId="2E4CE287" w:rsidR="001B3FBC" w:rsidRPr="00E819E9" w:rsidRDefault="001B3FBC" w:rsidP="00B70D28">
            <w:pPr>
              <w:pStyle w:val="Tabletextcentred"/>
              <w:cnfStyle w:val="100000000000" w:firstRow="1" w:lastRow="0" w:firstColumn="0" w:lastColumn="0" w:oddVBand="0" w:evenVBand="0" w:oddHBand="0" w:evenHBand="0" w:firstRowFirstColumn="0" w:firstRowLastColumn="0" w:lastRowFirstColumn="0" w:lastRowLastColumn="0"/>
            </w:pPr>
            <w:r w:rsidRPr="00E819E9">
              <w:t>Consensus</w:t>
            </w:r>
          </w:p>
        </w:tc>
        <w:tc>
          <w:tcPr>
            <w:tcW w:w="708" w:type="dxa"/>
          </w:tcPr>
          <w:p w14:paraId="7D1D077E" w14:textId="77777777" w:rsidR="001B3FBC" w:rsidRPr="00E819E9" w:rsidRDefault="001B3FBC" w:rsidP="00B70D28">
            <w:pPr>
              <w:pStyle w:val="Tabletextcentred"/>
              <w:cnfStyle w:val="100000000000" w:firstRow="1" w:lastRow="0" w:firstColumn="0" w:lastColumn="0" w:oddVBand="0" w:evenVBand="0" w:oddHBand="0" w:evenHBand="0" w:firstRowFirstColumn="0" w:firstRowLastColumn="0" w:lastRowFirstColumn="0" w:lastRowLastColumn="0"/>
            </w:pPr>
            <w:r w:rsidRPr="00E819E9">
              <w:t>N/A</w:t>
            </w:r>
          </w:p>
        </w:tc>
      </w:tr>
      <w:tr w:rsidR="001B3FBC" w:rsidRPr="00E819E9" w14:paraId="54F16E06" w14:textId="77777777" w:rsidTr="00E819E9">
        <w:tc>
          <w:tcPr>
            <w:cnfStyle w:val="001000000000" w:firstRow="0" w:lastRow="0" w:firstColumn="1" w:lastColumn="0" w:oddVBand="0" w:evenVBand="0" w:oddHBand="0" w:evenHBand="0" w:firstRowFirstColumn="0" w:firstRowLastColumn="0" w:lastRowFirstColumn="0" w:lastRowLastColumn="0"/>
            <w:tcW w:w="3261" w:type="dxa"/>
          </w:tcPr>
          <w:p w14:paraId="15647616" w14:textId="77777777" w:rsidR="001B3FBC" w:rsidRPr="00E819E9" w:rsidRDefault="001B3FBC" w:rsidP="00B70D28">
            <w:pPr>
              <w:pStyle w:val="Tabletext"/>
            </w:pPr>
            <w:r w:rsidRPr="00E819E9">
              <w:t>Assessment</w:t>
            </w:r>
          </w:p>
        </w:tc>
        <w:tc>
          <w:tcPr>
            <w:tcW w:w="708" w:type="dxa"/>
          </w:tcPr>
          <w:p w14:paraId="4A12E2CA"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p>
        </w:tc>
        <w:tc>
          <w:tcPr>
            <w:tcW w:w="709" w:type="dxa"/>
          </w:tcPr>
          <w:p w14:paraId="51932D15"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16356655"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8" w:type="dxa"/>
          </w:tcPr>
          <w:p w14:paraId="19A38D58"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6</w:t>
            </w:r>
          </w:p>
        </w:tc>
        <w:tc>
          <w:tcPr>
            <w:tcW w:w="709" w:type="dxa"/>
          </w:tcPr>
          <w:p w14:paraId="327220DE"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2</w:t>
            </w:r>
          </w:p>
        </w:tc>
        <w:tc>
          <w:tcPr>
            <w:tcW w:w="709" w:type="dxa"/>
          </w:tcPr>
          <w:p w14:paraId="5F63AB74"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0DB573EF" w14:textId="77777777" w:rsidR="001B3FBC" w:rsidRPr="00E819E9" w:rsidRDefault="00095E59"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9</w:t>
            </w:r>
          </w:p>
        </w:tc>
        <w:tc>
          <w:tcPr>
            <w:tcW w:w="1276" w:type="dxa"/>
          </w:tcPr>
          <w:p w14:paraId="052D55CB"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18</w:t>
            </w:r>
          </w:p>
        </w:tc>
        <w:tc>
          <w:tcPr>
            <w:tcW w:w="708" w:type="dxa"/>
          </w:tcPr>
          <w:p w14:paraId="3741088A"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r>
      <w:tr w:rsidR="001B3FBC" w:rsidRPr="00E819E9" w14:paraId="537084EF" w14:textId="77777777" w:rsidTr="00E819E9">
        <w:tc>
          <w:tcPr>
            <w:cnfStyle w:val="001000000000" w:firstRow="0" w:lastRow="0" w:firstColumn="1" w:lastColumn="0" w:oddVBand="0" w:evenVBand="0" w:oddHBand="0" w:evenHBand="0" w:firstRowFirstColumn="0" w:firstRowLastColumn="0" w:lastRowFirstColumn="0" w:lastRowLastColumn="0"/>
            <w:tcW w:w="3261" w:type="dxa"/>
          </w:tcPr>
          <w:p w14:paraId="4D16B87E" w14:textId="77777777" w:rsidR="001B3FBC" w:rsidRPr="00E819E9" w:rsidRDefault="001B3FBC" w:rsidP="00B70D28">
            <w:pPr>
              <w:pStyle w:val="Tabletext"/>
            </w:pPr>
            <w:r w:rsidRPr="00E819E9">
              <w:t>Transition from prehospital care</w:t>
            </w:r>
          </w:p>
        </w:tc>
        <w:tc>
          <w:tcPr>
            <w:tcW w:w="708" w:type="dxa"/>
          </w:tcPr>
          <w:p w14:paraId="7BB08B38"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3ED9CE31"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44C8088A"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8" w:type="dxa"/>
          </w:tcPr>
          <w:p w14:paraId="48FC6EB3"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172F9755"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17CD443D"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38BFA004"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p>
        </w:tc>
        <w:tc>
          <w:tcPr>
            <w:tcW w:w="1276" w:type="dxa"/>
          </w:tcPr>
          <w:p w14:paraId="2A6A9AB6"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8" w:type="dxa"/>
          </w:tcPr>
          <w:p w14:paraId="56BE091D"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p>
        </w:tc>
      </w:tr>
      <w:tr w:rsidR="001B3FBC" w:rsidRPr="00E819E9" w14:paraId="4989F2A7" w14:textId="77777777" w:rsidTr="00E819E9">
        <w:tc>
          <w:tcPr>
            <w:cnfStyle w:val="001000000000" w:firstRow="0" w:lastRow="0" w:firstColumn="1" w:lastColumn="0" w:oddVBand="0" w:evenVBand="0" w:oddHBand="0" w:evenHBand="0" w:firstRowFirstColumn="0" w:firstRowLastColumn="0" w:lastRowFirstColumn="0" w:lastRowLastColumn="0"/>
            <w:tcW w:w="3261" w:type="dxa"/>
          </w:tcPr>
          <w:p w14:paraId="1EA8B824" w14:textId="77777777" w:rsidR="001B3FBC" w:rsidRPr="00E819E9" w:rsidRDefault="001B3FBC" w:rsidP="00B70D28">
            <w:pPr>
              <w:pStyle w:val="Tabletext"/>
            </w:pPr>
            <w:r w:rsidRPr="00E819E9">
              <w:t>De-escalation</w:t>
            </w:r>
          </w:p>
        </w:tc>
        <w:tc>
          <w:tcPr>
            <w:tcW w:w="708" w:type="dxa"/>
          </w:tcPr>
          <w:p w14:paraId="49AD0575"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5</w:t>
            </w:r>
          </w:p>
        </w:tc>
        <w:tc>
          <w:tcPr>
            <w:tcW w:w="709" w:type="dxa"/>
          </w:tcPr>
          <w:p w14:paraId="0DB7452E"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4AE5A9DC"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8" w:type="dxa"/>
          </w:tcPr>
          <w:p w14:paraId="67B246F1"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3D588C94"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2</w:t>
            </w:r>
          </w:p>
        </w:tc>
        <w:tc>
          <w:tcPr>
            <w:tcW w:w="709" w:type="dxa"/>
          </w:tcPr>
          <w:p w14:paraId="0915DB5E"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268D5135" w14:textId="77777777" w:rsidR="001B3FBC" w:rsidRPr="00E819E9" w:rsidRDefault="00095E59"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7</w:t>
            </w:r>
          </w:p>
        </w:tc>
        <w:tc>
          <w:tcPr>
            <w:tcW w:w="1276" w:type="dxa"/>
          </w:tcPr>
          <w:p w14:paraId="1671309A"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8</w:t>
            </w:r>
          </w:p>
        </w:tc>
        <w:tc>
          <w:tcPr>
            <w:tcW w:w="708" w:type="dxa"/>
          </w:tcPr>
          <w:p w14:paraId="0F624F54"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r>
      <w:tr w:rsidR="001B3FBC" w:rsidRPr="00E819E9" w14:paraId="5227A8AF" w14:textId="77777777" w:rsidTr="00E819E9">
        <w:tc>
          <w:tcPr>
            <w:cnfStyle w:val="001000000000" w:firstRow="0" w:lastRow="0" w:firstColumn="1" w:lastColumn="0" w:oddVBand="0" w:evenVBand="0" w:oddHBand="0" w:evenHBand="0" w:firstRowFirstColumn="0" w:firstRowLastColumn="0" w:lastRowFirstColumn="0" w:lastRowLastColumn="0"/>
            <w:tcW w:w="3261" w:type="dxa"/>
          </w:tcPr>
          <w:p w14:paraId="4C2EBFCB" w14:textId="528BFD7F" w:rsidR="001B3FBC" w:rsidRPr="00E819E9" w:rsidRDefault="001B3FBC" w:rsidP="00B70D28">
            <w:pPr>
              <w:pStyle w:val="Tabletext"/>
            </w:pPr>
            <w:r w:rsidRPr="00E819E9">
              <w:t xml:space="preserve">Sedation and ongoing care </w:t>
            </w:r>
            <w:r w:rsidR="00AF4988">
              <w:br/>
            </w:r>
            <w:r w:rsidRPr="00E819E9">
              <w:t>post-sedation</w:t>
            </w:r>
          </w:p>
        </w:tc>
        <w:tc>
          <w:tcPr>
            <w:tcW w:w="708" w:type="dxa"/>
          </w:tcPr>
          <w:p w14:paraId="3880A165"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p>
        </w:tc>
        <w:tc>
          <w:tcPr>
            <w:tcW w:w="709" w:type="dxa"/>
          </w:tcPr>
          <w:p w14:paraId="39BC6094"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6</w:t>
            </w:r>
          </w:p>
        </w:tc>
        <w:tc>
          <w:tcPr>
            <w:tcW w:w="709" w:type="dxa"/>
          </w:tcPr>
          <w:p w14:paraId="0AD1F326"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8" w:type="dxa"/>
          </w:tcPr>
          <w:p w14:paraId="3369A311"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6</w:t>
            </w:r>
          </w:p>
        </w:tc>
        <w:tc>
          <w:tcPr>
            <w:tcW w:w="709" w:type="dxa"/>
          </w:tcPr>
          <w:p w14:paraId="76A187BB"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p>
        </w:tc>
        <w:tc>
          <w:tcPr>
            <w:tcW w:w="709" w:type="dxa"/>
          </w:tcPr>
          <w:p w14:paraId="2DE118DB"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4</w:t>
            </w:r>
          </w:p>
        </w:tc>
        <w:tc>
          <w:tcPr>
            <w:tcW w:w="709" w:type="dxa"/>
          </w:tcPr>
          <w:p w14:paraId="2F835038"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1276" w:type="dxa"/>
          </w:tcPr>
          <w:p w14:paraId="5BA932D5"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6</w:t>
            </w:r>
          </w:p>
        </w:tc>
        <w:tc>
          <w:tcPr>
            <w:tcW w:w="708" w:type="dxa"/>
          </w:tcPr>
          <w:p w14:paraId="051001F4"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r>
      <w:tr w:rsidR="001B3FBC" w:rsidRPr="00E819E9" w14:paraId="745ECBBA" w14:textId="77777777" w:rsidTr="00E819E9">
        <w:tc>
          <w:tcPr>
            <w:cnfStyle w:val="001000000000" w:firstRow="0" w:lastRow="0" w:firstColumn="1" w:lastColumn="0" w:oddVBand="0" w:evenVBand="0" w:oddHBand="0" w:evenHBand="0" w:firstRowFirstColumn="0" w:firstRowLastColumn="0" w:lastRowFirstColumn="0" w:lastRowLastColumn="0"/>
            <w:tcW w:w="3261" w:type="dxa"/>
          </w:tcPr>
          <w:p w14:paraId="567F2082" w14:textId="77777777" w:rsidR="001B3FBC" w:rsidRPr="00E819E9" w:rsidRDefault="001B3FBC" w:rsidP="00B70D28">
            <w:pPr>
              <w:pStyle w:val="Tabletext"/>
            </w:pPr>
            <w:r w:rsidRPr="00E819E9">
              <w:t>Physical and mechanical restraint and ongoing care while restrained</w:t>
            </w:r>
          </w:p>
        </w:tc>
        <w:tc>
          <w:tcPr>
            <w:tcW w:w="708" w:type="dxa"/>
          </w:tcPr>
          <w:p w14:paraId="660EFA62"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3</w:t>
            </w:r>
          </w:p>
        </w:tc>
        <w:tc>
          <w:tcPr>
            <w:tcW w:w="709" w:type="dxa"/>
          </w:tcPr>
          <w:p w14:paraId="67A875AA"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44B6E275"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8" w:type="dxa"/>
          </w:tcPr>
          <w:p w14:paraId="371A8B54"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2</w:t>
            </w:r>
          </w:p>
        </w:tc>
        <w:tc>
          <w:tcPr>
            <w:tcW w:w="709" w:type="dxa"/>
          </w:tcPr>
          <w:p w14:paraId="105FF3C7"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10</w:t>
            </w:r>
          </w:p>
        </w:tc>
        <w:tc>
          <w:tcPr>
            <w:tcW w:w="709" w:type="dxa"/>
          </w:tcPr>
          <w:p w14:paraId="4C17E01A"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p>
        </w:tc>
        <w:tc>
          <w:tcPr>
            <w:tcW w:w="709" w:type="dxa"/>
          </w:tcPr>
          <w:p w14:paraId="4AFD11DF"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r w:rsidR="000B045A" w:rsidRPr="00E819E9">
              <w:t>2</w:t>
            </w:r>
          </w:p>
        </w:tc>
        <w:tc>
          <w:tcPr>
            <w:tcW w:w="1276" w:type="dxa"/>
          </w:tcPr>
          <w:p w14:paraId="69A37C57" w14:textId="77777777" w:rsidR="001B3FBC" w:rsidRPr="00E819E9" w:rsidRDefault="003F193E"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4</w:t>
            </w:r>
          </w:p>
        </w:tc>
        <w:tc>
          <w:tcPr>
            <w:tcW w:w="708" w:type="dxa"/>
          </w:tcPr>
          <w:p w14:paraId="3FE5F7C3"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r>
      <w:tr w:rsidR="001B3FBC" w:rsidRPr="00E819E9" w14:paraId="36DBBDC6" w14:textId="77777777" w:rsidTr="00E819E9">
        <w:tc>
          <w:tcPr>
            <w:cnfStyle w:val="001000000000" w:firstRow="0" w:lastRow="0" w:firstColumn="1" w:lastColumn="0" w:oddVBand="0" w:evenVBand="0" w:oddHBand="0" w:evenHBand="0" w:firstRowFirstColumn="0" w:firstRowLastColumn="0" w:lastRowFirstColumn="0" w:lastRowLastColumn="0"/>
            <w:tcW w:w="3261" w:type="dxa"/>
          </w:tcPr>
          <w:p w14:paraId="73BAA13E" w14:textId="77777777" w:rsidR="001B3FBC" w:rsidRPr="00E819E9" w:rsidRDefault="001B3FBC" w:rsidP="00B70D28">
            <w:pPr>
              <w:pStyle w:val="Tabletext"/>
            </w:pPr>
            <w:r w:rsidRPr="00E819E9">
              <w:t>Transition from the emergency care setting</w:t>
            </w:r>
          </w:p>
        </w:tc>
        <w:tc>
          <w:tcPr>
            <w:tcW w:w="708" w:type="dxa"/>
          </w:tcPr>
          <w:p w14:paraId="59C8BF55"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05610ACE"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76E83C07"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8" w:type="dxa"/>
          </w:tcPr>
          <w:p w14:paraId="4653C56A"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16C94A81"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433BE5EB"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6BF044E8"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p>
        </w:tc>
        <w:tc>
          <w:tcPr>
            <w:tcW w:w="1276" w:type="dxa"/>
          </w:tcPr>
          <w:p w14:paraId="7B905EA1"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8" w:type="dxa"/>
          </w:tcPr>
          <w:p w14:paraId="6C8B4B7C"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p>
        </w:tc>
      </w:tr>
      <w:tr w:rsidR="001B3FBC" w:rsidRPr="00E819E9" w14:paraId="6C169EA0" w14:textId="77777777" w:rsidTr="00E819E9">
        <w:tc>
          <w:tcPr>
            <w:cnfStyle w:val="001000000000" w:firstRow="0" w:lastRow="0" w:firstColumn="1" w:lastColumn="0" w:oddVBand="0" w:evenVBand="0" w:oddHBand="0" w:evenHBand="0" w:firstRowFirstColumn="0" w:firstRowLastColumn="0" w:lastRowFirstColumn="0" w:lastRowLastColumn="0"/>
            <w:tcW w:w="3261" w:type="dxa"/>
          </w:tcPr>
          <w:p w14:paraId="270C13CC" w14:textId="77777777" w:rsidR="001B3FBC" w:rsidRPr="00E819E9" w:rsidRDefault="001B3FBC" w:rsidP="00B70D28">
            <w:pPr>
              <w:pStyle w:val="Tabletext"/>
            </w:pPr>
            <w:r w:rsidRPr="00E819E9">
              <w:t>After the person has left the emergency care setting</w:t>
            </w:r>
          </w:p>
        </w:tc>
        <w:tc>
          <w:tcPr>
            <w:tcW w:w="708" w:type="dxa"/>
          </w:tcPr>
          <w:p w14:paraId="15603BCC"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27E2CDEA"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43024474"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8" w:type="dxa"/>
          </w:tcPr>
          <w:p w14:paraId="4908E3B1"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7513D710"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152E71E2"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0</w:t>
            </w:r>
          </w:p>
        </w:tc>
        <w:tc>
          <w:tcPr>
            <w:tcW w:w="709" w:type="dxa"/>
          </w:tcPr>
          <w:p w14:paraId="31D3A253"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2</w:t>
            </w:r>
          </w:p>
        </w:tc>
        <w:tc>
          <w:tcPr>
            <w:tcW w:w="1276" w:type="dxa"/>
          </w:tcPr>
          <w:p w14:paraId="1F071EF9" w14:textId="77777777" w:rsidR="001B3FBC" w:rsidRPr="00E819E9" w:rsidRDefault="006967D1"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4</w:t>
            </w:r>
          </w:p>
        </w:tc>
        <w:tc>
          <w:tcPr>
            <w:tcW w:w="708" w:type="dxa"/>
          </w:tcPr>
          <w:p w14:paraId="6F3C019C" w14:textId="77777777" w:rsidR="001B3FBC" w:rsidRPr="00E819E9" w:rsidRDefault="001B3FBC" w:rsidP="00B70D28">
            <w:pPr>
              <w:pStyle w:val="Tabletextcentred"/>
              <w:cnfStyle w:val="000000000000" w:firstRow="0" w:lastRow="0" w:firstColumn="0" w:lastColumn="0" w:oddVBand="0" w:evenVBand="0" w:oddHBand="0" w:evenHBand="0" w:firstRowFirstColumn="0" w:firstRowLastColumn="0" w:lastRowFirstColumn="0" w:lastRowLastColumn="0"/>
            </w:pPr>
            <w:r w:rsidRPr="00E819E9">
              <w:t>1</w:t>
            </w:r>
          </w:p>
        </w:tc>
      </w:tr>
    </w:tbl>
    <w:p w14:paraId="3AD06220" w14:textId="77777777" w:rsidR="001B3FBC" w:rsidRPr="00DD426E" w:rsidRDefault="00730830" w:rsidP="00B70D28">
      <w:pPr>
        <w:pStyle w:val="Heading2"/>
      </w:pPr>
      <w:bookmarkStart w:id="7" w:name="_Toc35436880"/>
      <w:r w:rsidRPr="00DD426E">
        <w:lastRenderedPageBreak/>
        <w:t>R</w:t>
      </w:r>
      <w:r w:rsidR="001B3FBC" w:rsidRPr="00DD426E">
        <w:t>eaching consensus</w:t>
      </w:r>
      <w:bookmarkEnd w:id="7"/>
    </w:p>
    <w:p w14:paraId="67514528" w14:textId="52CC57AC" w:rsidR="001B3FBC" w:rsidRPr="00DD426E" w:rsidRDefault="001B3FBC" w:rsidP="00B70D28">
      <w:pPr>
        <w:pStyle w:val="Normalfollowingheading"/>
      </w:pPr>
      <w:r w:rsidRPr="00DD426E">
        <w:t>Consensus was reached among expert working group members through discussion, as summarise</w:t>
      </w:r>
      <w:r w:rsidR="004E341E">
        <w:t>d</w:t>
      </w:r>
      <w:r w:rsidRPr="00DD426E">
        <w:t xml:space="preserve"> by the chair. Where consensus could not be reached on a matter, the chair could choose for it be decided by a simple majority vote, or by referral to the</w:t>
      </w:r>
      <w:r w:rsidR="00B45B0C">
        <w:t xml:space="preserve"> Network’s</w:t>
      </w:r>
      <w:r w:rsidRPr="00DD426E">
        <w:t xml:space="preserve"> Governance Committee for determination.</w:t>
      </w:r>
    </w:p>
    <w:p w14:paraId="33D70013" w14:textId="205292FA" w:rsidR="001B3FBC" w:rsidRPr="00DD426E" w:rsidRDefault="001B3FBC" w:rsidP="00B70D28">
      <w:r w:rsidRPr="00DD426E">
        <w:t>SCV staff members were responsible for the guidance creation process and for preparing the guidance supplement. They did not have casting votes for the purposes of consensus building or decision making in the group</w:t>
      </w:r>
      <w:r w:rsidR="0063238D">
        <w:t>.</w:t>
      </w:r>
    </w:p>
    <w:p w14:paraId="5A2AABFF" w14:textId="77777777" w:rsidR="001B3FBC" w:rsidRPr="00DD426E" w:rsidRDefault="00730830" w:rsidP="00B70D28">
      <w:pPr>
        <w:pStyle w:val="Heading2"/>
      </w:pPr>
      <w:bookmarkStart w:id="8" w:name="_Toc35436881"/>
      <w:r w:rsidRPr="00DD426E">
        <w:t>C</w:t>
      </w:r>
      <w:r w:rsidR="001B3FBC" w:rsidRPr="00DD426E">
        <w:t>onsultation</w:t>
      </w:r>
      <w:bookmarkEnd w:id="8"/>
    </w:p>
    <w:p w14:paraId="32154056" w14:textId="77777777" w:rsidR="001B3FBC" w:rsidRPr="00DD426E" w:rsidRDefault="001B3FBC" w:rsidP="00B70D28">
      <w:pPr>
        <w:pStyle w:val="Heading3"/>
      </w:pPr>
      <w:r w:rsidRPr="00DD426E">
        <w:t>Public consultation</w:t>
      </w:r>
    </w:p>
    <w:p w14:paraId="7451EFE4" w14:textId="7FFFD92E" w:rsidR="001B3FBC" w:rsidRDefault="001B3FBC" w:rsidP="00B70D28">
      <w:pPr>
        <w:pStyle w:val="Normalfollowingheading"/>
      </w:pPr>
      <w:r w:rsidRPr="00DD426E">
        <w:t>We</w:t>
      </w:r>
      <w:r w:rsidR="00FA0780">
        <w:t xml:space="preserve"> performed </w:t>
      </w:r>
      <w:r w:rsidRPr="00DD426E">
        <w:t xml:space="preserve">a four-week open public consultation on our guidance in February 2020. This </w:t>
      </w:r>
      <w:r w:rsidR="00FA0780">
        <w:t>was</w:t>
      </w:r>
      <w:r w:rsidRPr="00DD426E">
        <w:t xml:space="preserve"> an opportunity for individuals and organisations to have input into the content and structure of the guidance. Feedback </w:t>
      </w:r>
      <w:r w:rsidR="00FA0780">
        <w:t>was</w:t>
      </w:r>
      <w:r w:rsidRPr="00DD426E">
        <w:t xml:space="preserve"> collected through an electronic survey accessible via the SCV website. A public consultation</w:t>
      </w:r>
      <w:r w:rsidR="00DD426E" w:rsidRPr="00DD426E">
        <w:t xml:space="preserve"> report</w:t>
      </w:r>
      <w:r w:rsidRPr="00DD426E">
        <w:t xml:space="preserve"> </w:t>
      </w:r>
      <w:r w:rsidR="00FA0780">
        <w:t xml:space="preserve">is included in </w:t>
      </w:r>
      <w:r w:rsidR="009D2DE3">
        <w:t>A</w:t>
      </w:r>
      <w:r w:rsidR="00FA0780">
        <w:t>ppendix 2</w:t>
      </w:r>
      <w:r w:rsidRPr="00DD426E">
        <w:t>.</w:t>
      </w:r>
    </w:p>
    <w:p w14:paraId="066CF711" w14:textId="77777777" w:rsidR="000B4F6E" w:rsidRPr="00093453" w:rsidRDefault="000B4F6E" w:rsidP="00B70D28">
      <w:pPr>
        <w:pStyle w:val="Heading3"/>
      </w:pPr>
      <w:r w:rsidRPr="00093453">
        <w:t>Targeted consultation</w:t>
      </w:r>
    </w:p>
    <w:p w14:paraId="1D4EF6C2" w14:textId="153BBB6A" w:rsidR="000B4F6E" w:rsidRPr="00093453" w:rsidRDefault="000B4F6E" w:rsidP="00B70D28">
      <w:pPr>
        <w:pStyle w:val="Normalfollowingheading"/>
      </w:pPr>
      <w:r w:rsidRPr="00093453">
        <w:t>We performed a targeted</w:t>
      </w:r>
      <w:r w:rsidR="009D2DE3">
        <w:t>,</w:t>
      </w:r>
      <w:r w:rsidRPr="00093453">
        <w:t xml:space="preserve"> face-to-face consultation with the following organisations:</w:t>
      </w:r>
    </w:p>
    <w:p w14:paraId="795D3110" w14:textId="37284F47" w:rsidR="000B4F6E" w:rsidRPr="00093453" w:rsidRDefault="000B4F6E" w:rsidP="00B70D28">
      <w:pPr>
        <w:pStyle w:val="Bullet1"/>
      </w:pPr>
      <w:r w:rsidRPr="00093453">
        <w:t>DHHS mental health branch and lived experience workforce</w:t>
      </w:r>
    </w:p>
    <w:p w14:paraId="073022AF" w14:textId="77777777" w:rsidR="000B4F6E" w:rsidRPr="00093453" w:rsidRDefault="000B4F6E" w:rsidP="00B70D28">
      <w:pPr>
        <w:pStyle w:val="Bullet1"/>
      </w:pPr>
      <w:r w:rsidRPr="00093453">
        <w:t>DHHS violence in healthcare reference group</w:t>
      </w:r>
    </w:p>
    <w:p w14:paraId="5CAF4E64" w14:textId="77777777" w:rsidR="000B4F6E" w:rsidRPr="00093453" w:rsidRDefault="000B4F6E" w:rsidP="00B70D28">
      <w:pPr>
        <w:pStyle w:val="Bullet1"/>
      </w:pPr>
      <w:r w:rsidRPr="00093453">
        <w:t>Australian Nursing and Midwifery Federation</w:t>
      </w:r>
      <w:r w:rsidR="00093453">
        <w:t>, Victorian branch</w:t>
      </w:r>
    </w:p>
    <w:p w14:paraId="4C5F42B8" w14:textId="20763248" w:rsidR="000B4F6E" w:rsidRPr="00093453" w:rsidRDefault="000B4F6E" w:rsidP="00B70D28">
      <w:pPr>
        <w:pStyle w:val="Bullet1"/>
      </w:pPr>
      <w:r w:rsidRPr="00093453">
        <w:t>Victorian Mental Health Complain</w:t>
      </w:r>
      <w:r w:rsidR="00A457E6">
        <w:t>t</w:t>
      </w:r>
      <w:r w:rsidRPr="00093453">
        <w:t>s Commissioner</w:t>
      </w:r>
      <w:r w:rsidR="00764A38">
        <w:t>.</w:t>
      </w:r>
    </w:p>
    <w:p w14:paraId="7D8F785D" w14:textId="77777777" w:rsidR="001B3FBC" w:rsidRPr="00DD426E" w:rsidRDefault="00730830" w:rsidP="00B70D28">
      <w:pPr>
        <w:pStyle w:val="Heading2"/>
      </w:pPr>
      <w:bookmarkStart w:id="9" w:name="_Toc35436882"/>
      <w:r w:rsidRPr="00DD426E">
        <w:t>R</w:t>
      </w:r>
      <w:r w:rsidR="001B3FBC" w:rsidRPr="00DD426E">
        <w:t>eview</w:t>
      </w:r>
      <w:bookmarkEnd w:id="9"/>
    </w:p>
    <w:p w14:paraId="04097ABB" w14:textId="43A4401D" w:rsidR="00FA0780" w:rsidRDefault="00FA0780" w:rsidP="00B70D28">
      <w:pPr>
        <w:pStyle w:val="Normalfollowingheading"/>
      </w:pPr>
      <w:r>
        <w:t>In line with SCV’s evidence-based guidance strategy</w:t>
      </w:r>
      <w:r w:rsidR="00381391">
        <w:t>,</w:t>
      </w:r>
      <w:r>
        <w:t xml:space="preserve"> this guidance will be reviewed at least every five years, or more frequently if required</w:t>
      </w:r>
      <w:r w:rsidR="00381391">
        <w:t>,</w:t>
      </w:r>
      <w:r>
        <w:t xml:space="preserve"> to reflect any changes in evidence and best practice. The latest possible review date </w:t>
      </w:r>
      <w:r w:rsidRPr="00AC5ED9">
        <w:t xml:space="preserve">is </w:t>
      </w:r>
      <w:r w:rsidR="00AC5ED9" w:rsidRPr="00AC5ED9">
        <w:t>April 2025</w:t>
      </w:r>
      <w:r w:rsidR="00AC5ED9">
        <w:t>.</w:t>
      </w:r>
    </w:p>
    <w:p w14:paraId="7AB5FD9F" w14:textId="7955CE40" w:rsidR="00FA0780" w:rsidRDefault="001B3FBC" w:rsidP="00B70D28">
      <w:pPr>
        <w:pStyle w:val="Normalfollowingheading"/>
      </w:pPr>
      <w:r w:rsidRPr="00DD426E">
        <w:t>Feedback</w:t>
      </w:r>
      <w:r w:rsidR="00FA0780">
        <w:t xml:space="preserve"> or changes in practice context</w:t>
      </w:r>
      <w:r w:rsidRPr="00DD426E">
        <w:t xml:space="preserve"> in</w:t>
      </w:r>
      <w:r w:rsidR="00764A38">
        <w:t xml:space="preserve"> </w:t>
      </w:r>
      <w:r w:rsidRPr="00DD426E">
        <w:t xml:space="preserve">between scheduled revisions may prompt </w:t>
      </w:r>
      <w:r w:rsidR="00FA0780">
        <w:t>adjustments</w:t>
      </w:r>
      <w:r w:rsidRPr="00DD426E">
        <w:t xml:space="preserve"> to the guidance. The decision to update the guidance in</w:t>
      </w:r>
      <w:r w:rsidR="00764A38">
        <w:t xml:space="preserve"> </w:t>
      </w:r>
      <w:r w:rsidRPr="00DD426E">
        <w:t xml:space="preserve">between scheduled review cycles will be made by the </w:t>
      </w:r>
      <w:r w:rsidR="00B45B0C">
        <w:t>Network’s</w:t>
      </w:r>
      <w:r w:rsidRPr="00DD426E">
        <w:t xml:space="preserve"> Governance Committee in collaboration with previous expert working group members or topic experts as required.</w:t>
      </w:r>
    </w:p>
    <w:p w14:paraId="32CFA49D" w14:textId="77777777" w:rsidR="00FA0780" w:rsidRDefault="00FA0780" w:rsidP="00B70D28">
      <w:pPr>
        <w:pStyle w:val="Normalfollowingheading"/>
      </w:pPr>
      <w:r>
        <w:t>The expert working group identified the following changes in practice context as possible triggers for review or adjustment to the guidance:</w:t>
      </w:r>
    </w:p>
    <w:p w14:paraId="62EAEB95" w14:textId="77777777" w:rsidR="00FA0780" w:rsidRPr="000B4F6E" w:rsidRDefault="00FA0780" w:rsidP="00B70D28">
      <w:pPr>
        <w:pStyle w:val="Bullet1"/>
      </w:pPr>
      <w:r w:rsidRPr="000B4F6E">
        <w:t xml:space="preserve">changes to relevant legislation such as the </w:t>
      </w:r>
      <w:r w:rsidRPr="000B4F6E">
        <w:rPr>
          <w:i/>
          <w:iCs/>
        </w:rPr>
        <w:t>Mental Health Act 2014</w:t>
      </w:r>
    </w:p>
    <w:p w14:paraId="695C9715" w14:textId="77777777" w:rsidR="00FA0780" w:rsidRPr="000B4F6E" w:rsidRDefault="000B4F6E" w:rsidP="00B70D28">
      <w:pPr>
        <w:pStyle w:val="Bullet1"/>
      </w:pPr>
      <w:r w:rsidRPr="000B4F6E">
        <w:t xml:space="preserve">sentinel events relating to care recommended in this guidance </w:t>
      </w:r>
    </w:p>
    <w:p w14:paraId="201CE64F" w14:textId="77777777" w:rsidR="000B4F6E" w:rsidRDefault="000B4F6E" w:rsidP="00B70D28">
      <w:pPr>
        <w:pStyle w:val="Bullet1"/>
      </w:pPr>
      <w:r w:rsidRPr="000B4F6E">
        <w:t xml:space="preserve">changes to </w:t>
      </w:r>
      <w:proofErr w:type="spellStart"/>
      <w:r w:rsidRPr="000B4F6E">
        <w:t>statewide</w:t>
      </w:r>
      <w:proofErr w:type="spellEnd"/>
      <w:r w:rsidRPr="000B4F6E">
        <w:t xml:space="preserve"> models of care for people displaying behaviours of concern, for example full implementation of the emergency mental health and alcohol and other drug (AOD) hubs</w:t>
      </w:r>
      <w:r>
        <w:t>.</w:t>
      </w:r>
    </w:p>
    <w:p w14:paraId="0FBC2AD6" w14:textId="1AFB6DBE" w:rsidR="00093453" w:rsidRPr="008B67AE" w:rsidRDefault="00360D11" w:rsidP="00B70D28">
      <w:pPr>
        <w:pStyle w:val="Heading2"/>
      </w:pPr>
      <w:bookmarkStart w:id="10" w:name="_Toc35436883"/>
      <w:r>
        <w:lastRenderedPageBreak/>
        <w:t>F</w:t>
      </w:r>
      <w:r w:rsidR="00093453" w:rsidRPr="008B67AE">
        <w:t>uture research priorities</w:t>
      </w:r>
      <w:bookmarkEnd w:id="10"/>
    </w:p>
    <w:p w14:paraId="40C407D1" w14:textId="5FC2EF79" w:rsidR="00093453" w:rsidRPr="008B67AE" w:rsidRDefault="00093453" w:rsidP="00B70D28">
      <w:pPr>
        <w:pStyle w:val="Normalfollowingheading"/>
      </w:pPr>
      <w:r w:rsidRPr="008B67AE">
        <w:t>Based on</w:t>
      </w:r>
      <w:r w:rsidR="00381391">
        <w:t xml:space="preserve"> their</w:t>
      </w:r>
      <w:r w:rsidRPr="008B67AE">
        <w:t xml:space="preserve"> work producing this guidance, </w:t>
      </w:r>
      <w:r w:rsidR="00121F18">
        <w:t xml:space="preserve">and </w:t>
      </w:r>
      <w:r w:rsidRPr="008B67AE">
        <w:t>their experience and knowledge, expert working group members identified the following future research priorities:</w:t>
      </w:r>
    </w:p>
    <w:p w14:paraId="3B6CBFFB" w14:textId="77777777" w:rsidR="00093453" w:rsidRPr="008B67AE" w:rsidRDefault="00093453" w:rsidP="00B70D28">
      <w:pPr>
        <w:pStyle w:val="Bullet1"/>
      </w:pPr>
      <w:r w:rsidRPr="008B67AE">
        <w:t>determining the effectiveness of different de-escalation techniques, including when and with what types of people they should be used</w:t>
      </w:r>
    </w:p>
    <w:p w14:paraId="560DDEF8" w14:textId="5469DCA8" w:rsidR="00093453" w:rsidRPr="008B67AE" w:rsidRDefault="00093453" w:rsidP="00B70D28">
      <w:pPr>
        <w:pStyle w:val="Bullet1"/>
      </w:pPr>
      <w:r w:rsidRPr="008B67AE">
        <w:t xml:space="preserve">assessing any </w:t>
      </w:r>
      <w:r w:rsidR="004A2423" w:rsidRPr="008B67AE">
        <w:t>long-term</w:t>
      </w:r>
      <w:r w:rsidRPr="008B67AE">
        <w:t xml:space="preserve"> effects of ketamine administration </w:t>
      </w:r>
    </w:p>
    <w:p w14:paraId="6668DA92" w14:textId="77777777" w:rsidR="004A2423" w:rsidRPr="008B67AE" w:rsidRDefault="00093453" w:rsidP="00B70D28">
      <w:pPr>
        <w:pStyle w:val="Bullet1"/>
      </w:pPr>
      <w:r w:rsidRPr="008B67AE">
        <w:t xml:space="preserve">determining the most appropriate population </w:t>
      </w:r>
      <w:r w:rsidR="004A2423" w:rsidRPr="008B67AE">
        <w:t>for ketamine administration</w:t>
      </w:r>
    </w:p>
    <w:p w14:paraId="6D2FA150" w14:textId="716BB9F0" w:rsidR="00093453" w:rsidRPr="008B67AE" w:rsidRDefault="004A2423" w:rsidP="00B70D28">
      <w:pPr>
        <w:pStyle w:val="Bullet1"/>
      </w:pPr>
      <w:r w:rsidRPr="008B67AE">
        <w:t>determining specific risks associated with different physical and mechanical restraint techniques, and the best technique to use with different populations</w:t>
      </w:r>
    </w:p>
    <w:p w14:paraId="4CC9245F" w14:textId="16BF2AD9" w:rsidR="004A2423" w:rsidRPr="008B67AE" w:rsidRDefault="004A2423" w:rsidP="00B70D28">
      <w:pPr>
        <w:pStyle w:val="Bullet1"/>
      </w:pPr>
      <w:r w:rsidRPr="008B67AE">
        <w:t>establishing reliable reporting and auditable measures for the use of restrictive practices in emergency care settings</w:t>
      </w:r>
      <w:r w:rsidR="001C0DE9" w:rsidRPr="008B67AE">
        <w:t>.</w:t>
      </w:r>
    </w:p>
    <w:p w14:paraId="6C3578BD" w14:textId="528A9F2C" w:rsidR="008B67AE" w:rsidRDefault="001B3FBC" w:rsidP="00B70D28">
      <w:r>
        <w:br w:type="page"/>
      </w:r>
    </w:p>
    <w:p w14:paraId="712E2BC6" w14:textId="65BD5C62" w:rsidR="008B67AE" w:rsidRPr="008B67AE" w:rsidRDefault="008B67AE" w:rsidP="00B70D28">
      <w:pPr>
        <w:pStyle w:val="Heading1numbered"/>
        <w:framePr w:wrap="around"/>
      </w:pPr>
      <w:bookmarkStart w:id="11" w:name="_Toc35436884"/>
      <w:r w:rsidRPr="008B67AE">
        <w:lastRenderedPageBreak/>
        <w:t>2. Governance</w:t>
      </w:r>
      <w:bookmarkEnd w:id="11"/>
      <w:r w:rsidRPr="008B67AE">
        <w:t xml:space="preserve"> </w:t>
      </w:r>
    </w:p>
    <w:p w14:paraId="4D9E0C9B" w14:textId="27C99B1E" w:rsidR="008B67AE" w:rsidRPr="008B67AE" w:rsidRDefault="008B67AE" w:rsidP="00B70D28">
      <w:pPr>
        <w:pStyle w:val="Heading2"/>
      </w:pPr>
      <w:bookmarkStart w:id="12" w:name="_Toc35436885"/>
      <w:r w:rsidRPr="008B67AE">
        <w:t>Approval</w:t>
      </w:r>
      <w:bookmarkEnd w:id="12"/>
    </w:p>
    <w:p w14:paraId="7C509AB2" w14:textId="0641CA5B" w:rsidR="008B67AE" w:rsidRPr="008B67AE" w:rsidRDefault="008B67AE" w:rsidP="00B70D28">
      <w:pPr>
        <w:pStyle w:val="Normalfollowingheading"/>
      </w:pPr>
      <w:r w:rsidRPr="008B67AE">
        <w:t xml:space="preserve">This guidance was approved by the </w:t>
      </w:r>
      <w:r w:rsidR="00B45B0C">
        <w:t>Network’s</w:t>
      </w:r>
      <w:r w:rsidRPr="008B67AE">
        <w:t xml:space="preserve"> Governance Committee</w:t>
      </w:r>
      <w:r w:rsidR="00D8381B">
        <w:t xml:space="preserve"> and SCV Centres of Clinical Excellence Director in April 2020.</w:t>
      </w:r>
    </w:p>
    <w:p w14:paraId="67ABA15E" w14:textId="2EF0C958" w:rsidR="008B67AE" w:rsidRPr="008B67AE" w:rsidRDefault="008B67AE" w:rsidP="00B70D28">
      <w:pPr>
        <w:pStyle w:val="Heading2"/>
      </w:pPr>
      <w:bookmarkStart w:id="13" w:name="_Toc35436886"/>
      <w:r w:rsidRPr="008B67AE">
        <w:t>Funding</w:t>
      </w:r>
      <w:bookmarkEnd w:id="13"/>
    </w:p>
    <w:p w14:paraId="6668F45B" w14:textId="2613E552" w:rsidR="008B67AE" w:rsidRPr="008B67AE" w:rsidRDefault="008B67AE" w:rsidP="00B70D28">
      <w:pPr>
        <w:pStyle w:val="Normalfollowingheading"/>
      </w:pPr>
      <w:r w:rsidRPr="008B67AE">
        <w:t>No financial support was received to enable the development, publication and dissemination of this guidance.</w:t>
      </w:r>
    </w:p>
    <w:p w14:paraId="2B092D7B" w14:textId="43567AA3" w:rsidR="008B67AE" w:rsidRDefault="008B67AE" w:rsidP="00B70D28">
      <w:r>
        <w:br w:type="page"/>
      </w:r>
    </w:p>
    <w:p w14:paraId="2B65DB2D" w14:textId="77777777" w:rsidR="001B3FBC" w:rsidRPr="00DD426E" w:rsidRDefault="001B3FBC" w:rsidP="00B70D28">
      <w:pPr>
        <w:pStyle w:val="Heading1numbered"/>
        <w:framePr w:wrap="around"/>
      </w:pPr>
      <w:bookmarkStart w:id="14" w:name="_Toc35436887"/>
      <w:r w:rsidRPr="00DD426E">
        <w:lastRenderedPageBreak/>
        <w:t>Appendix 1: Review</w:t>
      </w:r>
      <w:r w:rsidR="00730830" w:rsidRPr="00DD426E">
        <w:t>ed</w:t>
      </w:r>
      <w:r w:rsidRPr="00DD426E">
        <w:t xml:space="preserve"> evidence</w:t>
      </w:r>
      <w:bookmarkEnd w:id="14"/>
    </w:p>
    <w:p w14:paraId="7D961DD1" w14:textId="585B3266" w:rsidR="00183BB5" w:rsidRPr="00DD426E" w:rsidRDefault="00183BB5" w:rsidP="00B70D28">
      <w:pPr>
        <w:pStyle w:val="Caption"/>
      </w:pPr>
      <w:r w:rsidRPr="00DD426E">
        <w:t>Table A</w:t>
      </w:r>
      <w:fldSimple w:instr=" SEQ Table \* ARABIC \r 1 ">
        <w:r w:rsidR="00033994">
          <w:rPr>
            <w:noProof/>
          </w:rPr>
          <w:t>1</w:t>
        </w:r>
      </w:fldSimple>
      <w:r w:rsidRPr="00DD426E">
        <w:rPr>
          <w:noProof/>
        </w:rPr>
        <w:t>:</w:t>
      </w:r>
      <w:r w:rsidRPr="00DD426E">
        <w:t xml:space="preserve"> Levels of evidence</w:t>
      </w:r>
    </w:p>
    <w:tbl>
      <w:tblPr>
        <w:tblStyle w:val="TableGrid"/>
        <w:tblW w:w="0" w:type="auto"/>
        <w:tblLook w:val="04A0" w:firstRow="1" w:lastRow="0" w:firstColumn="1" w:lastColumn="0" w:noHBand="0" w:noVBand="1"/>
      </w:tblPr>
      <w:tblGrid>
        <w:gridCol w:w="1590"/>
        <w:gridCol w:w="8500"/>
      </w:tblGrid>
      <w:tr w:rsidR="00183BB5" w:rsidRPr="00AF26FB" w14:paraId="09093612" w14:textId="77777777" w:rsidTr="0089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0302DE47" w14:textId="77777777" w:rsidR="00183BB5" w:rsidRPr="00AF26FB" w:rsidRDefault="00183BB5" w:rsidP="00B70D28">
            <w:r w:rsidRPr="00AF26FB">
              <w:t>Level</w:t>
            </w:r>
          </w:p>
        </w:tc>
        <w:tc>
          <w:tcPr>
            <w:tcW w:w="8500" w:type="dxa"/>
          </w:tcPr>
          <w:p w14:paraId="20160D4E" w14:textId="77777777" w:rsidR="00183BB5" w:rsidRPr="00AF26FB" w:rsidRDefault="00183BB5" w:rsidP="00B70D28">
            <w:pPr>
              <w:cnfStyle w:val="100000000000" w:firstRow="1" w:lastRow="0" w:firstColumn="0" w:lastColumn="0" w:oddVBand="0" w:evenVBand="0" w:oddHBand="0" w:evenHBand="0" w:firstRowFirstColumn="0" w:firstRowLastColumn="0" w:lastRowFirstColumn="0" w:lastRowLastColumn="0"/>
            </w:pPr>
            <w:r w:rsidRPr="00AF26FB">
              <w:t>Description</w:t>
            </w:r>
          </w:p>
        </w:tc>
      </w:tr>
      <w:tr w:rsidR="00183BB5" w:rsidRPr="00AF26FB" w14:paraId="3733DC6E" w14:textId="77777777" w:rsidTr="0089550B">
        <w:tc>
          <w:tcPr>
            <w:cnfStyle w:val="001000000000" w:firstRow="0" w:lastRow="0" w:firstColumn="1" w:lastColumn="0" w:oddVBand="0" w:evenVBand="0" w:oddHBand="0" w:evenHBand="0" w:firstRowFirstColumn="0" w:firstRowLastColumn="0" w:lastRowFirstColumn="0" w:lastRowLastColumn="0"/>
            <w:tcW w:w="1590" w:type="dxa"/>
          </w:tcPr>
          <w:p w14:paraId="416BF4A8" w14:textId="77777777" w:rsidR="00183BB5" w:rsidRPr="00AF26FB" w:rsidRDefault="00183BB5" w:rsidP="00B70D28">
            <w:r w:rsidRPr="00AF26FB">
              <w:t>I</w:t>
            </w:r>
          </w:p>
        </w:tc>
        <w:tc>
          <w:tcPr>
            <w:tcW w:w="8500" w:type="dxa"/>
          </w:tcPr>
          <w:p w14:paraId="659599A3" w14:textId="77777777" w:rsidR="00183BB5" w:rsidRPr="00AF26FB" w:rsidRDefault="00183BB5" w:rsidP="00B70D28">
            <w:pPr>
              <w:cnfStyle w:val="000000000000" w:firstRow="0" w:lastRow="0" w:firstColumn="0" w:lastColumn="0" w:oddVBand="0" w:evenVBand="0" w:oddHBand="0" w:evenHBand="0" w:firstRowFirstColumn="0" w:firstRowLastColumn="0" w:lastRowFirstColumn="0" w:lastRowLastColumn="0"/>
            </w:pPr>
            <w:r w:rsidRPr="00AF26FB">
              <w:t>Evidence obtained from a systematic review of all relevant randomised controlled trials</w:t>
            </w:r>
          </w:p>
        </w:tc>
      </w:tr>
      <w:tr w:rsidR="00183BB5" w:rsidRPr="00AF26FB" w14:paraId="062308E4" w14:textId="77777777" w:rsidTr="0089550B">
        <w:tc>
          <w:tcPr>
            <w:cnfStyle w:val="001000000000" w:firstRow="0" w:lastRow="0" w:firstColumn="1" w:lastColumn="0" w:oddVBand="0" w:evenVBand="0" w:oddHBand="0" w:evenHBand="0" w:firstRowFirstColumn="0" w:firstRowLastColumn="0" w:lastRowFirstColumn="0" w:lastRowLastColumn="0"/>
            <w:tcW w:w="1590" w:type="dxa"/>
          </w:tcPr>
          <w:p w14:paraId="5B9C361C" w14:textId="77777777" w:rsidR="00183BB5" w:rsidRPr="00AF26FB" w:rsidRDefault="00183BB5" w:rsidP="00B70D28">
            <w:r w:rsidRPr="00AF26FB">
              <w:t>II</w:t>
            </w:r>
          </w:p>
        </w:tc>
        <w:tc>
          <w:tcPr>
            <w:tcW w:w="8500" w:type="dxa"/>
          </w:tcPr>
          <w:p w14:paraId="12D4BB53" w14:textId="77777777" w:rsidR="00183BB5" w:rsidRPr="00AF26FB" w:rsidRDefault="00183BB5" w:rsidP="00B70D28">
            <w:pPr>
              <w:cnfStyle w:val="000000000000" w:firstRow="0" w:lastRow="0" w:firstColumn="0" w:lastColumn="0" w:oddVBand="0" w:evenVBand="0" w:oddHBand="0" w:evenHBand="0" w:firstRowFirstColumn="0" w:firstRowLastColumn="0" w:lastRowFirstColumn="0" w:lastRowLastColumn="0"/>
            </w:pPr>
            <w:r w:rsidRPr="00AF26FB">
              <w:t>Evidence obtained from at least one properly designed randomised controlled trial</w:t>
            </w:r>
          </w:p>
        </w:tc>
      </w:tr>
      <w:tr w:rsidR="00183BB5" w:rsidRPr="00AF26FB" w14:paraId="155CA663" w14:textId="77777777" w:rsidTr="0089550B">
        <w:tc>
          <w:tcPr>
            <w:cnfStyle w:val="001000000000" w:firstRow="0" w:lastRow="0" w:firstColumn="1" w:lastColumn="0" w:oddVBand="0" w:evenVBand="0" w:oddHBand="0" w:evenHBand="0" w:firstRowFirstColumn="0" w:firstRowLastColumn="0" w:lastRowFirstColumn="0" w:lastRowLastColumn="0"/>
            <w:tcW w:w="1590" w:type="dxa"/>
          </w:tcPr>
          <w:p w14:paraId="0918CCFA" w14:textId="77777777" w:rsidR="00183BB5" w:rsidRPr="00AF26FB" w:rsidRDefault="00183BB5" w:rsidP="00B70D28">
            <w:r w:rsidRPr="00AF26FB">
              <w:t>III-1</w:t>
            </w:r>
          </w:p>
        </w:tc>
        <w:tc>
          <w:tcPr>
            <w:tcW w:w="8500" w:type="dxa"/>
          </w:tcPr>
          <w:p w14:paraId="177C4480" w14:textId="4218D8CC" w:rsidR="00183BB5" w:rsidRPr="00AF26FB" w:rsidRDefault="00183BB5" w:rsidP="00B70D28">
            <w:pPr>
              <w:cnfStyle w:val="000000000000" w:firstRow="0" w:lastRow="0" w:firstColumn="0" w:lastColumn="0" w:oddVBand="0" w:evenVBand="0" w:oddHBand="0" w:evenHBand="0" w:firstRowFirstColumn="0" w:firstRowLastColumn="0" w:lastRowFirstColumn="0" w:lastRowLastColumn="0"/>
            </w:pPr>
            <w:r w:rsidRPr="00AF26FB">
              <w:t>Evidence obtained from well-designed</w:t>
            </w:r>
            <w:r w:rsidR="005454E9">
              <w:t>,</w:t>
            </w:r>
            <w:r w:rsidRPr="00AF26FB">
              <w:t xml:space="preserve"> pseudo</w:t>
            </w:r>
            <w:r w:rsidR="005454E9">
              <w:t>-</w:t>
            </w:r>
            <w:r w:rsidRPr="00AF26FB">
              <w:t>randomised controlled trials</w:t>
            </w:r>
          </w:p>
        </w:tc>
      </w:tr>
      <w:tr w:rsidR="00183BB5" w:rsidRPr="00AF26FB" w14:paraId="3D7E15E4" w14:textId="77777777" w:rsidTr="0089550B">
        <w:tc>
          <w:tcPr>
            <w:cnfStyle w:val="001000000000" w:firstRow="0" w:lastRow="0" w:firstColumn="1" w:lastColumn="0" w:oddVBand="0" w:evenVBand="0" w:oddHBand="0" w:evenHBand="0" w:firstRowFirstColumn="0" w:firstRowLastColumn="0" w:lastRowFirstColumn="0" w:lastRowLastColumn="0"/>
            <w:tcW w:w="1590" w:type="dxa"/>
          </w:tcPr>
          <w:p w14:paraId="1E67ED2C" w14:textId="77777777" w:rsidR="00183BB5" w:rsidRPr="00AF26FB" w:rsidRDefault="00183BB5" w:rsidP="00B70D28">
            <w:r w:rsidRPr="00AF26FB">
              <w:t>III-2</w:t>
            </w:r>
          </w:p>
        </w:tc>
        <w:tc>
          <w:tcPr>
            <w:tcW w:w="8500" w:type="dxa"/>
          </w:tcPr>
          <w:p w14:paraId="14027639" w14:textId="77777777" w:rsidR="00183BB5" w:rsidRPr="00AF26FB" w:rsidRDefault="00183BB5" w:rsidP="00B70D28">
            <w:pPr>
              <w:cnfStyle w:val="000000000000" w:firstRow="0" w:lastRow="0" w:firstColumn="0" w:lastColumn="0" w:oddVBand="0" w:evenVBand="0" w:oddHBand="0" w:evenHBand="0" w:firstRowFirstColumn="0" w:firstRowLastColumn="0" w:lastRowFirstColumn="0" w:lastRowLastColumn="0"/>
            </w:pPr>
            <w:r w:rsidRPr="00AF26FB">
              <w:t>Evidence obtained from comparative studies with concurrent controls, including reviews of such studies. Examples include cohort studies, case-control studies, non-randomised experimental trials, interrupted time series with a control group</w:t>
            </w:r>
          </w:p>
        </w:tc>
      </w:tr>
      <w:tr w:rsidR="00183BB5" w:rsidRPr="00AF26FB" w14:paraId="695B2F7C" w14:textId="77777777" w:rsidTr="0089550B">
        <w:tc>
          <w:tcPr>
            <w:cnfStyle w:val="001000000000" w:firstRow="0" w:lastRow="0" w:firstColumn="1" w:lastColumn="0" w:oddVBand="0" w:evenVBand="0" w:oddHBand="0" w:evenHBand="0" w:firstRowFirstColumn="0" w:firstRowLastColumn="0" w:lastRowFirstColumn="0" w:lastRowLastColumn="0"/>
            <w:tcW w:w="1590" w:type="dxa"/>
          </w:tcPr>
          <w:p w14:paraId="291A939C" w14:textId="77777777" w:rsidR="00183BB5" w:rsidRPr="00AF26FB" w:rsidRDefault="00183BB5" w:rsidP="00B70D28">
            <w:r w:rsidRPr="00AF26FB">
              <w:t>III-3</w:t>
            </w:r>
          </w:p>
        </w:tc>
        <w:tc>
          <w:tcPr>
            <w:tcW w:w="8500" w:type="dxa"/>
          </w:tcPr>
          <w:p w14:paraId="7B9DA1F5" w14:textId="57148139" w:rsidR="00183BB5" w:rsidRPr="00AF26FB" w:rsidRDefault="00183BB5" w:rsidP="00B70D28">
            <w:pPr>
              <w:cnfStyle w:val="000000000000" w:firstRow="0" w:lastRow="0" w:firstColumn="0" w:lastColumn="0" w:oddVBand="0" w:evenVBand="0" w:oddHBand="0" w:evenHBand="0" w:firstRowFirstColumn="0" w:firstRowLastColumn="0" w:lastRowFirstColumn="0" w:lastRowLastColumn="0"/>
            </w:pPr>
            <w:r w:rsidRPr="00AF26FB">
              <w:t>Evidence obtained from comparative studies without concurrent controls, including reviews of such studies. Examples include historical control studies, two or more single</w:t>
            </w:r>
            <w:r w:rsidR="005454E9">
              <w:t>-</w:t>
            </w:r>
            <w:r w:rsidRPr="00AF26FB">
              <w:t>arm studies, interrupted time series without a parallel control group</w:t>
            </w:r>
          </w:p>
        </w:tc>
      </w:tr>
      <w:tr w:rsidR="00183BB5" w:rsidRPr="00AF26FB" w14:paraId="59A5EBDC" w14:textId="77777777" w:rsidTr="0089550B">
        <w:tc>
          <w:tcPr>
            <w:cnfStyle w:val="001000000000" w:firstRow="0" w:lastRow="0" w:firstColumn="1" w:lastColumn="0" w:oddVBand="0" w:evenVBand="0" w:oddHBand="0" w:evenHBand="0" w:firstRowFirstColumn="0" w:firstRowLastColumn="0" w:lastRowFirstColumn="0" w:lastRowLastColumn="0"/>
            <w:tcW w:w="1590" w:type="dxa"/>
          </w:tcPr>
          <w:p w14:paraId="6A398F12" w14:textId="77777777" w:rsidR="00183BB5" w:rsidRPr="00AF26FB" w:rsidRDefault="00183BB5" w:rsidP="00B70D28">
            <w:r w:rsidRPr="00AF26FB">
              <w:t>IV</w:t>
            </w:r>
          </w:p>
        </w:tc>
        <w:tc>
          <w:tcPr>
            <w:tcW w:w="8500" w:type="dxa"/>
          </w:tcPr>
          <w:p w14:paraId="3D329C60" w14:textId="77777777" w:rsidR="00183BB5" w:rsidRPr="00AF26FB" w:rsidRDefault="00183BB5" w:rsidP="00B70D28">
            <w:pPr>
              <w:cnfStyle w:val="000000000000" w:firstRow="0" w:lastRow="0" w:firstColumn="0" w:lastColumn="0" w:oddVBand="0" w:evenVBand="0" w:oddHBand="0" w:evenHBand="0" w:firstRowFirstColumn="0" w:firstRowLastColumn="0" w:lastRowFirstColumn="0" w:lastRowLastColumn="0"/>
            </w:pPr>
            <w:r w:rsidRPr="00AF26FB">
              <w:t>Evidence obtained from case series with either post-test or pre-test/post-test outcomes</w:t>
            </w:r>
          </w:p>
        </w:tc>
      </w:tr>
      <w:tr w:rsidR="00183BB5" w:rsidRPr="00AF26FB" w14:paraId="2193E7B1" w14:textId="77777777" w:rsidTr="0089550B">
        <w:tc>
          <w:tcPr>
            <w:cnfStyle w:val="001000000000" w:firstRow="0" w:lastRow="0" w:firstColumn="1" w:lastColumn="0" w:oddVBand="0" w:evenVBand="0" w:oddHBand="0" w:evenHBand="0" w:firstRowFirstColumn="0" w:firstRowLastColumn="0" w:lastRowFirstColumn="0" w:lastRowLastColumn="0"/>
            <w:tcW w:w="1590" w:type="dxa"/>
          </w:tcPr>
          <w:p w14:paraId="4D5640B8" w14:textId="77777777" w:rsidR="00183BB5" w:rsidRPr="00AF26FB" w:rsidRDefault="00183BB5" w:rsidP="00B70D28">
            <w:r w:rsidRPr="00AF26FB">
              <w:t>V</w:t>
            </w:r>
          </w:p>
        </w:tc>
        <w:tc>
          <w:tcPr>
            <w:tcW w:w="8500" w:type="dxa"/>
          </w:tcPr>
          <w:p w14:paraId="00FDBEF8" w14:textId="77777777" w:rsidR="00183BB5" w:rsidRPr="00AF26FB" w:rsidRDefault="00183BB5" w:rsidP="00B70D28">
            <w:pPr>
              <w:cnfStyle w:val="000000000000" w:firstRow="0" w:lastRow="0" w:firstColumn="0" w:lastColumn="0" w:oddVBand="0" w:evenVBand="0" w:oddHBand="0" w:evenHBand="0" w:firstRowFirstColumn="0" w:firstRowLastColumn="0" w:lastRowFirstColumn="0" w:lastRowLastColumn="0"/>
            </w:pPr>
            <w:r w:rsidRPr="00AF26FB">
              <w:t>Evidence obtained from single descriptive or qualitative studies, including reports of lived experiences of care</w:t>
            </w:r>
          </w:p>
        </w:tc>
      </w:tr>
      <w:tr w:rsidR="00183BB5" w:rsidRPr="00AF26FB" w14:paraId="284F34B7" w14:textId="77777777" w:rsidTr="0089550B">
        <w:tc>
          <w:tcPr>
            <w:cnfStyle w:val="001000000000" w:firstRow="0" w:lastRow="0" w:firstColumn="1" w:lastColumn="0" w:oddVBand="0" w:evenVBand="0" w:oddHBand="0" w:evenHBand="0" w:firstRowFirstColumn="0" w:firstRowLastColumn="0" w:lastRowFirstColumn="0" w:lastRowLastColumn="0"/>
            <w:tcW w:w="1590" w:type="dxa"/>
          </w:tcPr>
          <w:p w14:paraId="422C4299" w14:textId="77777777" w:rsidR="00183BB5" w:rsidRPr="00AF26FB" w:rsidRDefault="00183BB5" w:rsidP="00B70D28">
            <w:r w:rsidRPr="00AF26FB">
              <w:t>Consensus</w:t>
            </w:r>
          </w:p>
        </w:tc>
        <w:tc>
          <w:tcPr>
            <w:tcW w:w="8500" w:type="dxa"/>
          </w:tcPr>
          <w:p w14:paraId="3703CFFF" w14:textId="77777777" w:rsidR="00183BB5" w:rsidRPr="00AF26FB" w:rsidRDefault="00183BB5" w:rsidP="00B70D28">
            <w:pPr>
              <w:cnfStyle w:val="000000000000" w:firstRow="0" w:lastRow="0" w:firstColumn="0" w:lastColumn="0" w:oddVBand="0" w:evenVBand="0" w:oddHBand="0" w:evenHBand="0" w:firstRowFirstColumn="0" w:firstRowLastColumn="0" w:lastRowFirstColumn="0" w:lastRowLastColumn="0"/>
            </w:pPr>
            <w:r w:rsidRPr="00AF26FB">
              <w:t>Expert opinions based on respected authorities or reports of expert committees</w:t>
            </w:r>
          </w:p>
        </w:tc>
      </w:tr>
      <w:tr w:rsidR="00183BB5" w:rsidRPr="00AF26FB" w14:paraId="5845250A" w14:textId="77777777" w:rsidTr="0089550B">
        <w:tc>
          <w:tcPr>
            <w:cnfStyle w:val="001000000000" w:firstRow="0" w:lastRow="0" w:firstColumn="1" w:lastColumn="0" w:oddVBand="0" w:evenVBand="0" w:oddHBand="0" w:evenHBand="0" w:firstRowFirstColumn="0" w:firstRowLastColumn="0" w:lastRowFirstColumn="0" w:lastRowLastColumn="0"/>
            <w:tcW w:w="1590" w:type="dxa"/>
          </w:tcPr>
          <w:p w14:paraId="01A62A79" w14:textId="77777777" w:rsidR="00183BB5" w:rsidRPr="00AF26FB" w:rsidRDefault="00183BB5" w:rsidP="00B70D28">
            <w:r w:rsidRPr="00AF26FB">
              <w:t>N/A</w:t>
            </w:r>
          </w:p>
        </w:tc>
        <w:tc>
          <w:tcPr>
            <w:tcW w:w="8500" w:type="dxa"/>
          </w:tcPr>
          <w:p w14:paraId="5EB81D33" w14:textId="77777777" w:rsidR="00183BB5" w:rsidRPr="00AF26FB" w:rsidRDefault="00183BB5" w:rsidP="00B70D28">
            <w:pPr>
              <w:cnfStyle w:val="000000000000" w:firstRow="0" w:lastRow="0" w:firstColumn="0" w:lastColumn="0" w:oddVBand="0" w:evenVBand="0" w:oddHBand="0" w:evenHBand="0" w:firstRowFirstColumn="0" w:firstRowLastColumn="0" w:lastRowFirstColumn="0" w:lastRowLastColumn="0"/>
            </w:pPr>
            <w:r w:rsidRPr="00AF26FB">
              <w:t>Evidence that cannot be graded, such as legislation</w:t>
            </w:r>
          </w:p>
        </w:tc>
      </w:tr>
    </w:tbl>
    <w:p w14:paraId="063D5499" w14:textId="77777777" w:rsidR="00183BB5" w:rsidRPr="00DD426E" w:rsidRDefault="00183BB5" w:rsidP="00B70D28">
      <w:pPr>
        <w:pStyle w:val="Heading3"/>
      </w:pPr>
      <w:bookmarkStart w:id="15" w:name="_Toc29374937"/>
      <w:bookmarkStart w:id="16" w:name="_Toc29374995"/>
      <w:bookmarkStart w:id="17" w:name="_Toc29375132"/>
      <w:bookmarkStart w:id="18" w:name="_Toc29375162"/>
      <w:r w:rsidRPr="00DD426E">
        <w:t>Assessment</w:t>
      </w:r>
      <w:bookmarkEnd w:id="15"/>
      <w:bookmarkEnd w:id="16"/>
      <w:bookmarkEnd w:id="17"/>
      <w:bookmarkEnd w:id="18"/>
    </w:p>
    <w:p w14:paraId="79E32A26" w14:textId="0EF4DE66" w:rsidR="00183BB5" w:rsidRPr="00DD426E" w:rsidRDefault="00183BB5" w:rsidP="00B70D28">
      <w:pPr>
        <w:pStyle w:val="Caption"/>
      </w:pPr>
      <w:r w:rsidRPr="00DD426E">
        <w:t>Table A</w:t>
      </w:r>
      <w:fldSimple w:instr=" SEQ Table \* ARABIC ">
        <w:r w:rsidR="00033994">
          <w:rPr>
            <w:noProof/>
          </w:rPr>
          <w:t>2</w:t>
        </w:r>
      </w:fldSimple>
      <w:r w:rsidRPr="00DD426E">
        <w:rPr>
          <w:noProof/>
        </w:rPr>
        <w:t>:</w:t>
      </w:r>
      <w:r w:rsidRPr="00DD426E">
        <w:t xml:space="preserve"> Level of evidence summary: assessment section</w:t>
      </w:r>
    </w:p>
    <w:tbl>
      <w:tblPr>
        <w:tblStyle w:val="TableGrid"/>
        <w:tblW w:w="0" w:type="auto"/>
        <w:tblLook w:val="04A0" w:firstRow="1" w:lastRow="0" w:firstColumn="1" w:lastColumn="0" w:noHBand="0" w:noVBand="1"/>
      </w:tblPr>
      <w:tblGrid>
        <w:gridCol w:w="1047"/>
        <w:gridCol w:w="1007"/>
        <w:gridCol w:w="894"/>
        <w:gridCol w:w="993"/>
        <w:gridCol w:w="1039"/>
        <w:gridCol w:w="1007"/>
        <w:gridCol w:w="1007"/>
        <w:gridCol w:w="1007"/>
        <w:gridCol w:w="1113"/>
        <w:gridCol w:w="976"/>
      </w:tblGrid>
      <w:tr w:rsidR="00183BB5" w:rsidRPr="00AF26FB" w14:paraId="0DE3A7B6" w14:textId="77777777" w:rsidTr="0089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AD4F954" w14:textId="77777777" w:rsidR="00183BB5" w:rsidRPr="00AF26FB" w:rsidRDefault="00183BB5" w:rsidP="00B70D28">
            <w:pPr>
              <w:pStyle w:val="Normalfollowingheading"/>
            </w:pPr>
          </w:p>
        </w:tc>
        <w:tc>
          <w:tcPr>
            <w:tcW w:w="1007" w:type="dxa"/>
          </w:tcPr>
          <w:p w14:paraId="776DD95D" w14:textId="3A0B145D"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1776D9">
              <w:br/>
            </w:r>
            <w:r w:rsidRPr="00AF26FB">
              <w:t>I</w:t>
            </w:r>
          </w:p>
        </w:tc>
        <w:tc>
          <w:tcPr>
            <w:tcW w:w="0" w:type="dxa"/>
          </w:tcPr>
          <w:p w14:paraId="4C38BA6C" w14:textId="56190C20"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1776D9">
              <w:br/>
            </w:r>
            <w:r w:rsidRPr="00AF26FB">
              <w:t>II</w:t>
            </w:r>
          </w:p>
        </w:tc>
        <w:tc>
          <w:tcPr>
            <w:tcW w:w="0" w:type="dxa"/>
          </w:tcPr>
          <w:p w14:paraId="3754A1F8" w14:textId="19F30763"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1776D9">
              <w:br/>
            </w:r>
            <w:r w:rsidRPr="00AF26FB">
              <w:t>III-1</w:t>
            </w:r>
          </w:p>
        </w:tc>
        <w:tc>
          <w:tcPr>
            <w:tcW w:w="0" w:type="dxa"/>
          </w:tcPr>
          <w:p w14:paraId="44D66DAD" w14:textId="1B6F19B0"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1776D9">
              <w:br/>
            </w:r>
            <w:r w:rsidRPr="00AF26FB">
              <w:t>III-2</w:t>
            </w:r>
          </w:p>
        </w:tc>
        <w:tc>
          <w:tcPr>
            <w:tcW w:w="0" w:type="dxa"/>
          </w:tcPr>
          <w:p w14:paraId="713A63BB" w14:textId="10393BAC"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1776D9">
              <w:br/>
            </w:r>
            <w:r w:rsidRPr="00AF26FB">
              <w:t>III-3</w:t>
            </w:r>
          </w:p>
        </w:tc>
        <w:tc>
          <w:tcPr>
            <w:tcW w:w="0" w:type="dxa"/>
          </w:tcPr>
          <w:p w14:paraId="6810EDA0" w14:textId="7EB2FAF0"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1776D9">
              <w:br/>
            </w:r>
            <w:r w:rsidRPr="00AF26FB">
              <w:t>IV</w:t>
            </w:r>
          </w:p>
        </w:tc>
        <w:tc>
          <w:tcPr>
            <w:tcW w:w="0" w:type="dxa"/>
          </w:tcPr>
          <w:p w14:paraId="6C78F428" w14:textId="3351D800"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1776D9">
              <w:br/>
            </w:r>
            <w:r w:rsidRPr="00AF26FB">
              <w:t>V</w:t>
            </w:r>
          </w:p>
        </w:tc>
        <w:tc>
          <w:tcPr>
            <w:tcW w:w="0" w:type="dxa"/>
          </w:tcPr>
          <w:p w14:paraId="773B84FC"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Consensus</w:t>
            </w:r>
          </w:p>
        </w:tc>
        <w:tc>
          <w:tcPr>
            <w:tcW w:w="0" w:type="dxa"/>
          </w:tcPr>
          <w:p w14:paraId="4169AB76"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N/A</w:t>
            </w:r>
          </w:p>
        </w:tc>
      </w:tr>
      <w:tr w:rsidR="00183BB5" w:rsidRPr="00AF26FB" w14:paraId="499FC23B" w14:textId="77777777" w:rsidTr="0089550B">
        <w:tc>
          <w:tcPr>
            <w:cnfStyle w:val="001000000000" w:firstRow="0" w:lastRow="0" w:firstColumn="1" w:lastColumn="0" w:oddVBand="0" w:evenVBand="0" w:oddHBand="0" w:evenHBand="0" w:firstRowFirstColumn="0" w:firstRowLastColumn="0" w:lastRowFirstColumn="0" w:lastRowLastColumn="0"/>
            <w:tcW w:w="1047" w:type="dxa"/>
            <w:vAlign w:val="center"/>
          </w:tcPr>
          <w:p w14:paraId="71A59C6C" w14:textId="77777777" w:rsidR="00183BB5" w:rsidRPr="00AF26FB" w:rsidRDefault="00183BB5" w:rsidP="00B70D28">
            <w:pPr>
              <w:pStyle w:val="Normalfollowingheading"/>
            </w:pPr>
            <w:r w:rsidRPr="00AF26FB">
              <w:t>Total number</w:t>
            </w:r>
          </w:p>
        </w:tc>
        <w:tc>
          <w:tcPr>
            <w:tcW w:w="1007" w:type="dxa"/>
            <w:vAlign w:val="center"/>
          </w:tcPr>
          <w:p w14:paraId="796EDAFC"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p>
        </w:tc>
        <w:tc>
          <w:tcPr>
            <w:tcW w:w="894" w:type="dxa"/>
            <w:vAlign w:val="center"/>
          </w:tcPr>
          <w:p w14:paraId="2CD3EA36"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993" w:type="dxa"/>
            <w:vAlign w:val="center"/>
          </w:tcPr>
          <w:p w14:paraId="58CCEC69"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39" w:type="dxa"/>
            <w:vAlign w:val="center"/>
          </w:tcPr>
          <w:p w14:paraId="48966D55"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6</w:t>
            </w:r>
          </w:p>
        </w:tc>
        <w:tc>
          <w:tcPr>
            <w:tcW w:w="1007" w:type="dxa"/>
            <w:vAlign w:val="center"/>
          </w:tcPr>
          <w:p w14:paraId="4DED330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2</w:t>
            </w:r>
          </w:p>
        </w:tc>
        <w:tc>
          <w:tcPr>
            <w:tcW w:w="1007" w:type="dxa"/>
            <w:vAlign w:val="center"/>
          </w:tcPr>
          <w:p w14:paraId="1FCAF1D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47AC0F88" w14:textId="77777777" w:rsidR="00183BB5" w:rsidRPr="00AF26FB" w:rsidRDefault="00095E59"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9</w:t>
            </w:r>
          </w:p>
        </w:tc>
        <w:tc>
          <w:tcPr>
            <w:tcW w:w="1113" w:type="dxa"/>
            <w:vAlign w:val="center"/>
          </w:tcPr>
          <w:p w14:paraId="2EDCB31E"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18</w:t>
            </w:r>
          </w:p>
        </w:tc>
        <w:tc>
          <w:tcPr>
            <w:tcW w:w="976" w:type="dxa"/>
            <w:vAlign w:val="center"/>
          </w:tcPr>
          <w:p w14:paraId="63D05027"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r>
    </w:tbl>
    <w:p w14:paraId="10EB3803" w14:textId="77777777" w:rsidR="00183BB5" w:rsidRDefault="00183BB5" w:rsidP="00B70D28">
      <w:pPr>
        <w:pStyle w:val="Normalfollowingheading"/>
      </w:pPr>
    </w:p>
    <w:p w14:paraId="2AD0981E" w14:textId="77777777" w:rsidR="00183BB5" w:rsidRPr="00DD426E" w:rsidRDefault="00183BB5" w:rsidP="00B70D28">
      <w:pPr>
        <w:pStyle w:val="Normalfollowingheading"/>
      </w:pPr>
      <w:proofErr w:type="spellStart"/>
      <w:r w:rsidRPr="00DD426E">
        <w:t>Alam</w:t>
      </w:r>
      <w:proofErr w:type="spellEnd"/>
      <w:r w:rsidRPr="00DD426E">
        <w:t xml:space="preserve"> A, Rachal J, Tucci VT, </w:t>
      </w:r>
      <w:proofErr w:type="spellStart"/>
      <w:r w:rsidRPr="00DD426E">
        <w:t>Moukaddam</w:t>
      </w:r>
      <w:proofErr w:type="spellEnd"/>
      <w:r w:rsidRPr="00DD426E">
        <w:t xml:space="preserve"> N. Emergency department medical clearance of patients with psychiatric or </w:t>
      </w:r>
      <w:proofErr w:type="spellStart"/>
      <w:r w:rsidRPr="00DD426E">
        <w:t>behavioral</w:t>
      </w:r>
      <w:proofErr w:type="spellEnd"/>
      <w:r w:rsidRPr="00DD426E">
        <w:t xml:space="preserve"> emergencies, Part 2: Special Psychiatric Populations and Considerations. Psychiatric Clinics of North America [Internet]. 2017 [cited 2019];40(3):425–33.</w:t>
      </w:r>
    </w:p>
    <w:p w14:paraId="1F688640" w14:textId="77777777" w:rsidR="00183BB5" w:rsidRPr="00DD426E" w:rsidRDefault="00183BB5" w:rsidP="00B70D28">
      <w:pPr>
        <w:pStyle w:val="Normalfollowingheading"/>
      </w:pPr>
      <w:r w:rsidRPr="00DD426E">
        <w:t xml:space="preserve">Calver LA, Stokes B, </w:t>
      </w:r>
      <w:proofErr w:type="spellStart"/>
      <w:r w:rsidRPr="00DD426E">
        <w:t>Isbister</w:t>
      </w:r>
      <w:proofErr w:type="spellEnd"/>
      <w:r w:rsidRPr="00DD426E">
        <w:t xml:space="preserve"> GK. Sedation assessment tool to score acute behavioural disturbance in the emergency department. Emergency Medicine Australasia [Internet]. 2011 [cited 2019];23(6):732-40.</w:t>
      </w:r>
    </w:p>
    <w:p w14:paraId="07F30671" w14:textId="77777777" w:rsidR="00183BB5" w:rsidRPr="00DD426E" w:rsidRDefault="00183BB5" w:rsidP="00B70D28">
      <w:pPr>
        <w:pStyle w:val="Normalfollowingheading"/>
      </w:pPr>
      <w:r w:rsidRPr="00DD426E">
        <w:t>Considine J, Berry D, Johnson R, Sands N. Vital signs as predictors for aggression in hospital patients (VAPA). Journal of Clinical Nursing [Internet]. 2017 [cited 2019];26(17-18):2593–604.</w:t>
      </w:r>
    </w:p>
    <w:p w14:paraId="114AD194" w14:textId="77777777" w:rsidR="00183BB5" w:rsidRPr="00DD426E" w:rsidRDefault="00183BB5" w:rsidP="00B70D28">
      <w:pPr>
        <w:pStyle w:val="Normalfollowingheading"/>
      </w:pPr>
      <w:r w:rsidRPr="00DD426E">
        <w:t>Cowling SA, McKeon MA, Weiland TJ. Managing acute behavioural disturbance in an emergency department using a behavioural assessment room. Australian Health Review [Internet]. 2007 [cited 2019];31(2):296–304.</w:t>
      </w:r>
    </w:p>
    <w:p w14:paraId="7E56DAE7" w14:textId="77777777" w:rsidR="00183BB5" w:rsidRPr="00DD426E" w:rsidRDefault="00183BB5" w:rsidP="00B70D28">
      <w:pPr>
        <w:pStyle w:val="Normalfollowingheading"/>
      </w:pPr>
      <w:r w:rsidRPr="00DD426E">
        <w:lastRenderedPageBreak/>
        <w:t xml:space="preserve">Douglass AM, Luo J, </w:t>
      </w:r>
      <w:proofErr w:type="spellStart"/>
      <w:r w:rsidRPr="00DD426E">
        <w:t>Baraff</w:t>
      </w:r>
      <w:proofErr w:type="spellEnd"/>
      <w:r w:rsidRPr="00DD426E">
        <w:t xml:space="preserve"> LJ. Emergency medicine and psychiatry agreement on diagnosis and disposition of emergency department patients with </w:t>
      </w:r>
      <w:proofErr w:type="spellStart"/>
      <w:r w:rsidRPr="00DD426E">
        <w:t>behavioral</w:t>
      </w:r>
      <w:proofErr w:type="spellEnd"/>
      <w:r w:rsidRPr="00DD426E">
        <w:t xml:space="preserve"> emergencies. Academic Emergency Medicine [Internet]. 2011 [cited 2019];18(4):368–73.</w:t>
      </w:r>
    </w:p>
    <w:p w14:paraId="6518BC56" w14:textId="77777777" w:rsidR="00183BB5" w:rsidRPr="00DD426E" w:rsidRDefault="00183BB5" w:rsidP="00B70D28">
      <w:pPr>
        <w:pStyle w:val="Normalfollowingheading"/>
      </w:pPr>
      <w:r w:rsidRPr="00DD426E">
        <w:t xml:space="preserve">Downes MA, Healy P, Page CB, Bryant JL, </w:t>
      </w:r>
      <w:proofErr w:type="spellStart"/>
      <w:r w:rsidRPr="00DD426E">
        <w:t>Isbister</w:t>
      </w:r>
      <w:proofErr w:type="spellEnd"/>
      <w:r w:rsidRPr="00DD426E">
        <w:t xml:space="preserve"> GK. Structured team approach to the agitated patient in the emergency department. Emergency Medicine Australasia [Internet]. 2009 [cited 2019];21(3):196–202.</w:t>
      </w:r>
    </w:p>
    <w:p w14:paraId="00FE2928" w14:textId="77777777" w:rsidR="00183BB5" w:rsidRPr="00DD426E" w:rsidRDefault="00183BB5" w:rsidP="00B70D28">
      <w:pPr>
        <w:pStyle w:val="Normalfollowingheading"/>
      </w:pPr>
      <w:proofErr w:type="spellStart"/>
      <w:r w:rsidRPr="00DD426E">
        <w:t>Garriga</w:t>
      </w:r>
      <w:proofErr w:type="spellEnd"/>
      <w:r w:rsidRPr="00DD426E">
        <w:t xml:space="preserve"> M, </w:t>
      </w:r>
      <w:proofErr w:type="spellStart"/>
      <w:r w:rsidRPr="00DD426E">
        <w:t>Pacchiarotti</w:t>
      </w:r>
      <w:proofErr w:type="spellEnd"/>
      <w:r w:rsidRPr="00DD426E">
        <w:t xml:space="preserve"> I, Kasper S, Zeller SL, Allen MH, Vazquez G, et al. Assessment and management of agitation in psychiatry: expert consensus. World Journal of Biological Psychiatry [Internet]. 2016 [cited 2019];17(2):86–128.</w:t>
      </w:r>
    </w:p>
    <w:p w14:paraId="317D84F3" w14:textId="77777777" w:rsidR="00183BB5" w:rsidRPr="00DD426E" w:rsidRDefault="00183BB5" w:rsidP="00B70D28">
      <w:pPr>
        <w:pStyle w:val="Normalfollowingheading"/>
      </w:pPr>
      <w:r w:rsidRPr="00DD426E">
        <w:t xml:space="preserve">Goldberg RJ, </w:t>
      </w:r>
      <w:proofErr w:type="spellStart"/>
      <w:r w:rsidRPr="00DD426E">
        <w:t>Dubin</w:t>
      </w:r>
      <w:proofErr w:type="spellEnd"/>
      <w:r w:rsidRPr="00DD426E">
        <w:t xml:space="preserve"> WR, Fogel BS. </w:t>
      </w:r>
      <w:proofErr w:type="spellStart"/>
      <w:r w:rsidRPr="00DD426E">
        <w:t>Behavioral</w:t>
      </w:r>
      <w:proofErr w:type="spellEnd"/>
      <w:r w:rsidRPr="00DD426E">
        <w:t xml:space="preserve"> emergencies: assessment and psychopharmacologic management. Clinical Neuropharmacology. 1989;12(4):233–48.</w:t>
      </w:r>
    </w:p>
    <w:p w14:paraId="37623891" w14:textId="77777777" w:rsidR="00183BB5" w:rsidRPr="00DD426E" w:rsidRDefault="00183BB5" w:rsidP="00B70D28">
      <w:pPr>
        <w:pStyle w:val="Normalfollowingheading"/>
      </w:pPr>
      <w:r w:rsidRPr="00DD426E">
        <w:t xml:space="preserve">Gottlieb M, Long B, </w:t>
      </w:r>
      <w:proofErr w:type="spellStart"/>
      <w:r w:rsidRPr="00DD426E">
        <w:t>Koyfman</w:t>
      </w:r>
      <w:proofErr w:type="spellEnd"/>
      <w:r w:rsidRPr="00DD426E">
        <w:t xml:space="preserve"> A. Approach to the agitated emergency department patient. Journal of Emergency Medicine [Internet]. 2018 [cited 2019];54(4):447–57.</w:t>
      </w:r>
    </w:p>
    <w:p w14:paraId="4E20F34C" w14:textId="77777777" w:rsidR="00183BB5" w:rsidRPr="00DD426E" w:rsidRDefault="00183BB5" w:rsidP="00B70D28">
      <w:pPr>
        <w:pStyle w:val="Normalfollowingheading"/>
      </w:pPr>
      <w:r w:rsidRPr="00DD426E">
        <w:t xml:space="preserve">Group PEW. Behavioural emergencies. Therapeutic guidelines: Psychotropic 7th </w:t>
      </w:r>
      <w:proofErr w:type="spellStart"/>
      <w:r w:rsidRPr="00DD426E">
        <w:t>edn</w:t>
      </w:r>
      <w:proofErr w:type="spellEnd"/>
      <w:r w:rsidRPr="00DD426E">
        <w:t>. Melbourne: Therapeutic Guidelines Limited; 2013.</w:t>
      </w:r>
    </w:p>
    <w:p w14:paraId="612279E2" w14:textId="77777777" w:rsidR="00183BB5" w:rsidRPr="00DD426E" w:rsidRDefault="00183BB5" w:rsidP="00B70D28">
      <w:pPr>
        <w:pStyle w:val="Normalfollowingheading"/>
      </w:pPr>
      <w:r w:rsidRPr="00DD426E">
        <w:t>Hew R. Altered conscious state (Chapter 8.4). In: Brown AFT, Cameron P, Jelinek G, Kelly A-M, Little M, editors. Textbook of adult emergency medicine. Edinburgh; New York: Churchill Livingstone/Elsevier; 2015.</w:t>
      </w:r>
    </w:p>
    <w:p w14:paraId="02AAB3B0" w14:textId="77777777" w:rsidR="00183BB5" w:rsidRPr="00DD426E" w:rsidRDefault="00183BB5" w:rsidP="00B70D28">
      <w:pPr>
        <w:pStyle w:val="Normalfollowingheading"/>
      </w:pPr>
      <w:r w:rsidRPr="00DD426E">
        <w:t>Holloman GH, Jr., Zeller SL. Overview of project BETA: best practices in evaluation and treatment of agitation. The Western Journal of Emergency Medicine [Internet]. 2012 [cited 2019];13(1):1–2.</w:t>
      </w:r>
    </w:p>
    <w:p w14:paraId="69BC1F95" w14:textId="77777777" w:rsidR="00183BB5" w:rsidRPr="00DD426E" w:rsidRDefault="00183BB5" w:rsidP="00B70D28">
      <w:pPr>
        <w:pStyle w:val="Normalfollowingheading"/>
      </w:pPr>
      <w:r w:rsidRPr="00DD426E">
        <w:t>Jensen L, Clough R. Assessing and treating the patient with acute psychotic disorders. Nursing Clinics of North America [Internet]. 2016 [cited 2019];51(2):185–97.</w:t>
      </w:r>
    </w:p>
    <w:p w14:paraId="71147D41" w14:textId="77777777" w:rsidR="00183BB5" w:rsidRPr="00DD426E" w:rsidRDefault="00183BB5" w:rsidP="00B70D28">
      <w:pPr>
        <w:pStyle w:val="Normalfollowingheading"/>
      </w:pPr>
      <w:proofErr w:type="spellStart"/>
      <w:r w:rsidRPr="00DD426E">
        <w:t>Kleissl</w:t>
      </w:r>
      <w:proofErr w:type="spellEnd"/>
      <w:r w:rsidRPr="00DD426E">
        <w:t>-Muir S, Raymond A, Rahman MA. Analysis of patient related violence in a regional emergency department in Victoria, Australia. Australasian Emergency Care [Internet]. 2019 [cited 2019];22(2):126–31.</w:t>
      </w:r>
    </w:p>
    <w:p w14:paraId="3A162D8F" w14:textId="77777777" w:rsidR="00183BB5" w:rsidRDefault="00183BB5" w:rsidP="00B70D28">
      <w:pPr>
        <w:pStyle w:val="Normalfollowingheading"/>
      </w:pPr>
      <w:r w:rsidRPr="00DD426E">
        <w:t xml:space="preserve">Knott JC, Bennett D, </w:t>
      </w:r>
      <w:proofErr w:type="spellStart"/>
      <w:r w:rsidRPr="00DD426E">
        <w:t>Rawet</w:t>
      </w:r>
      <w:proofErr w:type="spellEnd"/>
      <w:r w:rsidRPr="00DD426E">
        <w:t xml:space="preserve"> J, Taylor DM. Epidemiology of unarmed threats in the emergency department. Emergency Medicine Australasia [Internet]. 2005 [cited 2019];17(4):351–8.</w:t>
      </w:r>
    </w:p>
    <w:p w14:paraId="7FDEA608" w14:textId="77777777" w:rsidR="00095E59" w:rsidRPr="00095E59" w:rsidRDefault="00095E59" w:rsidP="00B70D28">
      <w:pPr>
        <w:pStyle w:val="Normalfollowingheading"/>
      </w:pPr>
      <w:r w:rsidRPr="00095E59">
        <w:t xml:space="preserve">Knott J, </w:t>
      </w:r>
      <w:proofErr w:type="spellStart"/>
      <w:r w:rsidRPr="00095E59">
        <w:t>Gerdtz</w:t>
      </w:r>
      <w:proofErr w:type="spellEnd"/>
      <w:r w:rsidRPr="00095E59">
        <w:t xml:space="preserve"> M, Dobson S, Daniel C, </w:t>
      </w:r>
      <w:proofErr w:type="spellStart"/>
      <w:r w:rsidRPr="00095E59">
        <w:t>Graudins</w:t>
      </w:r>
      <w:proofErr w:type="spellEnd"/>
      <w:r w:rsidRPr="00095E59">
        <w:t xml:space="preserve"> A, Mitra B, et al. Restrictive Interventions in Emergency Departments: A Review of Current Clinical Practice [Internet]. Melbourne: Department of Health and Human Services; 2019 [cited 2020]. 29pp. Available from: </w:t>
      </w:r>
      <w:hyperlink r:id="rId25" w:history="1">
        <w:r w:rsidRPr="00095E59">
          <w:t>https://www2.health.vic.gov.au/about/publications/researchandreports/restrictive-interventions-emergency-departments-review</w:t>
        </w:r>
      </w:hyperlink>
    </w:p>
    <w:p w14:paraId="1B946E01" w14:textId="77777777" w:rsidR="00183BB5" w:rsidRPr="00DD426E" w:rsidRDefault="00183BB5" w:rsidP="00B70D28">
      <w:r w:rsidRPr="00DD426E">
        <w:t>Luck L, Jackson D, Usher K. STAMP: components of observable behaviour that indicate potential for patient violence in emergency departments. Journal of Advanced Nursing [Internet]. 2007 [cited 2019];59(1):11–19.</w:t>
      </w:r>
    </w:p>
    <w:p w14:paraId="284CE1D3" w14:textId="77777777" w:rsidR="00183BB5" w:rsidRPr="00DD426E" w:rsidRDefault="00183BB5" w:rsidP="00B70D28">
      <w:pPr>
        <w:pStyle w:val="Normalfollowingheading"/>
      </w:pPr>
      <w:r w:rsidRPr="00DD426E">
        <w:lastRenderedPageBreak/>
        <w:t>Lagomasino I, Daly R, Stoudemire A. Medical assessment of patients presenting with psychiatric symptoms in the emergency setting. Psychiatric Clinics of North America [Internet]. 1999 [cited 2019];22(4):819–50.</w:t>
      </w:r>
    </w:p>
    <w:p w14:paraId="28801DBE" w14:textId="77777777" w:rsidR="00183BB5" w:rsidRPr="00DD426E" w:rsidRDefault="00183BB5" w:rsidP="00B70D28">
      <w:pPr>
        <w:pStyle w:val="Normalfollowingheading"/>
      </w:pPr>
      <w:r w:rsidRPr="00DD426E">
        <w:t xml:space="preserve">Lim M, Weiland T, </w:t>
      </w:r>
      <w:proofErr w:type="spellStart"/>
      <w:r w:rsidRPr="00DD426E">
        <w:t>Gerdtz</w:t>
      </w:r>
      <w:proofErr w:type="spellEnd"/>
      <w:r w:rsidRPr="00DD426E">
        <w:t xml:space="preserve"> M, Dent A. Expectations of care, perceived safety, and anxiety following acute behavioural disturbance in the emergency department. Emergency Medicine International [Internet]. 2011 [cited 2019</w:t>
      </w:r>
      <w:proofErr w:type="gramStart"/>
      <w:r w:rsidRPr="00DD426E">
        <w:t>];2011:165738</w:t>
      </w:r>
      <w:proofErr w:type="gramEnd"/>
      <w:r w:rsidRPr="00DD426E">
        <w:t>.</w:t>
      </w:r>
    </w:p>
    <w:p w14:paraId="5601BD71" w14:textId="77777777" w:rsidR="00183BB5" w:rsidRPr="00DD426E" w:rsidRDefault="00183BB5" w:rsidP="00B70D28">
      <w:pPr>
        <w:pStyle w:val="Normalfollowingheading"/>
      </w:pPr>
      <w:proofErr w:type="spellStart"/>
      <w:r w:rsidRPr="00DD426E">
        <w:t>Lindenmayer</w:t>
      </w:r>
      <w:proofErr w:type="spellEnd"/>
      <w:r w:rsidRPr="00DD426E">
        <w:t xml:space="preserve"> JP. The pathophysiology of agitation. Journal of Clinical Psychiatry [Internet]. 2000 [cited 2019];61 Suppl 14:5–10.</w:t>
      </w:r>
    </w:p>
    <w:p w14:paraId="1BCD7377" w14:textId="77777777" w:rsidR="00183BB5" w:rsidRPr="00DD426E" w:rsidRDefault="00183BB5" w:rsidP="00B70D28">
      <w:pPr>
        <w:pStyle w:val="Normalfollowingheading"/>
      </w:pPr>
      <w:r w:rsidRPr="00DD426E">
        <w:t xml:space="preserve">McCoy C, Johnson K. </w:t>
      </w:r>
      <w:proofErr w:type="spellStart"/>
      <w:r w:rsidRPr="00DD426E">
        <w:t>Behavioral</w:t>
      </w:r>
      <w:proofErr w:type="spellEnd"/>
      <w:r w:rsidRPr="00DD426E">
        <w:t xml:space="preserve"> emergencies: a closer look. Journal of Emergency Nursing [Internet]. 2011 [cited 2019];37(1):104–8.</w:t>
      </w:r>
    </w:p>
    <w:p w14:paraId="33D366C9" w14:textId="77777777" w:rsidR="00183BB5" w:rsidRPr="00DD426E" w:rsidRDefault="00183BB5" w:rsidP="00B70D28">
      <w:pPr>
        <w:pStyle w:val="Normalfollowingheading"/>
      </w:pPr>
      <w:r w:rsidRPr="00DD426E">
        <w:t>McKenna B, Furness T, Oakes J, Brown S. Police and mental health clinician partnership in response to mental health crisis: a qualitative study. International Journal of Mental Health Nursing [Internet]. 2015 [cited 2019];24(5):386–93.</w:t>
      </w:r>
    </w:p>
    <w:p w14:paraId="501AFC98" w14:textId="77777777" w:rsidR="00183BB5" w:rsidRPr="00DD426E" w:rsidRDefault="00183BB5" w:rsidP="00B70D28">
      <w:pPr>
        <w:pStyle w:val="Normalfollowingheading"/>
      </w:pPr>
      <w:proofErr w:type="spellStart"/>
      <w:r w:rsidRPr="00DD426E">
        <w:t>Molyneaux</w:t>
      </w:r>
      <w:proofErr w:type="spellEnd"/>
      <w:r w:rsidRPr="00DD426E">
        <w:t xml:space="preserve"> E, Turner A, Candy B, Landau S, Johnson S, Lloyd-Evans B. Crisis-planning interventions for people with psychotic illness or bipolar disorder: systematic review and meta-analyses. </w:t>
      </w:r>
      <w:proofErr w:type="spellStart"/>
      <w:r w:rsidRPr="00DD426E">
        <w:t>BJPsych</w:t>
      </w:r>
      <w:proofErr w:type="spellEnd"/>
      <w:r w:rsidRPr="00DD426E">
        <w:t xml:space="preserve"> Open [Internet]. 2019 [cited 2019];5(4</w:t>
      </w:r>
      <w:proofErr w:type="gramStart"/>
      <w:r w:rsidRPr="00DD426E">
        <w:t>):e</w:t>
      </w:r>
      <w:proofErr w:type="gramEnd"/>
      <w:r w:rsidRPr="00DD426E">
        <w:t>53.</w:t>
      </w:r>
    </w:p>
    <w:p w14:paraId="36592950" w14:textId="77777777" w:rsidR="00183BB5" w:rsidRPr="00DD426E" w:rsidRDefault="00183BB5" w:rsidP="00B70D28">
      <w:pPr>
        <w:pStyle w:val="Normalfollowingheading"/>
      </w:pPr>
      <w:proofErr w:type="spellStart"/>
      <w:r w:rsidRPr="00DD426E">
        <w:t>Niedermier</w:t>
      </w:r>
      <w:proofErr w:type="spellEnd"/>
      <w:r w:rsidRPr="00DD426E">
        <w:t xml:space="preserve"> J, </w:t>
      </w:r>
      <w:proofErr w:type="spellStart"/>
      <w:r w:rsidRPr="00DD426E">
        <w:t>Kasick</w:t>
      </w:r>
      <w:proofErr w:type="spellEnd"/>
      <w:r w:rsidRPr="00DD426E">
        <w:t xml:space="preserve"> D. Maintaining personal safety: understanding and addressing aggression and violence in the health care setting [Internet]. </w:t>
      </w:r>
      <w:proofErr w:type="spellStart"/>
      <w:r w:rsidRPr="00DD426E">
        <w:t>MedEdPORTAL</w:t>
      </w:r>
      <w:proofErr w:type="spellEnd"/>
      <w:r w:rsidRPr="00DD426E">
        <w:t xml:space="preserve"> [Internet]. 2018 [cited 2019</w:t>
      </w:r>
      <w:proofErr w:type="gramStart"/>
      <w:r w:rsidRPr="00DD426E">
        <w:t>];14:10722</w:t>
      </w:r>
      <w:proofErr w:type="gramEnd"/>
      <w:r w:rsidRPr="00DD426E">
        <w:t>.</w:t>
      </w:r>
    </w:p>
    <w:p w14:paraId="1592B097" w14:textId="77777777" w:rsidR="00183BB5" w:rsidRPr="00DD426E" w:rsidRDefault="00183BB5" w:rsidP="00B70D28">
      <w:pPr>
        <w:pStyle w:val="Normalfollowingheading"/>
      </w:pPr>
      <w:r w:rsidRPr="00DD426E">
        <w:t xml:space="preserve">Nordstrom K, </w:t>
      </w:r>
      <w:proofErr w:type="spellStart"/>
      <w:r w:rsidRPr="00DD426E">
        <w:t>Zun</w:t>
      </w:r>
      <w:proofErr w:type="spellEnd"/>
      <w:r w:rsidRPr="00DD426E">
        <w:t xml:space="preserve"> LS, Wilson MP, </w:t>
      </w:r>
      <w:proofErr w:type="spellStart"/>
      <w:r w:rsidRPr="00DD426E">
        <w:t>Stiebel</w:t>
      </w:r>
      <w:proofErr w:type="spellEnd"/>
      <w:r w:rsidRPr="00DD426E">
        <w:t xml:space="preserve"> V, Ng AT, Bregman B, et al. Medical evaluation and triage of the agitated patient: consensus statement of the American Association for Emergency Psychiatry project BETA medical evaluation workgroup. The Western Journal of Emergency Medicine [Internet]. 2012 [cited 2019];13(1):3–10.</w:t>
      </w:r>
    </w:p>
    <w:p w14:paraId="378D521E" w14:textId="77777777" w:rsidR="00183BB5" w:rsidRPr="00DD426E" w:rsidRDefault="00183BB5" w:rsidP="00B70D28">
      <w:pPr>
        <w:pStyle w:val="Normalfollowingheading"/>
      </w:pPr>
      <w:r w:rsidRPr="00DD426E">
        <w:t>Phillips S. Countering workplace aggression: an urban tertiary care institutional exemplar. Nursing Administration Quarterly [Internet]. 2007 [cited 2019];31(3):209–18.</w:t>
      </w:r>
    </w:p>
    <w:p w14:paraId="43942AC1" w14:textId="77777777" w:rsidR="00183BB5" w:rsidRPr="00DD426E" w:rsidRDefault="00183BB5" w:rsidP="00B70D28">
      <w:pPr>
        <w:pStyle w:val="Normalfollowingheading"/>
      </w:pPr>
      <w:r w:rsidRPr="00DD426E">
        <w:t>Ryan CJ, Callaghan S. The impact on clinical practice of the 2015 reforms to the New South Wales Mental Health Act. Australasian Psychiatry [Internet]. 2017 [cited 2019];25(1):43–7.</w:t>
      </w:r>
    </w:p>
    <w:p w14:paraId="2639107F" w14:textId="77777777" w:rsidR="00183BB5" w:rsidRPr="00DD426E" w:rsidRDefault="00183BB5" w:rsidP="00B70D28">
      <w:pPr>
        <w:pStyle w:val="Normalfollowingheading"/>
      </w:pPr>
      <w:r w:rsidRPr="00DD426E">
        <w:t>Smart D, Pollard C, Walpole B. Mental health triage in emergency medicine. Australian and New Zealand Journal of Psychiatry [Internet]. 1999 [cited 2019];33(1):57–66.</w:t>
      </w:r>
    </w:p>
    <w:p w14:paraId="763A9E91" w14:textId="77777777" w:rsidR="00183BB5" w:rsidRPr="00DD426E" w:rsidRDefault="00183BB5" w:rsidP="00B70D28">
      <w:pPr>
        <w:pStyle w:val="Normalfollowingheading"/>
      </w:pPr>
      <w:proofErr w:type="spellStart"/>
      <w:r w:rsidRPr="00DD426E">
        <w:t>Sood</w:t>
      </w:r>
      <w:proofErr w:type="spellEnd"/>
      <w:r w:rsidRPr="00DD426E">
        <w:t xml:space="preserve"> TR, </w:t>
      </w:r>
      <w:proofErr w:type="spellStart"/>
      <w:r w:rsidRPr="00DD426E">
        <w:t>McStay</w:t>
      </w:r>
      <w:proofErr w:type="spellEnd"/>
      <w:r w:rsidRPr="00DD426E">
        <w:t xml:space="preserve"> CM. Evaluation of the psychiatric patient. Emergency Medicine Clinics of North America [Internet]. 2009 [cited 2019];27(4):669–83.</w:t>
      </w:r>
    </w:p>
    <w:p w14:paraId="41E216FD" w14:textId="77777777" w:rsidR="00183BB5" w:rsidRPr="00DD426E" w:rsidRDefault="00183BB5" w:rsidP="00B70D28">
      <w:pPr>
        <w:pStyle w:val="Normalfollowingheading"/>
      </w:pPr>
      <w:r w:rsidRPr="00DD426E">
        <w:t>Stowell KR, Florence P, Harman HJ, Glick RL. Psychiatric evaluation of the agitated patient: consensus statement of the American Association for Emergency Psychiatry project BETA psychiatric evaluation workgroup. The Western Journal of Emergency Medicine [Internet]. 2012 [cited 2019];13(1):11–6.</w:t>
      </w:r>
    </w:p>
    <w:p w14:paraId="1998BA8F" w14:textId="77777777" w:rsidR="00183BB5" w:rsidRPr="00DD426E" w:rsidRDefault="00183BB5" w:rsidP="00B70D28">
      <w:pPr>
        <w:pStyle w:val="Normalfollowingheading"/>
      </w:pPr>
      <w:r w:rsidRPr="00DD426E">
        <w:lastRenderedPageBreak/>
        <w:t xml:space="preserve">Tucci V, </w:t>
      </w:r>
      <w:proofErr w:type="spellStart"/>
      <w:r w:rsidRPr="00DD426E">
        <w:t>Siever</w:t>
      </w:r>
      <w:proofErr w:type="spellEnd"/>
      <w:r w:rsidRPr="00DD426E">
        <w:t xml:space="preserve"> K, </w:t>
      </w:r>
      <w:proofErr w:type="spellStart"/>
      <w:r w:rsidRPr="00DD426E">
        <w:t>Matorin</w:t>
      </w:r>
      <w:proofErr w:type="spellEnd"/>
      <w:r w:rsidRPr="00DD426E">
        <w:t xml:space="preserve"> A, </w:t>
      </w:r>
      <w:proofErr w:type="spellStart"/>
      <w:r w:rsidRPr="00DD426E">
        <w:t>Moukaddam</w:t>
      </w:r>
      <w:proofErr w:type="spellEnd"/>
      <w:r w:rsidRPr="00DD426E">
        <w:t xml:space="preserve"> N. Down the rabbit hole: emergency department medical clearance of patients with psychiatric or </w:t>
      </w:r>
      <w:proofErr w:type="spellStart"/>
      <w:r w:rsidRPr="00DD426E">
        <w:t>behavioral</w:t>
      </w:r>
      <w:proofErr w:type="spellEnd"/>
      <w:r w:rsidRPr="00DD426E">
        <w:t xml:space="preserve"> emergencies. Emergency Medicine Clinics of North America [Internet]. 2015 [cited 2019];33(4):721–37.</w:t>
      </w:r>
    </w:p>
    <w:p w14:paraId="1339C0D7" w14:textId="77777777" w:rsidR="00183BB5" w:rsidRPr="00DD426E" w:rsidRDefault="00183BB5" w:rsidP="00B70D28">
      <w:pPr>
        <w:pStyle w:val="Normalfollowingheading"/>
      </w:pPr>
      <w:r w:rsidRPr="00DD426E">
        <w:t xml:space="preserve">Tucci VT, </w:t>
      </w:r>
      <w:proofErr w:type="spellStart"/>
      <w:r w:rsidRPr="00DD426E">
        <w:t>Moukaddam</w:t>
      </w:r>
      <w:proofErr w:type="spellEnd"/>
      <w:r w:rsidRPr="00DD426E">
        <w:t xml:space="preserve"> N, </w:t>
      </w:r>
      <w:proofErr w:type="spellStart"/>
      <w:r w:rsidRPr="00DD426E">
        <w:t>Alam</w:t>
      </w:r>
      <w:proofErr w:type="spellEnd"/>
      <w:r w:rsidRPr="00DD426E">
        <w:t xml:space="preserve"> A, Rachal J. Emergency department medical clearance of patients with psychiatric or </w:t>
      </w:r>
      <w:proofErr w:type="spellStart"/>
      <w:r w:rsidRPr="00DD426E">
        <w:t>behavioral</w:t>
      </w:r>
      <w:proofErr w:type="spellEnd"/>
      <w:r w:rsidRPr="00DD426E">
        <w:t xml:space="preserve"> emergencies, part 1. Psychiatric Clinics of North America [Internet]. 2017 [cited 2019];40(3):411–23.</w:t>
      </w:r>
    </w:p>
    <w:p w14:paraId="29A7B71F" w14:textId="77777777" w:rsidR="00183BB5" w:rsidRPr="00DD426E" w:rsidRDefault="00183BB5" w:rsidP="00B70D28">
      <w:pPr>
        <w:pStyle w:val="Normalfollowingheading"/>
      </w:pPr>
      <w:r w:rsidRPr="00DD426E">
        <w:t xml:space="preserve">Wong AH, Wing L, Weiss B, Gang M. Coordinating a team response to </w:t>
      </w:r>
      <w:proofErr w:type="spellStart"/>
      <w:r w:rsidRPr="00DD426E">
        <w:t>behavioral</w:t>
      </w:r>
      <w:proofErr w:type="spellEnd"/>
      <w:r w:rsidRPr="00DD426E">
        <w:t xml:space="preserve"> emergencies in the emergency department: a simulation-enhanced interprofessional curriculum. The Western Journal of Emergency Medicine [Internet]. 2015 [cited 2019];16(6):859–65.</w:t>
      </w:r>
    </w:p>
    <w:p w14:paraId="2228F0E3" w14:textId="77777777" w:rsidR="00183BB5" w:rsidRPr="00DD426E" w:rsidRDefault="00183BB5" w:rsidP="00B70D28">
      <w:pPr>
        <w:pStyle w:val="Normalfollowingheading"/>
      </w:pPr>
      <w:r w:rsidRPr="00DD426E">
        <w:t xml:space="preserve">Zeller SL, Holloman Jr GH, Wilson MP. Management of agitation. In: Tasman A, Kay J, Lieberman JA, First MB, </w:t>
      </w:r>
      <w:proofErr w:type="spellStart"/>
      <w:r w:rsidRPr="00DD426E">
        <w:t>Riba</w:t>
      </w:r>
      <w:proofErr w:type="spellEnd"/>
      <w:r w:rsidRPr="00DD426E">
        <w:t xml:space="preserve"> MB, editors. Psychiatry. 2015: 2479–86.</w:t>
      </w:r>
    </w:p>
    <w:p w14:paraId="17ADF907" w14:textId="77777777" w:rsidR="00183BB5" w:rsidRPr="00DD426E" w:rsidRDefault="00183BB5" w:rsidP="00B70D28">
      <w:pPr>
        <w:pStyle w:val="Normalfollowingheading"/>
      </w:pPr>
      <w:r w:rsidRPr="00DD426E">
        <w:t>Zeller SL, Rhoades RW. Systematic reviews of assessment measures and pharmacologic treatments for agitation. Clinical Therapeutics [Internet]. 2010 [cited 2019];32(3):403–25.</w:t>
      </w:r>
    </w:p>
    <w:p w14:paraId="08373CBD" w14:textId="3B46472D" w:rsidR="00183BB5" w:rsidRPr="00DD426E" w:rsidRDefault="00183BB5" w:rsidP="00B70D28">
      <w:pPr>
        <w:pStyle w:val="Heading3"/>
      </w:pPr>
      <w:bookmarkStart w:id="19" w:name="_Toc29374938"/>
      <w:bookmarkStart w:id="20" w:name="_Toc29374996"/>
      <w:bookmarkStart w:id="21" w:name="_Toc29375133"/>
      <w:bookmarkStart w:id="22" w:name="_Toc29375163"/>
      <w:r w:rsidRPr="00DD426E">
        <w:t>Transition from prehospital</w:t>
      </w:r>
      <w:bookmarkEnd w:id="19"/>
      <w:bookmarkEnd w:id="20"/>
      <w:bookmarkEnd w:id="21"/>
      <w:bookmarkEnd w:id="22"/>
      <w:r w:rsidRPr="00DD426E">
        <w:t xml:space="preserve"> </w:t>
      </w:r>
      <w:r w:rsidR="004630AD">
        <w:t>care</w:t>
      </w:r>
    </w:p>
    <w:p w14:paraId="4A21E52B" w14:textId="11573D59" w:rsidR="00183BB5" w:rsidRPr="00DD426E" w:rsidRDefault="00183BB5" w:rsidP="00B70D28">
      <w:pPr>
        <w:pStyle w:val="Caption"/>
      </w:pPr>
      <w:r w:rsidRPr="00DD426E">
        <w:t>Table A</w:t>
      </w:r>
      <w:fldSimple w:instr=" SEQ Table \* ARABIC ">
        <w:r w:rsidR="00033994">
          <w:rPr>
            <w:noProof/>
          </w:rPr>
          <w:t>3</w:t>
        </w:r>
      </w:fldSimple>
      <w:r w:rsidRPr="00DD426E">
        <w:rPr>
          <w:noProof/>
        </w:rPr>
        <w:t>:</w:t>
      </w:r>
      <w:r w:rsidRPr="00DD426E">
        <w:t xml:space="preserve"> Level of evidence summary: transition from prehospital </w:t>
      </w:r>
      <w:r w:rsidR="004630AD">
        <w:t xml:space="preserve">care </w:t>
      </w:r>
      <w:r w:rsidRPr="00DD426E">
        <w:t>section</w:t>
      </w:r>
    </w:p>
    <w:tbl>
      <w:tblPr>
        <w:tblStyle w:val="TableGrid"/>
        <w:tblW w:w="0" w:type="auto"/>
        <w:tblLook w:val="04A0" w:firstRow="1" w:lastRow="0" w:firstColumn="1" w:lastColumn="0" w:noHBand="0" w:noVBand="1"/>
      </w:tblPr>
      <w:tblGrid>
        <w:gridCol w:w="1047"/>
        <w:gridCol w:w="1007"/>
        <w:gridCol w:w="894"/>
        <w:gridCol w:w="993"/>
        <w:gridCol w:w="1039"/>
        <w:gridCol w:w="1007"/>
        <w:gridCol w:w="1007"/>
        <w:gridCol w:w="1007"/>
        <w:gridCol w:w="1113"/>
        <w:gridCol w:w="976"/>
      </w:tblGrid>
      <w:tr w:rsidR="00183BB5" w:rsidRPr="00AF26FB" w14:paraId="4E00CA12" w14:textId="77777777" w:rsidTr="0089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161798B" w14:textId="77777777" w:rsidR="00183BB5" w:rsidRPr="00AF26FB" w:rsidRDefault="00183BB5" w:rsidP="00B70D28">
            <w:pPr>
              <w:pStyle w:val="Normalfollowingheading"/>
            </w:pPr>
          </w:p>
        </w:tc>
        <w:tc>
          <w:tcPr>
            <w:tcW w:w="1007" w:type="dxa"/>
          </w:tcPr>
          <w:p w14:paraId="63807195" w14:textId="1A636074"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4630AD">
              <w:br/>
            </w:r>
            <w:r w:rsidRPr="00AF26FB">
              <w:t>I</w:t>
            </w:r>
          </w:p>
        </w:tc>
        <w:tc>
          <w:tcPr>
            <w:tcW w:w="0" w:type="dxa"/>
          </w:tcPr>
          <w:p w14:paraId="519241C9" w14:textId="71780CFE"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4630AD">
              <w:br/>
            </w:r>
            <w:r w:rsidRPr="00AF26FB">
              <w:t>II</w:t>
            </w:r>
          </w:p>
        </w:tc>
        <w:tc>
          <w:tcPr>
            <w:tcW w:w="0" w:type="dxa"/>
          </w:tcPr>
          <w:p w14:paraId="72F2A1FF" w14:textId="259757B9"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4630AD">
              <w:br/>
            </w:r>
            <w:r w:rsidRPr="00AF26FB">
              <w:t>III-1</w:t>
            </w:r>
          </w:p>
        </w:tc>
        <w:tc>
          <w:tcPr>
            <w:tcW w:w="0" w:type="dxa"/>
          </w:tcPr>
          <w:p w14:paraId="613D95A4" w14:textId="3A0D19F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4630AD">
              <w:br/>
            </w:r>
            <w:r w:rsidRPr="00AF26FB">
              <w:t>III-2</w:t>
            </w:r>
          </w:p>
        </w:tc>
        <w:tc>
          <w:tcPr>
            <w:tcW w:w="0" w:type="dxa"/>
          </w:tcPr>
          <w:p w14:paraId="12A2A4E6" w14:textId="23A9F6B1"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4630AD">
              <w:br/>
            </w:r>
            <w:r w:rsidRPr="00AF26FB">
              <w:t>III-3</w:t>
            </w:r>
          </w:p>
        </w:tc>
        <w:tc>
          <w:tcPr>
            <w:tcW w:w="0" w:type="dxa"/>
          </w:tcPr>
          <w:p w14:paraId="049CC9C0" w14:textId="4A69B599"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4630AD">
              <w:br/>
            </w:r>
            <w:r w:rsidRPr="00AF26FB">
              <w:t>IV</w:t>
            </w:r>
          </w:p>
        </w:tc>
        <w:tc>
          <w:tcPr>
            <w:tcW w:w="0" w:type="dxa"/>
          </w:tcPr>
          <w:p w14:paraId="0DF47516" w14:textId="54688B7E"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4630AD">
              <w:br/>
            </w:r>
            <w:r w:rsidRPr="00AF26FB">
              <w:t>V</w:t>
            </w:r>
          </w:p>
        </w:tc>
        <w:tc>
          <w:tcPr>
            <w:tcW w:w="0" w:type="dxa"/>
          </w:tcPr>
          <w:p w14:paraId="763C9884"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Consensus</w:t>
            </w:r>
          </w:p>
        </w:tc>
        <w:tc>
          <w:tcPr>
            <w:tcW w:w="0" w:type="dxa"/>
          </w:tcPr>
          <w:p w14:paraId="0DB403C1"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N/A</w:t>
            </w:r>
          </w:p>
        </w:tc>
      </w:tr>
      <w:tr w:rsidR="00183BB5" w:rsidRPr="00AF26FB" w14:paraId="37BE92AA" w14:textId="77777777" w:rsidTr="0089550B">
        <w:tc>
          <w:tcPr>
            <w:cnfStyle w:val="001000000000" w:firstRow="0" w:lastRow="0" w:firstColumn="1" w:lastColumn="0" w:oddVBand="0" w:evenVBand="0" w:oddHBand="0" w:evenHBand="0" w:firstRowFirstColumn="0" w:firstRowLastColumn="0" w:lastRowFirstColumn="0" w:lastRowLastColumn="0"/>
            <w:tcW w:w="1047" w:type="dxa"/>
            <w:vAlign w:val="center"/>
          </w:tcPr>
          <w:p w14:paraId="0F54EEE8" w14:textId="77777777" w:rsidR="00183BB5" w:rsidRPr="00AF26FB" w:rsidRDefault="00183BB5" w:rsidP="00B70D28">
            <w:pPr>
              <w:pStyle w:val="Normalfollowingheading"/>
            </w:pPr>
            <w:r w:rsidRPr="00AF26FB">
              <w:t>Total number</w:t>
            </w:r>
          </w:p>
        </w:tc>
        <w:tc>
          <w:tcPr>
            <w:tcW w:w="1007" w:type="dxa"/>
            <w:vAlign w:val="center"/>
          </w:tcPr>
          <w:p w14:paraId="485DF001"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894" w:type="dxa"/>
            <w:vAlign w:val="center"/>
          </w:tcPr>
          <w:p w14:paraId="56CD394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993" w:type="dxa"/>
            <w:vAlign w:val="center"/>
          </w:tcPr>
          <w:p w14:paraId="1A1ADCEB"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39" w:type="dxa"/>
            <w:vAlign w:val="center"/>
          </w:tcPr>
          <w:p w14:paraId="1399D67A"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0FC5B527"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2EC360CD"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186564D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p>
        </w:tc>
        <w:tc>
          <w:tcPr>
            <w:tcW w:w="1113" w:type="dxa"/>
            <w:vAlign w:val="center"/>
          </w:tcPr>
          <w:p w14:paraId="04D9D00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976" w:type="dxa"/>
            <w:vAlign w:val="center"/>
          </w:tcPr>
          <w:p w14:paraId="330DE95E"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p>
        </w:tc>
      </w:tr>
    </w:tbl>
    <w:p w14:paraId="250D6398" w14:textId="77777777" w:rsidR="00183BB5" w:rsidRDefault="00183BB5" w:rsidP="00B70D28">
      <w:pPr>
        <w:pStyle w:val="Normalfollowingheading"/>
      </w:pPr>
    </w:p>
    <w:p w14:paraId="0DB27DE9" w14:textId="77777777" w:rsidR="00183BB5" w:rsidRPr="00DD426E" w:rsidRDefault="00183BB5" w:rsidP="00B70D28">
      <w:r w:rsidRPr="00DD426E">
        <w:t xml:space="preserve">Australian Commission on Safety and Quality in Health Care [Internet]. Sydney: ACSQHC; 2017. Communication at clinical handover; 2019 [cited 2019]. Available from: </w:t>
      </w:r>
      <w:hyperlink r:id="rId26" w:history="1">
        <w:r w:rsidRPr="00DD426E">
          <w:rPr>
            <w:rStyle w:val="Hyperlink"/>
            <w:rFonts w:ascii="VIC" w:hAnsi="VIC"/>
          </w:rPr>
          <w:t>https://www.safetyandquality.gov.au/standards/nsqhs-standards/communicating-safety-standard/communication-clinical-handover</w:t>
        </w:r>
      </w:hyperlink>
    </w:p>
    <w:p w14:paraId="13951642" w14:textId="77777777" w:rsidR="00183BB5" w:rsidRPr="00DD426E" w:rsidRDefault="00183BB5" w:rsidP="00B70D28">
      <w:r w:rsidRPr="00DD426E">
        <w:t xml:space="preserve">Australian Charter of Healthcare Rights [Internet]. 2nd </w:t>
      </w:r>
      <w:proofErr w:type="spellStart"/>
      <w:r w:rsidRPr="00DD426E">
        <w:t>edn</w:t>
      </w:r>
      <w:proofErr w:type="spellEnd"/>
      <w:r w:rsidRPr="00DD426E">
        <w:t>. Sydney: ACSQHC; 2019. 1 p. Available from: https://www.safetyandquality.gov.au/your-rights</w:t>
      </w:r>
    </w:p>
    <w:p w14:paraId="5983A7CF" w14:textId="77777777" w:rsidR="00183BB5" w:rsidRPr="00DD426E" w:rsidRDefault="00183BB5" w:rsidP="00B70D28">
      <w:pPr>
        <w:pStyle w:val="Heading3"/>
      </w:pPr>
      <w:bookmarkStart w:id="23" w:name="_Toc29374939"/>
      <w:bookmarkStart w:id="24" w:name="_Toc29374997"/>
      <w:bookmarkStart w:id="25" w:name="_Toc29375134"/>
      <w:bookmarkStart w:id="26" w:name="_Toc29375164"/>
      <w:r w:rsidRPr="00DD426E">
        <w:t>De-escalation</w:t>
      </w:r>
      <w:bookmarkEnd w:id="23"/>
      <w:bookmarkEnd w:id="24"/>
      <w:bookmarkEnd w:id="25"/>
      <w:bookmarkEnd w:id="26"/>
    </w:p>
    <w:p w14:paraId="2AC99521" w14:textId="71D7BA90" w:rsidR="00183BB5" w:rsidRPr="00DD426E" w:rsidRDefault="00183BB5" w:rsidP="00B70D28">
      <w:pPr>
        <w:pStyle w:val="Caption"/>
      </w:pPr>
      <w:r w:rsidRPr="00DD426E">
        <w:t>Table A</w:t>
      </w:r>
      <w:fldSimple w:instr=" SEQ Table \* ARABIC ">
        <w:r w:rsidR="00033994">
          <w:rPr>
            <w:noProof/>
          </w:rPr>
          <w:t>4</w:t>
        </w:r>
      </w:fldSimple>
      <w:r w:rsidRPr="00DD426E">
        <w:rPr>
          <w:noProof/>
        </w:rPr>
        <w:t>:</w:t>
      </w:r>
      <w:r w:rsidRPr="00DD426E">
        <w:t xml:space="preserve"> Level of evidence summary: de-escalation section</w:t>
      </w:r>
    </w:p>
    <w:tbl>
      <w:tblPr>
        <w:tblStyle w:val="TableGrid"/>
        <w:tblW w:w="10090" w:type="dxa"/>
        <w:tblLayout w:type="fixed"/>
        <w:tblLook w:val="04A0" w:firstRow="1" w:lastRow="0" w:firstColumn="1" w:lastColumn="0" w:noHBand="0" w:noVBand="1"/>
      </w:tblPr>
      <w:tblGrid>
        <w:gridCol w:w="1009"/>
        <w:gridCol w:w="1009"/>
        <w:gridCol w:w="1009"/>
        <w:gridCol w:w="1009"/>
        <w:gridCol w:w="1009"/>
        <w:gridCol w:w="1009"/>
        <w:gridCol w:w="1009"/>
        <w:gridCol w:w="847"/>
        <w:gridCol w:w="1304"/>
        <w:gridCol w:w="876"/>
      </w:tblGrid>
      <w:tr w:rsidR="00183BB5" w:rsidRPr="00AF26FB" w14:paraId="3245E7C1" w14:textId="77777777" w:rsidTr="00540DE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9" w:type="dxa"/>
          </w:tcPr>
          <w:p w14:paraId="126AE02B" w14:textId="77777777" w:rsidR="00183BB5" w:rsidRPr="00AF26FB" w:rsidRDefault="00183BB5" w:rsidP="00B70D28">
            <w:pPr>
              <w:pStyle w:val="Normalfollowingheading"/>
            </w:pPr>
          </w:p>
        </w:tc>
        <w:tc>
          <w:tcPr>
            <w:tcW w:w="1009" w:type="dxa"/>
          </w:tcPr>
          <w:p w14:paraId="2926888C" w14:textId="2E18D49B"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540DE1">
              <w:br/>
            </w:r>
            <w:r w:rsidRPr="00AF26FB">
              <w:t>I</w:t>
            </w:r>
          </w:p>
        </w:tc>
        <w:tc>
          <w:tcPr>
            <w:tcW w:w="1009" w:type="dxa"/>
          </w:tcPr>
          <w:p w14:paraId="46511BCE" w14:textId="09A11D19"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540DE1">
              <w:br/>
            </w:r>
            <w:r w:rsidRPr="00AF26FB">
              <w:t>II</w:t>
            </w:r>
          </w:p>
        </w:tc>
        <w:tc>
          <w:tcPr>
            <w:tcW w:w="1009" w:type="dxa"/>
          </w:tcPr>
          <w:p w14:paraId="30A48979" w14:textId="04E5F2F2"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540DE1">
              <w:br/>
            </w:r>
            <w:r w:rsidRPr="00AF26FB">
              <w:t>III-1</w:t>
            </w:r>
          </w:p>
        </w:tc>
        <w:tc>
          <w:tcPr>
            <w:tcW w:w="1009" w:type="dxa"/>
          </w:tcPr>
          <w:p w14:paraId="333AC66B" w14:textId="04A5DD7F"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540DE1">
              <w:br/>
            </w:r>
            <w:r w:rsidRPr="00AF26FB">
              <w:t>III-2</w:t>
            </w:r>
          </w:p>
        </w:tc>
        <w:tc>
          <w:tcPr>
            <w:tcW w:w="1009" w:type="dxa"/>
          </w:tcPr>
          <w:p w14:paraId="70DABA14" w14:textId="6A2F11B9"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540DE1">
              <w:br/>
            </w:r>
            <w:r w:rsidRPr="00AF26FB">
              <w:t>III-3</w:t>
            </w:r>
          </w:p>
        </w:tc>
        <w:tc>
          <w:tcPr>
            <w:tcW w:w="1009" w:type="dxa"/>
          </w:tcPr>
          <w:p w14:paraId="12218ED9" w14:textId="2AC7D614"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540DE1">
              <w:br/>
            </w:r>
            <w:r w:rsidRPr="00AF26FB">
              <w:t>IV</w:t>
            </w:r>
          </w:p>
        </w:tc>
        <w:tc>
          <w:tcPr>
            <w:tcW w:w="847" w:type="dxa"/>
          </w:tcPr>
          <w:p w14:paraId="2C71DECB"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Level V</w:t>
            </w:r>
          </w:p>
        </w:tc>
        <w:tc>
          <w:tcPr>
            <w:tcW w:w="1304" w:type="dxa"/>
          </w:tcPr>
          <w:p w14:paraId="277CE1EC"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Consensus</w:t>
            </w:r>
          </w:p>
        </w:tc>
        <w:tc>
          <w:tcPr>
            <w:tcW w:w="876" w:type="dxa"/>
          </w:tcPr>
          <w:p w14:paraId="7CF3DBD8"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N/A</w:t>
            </w:r>
          </w:p>
        </w:tc>
      </w:tr>
      <w:tr w:rsidR="00183BB5" w:rsidRPr="00AF26FB" w14:paraId="059BFC47" w14:textId="77777777" w:rsidTr="00540DE1">
        <w:trPr>
          <w:trHeight w:val="20"/>
        </w:trPr>
        <w:tc>
          <w:tcPr>
            <w:cnfStyle w:val="001000000000" w:firstRow="0" w:lastRow="0" w:firstColumn="1" w:lastColumn="0" w:oddVBand="0" w:evenVBand="0" w:oddHBand="0" w:evenHBand="0" w:firstRowFirstColumn="0" w:firstRowLastColumn="0" w:lastRowFirstColumn="0" w:lastRowLastColumn="0"/>
            <w:tcW w:w="1009" w:type="dxa"/>
            <w:shd w:val="clear" w:color="auto" w:fill="auto"/>
            <w:vAlign w:val="center"/>
          </w:tcPr>
          <w:p w14:paraId="3ED89B60" w14:textId="77777777" w:rsidR="00183BB5" w:rsidRPr="00AF26FB" w:rsidRDefault="00183BB5" w:rsidP="00B70D28">
            <w:pPr>
              <w:pStyle w:val="Normalfollowingheading"/>
            </w:pPr>
            <w:r w:rsidRPr="00AF26FB">
              <w:t>Total number</w:t>
            </w:r>
          </w:p>
        </w:tc>
        <w:tc>
          <w:tcPr>
            <w:tcW w:w="1009" w:type="dxa"/>
            <w:shd w:val="clear" w:color="auto" w:fill="auto"/>
            <w:vAlign w:val="center"/>
          </w:tcPr>
          <w:p w14:paraId="16CD7790"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5</w:t>
            </w:r>
          </w:p>
        </w:tc>
        <w:tc>
          <w:tcPr>
            <w:tcW w:w="1009" w:type="dxa"/>
            <w:shd w:val="clear" w:color="auto" w:fill="auto"/>
            <w:vAlign w:val="center"/>
          </w:tcPr>
          <w:p w14:paraId="63707FF0"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9" w:type="dxa"/>
            <w:shd w:val="clear" w:color="auto" w:fill="auto"/>
            <w:vAlign w:val="center"/>
          </w:tcPr>
          <w:p w14:paraId="6DE915F7"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9" w:type="dxa"/>
            <w:shd w:val="clear" w:color="auto" w:fill="auto"/>
            <w:vAlign w:val="center"/>
          </w:tcPr>
          <w:p w14:paraId="21FCA7A2"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9" w:type="dxa"/>
            <w:shd w:val="clear" w:color="auto" w:fill="auto"/>
            <w:vAlign w:val="center"/>
          </w:tcPr>
          <w:p w14:paraId="74B7B1EA"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2</w:t>
            </w:r>
          </w:p>
        </w:tc>
        <w:tc>
          <w:tcPr>
            <w:tcW w:w="1009" w:type="dxa"/>
            <w:shd w:val="clear" w:color="auto" w:fill="auto"/>
            <w:vAlign w:val="center"/>
          </w:tcPr>
          <w:p w14:paraId="46314376"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847" w:type="dxa"/>
            <w:shd w:val="clear" w:color="auto" w:fill="auto"/>
            <w:vAlign w:val="center"/>
          </w:tcPr>
          <w:p w14:paraId="6AF5DD9B" w14:textId="77777777" w:rsidR="00183BB5" w:rsidRPr="00AF26FB" w:rsidRDefault="00095E59"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7</w:t>
            </w:r>
          </w:p>
        </w:tc>
        <w:tc>
          <w:tcPr>
            <w:tcW w:w="1304" w:type="dxa"/>
            <w:shd w:val="clear" w:color="auto" w:fill="auto"/>
            <w:vAlign w:val="center"/>
          </w:tcPr>
          <w:p w14:paraId="7543780B"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8</w:t>
            </w:r>
          </w:p>
        </w:tc>
        <w:tc>
          <w:tcPr>
            <w:tcW w:w="876" w:type="dxa"/>
            <w:shd w:val="clear" w:color="auto" w:fill="auto"/>
            <w:vAlign w:val="center"/>
          </w:tcPr>
          <w:p w14:paraId="38613E33"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r>
    </w:tbl>
    <w:p w14:paraId="7EFAB47C" w14:textId="77777777" w:rsidR="00183BB5" w:rsidRPr="00DD426E" w:rsidRDefault="00183BB5" w:rsidP="00B70D28">
      <w:proofErr w:type="spellStart"/>
      <w:r w:rsidRPr="00DD426E">
        <w:lastRenderedPageBreak/>
        <w:t>D’Ettorre</w:t>
      </w:r>
      <w:proofErr w:type="spellEnd"/>
      <w:r w:rsidRPr="00DD426E">
        <w:t xml:space="preserve"> G, </w:t>
      </w:r>
      <w:proofErr w:type="spellStart"/>
      <w:r w:rsidRPr="00DD426E">
        <w:t>Pellicani</w:t>
      </w:r>
      <w:proofErr w:type="spellEnd"/>
      <w:r w:rsidRPr="00DD426E">
        <w:t xml:space="preserve"> V, </w:t>
      </w:r>
      <w:proofErr w:type="spellStart"/>
      <w:r w:rsidRPr="00DD426E">
        <w:t>Mazzotta</w:t>
      </w:r>
      <w:proofErr w:type="spellEnd"/>
      <w:r w:rsidRPr="00DD426E">
        <w:t xml:space="preserve"> M, </w:t>
      </w:r>
      <w:proofErr w:type="spellStart"/>
      <w:r w:rsidRPr="00DD426E">
        <w:t>Vullo</w:t>
      </w:r>
      <w:proofErr w:type="spellEnd"/>
      <w:r w:rsidRPr="00DD426E">
        <w:t xml:space="preserve"> A. Preventing and managing workplace violence against healthcare workers in emergency departments. Acta Bio-</w:t>
      </w:r>
      <w:proofErr w:type="spellStart"/>
      <w:r w:rsidRPr="00DD426E">
        <w:t>Medica</w:t>
      </w:r>
      <w:proofErr w:type="spellEnd"/>
      <w:r w:rsidRPr="00DD426E">
        <w:t xml:space="preserve">: </w:t>
      </w:r>
      <w:proofErr w:type="spellStart"/>
      <w:r w:rsidRPr="00DD426E">
        <w:t>Atenei</w:t>
      </w:r>
      <w:proofErr w:type="spellEnd"/>
      <w:r w:rsidRPr="00DD426E">
        <w:t xml:space="preserve"> </w:t>
      </w:r>
      <w:proofErr w:type="spellStart"/>
      <w:r w:rsidRPr="00DD426E">
        <w:t>Parmensis</w:t>
      </w:r>
      <w:proofErr w:type="spellEnd"/>
      <w:r w:rsidRPr="00DD426E">
        <w:t xml:space="preserve"> [Internet]. 2018 [cited 2019];89(4–S):28–36. </w:t>
      </w:r>
    </w:p>
    <w:p w14:paraId="72EAEB89" w14:textId="77777777" w:rsidR="00183BB5" w:rsidRPr="00DD426E" w:rsidRDefault="00183BB5" w:rsidP="00B70D28">
      <w:r w:rsidRPr="00DD426E">
        <w:t xml:space="preserve">Deal N, Hong M, </w:t>
      </w:r>
      <w:proofErr w:type="spellStart"/>
      <w:r w:rsidRPr="00DD426E">
        <w:t>Matorin</w:t>
      </w:r>
      <w:proofErr w:type="spellEnd"/>
      <w:r w:rsidRPr="00DD426E">
        <w:t xml:space="preserve"> A, Shah AA. Stabilization and management of the acutely agitated or psychotic patient. Emergency Medicine Clinics of North America [Internet]. 2015 [cited 2019];33(4):739–52. </w:t>
      </w:r>
    </w:p>
    <w:p w14:paraId="395AD597" w14:textId="77777777" w:rsidR="00183BB5" w:rsidRPr="00DD426E" w:rsidRDefault="00183BB5" w:rsidP="00B70D28">
      <w:r w:rsidRPr="00DD426E">
        <w:t xml:space="preserve">Du M, Wang X, Yin S, Shu W, Hao R, Zhao S, et al. De-escalation techniques for psychosis-induced aggression or agitation. Cochrane Database of Systematic Reviews [Internet]. 2017 [cited </w:t>
      </w:r>
      <w:proofErr w:type="gramStart"/>
      <w:r w:rsidRPr="00DD426E">
        <w:t>2019];(</w:t>
      </w:r>
      <w:proofErr w:type="gramEnd"/>
      <w:r w:rsidRPr="00DD426E">
        <w:t xml:space="preserve">4). </w:t>
      </w:r>
    </w:p>
    <w:p w14:paraId="6CC0CE34" w14:textId="77777777" w:rsidR="00183BB5" w:rsidRPr="00DD426E" w:rsidRDefault="00183BB5" w:rsidP="00B70D28">
      <w:r w:rsidRPr="00DD426E">
        <w:t xml:space="preserve">Edward K, </w:t>
      </w:r>
      <w:proofErr w:type="spellStart"/>
      <w:r w:rsidRPr="00DD426E">
        <w:t>Giandinoto</w:t>
      </w:r>
      <w:proofErr w:type="spellEnd"/>
      <w:r w:rsidRPr="00DD426E">
        <w:t xml:space="preserve"> J-A, Weiland TJ, Hutton J, Reel S. Brief interventions to de-escalate disturbances in emergency departments. British Journal of Nursing [Internet]. 2018 [cited 2019];27(6):322–7. </w:t>
      </w:r>
    </w:p>
    <w:p w14:paraId="3BB3A49D" w14:textId="77777777" w:rsidR="00183BB5" w:rsidRPr="00DD426E" w:rsidRDefault="00183BB5" w:rsidP="00B70D28">
      <w:proofErr w:type="spellStart"/>
      <w:r w:rsidRPr="00DD426E">
        <w:t>Gaynes</w:t>
      </w:r>
      <w:proofErr w:type="spellEnd"/>
      <w:r w:rsidRPr="00DD426E">
        <w:t xml:space="preserve"> BN, Brown CL, Lux LJ, Brownley KA, Van Dorn RA, </w:t>
      </w:r>
      <w:proofErr w:type="spellStart"/>
      <w:r w:rsidRPr="00DD426E">
        <w:t>Edlund</w:t>
      </w:r>
      <w:proofErr w:type="spellEnd"/>
      <w:r w:rsidRPr="00DD426E">
        <w:t xml:space="preserve"> MJ, et al. Preventing and de-escalating aggressive </w:t>
      </w:r>
      <w:proofErr w:type="spellStart"/>
      <w:r w:rsidRPr="00DD426E">
        <w:t>behavior</w:t>
      </w:r>
      <w:proofErr w:type="spellEnd"/>
      <w:r w:rsidRPr="00DD426E">
        <w:t xml:space="preserve"> among adult psychiatric patients: a systematic review of the evidence. Psychiatric Services [Internet]. 2017 [cited </w:t>
      </w:r>
      <w:proofErr w:type="gramStart"/>
      <w:r w:rsidRPr="00DD426E">
        <w:t>2019];(</w:t>
      </w:r>
      <w:proofErr w:type="gramEnd"/>
      <w:r w:rsidRPr="00DD426E">
        <w:t xml:space="preserve">8):819. </w:t>
      </w:r>
    </w:p>
    <w:p w14:paraId="75BF0176" w14:textId="77777777" w:rsidR="00183BB5" w:rsidRPr="00DD426E" w:rsidRDefault="00183BB5" w:rsidP="00B70D28">
      <w:r w:rsidRPr="00DD426E">
        <w:t xml:space="preserve">Hallett N. Preventing and managing challenging behaviour. Nursing standard [Internet]. 2018 [cited </w:t>
      </w:r>
      <w:proofErr w:type="gramStart"/>
      <w:r w:rsidRPr="00DD426E">
        <w:t>2019];(</w:t>
      </w:r>
      <w:proofErr w:type="gramEnd"/>
      <w:r w:rsidRPr="00DD426E">
        <w:t xml:space="preserve">26):51. </w:t>
      </w:r>
    </w:p>
    <w:p w14:paraId="3BA7F152" w14:textId="77777777" w:rsidR="00183BB5" w:rsidRDefault="00183BB5" w:rsidP="00B70D28">
      <w:r w:rsidRPr="00DD426E">
        <w:t xml:space="preserve">Harwood, RH. How to deal with violent and aggressive patients in acute medical settings. The Journal of the Royal College of Physicians of Edinburgh [Internet]. 2017 [cited </w:t>
      </w:r>
      <w:proofErr w:type="gramStart"/>
      <w:r w:rsidRPr="00DD426E">
        <w:t>2019];(</w:t>
      </w:r>
      <w:proofErr w:type="gramEnd"/>
      <w:r w:rsidRPr="00DD426E">
        <w:t xml:space="preserve">2):176. </w:t>
      </w:r>
    </w:p>
    <w:p w14:paraId="34E1AE88" w14:textId="77777777" w:rsidR="00095E59" w:rsidRPr="00DD426E" w:rsidRDefault="00095E59" w:rsidP="00B70D28">
      <w:pPr>
        <w:pStyle w:val="Normalfollowingheading"/>
      </w:pPr>
      <w:r w:rsidRPr="00095E59">
        <w:t xml:space="preserve">Knott J, </w:t>
      </w:r>
      <w:proofErr w:type="spellStart"/>
      <w:r w:rsidRPr="00095E59">
        <w:t>Gerdtz</w:t>
      </w:r>
      <w:proofErr w:type="spellEnd"/>
      <w:r w:rsidRPr="00095E59">
        <w:t xml:space="preserve"> M, Dobson S, Daniel C, </w:t>
      </w:r>
      <w:proofErr w:type="spellStart"/>
      <w:r w:rsidRPr="00095E59">
        <w:t>Graudins</w:t>
      </w:r>
      <w:proofErr w:type="spellEnd"/>
      <w:r w:rsidRPr="00095E59">
        <w:t xml:space="preserve"> A, Mitra B, et al. Restrictive Interventions in Emergency Departments: A Review of Current Clinical Practice [Internet]. Melbourne: Department of Health and Human Services; 2019 [cited 2020]. 29pp. Available from: </w:t>
      </w:r>
      <w:hyperlink r:id="rId27" w:history="1">
        <w:r w:rsidRPr="00095E59">
          <w:t>https://www2.health.vic.gov.au/about/publications/researchandreports/restrictive-interventions-emergency-departments-review</w:t>
        </w:r>
      </w:hyperlink>
    </w:p>
    <w:p w14:paraId="50F165C8" w14:textId="77777777" w:rsidR="00183BB5" w:rsidRPr="00DD426E" w:rsidRDefault="00183BB5" w:rsidP="00B70D28">
      <w:r w:rsidRPr="00DD426E">
        <w:t xml:space="preserve">Richmond JS, Berlin JS, Fishkind AB, Holloman GH, Zeller SL, Wilson MP, et al. Verbal de-escalation of the agitated patient: consensus statement of the American Association for Emergency Psychiatry project BETA de-escalation workgroup. The Western Journal of Emergency Medicine [Internet]. 2012 [cited </w:t>
      </w:r>
      <w:proofErr w:type="gramStart"/>
      <w:r w:rsidRPr="00DD426E">
        <w:t>2019];(</w:t>
      </w:r>
      <w:proofErr w:type="gramEnd"/>
      <w:r w:rsidRPr="00DD426E">
        <w:t xml:space="preserve">1):17. </w:t>
      </w:r>
    </w:p>
    <w:p w14:paraId="57DA8358" w14:textId="77777777" w:rsidR="00183BB5" w:rsidRPr="00DD426E" w:rsidRDefault="00183BB5" w:rsidP="00B70D28">
      <w:r w:rsidRPr="00DD426E">
        <w:t xml:space="preserve">Lavelle M, Stewart D, James K, Richardson M, Renwick L, Brennan G, et al. Predictors of effective de-escalation in acute inpatient psychiatric settings. Journal of Clinical Nursing [Internet]. 2016;25(15-16):2180–8. </w:t>
      </w:r>
    </w:p>
    <w:p w14:paraId="74EDB110" w14:textId="77777777" w:rsidR="00183BB5" w:rsidRPr="00DD426E" w:rsidRDefault="00183BB5" w:rsidP="00B70D28">
      <w:r w:rsidRPr="00DD426E">
        <w:t xml:space="preserve">McGonigle JJ, Venkat A, Beresford C, Campbell TP, </w:t>
      </w:r>
      <w:proofErr w:type="spellStart"/>
      <w:r w:rsidRPr="00DD426E">
        <w:t>Gabriels</w:t>
      </w:r>
      <w:proofErr w:type="spellEnd"/>
      <w:r w:rsidRPr="00DD426E">
        <w:t xml:space="preserve"> RL. Management of agitation in individuals with autism spectrum disorders in the emergency department. Child and Adolescent Psychiatric Clinics of North America [Internet]. 2014 [cited 2019];23(1):83–95. </w:t>
      </w:r>
    </w:p>
    <w:p w14:paraId="5DAEBACE" w14:textId="77777777" w:rsidR="00183BB5" w:rsidRPr="00DD426E" w:rsidRDefault="00183BB5" w:rsidP="00B70D28">
      <w:r w:rsidRPr="00DD426E">
        <w:t>Miner JR, Klein LR, Driver B, Minder ID, Cole JB, West JR. Success rate of verbal de-escalation in the treatment of agitated patients in the emergency department in SAEM annual meeting abstracts. Academic Emergency Medicine [Internet]. 2019 [cited 2019];26(S1</w:t>
      </w:r>
      <w:proofErr w:type="gramStart"/>
      <w:r w:rsidRPr="00DD426E">
        <w:t>):S</w:t>
      </w:r>
      <w:proofErr w:type="gramEnd"/>
      <w:r w:rsidRPr="00DD426E">
        <w:t xml:space="preserve">172. </w:t>
      </w:r>
    </w:p>
    <w:p w14:paraId="134164C1" w14:textId="77777777" w:rsidR="00183BB5" w:rsidRPr="00DD426E" w:rsidRDefault="00183BB5" w:rsidP="00B70D28">
      <w:r w:rsidRPr="00DD426E">
        <w:lastRenderedPageBreak/>
        <w:t xml:space="preserve">Mitra B, </w:t>
      </w:r>
      <w:proofErr w:type="spellStart"/>
      <w:r w:rsidRPr="00DD426E">
        <w:t>Nikathil</w:t>
      </w:r>
      <w:proofErr w:type="spellEnd"/>
      <w:r w:rsidRPr="00DD426E">
        <w:t xml:space="preserve"> S, </w:t>
      </w:r>
      <w:proofErr w:type="spellStart"/>
      <w:r w:rsidRPr="00DD426E">
        <w:t>Gocentas</w:t>
      </w:r>
      <w:proofErr w:type="spellEnd"/>
      <w:r w:rsidRPr="00DD426E">
        <w:t xml:space="preserve"> R, Symons E, O’Reilly G, </w:t>
      </w:r>
      <w:proofErr w:type="spellStart"/>
      <w:r w:rsidRPr="00DD426E">
        <w:t>Olaussen</w:t>
      </w:r>
      <w:proofErr w:type="spellEnd"/>
      <w:r w:rsidRPr="00DD426E">
        <w:t xml:space="preserve"> A. Security interventions for workplace violence in the emergency department. Emergency Medicine Australasia [Internet]. 2018 [cited </w:t>
      </w:r>
      <w:proofErr w:type="gramStart"/>
      <w:r w:rsidRPr="00DD426E">
        <w:t>2019];(</w:t>
      </w:r>
      <w:proofErr w:type="gramEnd"/>
      <w:r w:rsidRPr="00DD426E">
        <w:t xml:space="preserve">6):802. </w:t>
      </w:r>
    </w:p>
    <w:p w14:paraId="4EC2F383" w14:textId="77777777" w:rsidR="00183BB5" w:rsidRPr="00DD426E" w:rsidRDefault="00183BB5" w:rsidP="00B70D28">
      <w:r w:rsidRPr="00DD426E">
        <w:t xml:space="preserve">New A, Tucci VT, Rios J. A modern-day fight </w:t>
      </w:r>
      <w:proofErr w:type="gramStart"/>
      <w:r w:rsidRPr="00DD426E">
        <w:t>club</w:t>
      </w:r>
      <w:proofErr w:type="gramEnd"/>
      <w:r w:rsidRPr="00DD426E">
        <w:t xml:space="preserve">? The stabilization and management of acutely agitated patients in the emergency department. Psychiatric Clinics of North America [Internet]. 2017 [cited 2019];40(3):397–410. </w:t>
      </w:r>
    </w:p>
    <w:p w14:paraId="2804D9A9" w14:textId="77777777" w:rsidR="00183BB5" w:rsidRPr="00DD426E" w:rsidRDefault="00183BB5" w:rsidP="00B70D28">
      <w:proofErr w:type="spellStart"/>
      <w:r w:rsidRPr="00DD426E">
        <w:t>Raveel</w:t>
      </w:r>
      <w:proofErr w:type="spellEnd"/>
      <w:r w:rsidRPr="00DD426E">
        <w:t xml:space="preserve"> A, </w:t>
      </w:r>
      <w:proofErr w:type="spellStart"/>
      <w:r w:rsidRPr="00DD426E">
        <w:t>Schoenmakers</w:t>
      </w:r>
      <w:proofErr w:type="spellEnd"/>
      <w:r w:rsidRPr="00DD426E">
        <w:t xml:space="preserve"> B. Interventions to prevent aggression against doctors: a systematic review. BMJ Open [Internet]. 2019 [cited 2019];9(9</w:t>
      </w:r>
      <w:proofErr w:type="gramStart"/>
      <w:r w:rsidRPr="00DD426E">
        <w:t>):e</w:t>
      </w:r>
      <w:proofErr w:type="gramEnd"/>
      <w:r w:rsidRPr="00DD426E">
        <w:t xml:space="preserve">028465. </w:t>
      </w:r>
    </w:p>
    <w:p w14:paraId="5D1EDF8A" w14:textId="77777777" w:rsidR="00183BB5" w:rsidRPr="00DD426E" w:rsidRDefault="00183BB5" w:rsidP="00B70D28">
      <w:proofErr w:type="spellStart"/>
      <w:r w:rsidRPr="00DD426E">
        <w:t>Roberton</w:t>
      </w:r>
      <w:proofErr w:type="spellEnd"/>
      <w:r w:rsidRPr="00DD426E">
        <w:t xml:space="preserve"> T, Daffern M, Thomas S, Martin T. De-escalation and limit-setting in forensic mental health units. Journal of Forensic Nursing [Internet]. 2012 [cited 2019];8(2):94–101. </w:t>
      </w:r>
    </w:p>
    <w:p w14:paraId="0472A55A" w14:textId="77777777" w:rsidR="00183BB5" w:rsidRPr="00DD426E" w:rsidRDefault="00183BB5" w:rsidP="00B70D28">
      <w:r w:rsidRPr="00DD426E">
        <w:t xml:space="preserve">Spencer S, Johnson P, Smith IC. De-escalation techniques for managing non-psychosis induced aggression in adults. Cochrane Database of Systematic Reviews [Internet]. 2018 [cited </w:t>
      </w:r>
      <w:proofErr w:type="gramStart"/>
      <w:r w:rsidRPr="00DD426E">
        <w:t>2019];(</w:t>
      </w:r>
      <w:proofErr w:type="gramEnd"/>
      <w:r w:rsidRPr="00DD426E">
        <w:t xml:space="preserve">7). </w:t>
      </w:r>
    </w:p>
    <w:p w14:paraId="3D3E169B" w14:textId="77777777" w:rsidR="00183BB5" w:rsidRPr="00DD426E" w:rsidRDefault="00183BB5" w:rsidP="00B70D28">
      <w:r w:rsidRPr="00DD426E">
        <w:t xml:space="preserve">The Joint Commission Division of Healthcare Improvement. Quick Safety 47: de-escalation in health care [internet]. Washington, DC: The Joint Commission; 2019 [cited 2019]. 5p. Available from: https://www.jointcommission.org/assets/1/23/QS_Deescalation_1_28_18_FINAL.pdf </w:t>
      </w:r>
    </w:p>
    <w:p w14:paraId="11F618E5" w14:textId="77777777" w:rsidR="00183BB5" w:rsidRPr="00DD426E" w:rsidRDefault="00183BB5" w:rsidP="00B70D28">
      <w:proofErr w:type="spellStart"/>
      <w:r w:rsidRPr="00DD426E">
        <w:t>Touzet</w:t>
      </w:r>
      <w:proofErr w:type="spellEnd"/>
      <w:r w:rsidRPr="00DD426E">
        <w:t xml:space="preserve"> S, </w:t>
      </w:r>
      <w:proofErr w:type="spellStart"/>
      <w:r w:rsidRPr="00DD426E">
        <w:t>Occelli</w:t>
      </w:r>
      <w:proofErr w:type="spellEnd"/>
      <w:r w:rsidRPr="00DD426E">
        <w:t xml:space="preserve"> P, Denis A, </w:t>
      </w:r>
      <w:proofErr w:type="spellStart"/>
      <w:r w:rsidRPr="00DD426E">
        <w:t>Cornut</w:t>
      </w:r>
      <w:proofErr w:type="spellEnd"/>
      <w:r w:rsidRPr="00DD426E">
        <w:t xml:space="preserve"> PL, </w:t>
      </w:r>
      <w:proofErr w:type="spellStart"/>
      <w:r w:rsidRPr="00DD426E">
        <w:t>Fassier</w:t>
      </w:r>
      <w:proofErr w:type="spellEnd"/>
      <w:r w:rsidRPr="00DD426E">
        <w:t xml:space="preserve"> JB, Le </w:t>
      </w:r>
      <w:proofErr w:type="spellStart"/>
      <w:r w:rsidRPr="00DD426E">
        <w:t>Pogam</w:t>
      </w:r>
      <w:proofErr w:type="spellEnd"/>
      <w:r w:rsidRPr="00DD426E">
        <w:t xml:space="preserve"> MA, et al. Impact of a comprehensive prevention programme aimed at reducing incivility and verbal violence against healthcare workers in a French ophthalmic emergency department: an interrupted time-series study. BMJ Open [Internet]. 2019 [cited 2019];9(9</w:t>
      </w:r>
      <w:proofErr w:type="gramStart"/>
      <w:r w:rsidRPr="00DD426E">
        <w:t>):e</w:t>
      </w:r>
      <w:proofErr w:type="gramEnd"/>
      <w:r w:rsidRPr="00DD426E">
        <w:t xml:space="preserve">031054. </w:t>
      </w:r>
    </w:p>
    <w:p w14:paraId="2925C1D7" w14:textId="77777777" w:rsidR="00183BB5" w:rsidRPr="00DD426E" w:rsidRDefault="00183BB5" w:rsidP="00B70D28">
      <w:r w:rsidRPr="00DD426E">
        <w:t>Victorian Government Department of Health and Human Services. Code grey standards [Internet]. Melbourne: Department of Health and Human Services. Available from: https://www2.health.vic.gov.au/health-workforce/worker-health-wellbeing/occupational-violence-aggression/code-grey-black</w:t>
      </w:r>
    </w:p>
    <w:p w14:paraId="288A14DF" w14:textId="77777777" w:rsidR="00183BB5" w:rsidRPr="00DD426E" w:rsidRDefault="00183BB5" w:rsidP="00B70D28">
      <w:r w:rsidRPr="00DD426E">
        <w:t>Victorian Government Department of Health and Human Services. Guide for violence and aggression training in Victorian health services [Internet]. Melbourne: Department of Health and Human Services. Available from: https://www2.health.vic.gov.au/about/publications/policiesandguidelines/violence-aggression-training-guide-health-services</w:t>
      </w:r>
    </w:p>
    <w:p w14:paraId="544F7897" w14:textId="77777777" w:rsidR="00183BB5" w:rsidRPr="00DD426E" w:rsidRDefault="00183BB5" w:rsidP="00B70D28">
      <w:r w:rsidRPr="00DD426E">
        <w:t xml:space="preserve">Victorian Government Department of Health and Human Services. </w:t>
      </w:r>
      <w:proofErr w:type="spellStart"/>
      <w:r w:rsidRPr="00DD426E">
        <w:t>Safewards</w:t>
      </w:r>
      <w:proofErr w:type="spellEnd"/>
      <w:r w:rsidRPr="00DD426E">
        <w:t xml:space="preserve"> handbook [Internet]. Melbourne: Department of Health and Human Services. Available from: https://www2.health.vic.gov.au/mental-health/practice-and-service-quality/safety/safewards/training-resources</w:t>
      </w:r>
    </w:p>
    <w:p w14:paraId="07D220EF" w14:textId="77777777" w:rsidR="00183BB5" w:rsidRPr="00DD426E" w:rsidRDefault="00183BB5" w:rsidP="00B70D28">
      <w:r w:rsidRPr="00DD426E">
        <w:t>Weiland T, Ivory S, Hutton J. Managing acute behavioural disturbances in the emergency department using the environment, policies and practices: a systematic review. The Western Journal of Emergency Medicine [Internet]. 2017 [cited 2019];18(4):647–61.</w:t>
      </w:r>
    </w:p>
    <w:p w14:paraId="23462FC4" w14:textId="10D12F1C" w:rsidR="00183BB5" w:rsidRPr="00587F9F" w:rsidRDefault="00183BB5" w:rsidP="00B70D28">
      <w:pPr>
        <w:pStyle w:val="Heading3"/>
      </w:pPr>
      <w:bookmarkStart w:id="27" w:name="_Toc29374940"/>
      <w:bookmarkStart w:id="28" w:name="_Toc29374998"/>
      <w:bookmarkStart w:id="29" w:name="_Toc29375135"/>
      <w:bookmarkStart w:id="30" w:name="_Toc29375165"/>
      <w:r w:rsidRPr="00587F9F">
        <w:lastRenderedPageBreak/>
        <w:t>Sedation</w:t>
      </w:r>
      <w:bookmarkEnd w:id="27"/>
      <w:bookmarkEnd w:id="28"/>
      <w:bookmarkEnd w:id="29"/>
      <w:bookmarkEnd w:id="30"/>
      <w:r w:rsidR="00914588">
        <w:t xml:space="preserve"> and ongoing care post-sedation</w:t>
      </w:r>
    </w:p>
    <w:p w14:paraId="56A33BDB" w14:textId="37EA3BC4" w:rsidR="00183BB5" w:rsidRPr="00587F9F" w:rsidRDefault="00183BB5" w:rsidP="00B70D28">
      <w:pPr>
        <w:pStyle w:val="Caption"/>
      </w:pPr>
      <w:r w:rsidRPr="00587F9F">
        <w:t>Table A</w:t>
      </w:r>
      <w:fldSimple w:instr=" SEQ Table \* ARABIC ">
        <w:r w:rsidR="00033994">
          <w:rPr>
            <w:noProof/>
          </w:rPr>
          <w:t>5</w:t>
        </w:r>
      </w:fldSimple>
      <w:r w:rsidRPr="00587F9F">
        <w:rPr>
          <w:noProof/>
        </w:rPr>
        <w:t>:</w:t>
      </w:r>
      <w:r w:rsidRPr="00587F9F">
        <w:t xml:space="preserve"> Level of evidence summary: sedation </w:t>
      </w:r>
      <w:r w:rsidR="008F67B6">
        <w:t xml:space="preserve">and ongoing care post-sedation </w:t>
      </w:r>
      <w:r w:rsidRPr="00587F9F">
        <w:t>section</w:t>
      </w:r>
    </w:p>
    <w:tbl>
      <w:tblPr>
        <w:tblStyle w:val="TableGrid"/>
        <w:tblW w:w="0" w:type="auto"/>
        <w:tblLook w:val="04A0" w:firstRow="1" w:lastRow="0" w:firstColumn="1" w:lastColumn="0" w:noHBand="0" w:noVBand="1"/>
      </w:tblPr>
      <w:tblGrid>
        <w:gridCol w:w="1047"/>
        <w:gridCol w:w="1007"/>
        <w:gridCol w:w="894"/>
        <w:gridCol w:w="993"/>
        <w:gridCol w:w="1039"/>
        <w:gridCol w:w="1007"/>
        <w:gridCol w:w="1007"/>
        <w:gridCol w:w="1007"/>
        <w:gridCol w:w="1113"/>
        <w:gridCol w:w="976"/>
      </w:tblGrid>
      <w:tr w:rsidR="00183BB5" w:rsidRPr="00AF26FB" w14:paraId="55AC557C" w14:textId="77777777" w:rsidTr="0089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4F3C2F9A" w14:textId="77777777" w:rsidR="00183BB5" w:rsidRPr="00AF26FB" w:rsidRDefault="00183BB5" w:rsidP="00B70D28">
            <w:pPr>
              <w:pStyle w:val="Normalfollowingheading"/>
            </w:pPr>
          </w:p>
        </w:tc>
        <w:tc>
          <w:tcPr>
            <w:tcW w:w="1007" w:type="dxa"/>
          </w:tcPr>
          <w:p w14:paraId="52FB0820" w14:textId="0036F6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EB48FB">
              <w:br/>
            </w:r>
            <w:r w:rsidRPr="00AF26FB">
              <w:t>I</w:t>
            </w:r>
          </w:p>
        </w:tc>
        <w:tc>
          <w:tcPr>
            <w:tcW w:w="894" w:type="dxa"/>
          </w:tcPr>
          <w:p w14:paraId="0373A405" w14:textId="5799D41F"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EB48FB">
              <w:br/>
            </w:r>
            <w:r w:rsidRPr="00AF26FB">
              <w:t>II</w:t>
            </w:r>
          </w:p>
        </w:tc>
        <w:tc>
          <w:tcPr>
            <w:tcW w:w="993" w:type="dxa"/>
          </w:tcPr>
          <w:p w14:paraId="066818FB" w14:textId="436B9F80"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EB48FB">
              <w:br/>
            </w:r>
            <w:r w:rsidRPr="00AF26FB">
              <w:t>III-1</w:t>
            </w:r>
          </w:p>
        </w:tc>
        <w:tc>
          <w:tcPr>
            <w:tcW w:w="1039" w:type="dxa"/>
          </w:tcPr>
          <w:p w14:paraId="6292FB65" w14:textId="12D2CB7E"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EB48FB">
              <w:br/>
            </w:r>
            <w:r w:rsidRPr="00AF26FB">
              <w:t>III-2</w:t>
            </w:r>
          </w:p>
        </w:tc>
        <w:tc>
          <w:tcPr>
            <w:tcW w:w="1007" w:type="dxa"/>
          </w:tcPr>
          <w:p w14:paraId="3BC343F5" w14:textId="3BD55A05"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EB48FB">
              <w:br/>
            </w:r>
            <w:r w:rsidRPr="00AF26FB">
              <w:t>III-3</w:t>
            </w:r>
          </w:p>
        </w:tc>
        <w:tc>
          <w:tcPr>
            <w:tcW w:w="1007" w:type="dxa"/>
          </w:tcPr>
          <w:p w14:paraId="4D12E7EB" w14:textId="02EB42F8"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EB48FB">
              <w:br/>
            </w:r>
            <w:r w:rsidRPr="00AF26FB">
              <w:t>IV</w:t>
            </w:r>
          </w:p>
        </w:tc>
        <w:tc>
          <w:tcPr>
            <w:tcW w:w="1007" w:type="dxa"/>
          </w:tcPr>
          <w:p w14:paraId="6957FB02" w14:textId="1674CCB5"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EB48FB">
              <w:br/>
            </w:r>
            <w:r w:rsidRPr="00AF26FB">
              <w:t>V</w:t>
            </w:r>
          </w:p>
        </w:tc>
        <w:tc>
          <w:tcPr>
            <w:tcW w:w="1113" w:type="dxa"/>
          </w:tcPr>
          <w:p w14:paraId="6F45775B"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Consensus</w:t>
            </w:r>
          </w:p>
        </w:tc>
        <w:tc>
          <w:tcPr>
            <w:tcW w:w="976" w:type="dxa"/>
          </w:tcPr>
          <w:p w14:paraId="5700D305"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N/A</w:t>
            </w:r>
          </w:p>
        </w:tc>
      </w:tr>
      <w:tr w:rsidR="00183BB5" w:rsidRPr="00AF26FB" w14:paraId="238DF1D6" w14:textId="77777777" w:rsidTr="0089550B">
        <w:tc>
          <w:tcPr>
            <w:cnfStyle w:val="001000000000" w:firstRow="0" w:lastRow="0" w:firstColumn="1" w:lastColumn="0" w:oddVBand="0" w:evenVBand="0" w:oddHBand="0" w:evenHBand="0" w:firstRowFirstColumn="0" w:firstRowLastColumn="0" w:lastRowFirstColumn="0" w:lastRowLastColumn="0"/>
            <w:tcW w:w="1047" w:type="dxa"/>
            <w:vAlign w:val="center"/>
          </w:tcPr>
          <w:p w14:paraId="4F585AC0" w14:textId="77777777" w:rsidR="00183BB5" w:rsidRPr="00AF26FB" w:rsidRDefault="00183BB5" w:rsidP="00B70D28">
            <w:pPr>
              <w:pStyle w:val="Normalfollowingheading"/>
            </w:pPr>
            <w:r w:rsidRPr="00AF26FB">
              <w:t>Total number</w:t>
            </w:r>
          </w:p>
        </w:tc>
        <w:tc>
          <w:tcPr>
            <w:tcW w:w="1007" w:type="dxa"/>
            <w:vAlign w:val="center"/>
          </w:tcPr>
          <w:p w14:paraId="0B9E5663"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p>
        </w:tc>
        <w:tc>
          <w:tcPr>
            <w:tcW w:w="894" w:type="dxa"/>
            <w:vAlign w:val="center"/>
          </w:tcPr>
          <w:p w14:paraId="5464D740"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6</w:t>
            </w:r>
          </w:p>
        </w:tc>
        <w:tc>
          <w:tcPr>
            <w:tcW w:w="993" w:type="dxa"/>
            <w:vAlign w:val="center"/>
          </w:tcPr>
          <w:p w14:paraId="3BA2906F"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39" w:type="dxa"/>
            <w:vAlign w:val="center"/>
          </w:tcPr>
          <w:p w14:paraId="668BD886"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6</w:t>
            </w:r>
          </w:p>
        </w:tc>
        <w:tc>
          <w:tcPr>
            <w:tcW w:w="1007" w:type="dxa"/>
            <w:vAlign w:val="center"/>
          </w:tcPr>
          <w:p w14:paraId="1DFE8398"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p>
        </w:tc>
        <w:tc>
          <w:tcPr>
            <w:tcW w:w="1007" w:type="dxa"/>
            <w:vAlign w:val="center"/>
          </w:tcPr>
          <w:p w14:paraId="480B1BCF"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4</w:t>
            </w:r>
          </w:p>
        </w:tc>
        <w:tc>
          <w:tcPr>
            <w:tcW w:w="1007" w:type="dxa"/>
            <w:vAlign w:val="center"/>
          </w:tcPr>
          <w:p w14:paraId="6D36B9E0"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113" w:type="dxa"/>
            <w:vAlign w:val="center"/>
          </w:tcPr>
          <w:p w14:paraId="6785B2DE"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6</w:t>
            </w:r>
          </w:p>
        </w:tc>
        <w:tc>
          <w:tcPr>
            <w:tcW w:w="976" w:type="dxa"/>
            <w:vAlign w:val="center"/>
          </w:tcPr>
          <w:p w14:paraId="0F2BEF7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r>
    </w:tbl>
    <w:p w14:paraId="1783572A" w14:textId="77777777" w:rsidR="00183BB5" w:rsidRDefault="00183BB5" w:rsidP="00B70D28">
      <w:pPr>
        <w:pStyle w:val="Normalfollowingheading"/>
      </w:pPr>
    </w:p>
    <w:p w14:paraId="24B3B77B" w14:textId="77777777" w:rsidR="00183BB5" w:rsidRPr="00587F9F" w:rsidRDefault="00183BB5" w:rsidP="00B70D28">
      <w:r w:rsidRPr="00587F9F">
        <w:t>ACEM, ANZCA, CICM, RANZCP. Guidelines for safe care for patients sedated in health care facilities for acute behavioural disturbance [Internet]. Melbourne: ANZCA; 2018 [cited 2019]. Available from: http://www.anzca.edu.au/documents/ps63-2018-guidelines-for-safe-care-for-patients-se.pdf</w:t>
      </w:r>
    </w:p>
    <w:p w14:paraId="1D92BFA1" w14:textId="77777777" w:rsidR="00183BB5" w:rsidRPr="00587F9F" w:rsidRDefault="00183BB5" w:rsidP="00B70D28">
      <w:proofErr w:type="spellStart"/>
      <w:r w:rsidRPr="00587F9F">
        <w:t>Barbic</w:t>
      </w:r>
      <w:proofErr w:type="spellEnd"/>
      <w:r w:rsidRPr="00587F9F">
        <w:t xml:space="preserve"> D, </w:t>
      </w:r>
      <w:proofErr w:type="spellStart"/>
      <w:r w:rsidRPr="00587F9F">
        <w:t>Andolfatto</w:t>
      </w:r>
      <w:proofErr w:type="spellEnd"/>
      <w:r w:rsidRPr="00587F9F">
        <w:t xml:space="preserve"> G, Grunau B, </w:t>
      </w:r>
      <w:proofErr w:type="spellStart"/>
      <w:r w:rsidRPr="00587F9F">
        <w:t>Scheuermeyer</w:t>
      </w:r>
      <w:proofErr w:type="spellEnd"/>
      <w:r w:rsidRPr="00587F9F">
        <w:t xml:space="preserve"> FX, MacEwan W, </w:t>
      </w:r>
      <w:proofErr w:type="spellStart"/>
      <w:r w:rsidRPr="00587F9F">
        <w:t>Honer</w:t>
      </w:r>
      <w:proofErr w:type="spellEnd"/>
      <w:r w:rsidRPr="00587F9F">
        <w:t xml:space="preserve"> WG, et al. Rapid agitation control with ketamine in the emergency department (RACKED): a randomised controlled clinical trial protocol. Trials [Internet]. 2018 [cited 2019];19(1):651.</w:t>
      </w:r>
    </w:p>
    <w:p w14:paraId="21CE4414" w14:textId="77777777" w:rsidR="00183BB5" w:rsidRPr="00587F9F" w:rsidRDefault="00183BB5" w:rsidP="00B70D28">
      <w:r w:rsidRPr="00587F9F">
        <w:t xml:space="preserve">Calver L, </w:t>
      </w:r>
      <w:proofErr w:type="spellStart"/>
      <w:r w:rsidRPr="00587F9F">
        <w:t>Isbister</w:t>
      </w:r>
      <w:proofErr w:type="spellEnd"/>
      <w:r w:rsidRPr="00587F9F">
        <w:t xml:space="preserve"> GK. High dose </w:t>
      </w:r>
      <w:proofErr w:type="spellStart"/>
      <w:r w:rsidRPr="00587F9F">
        <w:t>droperidol</w:t>
      </w:r>
      <w:proofErr w:type="spellEnd"/>
      <w:r w:rsidRPr="00587F9F">
        <w:t xml:space="preserve"> and QT prolongation: analysis of continuous 12-lead recordings. British Journal of Pharmacology [Internet]. 2014 [cited 2019];77(5):880–6.</w:t>
      </w:r>
    </w:p>
    <w:p w14:paraId="01167CC6" w14:textId="77777777" w:rsidR="00183BB5" w:rsidRPr="00587F9F" w:rsidRDefault="00183BB5" w:rsidP="00B70D28">
      <w:r w:rsidRPr="00587F9F">
        <w:t xml:space="preserve">Calver L, Page CB, Downes MA, Chan B, Kinnear F, Wheatley L, et al. The safety and effectiveness of </w:t>
      </w:r>
      <w:proofErr w:type="spellStart"/>
      <w:r w:rsidRPr="00587F9F">
        <w:t>droperidol</w:t>
      </w:r>
      <w:proofErr w:type="spellEnd"/>
      <w:r w:rsidRPr="00587F9F">
        <w:t xml:space="preserve"> for sedation of acute </w:t>
      </w:r>
      <w:proofErr w:type="spellStart"/>
      <w:r w:rsidRPr="00587F9F">
        <w:t>behavioral</w:t>
      </w:r>
      <w:proofErr w:type="spellEnd"/>
      <w:r w:rsidRPr="00587F9F">
        <w:t xml:space="preserve"> disturbance in the emergency department. Annals of Emergency Medicine [Internet]. 2015 [cited 2019];66(3):230–8.</w:t>
      </w:r>
    </w:p>
    <w:p w14:paraId="56BD72AC" w14:textId="77777777" w:rsidR="00183BB5" w:rsidRPr="00587F9F" w:rsidRDefault="00183BB5" w:rsidP="00B70D28">
      <w:r w:rsidRPr="00587F9F">
        <w:t xml:space="preserve">Calver L, Stokes B, </w:t>
      </w:r>
      <w:proofErr w:type="spellStart"/>
      <w:r w:rsidRPr="00587F9F">
        <w:t>Ibister</w:t>
      </w:r>
      <w:proofErr w:type="spellEnd"/>
      <w:r w:rsidRPr="00587F9F">
        <w:t xml:space="preserve"> GK. Sedation assessment tool to score acute behavioural disturbance in the emergency department. Emergency Medicine Australasia [Internet]. 2011 [cited 2019];23(6):732–40. </w:t>
      </w:r>
    </w:p>
    <w:p w14:paraId="3CE519E9" w14:textId="77777777" w:rsidR="00183BB5" w:rsidRPr="00587F9F" w:rsidRDefault="00183BB5" w:rsidP="00B70D28">
      <w:r w:rsidRPr="00587F9F">
        <w:t xml:space="preserve">Castle D, Chan E, </w:t>
      </w:r>
      <w:proofErr w:type="spellStart"/>
      <w:r w:rsidRPr="00587F9F">
        <w:t>Karro</w:t>
      </w:r>
      <w:proofErr w:type="spellEnd"/>
      <w:r w:rsidRPr="00587F9F">
        <w:t xml:space="preserve"> J, Knott, J Kong D, Phillips G, et al. Midazolam-</w:t>
      </w:r>
      <w:proofErr w:type="spellStart"/>
      <w:r w:rsidRPr="00587F9F">
        <w:t>droperidol</w:t>
      </w:r>
      <w:proofErr w:type="spellEnd"/>
      <w:r w:rsidRPr="00587F9F">
        <w:t xml:space="preserve">, </w:t>
      </w:r>
      <w:proofErr w:type="spellStart"/>
      <w:r w:rsidRPr="00587F9F">
        <w:t>droperidol</w:t>
      </w:r>
      <w:proofErr w:type="spellEnd"/>
      <w:r w:rsidRPr="00587F9F">
        <w:t>, or olanzapine for acute agitation: a randomized clinical trial. Annals of Emergency Medicine [Internet]. 2017 Mar [cited 2019];69(3):318–26.</w:t>
      </w:r>
    </w:p>
    <w:p w14:paraId="3C1FD464" w14:textId="77777777" w:rsidR="00183BB5" w:rsidRPr="00587F9F" w:rsidRDefault="00183BB5" w:rsidP="00B70D28">
      <w:r w:rsidRPr="00587F9F">
        <w:t xml:space="preserve">Chan EW, Taylor DM, Knott JC, Phillips GA, Castle DJ, Kong DCM. Intravenous </w:t>
      </w:r>
      <w:proofErr w:type="spellStart"/>
      <w:r w:rsidRPr="00587F9F">
        <w:t>droperidol</w:t>
      </w:r>
      <w:proofErr w:type="spellEnd"/>
      <w:r w:rsidRPr="00587F9F">
        <w:t xml:space="preserve"> or olanzapine as an adjunct to midazolam for the acutely agitated patient: a </w:t>
      </w:r>
      <w:proofErr w:type="spellStart"/>
      <w:r w:rsidRPr="00587F9F">
        <w:t>multicenter</w:t>
      </w:r>
      <w:proofErr w:type="spellEnd"/>
      <w:r w:rsidRPr="00587F9F">
        <w:t>, randomized, double-blind, placebo-controlled clinical trial. Annals of Emergency Medicine [Internet]. 2013 [cited 2019];61(1):72–81.</w:t>
      </w:r>
    </w:p>
    <w:p w14:paraId="2C23C484" w14:textId="77777777" w:rsidR="00183BB5" w:rsidRPr="00587F9F" w:rsidRDefault="00183BB5" w:rsidP="00B70D28">
      <w:r w:rsidRPr="00587F9F">
        <w:t xml:space="preserve">Cohen S, Bhatia A, </w:t>
      </w:r>
      <w:proofErr w:type="spellStart"/>
      <w:r w:rsidRPr="00587F9F">
        <w:t>Buvanendran</w:t>
      </w:r>
      <w:proofErr w:type="spellEnd"/>
      <w:r w:rsidRPr="00587F9F">
        <w:t xml:space="preserve"> A, </w:t>
      </w:r>
      <w:proofErr w:type="spellStart"/>
      <w:r w:rsidRPr="00587F9F">
        <w:t>Schwenk</w:t>
      </w:r>
      <w:proofErr w:type="spellEnd"/>
      <w:r w:rsidRPr="00587F9F">
        <w:t xml:space="preserve"> E, </w:t>
      </w:r>
      <w:proofErr w:type="spellStart"/>
      <w:r w:rsidRPr="00587F9F">
        <w:t>Wasan</w:t>
      </w:r>
      <w:proofErr w:type="spellEnd"/>
      <w:r w:rsidRPr="00587F9F">
        <w:t xml:space="preserve"> A, Hurley R et al. Consensus guidelines on the use of intravenous ketamine infusions for chronic pain from the American Society of Regional </w:t>
      </w:r>
      <w:proofErr w:type="spellStart"/>
      <w:r w:rsidRPr="00587F9F">
        <w:t>Anesthesia</w:t>
      </w:r>
      <w:proofErr w:type="spellEnd"/>
      <w:r w:rsidRPr="00587F9F">
        <w:t xml:space="preserve"> and Pain Medicine, the American Academy of Pain Medicine, and the American Society of </w:t>
      </w:r>
      <w:proofErr w:type="spellStart"/>
      <w:r w:rsidRPr="00587F9F">
        <w:t>Anesthesiologists</w:t>
      </w:r>
      <w:proofErr w:type="spellEnd"/>
      <w:r w:rsidRPr="00587F9F">
        <w:t xml:space="preserve">. Regional </w:t>
      </w:r>
      <w:proofErr w:type="spellStart"/>
      <w:r w:rsidRPr="00587F9F">
        <w:t>Anesthesia</w:t>
      </w:r>
      <w:proofErr w:type="spellEnd"/>
      <w:r w:rsidRPr="00587F9F">
        <w:t xml:space="preserve"> and Pain Medicine [Internet]. 2018 [cited 2019];43(5):521–46.</w:t>
      </w:r>
    </w:p>
    <w:p w14:paraId="7336BAAA" w14:textId="77777777" w:rsidR="00183BB5" w:rsidRPr="00587F9F" w:rsidRDefault="00183BB5" w:rsidP="00B70D28">
      <w:r w:rsidRPr="00587F9F">
        <w:t>Cole JB, Klein LR, Martel ML, Heard KJ. Parenteral antipsychotic choice and its association with emergency department length of stay for acute agitation secondary to alcohol intoxication. Academic Emergency Medicine [Internet]. 2019 [cited 2019];26(1):79–84.</w:t>
      </w:r>
    </w:p>
    <w:p w14:paraId="15A40D3D" w14:textId="77777777" w:rsidR="00183BB5" w:rsidRPr="00587F9F" w:rsidRDefault="00183BB5" w:rsidP="00B70D28">
      <w:r w:rsidRPr="00587F9F">
        <w:lastRenderedPageBreak/>
        <w:t xml:space="preserve">Downes MA, Calver LA, Page CB, Bryant JL, </w:t>
      </w:r>
      <w:proofErr w:type="spellStart"/>
      <w:r w:rsidRPr="00587F9F">
        <w:t>Isbister</w:t>
      </w:r>
      <w:proofErr w:type="spellEnd"/>
      <w:r w:rsidRPr="00587F9F">
        <w:t xml:space="preserve"> GK. The impact of a standardised intramuscular sedation protocol for acute behavioural disturbance in the emergency department. BMC Emergency Medicine [Internet]. 2010 [cited 2019];10(1):14.</w:t>
      </w:r>
    </w:p>
    <w:p w14:paraId="519C8BD7" w14:textId="77777777" w:rsidR="00183BB5" w:rsidRPr="00587F9F" w:rsidRDefault="00183BB5" w:rsidP="00B70D28">
      <w:r w:rsidRPr="00587F9F">
        <w:t xml:space="preserve">Hopper AB, </w:t>
      </w:r>
      <w:proofErr w:type="spellStart"/>
      <w:r w:rsidRPr="00587F9F">
        <w:t>Vilke</w:t>
      </w:r>
      <w:proofErr w:type="spellEnd"/>
      <w:r w:rsidRPr="00587F9F">
        <w:t xml:space="preserve"> GM, Castillo EM, </w:t>
      </w:r>
      <w:proofErr w:type="spellStart"/>
      <w:r w:rsidRPr="00587F9F">
        <w:t>Campillo</w:t>
      </w:r>
      <w:proofErr w:type="spellEnd"/>
      <w:r w:rsidRPr="00587F9F">
        <w:t xml:space="preserve"> A, Davie T, Wilson MP. Ketamine use for acute agitation in the emergency department. Journal of Emergency Medicine [Internet]. 2015 [cited 2019];48(6):712–9.</w:t>
      </w:r>
    </w:p>
    <w:p w14:paraId="7DAD9729" w14:textId="77777777" w:rsidR="00183BB5" w:rsidRPr="00587F9F" w:rsidRDefault="00183BB5" w:rsidP="00B70D28">
      <w:proofErr w:type="spellStart"/>
      <w:r w:rsidRPr="00587F9F">
        <w:t>Ibister</w:t>
      </w:r>
      <w:proofErr w:type="spellEnd"/>
      <w:r w:rsidRPr="00587F9F">
        <w:t xml:space="preserve"> GK, Calver LA, Page CB, Stokes B, Bryant JL, Downes, MA. Randomized controlled trial of intramuscular </w:t>
      </w:r>
      <w:proofErr w:type="spellStart"/>
      <w:r w:rsidRPr="00587F9F">
        <w:t>droperidol</w:t>
      </w:r>
      <w:proofErr w:type="spellEnd"/>
      <w:r w:rsidRPr="00587F9F">
        <w:t xml:space="preserve"> versus midazolam for violence and acute behavioural disturbance: the DORM study. Annals of Emergency Medicine [Internet]. 2010 [cited 2019];56(4):392–401.</w:t>
      </w:r>
    </w:p>
    <w:p w14:paraId="078CFADB" w14:textId="77777777" w:rsidR="00183BB5" w:rsidRPr="00587F9F" w:rsidRDefault="00183BB5" w:rsidP="00B70D28">
      <w:proofErr w:type="spellStart"/>
      <w:r w:rsidRPr="00587F9F">
        <w:t>Isbister</w:t>
      </w:r>
      <w:proofErr w:type="spellEnd"/>
      <w:r w:rsidRPr="00587F9F">
        <w:t xml:space="preserve"> GK, Calver LA, Downes MA, Page CB. Ketamine as rescue treatment for difficult-to-sedate severe acute </w:t>
      </w:r>
      <w:proofErr w:type="spellStart"/>
      <w:r w:rsidRPr="00587F9F">
        <w:t>behavioral</w:t>
      </w:r>
      <w:proofErr w:type="spellEnd"/>
      <w:r w:rsidRPr="00587F9F">
        <w:t xml:space="preserve"> disturbance in the emergency department. Annals of Emergency Medicine [Internet]. 2016 [cited 2019];67(5):581–7.</w:t>
      </w:r>
    </w:p>
    <w:p w14:paraId="468059E2" w14:textId="77777777" w:rsidR="00183BB5" w:rsidRPr="00587F9F" w:rsidRDefault="00183BB5" w:rsidP="00B70D28">
      <w:r w:rsidRPr="00587F9F">
        <w:t xml:space="preserve">Khokhar M, Rathbone J. </w:t>
      </w:r>
      <w:proofErr w:type="spellStart"/>
      <w:r w:rsidRPr="00587F9F">
        <w:t>Droperidol</w:t>
      </w:r>
      <w:proofErr w:type="spellEnd"/>
      <w:r w:rsidRPr="00587F9F">
        <w:t xml:space="preserve"> for psychosis-induced aggression or agitation. Cochrane Database of Systematic Reviews [Internet]. 2016 [cited 2019];12.</w:t>
      </w:r>
    </w:p>
    <w:p w14:paraId="45050107" w14:textId="77777777" w:rsidR="00183BB5" w:rsidRPr="00587F9F" w:rsidRDefault="00183BB5" w:rsidP="00B70D28">
      <w:r w:rsidRPr="00587F9F">
        <w:t xml:space="preserve">Knott JC, Taylor DM, Castle DJ. Randomized clinical trial comparing intravenous midazolam and </w:t>
      </w:r>
      <w:proofErr w:type="spellStart"/>
      <w:r w:rsidRPr="00587F9F">
        <w:t>droperidol</w:t>
      </w:r>
      <w:proofErr w:type="spellEnd"/>
      <w:r w:rsidRPr="00587F9F">
        <w:t xml:space="preserve"> for sedation of the acutely agitated patient in the emergency department. Annals of Emergency Medicine [Internet]. 2006 [cited 2019];47(1):61–7.</w:t>
      </w:r>
    </w:p>
    <w:p w14:paraId="6C053FC8" w14:textId="77777777" w:rsidR="00183BB5" w:rsidRPr="00587F9F" w:rsidRDefault="00183BB5" w:rsidP="00B70D28">
      <w:r w:rsidRPr="00587F9F">
        <w:t xml:space="preserve">Le Cong M, Ellis D, Finn E, Hill M, Johnson R, Langford S, </w:t>
      </w:r>
      <w:proofErr w:type="spellStart"/>
      <w:r w:rsidRPr="00587F9F">
        <w:t>Parsch</w:t>
      </w:r>
      <w:proofErr w:type="spellEnd"/>
      <w:r w:rsidRPr="00587F9F">
        <w:t xml:space="preserve"> C, </w:t>
      </w:r>
      <w:proofErr w:type="spellStart"/>
      <w:r w:rsidRPr="00587F9F">
        <w:t>Setchell</w:t>
      </w:r>
      <w:proofErr w:type="spellEnd"/>
      <w:r w:rsidRPr="00587F9F">
        <w:t xml:space="preserve"> J. The acutely agitated patient in a remote location assessment and management guidelines a consensus statement by Australian aeromedical retrieval services [internet]. 2015.</w:t>
      </w:r>
    </w:p>
    <w:p w14:paraId="206CDE7C" w14:textId="77777777" w:rsidR="00183BB5" w:rsidRPr="00587F9F" w:rsidRDefault="00183BB5" w:rsidP="00B70D28">
      <w:proofErr w:type="spellStart"/>
      <w:r w:rsidRPr="00587F9F">
        <w:t>Lebin</w:t>
      </w:r>
      <w:proofErr w:type="spellEnd"/>
      <w:r w:rsidRPr="00587F9F">
        <w:t xml:space="preserve"> JA, </w:t>
      </w:r>
      <w:proofErr w:type="spellStart"/>
      <w:r w:rsidRPr="00587F9F">
        <w:t>Akhavan</w:t>
      </w:r>
      <w:proofErr w:type="spellEnd"/>
      <w:r w:rsidRPr="00587F9F">
        <w:t xml:space="preserve"> AR, </w:t>
      </w:r>
      <w:proofErr w:type="spellStart"/>
      <w:r w:rsidRPr="00587F9F">
        <w:t>Hippe</w:t>
      </w:r>
      <w:proofErr w:type="spellEnd"/>
      <w:r w:rsidRPr="00587F9F">
        <w:t xml:space="preserve"> DS, </w:t>
      </w:r>
      <w:proofErr w:type="spellStart"/>
      <w:r w:rsidRPr="00587F9F">
        <w:t>Gittinger</w:t>
      </w:r>
      <w:proofErr w:type="spellEnd"/>
      <w:r w:rsidRPr="00587F9F">
        <w:t xml:space="preserve"> MH, Pasic J, McCoy AM, et al. Psychiatric outcomes of patients with severe agitation following administration of prehospital ketamine. Academic Emergency Medicine [Internet]. 2019 [cited 2019];26(8):889–96. </w:t>
      </w:r>
    </w:p>
    <w:p w14:paraId="0B9FF438" w14:textId="77777777" w:rsidR="00183BB5" w:rsidRPr="00587F9F" w:rsidRDefault="00183BB5" w:rsidP="00B70D28">
      <w:r w:rsidRPr="00587F9F">
        <w:t xml:space="preserve">Murray L, Little M, </w:t>
      </w:r>
      <w:proofErr w:type="spellStart"/>
      <w:r w:rsidRPr="00587F9F">
        <w:t>Pascu</w:t>
      </w:r>
      <w:proofErr w:type="spellEnd"/>
      <w:r w:rsidRPr="00587F9F">
        <w:t xml:space="preserve"> O, </w:t>
      </w:r>
      <w:proofErr w:type="spellStart"/>
      <w:r w:rsidRPr="00587F9F">
        <w:t>Hoggett</w:t>
      </w:r>
      <w:proofErr w:type="spellEnd"/>
      <w:r w:rsidRPr="00587F9F">
        <w:t xml:space="preserve"> K. Toxicology handbook. Chatswood: Elsevier; 2015.</w:t>
      </w:r>
    </w:p>
    <w:p w14:paraId="1268D287" w14:textId="77777777" w:rsidR="00183BB5" w:rsidRPr="00587F9F" w:rsidRDefault="00183BB5" w:rsidP="00B70D28">
      <w:r w:rsidRPr="00587F9F">
        <w:t xml:space="preserve">Riddell J, Tran A, </w:t>
      </w:r>
      <w:proofErr w:type="spellStart"/>
      <w:r w:rsidRPr="00587F9F">
        <w:t>Bengiamin</w:t>
      </w:r>
      <w:proofErr w:type="spellEnd"/>
      <w:r w:rsidRPr="00587F9F">
        <w:t xml:space="preserve"> R, </w:t>
      </w:r>
      <w:proofErr w:type="spellStart"/>
      <w:r w:rsidRPr="00587F9F">
        <w:t>Hendey</w:t>
      </w:r>
      <w:proofErr w:type="spellEnd"/>
      <w:r w:rsidRPr="00587F9F">
        <w:t xml:space="preserve"> GW, Armenian P. Ketamine as a first-line treatment for severely agitated emergency department patients. The American Journal of Emergency Medicine [Internet]. 2017 [cited 2019];35(7):1000–4.</w:t>
      </w:r>
    </w:p>
    <w:p w14:paraId="5A6131C6" w14:textId="77777777" w:rsidR="00183BB5" w:rsidRPr="00587F9F" w:rsidRDefault="00183BB5" w:rsidP="00B70D28">
      <w:r w:rsidRPr="00587F9F">
        <w:t xml:space="preserve">Spain D, Crilly J, Whyte I, Jenner L, </w:t>
      </w:r>
      <w:proofErr w:type="spellStart"/>
      <w:r w:rsidRPr="00587F9F">
        <w:t>Carr</w:t>
      </w:r>
      <w:proofErr w:type="spellEnd"/>
      <w:r w:rsidRPr="00587F9F">
        <w:t xml:space="preserve"> V, Baker A. Safety and effectiveness of high-dose midazolam for severe behavioural disturbance in an emergency department with suspected psychostimulant-affected patients. Emergency Medicine Australasia [Internet]. 2008 [cited 2019];20(2):112–20.</w:t>
      </w:r>
    </w:p>
    <w:p w14:paraId="5DBF63A0" w14:textId="77777777" w:rsidR="00183BB5" w:rsidRPr="00587F9F" w:rsidRDefault="00183BB5" w:rsidP="00B70D28">
      <w:r w:rsidRPr="00587F9F">
        <w:t xml:space="preserve">Taylor DM, Yap CYL, Knott JC, Taylor SE, Phillips GA, </w:t>
      </w:r>
      <w:proofErr w:type="spellStart"/>
      <w:r w:rsidRPr="00587F9F">
        <w:t>Karro</w:t>
      </w:r>
      <w:proofErr w:type="spellEnd"/>
      <w:r w:rsidRPr="00587F9F">
        <w:t xml:space="preserve"> J, et al. Midazolam-</w:t>
      </w:r>
      <w:proofErr w:type="spellStart"/>
      <w:r w:rsidRPr="00587F9F">
        <w:t>droperidol</w:t>
      </w:r>
      <w:proofErr w:type="spellEnd"/>
      <w:r w:rsidRPr="00587F9F">
        <w:t xml:space="preserve">, </w:t>
      </w:r>
      <w:proofErr w:type="spellStart"/>
      <w:r w:rsidRPr="00587F9F">
        <w:t>droperidol</w:t>
      </w:r>
      <w:proofErr w:type="spellEnd"/>
      <w:r w:rsidRPr="00587F9F">
        <w:t>, or olanzapine for acute agitation: a randomized clinical trial. Annals of Emergency Medicine [Internet]. 2017 [cited 2019];69(3):318–26.</w:t>
      </w:r>
    </w:p>
    <w:p w14:paraId="125DE425" w14:textId="77777777" w:rsidR="00183BB5" w:rsidRPr="00587F9F" w:rsidRDefault="00183BB5" w:rsidP="00B70D28">
      <w:r w:rsidRPr="00587F9F">
        <w:t xml:space="preserve">Wilson M, Pepper D, Currier G, Holloman G, </w:t>
      </w:r>
      <w:proofErr w:type="spellStart"/>
      <w:r w:rsidRPr="00587F9F">
        <w:t>Feifel</w:t>
      </w:r>
      <w:proofErr w:type="spellEnd"/>
      <w:r w:rsidRPr="00587F9F">
        <w:t xml:space="preserve"> D. The psychopharmacology of agitation: consensus statement of the American Association for Emergency Psychiatry project BETA psychopharmacology workgroup. The Western Journal of Emergency Medicine [Internet]. 2012 [cited 2019];13(1):26–34.</w:t>
      </w:r>
    </w:p>
    <w:p w14:paraId="37060BF3" w14:textId="77777777" w:rsidR="00183BB5" w:rsidRPr="00587F9F" w:rsidRDefault="00183BB5" w:rsidP="00B70D28">
      <w:r w:rsidRPr="00587F9F">
        <w:lastRenderedPageBreak/>
        <w:t>Yap CYL, Taylor DM, Kong DCM, Knott JC, Taylor SE, Bird SB. Risk factors for sedation-related events during acute agitation management in the emergency department. Academic Emergency Medicine [Internet]. 2019 [cited 2019];26(10):1135–43.</w:t>
      </w:r>
    </w:p>
    <w:p w14:paraId="7E053F11" w14:textId="77777777" w:rsidR="00183BB5" w:rsidRPr="00587F9F" w:rsidRDefault="00183BB5" w:rsidP="00B70D28">
      <w:r w:rsidRPr="00587F9F">
        <w:t xml:space="preserve">Yap CYL, Taylor DM, Kong DCM, Knott JC, Taylor SE, </w:t>
      </w:r>
      <w:proofErr w:type="spellStart"/>
      <w:r w:rsidRPr="00587F9F">
        <w:t>Graudins</w:t>
      </w:r>
      <w:proofErr w:type="spellEnd"/>
      <w:r w:rsidRPr="00587F9F">
        <w:t xml:space="preserve"> A, et al. Management of behavioural emergencies: a prospective observational study in Australian emergency departments. Journal of Pharmacy Practice &amp; Research [Internet]. 2019 Aug [cited 2019];49(4):341–8.</w:t>
      </w:r>
    </w:p>
    <w:p w14:paraId="2A516E8E" w14:textId="77777777" w:rsidR="00183BB5" w:rsidRPr="00587F9F" w:rsidRDefault="00183BB5" w:rsidP="00B70D28">
      <w:pPr>
        <w:pStyle w:val="Heading3"/>
      </w:pPr>
      <w:bookmarkStart w:id="31" w:name="_Toc29374941"/>
      <w:bookmarkStart w:id="32" w:name="_Toc29374999"/>
      <w:bookmarkStart w:id="33" w:name="_Toc29375136"/>
      <w:bookmarkStart w:id="34" w:name="_Toc29375166"/>
      <w:r w:rsidRPr="00587F9F">
        <w:t>Physical and mechanical restraint and ongoing care while restrained</w:t>
      </w:r>
      <w:bookmarkEnd w:id="31"/>
      <w:bookmarkEnd w:id="32"/>
      <w:bookmarkEnd w:id="33"/>
      <w:bookmarkEnd w:id="34"/>
      <w:r w:rsidRPr="00587F9F">
        <w:t xml:space="preserve"> </w:t>
      </w:r>
    </w:p>
    <w:p w14:paraId="110B0F56" w14:textId="2EB5D1CE" w:rsidR="00183BB5" w:rsidRPr="00587F9F" w:rsidRDefault="00183BB5" w:rsidP="00B70D28">
      <w:pPr>
        <w:pStyle w:val="Caption"/>
      </w:pPr>
      <w:r w:rsidRPr="00587F9F">
        <w:t>Table A</w:t>
      </w:r>
      <w:fldSimple w:instr=" SEQ Table \* ARABIC ">
        <w:r w:rsidR="00033994">
          <w:rPr>
            <w:noProof/>
          </w:rPr>
          <w:t>6</w:t>
        </w:r>
      </w:fldSimple>
      <w:r w:rsidRPr="00587F9F">
        <w:rPr>
          <w:noProof/>
        </w:rPr>
        <w:t>:</w:t>
      </w:r>
      <w:r w:rsidRPr="00587F9F">
        <w:t xml:space="preserve"> Level of evidence summary: physical and mechanical restraint </w:t>
      </w:r>
      <w:r w:rsidR="00FE1A98">
        <w:t xml:space="preserve">and ongoing care while restrained </w:t>
      </w:r>
      <w:r w:rsidRPr="00587F9F">
        <w:t>section</w:t>
      </w:r>
    </w:p>
    <w:tbl>
      <w:tblPr>
        <w:tblStyle w:val="TableGrid"/>
        <w:tblW w:w="0" w:type="auto"/>
        <w:tblLook w:val="04A0" w:firstRow="1" w:lastRow="0" w:firstColumn="1" w:lastColumn="0" w:noHBand="0" w:noVBand="1"/>
      </w:tblPr>
      <w:tblGrid>
        <w:gridCol w:w="1047"/>
        <w:gridCol w:w="1007"/>
        <w:gridCol w:w="894"/>
        <w:gridCol w:w="993"/>
        <w:gridCol w:w="1039"/>
        <w:gridCol w:w="1007"/>
        <w:gridCol w:w="1007"/>
        <w:gridCol w:w="1007"/>
        <w:gridCol w:w="1113"/>
        <w:gridCol w:w="976"/>
      </w:tblGrid>
      <w:tr w:rsidR="00183BB5" w:rsidRPr="00AF26FB" w14:paraId="0518C191" w14:textId="77777777" w:rsidTr="0089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7058103C" w14:textId="77777777" w:rsidR="00183BB5" w:rsidRPr="00AF26FB" w:rsidRDefault="00183BB5" w:rsidP="00B70D28">
            <w:pPr>
              <w:pStyle w:val="Normalfollowingheading"/>
            </w:pPr>
          </w:p>
        </w:tc>
        <w:tc>
          <w:tcPr>
            <w:tcW w:w="1007" w:type="dxa"/>
          </w:tcPr>
          <w:p w14:paraId="7D73BE43" w14:textId="11E40CCB"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E1A98">
              <w:br/>
            </w:r>
            <w:r w:rsidRPr="00AF26FB">
              <w:t>I</w:t>
            </w:r>
          </w:p>
        </w:tc>
        <w:tc>
          <w:tcPr>
            <w:tcW w:w="894" w:type="dxa"/>
          </w:tcPr>
          <w:p w14:paraId="5C5702E7" w14:textId="74CB80B0"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E1A98">
              <w:br/>
            </w:r>
            <w:r w:rsidRPr="00AF26FB">
              <w:t>II</w:t>
            </w:r>
          </w:p>
        </w:tc>
        <w:tc>
          <w:tcPr>
            <w:tcW w:w="993" w:type="dxa"/>
          </w:tcPr>
          <w:p w14:paraId="11174DC9" w14:textId="3E14E1F0"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E1A98">
              <w:br/>
            </w:r>
            <w:r w:rsidRPr="00AF26FB">
              <w:t>III-1</w:t>
            </w:r>
          </w:p>
        </w:tc>
        <w:tc>
          <w:tcPr>
            <w:tcW w:w="1039" w:type="dxa"/>
          </w:tcPr>
          <w:p w14:paraId="460FC0C8" w14:textId="422C93B9"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E1A98">
              <w:br/>
            </w:r>
            <w:r w:rsidRPr="00AF26FB">
              <w:t>III-2</w:t>
            </w:r>
          </w:p>
        </w:tc>
        <w:tc>
          <w:tcPr>
            <w:tcW w:w="1007" w:type="dxa"/>
          </w:tcPr>
          <w:p w14:paraId="65638B4D" w14:textId="432BEA63"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E1A98">
              <w:br/>
            </w:r>
            <w:r w:rsidRPr="00AF26FB">
              <w:t>III-3</w:t>
            </w:r>
          </w:p>
        </w:tc>
        <w:tc>
          <w:tcPr>
            <w:tcW w:w="1007" w:type="dxa"/>
          </w:tcPr>
          <w:p w14:paraId="36E3F03A" w14:textId="06CBAB10"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E1A98">
              <w:br/>
            </w:r>
            <w:r w:rsidRPr="00AF26FB">
              <w:t>IV</w:t>
            </w:r>
          </w:p>
        </w:tc>
        <w:tc>
          <w:tcPr>
            <w:tcW w:w="1007" w:type="dxa"/>
          </w:tcPr>
          <w:p w14:paraId="6183A015" w14:textId="4E6E4926"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E1A98">
              <w:br/>
            </w:r>
            <w:r w:rsidRPr="00AF26FB">
              <w:t>V</w:t>
            </w:r>
          </w:p>
        </w:tc>
        <w:tc>
          <w:tcPr>
            <w:tcW w:w="1113" w:type="dxa"/>
          </w:tcPr>
          <w:p w14:paraId="11A13C9E"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Consensus</w:t>
            </w:r>
          </w:p>
        </w:tc>
        <w:tc>
          <w:tcPr>
            <w:tcW w:w="976" w:type="dxa"/>
          </w:tcPr>
          <w:p w14:paraId="719F3DF5"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N/A</w:t>
            </w:r>
          </w:p>
        </w:tc>
      </w:tr>
      <w:tr w:rsidR="00183BB5" w:rsidRPr="00AF26FB" w14:paraId="79F76168" w14:textId="77777777" w:rsidTr="0089550B">
        <w:tc>
          <w:tcPr>
            <w:cnfStyle w:val="001000000000" w:firstRow="0" w:lastRow="0" w:firstColumn="1" w:lastColumn="0" w:oddVBand="0" w:evenVBand="0" w:oddHBand="0" w:evenHBand="0" w:firstRowFirstColumn="0" w:firstRowLastColumn="0" w:lastRowFirstColumn="0" w:lastRowLastColumn="0"/>
            <w:tcW w:w="1047" w:type="dxa"/>
            <w:vAlign w:val="center"/>
          </w:tcPr>
          <w:p w14:paraId="21C677F9" w14:textId="77777777" w:rsidR="00183BB5" w:rsidRPr="00AF26FB" w:rsidRDefault="00183BB5" w:rsidP="00B70D28">
            <w:pPr>
              <w:pStyle w:val="Normalfollowingheading"/>
            </w:pPr>
            <w:r w:rsidRPr="00AF26FB">
              <w:t>Total number</w:t>
            </w:r>
          </w:p>
        </w:tc>
        <w:tc>
          <w:tcPr>
            <w:tcW w:w="1007" w:type="dxa"/>
            <w:vAlign w:val="center"/>
          </w:tcPr>
          <w:p w14:paraId="55F549F2"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3</w:t>
            </w:r>
          </w:p>
        </w:tc>
        <w:tc>
          <w:tcPr>
            <w:tcW w:w="894" w:type="dxa"/>
            <w:vAlign w:val="center"/>
          </w:tcPr>
          <w:p w14:paraId="3E22B57C"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993" w:type="dxa"/>
            <w:vAlign w:val="center"/>
          </w:tcPr>
          <w:p w14:paraId="5499377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39" w:type="dxa"/>
            <w:vAlign w:val="center"/>
          </w:tcPr>
          <w:p w14:paraId="14F13C1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2</w:t>
            </w:r>
          </w:p>
        </w:tc>
        <w:tc>
          <w:tcPr>
            <w:tcW w:w="1007" w:type="dxa"/>
            <w:vAlign w:val="center"/>
          </w:tcPr>
          <w:p w14:paraId="059A8411"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10</w:t>
            </w:r>
          </w:p>
        </w:tc>
        <w:tc>
          <w:tcPr>
            <w:tcW w:w="1007" w:type="dxa"/>
            <w:vAlign w:val="center"/>
          </w:tcPr>
          <w:p w14:paraId="13C9278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p>
        </w:tc>
        <w:tc>
          <w:tcPr>
            <w:tcW w:w="1007" w:type="dxa"/>
            <w:vAlign w:val="center"/>
          </w:tcPr>
          <w:p w14:paraId="26FDB44B"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r w:rsidR="00257BAA" w:rsidRPr="00AF26FB">
              <w:t>2</w:t>
            </w:r>
          </w:p>
        </w:tc>
        <w:tc>
          <w:tcPr>
            <w:tcW w:w="1113" w:type="dxa"/>
            <w:vAlign w:val="center"/>
          </w:tcPr>
          <w:p w14:paraId="6DFA63B4" w14:textId="77777777" w:rsidR="00183BB5" w:rsidRPr="00AF26FB" w:rsidRDefault="003F193E"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4</w:t>
            </w:r>
          </w:p>
        </w:tc>
        <w:tc>
          <w:tcPr>
            <w:tcW w:w="976" w:type="dxa"/>
            <w:vAlign w:val="center"/>
          </w:tcPr>
          <w:p w14:paraId="39CFF504"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r>
    </w:tbl>
    <w:p w14:paraId="2260D383" w14:textId="77777777" w:rsidR="00183BB5" w:rsidRDefault="00183BB5" w:rsidP="00B70D28">
      <w:pPr>
        <w:pStyle w:val="Normalfollowingheading"/>
      </w:pPr>
    </w:p>
    <w:p w14:paraId="779EFE76" w14:textId="77777777" w:rsidR="00183BB5" w:rsidRPr="00587F9F" w:rsidRDefault="00183BB5" w:rsidP="00B70D28">
      <w:proofErr w:type="spellStart"/>
      <w:r w:rsidRPr="00587F9F">
        <w:t>Beysard</w:t>
      </w:r>
      <w:proofErr w:type="spellEnd"/>
      <w:r w:rsidRPr="00587F9F">
        <w:t xml:space="preserve"> N, </w:t>
      </w:r>
      <w:proofErr w:type="spellStart"/>
      <w:r w:rsidRPr="00587F9F">
        <w:t>Yersin</w:t>
      </w:r>
      <w:proofErr w:type="spellEnd"/>
      <w:r w:rsidRPr="00587F9F">
        <w:t xml:space="preserve"> B, Carron P. Mechanical restraint in an emergency department: a consecutive series of 593 cases. Internal and Emergency Medicine [Internet]. 2017 [cited 2019];13(4):575–83.</w:t>
      </w:r>
    </w:p>
    <w:p w14:paraId="2994E5B6" w14:textId="77777777" w:rsidR="00183BB5" w:rsidRPr="00587F9F" w:rsidRDefault="00183BB5" w:rsidP="00B70D28">
      <w:r w:rsidRPr="00587F9F">
        <w:t xml:space="preserve">Chapman R, Ogle K, Martin C, Rahman A, McKenna B, </w:t>
      </w:r>
      <w:proofErr w:type="spellStart"/>
      <w:r w:rsidRPr="00587F9F">
        <w:t>Barnfield</w:t>
      </w:r>
      <w:proofErr w:type="spellEnd"/>
      <w:r w:rsidRPr="00587F9F">
        <w:t xml:space="preserve"> J. Australian nurses’ perceptions of the use of manual restraint in the emergency department: a qualitative perspective. Journal of Clinical Nursing [Internet]. 2016 [cited 2019];25(9-10):1273–81.</w:t>
      </w:r>
    </w:p>
    <w:p w14:paraId="503D3FDF" w14:textId="77777777" w:rsidR="00183BB5" w:rsidRPr="00587F9F" w:rsidRDefault="00183BB5" w:rsidP="00B70D28">
      <w:r w:rsidRPr="00587F9F">
        <w:t>Considine J, Berry D, Johnson R, Sands N. Vital signs as predictors for aggression in hospital patients (VAPA). Journal of Clinical Nursing [Internet]. 2017 [cited 2019];26(17-18):2593–604.</w:t>
      </w:r>
    </w:p>
    <w:p w14:paraId="58C83629" w14:textId="77777777" w:rsidR="00183BB5" w:rsidRPr="00587F9F" w:rsidRDefault="00183BB5" w:rsidP="00B70D28">
      <w:r w:rsidRPr="00587F9F">
        <w:t>Cowling S, McKeon M, Weiland T. Managing acute behavioural disturbance in an emergency department using a behavioural assessment room. Australian Health Review [Internet]. 2007[cited 2019];31(2):296–304.</w:t>
      </w:r>
    </w:p>
    <w:p w14:paraId="13D2AF2B" w14:textId="77777777" w:rsidR="00183BB5" w:rsidRPr="00587F9F" w:rsidRDefault="00183BB5" w:rsidP="00B70D28">
      <w:r w:rsidRPr="00587F9F">
        <w:t>Dolan J. Determinants of nurses’ use of physical restraints in surgical intensive care unit patients. American Journal of Critical Care [Internet]. 2017 [cited 2019];26(5):373–9.</w:t>
      </w:r>
    </w:p>
    <w:p w14:paraId="1496CA28" w14:textId="77777777" w:rsidR="00183BB5" w:rsidRPr="00587F9F" w:rsidRDefault="00183BB5" w:rsidP="00B70D28">
      <w:r w:rsidRPr="00587F9F">
        <w:t xml:space="preserve">Downes M, Healy P, Page C, Bryant J, </w:t>
      </w:r>
      <w:proofErr w:type="spellStart"/>
      <w:r w:rsidRPr="00587F9F">
        <w:t>Isbister</w:t>
      </w:r>
      <w:proofErr w:type="spellEnd"/>
      <w:r w:rsidRPr="00587F9F">
        <w:t xml:space="preserve"> G. Structured team approach to the agitated patient in the emergency department. Emergency Medicine Australasia [Internet]. 2009 [cited 2019];21(3):196–202.</w:t>
      </w:r>
    </w:p>
    <w:p w14:paraId="77D62995" w14:textId="77777777" w:rsidR="00183BB5" w:rsidRDefault="00183BB5" w:rsidP="00B70D28">
      <w:proofErr w:type="spellStart"/>
      <w:r w:rsidRPr="00587F9F">
        <w:t>Isoardi</w:t>
      </w:r>
      <w:proofErr w:type="spellEnd"/>
      <w:r w:rsidRPr="00587F9F">
        <w:t xml:space="preserve"> KZ, </w:t>
      </w:r>
      <w:proofErr w:type="spellStart"/>
      <w:r w:rsidRPr="00587F9F">
        <w:t>Ayles</w:t>
      </w:r>
      <w:proofErr w:type="spellEnd"/>
      <w:r w:rsidRPr="00587F9F">
        <w:t xml:space="preserve"> SF, Harris K, Finch CJ, Page CB. Methamphetamine presentations to an emergency department: management and complications. Emergency Medicine Australasia [Internet]. 2019 [cited 2019];31(4):593–9.</w:t>
      </w:r>
    </w:p>
    <w:p w14:paraId="78DF91CF" w14:textId="77777777" w:rsidR="00AF26FB" w:rsidRDefault="00AF26FB" w:rsidP="00B70D28">
      <w:r>
        <w:br w:type="page"/>
      </w:r>
    </w:p>
    <w:p w14:paraId="6E063D26" w14:textId="52DCBA2F" w:rsidR="00095E59" w:rsidRPr="00095E59" w:rsidRDefault="00095E59" w:rsidP="00B70D28">
      <w:pPr>
        <w:pStyle w:val="Normalfollowingheading"/>
      </w:pPr>
      <w:r w:rsidRPr="00095E59">
        <w:lastRenderedPageBreak/>
        <w:t xml:space="preserve">Knott J, </w:t>
      </w:r>
      <w:proofErr w:type="spellStart"/>
      <w:r w:rsidRPr="00095E59">
        <w:t>Gerdtz</w:t>
      </w:r>
      <w:proofErr w:type="spellEnd"/>
      <w:r w:rsidRPr="00095E59">
        <w:t xml:space="preserve"> M, Dobson S, Daniel C, </w:t>
      </w:r>
      <w:proofErr w:type="spellStart"/>
      <w:r w:rsidRPr="00095E59">
        <w:t>Graudins</w:t>
      </w:r>
      <w:proofErr w:type="spellEnd"/>
      <w:r w:rsidRPr="00095E59">
        <w:t xml:space="preserve"> A, Mitra B, et al. Restrictive Interventions in Emergency Departments: A Review of Current Clinical Practice [Internet]. Melbourne: Department of Health and Human Services; 2019 [cited 2020]. 29pp. Available from: </w:t>
      </w:r>
      <w:hyperlink r:id="rId28" w:history="1">
        <w:r w:rsidRPr="00095E59">
          <w:t>https://www2.health.vic.gov.au/about/publications/researchandreports/restrictive-interventions-emergency-departments-review</w:t>
        </w:r>
      </w:hyperlink>
    </w:p>
    <w:p w14:paraId="0064DD1C" w14:textId="77777777" w:rsidR="00183BB5" w:rsidRPr="00587F9F" w:rsidRDefault="00183BB5" w:rsidP="00B70D28">
      <w:proofErr w:type="spellStart"/>
      <w:r w:rsidRPr="00587F9F">
        <w:t>Knutzen</w:t>
      </w:r>
      <w:proofErr w:type="spellEnd"/>
      <w:r w:rsidRPr="00587F9F">
        <w:t xml:space="preserve"> M, </w:t>
      </w:r>
      <w:proofErr w:type="spellStart"/>
      <w:r w:rsidRPr="00587F9F">
        <w:t>Bjørkly</w:t>
      </w:r>
      <w:proofErr w:type="spellEnd"/>
      <w:r w:rsidRPr="00587F9F">
        <w:t xml:space="preserve"> S, </w:t>
      </w:r>
      <w:proofErr w:type="spellStart"/>
      <w:r w:rsidRPr="00587F9F">
        <w:t>Eidhammer</w:t>
      </w:r>
      <w:proofErr w:type="spellEnd"/>
      <w:r w:rsidRPr="00587F9F">
        <w:t xml:space="preserve"> G, </w:t>
      </w:r>
      <w:proofErr w:type="spellStart"/>
      <w:r w:rsidRPr="00587F9F">
        <w:t>Lorentzen</w:t>
      </w:r>
      <w:proofErr w:type="spellEnd"/>
      <w:r w:rsidRPr="00587F9F">
        <w:t xml:space="preserve"> S, </w:t>
      </w:r>
      <w:proofErr w:type="spellStart"/>
      <w:r w:rsidRPr="00587F9F">
        <w:t>Mjøsund</w:t>
      </w:r>
      <w:proofErr w:type="spellEnd"/>
      <w:r w:rsidRPr="00587F9F">
        <w:t xml:space="preserve"> N, </w:t>
      </w:r>
      <w:proofErr w:type="spellStart"/>
      <w:r w:rsidRPr="00587F9F">
        <w:t>Opjordsmoen</w:t>
      </w:r>
      <w:proofErr w:type="spellEnd"/>
      <w:r w:rsidRPr="00587F9F">
        <w:t xml:space="preserve"> S, et al. Characteristics of patients frequently subjected to pharmacological and mechanical restraint: a register study in three Norwegian acute psychiatric wards. Psychiatry Research [Internet]. 2014 [cited 2019];215(1):127–33.</w:t>
      </w:r>
    </w:p>
    <w:p w14:paraId="388329DA" w14:textId="77777777" w:rsidR="00183BB5" w:rsidRPr="00587F9F" w:rsidRDefault="00183BB5" w:rsidP="00B70D28">
      <w:proofErr w:type="spellStart"/>
      <w:r w:rsidRPr="00587F9F">
        <w:t>Knutzen</w:t>
      </w:r>
      <w:proofErr w:type="spellEnd"/>
      <w:r w:rsidRPr="00587F9F">
        <w:t xml:space="preserve"> M, Sandvik L, </w:t>
      </w:r>
      <w:proofErr w:type="spellStart"/>
      <w:r w:rsidRPr="00587F9F">
        <w:t>Hauff</w:t>
      </w:r>
      <w:proofErr w:type="spellEnd"/>
      <w:r w:rsidRPr="00587F9F">
        <w:t xml:space="preserve"> E, </w:t>
      </w:r>
      <w:proofErr w:type="spellStart"/>
      <w:r w:rsidRPr="00587F9F">
        <w:t>Opjordsmoen</w:t>
      </w:r>
      <w:proofErr w:type="spellEnd"/>
      <w:r w:rsidRPr="00587F9F">
        <w:t xml:space="preserve"> S, </w:t>
      </w:r>
      <w:proofErr w:type="spellStart"/>
      <w:r w:rsidRPr="00587F9F">
        <w:t>Friis</w:t>
      </w:r>
      <w:proofErr w:type="spellEnd"/>
      <w:r w:rsidRPr="00587F9F">
        <w:t xml:space="preserve"> S. Association between patients’ gender, age and immigrant background and use of restraint: a 2-year retrospective study at a department of emergency psychiatry. Nordic Journal of Psychiatry [Internet]. 2007 [cited 2019];61(3):201–6.</w:t>
      </w:r>
    </w:p>
    <w:p w14:paraId="1AE97042" w14:textId="77777777" w:rsidR="00183BB5" w:rsidRDefault="00183BB5" w:rsidP="00B70D28">
      <w:proofErr w:type="spellStart"/>
      <w:r w:rsidRPr="00587F9F">
        <w:t>Kynoch</w:t>
      </w:r>
      <w:proofErr w:type="spellEnd"/>
      <w:r w:rsidRPr="00587F9F">
        <w:t xml:space="preserve"> K, Wu C, Chang A. Interventions for preventing and managing aggressive patients admitted to an acute hospital setting: a systematic review. Worldviews on Evidence-Based Nursing [Internet]. 2011 [cited 2019];8(2):76–86.</w:t>
      </w:r>
    </w:p>
    <w:p w14:paraId="08845099" w14:textId="77777777" w:rsidR="002867BD" w:rsidRPr="00587F9F" w:rsidRDefault="002867BD" w:rsidP="00B70D28">
      <w:r>
        <w:t xml:space="preserve">McKenna B, Daffern M, </w:t>
      </w:r>
      <w:proofErr w:type="spellStart"/>
      <w:r>
        <w:t>Macguire</w:t>
      </w:r>
      <w:proofErr w:type="spellEnd"/>
      <w:r>
        <w:t xml:space="preserve"> T. Minimum training standards: Preventing and managing clinical aggression including the use of physical restraint</w:t>
      </w:r>
      <w:r w:rsidR="006847CA">
        <w:t xml:space="preserve"> [Internet]</w:t>
      </w:r>
      <w:r>
        <w:t>. Melbourne: Department of Health and Human Services</w:t>
      </w:r>
      <w:r w:rsidR="006847CA">
        <w:t xml:space="preserve">. 16p. Available from: </w:t>
      </w:r>
      <w:r w:rsidR="006847CA" w:rsidRPr="006847CA">
        <w:t>https://www2.health.vic.gov.au/health-workforce/worker-health-wellbeing/occupational-violence-aggression/training</w:t>
      </w:r>
    </w:p>
    <w:p w14:paraId="5714AF09" w14:textId="77777777" w:rsidR="00183BB5" w:rsidRPr="00587F9F" w:rsidRDefault="00183BB5" w:rsidP="00B70D28">
      <w:r w:rsidRPr="00587F9F">
        <w:t xml:space="preserve">Mitra B, </w:t>
      </w:r>
      <w:proofErr w:type="spellStart"/>
      <w:r w:rsidRPr="00587F9F">
        <w:t>Nikathil</w:t>
      </w:r>
      <w:proofErr w:type="spellEnd"/>
      <w:r w:rsidRPr="00587F9F">
        <w:t xml:space="preserve"> S, </w:t>
      </w:r>
      <w:proofErr w:type="spellStart"/>
      <w:r w:rsidRPr="00587F9F">
        <w:t>Gocentas</w:t>
      </w:r>
      <w:proofErr w:type="spellEnd"/>
      <w:r w:rsidRPr="00587F9F">
        <w:t xml:space="preserve"> R, Symons E, O'Reilly G, </w:t>
      </w:r>
      <w:proofErr w:type="spellStart"/>
      <w:r w:rsidRPr="00587F9F">
        <w:t>Olaussen</w:t>
      </w:r>
      <w:proofErr w:type="spellEnd"/>
      <w:r w:rsidRPr="00587F9F">
        <w:t xml:space="preserve"> A. Security interventions for workplace violence in the emergency department. Emergency Medicine Australasia [Internet]. 2018 [cited 2019];30(6):802–7.</w:t>
      </w:r>
    </w:p>
    <w:p w14:paraId="4F8BC19D" w14:textId="77777777" w:rsidR="00183BB5" w:rsidRPr="00587F9F" w:rsidRDefault="00183BB5" w:rsidP="00B70D28">
      <w:r w:rsidRPr="00587F9F">
        <w:t>National Institute of Health and Care Excellence. Violence and aggression short-term management in mental health, health and community settings NICE guideline NG10 [Internet]. London: NICE [cited 2019]. Available from: https://www.nice.org.uk/guidance/ng10</w:t>
      </w:r>
    </w:p>
    <w:p w14:paraId="3F8F799B" w14:textId="77777777" w:rsidR="00183BB5" w:rsidRPr="00587F9F" w:rsidRDefault="00183BB5" w:rsidP="00B70D28">
      <w:proofErr w:type="spellStart"/>
      <w:r w:rsidRPr="00587F9F">
        <w:t>Nelstrop</w:t>
      </w:r>
      <w:proofErr w:type="spellEnd"/>
      <w:r w:rsidRPr="00587F9F">
        <w:t xml:space="preserve"> L, Chandler-</w:t>
      </w:r>
      <w:proofErr w:type="spellStart"/>
      <w:r w:rsidRPr="00587F9F">
        <w:t>Oatts</w:t>
      </w:r>
      <w:proofErr w:type="spellEnd"/>
      <w:r w:rsidRPr="00587F9F">
        <w:t xml:space="preserve"> J, Bingley W, </w:t>
      </w:r>
      <w:proofErr w:type="spellStart"/>
      <w:r w:rsidRPr="00587F9F">
        <w:t>Bleetman</w:t>
      </w:r>
      <w:proofErr w:type="spellEnd"/>
      <w:r w:rsidRPr="00587F9F">
        <w:t xml:space="preserve"> T, </w:t>
      </w:r>
      <w:proofErr w:type="spellStart"/>
      <w:r w:rsidRPr="00587F9F">
        <w:t>Corr</w:t>
      </w:r>
      <w:proofErr w:type="spellEnd"/>
      <w:r w:rsidRPr="00587F9F">
        <w:t xml:space="preserve"> F, Cronin-Davis J, et al. A systematic review of the safety and effectiveness of restraint and seclusion as interventions for the short-term management of violence in adult psychiatric inpatient settings and emergency departments. Worldviews on Evidence-Based Nursing [Internet]. 2006 [cited 2019];3(1):8–18.</w:t>
      </w:r>
    </w:p>
    <w:p w14:paraId="7E38F36A" w14:textId="77777777" w:rsidR="00183BB5" w:rsidRPr="00587F9F" w:rsidRDefault="00183BB5" w:rsidP="00B70D28">
      <w:r w:rsidRPr="00587F9F">
        <w:t xml:space="preserve">New A, Tucci V, Rios J. A modern-day fight </w:t>
      </w:r>
      <w:proofErr w:type="gramStart"/>
      <w:r w:rsidRPr="00587F9F">
        <w:t>club</w:t>
      </w:r>
      <w:proofErr w:type="gramEnd"/>
      <w:r w:rsidRPr="00587F9F">
        <w:t>? The stabilization and management of acutely agitated patients in the emergency department. Psychiatric Clinics of North America [Internet]. 2017 [cited 2019];40(3):397–410.</w:t>
      </w:r>
    </w:p>
    <w:p w14:paraId="69DF2DFB" w14:textId="77777777" w:rsidR="00183BB5" w:rsidRPr="00587F9F" w:rsidRDefault="00183BB5" w:rsidP="00B70D28">
      <w:proofErr w:type="spellStart"/>
      <w:r w:rsidRPr="00587F9F">
        <w:t>Reevs</w:t>
      </w:r>
      <w:proofErr w:type="spellEnd"/>
      <w:r w:rsidRPr="00587F9F">
        <w:t>, J. Guidelines for recording the use of physical restraint. Mental Health Practice. 2011;15(1):22–4.</w:t>
      </w:r>
    </w:p>
    <w:p w14:paraId="31F3D56B" w14:textId="77777777" w:rsidR="00183BB5" w:rsidRPr="00587F9F" w:rsidRDefault="00183BB5" w:rsidP="00B70D28">
      <w:proofErr w:type="spellStart"/>
      <w:r w:rsidRPr="00587F9F">
        <w:t>Silmi</w:t>
      </w:r>
      <w:proofErr w:type="spellEnd"/>
      <w:r w:rsidRPr="00587F9F">
        <w:t xml:space="preserve"> R, </w:t>
      </w:r>
      <w:proofErr w:type="spellStart"/>
      <w:r w:rsidRPr="00587F9F">
        <w:t>Luster</w:t>
      </w:r>
      <w:proofErr w:type="spellEnd"/>
      <w:r w:rsidRPr="00587F9F">
        <w:t xml:space="preserve"> J, </w:t>
      </w:r>
      <w:proofErr w:type="spellStart"/>
      <w:r w:rsidRPr="00587F9F">
        <w:t>Seoane</w:t>
      </w:r>
      <w:proofErr w:type="spellEnd"/>
      <w:r w:rsidRPr="00587F9F">
        <w:t xml:space="preserve"> J, </w:t>
      </w:r>
      <w:proofErr w:type="spellStart"/>
      <w:r w:rsidRPr="00587F9F">
        <w:t>Stawicki</w:t>
      </w:r>
      <w:proofErr w:type="spellEnd"/>
      <w:r w:rsidRPr="00587F9F">
        <w:t xml:space="preserve"> S, </w:t>
      </w:r>
      <w:proofErr w:type="spellStart"/>
      <w:r w:rsidRPr="00587F9F">
        <w:t>Papadimos</w:t>
      </w:r>
      <w:proofErr w:type="spellEnd"/>
      <w:r w:rsidRPr="00587F9F">
        <w:t xml:space="preserve">, T, </w:t>
      </w:r>
      <w:proofErr w:type="spellStart"/>
      <w:r w:rsidRPr="00587F9F">
        <w:t>Sholevar</w:t>
      </w:r>
      <w:proofErr w:type="spellEnd"/>
      <w:r w:rsidRPr="00587F9F">
        <w:t>, Marchionni. Patient self-harm in the emergency department: an evidence-based approach. Vignettes in Patient Safety. 2017; Volume 1 (Chapter 10).</w:t>
      </w:r>
    </w:p>
    <w:p w14:paraId="724F3E8A" w14:textId="77777777" w:rsidR="00183BB5" w:rsidRPr="00587F9F" w:rsidRDefault="00183BB5" w:rsidP="00B70D28">
      <w:r w:rsidRPr="00587F9F">
        <w:lastRenderedPageBreak/>
        <w:t xml:space="preserve">Simpson S, </w:t>
      </w:r>
      <w:proofErr w:type="spellStart"/>
      <w:r w:rsidRPr="00587F9F">
        <w:t>Joesch</w:t>
      </w:r>
      <w:proofErr w:type="spellEnd"/>
      <w:r w:rsidRPr="00587F9F">
        <w:t xml:space="preserve"> J, West I, Pasic J. Risk for physical restraint or seclusion in the psychiatric emergency service (PES). General Hospital Psychiatry [Internet]. 2014 [cited 2019];36(1</w:t>
      </w:r>
      <w:proofErr w:type="gramStart"/>
      <w:r w:rsidRPr="00587F9F">
        <w:t>):s</w:t>
      </w:r>
      <w:proofErr w:type="gramEnd"/>
      <w:r w:rsidRPr="00587F9F">
        <w:t>113–8.</w:t>
      </w:r>
    </w:p>
    <w:p w14:paraId="651F17B6" w14:textId="77777777" w:rsidR="00183BB5" w:rsidRPr="00587F9F" w:rsidRDefault="00183BB5" w:rsidP="00B70D28">
      <w:proofErr w:type="spellStart"/>
      <w:r w:rsidRPr="00587F9F">
        <w:t>Strote</w:t>
      </w:r>
      <w:proofErr w:type="spellEnd"/>
      <w:r w:rsidRPr="00587F9F">
        <w:t xml:space="preserve"> J, Walsh M, Auerbach D, Burns T, Maher P. Medical conditions and restraint in patients experiencing excited delirium. The American Journal of Emergency Medicine [Internet]. 2014 [cited 2019];32(9):1093–6.</w:t>
      </w:r>
    </w:p>
    <w:p w14:paraId="74DD8A63" w14:textId="77777777" w:rsidR="00183BB5" w:rsidRPr="00587F9F" w:rsidRDefault="00183BB5" w:rsidP="00B70D28">
      <w:r w:rsidRPr="00587F9F">
        <w:t xml:space="preserve">Terrell C, Brar K, </w:t>
      </w:r>
      <w:proofErr w:type="spellStart"/>
      <w:r w:rsidRPr="00587F9F">
        <w:t>Nuss</w:t>
      </w:r>
      <w:proofErr w:type="spellEnd"/>
      <w:r w:rsidRPr="00587F9F">
        <w:t xml:space="preserve"> S, El-</w:t>
      </w:r>
      <w:proofErr w:type="spellStart"/>
      <w:r w:rsidRPr="00587F9F">
        <w:t>Mallakh</w:t>
      </w:r>
      <w:proofErr w:type="spellEnd"/>
      <w:r w:rsidRPr="00587F9F">
        <w:t xml:space="preserve"> R. Resource utilization with the use of seclusion and restraint in a dedicated emergency psychiatric service. Southern Medical Journal [Internet]. 2018 [cited 2019];111(11):703–5.</w:t>
      </w:r>
    </w:p>
    <w:p w14:paraId="72130008" w14:textId="77777777" w:rsidR="00183BB5" w:rsidRPr="00587F9F" w:rsidRDefault="00183BB5" w:rsidP="00B70D28">
      <w:proofErr w:type="spellStart"/>
      <w:r w:rsidRPr="00587F9F">
        <w:t>Tishler</w:t>
      </w:r>
      <w:proofErr w:type="spellEnd"/>
      <w:r w:rsidRPr="00587F9F">
        <w:t xml:space="preserve"> C, Reiss N, Dundas J. The assessment and management of the violent patient in critical hospital settings. General Hospital Psychiatry [Internet]. 2012 [cited 2019];35(2):181–5.</w:t>
      </w:r>
    </w:p>
    <w:p w14:paraId="5DF52DB6" w14:textId="77777777" w:rsidR="00183BB5" w:rsidRPr="00587F9F" w:rsidRDefault="00183BB5" w:rsidP="00B70D28">
      <w:r w:rsidRPr="00587F9F">
        <w:t xml:space="preserve">Van Der </w:t>
      </w:r>
      <w:proofErr w:type="spellStart"/>
      <w:r w:rsidRPr="00587F9F">
        <w:t>Zwan</w:t>
      </w:r>
      <w:proofErr w:type="spellEnd"/>
      <w:r w:rsidRPr="00587F9F">
        <w:t xml:space="preserve"> R, Davies L, Andrews D, Brooks A. Aggression and violence in the ED: issues associated with the implementation of restraint and seclusion. Health Promotion Journal of Australia [Internet]. 2011 [cited 2019]; 22(2):124–7.</w:t>
      </w:r>
    </w:p>
    <w:p w14:paraId="21E7943B" w14:textId="77777777" w:rsidR="00183BB5" w:rsidRPr="00587F9F" w:rsidRDefault="00183BB5" w:rsidP="00B70D28">
      <w:r w:rsidRPr="00587F9F">
        <w:t>Victorian Government Department of Health and Human Services. Code grey standards [Internet]. Melbourne: Department of Health and Human Services. Available from: https://www2.health.vic.gov.au/health-workforce/worker-health-wellbeing/occupational-violence-aggression/code-grey-black</w:t>
      </w:r>
    </w:p>
    <w:p w14:paraId="4C2E719A" w14:textId="77777777" w:rsidR="00183BB5" w:rsidRDefault="00183BB5" w:rsidP="00B70D28">
      <w:r w:rsidRPr="00587F9F">
        <w:t xml:space="preserve">Victorian Government Department of Health and Human Services. Guidelines for behavioural assessment rooms in emergency departments [Internet]. Melbourne: Department of Health and Human Services. Available from: https://www2.health.vic.gov.au/about/publications/policiesandguidelines/behavioural-assessment-rooms-emergency-depts-guide </w:t>
      </w:r>
    </w:p>
    <w:p w14:paraId="2CC8F671" w14:textId="77777777" w:rsidR="003F193E" w:rsidRPr="00587F9F" w:rsidRDefault="003F193E" w:rsidP="00B70D28">
      <w:r>
        <w:t xml:space="preserve">Victorian Government Department of Health and Human Services. Practice of prone restraint, chief psychiatrist clinical practice advisory note [Internet]. Melbourne: Department of Health and Human Services. Available from: </w:t>
      </w:r>
      <w:r w:rsidRPr="003F193E">
        <w:t>https://www2.health.vic.gov.au/about/key-staff/chief-psychiatrist/chief-psychiatrist-guidelines/practice-of-prone-restraint</w:t>
      </w:r>
      <w:r>
        <w:t xml:space="preserve"> </w:t>
      </w:r>
    </w:p>
    <w:p w14:paraId="34A30A31" w14:textId="77777777" w:rsidR="00183BB5" w:rsidRPr="00587F9F" w:rsidRDefault="00183BB5" w:rsidP="00B70D28">
      <w:r w:rsidRPr="00587F9F">
        <w:t>Wand T, Coulson K. Zero tolerance: a policy in conflict with current opinion on aggression and violence management in health care. Australasian Emergency Nursing Journal [Internet]. 2006 [cited 2019]; 9(4):163–70.</w:t>
      </w:r>
    </w:p>
    <w:p w14:paraId="6DCADC08" w14:textId="77777777" w:rsidR="00183BB5" w:rsidRPr="00587F9F" w:rsidRDefault="00183BB5" w:rsidP="00B70D28">
      <w:r w:rsidRPr="00587F9F">
        <w:t>Weiland T, Ivory S, Hutton J. Managing acute behavioural disturbances in the emergency department using the environment, policies and practices: a systematic review. The Western Journal of Emergency Medicine [Internet]. 2017 [cited 2019];18(4):647–61.</w:t>
      </w:r>
    </w:p>
    <w:p w14:paraId="1A67FDC5" w14:textId="77777777" w:rsidR="00183BB5" w:rsidRPr="00587F9F" w:rsidRDefault="00183BB5" w:rsidP="00B70D28">
      <w:r w:rsidRPr="00587F9F">
        <w:t xml:space="preserve">Wong A, </w:t>
      </w:r>
      <w:proofErr w:type="spellStart"/>
      <w:r w:rsidRPr="00587F9F">
        <w:t>Crispino</w:t>
      </w:r>
      <w:proofErr w:type="spellEnd"/>
      <w:r w:rsidRPr="00587F9F">
        <w:t xml:space="preserve"> L, Parker J, </w:t>
      </w:r>
      <w:proofErr w:type="spellStart"/>
      <w:r w:rsidRPr="00587F9F">
        <w:t>McVaney</w:t>
      </w:r>
      <w:proofErr w:type="spellEnd"/>
      <w:r w:rsidRPr="00587F9F">
        <w:t xml:space="preserve"> C, Rosenberg A, Ray J, et al. Characteristics and severity of agitation associated with use of sedatives and restraints in the emergency department. The Journal of Emergency Medicine [Internet]. 2019 [cited 2019];57(5):611–9.</w:t>
      </w:r>
    </w:p>
    <w:p w14:paraId="227F208C" w14:textId="77777777" w:rsidR="00183BB5" w:rsidRPr="00587F9F" w:rsidRDefault="00183BB5" w:rsidP="00B70D28">
      <w:r w:rsidRPr="00587F9F">
        <w:lastRenderedPageBreak/>
        <w:t xml:space="preserve">Wong A, </w:t>
      </w:r>
      <w:proofErr w:type="spellStart"/>
      <w:r w:rsidRPr="00587F9F">
        <w:t>Crispino</w:t>
      </w:r>
      <w:proofErr w:type="spellEnd"/>
      <w:r w:rsidRPr="00587F9F">
        <w:t xml:space="preserve"> L, Parker J, </w:t>
      </w:r>
      <w:proofErr w:type="spellStart"/>
      <w:r w:rsidRPr="00587F9F">
        <w:t>McVaney</w:t>
      </w:r>
      <w:proofErr w:type="spellEnd"/>
      <w:r w:rsidRPr="00587F9F">
        <w:t xml:space="preserve"> C, Rosenberg A, Ray J, et al. Use of sedatives and restraints for treatment of agitation in the emergency department. The American Journal of Emergency Medicine [Internet]. 2019 [cited 2019];37(7):1376–9.</w:t>
      </w:r>
    </w:p>
    <w:p w14:paraId="02105442" w14:textId="77777777" w:rsidR="00183BB5" w:rsidRPr="00587F9F" w:rsidRDefault="00183BB5" w:rsidP="00B70D28">
      <w:r w:rsidRPr="00587F9F">
        <w:t>Wong A, Taylor R, Ray J, Bernstein S. Physical restraint use in adult patients presenting to a general emergency department. Annals of Emergency Medicine [Internet]. 2019 [cited 2019];73(2):183–92.</w:t>
      </w:r>
    </w:p>
    <w:p w14:paraId="477D20B2" w14:textId="77777777" w:rsidR="00183BB5" w:rsidRPr="00587F9F" w:rsidRDefault="00183BB5" w:rsidP="00B70D28">
      <w:proofErr w:type="spellStart"/>
      <w:r w:rsidRPr="00587F9F">
        <w:t>Ziaei</w:t>
      </w:r>
      <w:proofErr w:type="spellEnd"/>
      <w:r w:rsidRPr="00587F9F">
        <w:t xml:space="preserve"> M, </w:t>
      </w:r>
      <w:proofErr w:type="spellStart"/>
      <w:r w:rsidRPr="00587F9F">
        <w:t>Massoudifar</w:t>
      </w:r>
      <w:proofErr w:type="spellEnd"/>
      <w:r w:rsidRPr="00587F9F">
        <w:t xml:space="preserve"> A, </w:t>
      </w:r>
      <w:proofErr w:type="spellStart"/>
      <w:r w:rsidRPr="00587F9F">
        <w:t>Rajabpour-Sanati</w:t>
      </w:r>
      <w:proofErr w:type="spellEnd"/>
      <w:r w:rsidRPr="00587F9F">
        <w:t xml:space="preserve"> A, </w:t>
      </w:r>
      <w:proofErr w:type="spellStart"/>
      <w:r w:rsidRPr="00587F9F">
        <w:t>Pourbagher-Shahri</w:t>
      </w:r>
      <w:proofErr w:type="spellEnd"/>
      <w:r w:rsidRPr="00587F9F">
        <w:t xml:space="preserve"> A, </w:t>
      </w:r>
      <w:proofErr w:type="spellStart"/>
      <w:r w:rsidRPr="00587F9F">
        <w:t>Abdolrazaghnejad</w:t>
      </w:r>
      <w:proofErr w:type="spellEnd"/>
      <w:r w:rsidRPr="00587F9F">
        <w:t xml:space="preserve"> A. Management of violence and aggression in emergency environment: a narrative review of 200 related articles. Advanced Journal of Emergency Medicine [Internet]. 2019 [cited 2019]; 3(1</w:t>
      </w:r>
      <w:proofErr w:type="gramStart"/>
      <w:r w:rsidRPr="00587F9F">
        <w:t>):e</w:t>
      </w:r>
      <w:proofErr w:type="gramEnd"/>
      <w:r w:rsidRPr="00587F9F">
        <w:t>7.</w:t>
      </w:r>
    </w:p>
    <w:p w14:paraId="265C39C4" w14:textId="77777777" w:rsidR="00183BB5" w:rsidRPr="00587F9F" w:rsidRDefault="00183BB5" w:rsidP="00B70D28">
      <w:pPr>
        <w:pStyle w:val="Heading3"/>
      </w:pPr>
      <w:bookmarkStart w:id="35" w:name="_Toc29374942"/>
      <w:bookmarkStart w:id="36" w:name="_Toc29375000"/>
      <w:bookmarkStart w:id="37" w:name="_Toc29375137"/>
      <w:bookmarkStart w:id="38" w:name="_Toc29375167"/>
      <w:r w:rsidRPr="00587F9F">
        <w:t>Transition from the emergency care setting</w:t>
      </w:r>
      <w:bookmarkEnd w:id="35"/>
      <w:bookmarkEnd w:id="36"/>
      <w:bookmarkEnd w:id="37"/>
      <w:bookmarkEnd w:id="38"/>
    </w:p>
    <w:p w14:paraId="3B20CA4D" w14:textId="1A38A5A4" w:rsidR="00183BB5" w:rsidRPr="00587F9F" w:rsidRDefault="00183BB5" w:rsidP="00B70D28">
      <w:pPr>
        <w:pStyle w:val="Caption"/>
      </w:pPr>
      <w:r w:rsidRPr="00587F9F">
        <w:t>Table A</w:t>
      </w:r>
      <w:fldSimple w:instr=" SEQ Table \* ARABIC ">
        <w:r w:rsidR="00033994">
          <w:rPr>
            <w:noProof/>
          </w:rPr>
          <w:t>7</w:t>
        </w:r>
      </w:fldSimple>
      <w:r w:rsidRPr="00587F9F">
        <w:rPr>
          <w:noProof/>
        </w:rPr>
        <w:t>:</w:t>
      </w:r>
      <w:r w:rsidRPr="00587F9F">
        <w:t xml:space="preserve"> Level of evidence summary: transition from emergency care setting section</w:t>
      </w:r>
    </w:p>
    <w:tbl>
      <w:tblPr>
        <w:tblStyle w:val="TableGrid"/>
        <w:tblW w:w="0" w:type="auto"/>
        <w:tblLook w:val="04A0" w:firstRow="1" w:lastRow="0" w:firstColumn="1" w:lastColumn="0" w:noHBand="0" w:noVBand="1"/>
      </w:tblPr>
      <w:tblGrid>
        <w:gridCol w:w="1047"/>
        <w:gridCol w:w="1007"/>
        <w:gridCol w:w="894"/>
        <w:gridCol w:w="993"/>
        <w:gridCol w:w="1039"/>
        <w:gridCol w:w="1007"/>
        <w:gridCol w:w="1007"/>
        <w:gridCol w:w="1007"/>
        <w:gridCol w:w="1113"/>
        <w:gridCol w:w="976"/>
      </w:tblGrid>
      <w:tr w:rsidR="00183BB5" w:rsidRPr="00AF26FB" w14:paraId="4AD5979A" w14:textId="77777777" w:rsidTr="0089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73FDCB5B" w14:textId="77777777" w:rsidR="00183BB5" w:rsidRPr="00AF26FB" w:rsidRDefault="00183BB5" w:rsidP="00B70D28">
            <w:pPr>
              <w:pStyle w:val="Normalfollowingheading"/>
            </w:pPr>
          </w:p>
        </w:tc>
        <w:tc>
          <w:tcPr>
            <w:tcW w:w="1007" w:type="dxa"/>
          </w:tcPr>
          <w:p w14:paraId="6A6F44A9" w14:textId="5ADD5D8A"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w:t>
            </w:r>
          </w:p>
        </w:tc>
        <w:tc>
          <w:tcPr>
            <w:tcW w:w="894" w:type="dxa"/>
          </w:tcPr>
          <w:p w14:paraId="49AA0918" w14:textId="795A5311"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II</w:t>
            </w:r>
          </w:p>
        </w:tc>
        <w:tc>
          <w:tcPr>
            <w:tcW w:w="993" w:type="dxa"/>
          </w:tcPr>
          <w:p w14:paraId="1B2BC7AC" w14:textId="1931AE83"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III-1</w:t>
            </w:r>
          </w:p>
        </w:tc>
        <w:tc>
          <w:tcPr>
            <w:tcW w:w="1039" w:type="dxa"/>
          </w:tcPr>
          <w:p w14:paraId="7997BED0" w14:textId="22008A78"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III-2</w:t>
            </w:r>
          </w:p>
        </w:tc>
        <w:tc>
          <w:tcPr>
            <w:tcW w:w="1007" w:type="dxa"/>
          </w:tcPr>
          <w:p w14:paraId="4D802DA5" w14:textId="09CCDDE3"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III-3</w:t>
            </w:r>
          </w:p>
        </w:tc>
        <w:tc>
          <w:tcPr>
            <w:tcW w:w="1007" w:type="dxa"/>
          </w:tcPr>
          <w:p w14:paraId="4963E4FD" w14:textId="1368FB19"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IV</w:t>
            </w:r>
          </w:p>
        </w:tc>
        <w:tc>
          <w:tcPr>
            <w:tcW w:w="1007" w:type="dxa"/>
          </w:tcPr>
          <w:p w14:paraId="185493C8" w14:textId="3D75B94F"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V</w:t>
            </w:r>
          </w:p>
        </w:tc>
        <w:tc>
          <w:tcPr>
            <w:tcW w:w="1113" w:type="dxa"/>
          </w:tcPr>
          <w:p w14:paraId="7FB61946"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Consensus</w:t>
            </w:r>
          </w:p>
        </w:tc>
        <w:tc>
          <w:tcPr>
            <w:tcW w:w="976" w:type="dxa"/>
          </w:tcPr>
          <w:p w14:paraId="07F4866C"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N/A</w:t>
            </w:r>
          </w:p>
        </w:tc>
      </w:tr>
      <w:tr w:rsidR="00183BB5" w:rsidRPr="00AF26FB" w14:paraId="472153BF" w14:textId="77777777" w:rsidTr="0089550B">
        <w:tc>
          <w:tcPr>
            <w:cnfStyle w:val="001000000000" w:firstRow="0" w:lastRow="0" w:firstColumn="1" w:lastColumn="0" w:oddVBand="0" w:evenVBand="0" w:oddHBand="0" w:evenHBand="0" w:firstRowFirstColumn="0" w:firstRowLastColumn="0" w:lastRowFirstColumn="0" w:lastRowLastColumn="0"/>
            <w:tcW w:w="1047" w:type="dxa"/>
            <w:vAlign w:val="center"/>
          </w:tcPr>
          <w:p w14:paraId="7F25DBE3" w14:textId="77777777" w:rsidR="00183BB5" w:rsidRPr="00AF26FB" w:rsidRDefault="00183BB5" w:rsidP="00B70D28">
            <w:pPr>
              <w:pStyle w:val="Normalfollowingheading"/>
            </w:pPr>
            <w:r w:rsidRPr="00AF26FB">
              <w:t>Total number</w:t>
            </w:r>
          </w:p>
        </w:tc>
        <w:tc>
          <w:tcPr>
            <w:tcW w:w="1007" w:type="dxa"/>
            <w:vAlign w:val="center"/>
          </w:tcPr>
          <w:p w14:paraId="6A7197B6"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894" w:type="dxa"/>
            <w:vAlign w:val="center"/>
          </w:tcPr>
          <w:p w14:paraId="22D611E3"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993" w:type="dxa"/>
            <w:vAlign w:val="center"/>
          </w:tcPr>
          <w:p w14:paraId="0978F31B"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39" w:type="dxa"/>
            <w:vAlign w:val="center"/>
          </w:tcPr>
          <w:p w14:paraId="00130AC9"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7591686E"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666032A1"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13833CE8"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p>
        </w:tc>
        <w:tc>
          <w:tcPr>
            <w:tcW w:w="1113" w:type="dxa"/>
            <w:vAlign w:val="center"/>
          </w:tcPr>
          <w:p w14:paraId="2CC451C5"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976" w:type="dxa"/>
            <w:vAlign w:val="center"/>
          </w:tcPr>
          <w:p w14:paraId="0281C2F8"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p>
        </w:tc>
      </w:tr>
    </w:tbl>
    <w:p w14:paraId="6496B44F" w14:textId="77777777" w:rsidR="00183BB5" w:rsidRDefault="00183BB5" w:rsidP="00B70D28">
      <w:pPr>
        <w:pStyle w:val="Normalfollowingheading"/>
      </w:pPr>
    </w:p>
    <w:p w14:paraId="04901717" w14:textId="77777777" w:rsidR="00183BB5" w:rsidRPr="00587F9F" w:rsidRDefault="00183BB5" w:rsidP="00B70D28">
      <w:r w:rsidRPr="00587F9F">
        <w:t xml:space="preserve">Australian Commission on Safety and Quality in Health Care [Internet]. Sydney: ACSQHC; 2017. Communication at clinical handover; 2019 [cited 2019 Dec]. Available from: </w:t>
      </w:r>
      <w:hyperlink r:id="rId29" w:history="1">
        <w:r w:rsidRPr="00587F9F">
          <w:rPr>
            <w:rStyle w:val="Hyperlink"/>
            <w:rFonts w:ascii="VIC" w:hAnsi="VIC"/>
          </w:rPr>
          <w:t>https://www.safetyandquality.gov.au/standards/nsqhs-standards/communicating-safety-standard/communication-clinical-handover</w:t>
        </w:r>
      </w:hyperlink>
    </w:p>
    <w:p w14:paraId="26D27F69" w14:textId="77777777" w:rsidR="00183BB5" w:rsidRPr="00587F9F" w:rsidRDefault="00183BB5" w:rsidP="00B70D28">
      <w:r w:rsidRPr="00587F9F">
        <w:t xml:space="preserve">Australian Charter of Healthcare Rights [Internet]. 2nd </w:t>
      </w:r>
      <w:proofErr w:type="spellStart"/>
      <w:r w:rsidRPr="00587F9F">
        <w:t>edn</w:t>
      </w:r>
      <w:proofErr w:type="spellEnd"/>
      <w:r w:rsidRPr="00587F9F">
        <w:t>. Sydney: ACSQHC; 2019. Available from: https://www.safetyandquality.gov.au/your-rights</w:t>
      </w:r>
    </w:p>
    <w:p w14:paraId="746E9F81" w14:textId="5891D91F" w:rsidR="00183BB5" w:rsidRPr="00587F9F" w:rsidRDefault="00F42F04" w:rsidP="00B70D28">
      <w:pPr>
        <w:pStyle w:val="Heading3"/>
      </w:pPr>
      <w:r>
        <w:t>Staff support and case review</w:t>
      </w:r>
    </w:p>
    <w:p w14:paraId="52EA1930" w14:textId="1B94B486" w:rsidR="00183BB5" w:rsidRPr="00587F9F" w:rsidRDefault="00183BB5" w:rsidP="00B70D28">
      <w:pPr>
        <w:pStyle w:val="Caption"/>
      </w:pPr>
      <w:r w:rsidRPr="00587F9F">
        <w:t>Table A</w:t>
      </w:r>
      <w:fldSimple w:instr=" SEQ Table \* ARABIC ">
        <w:r w:rsidR="00033994">
          <w:rPr>
            <w:noProof/>
          </w:rPr>
          <w:t>8</w:t>
        </w:r>
      </w:fldSimple>
      <w:r w:rsidRPr="00587F9F">
        <w:rPr>
          <w:noProof/>
        </w:rPr>
        <w:t>:</w:t>
      </w:r>
      <w:r w:rsidRPr="00587F9F">
        <w:t xml:space="preserve"> Level of evidence summary: </w:t>
      </w:r>
      <w:r w:rsidR="00F42F04">
        <w:t xml:space="preserve">staff support and case review </w:t>
      </w:r>
      <w:r w:rsidRPr="00587F9F">
        <w:t>section</w:t>
      </w:r>
    </w:p>
    <w:tbl>
      <w:tblPr>
        <w:tblStyle w:val="TableGrid"/>
        <w:tblW w:w="0" w:type="auto"/>
        <w:tblLook w:val="04A0" w:firstRow="1" w:lastRow="0" w:firstColumn="1" w:lastColumn="0" w:noHBand="0" w:noVBand="1"/>
      </w:tblPr>
      <w:tblGrid>
        <w:gridCol w:w="1047"/>
        <w:gridCol w:w="1007"/>
        <w:gridCol w:w="894"/>
        <w:gridCol w:w="993"/>
        <w:gridCol w:w="1039"/>
        <w:gridCol w:w="1007"/>
        <w:gridCol w:w="1007"/>
        <w:gridCol w:w="1007"/>
        <w:gridCol w:w="1113"/>
        <w:gridCol w:w="976"/>
      </w:tblGrid>
      <w:tr w:rsidR="00183BB5" w:rsidRPr="00AF26FB" w14:paraId="1BC2B654" w14:textId="77777777" w:rsidTr="0089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79D5340E" w14:textId="77777777" w:rsidR="00183BB5" w:rsidRPr="00AF26FB" w:rsidRDefault="00183BB5" w:rsidP="00B70D28">
            <w:pPr>
              <w:pStyle w:val="Normalfollowingheading"/>
            </w:pPr>
          </w:p>
        </w:tc>
        <w:tc>
          <w:tcPr>
            <w:tcW w:w="1007" w:type="dxa"/>
          </w:tcPr>
          <w:p w14:paraId="033AF354" w14:textId="50EBA030"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w:t>
            </w:r>
          </w:p>
        </w:tc>
        <w:tc>
          <w:tcPr>
            <w:tcW w:w="894" w:type="dxa"/>
          </w:tcPr>
          <w:p w14:paraId="079582E9" w14:textId="7A6D267A"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II</w:t>
            </w:r>
          </w:p>
        </w:tc>
        <w:tc>
          <w:tcPr>
            <w:tcW w:w="993" w:type="dxa"/>
          </w:tcPr>
          <w:p w14:paraId="0DCBCA44" w14:textId="486A1CBE"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III-1</w:t>
            </w:r>
          </w:p>
        </w:tc>
        <w:tc>
          <w:tcPr>
            <w:tcW w:w="1039" w:type="dxa"/>
          </w:tcPr>
          <w:p w14:paraId="5E1B3DDA" w14:textId="29DD79C5"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III-2</w:t>
            </w:r>
          </w:p>
        </w:tc>
        <w:tc>
          <w:tcPr>
            <w:tcW w:w="1007" w:type="dxa"/>
          </w:tcPr>
          <w:p w14:paraId="5620B6C3" w14:textId="30953EC1"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III-3</w:t>
            </w:r>
          </w:p>
        </w:tc>
        <w:tc>
          <w:tcPr>
            <w:tcW w:w="1007" w:type="dxa"/>
          </w:tcPr>
          <w:p w14:paraId="401041D6" w14:textId="689530D3"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IV</w:t>
            </w:r>
          </w:p>
        </w:tc>
        <w:tc>
          <w:tcPr>
            <w:tcW w:w="1007" w:type="dxa"/>
          </w:tcPr>
          <w:p w14:paraId="4ABA9744" w14:textId="3E7F1021"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 xml:space="preserve">Level </w:t>
            </w:r>
            <w:r w:rsidR="00F42F04">
              <w:br/>
            </w:r>
            <w:r w:rsidRPr="00AF26FB">
              <w:t>V</w:t>
            </w:r>
          </w:p>
        </w:tc>
        <w:tc>
          <w:tcPr>
            <w:tcW w:w="1113" w:type="dxa"/>
          </w:tcPr>
          <w:p w14:paraId="7349F473"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Consensus</w:t>
            </w:r>
          </w:p>
        </w:tc>
        <w:tc>
          <w:tcPr>
            <w:tcW w:w="976" w:type="dxa"/>
          </w:tcPr>
          <w:p w14:paraId="7733DD6E" w14:textId="77777777" w:rsidR="00183BB5" w:rsidRPr="00AF26FB" w:rsidRDefault="00183BB5" w:rsidP="00B70D28">
            <w:pPr>
              <w:pStyle w:val="Normalfollowingheading"/>
              <w:cnfStyle w:val="100000000000" w:firstRow="1" w:lastRow="0" w:firstColumn="0" w:lastColumn="0" w:oddVBand="0" w:evenVBand="0" w:oddHBand="0" w:evenHBand="0" w:firstRowFirstColumn="0" w:firstRowLastColumn="0" w:lastRowFirstColumn="0" w:lastRowLastColumn="0"/>
            </w:pPr>
            <w:r w:rsidRPr="00AF26FB">
              <w:t>N/A</w:t>
            </w:r>
          </w:p>
        </w:tc>
      </w:tr>
      <w:tr w:rsidR="00183BB5" w:rsidRPr="00AF26FB" w14:paraId="4E86988A" w14:textId="77777777" w:rsidTr="0089550B">
        <w:tc>
          <w:tcPr>
            <w:cnfStyle w:val="001000000000" w:firstRow="0" w:lastRow="0" w:firstColumn="1" w:lastColumn="0" w:oddVBand="0" w:evenVBand="0" w:oddHBand="0" w:evenHBand="0" w:firstRowFirstColumn="0" w:firstRowLastColumn="0" w:lastRowFirstColumn="0" w:lastRowLastColumn="0"/>
            <w:tcW w:w="1047" w:type="dxa"/>
            <w:vAlign w:val="center"/>
          </w:tcPr>
          <w:p w14:paraId="17D9879D" w14:textId="77777777" w:rsidR="00183BB5" w:rsidRPr="00AF26FB" w:rsidRDefault="00183BB5" w:rsidP="00B70D28">
            <w:pPr>
              <w:pStyle w:val="Normalfollowingheading"/>
            </w:pPr>
            <w:r w:rsidRPr="00AF26FB">
              <w:t>Total number</w:t>
            </w:r>
          </w:p>
        </w:tc>
        <w:tc>
          <w:tcPr>
            <w:tcW w:w="1007" w:type="dxa"/>
            <w:vAlign w:val="center"/>
          </w:tcPr>
          <w:p w14:paraId="0F345660"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894" w:type="dxa"/>
            <w:vAlign w:val="center"/>
          </w:tcPr>
          <w:p w14:paraId="65E24729"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993" w:type="dxa"/>
            <w:vAlign w:val="center"/>
          </w:tcPr>
          <w:p w14:paraId="34D0E921"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39" w:type="dxa"/>
            <w:vAlign w:val="center"/>
          </w:tcPr>
          <w:p w14:paraId="4D8C6CC8"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1F360DAC"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77B7513A"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0</w:t>
            </w:r>
          </w:p>
        </w:tc>
        <w:tc>
          <w:tcPr>
            <w:tcW w:w="1007" w:type="dxa"/>
            <w:vAlign w:val="center"/>
          </w:tcPr>
          <w:p w14:paraId="4EB424CA"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2</w:t>
            </w:r>
          </w:p>
        </w:tc>
        <w:tc>
          <w:tcPr>
            <w:tcW w:w="1113" w:type="dxa"/>
            <w:vAlign w:val="center"/>
          </w:tcPr>
          <w:p w14:paraId="6FF449FF" w14:textId="77777777" w:rsidR="00183BB5" w:rsidRPr="00AF26FB" w:rsidRDefault="006967D1"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4</w:t>
            </w:r>
          </w:p>
        </w:tc>
        <w:tc>
          <w:tcPr>
            <w:tcW w:w="976" w:type="dxa"/>
            <w:vAlign w:val="center"/>
          </w:tcPr>
          <w:p w14:paraId="09C7BC11" w14:textId="77777777" w:rsidR="00183BB5" w:rsidRPr="00AF26FB" w:rsidRDefault="00183BB5" w:rsidP="00B70D28">
            <w:pPr>
              <w:pStyle w:val="Normalfollowingheading"/>
              <w:cnfStyle w:val="000000000000" w:firstRow="0" w:lastRow="0" w:firstColumn="0" w:lastColumn="0" w:oddVBand="0" w:evenVBand="0" w:oddHBand="0" w:evenHBand="0" w:firstRowFirstColumn="0" w:firstRowLastColumn="0" w:lastRowFirstColumn="0" w:lastRowLastColumn="0"/>
            </w:pPr>
            <w:r w:rsidRPr="00AF26FB">
              <w:t>1</w:t>
            </w:r>
          </w:p>
        </w:tc>
      </w:tr>
    </w:tbl>
    <w:p w14:paraId="1C96C119" w14:textId="77777777" w:rsidR="00183BB5" w:rsidRDefault="00183BB5" w:rsidP="00B70D28">
      <w:pPr>
        <w:pStyle w:val="Normalfollowingheading"/>
      </w:pPr>
    </w:p>
    <w:p w14:paraId="5E7AA330" w14:textId="77777777" w:rsidR="00183BB5" w:rsidRPr="00587F9F" w:rsidRDefault="00183BB5" w:rsidP="00B70D28">
      <w:r w:rsidRPr="00587F9F">
        <w:t>Hallett N. Preventing and managing challenging behaviour. Nursing Standard [Internet]. 2018 [cited 2019];32(26):51–63.</w:t>
      </w:r>
    </w:p>
    <w:p w14:paraId="21D350BD" w14:textId="77777777" w:rsidR="00183BB5" w:rsidRPr="00587F9F" w:rsidRDefault="00183BB5" w:rsidP="00B70D28">
      <w:r w:rsidRPr="00587F9F">
        <w:t>Healy S, Tyrrell M. Importance of debriefing following critical incidents. Emergency Nurse [Internet]. 2013 [cited 2019];20(10):32–7.</w:t>
      </w:r>
    </w:p>
    <w:p w14:paraId="42CD3681" w14:textId="77777777" w:rsidR="00183BB5" w:rsidRPr="00587F9F" w:rsidRDefault="00183BB5" w:rsidP="00B70D28">
      <w:proofErr w:type="spellStart"/>
      <w:r w:rsidRPr="00587F9F">
        <w:lastRenderedPageBreak/>
        <w:t>Mangaoil</w:t>
      </w:r>
      <w:proofErr w:type="spellEnd"/>
      <w:r w:rsidRPr="00587F9F">
        <w:t xml:space="preserve"> R, Cleverley K, Peter E. Immediate staff debriefing following seclusion or restraint use in inpatient mental health settings: a scoping review. Clinical Nursing Research [Internet]. 2018 [cited 2019].</w:t>
      </w:r>
    </w:p>
    <w:p w14:paraId="55B0D684" w14:textId="77777777" w:rsidR="00183BB5" w:rsidRPr="00587F9F" w:rsidRDefault="00183BB5" w:rsidP="00B70D28">
      <w:proofErr w:type="spellStart"/>
      <w:r w:rsidRPr="00587F9F">
        <w:t>Raveel</w:t>
      </w:r>
      <w:proofErr w:type="spellEnd"/>
      <w:r w:rsidRPr="00587F9F">
        <w:t xml:space="preserve"> A, </w:t>
      </w:r>
      <w:proofErr w:type="spellStart"/>
      <w:r w:rsidRPr="00587F9F">
        <w:t>Schoenmakers</w:t>
      </w:r>
      <w:proofErr w:type="spellEnd"/>
      <w:r w:rsidRPr="00587F9F">
        <w:t xml:space="preserve"> B. Interventions to prevent aggression against doctors: a systematic review. BMJ open [Internet]. 2019 Sep 17 [cited 2019];9(9</w:t>
      </w:r>
      <w:proofErr w:type="gramStart"/>
      <w:r w:rsidRPr="00587F9F">
        <w:t>):e</w:t>
      </w:r>
      <w:proofErr w:type="gramEnd"/>
      <w:r w:rsidRPr="00587F9F">
        <w:t>028465.</w:t>
      </w:r>
    </w:p>
    <w:p w14:paraId="7C22761E" w14:textId="77777777" w:rsidR="00183BB5" w:rsidRPr="00587F9F" w:rsidRDefault="00183BB5" w:rsidP="00B70D28">
      <w:r w:rsidRPr="00587F9F">
        <w:t>Timms V. BET 1: To debrief or not debrief. Emergency Medicine Journal [Internet]. 2019 [cited 2019</w:t>
      </w:r>
      <w:proofErr w:type="gramStart"/>
      <w:r w:rsidRPr="00587F9F">
        <w:t>];36:444</w:t>
      </w:r>
      <w:proofErr w:type="gramEnd"/>
      <w:r w:rsidRPr="00587F9F">
        <w:t>–5.</w:t>
      </w:r>
    </w:p>
    <w:p w14:paraId="511A59E1" w14:textId="77777777" w:rsidR="00183BB5" w:rsidRDefault="00183BB5" w:rsidP="00B70D28">
      <w:pPr>
        <w:rPr>
          <w:rStyle w:val="Hyperlink"/>
          <w:rFonts w:ascii="VIC" w:hAnsi="VIC"/>
        </w:rPr>
      </w:pPr>
      <w:r w:rsidRPr="00587F9F">
        <w:t xml:space="preserve">Victorian Government Department of Health and Human Services [Internet]. Melbourne: Department of Health and Human Services; c2017-2019. How to make a complaint about a health service provider [cited 2019]. Available from: </w:t>
      </w:r>
      <w:hyperlink r:id="rId30" w:history="1">
        <w:r w:rsidRPr="00587F9F">
          <w:rPr>
            <w:rStyle w:val="Hyperlink"/>
            <w:rFonts w:ascii="VIC" w:hAnsi="VIC"/>
          </w:rPr>
          <w:t>https://www2.health.vic.gov.au/about/participation-and-communication/making-a-complaint</w:t>
        </w:r>
      </w:hyperlink>
    </w:p>
    <w:p w14:paraId="6CD60EFD" w14:textId="7638E1F6" w:rsidR="006967D1" w:rsidRPr="009839E9" w:rsidRDefault="006967D1" w:rsidP="00B70D28">
      <w:r w:rsidRPr="00587F9F">
        <w:t xml:space="preserve">Victorian Government Department of Health and Human Services. </w:t>
      </w:r>
      <w:r>
        <w:t>Occupational violence and aggression post-incident support, a guide for health service managers</w:t>
      </w:r>
      <w:r w:rsidRPr="00587F9F">
        <w:t xml:space="preserve"> [Internet]. Melbourne: Department of Health and Human Services. Available from: </w:t>
      </w:r>
      <w:r w:rsidRPr="006967D1">
        <w:t>https://www2.health.vic.gov.au/health-workforce/worker-health-wellbeing/occupational-violence-aggression/post-incident-response</w:t>
      </w:r>
    </w:p>
    <w:p w14:paraId="6B09E489" w14:textId="77777777" w:rsidR="00183BB5" w:rsidRDefault="00183BB5" w:rsidP="00B70D28"/>
    <w:p w14:paraId="759159DF" w14:textId="77777777" w:rsidR="00183BB5" w:rsidRDefault="00183BB5" w:rsidP="00B70D28">
      <w:pPr>
        <w:sectPr w:rsidR="00183BB5" w:rsidSect="00265EC8">
          <w:type w:val="continuous"/>
          <w:pgSz w:w="11906" w:h="16838" w:code="9"/>
          <w:pgMar w:top="3402" w:right="851" w:bottom="1361" w:left="851" w:header="539" w:footer="624" w:gutter="0"/>
          <w:pgNumType w:start="1"/>
          <w:cols w:space="284"/>
          <w:docGrid w:linePitch="360"/>
        </w:sectPr>
      </w:pPr>
    </w:p>
    <w:p w14:paraId="1742D4BB" w14:textId="77777777" w:rsidR="00DF713C" w:rsidRDefault="00DF713C" w:rsidP="00B70D28">
      <w:r>
        <w:br w:type="page"/>
      </w:r>
    </w:p>
    <w:p w14:paraId="5BD563D3" w14:textId="27682B6D" w:rsidR="00DF713C" w:rsidRPr="00CD47E8" w:rsidRDefault="00DF713C" w:rsidP="00B70D28">
      <w:pPr>
        <w:pStyle w:val="Heading1numbered"/>
        <w:framePr w:wrap="around"/>
      </w:pPr>
      <w:bookmarkStart w:id="39" w:name="_Toc35436888"/>
      <w:r w:rsidRPr="00CD47E8">
        <w:lastRenderedPageBreak/>
        <w:t>Appendix 2:</w:t>
      </w:r>
      <w:r w:rsidR="00CD47E8" w:rsidRPr="00CD47E8">
        <w:t xml:space="preserve"> </w:t>
      </w:r>
      <w:r w:rsidR="00AF26FB">
        <w:t>P</w:t>
      </w:r>
      <w:r w:rsidR="00CD47E8" w:rsidRPr="00CD47E8">
        <w:t>ublic consultation report</w:t>
      </w:r>
      <w:bookmarkEnd w:id="39"/>
    </w:p>
    <w:p w14:paraId="1A7B3470" w14:textId="23E2AF89" w:rsidR="00CD47E8" w:rsidRPr="00020B64" w:rsidRDefault="00CD47E8" w:rsidP="00B70D28">
      <w:pPr>
        <w:pStyle w:val="IntroductoryText"/>
      </w:pPr>
      <w:r w:rsidRPr="00020B64">
        <w:t xml:space="preserve">We asked for your view on Safer Care Victoria’s </w:t>
      </w:r>
      <w:r w:rsidR="002300BA">
        <w:t xml:space="preserve">(SCV) </w:t>
      </w:r>
      <w:r w:rsidRPr="00020B64">
        <w:t>clinical guidance on caring for people displaying acute behavioural disturbance in emergency settings. This new clinical guidance aims to support emergency clinicians to provide person-centred, evidence-based care. With your help we have finalised the guidance, now available at safercare.vic.gov.au</w:t>
      </w:r>
    </w:p>
    <w:p w14:paraId="317C24B6" w14:textId="64146D83" w:rsidR="00CD47E8" w:rsidRPr="00020B64" w:rsidRDefault="00CD47E8" w:rsidP="00B70D28">
      <w:pPr>
        <w:pStyle w:val="Heading2"/>
      </w:pPr>
      <w:bookmarkStart w:id="40" w:name="_Toc35436889"/>
      <w:r w:rsidRPr="00020B64">
        <w:t>Purpose</w:t>
      </w:r>
      <w:bookmarkEnd w:id="40"/>
    </w:p>
    <w:p w14:paraId="02991504" w14:textId="4B0FE760" w:rsidR="00CD47E8" w:rsidRPr="00020B64" w:rsidRDefault="00CD47E8" w:rsidP="00B70D28">
      <w:pPr>
        <w:pStyle w:val="Normalfollowingheading"/>
      </w:pPr>
      <w:r w:rsidRPr="00020B64">
        <w:t xml:space="preserve">Improving the care of people displaying acute behavioural disturbance is a priority focus area for </w:t>
      </w:r>
      <w:r w:rsidR="002300BA">
        <w:t>SCV’s</w:t>
      </w:r>
      <w:r w:rsidRPr="00020B64">
        <w:t xml:space="preserve"> Emergency Care Clinical Network. With the help of experts including clinicians and healthcare consumers we produced some new clinical guidance to support person-centred, evidence-base care.</w:t>
      </w:r>
    </w:p>
    <w:p w14:paraId="45C7E516" w14:textId="77777777" w:rsidR="00CD47E8" w:rsidRPr="00020B64" w:rsidRDefault="00CD47E8" w:rsidP="00B70D28">
      <w:r w:rsidRPr="00020B64">
        <w:t xml:space="preserve">We invited feedback from the public to help us make sure our guidance was practical, appropriate and useful. </w:t>
      </w:r>
    </w:p>
    <w:p w14:paraId="20AC6466" w14:textId="77777777" w:rsidR="00CD47E8" w:rsidRDefault="00CD47E8" w:rsidP="00B70D28">
      <w:r w:rsidRPr="00020B64">
        <w:t>This summary includes public consultation key insights and themes, as well as how public feedback helped us shape the final guidance</w:t>
      </w:r>
      <w:r>
        <w:t xml:space="preserve">. </w:t>
      </w:r>
    </w:p>
    <w:p w14:paraId="10945AA6" w14:textId="77777777" w:rsidR="00CD47E8" w:rsidRPr="00020B64" w:rsidRDefault="00CD47E8" w:rsidP="00B70D28">
      <w:pPr>
        <w:pStyle w:val="Heading2"/>
      </w:pPr>
      <w:bookmarkStart w:id="41" w:name="_Toc35436890"/>
      <w:r w:rsidRPr="00020B64">
        <w:t>How we engaged</w:t>
      </w:r>
      <w:bookmarkEnd w:id="41"/>
    </w:p>
    <w:p w14:paraId="2666519F" w14:textId="77777777" w:rsidR="00CD47E8" w:rsidRPr="00020B64" w:rsidRDefault="00CD47E8" w:rsidP="00B70D28">
      <w:pPr>
        <w:pStyle w:val="Normalfollowingheading"/>
      </w:pPr>
      <w:r w:rsidRPr="00020B64">
        <w:t>The draft clinical guidance, visual summary, and supplement outlining our development method and supporting evidence was available for public consultation over a four-week period in February 2020. Feedback was invited through an electronic survey.</w:t>
      </w:r>
    </w:p>
    <w:p w14:paraId="3E5606E5" w14:textId="77777777" w:rsidR="00CD47E8" w:rsidRPr="00020B64" w:rsidRDefault="00CD47E8" w:rsidP="00B70D28">
      <w:r w:rsidRPr="00020B64">
        <w:t>We received 68 online contributions through the electronic survey and five direct email submissions.</w:t>
      </w:r>
    </w:p>
    <w:p w14:paraId="055359A2" w14:textId="77777777" w:rsidR="00CD47E8" w:rsidRPr="00020B64" w:rsidRDefault="00CD47E8" w:rsidP="00B70D28">
      <w:pPr>
        <w:pStyle w:val="Heading2"/>
      </w:pPr>
      <w:bookmarkStart w:id="42" w:name="_Toc35436891"/>
      <w:r w:rsidRPr="00020B64">
        <w:t xml:space="preserve">who provided </w:t>
      </w:r>
      <w:proofErr w:type="gramStart"/>
      <w:r w:rsidRPr="00020B64">
        <w:t>feedback</w:t>
      </w:r>
      <w:bookmarkEnd w:id="42"/>
      <w:proofErr w:type="gramEnd"/>
    </w:p>
    <w:p w14:paraId="69A2588B" w14:textId="4F24C4F4" w:rsidR="00CD47E8" w:rsidRPr="00020B64" w:rsidRDefault="00713B46" w:rsidP="00B70D28">
      <w:pPr>
        <w:pStyle w:val="Normalfollowingheading"/>
      </w:pPr>
      <w:r>
        <w:t xml:space="preserve">Seventy per cent </w:t>
      </w:r>
      <w:r w:rsidR="00CD47E8" w:rsidRPr="00020B64">
        <w:t>of responses were from individuals, most of who</w:t>
      </w:r>
      <w:r w:rsidR="00792E10">
        <w:t>m</w:t>
      </w:r>
      <w:r w:rsidR="00CD47E8" w:rsidRPr="00020B64">
        <w:t xml:space="preserve"> were nurses (</w:t>
      </w:r>
      <w:r w:rsidR="00CD47E8" w:rsidRPr="00020B64">
        <w:rPr>
          <w:b/>
          <w:bCs/>
        </w:rPr>
        <w:t>Figure 1</w:t>
      </w:r>
      <w:r w:rsidR="00CD47E8" w:rsidRPr="00020B64">
        <w:t>). The remaining 30</w:t>
      </w:r>
      <w:r w:rsidR="00BB0011">
        <w:t xml:space="preserve"> per cent</w:t>
      </w:r>
      <w:r w:rsidR="00CD47E8" w:rsidRPr="00020B64">
        <w:t xml:space="preserve"> of responses were from a variety of groups (</w:t>
      </w:r>
      <w:r w:rsidR="00CD47E8" w:rsidRPr="00020B64">
        <w:rPr>
          <w:b/>
          <w:bCs/>
        </w:rPr>
        <w:t>Figure 2</w:t>
      </w:r>
      <w:r w:rsidR="00CD47E8" w:rsidRPr="00020B64">
        <w:t xml:space="preserve">). </w:t>
      </w:r>
    </w:p>
    <w:p w14:paraId="142BAB49" w14:textId="349FD92D" w:rsidR="00CD47E8" w:rsidRPr="00020B64" w:rsidRDefault="00CD47E8" w:rsidP="00B70D28">
      <w:pPr>
        <w:pStyle w:val="Caption"/>
      </w:pPr>
      <w:r w:rsidRPr="00020B64">
        <w:t xml:space="preserve">Figure </w:t>
      </w:r>
      <w:fldSimple w:instr=" SEQ Figure \* ARABIC ">
        <w:r w:rsidR="00033994">
          <w:rPr>
            <w:noProof/>
          </w:rPr>
          <w:t>1</w:t>
        </w:r>
      </w:fldSimple>
      <w:r w:rsidR="00792E10">
        <w:t>:</w:t>
      </w:r>
      <w:r w:rsidRPr="00020B64">
        <w:t xml:space="preserve"> What best describes your role</w:t>
      </w:r>
      <w:r w:rsidR="00792E10">
        <w:t>?</w:t>
      </w:r>
    </w:p>
    <w:p w14:paraId="6A56BA60" w14:textId="77777777" w:rsidR="00CD47E8" w:rsidRDefault="00CD47E8" w:rsidP="00B70D28">
      <w:pPr>
        <w:pStyle w:val="Normalfollowingheading"/>
      </w:pPr>
      <w:r w:rsidRPr="001211ED">
        <w:rPr>
          <w:noProof/>
        </w:rPr>
        <w:drawing>
          <wp:inline distT="0" distB="0" distL="0" distR="0" wp14:anchorId="0879F260" wp14:editId="7E03DDFE">
            <wp:extent cx="6480000" cy="2232000"/>
            <wp:effectExtent l="0" t="0" r="0" b="0"/>
            <wp:docPr id="1" name="Chart 1" descr="This graph shows the roles of those people who responded">
              <a:extLst xmlns:a="http://schemas.openxmlformats.org/drawingml/2006/main">
                <a:ext uri="{FF2B5EF4-FFF2-40B4-BE49-F238E27FC236}">
                  <a16:creationId xmlns:a16="http://schemas.microsoft.com/office/drawing/2014/main" id="{DE2BF0FF-60B4-49C9-8F56-FE2F8CABB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EAAD597" w14:textId="77777777" w:rsidR="00B70D28" w:rsidRDefault="00B70D28">
      <w:pPr>
        <w:rPr>
          <w:b/>
          <w:bCs/>
          <w:color w:val="007586" w:themeColor="text2"/>
          <w:szCs w:val="18"/>
        </w:rPr>
      </w:pPr>
      <w:r>
        <w:lastRenderedPageBreak/>
        <w:br w:type="page"/>
      </w:r>
    </w:p>
    <w:p w14:paraId="4F8958A9" w14:textId="756855A7" w:rsidR="00CD47E8" w:rsidRPr="00020B64" w:rsidRDefault="00CD47E8" w:rsidP="00B70D28">
      <w:pPr>
        <w:pStyle w:val="Caption"/>
      </w:pPr>
      <w:r w:rsidRPr="00020B64">
        <w:t xml:space="preserve">Figure </w:t>
      </w:r>
      <w:fldSimple w:instr=" SEQ Figure \* ARABIC ">
        <w:r w:rsidR="00033994">
          <w:rPr>
            <w:noProof/>
          </w:rPr>
          <w:t>2</w:t>
        </w:r>
      </w:fldSimple>
      <w:r w:rsidR="00333757">
        <w:t>:</w:t>
      </w:r>
      <w:r w:rsidRPr="00020B64">
        <w:t xml:space="preserve"> What best describes your group?</w:t>
      </w:r>
    </w:p>
    <w:p w14:paraId="631B3B43" w14:textId="77777777" w:rsidR="00CD47E8" w:rsidRDefault="00CD47E8" w:rsidP="00B70D28">
      <w:pPr>
        <w:pStyle w:val="Heading2"/>
      </w:pPr>
      <w:bookmarkStart w:id="43" w:name="_Toc35436892"/>
      <w:r w:rsidRPr="0052041F">
        <w:rPr>
          <w:noProof/>
        </w:rPr>
        <w:drawing>
          <wp:inline distT="0" distB="0" distL="0" distR="0" wp14:anchorId="361A1451" wp14:editId="0DA280BC">
            <wp:extent cx="6480000" cy="2232000"/>
            <wp:effectExtent l="0" t="0" r="0" b="0"/>
            <wp:docPr id="6" name="Chart 6" descr="This graph shows where respondents work">
              <a:extLst xmlns:a="http://schemas.openxmlformats.org/drawingml/2006/main">
                <a:ext uri="{FF2B5EF4-FFF2-40B4-BE49-F238E27FC236}">
                  <a16:creationId xmlns:a16="http://schemas.microsoft.com/office/drawing/2014/main" id="{6C897B96-7B07-4FEA-85CF-D01A6C8922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End w:id="43"/>
    </w:p>
    <w:p w14:paraId="26BD5A73" w14:textId="20DB585B" w:rsidR="00CD47E8" w:rsidRPr="00020B64" w:rsidRDefault="00CD47E8" w:rsidP="00B70D28">
      <w:pPr>
        <w:pStyle w:val="Heading2"/>
      </w:pPr>
      <w:bookmarkStart w:id="44" w:name="_Toc35436893"/>
      <w:r w:rsidRPr="00020B64">
        <w:t>what you told us</w:t>
      </w:r>
      <w:bookmarkEnd w:id="44"/>
    </w:p>
    <w:p w14:paraId="4943B0D7" w14:textId="77777777" w:rsidR="00CD47E8" w:rsidRPr="00020B64" w:rsidRDefault="00CD47E8" w:rsidP="00B70D28">
      <w:pPr>
        <w:pStyle w:val="Normalfollowingheading"/>
      </w:pPr>
      <w:r w:rsidRPr="00020B64">
        <w:t xml:space="preserve">Your responses to our public consultation questions, key insights and how they shaped the final guidance are summarised in </w:t>
      </w:r>
      <w:r w:rsidRPr="00020B64">
        <w:rPr>
          <w:b/>
          <w:bCs/>
        </w:rPr>
        <w:t>Table 1</w:t>
      </w:r>
      <w:r w:rsidRPr="00020B64">
        <w:t>.</w:t>
      </w:r>
      <w:bookmarkStart w:id="45" w:name="_GoBack"/>
      <w:bookmarkEnd w:id="45"/>
    </w:p>
    <w:p w14:paraId="44E3F163" w14:textId="77777777" w:rsidR="00CD47E8" w:rsidRPr="00020B64" w:rsidRDefault="00CD47E8" w:rsidP="00B70D28">
      <w:pPr>
        <w:pStyle w:val="Normalfollowingheading"/>
      </w:pPr>
      <w:r w:rsidRPr="00020B64">
        <w:t xml:space="preserve">There was very positive sentiment towards the wording, language and structure of the guidance. We made only slight adjustments to the wording. </w:t>
      </w:r>
    </w:p>
    <w:p w14:paraId="77B02F2A" w14:textId="77777777" w:rsidR="00CD47E8" w:rsidRPr="00020B64" w:rsidRDefault="00CD47E8" w:rsidP="00B70D28">
      <w:pPr>
        <w:pStyle w:val="Normalfollowingheading"/>
      </w:pPr>
      <w:r w:rsidRPr="00020B64">
        <w:t xml:space="preserve">Of 20 respondents who said we had not considered all relevant and important evidence, three provided additional evidence. We reviewed this evidence and it is now included in our bibliography. </w:t>
      </w:r>
    </w:p>
    <w:p w14:paraId="3D0E540C" w14:textId="77777777" w:rsidR="00CD47E8" w:rsidRPr="00020B64" w:rsidRDefault="00CD47E8" w:rsidP="00B70D28">
      <w:r w:rsidRPr="00020B64">
        <w:t>Respondents made several suggestions for how the care we recommend could be more appropriate and acceptable. The summary in Table 1 is not exhaustive.</w:t>
      </w:r>
    </w:p>
    <w:p w14:paraId="69BB1883" w14:textId="2DBB608F" w:rsidR="00CD47E8" w:rsidRDefault="00CD47E8" w:rsidP="00B70D28">
      <w:r w:rsidRPr="00020B64">
        <w:t xml:space="preserve">There was also positive sentiment towards our visual summary, and we used this feedback to help us refine the design. </w:t>
      </w:r>
    </w:p>
    <w:p w14:paraId="087427CB" w14:textId="2B685D3F" w:rsidR="00594A65" w:rsidRPr="00594A65" w:rsidRDefault="00594A65" w:rsidP="00B70D28">
      <w:pPr>
        <w:pStyle w:val="Caption"/>
      </w:pPr>
      <w:r w:rsidRPr="00020B64">
        <w:t xml:space="preserve">Table </w:t>
      </w:r>
      <w:fldSimple w:instr=" SEQ Table \* ARABIC ">
        <w:r w:rsidR="00033994">
          <w:rPr>
            <w:noProof/>
          </w:rPr>
          <w:t>9</w:t>
        </w:r>
      </w:fldSimple>
      <w:r w:rsidR="005325A9">
        <w:t>:</w:t>
      </w:r>
      <w:r w:rsidRPr="00020B64">
        <w:t xml:space="preserve"> Public consultation question responses and key insights</w:t>
      </w:r>
    </w:p>
    <w:tbl>
      <w:tblPr>
        <w:tblStyle w:val="TableGrid"/>
        <w:tblW w:w="0" w:type="auto"/>
        <w:tblLook w:val="04A0" w:firstRow="1" w:lastRow="0" w:firstColumn="1" w:lastColumn="0" w:noHBand="0" w:noVBand="1"/>
      </w:tblPr>
      <w:tblGrid>
        <w:gridCol w:w="2551"/>
        <w:gridCol w:w="1560"/>
        <w:gridCol w:w="3046"/>
        <w:gridCol w:w="3047"/>
      </w:tblGrid>
      <w:tr w:rsidR="00BB0011" w:rsidRPr="00594A65" w14:paraId="7DE58945" w14:textId="77777777" w:rsidTr="00594A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1" w:type="dxa"/>
          </w:tcPr>
          <w:p w14:paraId="2EEA68A8" w14:textId="2CF5CC25" w:rsidR="00BB0011" w:rsidRPr="00594A65" w:rsidRDefault="00BB0011" w:rsidP="00B70D28">
            <w:pPr>
              <w:rPr>
                <w:rFonts w:ascii="VIC" w:hAnsi="VIC"/>
              </w:rPr>
            </w:pPr>
            <w:r w:rsidRPr="00594A65">
              <w:t>Consultation question</w:t>
            </w:r>
          </w:p>
        </w:tc>
        <w:tc>
          <w:tcPr>
            <w:tcW w:w="1560" w:type="dxa"/>
          </w:tcPr>
          <w:p w14:paraId="71BDC73A" w14:textId="6CA56F85" w:rsidR="00BB0011" w:rsidRPr="00594A65" w:rsidRDefault="00BB0011" w:rsidP="00B70D28">
            <w:pPr>
              <w:cnfStyle w:val="100000000000" w:firstRow="1" w:lastRow="0" w:firstColumn="0" w:lastColumn="0" w:oddVBand="0" w:evenVBand="0" w:oddHBand="0" w:evenHBand="0" w:firstRowFirstColumn="0" w:firstRowLastColumn="0" w:lastRowFirstColumn="0" w:lastRowLastColumn="0"/>
              <w:rPr>
                <w:rFonts w:ascii="VIC" w:hAnsi="VIC"/>
              </w:rPr>
            </w:pPr>
            <w:r w:rsidRPr="00594A65">
              <w:t>Responded yes</w:t>
            </w:r>
          </w:p>
        </w:tc>
        <w:tc>
          <w:tcPr>
            <w:tcW w:w="3046" w:type="dxa"/>
          </w:tcPr>
          <w:p w14:paraId="1890DFE1" w14:textId="21B4377B" w:rsidR="00BB0011" w:rsidRPr="00594A65" w:rsidRDefault="00BB0011" w:rsidP="00B70D28">
            <w:pPr>
              <w:cnfStyle w:val="100000000000" w:firstRow="1" w:lastRow="0" w:firstColumn="0" w:lastColumn="0" w:oddVBand="0" w:evenVBand="0" w:oddHBand="0" w:evenHBand="0" w:firstRowFirstColumn="0" w:firstRowLastColumn="0" w:lastRowFirstColumn="0" w:lastRowLastColumn="0"/>
              <w:rPr>
                <w:rFonts w:ascii="VIC" w:hAnsi="VIC"/>
              </w:rPr>
            </w:pPr>
            <w:r w:rsidRPr="00594A65">
              <w:t>What you told us</w:t>
            </w:r>
          </w:p>
        </w:tc>
        <w:tc>
          <w:tcPr>
            <w:tcW w:w="3047" w:type="dxa"/>
          </w:tcPr>
          <w:p w14:paraId="08E96C1F" w14:textId="19C12E65" w:rsidR="00BB0011" w:rsidRPr="00594A65" w:rsidRDefault="00BB0011" w:rsidP="00B70D28">
            <w:pPr>
              <w:cnfStyle w:val="100000000000" w:firstRow="1" w:lastRow="0" w:firstColumn="0" w:lastColumn="0" w:oddVBand="0" w:evenVBand="0" w:oddHBand="0" w:evenHBand="0" w:firstRowFirstColumn="0" w:firstRowLastColumn="0" w:lastRowFirstColumn="0" w:lastRowLastColumn="0"/>
              <w:rPr>
                <w:rFonts w:ascii="VIC" w:hAnsi="VIC"/>
              </w:rPr>
            </w:pPr>
            <w:r w:rsidRPr="00594A65">
              <w:t>How this shaped the final guidance</w:t>
            </w:r>
          </w:p>
        </w:tc>
      </w:tr>
      <w:tr w:rsidR="00594A65" w:rsidRPr="00594A65" w14:paraId="57C5C77E" w14:textId="77777777" w:rsidTr="00594A65">
        <w:tc>
          <w:tcPr>
            <w:cnfStyle w:val="001000000000" w:firstRow="0" w:lastRow="0" w:firstColumn="1" w:lastColumn="0" w:oddVBand="0" w:evenVBand="0" w:oddHBand="0" w:evenHBand="0" w:firstRowFirstColumn="0" w:firstRowLastColumn="0" w:lastRowFirstColumn="0" w:lastRowLastColumn="0"/>
            <w:tcW w:w="2551" w:type="dxa"/>
          </w:tcPr>
          <w:p w14:paraId="69D01C1E" w14:textId="23CD9170" w:rsidR="00594A65" w:rsidRPr="00594A65" w:rsidRDefault="00594A65" w:rsidP="00B70D28">
            <w:r w:rsidRPr="00594A65">
              <w:t>Is the wording respectful to healthcare consumers, healthcare staff and the public?</w:t>
            </w:r>
          </w:p>
        </w:tc>
        <w:tc>
          <w:tcPr>
            <w:tcW w:w="1560" w:type="dxa"/>
          </w:tcPr>
          <w:p w14:paraId="6FD39512" w14:textId="20513DD9"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92%</w:t>
            </w:r>
          </w:p>
        </w:tc>
        <w:tc>
          <w:tcPr>
            <w:tcW w:w="3046" w:type="dxa"/>
          </w:tcPr>
          <w:p w14:paraId="230ABC24" w14:textId="67BE5E3C"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The wording could demonstrate deeper understanding of people with intellectual disabilities such as autism</w:t>
            </w:r>
          </w:p>
        </w:tc>
        <w:tc>
          <w:tcPr>
            <w:tcW w:w="3047" w:type="dxa"/>
          </w:tcPr>
          <w:p w14:paraId="6DE07A6E" w14:textId="0D320AAD"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Adjusted language to reflect that people with intellectual disabilities usually only display acute behavioural disturbance when there is an underlying cause</w:t>
            </w:r>
          </w:p>
        </w:tc>
      </w:tr>
      <w:tr w:rsidR="00594A65" w:rsidRPr="00594A65" w14:paraId="0F2315F5" w14:textId="77777777" w:rsidTr="00594A65">
        <w:tc>
          <w:tcPr>
            <w:cnfStyle w:val="001000000000" w:firstRow="0" w:lastRow="0" w:firstColumn="1" w:lastColumn="0" w:oddVBand="0" w:evenVBand="0" w:oddHBand="0" w:evenHBand="0" w:firstRowFirstColumn="0" w:firstRowLastColumn="0" w:lastRowFirstColumn="0" w:lastRowLastColumn="0"/>
            <w:tcW w:w="2551" w:type="dxa"/>
          </w:tcPr>
          <w:p w14:paraId="59831E97" w14:textId="3487A50A" w:rsidR="00594A65" w:rsidRPr="00594A65" w:rsidRDefault="00594A65" w:rsidP="00B70D28">
            <w:r w:rsidRPr="00594A65">
              <w:t>Is the guidance easy to read and understand?</w:t>
            </w:r>
          </w:p>
        </w:tc>
        <w:tc>
          <w:tcPr>
            <w:tcW w:w="1560" w:type="dxa"/>
          </w:tcPr>
          <w:p w14:paraId="16395D53" w14:textId="52D343CD"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91%</w:t>
            </w:r>
          </w:p>
        </w:tc>
        <w:tc>
          <w:tcPr>
            <w:tcW w:w="3046" w:type="dxa"/>
          </w:tcPr>
          <w:p w14:paraId="31BE0428" w14:textId="0DDD0124"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 xml:space="preserve">The structure and language </w:t>
            </w:r>
            <w:proofErr w:type="gramStart"/>
            <w:r w:rsidRPr="00594A65">
              <w:t>is</w:t>
            </w:r>
            <w:proofErr w:type="gramEnd"/>
            <w:r w:rsidRPr="00594A65">
              <w:t xml:space="preserve"> easy to understand </w:t>
            </w:r>
          </w:p>
        </w:tc>
        <w:tc>
          <w:tcPr>
            <w:tcW w:w="3047" w:type="dxa"/>
          </w:tcPr>
          <w:p w14:paraId="61B2458D" w14:textId="72818A9B"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No significant adjustments to structure or language</w:t>
            </w:r>
          </w:p>
        </w:tc>
      </w:tr>
      <w:tr w:rsidR="00594A65" w:rsidRPr="00594A65" w14:paraId="35445F78" w14:textId="77777777" w:rsidTr="00594A65">
        <w:tc>
          <w:tcPr>
            <w:cnfStyle w:val="001000000000" w:firstRow="0" w:lastRow="0" w:firstColumn="1" w:lastColumn="0" w:oddVBand="0" w:evenVBand="0" w:oddHBand="0" w:evenHBand="0" w:firstRowFirstColumn="0" w:firstRowLastColumn="0" w:lastRowFirstColumn="0" w:lastRowLastColumn="0"/>
            <w:tcW w:w="2551" w:type="dxa"/>
          </w:tcPr>
          <w:p w14:paraId="500E026A" w14:textId="64315EFB" w:rsidR="00594A65" w:rsidRPr="00594A65" w:rsidRDefault="00594A65" w:rsidP="00B70D28">
            <w:r w:rsidRPr="00594A65">
              <w:lastRenderedPageBreak/>
              <w:t>Has the guidance considered all relevant and important evidence that you know of?</w:t>
            </w:r>
          </w:p>
        </w:tc>
        <w:tc>
          <w:tcPr>
            <w:tcW w:w="1560" w:type="dxa"/>
          </w:tcPr>
          <w:p w14:paraId="447F6F01" w14:textId="55159C92"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69%</w:t>
            </w:r>
          </w:p>
        </w:tc>
        <w:tc>
          <w:tcPr>
            <w:tcW w:w="3046" w:type="dxa"/>
          </w:tcPr>
          <w:p w14:paraId="67D252AD" w14:textId="392481A1"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There are several helpful existing resources you could link to</w:t>
            </w:r>
          </w:p>
        </w:tc>
        <w:tc>
          <w:tcPr>
            <w:tcW w:w="3047" w:type="dxa"/>
          </w:tcPr>
          <w:p w14:paraId="0ABAA479" w14:textId="488DC93E"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 xml:space="preserve">Added links to DHHS resources on code grey, weapons management and staff support </w:t>
            </w:r>
          </w:p>
        </w:tc>
      </w:tr>
      <w:tr w:rsidR="00594A65" w:rsidRPr="00594A65" w14:paraId="26705236" w14:textId="77777777" w:rsidTr="00594A65">
        <w:tc>
          <w:tcPr>
            <w:cnfStyle w:val="001000000000" w:firstRow="0" w:lastRow="0" w:firstColumn="1" w:lastColumn="0" w:oddVBand="0" w:evenVBand="0" w:oddHBand="0" w:evenHBand="0" w:firstRowFirstColumn="0" w:firstRowLastColumn="0" w:lastRowFirstColumn="0" w:lastRowLastColumn="0"/>
            <w:tcW w:w="2551" w:type="dxa"/>
          </w:tcPr>
          <w:p w14:paraId="1B0F4A33" w14:textId="1F930004" w:rsidR="00594A65" w:rsidRPr="00594A65" w:rsidRDefault="00594A65" w:rsidP="00B70D28">
            <w:r w:rsidRPr="00594A65">
              <w:t>Does the guidance recommend care that you consider appropriate and acceptable?</w:t>
            </w:r>
          </w:p>
        </w:tc>
        <w:tc>
          <w:tcPr>
            <w:tcW w:w="1560" w:type="dxa"/>
          </w:tcPr>
          <w:p w14:paraId="349E4492" w14:textId="65746700"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77%</w:t>
            </w:r>
          </w:p>
        </w:tc>
        <w:tc>
          <w:tcPr>
            <w:tcW w:w="3046" w:type="dxa"/>
          </w:tcPr>
          <w:p w14:paraId="3DA06B21" w14:textId="77777777" w:rsidR="00594A65" w:rsidRPr="00594A65" w:rsidRDefault="00594A65" w:rsidP="00B70D28">
            <w:pPr>
              <w:pStyle w:val="Tablebullet"/>
              <w:cnfStyle w:val="000000000000" w:firstRow="0" w:lastRow="0" w:firstColumn="0" w:lastColumn="0" w:oddVBand="0" w:evenVBand="0" w:oddHBand="0" w:evenHBand="0" w:firstRowFirstColumn="0" w:firstRowLastColumn="0" w:lastRowFirstColumn="0" w:lastRowLastColumn="0"/>
            </w:pPr>
            <w:r w:rsidRPr="00594A65">
              <w:t xml:space="preserve">Nicotine withdrawal is a common cause of acute behavioural disturbance </w:t>
            </w:r>
          </w:p>
          <w:p w14:paraId="4E3A9BB1" w14:textId="77777777" w:rsidR="00594A65" w:rsidRPr="00594A65" w:rsidRDefault="00594A65" w:rsidP="00B70D28">
            <w:pPr>
              <w:pStyle w:val="Tablebullet"/>
              <w:cnfStyle w:val="000000000000" w:firstRow="0" w:lastRow="0" w:firstColumn="0" w:lastColumn="0" w:oddVBand="0" w:evenVBand="0" w:oddHBand="0" w:evenHBand="0" w:firstRowFirstColumn="0" w:firstRowLastColumn="0" w:lastRowFirstColumn="0" w:lastRowLastColumn="0"/>
            </w:pPr>
            <w:r w:rsidRPr="00594A65">
              <w:t>The intent of section 7 is not clear. It does not distinguish between psychological and operational review</w:t>
            </w:r>
          </w:p>
          <w:p w14:paraId="36B957CD" w14:textId="3973B2D0"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You have missed opportunities to integrate with existing health service resources</w:t>
            </w:r>
          </w:p>
        </w:tc>
        <w:tc>
          <w:tcPr>
            <w:tcW w:w="3047" w:type="dxa"/>
          </w:tcPr>
          <w:p w14:paraId="269FA36A" w14:textId="4EA41D9C" w:rsidR="00594A65" w:rsidRPr="00594A65" w:rsidRDefault="00594A65" w:rsidP="00B70D28">
            <w:pPr>
              <w:pStyle w:val="Tablebullet"/>
              <w:cnfStyle w:val="000000000000" w:firstRow="0" w:lastRow="0" w:firstColumn="0" w:lastColumn="0" w:oddVBand="0" w:evenVBand="0" w:oddHBand="0" w:evenHBand="0" w:firstRowFirstColumn="0" w:firstRowLastColumn="0" w:lastRowFirstColumn="0" w:lastRowLastColumn="0"/>
            </w:pPr>
            <w:r w:rsidRPr="00594A65">
              <w:t xml:space="preserve">Added nicotine withdrawal to Table </w:t>
            </w:r>
            <w:r w:rsidR="006A7AAC">
              <w:t>3</w:t>
            </w:r>
            <w:r w:rsidRPr="00594A65">
              <w:t xml:space="preserve"> and emphasised importance of early treatment</w:t>
            </w:r>
          </w:p>
          <w:p w14:paraId="554CE8C8" w14:textId="77777777" w:rsidR="00594A65" w:rsidRPr="00594A65" w:rsidRDefault="00594A65" w:rsidP="00B70D28">
            <w:pPr>
              <w:pStyle w:val="Tablebullet"/>
              <w:cnfStyle w:val="000000000000" w:firstRow="0" w:lastRow="0" w:firstColumn="0" w:lastColumn="0" w:oddVBand="0" w:evenVBand="0" w:oddHBand="0" w:evenHBand="0" w:firstRowFirstColumn="0" w:firstRowLastColumn="0" w:lastRowFirstColumn="0" w:lastRowLastColumn="0"/>
            </w:pPr>
            <w:r w:rsidRPr="00594A65">
              <w:t>Renamed section 7. Restructured section to reflect differences between staff support and case review</w:t>
            </w:r>
          </w:p>
          <w:p w14:paraId="7F6A273D" w14:textId="028B213E"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Added references to health services’ individual code grey responses and incident management systems</w:t>
            </w:r>
          </w:p>
        </w:tc>
      </w:tr>
      <w:tr w:rsidR="00594A65" w:rsidRPr="00594A65" w14:paraId="41A27FEB" w14:textId="77777777" w:rsidTr="00594A65">
        <w:tc>
          <w:tcPr>
            <w:cnfStyle w:val="001000000000" w:firstRow="0" w:lastRow="0" w:firstColumn="1" w:lastColumn="0" w:oddVBand="0" w:evenVBand="0" w:oddHBand="0" w:evenHBand="0" w:firstRowFirstColumn="0" w:firstRowLastColumn="0" w:lastRowFirstColumn="0" w:lastRowLastColumn="0"/>
            <w:tcW w:w="2551" w:type="dxa"/>
          </w:tcPr>
          <w:p w14:paraId="3E0EAF9E" w14:textId="56E12817" w:rsidR="00594A65" w:rsidRPr="00594A65" w:rsidRDefault="00594A65" w:rsidP="00B70D28">
            <w:r w:rsidRPr="00594A65">
              <w:t>Is the visual summary clear and easy to follow?</w:t>
            </w:r>
          </w:p>
        </w:tc>
        <w:tc>
          <w:tcPr>
            <w:tcW w:w="1560" w:type="dxa"/>
          </w:tcPr>
          <w:p w14:paraId="54741D9C" w14:textId="16CBD3BF"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89%</w:t>
            </w:r>
          </w:p>
        </w:tc>
        <w:tc>
          <w:tcPr>
            <w:tcW w:w="3046" w:type="dxa"/>
          </w:tcPr>
          <w:p w14:paraId="05A0C204" w14:textId="2487149D"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The colours make the visual summary hard to use. It is a bit cluttered</w:t>
            </w:r>
          </w:p>
        </w:tc>
        <w:tc>
          <w:tcPr>
            <w:tcW w:w="3047" w:type="dxa"/>
          </w:tcPr>
          <w:p w14:paraId="033FCCDA" w14:textId="0910BCFF"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 xml:space="preserve">Changed the colours. </w:t>
            </w:r>
            <w:r w:rsidR="006A7AAC">
              <w:br/>
            </w:r>
            <w:r w:rsidRPr="00594A65">
              <w:t>De-cluttered and refined the design</w:t>
            </w:r>
          </w:p>
        </w:tc>
      </w:tr>
      <w:tr w:rsidR="00594A65" w:rsidRPr="00594A65" w14:paraId="40404FF1" w14:textId="77777777" w:rsidTr="00594A65">
        <w:tc>
          <w:tcPr>
            <w:cnfStyle w:val="001000000000" w:firstRow="0" w:lastRow="0" w:firstColumn="1" w:lastColumn="0" w:oddVBand="0" w:evenVBand="0" w:oddHBand="0" w:evenHBand="0" w:firstRowFirstColumn="0" w:firstRowLastColumn="0" w:lastRowFirstColumn="0" w:lastRowLastColumn="0"/>
            <w:tcW w:w="2551" w:type="dxa"/>
          </w:tcPr>
          <w:p w14:paraId="1212211C" w14:textId="48FF31AC" w:rsidR="00594A65" w:rsidRPr="00594A65" w:rsidRDefault="00594A65" w:rsidP="00B70D28">
            <w:r w:rsidRPr="00594A65">
              <w:t>Does the visual summary accurately reflect the contents of the guidance?</w:t>
            </w:r>
          </w:p>
        </w:tc>
        <w:tc>
          <w:tcPr>
            <w:tcW w:w="1560" w:type="dxa"/>
          </w:tcPr>
          <w:p w14:paraId="5C8CE545" w14:textId="01216C34"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95%</w:t>
            </w:r>
          </w:p>
        </w:tc>
        <w:tc>
          <w:tcPr>
            <w:tcW w:w="3046" w:type="dxa"/>
          </w:tcPr>
          <w:p w14:paraId="24446774" w14:textId="7A40BCC3"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The visual summary could highlight the importance of staff safety and repeated assessment</w:t>
            </w:r>
          </w:p>
        </w:tc>
        <w:tc>
          <w:tcPr>
            <w:tcW w:w="3047" w:type="dxa"/>
          </w:tcPr>
          <w:p w14:paraId="6F418961" w14:textId="209675AF" w:rsidR="00594A65" w:rsidRPr="00594A65" w:rsidRDefault="00594A65" w:rsidP="00B70D28">
            <w:pPr>
              <w:cnfStyle w:val="000000000000" w:firstRow="0" w:lastRow="0" w:firstColumn="0" w:lastColumn="0" w:oddVBand="0" w:evenVBand="0" w:oddHBand="0" w:evenHBand="0" w:firstRowFirstColumn="0" w:firstRowLastColumn="0" w:lastRowFirstColumn="0" w:lastRowLastColumn="0"/>
            </w:pPr>
            <w:r w:rsidRPr="00594A65">
              <w:t xml:space="preserve">Added graphic prompts to highlight staff safety and ongoing/repeated assessment </w:t>
            </w:r>
          </w:p>
        </w:tc>
      </w:tr>
    </w:tbl>
    <w:p w14:paraId="4BE9C4D7" w14:textId="77777777" w:rsidR="00DF713C" w:rsidRDefault="00DF713C" w:rsidP="00B70D28"/>
    <w:p w14:paraId="4E6127B2" w14:textId="77777777" w:rsidR="00CD47E8" w:rsidRDefault="00CD47E8" w:rsidP="00B70D28">
      <w:pPr>
        <w:sectPr w:rsidR="00CD47E8" w:rsidSect="00CD47E8">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3402" w:right="851" w:bottom="1361" w:left="851" w:header="539" w:footer="624" w:gutter="0"/>
          <w:cols w:space="284"/>
          <w:docGrid w:linePitch="360"/>
          <w15:footnoteColumns w:val="1"/>
        </w:sectPr>
      </w:pPr>
    </w:p>
    <w:p w14:paraId="6431B4D3" w14:textId="3502FAED" w:rsidR="00727C45" w:rsidRDefault="00727C45" w:rsidP="00B70D28">
      <w:r>
        <w:br w:type="page"/>
      </w:r>
    </w:p>
    <w:p w14:paraId="61F2E362" w14:textId="77777777" w:rsidR="00727C45" w:rsidRDefault="00727C45" w:rsidP="00B70D28">
      <w:r>
        <w:rPr>
          <w:noProof/>
        </w:rPr>
        <w:lastRenderedPageBreak/>
        <w:drawing>
          <wp:anchor distT="0" distB="0" distL="114300" distR="114300" simplePos="0" relativeHeight="251663360" behindDoc="1" locked="0" layoutInCell="1" allowOverlap="1" wp14:anchorId="4582A90C" wp14:editId="409BFEC3">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265EC8">
      <w:type w:val="continuous"/>
      <w:pgSz w:w="11906" w:h="16838" w:code="9"/>
      <w:pgMar w:top="3402" w:right="851" w:bottom="1361" w:left="851" w:header="539" w:footer="624" w:gutter="0"/>
      <w:cols w:num="2"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C0BAE" w14:textId="77777777" w:rsidR="00B70D28" w:rsidRDefault="00B70D28" w:rsidP="00B70D28">
      <w:r>
        <w:separator/>
      </w:r>
    </w:p>
  </w:endnote>
  <w:endnote w:type="continuationSeparator" w:id="0">
    <w:p w14:paraId="7E651DE1" w14:textId="77777777" w:rsidR="00B70D28" w:rsidRDefault="00B70D28" w:rsidP="00B7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Yu Gothic"/>
    <w:panose1 w:val="00000000000000000000"/>
    <w:charset w:val="00"/>
    <w:family w:val="auto"/>
    <w:notTrueType/>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3582" w14:textId="77777777" w:rsidR="00B70D28" w:rsidRPr="008A707B" w:rsidRDefault="00B70D28" w:rsidP="00B70D28">
    <w:pPr>
      <w:pStyle w:val="FooterEven"/>
      <w:framePr w:wrap="around"/>
    </w:pPr>
    <w:r w:rsidRPr="008A707B">
      <w:rPr>
        <w:noProof w:val="0"/>
      </w:rPr>
      <w:fldChar w:fldCharType="begin"/>
    </w:r>
    <w:r w:rsidRPr="008A707B">
      <w:instrText xml:space="preserve"> PAGE   \* MERGEFORMAT </w:instrText>
    </w:r>
    <w:r w:rsidRPr="008A707B">
      <w:rPr>
        <w:noProof w:val="0"/>
      </w:rPr>
      <w:fldChar w:fldCharType="separate"/>
    </w:r>
    <w:r w:rsidRPr="008A707B">
      <w:t>4</w:t>
    </w:r>
    <w:r w:rsidRPr="008A707B">
      <w:fldChar w:fldCharType="end"/>
    </w:r>
    <w:r w:rsidRPr="008A707B">
      <w:t> </w:t>
    </w:r>
    <w:r w:rsidRPr="008A707B">
      <w:t> </w:t>
    </w:r>
    <w:r w:rsidRPr="008A707B">
      <w:rPr>
        <w:b/>
      </w:rPr>
      <w:t>Safer Care Victoria</w:t>
    </w:r>
    <w:r w:rsidRPr="008A707B">
      <w:t> </w:t>
    </w:r>
    <w:r w:rsidRPr="008A707B">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Content>
        <w:r w:rsidRPr="008A707B">
          <w:t>Caring for people displaying acute behavioural disturbance</w:t>
        </w:r>
      </w:sdtContent>
    </w:sdt>
    <w:r w:rsidRPr="008A707B">
      <w:t xml:space="preserve"> </w:t>
    </w:r>
    <w:r w:rsidRPr="008A707B">
      <w:drawing>
        <wp:anchor distT="0" distB="0" distL="114300" distR="114300" simplePos="0" relativeHeight="251675648" behindDoc="0" locked="0" layoutInCell="1" allowOverlap="1" wp14:anchorId="490BEDCF" wp14:editId="69AEFC9B">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276BA1D5" w14:textId="77777777" w:rsidR="00B70D28" w:rsidRPr="008A707B" w:rsidRDefault="00B70D28" w:rsidP="00B70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DE0F" w14:textId="77777777" w:rsidR="00B70D28" w:rsidRPr="008A707B" w:rsidRDefault="00B70D28" w:rsidP="00B70D28">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Content>
        <w:r w:rsidRPr="008A707B">
          <w:t>Caring for people displaying acute behavioural disturbance</w:t>
        </w:r>
      </w:sdtContent>
    </w:sdt>
    <w:r w:rsidRPr="008A707B">
      <w:t> </w:t>
    </w:r>
    <w:r w:rsidRPr="008A707B">
      <w:t> </w:t>
    </w:r>
    <w:r w:rsidRPr="008A707B">
      <w:rPr>
        <w:b/>
      </w:rPr>
      <w:t>Safer Care Victoria</w:t>
    </w:r>
    <w:r w:rsidRPr="008A707B">
      <w:t> </w:t>
    </w:r>
    <w:r w:rsidRPr="008A707B">
      <w:t> </w:t>
    </w:r>
    <w:r w:rsidRPr="008A707B">
      <w:rPr>
        <w:noProof w:val="0"/>
      </w:rPr>
      <w:fldChar w:fldCharType="begin"/>
    </w:r>
    <w:r w:rsidRPr="008A707B">
      <w:instrText xml:space="preserve"> PAGE   \* MERGEFORMAT </w:instrText>
    </w:r>
    <w:r w:rsidRPr="008A707B">
      <w:rPr>
        <w:noProof w:val="0"/>
      </w:rPr>
      <w:fldChar w:fldCharType="separate"/>
    </w:r>
    <w:r w:rsidRPr="008A707B">
      <w:t>5</w:t>
    </w:r>
    <w:r w:rsidRPr="008A707B">
      <w:fldChar w:fldCharType="end"/>
    </w:r>
  </w:p>
  <w:p w14:paraId="2A54A1C5" w14:textId="77777777" w:rsidR="00B70D28" w:rsidRPr="008A707B" w:rsidRDefault="00B70D28" w:rsidP="00B70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9C6C6" w14:textId="77777777" w:rsidR="00B70D28" w:rsidRDefault="00B70D28" w:rsidP="00B70D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15B7" w14:textId="77777777" w:rsidR="00B70D28" w:rsidRDefault="00B70D28" w:rsidP="00B70D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EE853" w14:textId="4FBC5FDD" w:rsidR="00B70D28" w:rsidRDefault="00B70D28" w:rsidP="00B70D28">
    <w:pPr>
      <w:pStyle w:val="Footer"/>
    </w:pPr>
    <w:r w:rsidRPr="008A707B">
      <w:rPr>
        <w:noProof w:val="0"/>
      </w:rPr>
      <w:fldChar w:fldCharType="begin"/>
    </w:r>
    <w:r w:rsidRPr="008A707B">
      <w:instrText xml:space="preserve"> PAGE   \* MERGEFORMAT </w:instrText>
    </w:r>
    <w:r w:rsidRPr="008A707B">
      <w:rPr>
        <w:noProof w:val="0"/>
      </w:rPr>
      <w:fldChar w:fldCharType="separate"/>
    </w:r>
    <w:r>
      <w:t>22</w:t>
    </w:r>
    <w:r w:rsidRPr="008A707B">
      <w:fldChar w:fldCharType="end"/>
    </w:r>
    <w:r w:rsidRPr="008A707B">
      <w:t> </w:t>
    </w:r>
    <w:r w:rsidRPr="008A707B">
      <w:t> </w:t>
    </w:r>
    <w:r w:rsidRPr="008A707B">
      <w:rPr>
        <w:b/>
      </w:rPr>
      <w:t>Safer Care Victoria</w:t>
    </w:r>
    <w:r w:rsidRPr="008A707B">
      <w:t> </w:t>
    </w:r>
    <w:r w:rsidRPr="008A707B">
      <w:t> </w:t>
    </w:r>
    <w:sdt>
      <w:sdtPr>
        <w:alias w:val="Title"/>
        <w:tag w:val=""/>
        <w:id w:val="37027862"/>
        <w:dataBinding w:prefixMappings="xmlns:ns0='http://purl.org/dc/elements/1.1/' xmlns:ns1='http://schemas.openxmlformats.org/package/2006/metadata/core-properties' " w:xpath="/ns1:coreProperties[1]/ns0:title[1]" w:storeItemID="{6C3C8BC8-F283-45AE-878A-BAB7291924A1}"/>
        <w:text/>
      </w:sdtPr>
      <w:sdtContent>
        <w:r w:rsidRPr="008A707B">
          <w:t>Caring for people displaying acute behavioural disturbance</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DD72" w14:textId="77777777" w:rsidR="00B70D28" w:rsidRPr="008A707B" w:rsidRDefault="00B70D28" w:rsidP="00B70D28">
    <w:pPr>
      <w:pStyle w:val="FooterOdd"/>
      <w:framePr w:wrap="around"/>
    </w:pPr>
    <w:sdt>
      <w:sdtPr>
        <w:alias w:val="Title"/>
        <w:tag w:val=""/>
        <w:id w:val="-507292997"/>
        <w:dataBinding w:prefixMappings="xmlns:ns0='http://purl.org/dc/elements/1.1/' xmlns:ns1='http://schemas.openxmlformats.org/package/2006/metadata/core-properties' " w:xpath="/ns1:coreProperties[1]/ns0:title[1]" w:storeItemID="{6C3C8BC8-F283-45AE-878A-BAB7291924A1}"/>
        <w:text/>
      </w:sdtPr>
      <w:sdtContent>
        <w:r w:rsidRPr="008A707B">
          <w:t>Caring for people displaying acute behavioural disturbance</w:t>
        </w:r>
      </w:sdtContent>
    </w:sdt>
    <w:r w:rsidRPr="008A707B">
      <w:t> </w:t>
    </w:r>
    <w:r w:rsidRPr="008A707B">
      <w:t> </w:t>
    </w:r>
    <w:r w:rsidRPr="008A707B">
      <w:rPr>
        <w:b/>
      </w:rPr>
      <w:t>Safer Care Victoria</w:t>
    </w:r>
    <w:r w:rsidRPr="008A707B">
      <w:t> </w:t>
    </w:r>
    <w:r w:rsidRPr="008A707B">
      <w:t> </w:t>
    </w:r>
    <w:r w:rsidRPr="008A707B">
      <w:rPr>
        <w:noProof w:val="0"/>
      </w:rPr>
      <w:fldChar w:fldCharType="begin"/>
    </w:r>
    <w:r w:rsidRPr="008A707B">
      <w:instrText xml:space="preserve"> PAGE   \* MERGEFORMAT </w:instrText>
    </w:r>
    <w:r w:rsidRPr="008A707B">
      <w:rPr>
        <w:noProof w:val="0"/>
      </w:rPr>
      <w:fldChar w:fldCharType="separate"/>
    </w:r>
    <w:r>
      <w:t>21</w:t>
    </w:r>
    <w:r w:rsidRPr="008A707B">
      <w:fldChar w:fldCharType="end"/>
    </w:r>
  </w:p>
  <w:p w14:paraId="3C3732C1" w14:textId="77777777" w:rsidR="00B70D28" w:rsidRDefault="00B70D28" w:rsidP="00B70D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9ED5" w14:textId="77777777" w:rsidR="00B70D28" w:rsidRDefault="00B70D28" w:rsidP="00B70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1CFB9" w14:textId="77777777" w:rsidR="00B70D28" w:rsidRDefault="00B70D28" w:rsidP="00B70D28"/>
  </w:footnote>
  <w:footnote w:type="continuationSeparator" w:id="0">
    <w:p w14:paraId="1AA980A7" w14:textId="77777777" w:rsidR="00B70D28" w:rsidRDefault="00B70D28" w:rsidP="00B70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1DBE" w14:textId="77777777" w:rsidR="00B70D28" w:rsidRDefault="00B70D28" w:rsidP="00B7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74AB" w14:textId="77777777" w:rsidR="00B70D28" w:rsidRDefault="00B70D28" w:rsidP="00B70D28">
    <w:pPr>
      <w:pStyle w:val="Header"/>
    </w:pPr>
    <w:r>
      <w:rPr>
        <w:noProof/>
      </w:rPr>
      <w:drawing>
        <wp:anchor distT="0" distB="0" distL="114300" distR="114300" simplePos="0" relativeHeight="251673600" behindDoc="1" locked="0" layoutInCell="1" allowOverlap="1" wp14:anchorId="37CE80BA" wp14:editId="082D330B">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670F" w14:textId="77777777" w:rsidR="00B70D28" w:rsidRDefault="00B70D28" w:rsidP="0023694D">
    <w:pPr>
      <w:pStyle w:val="NoSpacing"/>
    </w:pPr>
    <w:r>
      <w:rPr>
        <w:noProof/>
      </w:rPr>
      <w:drawing>
        <wp:anchor distT="0" distB="0" distL="114300" distR="114300" simplePos="0" relativeHeight="251676672" behindDoc="1" locked="0" layoutInCell="1" allowOverlap="1" wp14:anchorId="791DC16A" wp14:editId="0591EA0F">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F97D" w14:textId="77777777" w:rsidR="00B70D28" w:rsidRDefault="00B70D28" w:rsidP="00B70D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25D3" w14:textId="77777777" w:rsidR="00B70D28" w:rsidRDefault="00B70D28" w:rsidP="00B70D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44AD" w14:textId="77777777" w:rsidR="00B70D28" w:rsidRDefault="00B70D28"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2408" w14:textId="77777777" w:rsidR="00B70D28" w:rsidRDefault="00B70D28" w:rsidP="00B70D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5AA2" w14:textId="77777777" w:rsidR="00B70D28" w:rsidRDefault="00B70D28" w:rsidP="00B70D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D1C3" w14:textId="77777777" w:rsidR="00B70D28" w:rsidRDefault="00B70D28" w:rsidP="00B70D28">
    <w:pPr>
      <w:pStyle w:val="Header"/>
    </w:pPr>
    <w:r>
      <w:rPr>
        <w:noProof/>
      </w:rPr>
      <w:drawing>
        <wp:anchor distT="0" distB="0" distL="114300" distR="114300" simplePos="0" relativeHeight="251678720" behindDoc="1" locked="0" layoutInCell="1" allowOverlap="1" wp14:anchorId="1AA8345F" wp14:editId="41EDE54C">
          <wp:simplePos x="0" y="0"/>
          <wp:positionH relativeFrom="page">
            <wp:posOffset>0</wp:posOffset>
          </wp:positionH>
          <wp:positionV relativeFrom="page">
            <wp:posOffset>0</wp:posOffset>
          </wp:positionV>
          <wp:extent cx="1522800" cy="1206000"/>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20D66EF5"/>
    <w:multiLevelType w:val="multilevel"/>
    <w:tmpl w:val="06DC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B115C52"/>
    <w:multiLevelType w:val="hybridMultilevel"/>
    <w:tmpl w:val="2564B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BB2C64"/>
    <w:multiLevelType w:val="multilevel"/>
    <w:tmpl w:val="892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pStyle w:val="Heading2numbered"/>
      <w:suff w:val="space"/>
      <w:lvlText w:val="%1.%2"/>
      <w:lvlJc w:val="left"/>
      <w:pPr>
        <w:ind w:left="4962"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7" w15:restartNumberingAfterBreak="0">
    <w:nsid w:val="393A12AA"/>
    <w:multiLevelType w:val="multilevel"/>
    <w:tmpl w:val="ED28CC72"/>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1C73424"/>
    <w:multiLevelType w:val="multilevel"/>
    <w:tmpl w:val="2A1E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723D5AD0"/>
    <w:multiLevelType w:val="multilevel"/>
    <w:tmpl w:val="69BC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7C4D6D20"/>
    <w:multiLevelType w:val="hybridMultilevel"/>
    <w:tmpl w:val="509CF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0"/>
  </w:num>
  <w:num w:numId="2">
    <w:abstractNumId w:val="10"/>
  </w:num>
  <w:num w:numId="3">
    <w:abstractNumId w:val="10"/>
  </w:num>
  <w:num w:numId="4">
    <w:abstractNumId w:val="14"/>
  </w:num>
  <w:num w:numId="5">
    <w:abstractNumId w:val="3"/>
  </w:num>
  <w:num w:numId="6">
    <w:abstractNumId w:val="9"/>
  </w:num>
  <w:num w:numId="7">
    <w:abstractNumId w:val="12"/>
  </w:num>
  <w:num w:numId="8">
    <w:abstractNumId w:val="7"/>
  </w:num>
  <w:num w:numId="9">
    <w:abstractNumId w:val="7"/>
  </w:num>
  <w:num w:numId="10">
    <w:abstractNumId w:val="6"/>
  </w:num>
  <w:num w:numId="11">
    <w:abstractNumId w:val="0"/>
  </w:num>
  <w:num w:numId="12">
    <w:abstractNumId w:val="1"/>
  </w:num>
  <w:num w:numId="13">
    <w:abstractNumId w:val="4"/>
  </w:num>
  <w:num w:numId="14">
    <w:abstractNumId w:val="2"/>
  </w:num>
  <w:num w:numId="15">
    <w:abstractNumId w:val="8"/>
  </w:num>
  <w:num w:numId="16">
    <w:abstractNumId w:val="13"/>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46"/>
    <w:rsid w:val="00012F6F"/>
    <w:rsid w:val="00014213"/>
    <w:rsid w:val="00014B55"/>
    <w:rsid w:val="00015DC9"/>
    <w:rsid w:val="00020E3E"/>
    <w:rsid w:val="00023BF3"/>
    <w:rsid w:val="00024128"/>
    <w:rsid w:val="00026811"/>
    <w:rsid w:val="00033994"/>
    <w:rsid w:val="0004185E"/>
    <w:rsid w:val="000442F0"/>
    <w:rsid w:val="00056988"/>
    <w:rsid w:val="00072279"/>
    <w:rsid w:val="00073407"/>
    <w:rsid w:val="00075E6C"/>
    <w:rsid w:val="00081C12"/>
    <w:rsid w:val="00087D42"/>
    <w:rsid w:val="00092407"/>
    <w:rsid w:val="00093453"/>
    <w:rsid w:val="00095E59"/>
    <w:rsid w:val="000B045A"/>
    <w:rsid w:val="000B29AD"/>
    <w:rsid w:val="000B4F6E"/>
    <w:rsid w:val="000C6372"/>
    <w:rsid w:val="000D7841"/>
    <w:rsid w:val="000E392D"/>
    <w:rsid w:val="000E39B6"/>
    <w:rsid w:val="000E3D05"/>
    <w:rsid w:val="000F4288"/>
    <w:rsid w:val="000F6605"/>
    <w:rsid w:val="000F7165"/>
    <w:rsid w:val="00102379"/>
    <w:rsid w:val="00103722"/>
    <w:rsid w:val="001065D6"/>
    <w:rsid w:val="001068D5"/>
    <w:rsid w:val="00121252"/>
    <w:rsid w:val="00121F18"/>
    <w:rsid w:val="00124609"/>
    <w:rsid w:val="001254CE"/>
    <w:rsid w:val="001422CC"/>
    <w:rsid w:val="00145346"/>
    <w:rsid w:val="001617B6"/>
    <w:rsid w:val="00164F03"/>
    <w:rsid w:val="00165E66"/>
    <w:rsid w:val="001776D9"/>
    <w:rsid w:val="00183BB5"/>
    <w:rsid w:val="001960C5"/>
    <w:rsid w:val="00196143"/>
    <w:rsid w:val="001A24FC"/>
    <w:rsid w:val="001B3FBC"/>
    <w:rsid w:val="001C0DE9"/>
    <w:rsid w:val="001C7BAE"/>
    <w:rsid w:val="001E31FA"/>
    <w:rsid w:val="001E48F9"/>
    <w:rsid w:val="001E64F6"/>
    <w:rsid w:val="001E7AEB"/>
    <w:rsid w:val="00204B82"/>
    <w:rsid w:val="00222BEB"/>
    <w:rsid w:val="00225E60"/>
    <w:rsid w:val="002300BA"/>
    <w:rsid w:val="00230BBB"/>
    <w:rsid w:val="0023202C"/>
    <w:rsid w:val="00234619"/>
    <w:rsid w:val="0023694D"/>
    <w:rsid w:val="00245043"/>
    <w:rsid w:val="00255DD0"/>
    <w:rsid w:val="00257461"/>
    <w:rsid w:val="00257BAA"/>
    <w:rsid w:val="0026028E"/>
    <w:rsid w:val="00263221"/>
    <w:rsid w:val="00265EC8"/>
    <w:rsid w:val="00284FA2"/>
    <w:rsid w:val="002867BD"/>
    <w:rsid w:val="00292D36"/>
    <w:rsid w:val="00294A5A"/>
    <w:rsid w:val="00297281"/>
    <w:rsid w:val="00297A47"/>
    <w:rsid w:val="002A5891"/>
    <w:rsid w:val="002B03F1"/>
    <w:rsid w:val="002B5E2B"/>
    <w:rsid w:val="002B6DAA"/>
    <w:rsid w:val="002D0B04"/>
    <w:rsid w:val="002D70F7"/>
    <w:rsid w:val="002D711A"/>
    <w:rsid w:val="002D7336"/>
    <w:rsid w:val="002E3396"/>
    <w:rsid w:val="002F2953"/>
    <w:rsid w:val="0031149C"/>
    <w:rsid w:val="00333757"/>
    <w:rsid w:val="00340EEC"/>
    <w:rsid w:val="00345077"/>
    <w:rsid w:val="00360D11"/>
    <w:rsid w:val="0036258C"/>
    <w:rsid w:val="0036778F"/>
    <w:rsid w:val="003743A4"/>
    <w:rsid w:val="00381391"/>
    <w:rsid w:val="0038771C"/>
    <w:rsid w:val="003A430B"/>
    <w:rsid w:val="003A50B3"/>
    <w:rsid w:val="003A541A"/>
    <w:rsid w:val="003A6923"/>
    <w:rsid w:val="003B7B6F"/>
    <w:rsid w:val="003C2C67"/>
    <w:rsid w:val="003C2D4C"/>
    <w:rsid w:val="003C3B3A"/>
    <w:rsid w:val="003C4D62"/>
    <w:rsid w:val="003C5BA4"/>
    <w:rsid w:val="003C7395"/>
    <w:rsid w:val="003D27D1"/>
    <w:rsid w:val="003E3E26"/>
    <w:rsid w:val="003E5DFC"/>
    <w:rsid w:val="003E608A"/>
    <w:rsid w:val="003F1295"/>
    <w:rsid w:val="003F1691"/>
    <w:rsid w:val="003F193E"/>
    <w:rsid w:val="003F5102"/>
    <w:rsid w:val="003F76FC"/>
    <w:rsid w:val="004002EB"/>
    <w:rsid w:val="00407A79"/>
    <w:rsid w:val="00422DDC"/>
    <w:rsid w:val="004231B5"/>
    <w:rsid w:val="004236C8"/>
    <w:rsid w:val="00427681"/>
    <w:rsid w:val="00431464"/>
    <w:rsid w:val="00433DB7"/>
    <w:rsid w:val="00453750"/>
    <w:rsid w:val="00456941"/>
    <w:rsid w:val="004630AD"/>
    <w:rsid w:val="00465BF2"/>
    <w:rsid w:val="004702EA"/>
    <w:rsid w:val="0048259C"/>
    <w:rsid w:val="00482D02"/>
    <w:rsid w:val="00484326"/>
    <w:rsid w:val="00490369"/>
    <w:rsid w:val="004A2423"/>
    <w:rsid w:val="004A7519"/>
    <w:rsid w:val="004B3DBC"/>
    <w:rsid w:val="004B64B1"/>
    <w:rsid w:val="004C6C48"/>
    <w:rsid w:val="004D01AC"/>
    <w:rsid w:val="004D3518"/>
    <w:rsid w:val="004D62D6"/>
    <w:rsid w:val="004D6898"/>
    <w:rsid w:val="004E251D"/>
    <w:rsid w:val="004E341E"/>
    <w:rsid w:val="004F3F4E"/>
    <w:rsid w:val="0050356B"/>
    <w:rsid w:val="00510167"/>
    <w:rsid w:val="00513E86"/>
    <w:rsid w:val="005306A2"/>
    <w:rsid w:val="005325A9"/>
    <w:rsid w:val="0053416C"/>
    <w:rsid w:val="00540588"/>
    <w:rsid w:val="00540DE1"/>
    <w:rsid w:val="0054167B"/>
    <w:rsid w:val="00541C2F"/>
    <w:rsid w:val="005454E9"/>
    <w:rsid w:val="00551B95"/>
    <w:rsid w:val="00552DE4"/>
    <w:rsid w:val="00563527"/>
    <w:rsid w:val="0057407A"/>
    <w:rsid w:val="0058124E"/>
    <w:rsid w:val="005875A3"/>
    <w:rsid w:val="00587F9F"/>
    <w:rsid w:val="00594A65"/>
    <w:rsid w:val="005953EA"/>
    <w:rsid w:val="005A3416"/>
    <w:rsid w:val="005A6325"/>
    <w:rsid w:val="005B27FE"/>
    <w:rsid w:val="005B76DF"/>
    <w:rsid w:val="005B79CB"/>
    <w:rsid w:val="005E08D7"/>
    <w:rsid w:val="005E2B6E"/>
    <w:rsid w:val="005E4C16"/>
    <w:rsid w:val="005E5947"/>
    <w:rsid w:val="005F15F1"/>
    <w:rsid w:val="005F61DF"/>
    <w:rsid w:val="005F6AF0"/>
    <w:rsid w:val="0060163A"/>
    <w:rsid w:val="006023F9"/>
    <w:rsid w:val="00610559"/>
    <w:rsid w:val="00614076"/>
    <w:rsid w:val="0063238D"/>
    <w:rsid w:val="00632F2E"/>
    <w:rsid w:val="006332F6"/>
    <w:rsid w:val="006413F2"/>
    <w:rsid w:val="0064798F"/>
    <w:rsid w:val="006534B2"/>
    <w:rsid w:val="0065615D"/>
    <w:rsid w:val="00657011"/>
    <w:rsid w:val="006650B5"/>
    <w:rsid w:val="006651B1"/>
    <w:rsid w:val="00665778"/>
    <w:rsid w:val="00675E9B"/>
    <w:rsid w:val="00676E5F"/>
    <w:rsid w:val="006847CA"/>
    <w:rsid w:val="0069041D"/>
    <w:rsid w:val="006945CA"/>
    <w:rsid w:val="006967D1"/>
    <w:rsid w:val="006A3309"/>
    <w:rsid w:val="006A3A5A"/>
    <w:rsid w:val="006A5B34"/>
    <w:rsid w:val="006A7AAC"/>
    <w:rsid w:val="006C77A9"/>
    <w:rsid w:val="006D4720"/>
    <w:rsid w:val="006E6CDF"/>
    <w:rsid w:val="006F37F2"/>
    <w:rsid w:val="006F6693"/>
    <w:rsid w:val="00707FE8"/>
    <w:rsid w:val="00713B46"/>
    <w:rsid w:val="00714AAE"/>
    <w:rsid w:val="00724962"/>
    <w:rsid w:val="00724A0F"/>
    <w:rsid w:val="00726D2F"/>
    <w:rsid w:val="00727C45"/>
    <w:rsid w:val="00730830"/>
    <w:rsid w:val="00736732"/>
    <w:rsid w:val="00740019"/>
    <w:rsid w:val="00746426"/>
    <w:rsid w:val="00750BF9"/>
    <w:rsid w:val="00750CBE"/>
    <w:rsid w:val="00764A38"/>
    <w:rsid w:val="007650D2"/>
    <w:rsid w:val="00766B5A"/>
    <w:rsid w:val="00772209"/>
    <w:rsid w:val="007770A5"/>
    <w:rsid w:val="007834F2"/>
    <w:rsid w:val="00791020"/>
    <w:rsid w:val="00792E10"/>
    <w:rsid w:val="007A04D2"/>
    <w:rsid w:val="007A4046"/>
    <w:rsid w:val="007A5F82"/>
    <w:rsid w:val="007C4073"/>
    <w:rsid w:val="007D5F9E"/>
    <w:rsid w:val="007E098F"/>
    <w:rsid w:val="007E3BA2"/>
    <w:rsid w:val="007F05A8"/>
    <w:rsid w:val="007F1A4C"/>
    <w:rsid w:val="007F723F"/>
    <w:rsid w:val="008022C3"/>
    <w:rsid w:val="008041E6"/>
    <w:rsid w:val="008065D2"/>
    <w:rsid w:val="008116D8"/>
    <w:rsid w:val="008136B4"/>
    <w:rsid w:val="00815A8A"/>
    <w:rsid w:val="0082194C"/>
    <w:rsid w:val="008222FF"/>
    <w:rsid w:val="008241FF"/>
    <w:rsid w:val="008411E9"/>
    <w:rsid w:val="00841617"/>
    <w:rsid w:val="0084200F"/>
    <w:rsid w:val="00843B2C"/>
    <w:rsid w:val="00844F16"/>
    <w:rsid w:val="00855FF9"/>
    <w:rsid w:val="0086277A"/>
    <w:rsid w:val="008668A8"/>
    <w:rsid w:val="008768AD"/>
    <w:rsid w:val="00880AC4"/>
    <w:rsid w:val="0089550B"/>
    <w:rsid w:val="00897447"/>
    <w:rsid w:val="008A39CF"/>
    <w:rsid w:val="008A4900"/>
    <w:rsid w:val="008A55FE"/>
    <w:rsid w:val="008A707B"/>
    <w:rsid w:val="008B146D"/>
    <w:rsid w:val="008B42AD"/>
    <w:rsid w:val="008B5666"/>
    <w:rsid w:val="008B67AE"/>
    <w:rsid w:val="008C3EAE"/>
    <w:rsid w:val="008D0281"/>
    <w:rsid w:val="008D5BA3"/>
    <w:rsid w:val="008E2348"/>
    <w:rsid w:val="008F67B6"/>
    <w:rsid w:val="008F6D45"/>
    <w:rsid w:val="00914588"/>
    <w:rsid w:val="00922944"/>
    <w:rsid w:val="00936479"/>
    <w:rsid w:val="00937A10"/>
    <w:rsid w:val="0094302C"/>
    <w:rsid w:val="00966115"/>
    <w:rsid w:val="009674D5"/>
    <w:rsid w:val="009834C0"/>
    <w:rsid w:val="009839E9"/>
    <w:rsid w:val="00986AAC"/>
    <w:rsid w:val="009945B6"/>
    <w:rsid w:val="00994A46"/>
    <w:rsid w:val="00995526"/>
    <w:rsid w:val="009A1DA2"/>
    <w:rsid w:val="009A3704"/>
    <w:rsid w:val="009A4739"/>
    <w:rsid w:val="009A674F"/>
    <w:rsid w:val="009A6D22"/>
    <w:rsid w:val="009B199C"/>
    <w:rsid w:val="009B61F1"/>
    <w:rsid w:val="009B62E0"/>
    <w:rsid w:val="009C3D88"/>
    <w:rsid w:val="009D159B"/>
    <w:rsid w:val="009D2DE3"/>
    <w:rsid w:val="009E1651"/>
    <w:rsid w:val="009E3858"/>
    <w:rsid w:val="009E467D"/>
    <w:rsid w:val="009E4A6D"/>
    <w:rsid w:val="009E70DD"/>
    <w:rsid w:val="009F2ED9"/>
    <w:rsid w:val="009F3231"/>
    <w:rsid w:val="009F5C58"/>
    <w:rsid w:val="00A023A0"/>
    <w:rsid w:val="00A05EBC"/>
    <w:rsid w:val="00A1562B"/>
    <w:rsid w:val="00A170F4"/>
    <w:rsid w:val="00A21408"/>
    <w:rsid w:val="00A21CFD"/>
    <w:rsid w:val="00A24A37"/>
    <w:rsid w:val="00A25B78"/>
    <w:rsid w:val="00A457E6"/>
    <w:rsid w:val="00A46288"/>
    <w:rsid w:val="00A46BA8"/>
    <w:rsid w:val="00A47634"/>
    <w:rsid w:val="00A612FE"/>
    <w:rsid w:val="00A70B49"/>
    <w:rsid w:val="00A92D94"/>
    <w:rsid w:val="00A941BF"/>
    <w:rsid w:val="00AA26B8"/>
    <w:rsid w:val="00AC0B87"/>
    <w:rsid w:val="00AC2624"/>
    <w:rsid w:val="00AC32A8"/>
    <w:rsid w:val="00AC5ED9"/>
    <w:rsid w:val="00AD7E4E"/>
    <w:rsid w:val="00AF26FB"/>
    <w:rsid w:val="00AF4988"/>
    <w:rsid w:val="00AF4D58"/>
    <w:rsid w:val="00AF6666"/>
    <w:rsid w:val="00AF7BC5"/>
    <w:rsid w:val="00B10991"/>
    <w:rsid w:val="00B45B0C"/>
    <w:rsid w:val="00B70D28"/>
    <w:rsid w:val="00B8066E"/>
    <w:rsid w:val="00B81B44"/>
    <w:rsid w:val="00B9053B"/>
    <w:rsid w:val="00B907F2"/>
    <w:rsid w:val="00BA0C37"/>
    <w:rsid w:val="00BA3782"/>
    <w:rsid w:val="00BB0011"/>
    <w:rsid w:val="00BB4D98"/>
    <w:rsid w:val="00BB4EBF"/>
    <w:rsid w:val="00BB59E0"/>
    <w:rsid w:val="00BC3422"/>
    <w:rsid w:val="00BC621C"/>
    <w:rsid w:val="00BC6E19"/>
    <w:rsid w:val="00BD11C2"/>
    <w:rsid w:val="00BD5018"/>
    <w:rsid w:val="00BE5051"/>
    <w:rsid w:val="00BE5ADC"/>
    <w:rsid w:val="00BF3854"/>
    <w:rsid w:val="00BF4F96"/>
    <w:rsid w:val="00C015B9"/>
    <w:rsid w:val="00C022F9"/>
    <w:rsid w:val="00C032EA"/>
    <w:rsid w:val="00C06EB5"/>
    <w:rsid w:val="00C1145F"/>
    <w:rsid w:val="00C11CD1"/>
    <w:rsid w:val="00C32D49"/>
    <w:rsid w:val="00C330DB"/>
    <w:rsid w:val="00C33AD3"/>
    <w:rsid w:val="00C41B3C"/>
    <w:rsid w:val="00C43F06"/>
    <w:rsid w:val="00C51C01"/>
    <w:rsid w:val="00C637E1"/>
    <w:rsid w:val="00C67EAC"/>
    <w:rsid w:val="00C70D50"/>
    <w:rsid w:val="00C72252"/>
    <w:rsid w:val="00C86373"/>
    <w:rsid w:val="00C907D7"/>
    <w:rsid w:val="00C92338"/>
    <w:rsid w:val="00C954FA"/>
    <w:rsid w:val="00CA05DC"/>
    <w:rsid w:val="00CA7B47"/>
    <w:rsid w:val="00CB3976"/>
    <w:rsid w:val="00CB5275"/>
    <w:rsid w:val="00CD0307"/>
    <w:rsid w:val="00CD3D1B"/>
    <w:rsid w:val="00CD47E8"/>
    <w:rsid w:val="00D02663"/>
    <w:rsid w:val="00D0633E"/>
    <w:rsid w:val="00D12E74"/>
    <w:rsid w:val="00D2312F"/>
    <w:rsid w:val="00D23B04"/>
    <w:rsid w:val="00D269C1"/>
    <w:rsid w:val="00D41B2F"/>
    <w:rsid w:val="00D44953"/>
    <w:rsid w:val="00D50EAC"/>
    <w:rsid w:val="00D542F3"/>
    <w:rsid w:val="00D54513"/>
    <w:rsid w:val="00D54AAE"/>
    <w:rsid w:val="00D5644B"/>
    <w:rsid w:val="00D56E25"/>
    <w:rsid w:val="00D57E89"/>
    <w:rsid w:val="00D6560D"/>
    <w:rsid w:val="00D65D77"/>
    <w:rsid w:val="00D718D7"/>
    <w:rsid w:val="00D72C48"/>
    <w:rsid w:val="00D775D4"/>
    <w:rsid w:val="00D814B7"/>
    <w:rsid w:val="00D8381B"/>
    <w:rsid w:val="00D90688"/>
    <w:rsid w:val="00DA3AAD"/>
    <w:rsid w:val="00DB1478"/>
    <w:rsid w:val="00DB312B"/>
    <w:rsid w:val="00DC5654"/>
    <w:rsid w:val="00DC658F"/>
    <w:rsid w:val="00DC674A"/>
    <w:rsid w:val="00DC7EE8"/>
    <w:rsid w:val="00DD426E"/>
    <w:rsid w:val="00DE60CC"/>
    <w:rsid w:val="00DF713C"/>
    <w:rsid w:val="00E213A3"/>
    <w:rsid w:val="00E26B32"/>
    <w:rsid w:val="00E31CD4"/>
    <w:rsid w:val="00E31E60"/>
    <w:rsid w:val="00E33E08"/>
    <w:rsid w:val="00E407B6"/>
    <w:rsid w:val="00E41EF1"/>
    <w:rsid w:val="00E42942"/>
    <w:rsid w:val="00E63564"/>
    <w:rsid w:val="00E65A0A"/>
    <w:rsid w:val="00E71BDF"/>
    <w:rsid w:val="00E75CCB"/>
    <w:rsid w:val="00E77E60"/>
    <w:rsid w:val="00E80511"/>
    <w:rsid w:val="00E819E9"/>
    <w:rsid w:val="00E8245B"/>
    <w:rsid w:val="00E82C21"/>
    <w:rsid w:val="00E82F59"/>
    <w:rsid w:val="00E83CA7"/>
    <w:rsid w:val="00E92192"/>
    <w:rsid w:val="00E95A71"/>
    <w:rsid w:val="00EB48FB"/>
    <w:rsid w:val="00EB7014"/>
    <w:rsid w:val="00EC5CDE"/>
    <w:rsid w:val="00ED3077"/>
    <w:rsid w:val="00ED487E"/>
    <w:rsid w:val="00ED64F1"/>
    <w:rsid w:val="00EE33A1"/>
    <w:rsid w:val="00EE7A0D"/>
    <w:rsid w:val="00F0222C"/>
    <w:rsid w:val="00F12312"/>
    <w:rsid w:val="00F17CE1"/>
    <w:rsid w:val="00F2115C"/>
    <w:rsid w:val="00F22ABA"/>
    <w:rsid w:val="00F25F4B"/>
    <w:rsid w:val="00F36B12"/>
    <w:rsid w:val="00F42F04"/>
    <w:rsid w:val="00F60F9F"/>
    <w:rsid w:val="00F64F08"/>
    <w:rsid w:val="00F6641E"/>
    <w:rsid w:val="00F70055"/>
    <w:rsid w:val="00F734F5"/>
    <w:rsid w:val="00F73B5B"/>
    <w:rsid w:val="00F85DA5"/>
    <w:rsid w:val="00F90EA5"/>
    <w:rsid w:val="00F91F5A"/>
    <w:rsid w:val="00F966B1"/>
    <w:rsid w:val="00F97500"/>
    <w:rsid w:val="00F97D48"/>
    <w:rsid w:val="00FA0311"/>
    <w:rsid w:val="00FA0780"/>
    <w:rsid w:val="00FA1489"/>
    <w:rsid w:val="00FD50F0"/>
    <w:rsid w:val="00FD640F"/>
    <w:rsid w:val="00FD6B4C"/>
    <w:rsid w:val="00FE0553"/>
    <w:rsid w:val="00FE1A98"/>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1E61C"/>
  <w15:docId w15:val="{CA6EDAFD-74EE-4776-926A-93389F82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B70D28"/>
    <w:rPr>
      <w:rFonts w:cstheme="minorHAnsi"/>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B70D28"/>
    <w:pPr>
      <w:keepNext/>
      <w:keepLines/>
      <w:numPr>
        <w:numId w:val="9"/>
      </w:numPr>
      <w:spacing w:before="60" w:after="60"/>
    </w:pPr>
    <w:rPr>
      <w:rFonts w:eastAsia="Times New Roman" w:cstheme="minorHAns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70D28"/>
    <w:pPr>
      <w:framePr w:wrap="around"/>
    </w:pPr>
    <w:rPr>
      <w:rFonts w:ascii="Arial" w:hAnsi="Arial" w:cs="Arial"/>
      <w:bCs w:val="0"/>
    </w:r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E1651"/>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character" w:styleId="UnresolvedMention">
    <w:name w:val="Unresolved Mention"/>
    <w:basedOn w:val="DefaultParagraphFont"/>
    <w:uiPriority w:val="99"/>
    <w:semiHidden/>
    <w:unhideWhenUsed/>
    <w:rsid w:val="001B3FBC"/>
    <w:rPr>
      <w:color w:val="605E5C"/>
      <w:shd w:val="clear" w:color="auto" w:fill="E1DFDD"/>
    </w:rPr>
  </w:style>
  <w:style w:type="table" w:customStyle="1" w:styleId="GridTable1Light1">
    <w:name w:val="Grid Table 1 Light1"/>
    <w:basedOn w:val="TableNormal"/>
    <w:uiPriority w:val="46"/>
    <w:semiHidden/>
    <w:rsid w:val="00183B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183BB5"/>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183BB5"/>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183BB5"/>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183BB5"/>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183BB5"/>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183BB5"/>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183BB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183BB5"/>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183BB5"/>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183BB5"/>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183BB5"/>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183BB5"/>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183BB5"/>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183B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183BB5"/>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183BB5"/>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183BB5"/>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183BB5"/>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183BB5"/>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183BB5"/>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183B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183BB5"/>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183BB5"/>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183BB5"/>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183BB5"/>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183BB5"/>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183BB5"/>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183B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183B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183B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183B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183B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183B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183B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183BB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183BB5"/>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183BB5"/>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183BB5"/>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183BB5"/>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183BB5"/>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183BB5"/>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183BB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183BB5"/>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183BB5"/>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183BB5"/>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183BB5"/>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183BB5"/>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183BB5"/>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ListTable1Light1">
    <w:name w:val="List Table 1 Light1"/>
    <w:basedOn w:val="TableNormal"/>
    <w:uiPriority w:val="46"/>
    <w:semiHidden/>
    <w:rsid w:val="00183BB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183BB5"/>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183BB5"/>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183BB5"/>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183BB5"/>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183BB5"/>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183BB5"/>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183BB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183BB5"/>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183BB5"/>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183BB5"/>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183BB5"/>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183BB5"/>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183BB5"/>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183B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183BB5"/>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183BB5"/>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183BB5"/>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183BB5"/>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183BB5"/>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183BB5"/>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183B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183BB5"/>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183BB5"/>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183BB5"/>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183BB5"/>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183BB5"/>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183BB5"/>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183BB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183BB5"/>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183BB5"/>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183BB5"/>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183BB5"/>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183BB5"/>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183BB5"/>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183BB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183BB5"/>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183BB5"/>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183BB5"/>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183BB5"/>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183BB5"/>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183BB5"/>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183BB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183BB5"/>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183BB5"/>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183BB5"/>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183BB5"/>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183BB5"/>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183BB5"/>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semiHidden/>
    <w:rsid w:val="00183B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183B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183B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183B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183BB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183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basedOn w:val="Normal"/>
    <w:uiPriority w:val="99"/>
    <w:rsid w:val="00183BB5"/>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character" w:styleId="CommentReference">
    <w:name w:val="annotation reference"/>
    <w:basedOn w:val="DefaultParagraphFont"/>
    <w:uiPriority w:val="1"/>
    <w:semiHidden/>
    <w:unhideWhenUsed/>
    <w:rsid w:val="00183BB5"/>
    <w:rPr>
      <w:sz w:val="16"/>
      <w:szCs w:val="16"/>
    </w:rPr>
  </w:style>
  <w:style w:type="paragraph" w:styleId="CommentText">
    <w:name w:val="annotation text"/>
    <w:basedOn w:val="Normal"/>
    <w:link w:val="CommentTextChar"/>
    <w:uiPriority w:val="1"/>
    <w:semiHidden/>
    <w:unhideWhenUsed/>
    <w:rsid w:val="00183BB5"/>
    <w:pPr>
      <w:spacing w:line="240" w:lineRule="auto"/>
    </w:pPr>
  </w:style>
  <w:style w:type="character" w:customStyle="1" w:styleId="CommentTextChar">
    <w:name w:val="Comment Text Char"/>
    <w:basedOn w:val="DefaultParagraphFont"/>
    <w:link w:val="CommentText"/>
    <w:uiPriority w:val="1"/>
    <w:semiHidden/>
    <w:rsid w:val="00183BB5"/>
  </w:style>
  <w:style w:type="paragraph" w:styleId="CommentSubject">
    <w:name w:val="annotation subject"/>
    <w:basedOn w:val="CommentText"/>
    <w:next w:val="CommentText"/>
    <w:link w:val="CommentSubjectChar"/>
    <w:uiPriority w:val="1"/>
    <w:semiHidden/>
    <w:unhideWhenUsed/>
    <w:rsid w:val="00183BB5"/>
    <w:rPr>
      <w:b/>
      <w:bCs/>
    </w:rPr>
  </w:style>
  <w:style w:type="character" w:customStyle="1" w:styleId="CommentSubjectChar">
    <w:name w:val="Comment Subject Char"/>
    <w:basedOn w:val="CommentTextChar"/>
    <w:link w:val="CommentSubject"/>
    <w:uiPriority w:val="1"/>
    <w:semiHidden/>
    <w:rsid w:val="00183BB5"/>
    <w:rPr>
      <w:b/>
      <w:bCs/>
    </w:rPr>
  </w:style>
  <w:style w:type="paragraph" w:styleId="Revision">
    <w:name w:val="Revision"/>
    <w:hidden/>
    <w:uiPriority w:val="99"/>
    <w:semiHidden/>
    <w:rsid w:val="00183BB5"/>
    <w:pPr>
      <w:spacing w:before="0" w:after="0" w:line="240" w:lineRule="auto"/>
    </w:pPr>
  </w:style>
  <w:style w:type="character" w:styleId="FollowedHyperlink">
    <w:name w:val="FollowedHyperlink"/>
    <w:basedOn w:val="DefaultParagraphFont"/>
    <w:uiPriority w:val="1"/>
    <w:semiHidden/>
    <w:unhideWhenUsed/>
    <w:rsid w:val="00183BB5"/>
    <w:rPr>
      <w:color w:val="0075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safetyandquality.gov.au/standards/nsqhs-standards/communicating-safety-standard/communication-clinical-handover" TargetMode="External"/><Relationship Id="rId39"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fercare.vic.gov.au" TargetMode="External"/><Relationship Id="rId25" Type="http://schemas.openxmlformats.org/officeDocument/2006/relationships/hyperlink" Target="https://www2.health.vic.gov.au/about/publications/researchandreports/restrictive-interventions-emergency-departments-review" TargetMode="External"/><Relationship Id="rId33" Type="http://schemas.openxmlformats.org/officeDocument/2006/relationships/header" Target="header7.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www.safetyandquality.gov.au/standards/nsqhs-standards/communicating-safety-standard/communication-clinical-handove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ettersafercare.vic.gov.au/reports-and-publications/evidence-based-guidance-a-new-approach-to-sharing-best-practice" TargetMode="External"/><Relationship Id="rId32" Type="http://schemas.openxmlformats.org/officeDocument/2006/relationships/chart" Target="charts/chart2.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www2.health.vic.gov.au/about/publications/researchandreports/restrictive-interventions-emergency-departments-review"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2.health.vic.gov.au/about/publications/researchandreports/restrictive-interventions-emergency-departments-review" TargetMode="External"/><Relationship Id="rId30" Type="http://schemas.openxmlformats.org/officeDocument/2006/relationships/hyperlink" Target="https://www2.health.vic.gov.au/about/participation-and-communication/making-a-complaint" TargetMode="Externa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ow1601\AppData\Local\Hewlett-Packard\HP%20TRIM\TEMP\HPTRIM.11544\HHSD%2019%20418041%20%20Report%20no%20image%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nternal.vic.gov.au\DHHS\HomeDirs6\jfow1601\Documents\Offline%20Records%20(DP)\Managing%20~%20STRATEGIC%20MANAGEMENT%20-%20PROJECTS(7)\20200304%20-%20ECCN%20-%20BOC%20-%20Clinical%20guidance%20public%20consultation%20respons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nternal.vic.gov.au\DHHS\HomeDirs6\jfow1601\Documents\Offline%20Records%20(DP)\Managing%20~%20STRATEGIC%20MANAGEMENT%20-%20PROJECTS(7)\20200304%20-%20ECCN%20-%20BOC%20-%20Clinical%20guidance%20public%20consultation%20response%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33095305375866"/>
          <c:y val="5.7636887608069162E-2"/>
          <c:w val="0.29388942774005822"/>
          <c:h val="0.87319884726224783"/>
        </c:manualLayout>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76D-4802-80B3-355DAFA5075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76D-4802-80B3-355DAFA5075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76D-4802-80B3-355DAFA5075A}"/>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B76D-4802-80B3-355DAFA5075A}"/>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B76D-4802-80B3-355DAFA5075A}"/>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B76D-4802-80B3-355DAFA5075A}"/>
              </c:ext>
            </c:extLst>
          </c:dPt>
          <c:cat>
            <c:strRef>
              <c:f>Totals!$J$4:$J$9</c:f>
              <c:strCache>
                <c:ptCount val="6"/>
                <c:pt idx="0">
                  <c:v>Healthcare consumer</c:v>
                </c:pt>
                <c:pt idx="1">
                  <c:v>Healthcare administrator/manager</c:v>
                </c:pt>
                <c:pt idx="2">
                  <c:v>Clinician - nurse</c:v>
                </c:pt>
                <c:pt idx="3">
                  <c:v>Clinician - medical</c:v>
                </c:pt>
                <c:pt idx="4">
                  <c:v>Clinician - allied health</c:v>
                </c:pt>
                <c:pt idx="5">
                  <c:v>Clinician - paramedic</c:v>
                </c:pt>
              </c:strCache>
            </c:strRef>
          </c:cat>
          <c:val>
            <c:numRef>
              <c:f>Totals!$L$4:$L$9</c:f>
              <c:numCache>
                <c:formatCode>General</c:formatCode>
                <c:ptCount val="6"/>
                <c:pt idx="0">
                  <c:v>2</c:v>
                </c:pt>
                <c:pt idx="1">
                  <c:v>5</c:v>
                </c:pt>
                <c:pt idx="2">
                  <c:v>21</c:v>
                </c:pt>
                <c:pt idx="3">
                  <c:v>7</c:v>
                </c:pt>
                <c:pt idx="4">
                  <c:v>4</c:v>
                </c:pt>
                <c:pt idx="5">
                  <c:v>4</c:v>
                </c:pt>
              </c:numCache>
            </c:numRef>
          </c:val>
          <c:extLst>
            <c:ext xmlns:c16="http://schemas.microsoft.com/office/drawing/2014/chart" uri="{C3380CC4-5D6E-409C-BE32-E72D297353CC}">
              <c16:uniqueId val="{0000000C-B76D-4802-80B3-355DAFA5075A}"/>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E89C-452F-9755-1CF623AB48F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E89C-452F-9755-1CF623AB48F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E89C-452F-9755-1CF623AB48F6}"/>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E89C-452F-9755-1CF623AB48F6}"/>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E89C-452F-9755-1CF623AB48F6}"/>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E89C-452F-9755-1CF623AB48F6}"/>
              </c:ext>
            </c:extLst>
          </c:dPt>
          <c:cat>
            <c:strRef>
              <c:f>Totals!$F$4:$F$10</c:f>
              <c:strCache>
                <c:ptCount val="6"/>
                <c:pt idx="0">
                  <c:v>Health service - rural</c:v>
                </c:pt>
                <c:pt idx="1">
                  <c:v>Health service - regional</c:v>
                </c:pt>
                <c:pt idx="2">
                  <c:v>Health service - metropolitan</c:v>
                </c:pt>
                <c:pt idx="3">
                  <c:v>Peak body</c:v>
                </c:pt>
                <c:pt idx="4">
                  <c:v>Professional organisation/college</c:v>
                </c:pt>
                <c:pt idx="5">
                  <c:v>Government agency</c:v>
                </c:pt>
              </c:strCache>
              <c:extLst/>
            </c:strRef>
          </c:cat>
          <c:val>
            <c:numRef>
              <c:f>Totals!$G$4:$G$10</c:f>
              <c:numCache>
                <c:formatCode>General</c:formatCode>
                <c:ptCount val="6"/>
                <c:pt idx="0">
                  <c:v>2</c:v>
                </c:pt>
                <c:pt idx="1">
                  <c:v>2</c:v>
                </c:pt>
                <c:pt idx="2">
                  <c:v>6</c:v>
                </c:pt>
                <c:pt idx="3">
                  <c:v>5</c:v>
                </c:pt>
                <c:pt idx="4">
                  <c:v>3</c:v>
                </c:pt>
                <c:pt idx="5">
                  <c:v>2</c:v>
                </c:pt>
              </c:numCache>
              <c:extLst/>
            </c:numRef>
          </c:val>
          <c:extLst>
            <c:ext xmlns:c16="http://schemas.microsoft.com/office/drawing/2014/chart" uri="{C3380CC4-5D6E-409C-BE32-E72D297353CC}">
              <c16:uniqueId val="{0000000C-E89C-452F-9755-1CF623AB48F6}"/>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IC" panose="00000500000000000000"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B9E4744AA643859E35CA343A3E0C18"/>
        <w:category>
          <w:name w:val="General"/>
          <w:gallery w:val="placeholder"/>
        </w:category>
        <w:types>
          <w:type w:val="bbPlcHdr"/>
        </w:types>
        <w:behaviors>
          <w:behavior w:val="content"/>
        </w:behaviors>
        <w:guid w:val="{0935164E-A861-452E-9096-8651103E580F}"/>
      </w:docPartPr>
      <w:docPartBody>
        <w:p w:rsidR="00B22BEF" w:rsidRDefault="00B22BEF">
          <w:pPr>
            <w:pStyle w:val="6FB9E4744AA643859E35CA343A3E0C18"/>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Yu Gothic"/>
    <w:panose1 w:val="00000000000000000000"/>
    <w:charset w:val="00"/>
    <w:family w:val="auto"/>
    <w:notTrueType/>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EF"/>
    <w:rsid w:val="00301851"/>
    <w:rsid w:val="00386E22"/>
    <w:rsid w:val="00B22BEF"/>
    <w:rsid w:val="00B74FD5"/>
    <w:rsid w:val="00BA4345"/>
    <w:rsid w:val="00C10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B74FD5"/>
    <w:rPr>
      <w:color w:val="808080"/>
    </w:rPr>
  </w:style>
  <w:style w:type="paragraph" w:customStyle="1" w:styleId="6FB9E4744AA643859E35CA343A3E0C18">
    <w:name w:val="6FB9E4744AA643859E35CA343A3E0C18"/>
  </w:style>
  <w:style w:type="paragraph" w:customStyle="1" w:styleId="A754C188E52F493C9E9FBA3458B8EE85">
    <w:name w:val="A754C188E52F493C9E9FBA3458B8EE85"/>
  </w:style>
  <w:style w:type="paragraph" w:customStyle="1" w:styleId="4C84E2A0ACAA437695130FDAF5A39ECF">
    <w:name w:val="4C84E2A0ACAA437695130FDAF5A39ECF"/>
  </w:style>
  <w:style w:type="paragraph" w:customStyle="1" w:styleId="9886F08EE0E94B8B9D7FA3B740DB2B98">
    <w:name w:val="9886F08EE0E94B8B9D7FA3B740DB2B98"/>
    <w:rsid w:val="00B74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30a1f945fd857c0f71c11bcb7e6e73d0">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ea9255fb0bf418e7a0624bf0bc715ab5"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6D8A-80DE-44E6-9AF6-6B31ED3AF2A8}">
  <ds:schemaRefs>
    <ds:schemaRef ds:uri="http://schemas.microsoft.com/sharepoint/v3/contenttype/forms"/>
  </ds:schemaRefs>
</ds:datastoreItem>
</file>

<file path=customXml/itemProps2.xml><?xml version="1.0" encoding="utf-8"?>
<ds:datastoreItem xmlns:ds="http://schemas.openxmlformats.org/officeDocument/2006/customXml" ds:itemID="{472A45F8-8258-492B-8322-BABEC198F3C9}">
  <ds:schemaRefs>
    <ds:schemaRef ds:uri="http://purl.org/dc/terms/"/>
    <ds:schemaRef ds:uri="31b2e4f9-c376-4e2f-bd2e-796d1bcd57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61723716-35A6-465D-AECB-4ED47F4F3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B0F57-DBBF-4313-AF91-05E2EEBB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HHSD 19 418041  Report no image template.DOTX</Template>
  <TotalTime>0</TotalTime>
  <Pages>27</Pages>
  <Words>7649</Words>
  <Characters>43605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Caring for people displaying acute behavioural disturbance</vt:lpstr>
    </vt:vector>
  </TitlesOfParts>
  <Company>Department of Treasury and Finance</Company>
  <LinksUpToDate>false</LinksUpToDate>
  <CharactersWithSpaces>51152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people displaying acute behavioural disturbance</dc:title>
  <dc:creator>James Fowler (DHHS)</dc:creator>
  <cp:lastModifiedBy>Emma Gumbleton (DHHS)</cp:lastModifiedBy>
  <cp:revision>2</cp:revision>
  <cp:lastPrinted>2020-04-07T04:18:00Z</cp:lastPrinted>
  <dcterms:created xsi:type="dcterms:W3CDTF">2020-04-07T04:52:00Z</dcterms:created>
  <dcterms:modified xsi:type="dcterms:W3CDTF">2020-04-07T04:52:00Z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0x01010026D179483B3A4E458E2DA955233B6DD4</vt:lpwstr>
  </property>
</Properties>
</file>