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-1540807229"/>
        <w:placeholder>
          <w:docPart w:val="7FA1F39FBF2046619A03DF957E5898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C48C0B0" w14:textId="193D6DDC" w:rsidR="00E131C8" w:rsidRPr="00184768" w:rsidRDefault="00D9037A" w:rsidP="00184768">
          <w:pPr>
            <w:pStyle w:val="Title"/>
          </w:pPr>
          <w:r w:rsidRPr="00184768">
            <w:t>Improving renal patient provider communication</w:t>
          </w:r>
        </w:p>
      </w:sdtContent>
    </w:sdt>
    <w:p w14:paraId="3F13B6E0" w14:textId="478D3ED8" w:rsidR="00D9037A" w:rsidRPr="00184768" w:rsidRDefault="00D9037A" w:rsidP="00184768">
      <w:pPr>
        <w:pStyle w:val="IntroductoryText"/>
      </w:pPr>
      <w:r w:rsidRPr="00184768">
        <w:t>In 2019 the Renal Clinical Network partnered with renal hub services to implement standardised informed consent templates for maintenance dialysis and a supporting policy document. The project aimed to improve patient</w:t>
      </w:r>
      <w:r w:rsidR="00DF6464" w:rsidRPr="00184768">
        <w:t>-</w:t>
      </w:r>
      <w:r w:rsidRPr="00184768">
        <w:t>provider communication by reducing unwa</w:t>
      </w:r>
      <w:r w:rsidR="00DF6464" w:rsidRPr="00184768">
        <w:t>rra</w:t>
      </w:r>
      <w:r w:rsidRPr="00184768">
        <w:t>nted variation in informed consent practices across Victoria for maintenance dialysis and improving patient involvement in decisions about their care.</w:t>
      </w:r>
    </w:p>
    <w:p w14:paraId="7BA819DD" w14:textId="2D2884AA" w:rsidR="00F97B5F" w:rsidRPr="00DF6464" w:rsidRDefault="00F97B5F" w:rsidP="001847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05316" wp14:editId="1404616E">
                <wp:simplePos x="0" y="0"/>
                <wp:positionH relativeFrom="column">
                  <wp:posOffset>3133090</wp:posOffset>
                </wp:positionH>
                <wp:positionV relativeFrom="paragraph">
                  <wp:posOffset>314457</wp:posOffset>
                </wp:positionV>
                <wp:extent cx="3149600" cy="1763395"/>
                <wp:effectExtent l="0" t="0" r="1270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7633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45EF" w14:textId="1D03871D" w:rsidR="00F97B5F" w:rsidRPr="00184768" w:rsidRDefault="00F97B5F" w:rsidP="00184768">
                            <w:pPr>
                              <w:pStyle w:val="PulloutHeading"/>
                            </w:pPr>
                            <w:r w:rsidRPr="00184768">
                              <w:t>Results at a glance</w:t>
                            </w:r>
                          </w:p>
                          <w:p w14:paraId="38E5279E" w14:textId="77777777" w:rsidR="00F97B5F" w:rsidRPr="00242944" w:rsidRDefault="00F97B5F" w:rsidP="00184768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242944">
                              <w:rPr>
                                <w:b/>
                                <w:bCs/>
                              </w:rPr>
                              <w:t>Who have we engaged with?</w:t>
                            </w:r>
                          </w:p>
                          <w:p w14:paraId="4A2D9ED5" w14:textId="77777777" w:rsidR="00F97B5F" w:rsidRPr="00184768" w:rsidRDefault="00F97B5F" w:rsidP="00184768">
                            <w:pPr>
                              <w:pStyle w:val="PulloutText"/>
                            </w:pPr>
                            <w:r w:rsidRPr="00184768">
                              <w:t>Victorian Renal hub services</w:t>
                            </w:r>
                          </w:p>
                          <w:p w14:paraId="53332154" w14:textId="77777777" w:rsidR="00F97B5F" w:rsidRPr="00242944" w:rsidRDefault="00F97B5F" w:rsidP="00184768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242944">
                              <w:rPr>
                                <w:b/>
                                <w:bCs/>
                              </w:rPr>
                              <w:t>Duration</w:t>
                            </w:r>
                          </w:p>
                          <w:p w14:paraId="6B926616" w14:textId="77777777" w:rsidR="00F97B5F" w:rsidRPr="00184768" w:rsidRDefault="00F97B5F" w:rsidP="00184768">
                            <w:pPr>
                              <w:pStyle w:val="PulloutText"/>
                            </w:pPr>
                            <w:r w:rsidRPr="00184768">
                              <w:t>2019-2020</w:t>
                            </w:r>
                          </w:p>
                          <w:p w14:paraId="6A633A46" w14:textId="77777777" w:rsidR="00F97B5F" w:rsidRPr="00242944" w:rsidRDefault="00F97B5F" w:rsidP="00184768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242944">
                              <w:rPr>
                                <w:b/>
                                <w:bCs/>
                              </w:rPr>
                              <w:t>Project measures</w:t>
                            </w:r>
                          </w:p>
                          <w:p w14:paraId="7B91F294" w14:textId="6AA1989F" w:rsidR="00F97B5F" w:rsidRPr="00184768" w:rsidRDefault="00F97B5F" w:rsidP="00184768">
                            <w:pPr>
                              <w:pStyle w:val="PulloutText"/>
                            </w:pPr>
                            <w:r w:rsidRPr="00184768">
                              <w:t>Three outcome measures</w:t>
                            </w:r>
                          </w:p>
                          <w:p w14:paraId="29140217" w14:textId="2564770B" w:rsidR="00F97B5F" w:rsidRPr="00242944" w:rsidRDefault="00F97B5F" w:rsidP="00184768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242944">
                              <w:rPr>
                                <w:b/>
                                <w:bCs/>
                              </w:rPr>
                              <w:t>Key results</w:t>
                            </w:r>
                          </w:p>
                          <w:p w14:paraId="7FA0FC9A" w14:textId="77777777" w:rsidR="00F97B5F" w:rsidRPr="00184768" w:rsidRDefault="00F97B5F" w:rsidP="00184768">
                            <w:pPr>
                              <w:pStyle w:val="PulloutText"/>
                            </w:pPr>
                            <w:r w:rsidRPr="00184768">
                              <w:t>Pilot data</w:t>
                            </w:r>
                          </w:p>
                          <w:p w14:paraId="5E078E63" w14:textId="5968F559" w:rsidR="00F97B5F" w:rsidRPr="00184768" w:rsidRDefault="00F97B5F" w:rsidP="00184768">
                            <w:pPr>
                              <w:pStyle w:val="PulloutText"/>
                              <w:numPr>
                                <w:ilvl w:val="0"/>
                                <w:numId w:val="17"/>
                              </w:numPr>
                            </w:pPr>
                            <w:r w:rsidRPr="00184768">
                              <w:t>86% of surveyed patients reported feeling involved in decisions about their care as much as they wanted to be</w:t>
                            </w:r>
                            <w:r w:rsidR="00D124BF" w:rsidRPr="00184768">
                              <w:t>.</w:t>
                            </w:r>
                          </w:p>
                          <w:p w14:paraId="62EE6246" w14:textId="2A9932D2" w:rsidR="00F97B5F" w:rsidRPr="00184768" w:rsidRDefault="00F97B5F" w:rsidP="00184768">
                            <w:pPr>
                              <w:pStyle w:val="PulloutText"/>
                              <w:numPr>
                                <w:ilvl w:val="0"/>
                                <w:numId w:val="17"/>
                              </w:numPr>
                            </w:pPr>
                            <w:r w:rsidRPr="00184768">
                              <w:t>90% of surveyed patients reported receiving the right amount of information about their care and treatment</w:t>
                            </w:r>
                            <w:r w:rsidR="00D124BF" w:rsidRPr="00184768">
                              <w:t>.</w:t>
                            </w:r>
                          </w:p>
                          <w:p w14:paraId="6E3D105D" w14:textId="6F109E5E" w:rsidR="00F97B5F" w:rsidRPr="00184768" w:rsidRDefault="00F97B5F" w:rsidP="00184768">
                            <w:pPr>
                              <w:pStyle w:val="PulloutText"/>
                              <w:numPr>
                                <w:ilvl w:val="0"/>
                                <w:numId w:val="17"/>
                              </w:numPr>
                            </w:pPr>
                            <w:r w:rsidRPr="00184768">
                              <w:t>80% of health services have either implemented the templates and policy or are underway.</w:t>
                            </w:r>
                          </w:p>
                          <w:p w14:paraId="24E4A2F0" w14:textId="7A79FCA5" w:rsidR="00F97B5F" w:rsidRPr="00184768" w:rsidRDefault="00242944" w:rsidP="00184768">
                            <w:pPr>
                              <w:pStyle w:val="PulloutText"/>
                            </w:pPr>
                            <w:hyperlink r:id="rId8" w:history="1">
                              <w:r w:rsidR="00F97B5F" w:rsidRPr="00184768">
                                <w:rPr>
                                  <w:rStyle w:val="Hyperlink"/>
                                </w:rPr>
                                <w:t xml:space="preserve">Download </w:t>
                              </w:r>
                              <w:r w:rsidR="005F0C67" w:rsidRPr="00184768">
                                <w:rPr>
                                  <w:rStyle w:val="Hyperlink"/>
                                </w:rPr>
                                <w:t>consents and policy document</w:t>
                              </w:r>
                            </w:hyperlink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05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7pt;margin-top:24.75pt;width:248pt;height:1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" fillcolor="#edf5f7 [3214]" strokecolor="#edf5f7 [3214]" strokeweight=".5pt">
                <v:textbox style="mso-fit-shape-to-text:t" inset="5mm,5mm,4mm,1mm">
                  <w:txbxContent>
                    <w:p w14:paraId="2D0145EF" w14:textId="1D03871D" w:rsidR="00F97B5F" w:rsidRPr="00184768" w:rsidRDefault="00F97B5F" w:rsidP="00184768">
                      <w:pPr>
                        <w:pStyle w:val="PulloutHeading"/>
                      </w:pPr>
                      <w:r w:rsidRPr="00184768">
                        <w:t>Results at a glance</w:t>
                      </w:r>
                    </w:p>
                    <w:p w14:paraId="38E5279E" w14:textId="77777777" w:rsidR="00F97B5F" w:rsidRPr="00242944" w:rsidRDefault="00F97B5F" w:rsidP="00184768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242944">
                        <w:rPr>
                          <w:b/>
                          <w:bCs/>
                        </w:rPr>
                        <w:t>Who have we engaged with?</w:t>
                      </w:r>
                    </w:p>
                    <w:p w14:paraId="4A2D9ED5" w14:textId="77777777" w:rsidR="00F97B5F" w:rsidRPr="00184768" w:rsidRDefault="00F97B5F" w:rsidP="00184768">
                      <w:pPr>
                        <w:pStyle w:val="PulloutText"/>
                      </w:pPr>
                      <w:r w:rsidRPr="00184768">
                        <w:t>Victorian Renal hub services</w:t>
                      </w:r>
                    </w:p>
                    <w:p w14:paraId="53332154" w14:textId="77777777" w:rsidR="00F97B5F" w:rsidRPr="00242944" w:rsidRDefault="00F97B5F" w:rsidP="00184768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242944">
                        <w:rPr>
                          <w:b/>
                          <w:bCs/>
                        </w:rPr>
                        <w:t>Duration</w:t>
                      </w:r>
                    </w:p>
                    <w:p w14:paraId="6B926616" w14:textId="77777777" w:rsidR="00F97B5F" w:rsidRPr="00184768" w:rsidRDefault="00F97B5F" w:rsidP="00184768">
                      <w:pPr>
                        <w:pStyle w:val="PulloutText"/>
                      </w:pPr>
                      <w:r w:rsidRPr="00184768">
                        <w:t>2019-2020</w:t>
                      </w:r>
                    </w:p>
                    <w:p w14:paraId="6A633A46" w14:textId="77777777" w:rsidR="00F97B5F" w:rsidRPr="00242944" w:rsidRDefault="00F97B5F" w:rsidP="00184768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242944">
                        <w:rPr>
                          <w:b/>
                          <w:bCs/>
                        </w:rPr>
                        <w:t>Project measures</w:t>
                      </w:r>
                    </w:p>
                    <w:p w14:paraId="7B91F294" w14:textId="6AA1989F" w:rsidR="00F97B5F" w:rsidRPr="00184768" w:rsidRDefault="00F97B5F" w:rsidP="00184768">
                      <w:pPr>
                        <w:pStyle w:val="PulloutText"/>
                      </w:pPr>
                      <w:r w:rsidRPr="00184768">
                        <w:t>Three outcome measures</w:t>
                      </w:r>
                    </w:p>
                    <w:p w14:paraId="29140217" w14:textId="2564770B" w:rsidR="00F97B5F" w:rsidRPr="00242944" w:rsidRDefault="00F97B5F" w:rsidP="00184768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242944">
                        <w:rPr>
                          <w:b/>
                          <w:bCs/>
                        </w:rPr>
                        <w:t>Key results</w:t>
                      </w:r>
                    </w:p>
                    <w:p w14:paraId="7FA0FC9A" w14:textId="77777777" w:rsidR="00F97B5F" w:rsidRPr="00184768" w:rsidRDefault="00F97B5F" w:rsidP="00184768">
                      <w:pPr>
                        <w:pStyle w:val="PulloutText"/>
                      </w:pPr>
                      <w:r w:rsidRPr="00184768">
                        <w:t>Pilot data</w:t>
                      </w:r>
                    </w:p>
                    <w:p w14:paraId="5E078E63" w14:textId="5968F559" w:rsidR="00F97B5F" w:rsidRPr="00184768" w:rsidRDefault="00F97B5F" w:rsidP="00184768">
                      <w:pPr>
                        <w:pStyle w:val="PulloutText"/>
                        <w:numPr>
                          <w:ilvl w:val="0"/>
                          <w:numId w:val="17"/>
                        </w:numPr>
                      </w:pPr>
                      <w:r w:rsidRPr="00184768">
                        <w:t>86% of surveyed patients reported feeling involved in decisions about their care as much as they wanted to be</w:t>
                      </w:r>
                      <w:r w:rsidR="00D124BF" w:rsidRPr="00184768">
                        <w:t>.</w:t>
                      </w:r>
                    </w:p>
                    <w:p w14:paraId="62EE6246" w14:textId="2A9932D2" w:rsidR="00F97B5F" w:rsidRPr="00184768" w:rsidRDefault="00F97B5F" w:rsidP="00184768">
                      <w:pPr>
                        <w:pStyle w:val="PulloutText"/>
                        <w:numPr>
                          <w:ilvl w:val="0"/>
                          <w:numId w:val="17"/>
                        </w:numPr>
                      </w:pPr>
                      <w:r w:rsidRPr="00184768">
                        <w:t>90% of surveyed patients reported receiving the right amount of information about their care and treatment</w:t>
                      </w:r>
                      <w:r w:rsidR="00D124BF" w:rsidRPr="00184768">
                        <w:t>.</w:t>
                      </w:r>
                    </w:p>
                    <w:p w14:paraId="6E3D105D" w14:textId="6F109E5E" w:rsidR="00F97B5F" w:rsidRPr="00184768" w:rsidRDefault="00F97B5F" w:rsidP="00184768">
                      <w:pPr>
                        <w:pStyle w:val="PulloutText"/>
                        <w:numPr>
                          <w:ilvl w:val="0"/>
                          <w:numId w:val="17"/>
                        </w:numPr>
                      </w:pPr>
                      <w:r w:rsidRPr="00184768">
                        <w:t>80% of health services have either implemented the templates and policy or are underway.</w:t>
                      </w:r>
                    </w:p>
                    <w:p w14:paraId="24E4A2F0" w14:textId="7A79FCA5" w:rsidR="00F97B5F" w:rsidRPr="00184768" w:rsidRDefault="00242944" w:rsidP="00184768">
                      <w:pPr>
                        <w:pStyle w:val="PulloutText"/>
                      </w:pPr>
                      <w:hyperlink r:id="rId9" w:history="1">
                        <w:r w:rsidR="00F97B5F" w:rsidRPr="00184768">
                          <w:rPr>
                            <w:rStyle w:val="Hyperlink"/>
                          </w:rPr>
                          <w:t xml:space="preserve">Download </w:t>
                        </w:r>
                        <w:r w:rsidR="005F0C67" w:rsidRPr="00184768">
                          <w:rPr>
                            <w:rStyle w:val="Hyperlink"/>
                          </w:rPr>
                          <w:t>consents and policy document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9EE77" w14:textId="74EFC369" w:rsidR="00D9037A" w:rsidRPr="00184768" w:rsidRDefault="00D9037A" w:rsidP="00184768">
      <w:pPr>
        <w:pStyle w:val="Heading2"/>
      </w:pPr>
      <w:r w:rsidRPr="00184768">
        <w:t xml:space="preserve">BACKGROUND </w:t>
      </w:r>
    </w:p>
    <w:p w14:paraId="20956FDB" w14:textId="7EB9FBFD" w:rsidR="00D9037A" w:rsidRPr="00184768" w:rsidRDefault="00D9037A" w:rsidP="00184768">
      <w:pPr>
        <w:pStyle w:val="Normalfollowingheading"/>
      </w:pPr>
      <w:r w:rsidRPr="00184768">
        <w:t>In 2017 the need to improve patient</w:t>
      </w:r>
      <w:r w:rsidR="00DF6464" w:rsidRPr="00184768">
        <w:t>-</w:t>
      </w:r>
      <w:r w:rsidRPr="00184768">
        <w:t xml:space="preserve">provider communication was identified as an area of priority by the </w:t>
      </w:r>
      <w:r w:rsidR="00DF6464" w:rsidRPr="00184768">
        <w:t>r</w:t>
      </w:r>
      <w:r w:rsidRPr="00184768">
        <w:t xml:space="preserve">enal sector. The Victorian Healthcare Experience Survey (VHES) demonstrated that renal patients often report feeling less involved in decisions about their care when compared to non-renal patients. The Renal </w:t>
      </w:r>
      <w:r w:rsidR="00DF6464" w:rsidRPr="00184768">
        <w:t>network</w:t>
      </w:r>
      <w:r w:rsidRPr="00184768">
        <w:t xml:space="preserve"> also identified variation in the information communicated to patients when deciding on treatment for their </w:t>
      </w:r>
      <w:r w:rsidR="00DF6464" w:rsidRPr="00184768">
        <w:t>e</w:t>
      </w:r>
      <w:r w:rsidRPr="00184768">
        <w:t xml:space="preserve">nd </w:t>
      </w:r>
      <w:r w:rsidR="00DF6464" w:rsidRPr="00184768">
        <w:t>s</w:t>
      </w:r>
      <w:r w:rsidRPr="00184768">
        <w:t xml:space="preserve">tage </w:t>
      </w:r>
      <w:r w:rsidR="00DF6464" w:rsidRPr="00184768">
        <w:t>k</w:t>
      </w:r>
      <w:r w:rsidRPr="00184768">
        <w:t xml:space="preserve">idney </w:t>
      </w:r>
      <w:r w:rsidR="00DF6464" w:rsidRPr="00184768">
        <w:t>d</w:t>
      </w:r>
      <w:r w:rsidRPr="00184768">
        <w:t>isease (ESKD). It was therefore decided that the focus of the project would be to reduce variation in informed consent processes for maintenance dialysis across Victorian renal hub services.</w:t>
      </w:r>
    </w:p>
    <w:p w14:paraId="29006F63" w14:textId="77777777" w:rsidR="00D9037A" w:rsidRDefault="00D9037A" w:rsidP="00184768">
      <w:pPr>
        <w:pStyle w:val="Heading2"/>
      </w:pPr>
      <w:r>
        <w:t xml:space="preserve">AIM </w:t>
      </w:r>
    </w:p>
    <w:p w14:paraId="10BDEE0D" w14:textId="77777777" w:rsidR="00D9037A" w:rsidRDefault="00D9037A" w:rsidP="00184768">
      <w:pPr>
        <w:pStyle w:val="Normalfollowingheading"/>
      </w:pPr>
      <w:r>
        <w:t>The project aimed to improve patient provider communication by:</w:t>
      </w:r>
    </w:p>
    <w:p w14:paraId="61622E54" w14:textId="1B936276" w:rsidR="00D9037A" w:rsidRPr="00184768" w:rsidRDefault="00DF6464" w:rsidP="00184768">
      <w:pPr>
        <w:pStyle w:val="Bullet1"/>
      </w:pPr>
      <w:r w:rsidRPr="00184768">
        <w:t>r</w:t>
      </w:r>
      <w:r w:rsidR="00D9037A" w:rsidRPr="00184768">
        <w:t xml:space="preserve">educing variation in the information provided to patients at the time of consenting to maintenance dialysis </w:t>
      </w:r>
    </w:p>
    <w:p w14:paraId="0E9842E8" w14:textId="541FF636" w:rsidR="00D9037A" w:rsidRPr="00184768" w:rsidRDefault="00DF6464" w:rsidP="00184768">
      <w:pPr>
        <w:pStyle w:val="Bullet1"/>
      </w:pPr>
      <w:r w:rsidRPr="00184768">
        <w:t>i</w:t>
      </w:r>
      <w:r w:rsidR="00D9037A" w:rsidRPr="00184768">
        <w:t>mproving patient involvement in decisions about their care in Victorian renal health services by December 2020</w:t>
      </w:r>
      <w:r w:rsidRPr="00184768">
        <w:t>.</w:t>
      </w:r>
    </w:p>
    <w:p w14:paraId="73619FE7" w14:textId="77777777" w:rsidR="00184768" w:rsidRDefault="00184768" w:rsidP="00184768">
      <w:pPr>
        <w:rPr>
          <w:rFonts w:eastAsiaTheme="majorEastAsia"/>
          <w:color w:val="007586" w:themeColor="text2"/>
          <w:sz w:val="24"/>
          <w:szCs w:val="26"/>
        </w:rPr>
      </w:pPr>
      <w:r>
        <w:br w:type="page"/>
      </w:r>
    </w:p>
    <w:p w14:paraId="024B7176" w14:textId="6BFD66E7" w:rsidR="00D9037A" w:rsidRDefault="00D9037A" w:rsidP="00184768">
      <w:pPr>
        <w:pStyle w:val="Heading2"/>
      </w:pPr>
      <w:r>
        <w:lastRenderedPageBreak/>
        <w:t>IMPROVEMENT APPROACH</w:t>
      </w:r>
    </w:p>
    <w:p w14:paraId="46B170A2" w14:textId="12E8F4A0" w:rsidR="00D9037A" w:rsidRDefault="00D9037A" w:rsidP="00184768">
      <w:pPr>
        <w:pStyle w:val="Normalfollowingheading"/>
      </w:pPr>
      <w:r>
        <w:t xml:space="preserve">An expert working group was formed consisting of consumers and clinicians in the field. This group was responsible for </w:t>
      </w:r>
      <w:r w:rsidR="00DF6464">
        <w:t>cre</w:t>
      </w:r>
      <w:r>
        <w:t>ati</w:t>
      </w:r>
      <w:r w:rsidR="00DF6464">
        <w:t>ng</w:t>
      </w:r>
      <w:r>
        <w:t xml:space="preserve"> and implement</w:t>
      </w:r>
      <w:r w:rsidR="00DF6464">
        <w:t>ing</w:t>
      </w:r>
      <w:r>
        <w:t xml:space="preserve"> standardised informed consent templates for maintenance dialysis</w:t>
      </w:r>
      <w:r w:rsidR="00B83968">
        <w:t>,</w:t>
      </w:r>
      <w:r>
        <w:t xml:space="preserve"> along with a supporting policy document.</w:t>
      </w:r>
    </w:p>
    <w:p w14:paraId="203ADA95" w14:textId="4D182225" w:rsidR="00D9037A" w:rsidRPr="00184768" w:rsidRDefault="00D9037A" w:rsidP="00184768">
      <w:r w:rsidRPr="00184768">
        <w:t xml:space="preserve">Clinicians and consumers were consulted in the development of the templates and policy document, which outline 15 minimum recommended standards for inclusion in written informed consent. The documents are </w:t>
      </w:r>
      <w:hyperlink r:id="rId10" w:history="1">
        <w:r w:rsidRPr="00184768">
          <w:rPr>
            <w:rStyle w:val="Hyperlink"/>
            <w:color w:val="auto"/>
            <w:u w:val="none"/>
          </w:rPr>
          <w:t>now available for download</w:t>
        </w:r>
      </w:hyperlink>
      <w:r w:rsidR="00DF6464" w:rsidRPr="00184768">
        <w:rPr>
          <w:rStyle w:val="Hyperlink"/>
          <w:color w:val="auto"/>
          <w:u w:val="none"/>
        </w:rPr>
        <w:t>.</w:t>
      </w:r>
      <w:r w:rsidRPr="00184768">
        <w:t xml:space="preserve"> </w:t>
      </w:r>
    </w:p>
    <w:p w14:paraId="79E3D1AA" w14:textId="0993BBF2" w:rsidR="00D9037A" w:rsidRPr="00184768" w:rsidRDefault="00D9037A" w:rsidP="00184768">
      <w:r w:rsidRPr="00184768">
        <w:t>Implementation and evaluation of the consent templates and policy was piloted at Austin Health, involving the creation of an</w:t>
      </w:r>
      <w:r w:rsidR="00391919" w:rsidRPr="00184768">
        <w:t xml:space="preserve"> </w:t>
      </w:r>
      <w:r w:rsidR="00D124BF" w:rsidRPr="00184768">
        <w:t>i</w:t>
      </w:r>
      <w:r w:rsidRPr="00184768">
        <w:t>nformed consent experience survey to evaluate patient experience of shared decision making and information provision. Two key questions included in the evaluation survey were taken from the VHES:</w:t>
      </w:r>
    </w:p>
    <w:p w14:paraId="52B54825" w14:textId="49511020" w:rsidR="00D9037A" w:rsidRDefault="00D9037A" w:rsidP="00184768">
      <w:pPr>
        <w:pStyle w:val="Listnum"/>
        <w:numPr>
          <w:ilvl w:val="0"/>
          <w:numId w:val="12"/>
        </w:numPr>
      </w:pPr>
      <w:r>
        <w:t>How much information about your condition and treatment options was provided to you?</w:t>
      </w:r>
    </w:p>
    <w:p w14:paraId="0F9D9C7F" w14:textId="2C69AB9F" w:rsidR="00D9037A" w:rsidRDefault="00D9037A" w:rsidP="00184768">
      <w:pPr>
        <w:pStyle w:val="Listnum"/>
        <w:numPr>
          <w:ilvl w:val="0"/>
          <w:numId w:val="12"/>
        </w:numPr>
      </w:pPr>
      <w:r>
        <w:t>Were you involved as much as you wanted to be in decisions about your care and treatment?</w:t>
      </w:r>
    </w:p>
    <w:p w14:paraId="2C895A94" w14:textId="6CE9BC7D" w:rsidR="00D9037A" w:rsidRDefault="00D9037A" w:rsidP="00184768">
      <w:pPr>
        <w:pStyle w:val="Heading2"/>
      </w:pPr>
      <w:r>
        <w:t>Results</w:t>
      </w:r>
    </w:p>
    <w:p w14:paraId="2C649A36" w14:textId="77777777" w:rsidR="00D9037A" w:rsidRDefault="00D9037A" w:rsidP="00184768">
      <w:pPr>
        <w:pStyle w:val="Normalfollowingheading"/>
      </w:pPr>
      <w:r>
        <w:t>Key improvements included:</w:t>
      </w:r>
    </w:p>
    <w:p w14:paraId="2A7CD72B" w14:textId="2E294030" w:rsidR="00D9037A" w:rsidRDefault="00D9037A" w:rsidP="00184768">
      <w:pPr>
        <w:pStyle w:val="Bullet1"/>
      </w:pPr>
      <w:r>
        <w:t>Generation of standardised informed consent templates for maintenance dialysis and a supporting policy document</w:t>
      </w:r>
      <w:r w:rsidR="00DF6464">
        <w:t>.</w:t>
      </w:r>
    </w:p>
    <w:p w14:paraId="3DFFAEAB" w14:textId="61E21CCA" w:rsidR="00D9037A" w:rsidRDefault="00D9037A" w:rsidP="00184768">
      <w:pPr>
        <w:pStyle w:val="Bullet1"/>
      </w:pPr>
      <w:r>
        <w:t>Reduction in variation in informed consent practices across Victorian Renal services. Of the 10 renal hub services:</w:t>
      </w:r>
    </w:p>
    <w:p w14:paraId="14DCB3A2" w14:textId="23D2E833" w:rsidR="00D9037A" w:rsidRDefault="00D9037A" w:rsidP="00184768">
      <w:pPr>
        <w:pStyle w:val="Bullet2"/>
      </w:pPr>
      <w:r>
        <w:t>30</w:t>
      </w:r>
      <w:r w:rsidR="00DF6464">
        <w:t xml:space="preserve"> per cent</w:t>
      </w:r>
      <w:r>
        <w:t xml:space="preserve"> have implemented the informed consent templates (all these services now meet the 15 minimum recommended standards)</w:t>
      </w:r>
    </w:p>
    <w:p w14:paraId="71E41BB3" w14:textId="7A304047" w:rsidR="00D9037A" w:rsidRDefault="00D9037A" w:rsidP="00184768">
      <w:pPr>
        <w:pStyle w:val="Bullet2"/>
      </w:pPr>
      <w:r>
        <w:t>30</w:t>
      </w:r>
      <w:r w:rsidR="00DF6464">
        <w:t xml:space="preserve"> per cent</w:t>
      </w:r>
      <w:r>
        <w:t xml:space="preserve"> are currently underway</w:t>
      </w:r>
    </w:p>
    <w:p w14:paraId="570797AA" w14:textId="20A75399" w:rsidR="00D9037A" w:rsidRDefault="00D9037A" w:rsidP="00184768">
      <w:pPr>
        <w:pStyle w:val="Bullet2"/>
      </w:pPr>
      <w:r>
        <w:t>20</w:t>
      </w:r>
      <w:r w:rsidR="00DF6464">
        <w:t xml:space="preserve"> per cent</w:t>
      </w:r>
      <w:r>
        <w:t xml:space="preserve"> have committed to implementation of the project</w:t>
      </w:r>
    </w:p>
    <w:p w14:paraId="5952357D" w14:textId="5C6D6954" w:rsidR="00D9037A" w:rsidRDefault="00D9037A" w:rsidP="00184768">
      <w:pPr>
        <w:pStyle w:val="Bullet2"/>
      </w:pPr>
      <w:r>
        <w:t>20</w:t>
      </w:r>
      <w:r w:rsidR="00DF6464">
        <w:t xml:space="preserve"> per cent</w:t>
      </w:r>
      <w:r>
        <w:t xml:space="preserve"> may retain current practices</w:t>
      </w:r>
      <w:r w:rsidR="00DF6464">
        <w:t>.</w:t>
      </w:r>
    </w:p>
    <w:p w14:paraId="41DAE95B" w14:textId="039DD7B5" w:rsidR="00D9037A" w:rsidRDefault="00D9037A" w:rsidP="00184768">
      <w:pPr>
        <w:pStyle w:val="Bullet1"/>
      </w:pPr>
      <w:r>
        <w:t xml:space="preserve">Of the </w:t>
      </w:r>
      <w:r w:rsidR="00DF6464">
        <w:t>three</w:t>
      </w:r>
      <w:r>
        <w:t xml:space="preserve"> services that did not have </w:t>
      </w:r>
      <w:r w:rsidR="008345A1">
        <w:t xml:space="preserve">prior </w:t>
      </w:r>
      <w:r>
        <w:t xml:space="preserve">written informed consent for maintenance dialysis, </w:t>
      </w:r>
      <w:r w:rsidR="00DF6464">
        <w:t xml:space="preserve"> one</w:t>
      </w:r>
      <w:r>
        <w:t xml:space="preserve"> now meets all 15 of the minimum recommended standards, </w:t>
      </w:r>
      <w:r w:rsidR="00DF6464">
        <w:t xml:space="preserve">and two </w:t>
      </w:r>
      <w:r>
        <w:t>are progressing to implementation.</w:t>
      </w:r>
    </w:p>
    <w:p w14:paraId="063725F3" w14:textId="4DE5BB16" w:rsidR="00D9037A" w:rsidRDefault="00D9037A" w:rsidP="00184768">
      <w:pPr>
        <w:pStyle w:val="Bullet1"/>
      </w:pPr>
      <w:r>
        <w:t>Improvement in 13</w:t>
      </w:r>
      <w:r w:rsidR="00DF6464">
        <w:t xml:space="preserve"> of </w:t>
      </w:r>
      <w:r>
        <w:t>15 minimum recommended standards for informed consent (</w:t>
      </w:r>
      <w:r w:rsidR="00DF6464">
        <w:t xml:space="preserve">see </w:t>
      </w:r>
      <w:r w:rsidRPr="00DF6464">
        <w:rPr>
          <w:b/>
          <w:bCs/>
        </w:rPr>
        <w:t>Table 1</w:t>
      </w:r>
      <w:r>
        <w:t>).</w:t>
      </w:r>
    </w:p>
    <w:p w14:paraId="0CB77F3F" w14:textId="0147271E" w:rsidR="00D9037A" w:rsidRDefault="00D9037A" w:rsidP="00184768">
      <w:pPr>
        <w:pStyle w:val="Bullet1"/>
      </w:pPr>
      <w:r>
        <w:t>Creation of a patient reported experience measure – Informed consent experience survey</w:t>
      </w:r>
      <w:r w:rsidR="00DF6464">
        <w:t>.</w:t>
      </w:r>
    </w:p>
    <w:p w14:paraId="76994E8D" w14:textId="22653F5B" w:rsidR="00D9037A" w:rsidRDefault="00D9037A" w:rsidP="00184768">
      <w:pPr>
        <w:pStyle w:val="Bullet1"/>
      </w:pPr>
      <w:r>
        <w:t>Improvement in renal patient reported involvement in decisions about their care</w:t>
      </w:r>
      <w:r w:rsidR="00DF6464">
        <w:t>,</w:t>
      </w:r>
      <w:r>
        <w:t xml:space="preserve"> with 86</w:t>
      </w:r>
      <w:r w:rsidR="00DF6464">
        <w:t xml:space="preserve"> per cent</w:t>
      </w:r>
      <w:r>
        <w:t xml:space="preserve"> of surveyed patients reporting feeling involved in decisions about their care as much as they wanted to be.</w:t>
      </w:r>
    </w:p>
    <w:p w14:paraId="37599D9E" w14:textId="59E58F42" w:rsidR="00D9037A" w:rsidRDefault="00D9037A" w:rsidP="00184768">
      <w:pPr>
        <w:pStyle w:val="Bullet1"/>
      </w:pPr>
      <w:r>
        <w:t>Increased staff capability to lead and implement quality improvement.</w:t>
      </w:r>
    </w:p>
    <w:p w14:paraId="1AA802E8" w14:textId="77777777" w:rsidR="00F97B5F" w:rsidRDefault="00F97B5F" w:rsidP="00184768">
      <w:pPr>
        <w:rPr>
          <w:rFonts w:ascii="VIC SemiBold" w:eastAsiaTheme="majorEastAsia" w:hAnsi="VIC SemiBold" w:cstheme="majorBidi"/>
          <w:color w:val="007586" w:themeColor="text2"/>
          <w:sz w:val="24"/>
          <w:szCs w:val="26"/>
        </w:rPr>
      </w:pPr>
      <w:r>
        <w:br w:type="page"/>
      </w:r>
    </w:p>
    <w:p w14:paraId="08AB354F" w14:textId="6672ECF3" w:rsidR="00D9037A" w:rsidRPr="00184768" w:rsidRDefault="00D9037A" w:rsidP="00184768">
      <w:pPr>
        <w:pStyle w:val="Tablechartdiagramheading"/>
      </w:pPr>
      <w:bookmarkStart w:id="0" w:name="_GoBack"/>
      <w:bookmarkEnd w:id="0"/>
      <w:r w:rsidRPr="00184768">
        <w:lastRenderedPageBreak/>
        <w:t xml:space="preserve">Table 1: </w:t>
      </w:r>
      <w:r w:rsidR="00DF6464" w:rsidRPr="00184768">
        <w:t>Percentage</w:t>
      </w:r>
      <w:r w:rsidRPr="00184768">
        <w:t xml:space="preserve"> of health services meeting the minimum recommended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3"/>
        <w:gridCol w:w="2573"/>
        <w:gridCol w:w="2574"/>
      </w:tblGrid>
      <w:tr w:rsidR="00D9037A" w:rsidRPr="00184768" w14:paraId="0A6A4455" w14:textId="77777777" w:rsidTr="00DF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6BD7158F" w14:textId="5B306724" w:rsidR="00D9037A" w:rsidRPr="00184768" w:rsidRDefault="00D9037A" w:rsidP="00184768">
            <w:pPr>
              <w:pStyle w:val="Tableheader"/>
              <w:rPr>
                <w:rFonts w:asciiTheme="minorHAnsi" w:hAnsiTheme="minorHAnsi"/>
                <w:sz w:val="20"/>
                <w:szCs w:val="20"/>
              </w:rPr>
            </w:pPr>
            <w:r w:rsidRPr="00184768">
              <w:rPr>
                <w:rFonts w:asciiTheme="minorHAnsi" w:hAnsiTheme="minorHAnsi"/>
                <w:sz w:val="20"/>
                <w:szCs w:val="20"/>
              </w:rPr>
              <w:t>Minimum recommended standards</w:t>
            </w:r>
          </w:p>
        </w:tc>
        <w:tc>
          <w:tcPr>
            <w:tcW w:w="2573" w:type="dxa"/>
          </w:tcPr>
          <w:p w14:paraId="3562ED82" w14:textId="11A4CD49" w:rsidR="00D9037A" w:rsidRPr="00184768" w:rsidRDefault="00D9037A" w:rsidP="0018476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184768">
              <w:rPr>
                <w:rFonts w:asciiTheme="minorHAnsi" w:hAnsiTheme="minorHAnsi"/>
                <w:sz w:val="20"/>
                <w:szCs w:val="20"/>
              </w:rPr>
              <w:t>Pre</w:t>
            </w:r>
          </w:p>
        </w:tc>
        <w:tc>
          <w:tcPr>
            <w:tcW w:w="2574" w:type="dxa"/>
          </w:tcPr>
          <w:p w14:paraId="2F3E770F" w14:textId="745EC3AC" w:rsidR="00D9037A" w:rsidRPr="00184768" w:rsidRDefault="00D9037A" w:rsidP="0018476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184768">
              <w:rPr>
                <w:rFonts w:asciiTheme="minorHAnsi" w:hAnsiTheme="minorHAnsi"/>
                <w:sz w:val="20"/>
                <w:szCs w:val="20"/>
              </w:rPr>
              <w:t>Post</w:t>
            </w:r>
          </w:p>
        </w:tc>
      </w:tr>
      <w:tr w:rsidR="00D9037A" w:rsidRPr="00184768" w14:paraId="0379B385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29CC281A" w14:textId="4D99C54B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Information about condition*</w:t>
            </w:r>
            <w:r w:rsidRPr="00184768">
              <w:rPr>
                <w:sz w:val="20"/>
                <w:szCs w:val="20"/>
              </w:rPr>
              <w:tab/>
            </w:r>
          </w:p>
        </w:tc>
        <w:tc>
          <w:tcPr>
            <w:tcW w:w="2573" w:type="dxa"/>
          </w:tcPr>
          <w:p w14:paraId="182B4244" w14:textId="73E39645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60%</w:t>
            </w:r>
          </w:p>
        </w:tc>
        <w:tc>
          <w:tcPr>
            <w:tcW w:w="2574" w:type="dxa"/>
          </w:tcPr>
          <w:p w14:paraId="4E99F5DB" w14:textId="4AF25540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</w:tr>
      <w:tr w:rsidR="00D9037A" w:rsidRPr="00184768" w14:paraId="457D36A7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4D785A93" w14:textId="738D73F4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Education about all treatment options*</w:t>
            </w:r>
          </w:p>
        </w:tc>
        <w:tc>
          <w:tcPr>
            <w:tcW w:w="2573" w:type="dxa"/>
          </w:tcPr>
          <w:p w14:paraId="1D37A0E1" w14:textId="2D13B7A4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50%</w:t>
            </w:r>
          </w:p>
        </w:tc>
        <w:tc>
          <w:tcPr>
            <w:tcW w:w="2574" w:type="dxa"/>
          </w:tcPr>
          <w:p w14:paraId="7A23ABA8" w14:textId="265C2F5E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</w:tr>
      <w:tr w:rsidR="00D9037A" w:rsidRPr="00184768" w14:paraId="2F0184EA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46F1E74F" w14:textId="40D26E18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Planned treatment options*</w:t>
            </w:r>
            <w:r w:rsidRPr="00184768">
              <w:rPr>
                <w:sz w:val="20"/>
                <w:szCs w:val="20"/>
              </w:rPr>
              <w:tab/>
            </w:r>
          </w:p>
        </w:tc>
        <w:tc>
          <w:tcPr>
            <w:tcW w:w="2573" w:type="dxa"/>
          </w:tcPr>
          <w:p w14:paraId="49439C70" w14:textId="3991DFFF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40%</w:t>
            </w:r>
          </w:p>
        </w:tc>
        <w:tc>
          <w:tcPr>
            <w:tcW w:w="2574" w:type="dxa"/>
          </w:tcPr>
          <w:p w14:paraId="41D54D41" w14:textId="3970165A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50%</w:t>
            </w:r>
          </w:p>
        </w:tc>
      </w:tr>
      <w:tr w:rsidR="00D9037A" w:rsidRPr="00184768" w14:paraId="515BC7B4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36B58853" w14:textId="0481B8D3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Risks and complications*</w:t>
            </w:r>
          </w:p>
        </w:tc>
        <w:tc>
          <w:tcPr>
            <w:tcW w:w="2573" w:type="dxa"/>
          </w:tcPr>
          <w:p w14:paraId="6D3BA6C0" w14:textId="5BDC6389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60%</w:t>
            </w:r>
          </w:p>
        </w:tc>
        <w:tc>
          <w:tcPr>
            <w:tcW w:w="2574" w:type="dxa"/>
          </w:tcPr>
          <w:p w14:paraId="24790259" w14:textId="6C961879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</w:tr>
      <w:tr w:rsidR="00D9037A" w:rsidRPr="00184768" w14:paraId="2E4961AD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73365A0C" w14:textId="3C63C82C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 xml:space="preserve">Rights and responsibilities </w:t>
            </w:r>
            <w:r w:rsidRPr="00184768">
              <w:rPr>
                <w:sz w:val="20"/>
                <w:szCs w:val="20"/>
              </w:rPr>
              <w:tab/>
            </w:r>
          </w:p>
        </w:tc>
        <w:tc>
          <w:tcPr>
            <w:tcW w:w="2573" w:type="dxa"/>
          </w:tcPr>
          <w:p w14:paraId="07296F94" w14:textId="271CB91D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  <w:tc>
          <w:tcPr>
            <w:tcW w:w="2574" w:type="dxa"/>
          </w:tcPr>
          <w:p w14:paraId="5BAA45EC" w14:textId="23977248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</w:tr>
      <w:tr w:rsidR="00D9037A" w:rsidRPr="00184768" w14:paraId="4D2FEBA0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023FC1A5" w14:textId="4B39AB18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 xml:space="preserve">Regular investigations and monitoring for infection </w:t>
            </w:r>
          </w:p>
        </w:tc>
        <w:tc>
          <w:tcPr>
            <w:tcW w:w="2573" w:type="dxa"/>
          </w:tcPr>
          <w:p w14:paraId="62F49222" w14:textId="18434FB9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  <w:tc>
          <w:tcPr>
            <w:tcW w:w="2574" w:type="dxa"/>
          </w:tcPr>
          <w:p w14:paraId="5B970F39" w14:textId="79B48978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</w:tr>
      <w:tr w:rsidR="00D9037A" w:rsidRPr="00184768" w14:paraId="200D200A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114A21E3" w14:textId="4C1C7462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ANZDATA registry*</w:t>
            </w:r>
          </w:p>
        </w:tc>
        <w:tc>
          <w:tcPr>
            <w:tcW w:w="2573" w:type="dxa"/>
          </w:tcPr>
          <w:p w14:paraId="6402B709" w14:textId="41C09523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40%</w:t>
            </w:r>
          </w:p>
        </w:tc>
        <w:tc>
          <w:tcPr>
            <w:tcW w:w="2574" w:type="dxa"/>
          </w:tcPr>
          <w:p w14:paraId="5734CF9A" w14:textId="2167DD64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60%</w:t>
            </w:r>
          </w:p>
        </w:tc>
      </w:tr>
      <w:tr w:rsidR="00D9037A" w:rsidRPr="00184768" w14:paraId="56582C45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1637BF9E" w14:textId="660F942E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Communication of clinical information*</w:t>
            </w:r>
          </w:p>
        </w:tc>
        <w:tc>
          <w:tcPr>
            <w:tcW w:w="2573" w:type="dxa"/>
          </w:tcPr>
          <w:p w14:paraId="73BEC0E0" w14:textId="1386A08C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60%</w:t>
            </w:r>
          </w:p>
        </w:tc>
        <w:tc>
          <w:tcPr>
            <w:tcW w:w="2574" w:type="dxa"/>
          </w:tcPr>
          <w:p w14:paraId="77FA3F38" w14:textId="317E9A0B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80%</w:t>
            </w:r>
          </w:p>
        </w:tc>
      </w:tr>
      <w:tr w:rsidR="00D9037A" w:rsidRPr="00184768" w14:paraId="38CA1748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2BFE12E3" w14:textId="69A7348B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 xml:space="preserve">Modality change* </w:t>
            </w:r>
            <w:r w:rsidRPr="00184768">
              <w:rPr>
                <w:sz w:val="20"/>
                <w:szCs w:val="20"/>
              </w:rPr>
              <w:tab/>
            </w:r>
          </w:p>
        </w:tc>
        <w:tc>
          <w:tcPr>
            <w:tcW w:w="2573" w:type="dxa"/>
          </w:tcPr>
          <w:p w14:paraId="4D275C8A" w14:textId="4ED91EEB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40%</w:t>
            </w:r>
          </w:p>
        </w:tc>
        <w:tc>
          <w:tcPr>
            <w:tcW w:w="2574" w:type="dxa"/>
          </w:tcPr>
          <w:p w14:paraId="7A15FE4F" w14:textId="07AC0683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50%</w:t>
            </w:r>
          </w:p>
        </w:tc>
      </w:tr>
      <w:tr w:rsidR="00D9037A" w:rsidRPr="00184768" w14:paraId="3077041A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6EE8AA70" w14:textId="0AC08C54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Stopping treatment*</w:t>
            </w:r>
          </w:p>
        </w:tc>
        <w:tc>
          <w:tcPr>
            <w:tcW w:w="2573" w:type="dxa"/>
          </w:tcPr>
          <w:p w14:paraId="6EDF8292" w14:textId="1B834DF8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50%</w:t>
            </w:r>
          </w:p>
        </w:tc>
        <w:tc>
          <w:tcPr>
            <w:tcW w:w="2574" w:type="dxa"/>
          </w:tcPr>
          <w:p w14:paraId="0FA10CDC" w14:textId="675AD963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</w:tr>
      <w:tr w:rsidR="00D9037A" w:rsidRPr="00184768" w14:paraId="21965EBD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60E52B6A" w14:textId="71207FF4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 xml:space="preserve">Advanced care planning and goals of care* </w:t>
            </w:r>
            <w:r w:rsidRPr="00184768">
              <w:rPr>
                <w:sz w:val="20"/>
                <w:szCs w:val="20"/>
              </w:rPr>
              <w:tab/>
            </w:r>
          </w:p>
        </w:tc>
        <w:tc>
          <w:tcPr>
            <w:tcW w:w="2573" w:type="dxa"/>
          </w:tcPr>
          <w:p w14:paraId="52BF76C5" w14:textId="10C79306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10%</w:t>
            </w:r>
          </w:p>
        </w:tc>
        <w:tc>
          <w:tcPr>
            <w:tcW w:w="2574" w:type="dxa"/>
          </w:tcPr>
          <w:p w14:paraId="163C47AC" w14:textId="6EB3738B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40%</w:t>
            </w:r>
          </w:p>
        </w:tc>
      </w:tr>
      <w:tr w:rsidR="00D9037A" w:rsidRPr="00184768" w14:paraId="13A2FC79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20BD368E" w14:textId="06D99580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Signed written informed consent*</w:t>
            </w:r>
          </w:p>
        </w:tc>
        <w:tc>
          <w:tcPr>
            <w:tcW w:w="2573" w:type="dxa"/>
          </w:tcPr>
          <w:p w14:paraId="15E29A6A" w14:textId="0BB765D5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  <w:tc>
          <w:tcPr>
            <w:tcW w:w="2574" w:type="dxa"/>
          </w:tcPr>
          <w:p w14:paraId="314A8A28" w14:textId="6609873E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80%</w:t>
            </w:r>
          </w:p>
        </w:tc>
      </w:tr>
      <w:tr w:rsidR="00D9037A" w:rsidRPr="00184768" w14:paraId="58195D75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6EBC5C8F" w14:textId="54881792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Confirmation of written informed consent*</w:t>
            </w:r>
            <w:r w:rsidRPr="00184768">
              <w:rPr>
                <w:sz w:val="20"/>
                <w:szCs w:val="20"/>
              </w:rPr>
              <w:tab/>
            </w:r>
          </w:p>
        </w:tc>
        <w:tc>
          <w:tcPr>
            <w:tcW w:w="2573" w:type="dxa"/>
          </w:tcPr>
          <w:p w14:paraId="4B37D967" w14:textId="18634260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50%</w:t>
            </w:r>
          </w:p>
        </w:tc>
        <w:tc>
          <w:tcPr>
            <w:tcW w:w="2574" w:type="dxa"/>
          </w:tcPr>
          <w:p w14:paraId="389C1D35" w14:textId="655F6A36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</w:tr>
      <w:tr w:rsidR="00D9037A" w:rsidRPr="00184768" w14:paraId="4960C76A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60233E39" w14:textId="1647B5E4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Capacity and understanding*</w:t>
            </w:r>
          </w:p>
        </w:tc>
        <w:tc>
          <w:tcPr>
            <w:tcW w:w="2573" w:type="dxa"/>
          </w:tcPr>
          <w:p w14:paraId="4317000D" w14:textId="7CFEBDE8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  <w:r w:rsidRPr="00184768">
              <w:rPr>
                <w:sz w:val="20"/>
                <w:szCs w:val="20"/>
              </w:rPr>
              <w:tab/>
            </w:r>
          </w:p>
        </w:tc>
        <w:tc>
          <w:tcPr>
            <w:tcW w:w="2574" w:type="dxa"/>
          </w:tcPr>
          <w:p w14:paraId="6469C96A" w14:textId="35F632A0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80%</w:t>
            </w:r>
          </w:p>
        </w:tc>
      </w:tr>
      <w:tr w:rsidR="00D9037A" w:rsidRPr="00184768" w14:paraId="3EA11C3F" w14:textId="77777777" w:rsidTr="00DF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20CF1A88" w14:textId="768A74E1" w:rsidR="00D9037A" w:rsidRPr="00184768" w:rsidRDefault="00D9037A" w:rsidP="00184768">
            <w:pPr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Interpreter use*</w:t>
            </w:r>
            <w:r w:rsidRPr="00184768">
              <w:rPr>
                <w:sz w:val="20"/>
                <w:szCs w:val="20"/>
              </w:rPr>
              <w:tab/>
            </w:r>
            <w:r w:rsidRPr="00184768">
              <w:rPr>
                <w:sz w:val="20"/>
                <w:szCs w:val="20"/>
              </w:rPr>
              <w:tab/>
            </w:r>
          </w:p>
        </w:tc>
        <w:tc>
          <w:tcPr>
            <w:tcW w:w="2573" w:type="dxa"/>
          </w:tcPr>
          <w:p w14:paraId="443991E6" w14:textId="38B2D6FF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50%</w:t>
            </w:r>
          </w:p>
        </w:tc>
        <w:tc>
          <w:tcPr>
            <w:tcW w:w="2574" w:type="dxa"/>
          </w:tcPr>
          <w:p w14:paraId="6F9EEAC3" w14:textId="72A4CA68" w:rsidR="00D9037A" w:rsidRPr="00184768" w:rsidRDefault="00D9037A" w:rsidP="0018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4768">
              <w:rPr>
                <w:sz w:val="20"/>
                <w:szCs w:val="20"/>
              </w:rPr>
              <w:t>70%</w:t>
            </w:r>
          </w:p>
        </w:tc>
      </w:tr>
    </w:tbl>
    <w:tbl>
      <w:tblPr>
        <w:tblStyle w:val="SCVInformationTable"/>
        <w:tblpPr w:leftFromText="181" w:rightFromText="181" w:vertAnchor="page" w:horzAnchor="page" w:tblpX="738" w:tblpY="14176"/>
        <w:tblW w:w="10433" w:type="dxa"/>
        <w:shd w:val="clear" w:color="auto" w:fill="F2F2F3"/>
        <w:tblLook w:val="0600" w:firstRow="0" w:lastRow="0" w:firstColumn="0" w:lastColumn="0" w:noHBand="1" w:noVBand="1"/>
      </w:tblPr>
      <w:tblGrid>
        <w:gridCol w:w="3515"/>
        <w:gridCol w:w="4565"/>
        <w:gridCol w:w="2353"/>
      </w:tblGrid>
      <w:sdt>
        <w:sdtPr>
          <w:rPr>
            <w:sz w:val="20"/>
          </w:rPr>
          <w:id w:val="-967040995"/>
          <w:placeholder>
            <w:docPart w:val="7CAB4EC7D5D24B488B84347C877F6779"/>
          </w:placeholder>
        </w:sdtPr>
        <w:sdtEndPr/>
        <w:sdtContent>
          <w:tr w:rsidR="00F97B5F" w:rsidRPr="00184768" w14:paraId="338D1033" w14:textId="77777777" w:rsidTr="00184768">
            <w:trPr>
              <w:trHeight w:val="1644"/>
            </w:trPr>
            <w:tc>
              <w:tcPr>
                <w:tcW w:w="3515" w:type="dxa"/>
                <w:tcMar>
                  <w:left w:w="113" w:type="dxa"/>
                </w:tcMar>
              </w:tcPr>
              <w:p w14:paraId="65C0B521" w14:textId="71E7AD8E" w:rsidR="00F97B5F" w:rsidRPr="00184768" w:rsidRDefault="00F97B5F" w:rsidP="00184768">
                <w:pPr>
                  <w:rPr>
                    <w:sz w:val="20"/>
                  </w:rPr>
                </w:pPr>
                <w:r w:rsidRPr="00184768">
                  <w:rPr>
                    <w:sz w:val="24"/>
                    <w:szCs w:val="24"/>
                  </w:rPr>
                  <w:t xml:space="preserve">To receive this publication in an accessible format phone 9096 1384, using the National Relay Service 13 36 77 if required, or email </w:t>
                </w:r>
                <w:r w:rsidRPr="00184768">
                  <w:rPr>
                    <w:b/>
                    <w:sz w:val="24"/>
                    <w:szCs w:val="24"/>
                  </w:rPr>
                  <w:t>info@safercare.vic.gov.au</w:t>
                </w:r>
              </w:p>
            </w:tc>
            <w:tc>
              <w:tcPr>
                <w:tcW w:w="4565" w:type="dxa"/>
              </w:tcPr>
              <w:p w14:paraId="2CF1A0E9" w14:textId="77777777" w:rsidR="00F97B5F" w:rsidRPr="00184768" w:rsidRDefault="00F97B5F" w:rsidP="00184768">
                <w:pPr>
                  <w:rPr>
                    <w:sz w:val="20"/>
                  </w:rPr>
                </w:pPr>
                <w:r w:rsidRPr="00184768">
                  <w:rPr>
                    <w:sz w:val="20"/>
                  </w:rPr>
                  <w:t xml:space="preserve">Authorised and published by the Victorian Government, 1 Treasury </w:t>
                </w:r>
                <w:r w:rsidRPr="00184768">
                  <w:rPr>
                    <w:sz w:val="20"/>
                  </w:rPr>
                  <w:br/>
                  <w:t>Place, Melbourne.</w:t>
                </w:r>
              </w:p>
              <w:p w14:paraId="4CB6D007" w14:textId="0EAEB3E8" w:rsidR="00F97B5F" w:rsidRPr="00184768" w:rsidRDefault="00F97B5F" w:rsidP="00184768">
                <w:pPr>
                  <w:rPr>
                    <w:sz w:val="20"/>
                  </w:rPr>
                </w:pPr>
                <w:r w:rsidRPr="00184768">
                  <w:rPr>
                    <w:sz w:val="20"/>
                  </w:rPr>
                  <w:t>© State of Victoria, Australia, Safer Care Victoria, May 2020</w:t>
                </w:r>
              </w:p>
              <w:p w14:paraId="299A4428" w14:textId="77777777" w:rsidR="00184768" w:rsidRDefault="001C1EE4" w:rsidP="00184768">
                <w:pPr>
                  <w:rPr>
                    <w:sz w:val="20"/>
                  </w:rPr>
                </w:pPr>
                <w:r w:rsidRPr="00184768">
                  <w:rPr>
                    <w:sz w:val="20"/>
                  </w:rPr>
                  <w:t xml:space="preserve">ISBN 978-1-76069-418-0 (pdf/online/MS word) </w:t>
                </w:r>
              </w:p>
              <w:p w14:paraId="638A9215" w14:textId="61F9074F" w:rsidR="00F97B5F" w:rsidRPr="00184768" w:rsidRDefault="00F97B5F" w:rsidP="00184768">
                <w:pPr>
                  <w:rPr>
                    <w:sz w:val="20"/>
                  </w:rPr>
                </w:pPr>
                <w:r w:rsidRPr="00184768">
                  <w:rPr>
                    <w:sz w:val="20"/>
                  </w:rPr>
                  <w:t xml:space="preserve">Available at </w:t>
                </w:r>
                <w:hyperlink r:id="rId11" w:history="1">
                  <w:r w:rsidRPr="00184768">
                    <w:rPr>
                      <w:rStyle w:val="Hyperlink"/>
                      <w:sz w:val="20"/>
                    </w:rPr>
                    <w:t>www.safercare.vic</w:t>
                  </w:r>
                </w:hyperlink>
                <w:r w:rsidRPr="00184768">
                  <w:rPr>
                    <w:rStyle w:val="Hyperlink"/>
                    <w:sz w:val="20"/>
                  </w:rPr>
                  <w:t>.gov.au</w:t>
                </w:r>
              </w:p>
            </w:tc>
            <w:tc>
              <w:tcPr>
                <w:tcW w:w="2353" w:type="dxa"/>
              </w:tcPr>
              <w:p w14:paraId="56130AAA" w14:textId="77777777" w:rsidR="00F97B5F" w:rsidRPr="00184768" w:rsidRDefault="00F97B5F" w:rsidP="00184768">
                <w:pPr>
                  <w:rPr>
                    <w:sz w:val="20"/>
                  </w:rPr>
                </w:pPr>
                <w:r w:rsidRPr="00184768">
                  <w:rPr>
                    <w:noProof/>
                  </w:rPr>
                  <w:drawing>
                    <wp:inline distT="0" distB="0" distL="0" distR="0" wp14:anchorId="45B33258" wp14:editId="2DE01427">
                      <wp:extent cx="972000" cy="558000"/>
                      <wp:effectExtent l="0" t="0" r="0" b="0"/>
                      <wp:docPr id="9" name="Picture 9" descr="Vic Gov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3F77EC7B" w14:textId="4F8824E6" w:rsidR="001C1EE4" w:rsidRPr="001C1EE4" w:rsidRDefault="005F0C67" w:rsidP="00184768">
      <w:r w:rsidRPr="005F0C67">
        <w:t>*Standard where improvement in inclusion was seen</w:t>
      </w:r>
    </w:p>
    <w:sectPr w:rsidR="001C1EE4" w:rsidRPr="001C1EE4" w:rsidSect="00663D4D">
      <w:footerReference w:type="default" r:id="rId13"/>
      <w:headerReference w:type="first" r:id="rId14"/>
      <w:type w:val="continuous"/>
      <w:pgSz w:w="11906" w:h="16838" w:code="9"/>
      <w:pgMar w:top="2438" w:right="1021" w:bottom="1021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235DC" w14:textId="77777777" w:rsidR="00B86F4A" w:rsidRDefault="00B86F4A" w:rsidP="00184768">
      <w:r>
        <w:separator/>
      </w:r>
    </w:p>
  </w:endnote>
  <w:endnote w:type="continuationSeparator" w:id="0">
    <w:p w14:paraId="6DFD248C" w14:textId="77777777" w:rsidR="00B86F4A" w:rsidRDefault="00B86F4A" w:rsidP="0018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1858" w14:textId="77777777" w:rsidR="00663D4D" w:rsidRDefault="00663D4D" w:rsidP="00184768">
    <w:pPr>
      <w:pStyle w:val="Footer"/>
    </w:pPr>
  </w:p>
  <w:p w14:paraId="7383A302" w14:textId="77777777" w:rsidR="00663D4D" w:rsidRPr="00663D4D" w:rsidRDefault="00242944" w:rsidP="00184768">
    <w:pPr>
      <w:pStyle w:val="Footer"/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3D4D" w:rsidRPr="00663D4D">
          <w:rPr>
            <w:noProof w:val="0"/>
          </w:rPr>
          <w:fldChar w:fldCharType="begin"/>
        </w:r>
        <w:r w:rsidR="00663D4D" w:rsidRPr="00663D4D">
          <w:instrText xml:space="preserve"> PAGE   \* MERGEFORMAT </w:instrText>
        </w:r>
        <w:r w:rsidR="00663D4D" w:rsidRPr="00663D4D">
          <w:rPr>
            <w:noProof w:val="0"/>
          </w:rPr>
          <w:fldChar w:fldCharType="separate"/>
        </w:r>
        <w:r w:rsidR="007E6EF5">
          <w:t>2</w:t>
        </w:r>
        <w:r w:rsidR="00663D4D" w:rsidRPr="00663D4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71D05" w14:textId="77777777" w:rsidR="00B86F4A" w:rsidRDefault="00B86F4A" w:rsidP="00184768"/>
  </w:footnote>
  <w:footnote w:type="continuationSeparator" w:id="0">
    <w:p w14:paraId="03B3506E" w14:textId="77777777" w:rsidR="00B86F4A" w:rsidRDefault="00B86F4A" w:rsidP="00184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8A69" w14:textId="77777777" w:rsidR="000905F7" w:rsidRDefault="000905F7" w:rsidP="0018476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7B4B4D" wp14:editId="75C200E1">
          <wp:simplePos x="0" y="0"/>
          <wp:positionH relativeFrom="page">
            <wp:posOffset>180975</wp:posOffset>
          </wp:positionH>
          <wp:positionV relativeFrom="page">
            <wp:posOffset>9525</wp:posOffset>
          </wp:positionV>
          <wp:extent cx="1522800" cy="1206000"/>
          <wp:effectExtent l="0" t="0" r="1270" b="0"/>
          <wp:wrapNone/>
          <wp:docPr id="2" name="Picture 2" descr="SCV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810"/>
    <w:multiLevelType w:val="hybridMultilevel"/>
    <w:tmpl w:val="0466260E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30C27"/>
    <w:multiLevelType w:val="hybridMultilevel"/>
    <w:tmpl w:val="B128D02E"/>
    <w:lvl w:ilvl="0" w:tplc="57E6A6AC">
      <w:numFmt w:val="bullet"/>
      <w:lvlText w:val="•"/>
      <w:lvlJc w:val="left"/>
      <w:pPr>
        <w:ind w:left="720" w:hanging="720"/>
      </w:pPr>
      <w:rPr>
        <w:rFonts w:ascii="VIC" w:eastAsiaTheme="minorEastAsia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93A12AA"/>
    <w:multiLevelType w:val="multilevel"/>
    <w:tmpl w:val="7802682C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54685D04"/>
    <w:multiLevelType w:val="hybridMultilevel"/>
    <w:tmpl w:val="6A801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9405E"/>
    <w:multiLevelType w:val="hybridMultilevel"/>
    <w:tmpl w:val="80468F62"/>
    <w:lvl w:ilvl="0" w:tplc="57E6A6AC">
      <w:numFmt w:val="bullet"/>
      <w:lvlText w:val="•"/>
      <w:lvlJc w:val="left"/>
      <w:pPr>
        <w:ind w:left="720" w:hanging="720"/>
      </w:pPr>
      <w:rPr>
        <w:rFonts w:ascii="VIC" w:eastAsiaTheme="minorEastAsia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9F5655"/>
    <w:multiLevelType w:val="multilevel"/>
    <w:tmpl w:val="AB64A84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abstractNum w:abstractNumId="11" w15:restartNumberingAfterBreak="0">
    <w:nsid w:val="62192978"/>
    <w:multiLevelType w:val="hybridMultilevel"/>
    <w:tmpl w:val="347268D2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9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6F4A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C12"/>
    <w:rsid w:val="00087D42"/>
    <w:rsid w:val="000905F7"/>
    <w:rsid w:val="000B29AD"/>
    <w:rsid w:val="000C1046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5E66"/>
    <w:rsid w:val="00184768"/>
    <w:rsid w:val="00196143"/>
    <w:rsid w:val="001A24FC"/>
    <w:rsid w:val="001C1EE4"/>
    <w:rsid w:val="001C6993"/>
    <w:rsid w:val="001C7BAE"/>
    <w:rsid w:val="001E18CD"/>
    <w:rsid w:val="001E31FA"/>
    <w:rsid w:val="001E48F9"/>
    <w:rsid w:val="001E64F6"/>
    <w:rsid w:val="001E7AEB"/>
    <w:rsid w:val="001F3F3C"/>
    <w:rsid w:val="00204B82"/>
    <w:rsid w:val="00212987"/>
    <w:rsid w:val="00222BEB"/>
    <w:rsid w:val="00225E60"/>
    <w:rsid w:val="00230BBB"/>
    <w:rsid w:val="0023202C"/>
    <w:rsid w:val="00234619"/>
    <w:rsid w:val="00235BE2"/>
    <w:rsid w:val="00242944"/>
    <w:rsid w:val="00245043"/>
    <w:rsid w:val="0026028E"/>
    <w:rsid w:val="00284FA2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1149C"/>
    <w:rsid w:val="0036778F"/>
    <w:rsid w:val="0038771C"/>
    <w:rsid w:val="00391919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D6D95"/>
    <w:rsid w:val="004F3F4E"/>
    <w:rsid w:val="00510167"/>
    <w:rsid w:val="00513E86"/>
    <w:rsid w:val="005306A2"/>
    <w:rsid w:val="0053416C"/>
    <w:rsid w:val="00541C2F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0C67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D6829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345A1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C154D"/>
    <w:rsid w:val="008C2C15"/>
    <w:rsid w:val="008D0281"/>
    <w:rsid w:val="008E2348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92D94"/>
    <w:rsid w:val="00AA26B8"/>
    <w:rsid w:val="00AC0B87"/>
    <w:rsid w:val="00AC2624"/>
    <w:rsid w:val="00AC32A8"/>
    <w:rsid w:val="00AD7E4E"/>
    <w:rsid w:val="00AF4D58"/>
    <w:rsid w:val="00AF6666"/>
    <w:rsid w:val="00AF7BC5"/>
    <w:rsid w:val="00B81B44"/>
    <w:rsid w:val="00B83968"/>
    <w:rsid w:val="00B86F4A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D0307"/>
    <w:rsid w:val="00CD3C79"/>
    <w:rsid w:val="00CD3D1B"/>
    <w:rsid w:val="00D02663"/>
    <w:rsid w:val="00D0633E"/>
    <w:rsid w:val="00D124BF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37A"/>
    <w:rsid w:val="00D90688"/>
    <w:rsid w:val="00DA3AAD"/>
    <w:rsid w:val="00DA3F36"/>
    <w:rsid w:val="00DB312B"/>
    <w:rsid w:val="00DC5654"/>
    <w:rsid w:val="00DC658F"/>
    <w:rsid w:val="00DC674A"/>
    <w:rsid w:val="00DE60CC"/>
    <w:rsid w:val="00DF6464"/>
    <w:rsid w:val="00E03F35"/>
    <w:rsid w:val="00E131C8"/>
    <w:rsid w:val="00E26B32"/>
    <w:rsid w:val="00E31CD4"/>
    <w:rsid w:val="00E31E60"/>
    <w:rsid w:val="00E33659"/>
    <w:rsid w:val="00E33E08"/>
    <w:rsid w:val="00E407B6"/>
    <w:rsid w:val="00E41EF1"/>
    <w:rsid w:val="00E42942"/>
    <w:rsid w:val="00E64600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250C"/>
    <w:rsid w:val="00F64F08"/>
    <w:rsid w:val="00F70055"/>
    <w:rsid w:val="00F734F5"/>
    <w:rsid w:val="00F73B5B"/>
    <w:rsid w:val="00F90EA5"/>
    <w:rsid w:val="00F91F5A"/>
    <w:rsid w:val="00F966B1"/>
    <w:rsid w:val="00F97B5F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5520DC"/>
  <w15:docId w15:val="{7B86A22D-5DA8-4960-8E12-BE45D303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184768"/>
    <w:rPr>
      <w:rFonts w:cstheme="minorHAnsi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184768"/>
    <w:pPr>
      <w:keepNext/>
      <w:keepLines/>
      <w:spacing w:before="280" w:after="60" w:line="240" w:lineRule="auto"/>
      <w:outlineLvl w:val="1"/>
    </w:pPr>
    <w:rPr>
      <w:rFonts w:eastAsiaTheme="majorEastAsia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DF6464"/>
    <w:rPr>
      <w:color w:val="007586" w:themeColor="text2"/>
      <w:u w:val="singl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184768"/>
    <w:rPr>
      <w:rFonts w:eastAsiaTheme="majorEastAsia" w:cstheme="minorHAns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184768"/>
    <w:pPr>
      <w:numPr>
        <w:numId w:val="9"/>
      </w:numPr>
      <w:spacing w:before="60" w:after="60"/>
    </w:pPr>
    <w:rPr>
      <w:rFonts w:eastAsia="Times New Roman" w:cstheme="minorHAns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184768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eastAsia="Times New Roman" w:cstheme="min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184768"/>
    <w:rPr>
      <w:rFonts w:eastAsia="Times New Roman" w:cstheme="min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DF6464"/>
    <w:pPr>
      <w:keepNext/>
      <w:keepLines/>
      <w:spacing w:before="0" w:after="0" w:line="260" w:lineRule="atLeast"/>
    </w:pPr>
    <w:rPr>
      <w:rFonts w:ascii="VIC SemiBold" w:eastAsiaTheme="minorHAnsi" w:hAnsi="VIC SemiBold"/>
      <w:bCs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184768"/>
    <w:pPr>
      <w:tabs>
        <w:tab w:val="left" w:pos="1080"/>
      </w:tabs>
      <w:spacing w:before="280" w:after="210" w:line="260" w:lineRule="atLeast"/>
    </w:pPr>
    <w:rPr>
      <w:rFonts w:cstheme="minorHAnsi"/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184768"/>
    <w:pPr>
      <w:spacing w:before="280" w:after="60"/>
    </w:pPr>
    <w:rPr>
      <w:bCs/>
      <w:color w:val="007586" w:themeColor="text2"/>
      <w:sz w:val="22"/>
      <w:szCs w:val="2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184768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184768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6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tersafercare.vic.gov.au/resources/tools/getting-informed-consent-for-maintenance-dialysi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rcare.vi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ttersafercare.vic.gov.au/resources/tools/getting-informed-consent-for-maintenance-dialy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ttersafercare.vic.gov.au/resources/tools/getting-informed-consent-for-maintenance-dialysi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1.%20Templates\1.%20Safer%20Care%20Victoria\Blank_Portrait_Colo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A1F39FBF2046619A03DF957E58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8923-6E19-47F9-B095-C4DAE24B67CB}"/>
      </w:docPartPr>
      <w:docPartBody>
        <w:p w:rsidR="007461EC" w:rsidRDefault="00056615">
          <w:pPr>
            <w:pStyle w:val="7FA1F39FBF2046619A03DF957E5898F6"/>
          </w:pPr>
          <w:r w:rsidRPr="00803789">
            <w:rPr>
              <w:rStyle w:val="PlaceholderText"/>
            </w:rPr>
            <w:t>[Title]</w:t>
          </w:r>
        </w:p>
      </w:docPartBody>
    </w:docPart>
    <w:docPart>
      <w:docPartPr>
        <w:name w:val="7CAB4EC7D5D24B488B84347C877F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7CF0-D273-4977-B696-34C7AA384628}"/>
      </w:docPartPr>
      <w:docPartBody>
        <w:p w:rsidR="007461EC" w:rsidRDefault="00056615" w:rsidP="00056615">
          <w:pPr>
            <w:pStyle w:val="7CAB4EC7D5D24B488B84347C877F6779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15"/>
    <w:rsid w:val="00056615"/>
    <w:rsid w:val="007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7461EC"/>
    <w:rPr>
      <w:color w:val="808080"/>
    </w:rPr>
  </w:style>
  <w:style w:type="paragraph" w:customStyle="1" w:styleId="7FA1F39FBF2046619A03DF957E5898F6">
    <w:name w:val="7FA1F39FBF2046619A03DF957E5898F6"/>
  </w:style>
  <w:style w:type="paragraph" w:customStyle="1" w:styleId="5C7C5A7505D949F58A2DC4C65A9FDEAF">
    <w:name w:val="5C7C5A7505D949F58A2DC4C65A9FDEAF"/>
    <w:rsid w:val="00056615"/>
  </w:style>
  <w:style w:type="paragraph" w:customStyle="1" w:styleId="DD6727EABFA7409BB94162959A8A488E">
    <w:name w:val="DD6727EABFA7409BB94162959A8A488E"/>
    <w:rsid w:val="00056615"/>
  </w:style>
  <w:style w:type="paragraph" w:customStyle="1" w:styleId="7CAB4EC7D5D24B488B84347C877F6779">
    <w:name w:val="7CAB4EC7D5D24B488B84347C877F6779"/>
    <w:rsid w:val="00056615"/>
  </w:style>
  <w:style w:type="paragraph" w:customStyle="1" w:styleId="8188D42ED4B34ECF97CD1006BBCAF298">
    <w:name w:val="8188D42ED4B34ECF97CD1006BBCAF298"/>
    <w:rsid w:val="00746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1409-1DC7-472E-B7E1-DDE5B5DD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Blank_Portrait_Colour.dotx</Template>
  <TotalTime>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renal patient provider communication</vt:lpstr>
    </vt:vector>
  </TitlesOfParts>
  <Company>Department of Treasury and Finance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renal patient provider communication</dc:title>
  <dc:creator>Emma Gumbleton (DHHS)</dc:creator>
  <cp:lastModifiedBy>Emma Gumbleton (DHHS)</cp:lastModifiedBy>
  <cp:revision>4</cp:revision>
  <cp:lastPrinted>2020-05-26T04:24:00Z</cp:lastPrinted>
  <dcterms:created xsi:type="dcterms:W3CDTF">2020-05-26T04:28:00Z</dcterms:created>
  <dcterms:modified xsi:type="dcterms:W3CDTF">2020-06-26T00:51:00Z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iteId">
    <vt:lpwstr>c0e0601f-0fac-449c-9c88-a104c4eb9f28</vt:lpwstr>
  </property>
  <property fmtid="{D5CDD505-2E9C-101B-9397-08002B2CF9AE}" pid="6" name="MSIP_Label_efdf5488-3066-4b6c-8fea-9472b8a1f34c_Owner">
    <vt:lpwstr>Emma.Gumbleton@safercare.vic.gov.au</vt:lpwstr>
  </property>
  <property fmtid="{D5CDD505-2E9C-101B-9397-08002B2CF9AE}" pid="7" name="MSIP_Label_efdf5488-3066-4b6c-8fea-9472b8a1f34c_SetDate">
    <vt:lpwstr>2020-05-11T02:14:09.2174739Z</vt:lpwstr>
  </property>
  <property fmtid="{D5CDD505-2E9C-101B-9397-08002B2CF9AE}" pid="8" name="MSIP_Label_efdf5488-3066-4b6c-8fea-9472b8a1f34c_Name">
    <vt:lpwstr>DO NOT MARK</vt:lpwstr>
  </property>
  <property fmtid="{D5CDD505-2E9C-101B-9397-08002B2CF9AE}" pid="9" name="MSIP_Label_efdf5488-3066-4b6c-8fea-9472b8a1f34c_Application">
    <vt:lpwstr>Microsoft Azure Information Protection</vt:lpwstr>
  </property>
  <property fmtid="{D5CDD505-2E9C-101B-9397-08002B2CF9AE}" pid="10" name="MSIP_Label_efdf5488-3066-4b6c-8fea-9472b8a1f34c_ActionId">
    <vt:lpwstr>3a4d3ddc-14a6-49a2-911d-8801601a6efa</vt:lpwstr>
  </property>
  <property fmtid="{D5CDD505-2E9C-101B-9397-08002B2CF9AE}" pid="11" name="MSIP_Label_efdf5488-3066-4b6c-8fea-9472b8a1f34c_Extended_MSFT_Method">
    <vt:lpwstr>Manual</vt:lpwstr>
  </property>
  <property fmtid="{D5CDD505-2E9C-101B-9397-08002B2CF9AE}" pid="12" name="Sensitivity">
    <vt:lpwstr>DO NOT MARK</vt:lpwstr>
  </property>
</Properties>
</file>