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797B38F1" w14:textId="77777777" w:rsidTr="0050356B">
        <w:trPr>
          <w:trHeight w:val="57"/>
        </w:trPr>
        <w:tc>
          <w:tcPr>
            <w:tcW w:w="6804" w:type="dxa"/>
            <w:shd w:val="clear" w:color="auto" w:fill="auto"/>
            <w:tcMar>
              <w:top w:w="312" w:type="dxa"/>
            </w:tcMar>
          </w:tcPr>
          <w:p w14:paraId="0A9461DE" w14:textId="77777777" w:rsidR="0050356B" w:rsidRPr="000438D0" w:rsidRDefault="00C37AB3" w:rsidP="00D535F9">
            <w:pPr>
              <w:pStyle w:val="Date"/>
              <w:framePr w:hSpace="0" w:wrap="auto" w:vAnchor="margin" w:hAnchor="text" w:xAlign="left" w:yAlign="inline"/>
              <w:suppressOverlap w:val="0"/>
            </w:pPr>
            <w:r w:rsidRPr="000438D0">
              <w:t>July 2020</w:t>
            </w:r>
          </w:p>
        </w:tc>
      </w:tr>
      <w:tr w:rsidR="00A46288" w14:paraId="68AD1F6F" w14:textId="77777777" w:rsidTr="0050356B">
        <w:trPr>
          <w:trHeight w:val="2948"/>
        </w:trPr>
        <w:tc>
          <w:tcPr>
            <w:tcW w:w="6804" w:type="dxa"/>
            <w:shd w:val="clear" w:color="auto" w:fill="auto"/>
            <w:tcMar>
              <w:top w:w="312" w:type="dxa"/>
            </w:tcMar>
          </w:tcPr>
          <w:sdt>
            <w:sdtPr>
              <w:alias w:val="Title"/>
              <w:tag w:val=""/>
              <w:id w:val="-1484688983"/>
              <w:placeholder>
                <w:docPart w:val="D96FE0931366450897007F7ED16ADE4F"/>
              </w:placeholder>
              <w:dataBinding w:prefixMappings="xmlns:ns0='http://purl.org/dc/elements/1.1/' xmlns:ns1='http://schemas.openxmlformats.org/package/2006/metadata/core-properties' " w:xpath="/ns1:coreProperties[1]/ns0:title[1]" w:storeItemID="{6C3C8BC8-F283-45AE-878A-BAB7291924A1}"/>
              <w:text/>
            </w:sdtPr>
            <w:sdtEndPr/>
            <w:sdtContent>
              <w:p w14:paraId="074477B4" w14:textId="728FBCFD" w:rsidR="00A46288" w:rsidRPr="000438D0" w:rsidRDefault="00FC772F" w:rsidP="000438D0">
                <w:pPr>
                  <w:pStyle w:val="Title"/>
                  <w:framePr w:hSpace="0" w:wrap="auto" w:vAnchor="margin" w:hAnchor="text" w:xAlign="left" w:yAlign="inline"/>
                  <w:suppressOverlap w:val="0"/>
                  <w:rPr>
                    <w:bCs/>
                  </w:rPr>
                </w:pPr>
                <w:r w:rsidRPr="000438D0">
                  <w:t>Allied health and telehealth</w:t>
                </w:r>
              </w:p>
            </w:sdtContent>
          </w:sdt>
          <w:p w14:paraId="68B0FB7F" w14:textId="7C886862" w:rsidR="00A46288" w:rsidRPr="000438D0" w:rsidRDefault="008B61B4" w:rsidP="000438D0">
            <w:pPr>
              <w:pStyle w:val="Subtitle"/>
              <w:framePr w:hSpace="0" w:wrap="auto" w:vAnchor="margin" w:hAnchor="text" w:xAlign="left" w:yAlign="inline"/>
              <w:suppressOverlap w:val="0"/>
            </w:pPr>
            <w:r w:rsidRPr="000438D0">
              <w:t>Guidelines for using telehealth to deliver allied health clinical services to public health services</w:t>
            </w:r>
          </w:p>
        </w:tc>
      </w:tr>
    </w:tbl>
    <w:p w14:paraId="549BDF88" w14:textId="77777777" w:rsidR="00A46288" w:rsidRDefault="00A46288" w:rsidP="00A46288">
      <w:pPr>
        <w:pStyle w:val="NoSpacing"/>
      </w:pPr>
    </w:p>
    <w:p w14:paraId="7ADB480F" w14:textId="77777777" w:rsidR="00A46288" w:rsidRDefault="00A46288" w:rsidP="00D535F9">
      <w:pPr>
        <w:sectPr w:rsidR="00A46288" w:rsidSect="00257461">
          <w:headerReference w:type="default" r:id="rId11"/>
          <w:footerReference w:type="even" r:id="rId12"/>
          <w:footerReference w:type="default" r:id="rId13"/>
          <w:headerReference w:type="first" r:id="rId14"/>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6C53E372" w14:textId="77777777" w:rsidTr="008116D8">
        <w:trPr>
          <w:trHeight w:val="2041"/>
        </w:trPr>
        <w:tc>
          <w:tcPr>
            <w:tcW w:w="4111" w:type="dxa"/>
            <w:tcMar>
              <w:left w:w="113" w:type="dxa"/>
            </w:tcMar>
          </w:tcPr>
          <w:p w14:paraId="4968579E" w14:textId="55513566" w:rsidR="008116D8" w:rsidRPr="00D535F9" w:rsidRDefault="008116D8" w:rsidP="00D535F9">
            <w:pPr>
              <w:rPr>
                <w:sz w:val="24"/>
                <w:szCs w:val="24"/>
              </w:rPr>
            </w:pPr>
            <w:r w:rsidRPr="00D535F9">
              <w:rPr>
                <w:sz w:val="24"/>
                <w:szCs w:val="24"/>
              </w:rPr>
              <w:lastRenderedPageBreak/>
              <w:t xml:space="preserve">To receive this publication in an accessible format phone </w:t>
            </w:r>
            <w:r w:rsidRPr="00D535F9">
              <w:rPr>
                <w:sz w:val="24"/>
                <w:szCs w:val="24"/>
              </w:rPr>
              <w:br/>
            </w:r>
            <w:r w:rsidR="00145E5E" w:rsidRPr="00D535F9">
              <w:rPr>
                <w:sz w:val="24"/>
                <w:szCs w:val="24"/>
              </w:rPr>
              <w:t>(</w:t>
            </w:r>
            <w:r w:rsidRPr="00D535F9">
              <w:rPr>
                <w:sz w:val="24"/>
                <w:szCs w:val="24"/>
              </w:rPr>
              <w:t>03</w:t>
            </w:r>
            <w:r w:rsidR="00145E5E" w:rsidRPr="00D535F9">
              <w:rPr>
                <w:sz w:val="24"/>
                <w:szCs w:val="24"/>
              </w:rPr>
              <w:t>)</w:t>
            </w:r>
            <w:r w:rsidRPr="00D535F9">
              <w:rPr>
                <w:sz w:val="24"/>
                <w:szCs w:val="24"/>
              </w:rPr>
              <w:t xml:space="preserve"> 9096 1384, using the National Relay Service 13 36 </w:t>
            </w:r>
            <w:r w:rsidRPr="00D535F9">
              <w:rPr>
                <w:spacing w:val="-2"/>
                <w:sz w:val="24"/>
                <w:szCs w:val="24"/>
              </w:rPr>
              <w:t xml:space="preserve">77 if required, or email </w:t>
            </w:r>
            <w:hyperlink r:id="rId15" w:history="1">
              <w:r w:rsidR="009A6290" w:rsidRPr="00D535F9">
                <w:rPr>
                  <w:rStyle w:val="Hyperlink"/>
                  <w:sz w:val="24"/>
                  <w:szCs w:val="24"/>
                </w:rPr>
                <w:t>info@safercare.vic.gov.au</w:t>
              </w:r>
            </w:hyperlink>
            <w:r w:rsidR="009A6290" w:rsidRPr="00D535F9">
              <w:rPr>
                <w:sz w:val="24"/>
                <w:szCs w:val="24"/>
              </w:rPr>
              <w:t xml:space="preserve"> </w:t>
            </w:r>
          </w:p>
        </w:tc>
        <w:tc>
          <w:tcPr>
            <w:tcW w:w="3621" w:type="dxa"/>
          </w:tcPr>
          <w:p w14:paraId="42F61F17" w14:textId="77777777" w:rsidR="008116D8" w:rsidRDefault="008116D8" w:rsidP="00D535F9">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495516D4" w14:textId="6A8B3C04" w:rsidR="009A6290" w:rsidRDefault="008116D8" w:rsidP="00D535F9">
            <w:r w:rsidRPr="00736C0C">
              <w:t>© State of Victoria, Australia,</w:t>
            </w:r>
            <w:r>
              <w:t xml:space="preserve"> </w:t>
            </w:r>
            <w:r w:rsidRPr="00736C0C">
              <w:t>Safer Care Victoria,</w:t>
            </w:r>
            <w:r>
              <w:t xml:space="preserve"> </w:t>
            </w:r>
            <w:r w:rsidR="009A6290">
              <w:t>July 2020</w:t>
            </w:r>
          </w:p>
          <w:p w14:paraId="4552185C" w14:textId="33ABBAC5" w:rsidR="008116D8" w:rsidRPr="00736C0C" w:rsidRDefault="008B61B4" w:rsidP="00D535F9">
            <w:r w:rsidRPr="008B61B4">
              <w:t xml:space="preserve">ISBN 978-1-76096-106-0 (pdf/online/MS </w:t>
            </w:r>
            <w:r>
              <w:t>W</w:t>
            </w:r>
            <w:r w:rsidRPr="008B61B4">
              <w:t>ord)</w:t>
            </w:r>
          </w:p>
          <w:p w14:paraId="797D6659" w14:textId="7075DE48" w:rsidR="008116D8" w:rsidRPr="00736C0C" w:rsidRDefault="008116D8" w:rsidP="00D535F9">
            <w:r w:rsidRPr="00736C0C">
              <w:t xml:space="preserve">Available at </w:t>
            </w:r>
            <w:hyperlink r:id="rId16" w:history="1">
              <w:r w:rsidR="00145E5E" w:rsidRPr="003B6B44">
                <w:rPr>
                  <w:rStyle w:val="Hyperlink"/>
                </w:rPr>
                <w:t>safercare.vic.gov.au</w:t>
              </w:r>
            </w:hyperlink>
          </w:p>
        </w:tc>
        <w:tc>
          <w:tcPr>
            <w:tcW w:w="2484" w:type="dxa"/>
          </w:tcPr>
          <w:p w14:paraId="5ACC57DF" w14:textId="77777777" w:rsidR="008116D8" w:rsidRPr="00736C0C" w:rsidRDefault="008116D8" w:rsidP="00D535F9">
            <w:r w:rsidRPr="00736C0C">
              <w:rPr>
                <w:noProof/>
              </w:rPr>
              <w:drawing>
                <wp:inline distT="0" distB="0" distL="0" distR="0" wp14:anchorId="454FFBAE" wp14:editId="1F65190F">
                  <wp:extent cx="795600" cy="453600"/>
                  <wp:effectExtent l="0" t="0" r="5080" b="3810"/>
                  <wp:docPr id="16" name="Picture 16"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94979A8" w14:textId="77777777" w:rsidR="0086277A" w:rsidRDefault="007C4073" w:rsidP="00D535F9">
      <w:r>
        <w:fldChar w:fldCharType="begin"/>
      </w:r>
      <w:r>
        <w:instrText xml:space="preserve"> Macrobutton NoMacro  </w:instrText>
      </w:r>
      <w:r>
        <w:fldChar w:fldCharType="end"/>
      </w:r>
      <w:r>
        <w:rPr>
          <w:noProof/>
        </w:rPr>
        <w:drawing>
          <wp:anchor distT="0" distB="0" distL="114300" distR="114300" simplePos="0" relativeHeight="251650048" behindDoc="1" locked="1" layoutInCell="1" allowOverlap="1" wp14:anchorId="7A42C9FF" wp14:editId="047F0ED3">
            <wp:simplePos x="0" y="0"/>
            <wp:positionH relativeFrom="page">
              <wp:posOffset>0</wp:posOffset>
            </wp:positionH>
            <wp:positionV relativeFrom="page">
              <wp:posOffset>0</wp:posOffset>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2CD1BF1" w14:textId="77777777" w:rsidR="0086277A" w:rsidRDefault="0086277A" w:rsidP="00D535F9">
      <w:pPr>
        <w:sectPr w:rsidR="0086277A" w:rsidSect="007C4073">
          <w:headerReference w:type="first" r:id="rId19"/>
          <w:footerReference w:type="first" r:id="rId20"/>
          <w:pgSz w:w="11906" w:h="16838" w:code="9"/>
          <w:pgMar w:top="3402" w:right="851" w:bottom="1361" w:left="851" w:header="539" w:footer="624" w:gutter="0"/>
          <w:cols w:num="2" w:space="284"/>
          <w:docGrid w:linePitch="360"/>
        </w:sectPr>
      </w:pPr>
    </w:p>
    <w:p w14:paraId="5FB043FA" w14:textId="77777777" w:rsidR="009A6290" w:rsidRDefault="009A6290" w:rsidP="00D535F9">
      <w:r>
        <w:br w:type="page"/>
      </w:r>
    </w:p>
    <w:p w14:paraId="5ADD0B2E" w14:textId="7240A670" w:rsidR="00E12578" w:rsidRDefault="00E12578" w:rsidP="00D535F9">
      <w:pPr>
        <w:pStyle w:val="TOCHeading"/>
        <w:framePr w:wrap="around"/>
      </w:pPr>
    </w:p>
    <w:p w14:paraId="4FDAD7C5" w14:textId="7F8026B9" w:rsidR="00E12578" w:rsidRPr="00D535F9" w:rsidRDefault="00065A4F" w:rsidP="00D535F9">
      <w:pPr>
        <w:pStyle w:val="Heading1"/>
        <w:framePr w:wrap="around"/>
      </w:pPr>
      <w:r w:rsidRPr="00D535F9">
        <w:t>About</w:t>
      </w:r>
      <w:r w:rsidR="00D80021" w:rsidRPr="00D535F9">
        <w:t xml:space="preserve"> this document</w:t>
      </w:r>
    </w:p>
    <w:p w14:paraId="2FB86A0A" w14:textId="77777777" w:rsidR="00AD26C0" w:rsidRPr="00D535F9" w:rsidRDefault="00AD26C0" w:rsidP="00D535F9">
      <w:pPr>
        <w:pStyle w:val="Heading2"/>
      </w:pPr>
      <w:r w:rsidRPr="00D535F9">
        <w:t>Purpose</w:t>
      </w:r>
    </w:p>
    <w:p w14:paraId="533EDEA3" w14:textId="14EA25D4" w:rsidR="00E639C1" w:rsidRDefault="00AD26C0" w:rsidP="00D535F9">
      <w:pPr>
        <w:pStyle w:val="Normalfollowingheading"/>
      </w:pPr>
      <w:r w:rsidRPr="003B6B44">
        <w:t>This guidance</w:t>
      </w:r>
      <w:r w:rsidR="00E639C1">
        <w:t xml:space="preserve"> – </w:t>
      </w:r>
      <w:r w:rsidR="00E639C1" w:rsidRPr="00E639C1">
        <w:t>developed by Safer Care Victoria (SCV) and the Department of Health and Human Services (DHHS)</w:t>
      </w:r>
      <w:r w:rsidR="00D80021">
        <w:t xml:space="preserve"> </w:t>
      </w:r>
      <w:r w:rsidR="00E639C1">
        <w:t>–</w:t>
      </w:r>
      <w:r w:rsidRPr="003B6B44">
        <w:t xml:space="preserve"> </w:t>
      </w:r>
      <w:r w:rsidR="00E264CB">
        <w:t xml:space="preserve">aims </w:t>
      </w:r>
      <w:r w:rsidR="00E264CB" w:rsidRPr="004742F0">
        <w:t xml:space="preserve">to provide </w:t>
      </w:r>
      <w:r w:rsidR="00E264CB">
        <w:t xml:space="preserve">health </w:t>
      </w:r>
      <w:r w:rsidR="00E264CB" w:rsidRPr="004742F0">
        <w:t xml:space="preserve">professionals </w:t>
      </w:r>
      <w:r w:rsidR="00E264CB">
        <w:t xml:space="preserve">with </w:t>
      </w:r>
      <w:r w:rsidR="007811F5">
        <w:t xml:space="preserve">an understanding of how telehealth can be used to deliver </w:t>
      </w:r>
      <w:r w:rsidR="00E264CB">
        <w:t>allied health clinical services</w:t>
      </w:r>
      <w:r w:rsidR="007811F5">
        <w:t xml:space="preserve"> </w:t>
      </w:r>
      <w:r w:rsidR="00734456">
        <w:t xml:space="preserve">in </w:t>
      </w:r>
      <w:r w:rsidR="007811F5">
        <w:t xml:space="preserve">public health </w:t>
      </w:r>
      <w:r w:rsidR="00734456">
        <w:t>settings, and the associated benefits</w:t>
      </w:r>
      <w:r w:rsidR="007811F5">
        <w:t xml:space="preserve">. </w:t>
      </w:r>
    </w:p>
    <w:p w14:paraId="50C8DE2B" w14:textId="1DE06AF5" w:rsidR="00AD26C0" w:rsidRPr="00D535F9" w:rsidRDefault="007811F5" w:rsidP="00D535F9">
      <w:r w:rsidRPr="00D535F9">
        <w:t xml:space="preserve">It includes </w:t>
      </w:r>
      <w:r w:rsidR="00E614BC" w:rsidRPr="00D535F9">
        <w:t xml:space="preserve">considerations for best practice application, as well as practical </w:t>
      </w:r>
      <w:r w:rsidRPr="00D535F9">
        <w:t xml:space="preserve">examples of </w:t>
      </w:r>
      <w:r w:rsidR="00E639C1" w:rsidRPr="00D535F9">
        <w:t xml:space="preserve">how </w:t>
      </w:r>
      <w:r w:rsidR="00E614BC" w:rsidRPr="00D535F9">
        <w:t xml:space="preserve">telehealth </w:t>
      </w:r>
      <w:r w:rsidR="00E639C1" w:rsidRPr="00D535F9">
        <w:t>can be used for the clinical delivery of allied health services.</w:t>
      </w:r>
      <w:r w:rsidR="00E614BC" w:rsidRPr="00D535F9">
        <w:t xml:space="preserve"> </w:t>
      </w:r>
      <w:r w:rsidR="00E639C1" w:rsidRPr="00D535F9">
        <w:t>H</w:t>
      </w:r>
      <w:r w:rsidR="00734456" w:rsidRPr="00D535F9">
        <w:t xml:space="preserve">ealth professionals </w:t>
      </w:r>
      <w:r w:rsidRPr="00D535F9">
        <w:t xml:space="preserve">can </w:t>
      </w:r>
      <w:r w:rsidR="00E639C1" w:rsidRPr="00D535F9">
        <w:t xml:space="preserve">use this information </w:t>
      </w:r>
      <w:r w:rsidR="00734456" w:rsidRPr="00D535F9">
        <w:t xml:space="preserve">to </w:t>
      </w:r>
      <w:r w:rsidRPr="00D535F9">
        <w:t xml:space="preserve">assess the suitability of </w:t>
      </w:r>
      <w:r w:rsidR="00E639C1" w:rsidRPr="00D535F9">
        <w:t xml:space="preserve">telehealth </w:t>
      </w:r>
      <w:r w:rsidRPr="00D535F9">
        <w:t xml:space="preserve">technology for </w:t>
      </w:r>
      <w:r w:rsidR="00734456" w:rsidRPr="00D535F9">
        <w:t xml:space="preserve">the delivery of </w:t>
      </w:r>
      <w:r w:rsidRPr="00D535F9">
        <w:t xml:space="preserve">their </w:t>
      </w:r>
      <w:r w:rsidR="00734456" w:rsidRPr="00D535F9">
        <w:t xml:space="preserve">own </w:t>
      </w:r>
      <w:r w:rsidRPr="00D535F9">
        <w:t>service</w:t>
      </w:r>
      <w:r w:rsidR="00734456" w:rsidRPr="00D535F9">
        <w:t>s</w:t>
      </w:r>
      <w:r w:rsidR="00E639C1" w:rsidRPr="00D535F9">
        <w:t>, and as a guide to its effective application</w:t>
      </w:r>
      <w:r w:rsidRPr="00D535F9">
        <w:t>.</w:t>
      </w:r>
      <w:r w:rsidR="00E264CB" w:rsidRPr="00D535F9">
        <w:t xml:space="preserve"> </w:t>
      </w:r>
    </w:p>
    <w:p w14:paraId="22CB1E29" w14:textId="7C695CBC" w:rsidR="00AD26C0" w:rsidRDefault="00AD26C0" w:rsidP="00D535F9">
      <w:pPr>
        <w:pStyle w:val="Heading2"/>
      </w:pPr>
      <w:r>
        <w:t>Background</w:t>
      </w:r>
    </w:p>
    <w:p w14:paraId="3D4C8925" w14:textId="1909D567" w:rsidR="00381FFE" w:rsidRDefault="00381FFE" w:rsidP="00D535F9">
      <w:pPr>
        <w:pStyle w:val="Normalfollowingheading"/>
      </w:pPr>
      <w:r>
        <w:t xml:space="preserve">In response to the coronavirus (COVID-19) pandemic, </w:t>
      </w:r>
      <w:proofErr w:type="gramStart"/>
      <w:r>
        <w:t>a number of</w:t>
      </w:r>
      <w:proofErr w:type="gramEnd"/>
      <w:r>
        <w:t xml:space="preserve"> Victorian public health services have rapidly expanded their telehealth capacity to reduce transmission risks for patients and staff and support ongoing access to clinical services that are usually provided face-to-face.</w:t>
      </w:r>
    </w:p>
    <w:p w14:paraId="3C361321" w14:textId="35D0E9FB" w:rsidR="00381FFE" w:rsidRDefault="00381FFE" w:rsidP="00D535F9">
      <w:pPr>
        <w:pStyle w:val="Normalfollowingheading"/>
      </w:pPr>
      <w:r>
        <w:t>In planning for the recovery phase post</w:t>
      </w:r>
      <w:r w:rsidR="0078315E">
        <w:t xml:space="preserve"> </w:t>
      </w:r>
      <w:r>
        <w:t xml:space="preserve">COVID-19, there is an opportunity to embed telehealth as ‘business as usual’ in public health services, particularly in the delivery of allied health services. This has the potential to significantly improve the efficiency and effectiveness of clinical operations, uplift workforce capacity, and enhance immediate and </w:t>
      </w:r>
      <w:proofErr w:type="gramStart"/>
      <w:r>
        <w:t>longer term</w:t>
      </w:r>
      <w:proofErr w:type="gramEnd"/>
      <w:r>
        <w:t xml:space="preserve"> patient outcomes.</w:t>
      </w:r>
    </w:p>
    <w:p w14:paraId="2612E0F3" w14:textId="70BBCDBA" w:rsidR="00381FFE" w:rsidRDefault="000D0F95" w:rsidP="00D535F9">
      <w:pPr>
        <w:pStyle w:val="Heading2"/>
      </w:pPr>
      <w:r>
        <w:t>T</w:t>
      </w:r>
      <w:r w:rsidR="00A91C21">
        <w:t>erminology</w:t>
      </w:r>
    </w:p>
    <w:p w14:paraId="18062CAC" w14:textId="4601EB2E" w:rsidR="005E32F7" w:rsidRDefault="005E32F7" w:rsidP="00D535F9">
      <w:pPr>
        <w:pStyle w:val="Normalfollowingheading"/>
      </w:pPr>
      <w:r w:rsidRPr="00D535F9">
        <w:rPr>
          <w:b/>
          <w:bCs/>
        </w:rPr>
        <w:t xml:space="preserve">Telehealth </w:t>
      </w:r>
      <w:r>
        <w:t>refers to the real</w:t>
      </w:r>
      <w:r w:rsidR="00AD26C0">
        <w:t>-</w:t>
      </w:r>
      <w:r>
        <w:t>time and remote provision of clinical assessment, intervention and/or consultation services by a health professional to a patient (and/or their carer/s) using audio-visual information technologies (Australian Government Department of Health, 2015).</w:t>
      </w:r>
      <w:r w:rsidR="00D80021">
        <w:t xml:space="preserve"> </w:t>
      </w:r>
      <w:r>
        <w:t>For the purpose of this guidance document, telehealth does not extend to the delivery of clinical services solely via telephone.</w:t>
      </w:r>
    </w:p>
    <w:p w14:paraId="59543062" w14:textId="21680D3D" w:rsidR="00FF0C9E" w:rsidRDefault="005E32F7" w:rsidP="00D535F9">
      <w:pPr>
        <w:pStyle w:val="Normalfollowingheading"/>
      </w:pPr>
      <w:r w:rsidRPr="00D535F9">
        <w:rPr>
          <w:b/>
          <w:bCs/>
        </w:rPr>
        <w:t>Patient</w:t>
      </w:r>
      <w:r>
        <w:t xml:space="preserve"> is used in this document for ease of reading and is not intended to preclude the language used by allied health professionals in different settings and sectors. The term patient may be substituted for client, consumer, participant or related terms throughout the document.</w:t>
      </w:r>
    </w:p>
    <w:p w14:paraId="5483B458" w14:textId="77777777" w:rsidR="005E32F7" w:rsidRDefault="005E32F7" w:rsidP="00D535F9">
      <w:pPr>
        <w:rPr>
          <w:color w:val="007586" w:themeColor="text2"/>
          <w:spacing w:val="2"/>
          <w:szCs w:val="18"/>
        </w:rPr>
      </w:pPr>
      <w:r>
        <w:br w:type="page"/>
      </w:r>
    </w:p>
    <w:p w14:paraId="722F8695" w14:textId="17AEF1C7" w:rsidR="005E32F7" w:rsidRDefault="0076424F" w:rsidP="00D535F9">
      <w:pPr>
        <w:pStyle w:val="Heading1"/>
        <w:framePr w:wrap="around"/>
      </w:pPr>
      <w:bookmarkStart w:id="0" w:name="_Toc45895454"/>
      <w:r>
        <w:lastRenderedPageBreak/>
        <w:t>B</w:t>
      </w:r>
      <w:r w:rsidR="005E32F7" w:rsidRPr="005E32F7">
        <w:t>est practice clinical applications of telehealth</w:t>
      </w:r>
      <w:bookmarkEnd w:id="0"/>
    </w:p>
    <w:p w14:paraId="6904F2E3" w14:textId="77777777" w:rsidR="005E32F7" w:rsidRPr="00D535F9" w:rsidRDefault="005E32F7" w:rsidP="00D535F9">
      <w:pPr>
        <w:pStyle w:val="IntroductoryText"/>
      </w:pPr>
      <w:r w:rsidRPr="00D535F9">
        <w:t>In considering the potential benefits of telehealth, it is important to be clear as to its best practice application and suitability for various clinical presentations and needs.</w:t>
      </w:r>
    </w:p>
    <w:p w14:paraId="7DE6F02A" w14:textId="6F1E70D3" w:rsidR="005E32F7" w:rsidRDefault="005E32F7" w:rsidP="00D535F9">
      <w:r>
        <w:t xml:space="preserve">Telehealth is a vehicle for clinical service delivery rather than a treatment/intervention in and of itself. It allows for substitution of select face-to-face clinical services via the real-time exchange of audio-visual information between a patient and </w:t>
      </w:r>
      <w:r w:rsidR="00D80021">
        <w:t xml:space="preserve">a </w:t>
      </w:r>
      <w:r>
        <w:t>health professional (Australian Government Department of Health, 2015).</w:t>
      </w:r>
    </w:p>
    <w:p w14:paraId="31D7EA20" w14:textId="3C631B7E" w:rsidR="008E3830" w:rsidRDefault="00A91C21" w:rsidP="00D535F9">
      <w:r>
        <w:t>Health professionals must evaluate whether a</w:t>
      </w:r>
      <w:r w:rsidR="005E32F7">
        <w:t xml:space="preserve">ssessments, interventions and consultations </w:t>
      </w:r>
      <w:r>
        <w:t xml:space="preserve">are suitable for </w:t>
      </w:r>
      <w:r w:rsidR="0076424F">
        <w:t xml:space="preserve">telehealth </w:t>
      </w:r>
      <w:r>
        <w:t xml:space="preserve">delivery by assessing whether </w:t>
      </w:r>
      <w:r w:rsidR="0076424F">
        <w:t xml:space="preserve">comparable patient outcomes and </w:t>
      </w:r>
      <w:r>
        <w:t xml:space="preserve">the </w:t>
      </w:r>
      <w:r w:rsidR="005E32F7">
        <w:t xml:space="preserve">quality and safety standards applicable to face-to-face delivery methods </w:t>
      </w:r>
      <w:r>
        <w:t xml:space="preserve">can </w:t>
      </w:r>
      <w:r w:rsidR="0076424F">
        <w:t>still be achieved</w:t>
      </w:r>
      <w:r w:rsidR="0032625C">
        <w:t xml:space="preserve"> </w:t>
      </w:r>
      <w:r w:rsidR="005E32F7">
        <w:t xml:space="preserve">(Australian Physiotherapy Association, 2020; OT Australia, 2020; Speech Pathology Australia, 2014). This </w:t>
      </w:r>
      <w:r w:rsidR="0032625C">
        <w:t xml:space="preserve">evaluation </w:t>
      </w:r>
      <w:r w:rsidR="005E32F7">
        <w:t xml:space="preserve">requires a patient-centred approach </w:t>
      </w:r>
      <w:r w:rsidR="0032625C">
        <w:t xml:space="preserve">that </w:t>
      </w:r>
      <w:r w:rsidR="005E32F7">
        <w:t xml:space="preserve">considers the specific needs of each patient, the interaction </w:t>
      </w:r>
      <w:r w:rsidR="0032625C">
        <w:t xml:space="preserve">required for </w:t>
      </w:r>
      <w:r w:rsidR="005E32F7">
        <w:t>the clinical task, resources/equipment</w:t>
      </w:r>
      <w:r w:rsidR="0032625C">
        <w:t>,</w:t>
      </w:r>
      <w:r w:rsidR="005E32F7">
        <w:t xml:space="preserve"> and the environmental context. </w:t>
      </w:r>
    </w:p>
    <w:p w14:paraId="1F986535" w14:textId="39D134DF" w:rsidR="005E32F7" w:rsidRDefault="005E32F7" w:rsidP="00D535F9">
      <w:r>
        <w:t xml:space="preserve">It is therefore not possible to definitively list clinical services (both for occasions of service and full episodes of care) </w:t>
      </w:r>
      <w:r w:rsidR="0032625C">
        <w:t xml:space="preserve">that </w:t>
      </w:r>
      <w:r>
        <w:t>may be delivered via telehealth</w:t>
      </w:r>
      <w:r w:rsidR="00D80021">
        <w:t>. H</w:t>
      </w:r>
      <w:r>
        <w:t xml:space="preserve">owever, it is acknowledged that some services will translate better than others to a remote delivery model (refer to </w:t>
      </w:r>
      <w:r w:rsidRPr="009A6290">
        <w:rPr>
          <w:rFonts w:ascii="VIC Medium" w:hAnsi="VIC Medium"/>
        </w:rPr>
        <w:t>Appendix 1 – Evidence base for telehealth for select clinical cohorts</w:t>
      </w:r>
      <w:r w:rsidR="003B73AD">
        <w:rPr>
          <w:rFonts w:ascii="VIC Medium" w:hAnsi="VIC Medium"/>
        </w:rPr>
        <w:t xml:space="preserve"> </w:t>
      </w:r>
      <w:r w:rsidR="003B73AD" w:rsidRPr="003B6B44">
        <w:t xml:space="preserve">on </w:t>
      </w:r>
      <w:r w:rsidR="003B73AD" w:rsidRPr="00F72710">
        <w:t xml:space="preserve">page </w:t>
      </w:r>
      <w:r w:rsidR="0076424F" w:rsidRPr="00F72710">
        <w:t>1</w:t>
      </w:r>
      <w:commentRangeStart w:id="1"/>
      <w:commentRangeEnd w:id="1"/>
      <w:r w:rsidR="00E832E3" w:rsidRPr="00F72710">
        <w:t>8</w:t>
      </w:r>
      <w:r w:rsidRPr="00F72710">
        <w:t>), with</w:t>
      </w:r>
      <w:r>
        <w:t xml:space="preserve"> a number also being automatic exclusions (in full or in part).</w:t>
      </w:r>
    </w:p>
    <w:p w14:paraId="346F761A" w14:textId="77777777" w:rsidR="005E32F7" w:rsidRDefault="005E32F7" w:rsidP="00D535F9">
      <w:r>
        <w:t>Exclusions to allied health service delivery via telehealth may include but are not limited to:</w:t>
      </w:r>
    </w:p>
    <w:p w14:paraId="331280BD" w14:textId="1BA9F6AE" w:rsidR="005E32F7" w:rsidRPr="00D535F9" w:rsidRDefault="009A6290" w:rsidP="00D535F9">
      <w:pPr>
        <w:pStyle w:val="Bullet1"/>
      </w:pPr>
      <w:r w:rsidRPr="00D535F9">
        <w:t>a</w:t>
      </w:r>
      <w:r w:rsidR="005E32F7" w:rsidRPr="00D535F9">
        <w:t xml:space="preserve">ssessments requiring physical examination of the patient that must be completed by the qualified allied health professional </w:t>
      </w:r>
      <w:r w:rsidR="00AA7EF9" w:rsidRPr="00D535F9">
        <w:t xml:space="preserve">– </w:t>
      </w:r>
      <w:r w:rsidR="005E32F7" w:rsidRPr="00D535F9">
        <w:t>e.g. wound assessment, muscle tone/spasticity assessment</w:t>
      </w:r>
    </w:p>
    <w:p w14:paraId="67E19C76" w14:textId="2CA79327" w:rsidR="005E32F7" w:rsidRPr="00D535F9" w:rsidRDefault="009A6290" w:rsidP="00D535F9">
      <w:pPr>
        <w:pStyle w:val="Bullet1"/>
      </w:pPr>
      <w:r w:rsidRPr="00D535F9">
        <w:t>s</w:t>
      </w:r>
      <w:r w:rsidR="005E32F7" w:rsidRPr="00D535F9">
        <w:t>tandardised assessments that are not validated for use via a telehealth service delivery model</w:t>
      </w:r>
    </w:p>
    <w:p w14:paraId="553C57D9" w14:textId="795ACB79" w:rsidR="005E32F7" w:rsidRPr="00D535F9" w:rsidRDefault="009A6290" w:rsidP="00D535F9">
      <w:pPr>
        <w:pStyle w:val="Bullet1"/>
      </w:pPr>
      <w:r w:rsidRPr="00D535F9">
        <w:t>i</w:t>
      </w:r>
      <w:r w:rsidR="005E32F7" w:rsidRPr="00D535F9">
        <w:t xml:space="preserve">nterventions requiring physical application of treatment that must be completed by the allied health professional </w:t>
      </w:r>
      <w:r w:rsidR="00D535F9">
        <w:t xml:space="preserve">– </w:t>
      </w:r>
      <w:r w:rsidR="005E32F7" w:rsidRPr="00D535F9">
        <w:t>e.g. diabetic foot care, lymphoedema management</w:t>
      </w:r>
    </w:p>
    <w:p w14:paraId="0702F8C7" w14:textId="5C008F09" w:rsidR="005E32F7" w:rsidRPr="00D535F9" w:rsidRDefault="009A6290" w:rsidP="00D535F9">
      <w:pPr>
        <w:pStyle w:val="Bullet1"/>
      </w:pPr>
      <w:r w:rsidRPr="00D535F9">
        <w:t>p</w:t>
      </w:r>
      <w:r w:rsidR="005E32F7" w:rsidRPr="00D535F9">
        <w:t>atients presenting with significant cognitive dysfunction, mental health or alcohol and other drug issues who may be difficult to assess/treat remotely, or where face-to-face observation of their physical appearance, behaviour or level of function is indicated as part of their management</w:t>
      </w:r>
    </w:p>
    <w:p w14:paraId="180E8EB6" w14:textId="0720DB97" w:rsidR="005E32F7" w:rsidRPr="00D535F9" w:rsidRDefault="009A6290" w:rsidP="00D535F9">
      <w:pPr>
        <w:pStyle w:val="Bullet1"/>
      </w:pPr>
      <w:r w:rsidRPr="00D535F9">
        <w:t>p</w:t>
      </w:r>
      <w:r w:rsidR="005E32F7" w:rsidRPr="00D535F9">
        <w:t xml:space="preserve">atients deemed to be ‘at risk’ if not receiving face-to-face service delivery </w:t>
      </w:r>
      <w:r w:rsidR="00AA7EF9" w:rsidRPr="00D535F9">
        <w:t xml:space="preserve">– </w:t>
      </w:r>
      <w:r w:rsidR="005E32F7" w:rsidRPr="00D535F9">
        <w:t xml:space="preserve">e.g. high likelihood for reduced treatment compliance </w:t>
      </w:r>
      <w:r w:rsidR="007E73F3" w:rsidRPr="00D535F9">
        <w:t xml:space="preserve">due to </w:t>
      </w:r>
      <w:r w:rsidR="005E32F7" w:rsidRPr="00D535F9">
        <w:t>remote service delivery</w:t>
      </w:r>
      <w:r w:rsidR="007E73F3" w:rsidRPr="00D535F9">
        <w:t>,</w:t>
      </w:r>
      <w:r w:rsidR="005E32F7" w:rsidRPr="00D535F9">
        <w:t xml:space="preserve"> potentially resulting in patient harm</w:t>
      </w:r>
    </w:p>
    <w:p w14:paraId="01859A3D" w14:textId="4F98A57C" w:rsidR="005E32F7" w:rsidRPr="00D535F9" w:rsidRDefault="009A6290" w:rsidP="00D535F9">
      <w:pPr>
        <w:pStyle w:val="Bullet1"/>
      </w:pPr>
      <w:r w:rsidRPr="00D535F9">
        <w:t>p</w:t>
      </w:r>
      <w:r w:rsidR="005E32F7" w:rsidRPr="00D535F9">
        <w:t>atients in settings in which privacy/confidentiality may be breached</w:t>
      </w:r>
    </w:p>
    <w:p w14:paraId="7D7AB986" w14:textId="1294F159" w:rsidR="005E32F7" w:rsidRPr="00D535F9" w:rsidRDefault="009A6290" w:rsidP="00D535F9">
      <w:pPr>
        <w:pStyle w:val="Bullet1"/>
      </w:pPr>
      <w:r w:rsidRPr="00D535F9">
        <w:t>p</w:t>
      </w:r>
      <w:r w:rsidR="005E32F7" w:rsidRPr="00D535F9">
        <w:t>atient</w:t>
      </w:r>
      <w:r w:rsidR="00FE592F" w:rsidRPr="00D535F9">
        <w:t>s</w:t>
      </w:r>
      <w:r w:rsidR="005E32F7" w:rsidRPr="00D535F9">
        <w:t xml:space="preserve"> and/or carer</w:t>
      </w:r>
      <w:r w:rsidR="00FE592F" w:rsidRPr="00D535F9">
        <w:t>s</w:t>
      </w:r>
      <w:r w:rsidR="005E32F7" w:rsidRPr="00D535F9">
        <w:t xml:space="preserve"> </w:t>
      </w:r>
      <w:r w:rsidR="00FE592F" w:rsidRPr="00D535F9">
        <w:t xml:space="preserve">who are unable </w:t>
      </w:r>
      <w:r w:rsidR="005E32F7" w:rsidRPr="00D535F9">
        <w:t>to access telehealth platforms</w:t>
      </w:r>
    </w:p>
    <w:p w14:paraId="682C3FB1" w14:textId="76FB8D5D" w:rsidR="005E32F7" w:rsidRPr="00D535F9" w:rsidRDefault="009A6290" w:rsidP="00D535F9">
      <w:pPr>
        <w:pStyle w:val="Bullet1"/>
      </w:pPr>
      <w:r w:rsidRPr="00D535F9">
        <w:t>p</w:t>
      </w:r>
      <w:r w:rsidR="005E32F7" w:rsidRPr="00D535F9">
        <w:t>atient</w:t>
      </w:r>
      <w:r w:rsidR="00FE592F" w:rsidRPr="00D535F9">
        <w:t>s</w:t>
      </w:r>
      <w:r w:rsidR="005E32F7" w:rsidRPr="00D535F9">
        <w:t xml:space="preserve"> and/or carer</w:t>
      </w:r>
      <w:r w:rsidR="00FE592F" w:rsidRPr="00D535F9">
        <w:t>s</w:t>
      </w:r>
      <w:r w:rsidR="005E32F7" w:rsidRPr="00D535F9">
        <w:t xml:space="preserve"> </w:t>
      </w:r>
      <w:r w:rsidR="00FE592F" w:rsidRPr="00D535F9">
        <w:t xml:space="preserve">who prefer </w:t>
      </w:r>
      <w:r w:rsidR="005E32F7" w:rsidRPr="00D535F9">
        <w:t>to not receive telehealth service delivery</w:t>
      </w:r>
    </w:p>
    <w:p w14:paraId="213D12C3" w14:textId="17F66C19" w:rsidR="00A223CB" w:rsidRPr="00D535F9" w:rsidRDefault="009A6290" w:rsidP="00D535F9">
      <w:pPr>
        <w:pStyle w:val="Bullet1"/>
        <w:rPr>
          <w:rFonts w:eastAsiaTheme="majorEastAsia"/>
        </w:rPr>
      </w:pPr>
      <w:r w:rsidRPr="00D535F9">
        <w:t>s</w:t>
      </w:r>
      <w:r w:rsidR="005E32F7" w:rsidRPr="00D535F9">
        <w:t>ervices that cannot be funded or reimbursed via telehealth service delivery models.</w:t>
      </w:r>
    </w:p>
    <w:p w14:paraId="1084F96D" w14:textId="77777777" w:rsidR="00A223CB" w:rsidRDefault="00A223CB" w:rsidP="00D535F9">
      <w:pPr>
        <w:rPr>
          <w:rFonts w:ascii="VIC SemiBold" w:eastAsiaTheme="majorEastAsia" w:hAnsi="VIC SemiBold" w:cstheme="majorBidi"/>
          <w:color w:val="007586" w:themeColor="text2"/>
          <w:sz w:val="24"/>
          <w:szCs w:val="26"/>
        </w:rPr>
      </w:pPr>
      <w:r>
        <w:br w:type="page"/>
      </w:r>
    </w:p>
    <w:p w14:paraId="22212524" w14:textId="44F89BFC" w:rsidR="00A223CB" w:rsidRPr="009A6290" w:rsidRDefault="00A223CB" w:rsidP="00D535F9">
      <w:pPr>
        <w:pStyle w:val="Heading2"/>
      </w:pPr>
      <w:r w:rsidRPr="009A6290">
        <w:lastRenderedPageBreak/>
        <w:t>Clinical considerations</w:t>
      </w:r>
    </w:p>
    <w:p w14:paraId="6C9AA0C7" w14:textId="77777777" w:rsidR="00A223CB" w:rsidRDefault="00A223CB" w:rsidP="00D535F9">
      <w:pPr>
        <w:pStyle w:val="Normalfollowingheading"/>
      </w:pPr>
      <w:r>
        <w:t>Considerations for determining the clinical suitability of telehealth delivery for physical and psychosocial-based allied health services are further outlined in Table 1.</w:t>
      </w:r>
    </w:p>
    <w:p w14:paraId="7AB50614" w14:textId="04920583" w:rsidR="006A10FD" w:rsidRPr="00D535F9" w:rsidRDefault="00A223CB" w:rsidP="00D535F9">
      <w:pPr>
        <w:pStyle w:val="Tablechartdiagramheading"/>
      </w:pPr>
      <w:r w:rsidRPr="00D535F9">
        <w:t>Table 1: Considerations for determining the potential suitability of allied health assessments, interventions and consultations via telehealth delivery</w:t>
      </w:r>
    </w:p>
    <w:tbl>
      <w:tblPr>
        <w:tblStyle w:val="TableGrid"/>
        <w:tblW w:w="0" w:type="auto"/>
        <w:tblLook w:val="04A0" w:firstRow="1" w:lastRow="0" w:firstColumn="1" w:lastColumn="0" w:noHBand="0" w:noVBand="1"/>
      </w:tblPr>
      <w:tblGrid>
        <w:gridCol w:w="602"/>
        <w:gridCol w:w="3200"/>
        <w:gridCol w:w="3201"/>
        <w:gridCol w:w="3201"/>
      </w:tblGrid>
      <w:tr w:rsidR="00034166" w:rsidRPr="00D80021" w14:paraId="2A0F9794" w14:textId="77777777" w:rsidTr="003B6B44">
        <w:trPr>
          <w:cnfStyle w:val="100000000000" w:firstRow="1" w:lastRow="0" w:firstColumn="0" w:lastColumn="0" w:oddVBand="0" w:evenVBand="0" w:oddHBand="0" w:evenHBand="0" w:firstRowFirstColumn="0" w:firstRowLastColumn="0" w:lastRowFirstColumn="0" w:lastRowLastColumn="0"/>
          <w:cantSplit/>
          <w:trHeight w:val="483"/>
          <w:tblHeader/>
        </w:trPr>
        <w:tc>
          <w:tcPr>
            <w:cnfStyle w:val="001000000000" w:firstRow="0" w:lastRow="0" w:firstColumn="1" w:lastColumn="0" w:oddVBand="0" w:evenVBand="0" w:oddHBand="0" w:evenHBand="0" w:firstRowFirstColumn="0" w:firstRowLastColumn="0" w:lastRowFirstColumn="0" w:lastRowLastColumn="0"/>
            <w:tcW w:w="602" w:type="dxa"/>
            <w:textDirection w:val="btLr"/>
          </w:tcPr>
          <w:p w14:paraId="12AC2589" w14:textId="77777777" w:rsidR="00034166" w:rsidRPr="00D80021" w:rsidRDefault="00034166" w:rsidP="00D535F9"/>
        </w:tc>
        <w:tc>
          <w:tcPr>
            <w:tcW w:w="3200" w:type="dxa"/>
          </w:tcPr>
          <w:p w14:paraId="7128A8DF" w14:textId="48FF82B2" w:rsidR="00034166" w:rsidRPr="00D80021" w:rsidRDefault="00034166" w:rsidP="00D535F9">
            <w:pPr>
              <w:cnfStyle w:val="100000000000" w:firstRow="1" w:lastRow="0" w:firstColumn="0" w:lastColumn="0" w:oddVBand="0" w:evenVBand="0" w:oddHBand="0" w:evenHBand="0" w:firstRowFirstColumn="0" w:firstRowLastColumn="0" w:lastRowFirstColumn="0" w:lastRowLastColumn="0"/>
            </w:pPr>
            <w:r w:rsidRPr="00D80021">
              <w:t>General considerations</w:t>
            </w:r>
          </w:p>
        </w:tc>
        <w:tc>
          <w:tcPr>
            <w:tcW w:w="3201" w:type="dxa"/>
          </w:tcPr>
          <w:p w14:paraId="3FE36461" w14:textId="0D45B27F" w:rsidR="00034166" w:rsidRPr="00D80021" w:rsidRDefault="00034166" w:rsidP="00D535F9">
            <w:pPr>
              <w:cnfStyle w:val="100000000000" w:firstRow="1" w:lastRow="0" w:firstColumn="0" w:lastColumn="0" w:oddVBand="0" w:evenVBand="0" w:oddHBand="0" w:evenHBand="0" w:firstRowFirstColumn="0" w:firstRowLastColumn="0" w:lastRowFirstColumn="0" w:lastRowLastColumn="0"/>
            </w:pPr>
            <w:r w:rsidRPr="00D80021">
              <w:t>Considerations specific to physical conditions</w:t>
            </w:r>
          </w:p>
        </w:tc>
        <w:tc>
          <w:tcPr>
            <w:tcW w:w="3201" w:type="dxa"/>
          </w:tcPr>
          <w:p w14:paraId="118EB056" w14:textId="45DD5EB8" w:rsidR="00034166" w:rsidRPr="00D80021" w:rsidRDefault="00034166" w:rsidP="00D535F9">
            <w:pPr>
              <w:cnfStyle w:val="100000000000" w:firstRow="1" w:lastRow="0" w:firstColumn="0" w:lastColumn="0" w:oddVBand="0" w:evenVBand="0" w:oddHBand="0" w:evenHBand="0" w:firstRowFirstColumn="0" w:firstRowLastColumn="0" w:lastRowFirstColumn="0" w:lastRowLastColumn="0"/>
            </w:pPr>
            <w:r w:rsidRPr="00D80021">
              <w:t>Considerations specific to psychosocial conditions</w:t>
            </w:r>
          </w:p>
        </w:tc>
      </w:tr>
      <w:tr w:rsidR="00034166" w14:paraId="1F9B9B4D" w14:textId="77777777" w:rsidTr="003B6B44">
        <w:trPr>
          <w:cantSplit/>
          <w:trHeight w:val="1134"/>
        </w:trPr>
        <w:tc>
          <w:tcPr>
            <w:cnfStyle w:val="001000000000" w:firstRow="0" w:lastRow="0" w:firstColumn="1" w:lastColumn="0" w:oddVBand="0" w:evenVBand="0" w:oddHBand="0" w:evenHBand="0" w:firstRowFirstColumn="0" w:firstRowLastColumn="0" w:lastRowFirstColumn="0" w:lastRowLastColumn="0"/>
            <w:tcW w:w="602" w:type="dxa"/>
            <w:textDirection w:val="btLr"/>
          </w:tcPr>
          <w:p w14:paraId="3336D56B" w14:textId="18C2CCA2" w:rsidR="00034166" w:rsidRPr="00D80021" w:rsidRDefault="00034166" w:rsidP="00D535F9">
            <w:pPr>
              <w:jc w:val="center"/>
            </w:pPr>
            <w:r w:rsidRPr="00D535F9">
              <w:rPr>
                <w:noProof/>
                <w:sz w:val="20"/>
                <w:szCs w:val="24"/>
              </w:rPr>
              <w:t>Patient</w:t>
            </w:r>
          </w:p>
        </w:tc>
        <w:tc>
          <w:tcPr>
            <w:tcW w:w="3200" w:type="dxa"/>
          </w:tcPr>
          <w:p w14:paraId="33A4D6E5" w14:textId="3F167454"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patient (and/or their carer/s) consenting to access telehealth delivery?</w:t>
            </w:r>
          </w:p>
          <w:p w14:paraId="55D4CD3B" w14:textId="5B79A30A"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Can the patient access technological equipment and an internet connection to support telehealth delivery?</w:t>
            </w:r>
          </w:p>
          <w:p w14:paraId="5FD2398E" w14:textId="64709F6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patient able to consistently follow verbal instructions?</w:t>
            </w:r>
          </w:p>
          <w:p w14:paraId="1EF6F6B9" w14:textId="4F9F49E4"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patient require the use of a qualified interpreter?</w:t>
            </w:r>
          </w:p>
          <w:p w14:paraId="0363CD89" w14:textId="0363DE90"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 xml:space="preserve">Does the patient have any sensory impairments that impact their ability to use standard information technologies </w:t>
            </w:r>
            <w:r w:rsidR="00C34E40">
              <w:t xml:space="preserve">– </w:t>
            </w:r>
            <w:r>
              <w:t>i.e. commercially available hardware/software?</w:t>
            </w:r>
          </w:p>
          <w:p w14:paraId="26D0A855" w14:textId="0D4BEE5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 xml:space="preserve">Does the patient have </w:t>
            </w:r>
            <w:proofErr w:type="gramStart"/>
            <w:r>
              <w:t>sufficient</w:t>
            </w:r>
            <w:proofErr w:type="gramEnd"/>
            <w:r>
              <w:t xml:space="preserve"> attention/concentration for general participation?</w:t>
            </w:r>
          </w:p>
          <w:p w14:paraId="2DD69B1F" w14:textId="35025AEA"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 xml:space="preserve">Does the patient have </w:t>
            </w:r>
            <w:proofErr w:type="gramStart"/>
            <w:r>
              <w:t>sufficient</w:t>
            </w:r>
            <w:proofErr w:type="gramEnd"/>
            <w:r>
              <w:t xml:space="preserve"> physical function and endurance for general participation?</w:t>
            </w:r>
          </w:p>
          <w:p w14:paraId="1D09D0BA" w14:textId="36669368"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Will the patient have access to assistance from a carer/s during the session?</w:t>
            </w:r>
          </w:p>
          <w:p w14:paraId="59A63CBE" w14:textId="48F48F9B"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Has the patient had prior face-to-face contact with the allied health professional?</w:t>
            </w:r>
          </w:p>
        </w:tc>
        <w:tc>
          <w:tcPr>
            <w:tcW w:w="3201" w:type="dxa"/>
          </w:tcPr>
          <w:p w14:paraId="18BFE2EE" w14:textId="6935FD4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patient’s presenting physical condition and premorbid history potentially preclude the use of telehealth delivery approaches?</w:t>
            </w:r>
          </w:p>
          <w:p w14:paraId="147180EE" w14:textId="57419F8C"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patient presenting with an acute or pre-existing physical issue?</w:t>
            </w:r>
          </w:p>
          <w:p w14:paraId="616BF457" w14:textId="0B929E25"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Are the results of diagnostic tests, pathology and scans available to support accurate assessment and diagnosis?</w:t>
            </w:r>
          </w:p>
          <w:p w14:paraId="59751AD1" w14:textId="12C9B495"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there a higher risk of inaccurate diagnosis or inappropriate treatment associated with telehealth delivery?</w:t>
            </w:r>
          </w:p>
        </w:tc>
        <w:tc>
          <w:tcPr>
            <w:tcW w:w="3201" w:type="dxa"/>
          </w:tcPr>
          <w:p w14:paraId="794B48E0" w14:textId="5F216203"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patient’s presenting cognitive/mental health and/or psychosocial issues and premorbid history potentially preclude the use of telehealth delivery approaches?</w:t>
            </w:r>
          </w:p>
          <w:p w14:paraId="5837ADAA" w14:textId="1EB9FB89"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patient/client presenting with an acute or long-standing psychosocial issue?</w:t>
            </w:r>
          </w:p>
          <w:p w14:paraId="6B0E28FF" w14:textId="5FF3869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Are other preliminary assessments/reports available to support accurate assessment and diagnosis?</w:t>
            </w:r>
          </w:p>
          <w:p w14:paraId="1947C177" w14:textId="1C7E53AD"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there a higher risk of inaccurate diagnosis or inappropriate treatment associated with telehealth delivery?</w:t>
            </w:r>
          </w:p>
          <w:p w14:paraId="7C929CF0" w14:textId="355CD603"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patient potentially at higher overall risk if receiving telehealth delivery?</w:t>
            </w:r>
          </w:p>
        </w:tc>
      </w:tr>
      <w:tr w:rsidR="00034166" w14:paraId="59E4460E" w14:textId="77777777" w:rsidTr="003B6B44">
        <w:trPr>
          <w:cantSplit/>
          <w:trHeight w:val="1134"/>
        </w:trPr>
        <w:tc>
          <w:tcPr>
            <w:cnfStyle w:val="001000000000" w:firstRow="0" w:lastRow="0" w:firstColumn="1" w:lastColumn="0" w:oddVBand="0" w:evenVBand="0" w:oddHBand="0" w:evenHBand="0" w:firstRowFirstColumn="0" w:firstRowLastColumn="0" w:lastRowFirstColumn="0" w:lastRowLastColumn="0"/>
            <w:tcW w:w="602" w:type="dxa"/>
            <w:textDirection w:val="btLr"/>
          </w:tcPr>
          <w:p w14:paraId="2FA1930B" w14:textId="165B9B67" w:rsidR="00034166" w:rsidRPr="00D80021" w:rsidRDefault="00034166" w:rsidP="00D535F9">
            <w:pPr>
              <w:jc w:val="center"/>
            </w:pPr>
            <w:r w:rsidRPr="00D535F9">
              <w:rPr>
                <w:sz w:val="20"/>
                <w:szCs w:val="24"/>
              </w:rPr>
              <w:lastRenderedPageBreak/>
              <w:t>Task</w:t>
            </w:r>
          </w:p>
        </w:tc>
        <w:tc>
          <w:tcPr>
            <w:tcW w:w="3200" w:type="dxa"/>
          </w:tcPr>
          <w:p w14:paraId="5D2F5755" w14:textId="458AF37A"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Can best practice assessment and intervention approaches for the patient’s clinical condition be readily adapted to telehealth?</w:t>
            </w:r>
          </w:p>
          <w:p w14:paraId="7C3644BF" w14:textId="6256AA8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assessment or intervention proposed as standalone telehealth delivery or as part of a combined face-to-face/</w:t>
            </w:r>
            <w:r>
              <w:br/>
              <w:t>telehealth approach?</w:t>
            </w:r>
          </w:p>
          <w:p w14:paraId="48F850AB" w14:textId="108C5FF7"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a single discipline or interdisciplinary approach best indicated for the patient’s presenting condition?</w:t>
            </w:r>
          </w:p>
          <w:p w14:paraId="6492DE11" w14:textId="744A52C8"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Can all required disciplines provide their respective assessments and interventions via telehealth delivery?</w:t>
            </w:r>
          </w:p>
        </w:tc>
        <w:tc>
          <w:tcPr>
            <w:tcW w:w="3201" w:type="dxa"/>
          </w:tcPr>
          <w:p w14:paraId="10CDFE71" w14:textId="01F60181"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assessment require close inspection of the patient’s physical appearance or function that may not be discernible via information technologies? – e.g. eye saccades, capillary bed filling, skin pallor, sweating</w:t>
            </w:r>
          </w:p>
          <w:p w14:paraId="715E208B" w14:textId="55A47599"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assessment or intervention require physical examination that can only be provided by the allied health professional? – e.g. sensory feedback via touch/handling of the affected limb, application of physical modalities (such as traction, ultrasound and paraffin baths), fitting of prosthetics, orthotics or adaptive equipment to the body</w:t>
            </w:r>
          </w:p>
        </w:tc>
        <w:tc>
          <w:tcPr>
            <w:tcW w:w="3201" w:type="dxa"/>
          </w:tcPr>
          <w:p w14:paraId="0730A67A" w14:textId="3251AA10"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assessment require close inspection of the patient’s physical appearance and behaviours that may not be discernible via information technologies? – e.g. personal hygiene, potential weight loss, degree of eye contact</w:t>
            </w:r>
          </w:p>
          <w:p w14:paraId="431363B1" w14:textId="57771DCA"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the nature of the assessment or intervention best delivered via telehealth or face-to-face? – e.g. domestic violence counselling, grief/loss support</w:t>
            </w:r>
          </w:p>
        </w:tc>
      </w:tr>
      <w:tr w:rsidR="00034166" w14:paraId="29237AAA" w14:textId="77777777" w:rsidTr="003B6B44">
        <w:trPr>
          <w:cantSplit/>
          <w:trHeight w:val="1134"/>
        </w:trPr>
        <w:tc>
          <w:tcPr>
            <w:cnfStyle w:val="001000000000" w:firstRow="0" w:lastRow="0" w:firstColumn="1" w:lastColumn="0" w:oddVBand="0" w:evenVBand="0" w:oddHBand="0" w:evenHBand="0" w:firstRowFirstColumn="0" w:firstRowLastColumn="0" w:lastRowFirstColumn="0" w:lastRowLastColumn="0"/>
            <w:tcW w:w="602" w:type="dxa"/>
            <w:textDirection w:val="btLr"/>
          </w:tcPr>
          <w:p w14:paraId="25606F3D" w14:textId="4A168579" w:rsidR="00034166" w:rsidRPr="00D80021" w:rsidRDefault="00034166" w:rsidP="00D535F9">
            <w:pPr>
              <w:jc w:val="center"/>
            </w:pPr>
            <w:r w:rsidRPr="00D535F9">
              <w:rPr>
                <w:sz w:val="20"/>
                <w:szCs w:val="24"/>
              </w:rPr>
              <w:t>Therapy resources and environment</w:t>
            </w:r>
          </w:p>
        </w:tc>
        <w:tc>
          <w:tcPr>
            <w:tcW w:w="3200" w:type="dxa"/>
          </w:tcPr>
          <w:p w14:paraId="3D485AB2" w14:textId="0FBEA8D3"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Does the patent require access to therapy equipment items to complete aspects of their assessment or intervention?</w:t>
            </w:r>
          </w:p>
          <w:p w14:paraId="1BCC38A8" w14:textId="205F6359"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Can therapy equipment be sourced from everyday household items or is specialist therapy equipment required?</w:t>
            </w:r>
          </w:p>
          <w:p w14:paraId="04A63E48" w14:textId="067305C2"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Is supervision or assistance required to set up or operate required equipment items?</w:t>
            </w:r>
          </w:p>
          <w:p w14:paraId="78AFFAF0" w14:textId="05B08E57"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Are mechanisms in place to loan/deliver required therapy equipment prior to the patient commencing telehealth sessions?</w:t>
            </w:r>
          </w:p>
          <w:p w14:paraId="7F983D11" w14:textId="61514F2F" w:rsidR="00034166" w:rsidRDefault="00034166" w:rsidP="00D535F9">
            <w:pPr>
              <w:pStyle w:val="Bullet1"/>
              <w:cnfStyle w:val="000000000000" w:firstRow="0" w:lastRow="0" w:firstColumn="0" w:lastColumn="0" w:oddVBand="0" w:evenVBand="0" w:oddHBand="0" w:evenHBand="0" w:firstRowFirstColumn="0" w:firstRowLastColumn="0" w:lastRowFirstColumn="0" w:lastRowLastColumn="0"/>
            </w:pPr>
            <w:r>
              <w:t xml:space="preserve">Is the patient's home environment suitable for the required assessment or intervention? – e.g. level of privacy, free from distractions, </w:t>
            </w:r>
            <w:proofErr w:type="gramStart"/>
            <w:r>
              <w:t>sufficient</w:t>
            </w:r>
            <w:proofErr w:type="gramEnd"/>
            <w:r>
              <w:t xml:space="preserve"> physical space, potential safety hazards</w:t>
            </w:r>
          </w:p>
        </w:tc>
        <w:tc>
          <w:tcPr>
            <w:tcW w:w="3201" w:type="dxa"/>
          </w:tcPr>
          <w:p w14:paraId="0E6BA113" w14:textId="77777777" w:rsidR="00034166" w:rsidRDefault="00034166" w:rsidP="00D535F9">
            <w:pPr>
              <w:cnfStyle w:val="000000000000" w:firstRow="0" w:lastRow="0" w:firstColumn="0" w:lastColumn="0" w:oddVBand="0" w:evenVBand="0" w:oddHBand="0" w:evenHBand="0" w:firstRowFirstColumn="0" w:firstRowLastColumn="0" w:lastRowFirstColumn="0" w:lastRowLastColumn="0"/>
            </w:pPr>
          </w:p>
        </w:tc>
        <w:tc>
          <w:tcPr>
            <w:tcW w:w="3201" w:type="dxa"/>
          </w:tcPr>
          <w:p w14:paraId="520F1EF5" w14:textId="77777777" w:rsidR="00034166" w:rsidRDefault="00034166" w:rsidP="00D535F9">
            <w:pPr>
              <w:cnfStyle w:val="000000000000" w:firstRow="0" w:lastRow="0" w:firstColumn="0" w:lastColumn="0" w:oddVBand="0" w:evenVBand="0" w:oddHBand="0" w:evenHBand="0" w:firstRowFirstColumn="0" w:firstRowLastColumn="0" w:lastRowFirstColumn="0" w:lastRowLastColumn="0"/>
            </w:pPr>
          </w:p>
        </w:tc>
      </w:tr>
    </w:tbl>
    <w:p w14:paraId="70EA3054" w14:textId="634CFA21" w:rsidR="00034166" w:rsidRDefault="00034166" w:rsidP="00D535F9"/>
    <w:p w14:paraId="1B24A852" w14:textId="77777777" w:rsidR="00034166" w:rsidRPr="00034166" w:rsidRDefault="00034166" w:rsidP="00D535F9"/>
    <w:p w14:paraId="2ADE02E0" w14:textId="5163BF77" w:rsidR="00A223CB" w:rsidRDefault="00A223CB" w:rsidP="00D535F9">
      <w:pPr>
        <w:sectPr w:rsidR="00A223CB" w:rsidSect="00265EC8">
          <w:type w:val="continuous"/>
          <w:pgSz w:w="11906" w:h="16838" w:code="9"/>
          <w:pgMar w:top="3402" w:right="851" w:bottom="1361" w:left="851" w:header="539" w:footer="624" w:gutter="0"/>
          <w:pgNumType w:start="1"/>
          <w:cols w:space="284"/>
          <w:docGrid w:linePitch="360"/>
        </w:sectPr>
      </w:pPr>
    </w:p>
    <w:p w14:paraId="754EC066" w14:textId="04666DFD" w:rsidR="00672B12" w:rsidRDefault="000D0F95" w:rsidP="00D535F9">
      <w:pPr>
        <w:pStyle w:val="Heading2"/>
      </w:pPr>
      <w:bookmarkStart w:id="2" w:name="_Toc45895456"/>
      <w:bookmarkStart w:id="3" w:name="_Toc514232176"/>
      <w:bookmarkStart w:id="4" w:name="_Toc514607540"/>
      <w:r>
        <w:lastRenderedPageBreak/>
        <w:t>S</w:t>
      </w:r>
      <w:r w:rsidR="00672B12">
        <w:t>tructural considerations</w:t>
      </w:r>
      <w:bookmarkEnd w:id="2"/>
    </w:p>
    <w:p w14:paraId="6937FBB1" w14:textId="4B2FBB4C" w:rsidR="00672B12" w:rsidRDefault="00672B12" w:rsidP="00D535F9">
      <w:pPr>
        <w:pStyle w:val="Normalfollowingheading"/>
      </w:pPr>
      <w:r>
        <w:t xml:space="preserve">In addition to clinical suitability, </w:t>
      </w:r>
      <w:proofErr w:type="gramStart"/>
      <w:r>
        <w:t>a number of</w:t>
      </w:r>
      <w:proofErr w:type="gramEnd"/>
      <w:r>
        <w:t xml:space="preserve"> structural factors must also be considered in the best practice application of models of telehealth service delivery.</w:t>
      </w:r>
      <w:r w:rsidR="00A91C21">
        <w:t xml:space="preserve"> </w:t>
      </w:r>
      <w:r>
        <w:t xml:space="preserve">This is consistent with the experience of health services </w:t>
      </w:r>
      <w:r w:rsidR="00C34E40">
        <w:t xml:space="preserve">that </w:t>
      </w:r>
      <w:r>
        <w:t>have been able to successfully deliver a significant proportion of speciality clinic activity via telehealth during the COVID-19 response (Reeves et al., 2020).</w:t>
      </w:r>
    </w:p>
    <w:p w14:paraId="409DC3E3" w14:textId="585D541C" w:rsidR="007E459B" w:rsidRPr="00D535F9" w:rsidRDefault="007E459B" w:rsidP="00D535F9">
      <w:pPr>
        <w:pStyle w:val="Heading3"/>
      </w:pPr>
      <w:r w:rsidRPr="00D535F9">
        <w:t xml:space="preserve">Clinical </w:t>
      </w:r>
      <w:r w:rsidR="00B86869" w:rsidRPr="00D535F9">
        <w:t>g</w:t>
      </w:r>
      <w:r w:rsidRPr="00D535F9">
        <w:t>overnance</w:t>
      </w:r>
      <w:commentRangeStart w:id="5"/>
      <w:commentRangeEnd w:id="5"/>
    </w:p>
    <w:p w14:paraId="23BFB235" w14:textId="4D91AB47" w:rsidR="00672B12" w:rsidRDefault="00672B12" w:rsidP="00D535F9">
      <w:pPr>
        <w:pStyle w:val="Normalfollowingheading"/>
      </w:pPr>
      <w:r>
        <w:t xml:space="preserve">Clinical governance arrangements for face-to-face versus telehealth clinical service delivery </w:t>
      </w:r>
      <w:r w:rsidR="00C46BE9">
        <w:t xml:space="preserve">need </w:t>
      </w:r>
      <w:r>
        <w:t xml:space="preserve">not be identical, but must </w:t>
      </w:r>
      <w:r w:rsidR="00C46BE9">
        <w:t xml:space="preserve">ensure the same level of </w:t>
      </w:r>
      <w:r>
        <w:t xml:space="preserve">effectiveness, safety, timeliness and equity of clinical care </w:t>
      </w:r>
      <w:r w:rsidR="00C46BE9">
        <w:t xml:space="preserve">is </w:t>
      </w:r>
      <w:r>
        <w:t>offered. Compliance with clinical practice standards, adherence to scope of practice, clearly defined roles/responsibilities</w:t>
      </w:r>
      <w:r w:rsidR="00C46BE9">
        <w:t>,</w:t>
      </w:r>
      <w:r>
        <w:t xml:space="preserve"> and embedded clinical review mechanisms are essential to support the provision of high</w:t>
      </w:r>
      <w:r w:rsidR="00C46BE9">
        <w:t>-</w:t>
      </w:r>
      <w:r>
        <w:t>quality and safe patient care and must be considered in transposing clinical care models to telehealth delivery.</w:t>
      </w:r>
    </w:p>
    <w:p w14:paraId="68649C8E" w14:textId="6E7757C5" w:rsidR="007E459B" w:rsidRDefault="007E459B" w:rsidP="00D535F9">
      <w:pPr>
        <w:pStyle w:val="Heading3"/>
      </w:pPr>
      <w:r>
        <w:t>Funding</w:t>
      </w:r>
    </w:p>
    <w:p w14:paraId="342FA182" w14:textId="52E5CECB" w:rsidR="00FF6BB9" w:rsidRDefault="00672B12" w:rsidP="00D535F9">
      <w:pPr>
        <w:pStyle w:val="Normalfollowingheading"/>
      </w:pPr>
      <w:r>
        <w:t>From a business/operational perspective, it is important to ensure that service funding requirements support the delivery of clinical services via telehealth. The Victorian health services’ policy and funding guidelines 2019</w:t>
      </w:r>
      <w:r w:rsidR="00FF6BB9">
        <w:t>–</w:t>
      </w:r>
      <w:r>
        <w:t xml:space="preserve">20 (DHHS, 2019) include provisions that support the delivery of acute specialist clinics and emergency department service events via telehealth within existing acute care funding models (i.e. Weighted Ambulatory Service Events funding for speciality clinics, and Non-Admitted Emergency Services Grants for emergency departments). </w:t>
      </w:r>
    </w:p>
    <w:p w14:paraId="0C246D3B" w14:textId="5B9A8D41" w:rsidR="00672B12" w:rsidRDefault="00672B12" w:rsidP="00D535F9">
      <w:r>
        <w:t>Similarly, block funding guidelines for subacute non</w:t>
      </w:r>
      <w:r w:rsidR="00FF6BB9">
        <w:t>-</w:t>
      </w:r>
      <w:r>
        <w:t>admitted services (e.g. Health Independence Programs</w:t>
      </w:r>
      <w:r w:rsidR="00FF6BB9">
        <w:t>,</w:t>
      </w:r>
      <w:r>
        <w:t xml:space="preserve"> including </w:t>
      </w:r>
      <w:proofErr w:type="spellStart"/>
      <w:r>
        <w:t>Post Acute</w:t>
      </w:r>
      <w:proofErr w:type="spellEnd"/>
      <w:r>
        <w:t xml:space="preserve"> Care, Subacute Ambulatory Care Services, </w:t>
      </w:r>
      <w:r w:rsidR="00FF6BB9">
        <w:t xml:space="preserve">the </w:t>
      </w:r>
      <w:r>
        <w:t>Hospital Admission Risk Program and residential in-reach services) do not preclude telehealth delivery of direct non-admitted contacts. However, indirect contacts via telehealth (such as case conferencing with a patient’s GP) are excluded from activity targets and are encompassed in the unit price for direct non-admitted care (DHHS, 2019). For allied health, this provides for significant flexibility in the delivery of care and services within public hospitals and networked health services.</w:t>
      </w:r>
    </w:p>
    <w:p w14:paraId="27166257" w14:textId="75223D28" w:rsidR="007E459B" w:rsidRDefault="007E459B" w:rsidP="00D535F9">
      <w:pPr>
        <w:pStyle w:val="Heading3"/>
      </w:pPr>
      <w:r>
        <w:t>Administrative and technical support</w:t>
      </w:r>
    </w:p>
    <w:p w14:paraId="6C7F18F8" w14:textId="04936F02" w:rsidR="00672B12" w:rsidRDefault="00672B12" w:rsidP="00D535F9">
      <w:pPr>
        <w:pStyle w:val="Normalfollowingheading"/>
      </w:pPr>
      <w:r>
        <w:t>Adequate administrative and technical staff resourcing is also essential to ensure the coordinated delivery of clinical services via telehealth</w:t>
      </w:r>
      <w:r w:rsidR="00FF6BB9">
        <w:t xml:space="preserve"> –</w:t>
      </w:r>
      <w:r>
        <w:t xml:space="preserve"> in particular</w:t>
      </w:r>
      <w:r w:rsidR="00FF6BB9">
        <w:t>,</w:t>
      </w:r>
      <w:r>
        <w:t xml:space="preserve"> support for appointment scheduling, activity data/billing</w:t>
      </w:r>
      <w:r w:rsidR="00FF6BB9">
        <w:t>,</w:t>
      </w:r>
      <w:r>
        <w:t xml:space="preserve"> and technical set-up and troubleshooting functions. As well as providing a better patient experience, this level of support enables clinical staff to work at the top of their scope of practice and enhances service productivity.</w:t>
      </w:r>
    </w:p>
    <w:p w14:paraId="328AE801" w14:textId="77777777" w:rsidR="00DF3554" w:rsidRDefault="00DF3554" w:rsidP="00D535F9">
      <w:pPr>
        <w:sectPr w:rsidR="00DF3554" w:rsidSect="003F4AFE">
          <w:pgSz w:w="11906" w:h="16838" w:code="9"/>
          <w:pgMar w:top="3402" w:right="851" w:bottom="1361" w:left="851" w:header="539" w:footer="624" w:gutter="0"/>
          <w:cols w:space="284"/>
          <w:docGrid w:linePitch="360"/>
        </w:sectPr>
      </w:pPr>
    </w:p>
    <w:p w14:paraId="26D7535C" w14:textId="3FAEDE17" w:rsidR="003F4AFE" w:rsidRDefault="003F4AFE" w:rsidP="00D535F9">
      <w:r>
        <w:br w:type="page"/>
      </w:r>
    </w:p>
    <w:p w14:paraId="1577DE0C" w14:textId="5FBCC1E1" w:rsidR="003F4AFE" w:rsidRDefault="000D0F95" w:rsidP="00D535F9">
      <w:pPr>
        <w:pStyle w:val="Heading1"/>
        <w:framePr w:wrap="around"/>
      </w:pPr>
      <w:bookmarkStart w:id="6" w:name="_Toc45895457"/>
      <w:r>
        <w:lastRenderedPageBreak/>
        <w:t>Allied health service t</w:t>
      </w:r>
      <w:r w:rsidR="003F4AFE" w:rsidRPr="003F4AFE">
        <w:t>elehealth models</w:t>
      </w:r>
      <w:bookmarkEnd w:id="6"/>
    </w:p>
    <w:p w14:paraId="73BB1080" w14:textId="6AF921C7" w:rsidR="00680BD6" w:rsidRDefault="004966EC" w:rsidP="00D535F9">
      <w:pPr>
        <w:pStyle w:val="IntroductoryText"/>
      </w:pPr>
      <w:bookmarkStart w:id="7" w:name="_Toc514232178"/>
      <w:bookmarkStart w:id="8" w:name="_Toc514607542"/>
      <w:bookmarkEnd w:id="3"/>
      <w:bookmarkEnd w:id="4"/>
      <w:r>
        <w:t>Models to support the delivery of traditional</w:t>
      </w:r>
      <w:r w:rsidR="00F76ACD">
        <w:t>,</w:t>
      </w:r>
      <w:r>
        <w:t xml:space="preserve"> face-to-face allied health clinical services via telehealth can be conceptualised as consisting of four elements.</w:t>
      </w:r>
    </w:p>
    <w:p w14:paraId="3DAB283E" w14:textId="03BACA97" w:rsidR="00680BD6" w:rsidRDefault="00DC777D" w:rsidP="00D535F9">
      <w:r>
        <w:rPr>
          <w:noProof/>
        </w:rPr>
        <mc:AlternateContent>
          <mc:Choice Requires="wpg">
            <w:drawing>
              <wp:inline distT="0" distB="0" distL="0" distR="0" wp14:anchorId="2FFAC698" wp14:editId="71BD5FAF">
                <wp:extent cx="6464300" cy="683895"/>
                <wp:effectExtent l="0" t="0" r="0" b="1905"/>
                <wp:docPr id="84" name="Group 84"/>
                <wp:cNvGraphicFramePr/>
                <a:graphic xmlns:a="http://schemas.openxmlformats.org/drawingml/2006/main">
                  <a:graphicData uri="http://schemas.microsoft.com/office/word/2010/wordprocessingGroup">
                    <wpg:wgp>
                      <wpg:cNvGrpSpPr/>
                      <wpg:grpSpPr>
                        <a:xfrm>
                          <a:off x="0" y="0"/>
                          <a:ext cx="6464300" cy="683895"/>
                          <a:chOff x="0" y="0"/>
                          <a:chExt cx="6464300" cy="683895"/>
                        </a:xfrm>
                      </wpg:grpSpPr>
                      <wps:wsp>
                        <wps:cNvPr id="1" name="Rectangle 1"/>
                        <wps:cNvSpPr/>
                        <wps:spPr>
                          <a:xfrm>
                            <a:off x="0" y="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0B362C61" w14:textId="77777777" w:rsidR="00F80678" w:rsidRPr="00D535F9" w:rsidRDefault="00F80678" w:rsidP="00D535F9">
                              <w:pPr>
                                <w:pStyle w:val="Tabletextcentred"/>
                                <w:rPr>
                                  <w:b/>
                                  <w:bCs/>
                                </w:rPr>
                              </w:pPr>
                              <w:r w:rsidRPr="00D535F9">
                                <w:rPr>
                                  <w:b/>
                                  <w:bCs/>
                                </w:rPr>
                                <w:t>Practice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66CAF169" w14:textId="77777777" w:rsidR="00F80678" w:rsidRPr="00D535F9" w:rsidRDefault="00F80678" w:rsidP="00D535F9">
                              <w:pPr>
                                <w:pStyle w:val="Tabletextcentred"/>
                                <w:rPr>
                                  <w:b/>
                                  <w:bCs/>
                                </w:rPr>
                              </w:pPr>
                              <w:r w:rsidRPr="00D535F9">
                                <w:rPr>
                                  <w:b/>
                                  <w:bCs/>
                                </w:rPr>
                                <w:t>Clinical need and considerations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474720" y="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7FE3F214" w14:textId="77777777" w:rsidR="00F80678" w:rsidRPr="00D535F9" w:rsidRDefault="00F80678" w:rsidP="00D535F9">
                              <w:pPr>
                                <w:pStyle w:val="Tabletextcentred"/>
                                <w:rPr>
                                  <w:b/>
                                  <w:bCs/>
                                </w:rPr>
                              </w:pPr>
                              <w:r w:rsidRPr="00D535F9">
                                <w:rPr>
                                  <w:b/>
                                  <w:bCs/>
                                </w:rPr>
                                <w:t>Workforce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lus Sign 12"/>
                        <wps:cNvSpPr/>
                        <wps:spPr>
                          <a:xfrm>
                            <a:off x="13258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lus Sign 8"/>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lus Sign 7"/>
                        <wps:cNvSpPr/>
                        <wps:spPr>
                          <a:xfrm>
                            <a:off x="47929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204460" y="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1CD1AEFC" w14:textId="77777777" w:rsidR="00F80678" w:rsidRPr="00D535F9" w:rsidRDefault="00F80678" w:rsidP="00D535F9">
                              <w:pPr>
                                <w:pStyle w:val="Tabletextcentred"/>
                                <w:rPr>
                                  <w:b/>
                                  <w:bCs/>
                                </w:rPr>
                              </w:pPr>
                              <w:r w:rsidRPr="00D535F9">
                                <w:rPr>
                                  <w:b/>
                                  <w:bCs/>
                                </w:rPr>
                                <w:t>Telehealth delivery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FAC698" id="Group 84" o:spid="_x0000_s1026" style="width:509pt;height:53.85pt;mso-position-horizontal-relative:char;mso-position-vertical-relative:line" coordsize="64643,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">
                <v:rect id="Rectangle 1" o:spid="_x0000_s1027" style="position:absolute;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" fillcolor="#80bac3 [3205]" stroked="f" strokeweight="1pt">
                  <v:textbox>
                    <w:txbxContent>
                      <w:p w14:paraId="0B362C61" w14:textId="77777777" w:rsidR="00F80678" w:rsidRPr="00D535F9" w:rsidRDefault="00F80678" w:rsidP="00D535F9">
                        <w:pPr>
                          <w:pStyle w:val="Tabletextcentred"/>
                          <w:rPr>
                            <w:b/>
                            <w:bCs/>
                          </w:rPr>
                        </w:pPr>
                        <w:r w:rsidRPr="00D535F9">
                          <w:rPr>
                            <w:b/>
                            <w:bCs/>
                          </w:rPr>
                          <w:t>Practice setting</w:t>
                        </w:r>
                      </w:p>
                    </w:txbxContent>
                  </v:textbox>
                </v:rect>
                <v:rect id="Rectangle 11" o:spid="_x0000_s1028"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" fillcolor="#bfdde1 [3206]" stroked="f" strokeweight="1pt">
                  <v:textbox>
                    <w:txbxContent>
                      <w:p w14:paraId="66CAF169" w14:textId="77777777" w:rsidR="00F80678" w:rsidRPr="00D535F9" w:rsidRDefault="00F80678" w:rsidP="00D535F9">
                        <w:pPr>
                          <w:pStyle w:val="Tabletextcentred"/>
                          <w:rPr>
                            <w:b/>
                            <w:bCs/>
                          </w:rPr>
                        </w:pPr>
                        <w:r w:rsidRPr="00D535F9">
                          <w:rPr>
                            <w:b/>
                            <w:bCs/>
                          </w:rPr>
                          <w:t>Clinical need and considerations</w:t>
                        </w:r>
                      </w:p>
                    </w:txbxContent>
                  </v:textbox>
                </v:rect>
                <v:rect id="Rectangle 6" o:spid="_x0000_s1029" style="position:absolute;left:34747;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" fillcolor="#e5f1f3 [661]" stroked="f" strokeweight="1pt">
                  <v:textbox>
                    <w:txbxContent>
                      <w:p w14:paraId="7FE3F214" w14:textId="77777777" w:rsidR="00F80678" w:rsidRPr="00D535F9" w:rsidRDefault="00F80678" w:rsidP="00D535F9">
                        <w:pPr>
                          <w:pStyle w:val="Tabletextcentred"/>
                          <w:rPr>
                            <w:b/>
                            <w:bCs/>
                          </w:rPr>
                        </w:pPr>
                        <w:r w:rsidRPr="00D535F9">
                          <w:rPr>
                            <w:b/>
                            <w:bCs/>
                          </w:rPr>
                          <w:t>Workforce requirements</w:t>
                        </w:r>
                      </w:p>
                    </w:txbxContent>
                  </v:textbox>
                </v:rect>
                <v:shape id="Plus Sign 12" o:spid="_x0000_s1030" style="position:absolute;left:13258;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8" o:spid="_x0000_s1031"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7" o:spid="_x0000_s1032" style="position:absolute;left:47929;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14" o:spid="_x0000_s1033" style="position:absolute;left:52044;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" fillcolor="#e5e5e7 [664]" stroked="f" strokeweight="1pt">
                  <v:textbox>
                    <w:txbxContent>
                      <w:p w14:paraId="1CD1AEFC" w14:textId="77777777" w:rsidR="00F80678" w:rsidRPr="00D535F9" w:rsidRDefault="00F80678" w:rsidP="00D535F9">
                        <w:pPr>
                          <w:pStyle w:val="Tabletextcentred"/>
                          <w:rPr>
                            <w:b/>
                            <w:bCs/>
                          </w:rPr>
                        </w:pPr>
                        <w:r w:rsidRPr="00D535F9">
                          <w:rPr>
                            <w:b/>
                            <w:bCs/>
                          </w:rPr>
                          <w:t>Telehealth delivery approach</w:t>
                        </w:r>
                      </w:p>
                    </w:txbxContent>
                  </v:textbox>
                </v:rect>
                <w10:anchorlock/>
              </v:group>
            </w:pict>
          </mc:Fallback>
        </mc:AlternateContent>
      </w:r>
    </w:p>
    <w:tbl>
      <w:tblPr>
        <w:tblStyle w:val="TableGrid"/>
        <w:tblW w:w="0" w:type="auto"/>
        <w:tblLook w:val="0400" w:firstRow="0" w:lastRow="0" w:firstColumn="0" w:lastColumn="0" w:noHBand="0" w:noVBand="1"/>
      </w:tblPr>
      <w:tblGrid>
        <w:gridCol w:w="10204"/>
      </w:tblGrid>
      <w:tr w:rsidR="00DF3554" w:rsidRPr="008B61B4" w14:paraId="751195E4" w14:textId="77777777" w:rsidTr="00B86869">
        <w:tc>
          <w:tcPr>
            <w:tcW w:w="0" w:type="auto"/>
            <w:tcBorders>
              <w:top w:val="nil"/>
              <w:bottom w:val="nil"/>
            </w:tcBorders>
            <w:shd w:val="clear" w:color="auto" w:fill="80BAC3" w:themeFill="accent2"/>
          </w:tcPr>
          <w:p w14:paraId="59C1A631" w14:textId="7CB58628" w:rsidR="00DF3554" w:rsidRPr="00D535F9" w:rsidRDefault="008C083C" w:rsidP="00D535F9">
            <w:pPr>
              <w:rPr>
                <w:b/>
                <w:bCs/>
              </w:rPr>
            </w:pPr>
            <w:r w:rsidRPr="00D535F9">
              <w:rPr>
                <w:b/>
                <w:bCs/>
              </w:rPr>
              <w:t xml:space="preserve">Practice </w:t>
            </w:r>
            <w:r w:rsidR="00A671C3" w:rsidRPr="00D535F9">
              <w:rPr>
                <w:b/>
                <w:bCs/>
              </w:rPr>
              <w:t>s</w:t>
            </w:r>
            <w:r w:rsidRPr="00D535F9">
              <w:rPr>
                <w:b/>
                <w:bCs/>
              </w:rPr>
              <w:t>etting</w:t>
            </w:r>
          </w:p>
        </w:tc>
      </w:tr>
      <w:tr w:rsidR="00DF3554" w14:paraId="0ADAB23F" w14:textId="77777777" w:rsidTr="00B86869">
        <w:tc>
          <w:tcPr>
            <w:tcW w:w="0" w:type="auto"/>
            <w:tcBorders>
              <w:top w:val="nil"/>
              <w:bottom w:val="nil"/>
            </w:tcBorders>
            <w:shd w:val="clear" w:color="auto" w:fill="auto"/>
          </w:tcPr>
          <w:p w14:paraId="22F7831E" w14:textId="77777777" w:rsidR="00A671C3" w:rsidRDefault="00080A46" w:rsidP="00D535F9">
            <w:pPr>
              <w:spacing w:before="120" w:after="120" w:line="220" w:lineRule="atLeast"/>
            </w:pPr>
            <w:r>
              <w:t>Examples of admitted/inpatient care that may translate to telehealth delivery (e.g. acute, subacute and transitional care settings) include:</w:t>
            </w:r>
          </w:p>
          <w:p w14:paraId="39AC6F6F" w14:textId="5B7B2645" w:rsidR="00A671C3" w:rsidRPr="00A671C3" w:rsidRDefault="00F76ACD" w:rsidP="00D535F9">
            <w:pPr>
              <w:pStyle w:val="ListParagraph"/>
              <w:numPr>
                <w:ilvl w:val="0"/>
                <w:numId w:val="13"/>
              </w:numPr>
              <w:spacing w:before="120" w:after="120" w:line="220" w:lineRule="atLeast"/>
            </w:pPr>
            <w:r>
              <w:t>p</w:t>
            </w:r>
            <w:r w:rsidR="00080A46" w:rsidRPr="00A671C3">
              <w:t>rovision of components of patient management if the clinician is unable to attend at the bedside</w:t>
            </w:r>
          </w:p>
          <w:p w14:paraId="2ABE5910" w14:textId="1E77FF6F" w:rsidR="00A671C3" w:rsidRPr="00A671C3" w:rsidRDefault="00F76ACD" w:rsidP="00D535F9">
            <w:pPr>
              <w:pStyle w:val="ListParagraph"/>
              <w:numPr>
                <w:ilvl w:val="0"/>
                <w:numId w:val="13"/>
              </w:numPr>
              <w:spacing w:before="120" w:after="120" w:line="220" w:lineRule="atLeast"/>
            </w:pPr>
            <w:r>
              <w:t>a</w:t>
            </w:r>
            <w:r w:rsidR="00080A46" w:rsidRPr="00A671C3">
              <w:t>ccess to specialist consultation (particularly in regional/rural areas)</w:t>
            </w:r>
          </w:p>
          <w:p w14:paraId="5819E629" w14:textId="7C8EFB0B" w:rsidR="00A671C3" w:rsidRPr="00A671C3" w:rsidRDefault="00F76ACD" w:rsidP="00D535F9">
            <w:pPr>
              <w:pStyle w:val="ListParagraph"/>
              <w:numPr>
                <w:ilvl w:val="0"/>
                <w:numId w:val="13"/>
              </w:numPr>
              <w:spacing w:before="120" w:after="120" w:line="220" w:lineRule="atLeast"/>
            </w:pPr>
            <w:r>
              <w:t>i</w:t>
            </w:r>
            <w:r w:rsidR="00080A46" w:rsidRPr="00A671C3">
              <w:t>ntegration with other community providers involved in care provision</w:t>
            </w:r>
          </w:p>
          <w:p w14:paraId="341DF417" w14:textId="1441DE45" w:rsidR="00080A46" w:rsidRPr="00A671C3" w:rsidRDefault="00F76ACD" w:rsidP="00D535F9">
            <w:pPr>
              <w:pStyle w:val="ListParagraph"/>
              <w:numPr>
                <w:ilvl w:val="0"/>
                <w:numId w:val="13"/>
              </w:numPr>
              <w:spacing w:before="120" w:after="120" w:line="220" w:lineRule="atLeast"/>
            </w:pPr>
            <w:r>
              <w:t>c</w:t>
            </w:r>
            <w:r w:rsidR="00080A46" w:rsidRPr="00A671C3">
              <w:t xml:space="preserve">onnection with carers/family </w:t>
            </w:r>
            <w:r>
              <w:t xml:space="preserve">who are </w:t>
            </w:r>
            <w:r w:rsidR="00080A46" w:rsidRPr="00A671C3">
              <w:t>unable to physical</w:t>
            </w:r>
            <w:r>
              <w:t>ly</w:t>
            </w:r>
            <w:r w:rsidR="00080A46" w:rsidRPr="00A671C3">
              <w:t xml:space="preserve"> attend the inpatient care setting.</w:t>
            </w:r>
          </w:p>
          <w:p w14:paraId="518BAA4A" w14:textId="77777777" w:rsidR="00A671C3" w:rsidRDefault="00080A46" w:rsidP="00D535F9">
            <w:pPr>
              <w:spacing w:before="120" w:after="120" w:line="220" w:lineRule="atLeast"/>
            </w:pPr>
            <w:r>
              <w:t>Examples of non-admitted episodes of care that may translate to telehealth delivery (e.g. specialist clinics, outpatient services, ambulatory/community programs – individual and group sessions) include:</w:t>
            </w:r>
          </w:p>
          <w:p w14:paraId="4E59CD94" w14:textId="3DF8A78D" w:rsidR="00A671C3" w:rsidRPr="00A671C3" w:rsidRDefault="00DC287C" w:rsidP="00D535F9">
            <w:pPr>
              <w:pStyle w:val="ListParagraph"/>
              <w:numPr>
                <w:ilvl w:val="0"/>
                <w:numId w:val="14"/>
              </w:numPr>
              <w:spacing w:before="120" w:after="120" w:line="220" w:lineRule="atLeast"/>
            </w:pPr>
            <w:r>
              <w:t>f</w:t>
            </w:r>
            <w:r w:rsidR="00080A46" w:rsidRPr="00A671C3">
              <w:t>ull or partial substitution of the traditional model of care</w:t>
            </w:r>
          </w:p>
          <w:p w14:paraId="6FF42BD4" w14:textId="0740A5B1" w:rsidR="00A671C3" w:rsidRPr="00A671C3" w:rsidRDefault="00DC287C" w:rsidP="00D535F9">
            <w:pPr>
              <w:pStyle w:val="ListParagraph"/>
              <w:numPr>
                <w:ilvl w:val="0"/>
                <w:numId w:val="14"/>
              </w:numPr>
              <w:spacing w:before="120" w:after="120" w:line="220" w:lineRule="atLeast"/>
            </w:pPr>
            <w:r>
              <w:t>a</w:t>
            </w:r>
            <w:r w:rsidR="00080A46" w:rsidRPr="00A671C3">
              <w:t>ccess to specialist consultation (particularly in regional/rural areas)</w:t>
            </w:r>
          </w:p>
          <w:p w14:paraId="1BE100F8" w14:textId="56212621" w:rsidR="00080A46" w:rsidRPr="00A671C3" w:rsidRDefault="00DC287C" w:rsidP="00D535F9">
            <w:pPr>
              <w:pStyle w:val="ListParagraph"/>
              <w:numPr>
                <w:ilvl w:val="0"/>
                <w:numId w:val="14"/>
              </w:numPr>
              <w:spacing w:before="120" w:after="120" w:line="220" w:lineRule="atLeast"/>
            </w:pPr>
            <w:r>
              <w:t>i</w:t>
            </w:r>
            <w:r w:rsidR="00080A46" w:rsidRPr="00A671C3">
              <w:t>ntegration with other community providers involved in care provision</w:t>
            </w:r>
          </w:p>
          <w:p w14:paraId="633AE44F" w14:textId="50C0ADFB" w:rsidR="00A671C3" w:rsidRPr="00A671C3" w:rsidRDefault="00DC287C" w:rsidP="00D535F9">
            <w:pPr>
              <w:pStyle w:val="ListParagraph"/>
              <w:numPr>
                <w:ilvl w:val="0"/>
                <w:numId w:val="14"/>
              </w:numPr>
              <w:spacing w:before="120" w:after="120" w:line="220" w:lineRule="atLeast"/>
            </w:pPr>
            <w:r>
              <w:t>c</w:t>
            </w:r>
            <w:r w:rsidR="00080A46" w:rsidRPr="00A671C3">
              <w:t xml:space="preserve">onnection with carers/family </w:t>
            </w:r>
            <w:r>
              <w:t xml:space="preserve">who are </w:t>
            </w:r>
            <w:r w:rsidR="00080A46" w:rsidRPr="00A671C3">
              <w:t>unable to physical</w:t>
            </w:r>
            <w:r>
              <w:t>ly</w:t>
            </w:r>
            <w:r w:rsidR="00080A46" w:rsidRPr="00A671C3">
              <w:t xml:space="preserve"> attend the inpatient care setting</w:t>
            </w:r>
          </w:p>
          <w:p w14:paraId="3EB041D7" w14:textId="0ADF68E7" w:rsidR="00DF3554" w:rsidRPr="00A671C3" w:rsidRDefault="00DC287C" w:rsidP="00D535F9">
            <w:pPr>
              <w:pStyle w:val="ListParagraph"/>
              <w:numPr>
                <w:ilvl w:val="0"/>
                <w:numId w:val="14"/>
              </w:numPr>
              <w:spacing w:before="120" w:after="120" w:line="220" w:lineRule="atLeast"/>
            </w:pPr>
            <w:r>
              <w:t>i</w:t>
            </w:r>
            <w:r w:rsidR="00080A46" w:rsidRPr="00A671C3">
              <w:t>npatient diversion and outreach services (including residential aged care and disability services)</w:t>
            </w:r>
            <w:r>
              <w:t>.</w:t>
            </w:r>
          </w:p>
        </w:tc>
      </w:tr>
      <w:tr w:rsidR="00080A46" w:rsidRPr="008B61B4" w14:paraId="51B15EB1" w14:textId="77777777" w:rsidTr="00B86869">
        <w:tc>
          <w:tcPr>
            <w:tcW w:w="0" w:type="auto"/>
            <w:tcBorders>
              <w:top w:val="nil"/>
              <w:bottom w:val="nil"/>
            </w:tcBorders>
            <w:shd w:val="clear" w:color="auto" w:fill="BFDDE1" w:themeFill="accent3"/>
          </w:tcPr>
          <w:p w14:paraId="196EFB74" w14:textId="04FA81CE" w:rsidR="00080A46" w:rsidRPr="00D535F9" w:rsidRDefault="00080A46" w:rsidP="00D535F9">
            <w:pPr>
              <w:rPr>
                <w:b/>
                <w:bCs/>
              </w:rPr>
            </w:pPr>
            <w:r w:rsidRPr="00D535F9">
              <w:rPr>
                <w:b/>
                <w:bCs/>
              </w:rPr>
              <w:t>Clinical need and considerations</w:t>
            </w:r>
          </w:p>
        </w:tc>
      </w:tr>
      <w:tr w:rsidR="00080A46" w14:paraId="3D76BACC" w14:textId="77777777" w:rsidTr="00B86869">
        <w:tc>
          <w:tcPr>
            <w:tcW w:w="0" w:type="auto"/>
            <w:tcBorders>
              <w:top w:val="nil"/>
              <w:bottom w:val="nil"/>
            </w:tcBorders>
            <w:shd w:val="clear" w:color="auto" w:fill="auto"/>
          </w:tcPr>
          <w:p w14:paraId="6C0CADDC" w14:textId="130A234A" w:rsidR="00080A46" w:rsidRPr="00080A46" w:rsidRDefault="00080A46" w:rsidP="00D535F9">
            <w:pPr>
              <w:spacing w:before="120" w:after="120" w:line="220" w:lineRule="atLeast"/>
            </w:pPr>
            <w:r w:rsidRPr="00080A46">
              <w:t xml:space="preserve">Refer to </w:t>
            </w:r>
            <w:r w:rsidR="00A37375" w:rsidRPr="00A37375">
              <w:t>Best practice clinical applications of telehealth</w:t>
            </w:r>
            <w:r w:rsidR="00F76ACD">
              <w:rPr>
                <w:rFonts w:ascii="VIC SemiBold" w:hAnsi="VIC SemiBold"/>
              </w:rPr>
              <w:t xml:space="preserve"> </w:t>
            </w:r>
            <w:r w:rsidR="00F76ACD" w:rsidRPr="003B6B44">
              <w:t>on pa</w:t>
            </w:r>
            <w:r w:rsidR="00F76ACD" w:rsidRPr="00F72710">
              <w:t xml:space="preserve">ge </w:t>
            </w:r>
            <w:r w:rsidR="00F76ACD" w:rsidRPr="00F72710">
              <w:rPr>
                <w:color w:val="000000" w:themeColor="text1"/>
              </w:rPr>
              <w:t>4</w:t>
            </w:r>
            <w:r w:rsidR="00DC287C" w:rsidRPr="00F72710">
              <w:rPr>
                <w:color w:val="000000" w:themeColor="text1"/>
              </w:rPr>
              <w:t>.</w:t>
            </w:r>
          </w:p>
        </w:tc>
      </w:tr>
      <w:tr w:rsidR="00080A46" w:rsidRPr="008B61B4" w14:paraId="2190481D" w14:textId="77777777" w:rsidTr="00B86869">
        <w:tc>
          <w:tcPr>
            <w:tcW w:w="0" w:type="auto"/>
            <w:tcBorders>
              <w:top w:val="nil"/>
              <w:bottom w:val="nil"/>
            </w:tcBorders>
            <w:shd w:val="clear" w:color="auto" w:fill="E5F1F3" w:themeFill="accent2" w:themeFillTint="33"/>
          </w:tcPr>
          <w:p w14:paraId="3BFADA2A" w14:textId="4B1AE6C0" w:rsidR="00080A46" w:rsidRPr="00D535F9" w:rsidRDefault="00080A46" w:rsidP="00D535F9">
            <w:pPr>
              <w:rPr>
                <w:b/>
                <w:bCs/>
              </w:rPr>
            </w:pPr>
            <w:r w:rsidRPr="00D535F9">
              <w:rPr>
                <w:b/>
                <w:bCs/>
              </w:rPr>
              <w:t>Workforce requirements</w:t>
            </w:r>
          </w:p>
        </w:tc>
      </w:tr>
      <w:tr w:rsidR="00080A46" w14:paraId="2D5EE232" w14:textId="77777777" w:rsidTr="00B86869">
        <w:tc>
          <w:tcPr>
            <w:tcW w:w="0" w:type="auto"/>
            <w:tcBorders>
              <w:top w:val="nil"/>
              <w:bottom w:val="nil"/>
            </w:tcBorders>
            <w:shd w:val="clear" w:color="auto" w:fill="auto"/>
          </w:tcPr>
          <w:p w14:paraId="402929CC" w14:textId="062E5C1B" w:rsidR="00A671C3" w:rsidRDefault="00DC287C" w:rsidP="00D535F9">
            <w:pPr>
              <w:spacing w:before="120" w:after="120" w:line="220" w:lineRule="atLeast"/>
            </w:pPr>
            <w:r>
              <w:t xml:space="preserve">When identifying </w:t>
            </w:r>
            <w:r w:rsidR="00080A46">
              <w:t>the workforce required to support service delivery (including professional and delegated workforces, administrative services, and support services)</w:t>
            </w:r>
            <w:r>
              <w:t>,</w:t>
            </w:r>
            <w:r w:rsidR="00080A46">
              <w:t xml:space="preserve"> </w:t>
            </w:r>
            <w:r>
              <w:t xml:space="preserve">health professionals </w:t>
            </w:r>
            <w:r w:rsidR="00080A46">
              <w:t>must consider</w:t>
            </w:r>
            <w:r w:rsidR="00DE4FAD">
              <w:t xml:space="preserve"> which of the following models is most suitable</w:t>
            </w:r>
            <w:r w:rsidR="00080A46">
              <w:t>:</w:t>
            </w:r>
          </w:p>
          <w:p w14:paraId="21094DF4" w14:textId="3B903780" w:rsidR="00A671C3" w:rsidRPr="00A671C3" w:rsidRDefault="00DC287C" w:rsidP="00D535F9">
            <w:pPr>
              <w:pStyle w:val="ListParagraph"/>
              <w:numPr>
                <w:ilvl w:val="0"/>
                <w:numId w:val="15"/>
              </w:numPr>
              <w:spacing w:before="120" w:after="120" w:line="220" w:lineRule="atLeast"/>
            </w:pPr>
            <w:r>
              <w:t>a s</w:t>
            </w:r>
            <w:r w:rsidR="00080A46" w:rsidRPr="00A671C3">
              <w:t>ingle discipline providing standalone discipline-specific input</w:t>
            </w:r>
          </w:p>
          <w:p w14:paraId="0F5C1057" w14:textId="607B2584" w:rsidR="00080A46" w:rsidRPr="00A671C3" w:rsidRDefault="00DC287C" w:rsidP="00D535F9">
            <w:pPr>
              <w:pStyle w:val="ListParagraph"/>
              <w:numPr>
                <w:ilvl w:val="0"/>
                <w:numId w:val="15"/>
              </w:numPr>
              <w:spacing w:before="120" w:after="120" w:line="220" w:lineRule="atLeast"/>
            </w:pPr>
            <w:r>
              <w:t>m</w:t>
            </w:r>
            <w:r w:rsidR="00080A46" w:rsidRPr="00A671C3">
              <w:t xml:space="preserve">ultiple disciplines operating in a multidisciplinary model </w:t>
            </w:r>
            <w:r>
              <w:t xml:space="preserve">– </w:t>
            </w:r>
            <w:r w:rsidR="00080A46" w:rsidRPr="00A671C3">
              <w:t>i.e. separate sessions provided by each discipline</w:t>
            </w:r>
          </w:p>
          <w:p w14:paraId="59EB8716" w14:textId="75669D9E" w:rsidR="00080A46" w:rsidRPr="00A671C3" w:rsidRDefault="00DC287C" w:rsidP="00D535F9">
            <w:pPr>
              <w:pStyle w:val="ListParagraph"/>
              <w:numPr>
                <w:ilvl w:val="0"/>
                <w:numId w:val="15"/>
              </w:numPr>
              <w:spacing w:before="120" w:after="120" w:line="220" w:lineRule="atLeast"/>
            </w:pPr>
            <w:r>
              <w:t>m</w:t>
            </w:r>
            <w:r w:rsidR="00080A46" w:rsidRPr="00A671C3">
              <w:t xml:space="preserve">ultiple disciplines operating in an interdisciplinary model </w:t>
            </w:r>
            <w:r>
              <w:t xml:space="preserve">– </w:t>
            </w:r>
            <w:r w:rsidR="00080A46" w:rsidRPr="00A671C3">
              <w:t xml:space="preserve">i.e. single session with shared goals and </w:t>
            </w:r>
            <w:r>
              <w:t xml:space="preserve">a </w:t>
            </w:r>
            <w:r w:rsidR="00080A46" w:rsidRPr="00A671C3">
              <w:t>co-treatment approach</w:t>
            </w:r>
          </w:p>
          <w:p w14:paraId="3BAA3AA6" w14:textId="7CB9AD9B" w:rsidR="00080A46" w:rsidRPr="00A671C3" w:rsidRDefault="00DC287C" w:rsidP="00D535F9">
            <w:pPr>
              <w:pStyle w:val="ListParagraph"/>
              <w:numPr>
                <w:ilvl w:val="0"/>
                <w:numId w:val="15"/>
              </w:numPr>
              <w:spacing w:before="120" w:after="120" w:line="220" w:lineRule="atLeast"/>
            </w:pPr>
            <w:r>
              <w:t>a s</w:t>
            </w:r>
            <w:r w:rsidR="00080A46" w:rsidRPr="00A671C3">
              <w:t xml:space="preserve">ingle </w:t>
            </w:r>
            <w:r w:rsidR="0078315E">
              <w:t xml:space="preserve">discipline </w:t>
            </w:r>
            <w:r w:rsidR="00080A46" w:rsidRPr="00A671C3">
              <w:t>or multiple disciplines operating in a transdisciplinary or generic work model</w:t>
            </w:r>
            <w:r>
              <w:t>.</w:t>
            </w:r>
          </w:p>
          <w:p w14:paraId="0C98BC1D" w14:textId="77777777" w:rsidR="00080A46" w:rsidRDefault="00080A46" w:rsidP="00D535F9">
            <w:pPr>
              <w:spacing w:before="120" w:after="120" w:line="220" w:lineRule="atLeast"/>
            </w:pPr>
            <w:r>
              <w:t>The design of operational workforce models will examine whether:</w:t>
            </w:r>
          </w:p>
          <w:p w14:paraId="5A7554CA" w14:textId="7A461335" w:rsidR="00080A46" w:rsidRPr="00A671C3" w:rsidRDefault="00DC287C" w:rsidP="00D535F9">
            <w:pPr>
              <w:pStyle w:val="ListParagraph"/>
              <w:numPr>
                <w:ilvl w:val="0"/>
                <w:numId w:val="16"/>
              </w:numPr>
              <w:spacing w:before="120" w:after="120" w:line="220" w:lineRule="atLeast"/>
            </w:pPr>
            <w:r>
              <w:t>r</w:t>
            </w:r>
            <w:r w:rsidR="00080A46" w:rsidRPr="00A671C3">
              <w:t>oles/caseloads are structured as a mix of face-to-face and telehealth service delivery (hybrid)</w:t>
            </w:r>
          </w:p>
          <w:p w14:paraId="6242A252" w14:textId="6D5BDADA" w:rsidR="00080A46" w:rsidRPr="00A671C3" w:rsidRDefault="00DC287C" w:rsidP="00D535F9">
            <w:pPr>
              <w:pStyle w:val="ListParagraph"/>
              <w:numPr>
                <w:ilvl w:val="0"/>
                <w:numId w:val="16"/>
              </w:numPr>
              <w:spacing w:before="120" w:after="120" w:line="220" w:lineRule="atLeast"/>
            </w:pPr>
            <w:r>
              <w:t>r</w:t>
            </w:r>
            <w:r w:rsidR="00080A46" w:rsidRPr="00A671C3">
              <w:t>oles/caseloads are structured solely as telehealth service delivery (full substitution)</w:t>
            </w:r>
          </w:p>
          <w:p w14:paraId="35670518" w14:textId="77E7CE1C" w:rsidR="00A671C3" w:rsidRPr="00A671C3" w:rsidRDefault="00DC287C" w:rsidP="00D535F9">
            <w:pPr>
              <w:pStyle w:val="ListParagraph"/>
              <w:numPr>
                <w:ilvl w:val="0"/>
                <w:numId w:val="16"/>
              </w:numPr>
              <w:spacing w:before="120" w:after="120" w:line="220" w:lineRule="atLeast"/>
            </w:pPr>
            <w:r>
              <w:t>d</w:t>
            </w:r>
            <w:r w:rsidR="00080A46" w:rsidRPr="00A671C3">
              <w:t>edicated staff provide set telehealth clinical services</w:t>
            </w:r>
          </w:p>
          <w:p w14:paraId="0E74AEB4" w14:textId="12DAFE30" w:rsidR="00080A46" w:rsidRPr="00A671C3" w:rsidRDefault="00DC287C" w:rsidP="00D535F9">
            <w:pPr>
              <w:pStyle w:val="ListParagraph"/>
              <w:numPr>
                <w:ilvl w:val="0"/>
                <w:numId w:val="16"/>
              </w:numPr>
              <w:spacing w:before="120" w:after="120" w:line="220" w:lineRule="atLeast"/>
            </w:pPr>
            <w:r>
              <w:t>r</w:t>
            </w:r>
            <w:r w:rsidR="00080A46" w:rsidRPr="00A671C3">
              <w:t>otating staff cover referrals to set telehealth clinical services</w:t>
            </w:r>
            <w:r>
              <w:t>.</w:t>
            </w:r>
          </w:p>
        </w:tc>
      </w:tr>
      <w:tr w:rsidR="00080A46" w:rsidRPr="008B61B4" w14:paraId="1BA1028C" w14:textId="77777777" w:rsidTr="00764496">
        <w:tc>
          <w:tcPr>
            <w:tcW w:w="0" w:type="auto"/>
            <w:tcBorders>
              <w:top w:val="nil"/>
              <w:bottom w:val="nil"/>
            </w:tcBorders>
            <w:shd w:val="clear" w:color="auto" w:fill="E5E5E7" w:themeFill="accent5" w:themeFillTint="33"/>
          </w:tcPr>
          <w:p w14:paraId="1C48458D" w14:textId="03F31848" w:rsidR="00080A46" w:rsidRPr="00D535F9" w:rsidRDefault="0012044F" w:rsidP="00D535F9">
            <w:pPr>
              <w:rPr>
                <w:b/>
                <w:bCs/>
              </w:rPr>
            </w:pPr>
            <w:r w:rsidRPr="00D535F9">
              <w:rPr>
                <w:b/>
                <w:bCs/>
              </w:rPr>
              <w:t>Telehealth delivery approach</w:t>
            </w:r>
          </w:p>
        </w:tc>
      </w:tr>
      <w:tr w:rsidR="00080A46" w14:paraId="49DDC9E6" w14:textId="77777777" w:rsidTr="00764496">
        <w:tc>
          <w:tcPr>
            <w:tcW w:w="0" w:type="auto"/>
            <w:tcBorders>
              <w:top w:val="nil"/>
              <w:bottom w:val="nil"/>
            </w:tcBorders>
            <w:shd w:val="clear" w:color="auto" w:fill="auto"/>
          </w:tcPr>
          <w:p w14:paraId="69EC9A17" w14:textId="77777777" w:rsidR="0012044F" w:rsidRDefault="0012044F" w:rsidP="00D535F9">
            <w:pPr>
              <w:spacing w:before="120" w:after="120" w:line="220" w:lineRule="atLeast"/>
            </w:pPr>
            <w:r>
              <w:t>Patient-centred approaches to the delivery of clinical services via telehealth may offer:</w:t>
            </w:r>
          </w:p>
          <w:p w14:paraId="34E05606" w14:textId="76562E35" w:rsidR="0012044F" w:rsidRPr="00A671C3" w:rsidRDefault="00DC287C" w:rsidP="00D535F9">
            <w:pPr>
              <w:pStyle w:val="ListParagraph"/>
              <w:numPr>
                <w:ilvl w:val="0"/>
                <w:numId w:val="17"/>
              </w:numPr>
              <w:spacing w:before="120" w:after="120" w:line="220" w:lineRule="atLeast"/>
            </w:pPr>
            <w:r>
              <w:t>f</w:t>
            </w:r>
            <w:r w:rsidR="0012044F" w:rsidRPr="00A671C3">
              <w:t>ull substitution for face-to-face clinical services that translate to telehealth service delivery</w:t>
            </w:r>
          </w:p>
          <w:p w14:paraId="1D50ECB6" w14:textId="67DB33F0" w:rsidR="0012044F" w:rsidRPr="00A671C3" w:rsidRDefault="00DC287C" w:rsidP="00D535F9">
            <w:pPr>
              <w:pStyle w:val="ListParagraph"/>
              <w:numPr>
                <w:ilvl w:val="0"/>
                <w:numId w:val="17"/>
              </w:numPr>
              <w:spacing w:before="120" w:after="120" w:line="220" w:lineRule="atLeast"/>
            </w:pPr>
            <w:r>
              <w:t>a h</w:t>
            </w:r>
            <w:r w:rsidR="0012044F" w:rsidRPr="00A671C3">
              <w:t xml:space="preserve">ybrid approach </w:t>
            </w:r>
            <w:r w:rsidR="00DE4FAD">
              <w:t xml:space="preserve">using </w:t>
            </w:r>
            <w:r w:rsidR="0012044F" w:rsidRPr="00A671C3">
              <w:t>both face-to-face and telehealth service delivery to best meet clinical needs</w:t>
            </w:r>
          </w:p>
          <w:p w14:paraId="4495D55D" w14:textId="2A6355C1" w:rsidR="0012044F" w:rsidRPr="00A671C3" w:rsidRDefault="00DC287C" w:rsidP="00D535F9">
            <w:pPr>
              <w:pStyle w:val="ListParagraph"/>
              <w:numPr>
                <w:ilvl w:val="0"/>
                <w:numId w:val="17"/>
              </w:numPr>
              <w:spacing w:before="120" w:after="120" w:line="220" w:lineRule="atLeast"/>
            </w:pPr>
            <w:r>
              <w:t>individual</w:t>
            </w:r>
            <w:r w:rsidR="0012044F" w:rsidRPr="00A671C3">
              <w:t xml:space="preserve"> patient telehealth sessions</w:t>
            </w:r>
          </w:p>
          <w:p w14:paraId="347D66CE" w14:textId="35800EA2" w:rsidR="00080A46" w:rsidRPr="00A671C3" w:rsidRDefault="00DC287C" w:rsidP="00D535F9">
            <w:pPr>
              <w:pStyle w:val="ListParagraph"/>
              <w:numPr>
                <w:ilvl w:val="0"/>
                <w:numId w:val="17"/>
              </w:numPr>
              <w:spacing w:before="120" w:after="120" w:line="220" w:lineRule="atLeast"/>
            </w:pPr>
            <w:r w:rsidRPr="00A671C3">
              <w:t xml:space="preserve">group </w:t>
            </w:r>
            <w:r>
              <w:t>t</w:t>
            </w:r>
            <w:r w:rsidR="0012044F" w:rsidRPr="00A671C3">
              <w:t>herapy telehealth sessions</w:t>
            </w:r>
            <w:r>
              <w:t xml:space="preserve"> for multiple patients</w:t>
            </w:r>
            <w:r w:rsidR="0012044F" w:rsidRPr="00A671C3">
              <w:t>.</w:t>
            </w:r>
          </w:p>
        </w:tc>
      </w:tr>
      <w:bookmarkEnd w:id="7"/>
      <w:bookmarkEnd w:id="8"/>
    </w:tbl>
    <w:p w14:paraId="1795C940" w14:textId="77777777" w:rsidR="00E873BB" w:rsidRDefault="00E873BB" w:rsidP="00D535F9">
      <w:r>
        <w:br w:type="page"/>
      </w:r>
    </w:p>
    <w:p w14:paraId="25ADDC50" w14:textId="51AF7B5A" w:rsidR="00A671C3" w:rsidRDefault="00A671C3" w:rsidP="00D535F9">
      <w:pPr>
        <w:pStyle w:val="Heading3"/>
      </w:pPr>
      <w:r w:rsidRPr="00A671C3">
        <w:lastRenderedPageBreak/>
        <w:t>Example 1</w:t>
      </w:r>
    </w:p>
    <w:p w14:paraId="2D448568" w14:textId="59D0E36C" w:rsidR="00E317CE" w:rsidRDefault="00DC777D" w:rsidP="00D535F9">
      <w:pPr>
        <w:pStyle w:val="Normalfollowingheading"/>
      </w:pPr>
      <w:r>
        <w:rPr>
          <w:noProof/>
        </w:rPr>
        <mc:AlternateContent>
          <mc:Choice Requires="wpg">
            <w:drawing>
              <wp:inline distT="0" distB="0" distL="0" distR="0" wp14:anchorId="3DB18039" wp14:editId="467F8963">
                <wp:extent cx="6464300" cy="683895"/>
                <wp:effectExtent l="0" t="0" r="0" b="1905"/>
                <wp:docPr id="69" name="Group 69"/>
                <wp:cNvGraphicFramePr/>
                <a:graphic xmlns:a="http://schemas.openxmlformats.org/drawingml/2006/main">
                  <a:graphicData uri="http://schemas.microsoft.com/office/word/2010/wordprocessingGroup">
                    <wpg:wgp>
                      <wpg:cNvGrpSpPr/>
                      <wpg:grpSpPr>
                        <a:xfrm>
                          <a:off x="0" y="0"/>
                          <a:ext cx="6464300" cy="683895"/>
                          <a:chOff x="0" y="0"/>
                          <a:chExt cx="6464300" cy="683895"/>
                        </a:xfrm>
                      </wpg:grpSpPr>
                      <wps:wsp>
                        <wps:cNvPr id="70" name="Rectangle 70"/>
                        <wps:cNvSpPr/>
                        <wps:spPr>
                          <a:xfrm>
                            <a:off x="0" y="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47DA8DDA" w14:textId="7EB71F25" w:rsidR="00F80678" w:rsidRPr="00D535F9" w:rsidRDefault="00F80678" w:rsidP="00D535F9">
                              <w:pPr>
                                <w:pStyle w:val="Tabletextcentred"/>
                                <w:rPr>
                                  <w:b/>
                                  <w:bCs/>
                                </w:rPr>
                              </w:pPr>
                              <w:r w:rsidRPr="00D535F9">
                                <w:rPr>
                                  <w:b/>
                                  <w:bCs/>
                                </w:rPr>
                                <w:t>Intensive care unit (ICU)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33D37345" w14:textId="4435E5CA" w:rsidR="00F80678" w:rsidRPr="00D535F9" w:rsidRDefault="00F80678" w:rsidP="00D535F9">
                              <w:pPr>
                                <w:pStyle w:val="Tabletextcentred"/>
                                <w:rPr>
                                  <w:b/>
                                  <w:bCs/>
                                </w:rPr>
                              </w:pPr>
                              <w:r w:rsidRPr="00D535F9">
                                <w:rPr>
                                  <w:b/>
                                  <w:bCs/>
                                </w:rPr>
                                <w:t xml:space="preserve">Dietetics consult for enteral nutrition regime during </w:t>
                              </w:r>
                              <w:r w:rsidR="00D535F9">
                                <w:rPr>
                                  <w:b/>
                                  <w:bCs/>
                                </w:rPr>
                                <w:br/>
                              </w:r>
                              <w:r w:rsidRPr="00D535F9">
                                <w:rPr>
                                  <w:b/>
                                  <w:bCs/>
                                </w:rPr>
                                <w:t>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3474720" y="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7D35561F" w14:textId="77777777" w:rsidR="00F80678" w:rsidRPr="00D535F9" w:rsidRDefault="00F80678" w:rsidP="00D535F9">
                              <w:pPr>
                                <w:pStyle w:val="Tabletextcentred"/>
                                <w:rPr>
                                  <w:b/>
                                  <w:bCs/>
                                </w:rPr>
                              </w:pPr>
                              <w:r w:rsidRPr="00D535F9">
                                <w:rPr>
                                  <w:b/>
                                  <w:bCs/>
                                </w:rPr>
                                <w:t>Single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Plus Sign 73"/>
                        <wps:cNvSpPr/>
                        <wps:spPr>
                          <a:xfrm>
                            <a:off x="13258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Plus Sign 74"/>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Plus Sign 82"/>
                        <wps:cNvSpPr/>
                        <wps:spPr>
                          <a:xfrm>
                            <a:off x="47929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5204460" y="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6A07CB18" w14:textId="77777777" w:rsidR="00F80678" w:rsidRPr="00D535F9" w:rsidRDefault="00F80678" w:rsidP="00D535F9">
                              <w:pPr>
                                <w:pStyle w:val="Tabletextcentred"/>
                                <w:rPr>
                                  <w:b/>
                                  <w:bCs/>
                                </w:rPr>
                              </w:pPr>
                              <w:r w:rsidRPr="00D535F9">
                                <w:rPr>
                                  <w:b/>
                                  <w:bCs/>
                                </w:rPr>
                                <w:t>Full substitution for face-to-face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B18039" id="Group 69" o:spid="_x0000_s1034" style="width:509pt;height:53.85pt;mso-position-horizontal-relative:char;mso-position-vertical-relative:line" coordsize="64643,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">
                <v:rect id="Rectangle 70" o:spid="_x0000_s1035" style="position:absolute;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" fillcolor="#80bac3 [3205]" stroked="f" strokeweight="1pt">
                  <v:textbox>
                    <w:txbxContent>
                      <w:p w14:paraId="47DA8DDA" w14:textId="7EB71F25" w:rsidR="00F80678" w:rsidRPr="00D535F9" w:rsidRDefault="00F80678" w:rsidP="00D535F9">
                        <w:pPr>
                          <w:pStyle w:val="Tabletextcentred"/>
                          <w:rPr>
                            <w:b/>
                            <w:bCs/>
                          </w:rPr>
                        </w:pPr>
                        <w:r w:rsidRPr="00D535F9">
                          <w:rPr>
                            <w:b/>
                            <w:bCs/>
                          </w:rPr>
                          <w:t>Intensive care unit (ICU)</w:t>
                        </w:r>
                      </w:p>
                    </w:txbxContent>
                  </v:textbox>
                </v:rect>
                <v:rect id="Rectangle 71" o:spid="_x0000_s1036"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" fillcolor="#bfdde1 [3206]" stroked="f" strokeweight="1pt">
                  <v:textbox>
                    <w:txbxContent>
                      <w:p w14:paraId="33D37345" w14:textId="4435E5CA" w:rsidR="00F80678" w:rsidRPr="00D535F9" w:rsidRDefault="00F80678" w:rsidP="00D535F9">
                        <w:pPr>
                          <w:pStyle w:val="Tabletextcentred"/>
                          <w:rPr>
                            <w:b/>
                            <w:bCs/>
                          </w:rPr>
                        </w:pPr>
                        <w:r w:rsidRPr="00D535F9">
                          <w:rPr>
                            <w:b/>
                            <w:bCs/>
                          </w:rPr>
                          <w:t xml:space="preserve">Dietetics consult for enteral nutrition regime during </w:t>
                        </w:r>
                        <w:r w:rsidR="00D535F9">
                          <w:rPr>
                            <w:b/>
                            <w:bCs/>
                          </w:rPr>
                          <w:br/>
                        </w:r>
                        <w:r w:rsidRPr="00D535F9">
                          <w:rPr>
                            <w:b/>
                            <w:bCs/>
                          </w:rPr>
                          <w:t>COVID-19</w:t>
                        </w:r>
                      </w:p>
                    </w:txbxContent>
                  </v:textbox>
                </v:rect>
                <v:rect id="Rectangle 72" o:spid="_x0000_s1037" style="position:absolute;left:34747;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" fillcolor="#e5f1f3 [661]" stroked="f" strokeweight="1pt">
                  <v:textbox>
                    <w:txbxContent>
                      <w:p w14:paraId="7D35561F" w14:textId="77777777" w:rsidR="00F80678" w:rsidRPr="00D535F9" w:rsidRDefault="00F80678" w:rsidP="00D535F9">
                        <w:pPr>
                          <w:pStyle w:val="Tabletextcentred"/>
                          <w:rPr>
                            <w:b/>
                            <w:bCs/>
                          </w:rPr>
                        </w:pPr>
                        <w:r w:rsidRPr="00D535F9">
                          <w:rPr>
                            <w:b/>
                            <w:bCs/>
                          </w:rPr>
                          <w:t>Single discipline</w:t>
                        </w:r>
                      </w:p>
                    </w:txbxContent>
                  </v:textbox>
                </v:rect>
                <v:shape id="Plus Sign 73" o:spid="_x0000_s1038" style="position:absolute;left:13258;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74" o:spid="_x0000_s1039"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82" o:spid="_x0000_s1040" style="position:absolute;left:47929;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83" o:spid="_x0000_s1041" style="position:absolute;left:52044;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" fillcolor="#e5e5e7 [664]" stroked="f" strokeweight="1pt">
                  <v:textbox>
                    <w:txbxContent>
                      <w:p w14:paraId="6A07CB18" w14:textId="77777777" w:rsidR="00F80678" w:rsidRPr="00D535F9" w:rsidRDefault="00F80678" w:rsidP="00D535F9">
                        <w:pPr>
                          <w:pStyle w:val="Tabletextcentred"/>
                          <w:rPr>
                            <w:b/>
                            <w:bCs/>
                          </w:rPr>
                        </w:pPr>
                        <w:r w:rsidRPr="00D535F9">
                          <w:rPr>
                            <w:b/>
                            <w:bCs/>
                          </w:rPr>
                          <w:t>Full substitution for face-to-face service delivery</w:t>
                        </w:r>
                      </w:p>
                    </w:txbxContent>
                  </v:textbox>
                </v:rect>
                <w10:anchorlock/>
              </v:group>
            </w:pict>
          </mc:Fallback>
        </mc:AlternateContent>
      </w:r>
    </w:p>
    <w:p w14:paraId="7CD14C2D" w14:textId="01C00D19" w:rsidR="00A671C3" w:rsidRPr="00A671C3" w:rsidRDefault="00A671C3" w:rsidP="00D535F9">
      <w:r w:rsidRPr="00A671C3">
        <w:t>A dietitian remotely assesses a patient admitted to ICU with confirmed</w:t>
      </w:r>
      <w:r w:rsidR="00B86869">
        <w:t xml:space="preserve"> </w:t>
      </w:r>
      <w:r w:rsidRPr="00A671C3">
        <w:t xml:space="preserve">COVID-19 and develops an enteral nutrition regime </w:t>
      </w:r>
      <w:r w:rsidR="0078315E">
        <w:t xml:space="preserve">while </w:t>
      </w:r>
      <w:r w:rsidRPr="00A671C3">
        <w:t>located at another campus of the same health service.</w:t>
      </w:r>
      <w:r w:rsidR="00A91C21">
        <w:t xml:space="preserve"> </w:t>
      </w:r>
      <w:r w:rsidRPr="00A671C3">
        <w:t>The telehealth consultation involves communication between the dietitian, nursing and junior medical staff, and access to patient clinical data and pathology results from the electronic medical record (EMR).</w:t>
      </w:r>
      <w:r w:rsidR="00A91C21">
        <w:t xml:space="preserve"> </w:t>
      </w:r>
      <w:r w:rsidRPr="00A671C3">
        <w:t>Outcomes of the assessment and recommendations for enteral nutrition are remotely documented by the dietitian within the EMR and communicated to the beside nurse via videoconferencing, who then institutes the feeding regime.</w:t>
      </w:r>
    </w:p>
    <w:p w14:paraId="18590B93" w14:textId="2AFD25EA" w:rsidR="00A671C3" w:rsidRDefault="00A671C3" w:rsidP="00D535F9">
      <w:pPr>
        <w:pStyle w:val="Heading3"/>
      </w:pPr>
      <w:r w:rsidRPr="00A671C3">
        <w:t>Example</w:t>
      </w:r>
      <w:r>
        <w:t xml:space="preserve"> 2</w:t>
      </w:r>
    </w:p>
    <w:p w14:paraId="6CB3784A" w14:textId="562D2ED8" w:rsidR="00E317CE" w:rsidRDefault="00DC777D" w:rsidP="00D535F9">
      <w:pPr>
        <w:pStyle w:val="Normalfollowingheading"/>
      </w:pPr>
      <w:r>
        <w:rPr>
          <w:noProof/>
        </w:rPr>
        <mc:AlternateContent>
          <mc:Choice Requires="wpg">
            <w:drawing>
              <wp:inline distT="0" distB="0" distL="0" distR="0" wp14:anchorId="1E6AF73A" wp14:editId="3835EA0B">
                <wp:extent cx="6464300" cy="691515"/>
                <wp:effectExtent l="0" t="0" r="0" b="0"/>
                <wp:docPr id="86" name="Group 86"/>
                <wp:cNvGraphicFramePr/>
                <a:graphic xmlns:a="http://schemas.openxmlformats.org/drawingml/2006/main">
                  <a:graphicData uri="http://schemas.microsoft.com/office/word/2010/wordprocessingGroup">
                    <wpg:wgp>
                      <wpg:cNvGrpSpPr/>
                      <wpg:grpSpPr>
                        <a:xfrm>
                          <a:off x="0" y="0"/>
                          <a:ext cx="6464300" cy="691515"/>
                          <a:chOff x="0" y="0"/>
                          <a:chExt cx="6464300" cy="691515"/>
                        </a:xfrm>
                      </wpg:grpSpPr>
                      <wps:wsp>
                        <wps:cNvPr id="87" name="Rectangle 87"/>
                        <wps:cNvSpPr/>
                        <wps:spPr>
                          <a:xfrm>
                            <a:off x="0" y="762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5563F5B0" w14:textId="77777777" w:rsidR="00F80678" w:rsidRPr="00D535F9" w:rsidRDefault="00F80678" w:rsidP="00D535F9">
                              <w:pPr>
                                <w:pStyle w:val="Tabletextcentred"/>
                                <w:rPr>
                                  <w:b/>
                                  <w:bCs/>
                                </w:rPr>
                              </w:pPr>
                              <w:r w:rsidRPr="00D535F9">
                                <w:rPr>
                                  <w:b/>
                                  <w:bCs/>
                                </w:rPr>
                                <w:t>Outpatient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6BF7E494" w14:textId="77777777" w:rsidR="00F80678" w:rsidRPr="00D535F9" w:rsidRDefault="00F80678" w:rsidP="00D535F9">
                              <w:pPr>
                                <w:pStyle w:val="Tabletextcentred"/>
                                <w:rPr>
                                  <w:b/>
                                  <w:bCs/>
                                </w:rPr>
                              </w:pPr>
                              <w:r w:rsidRPr="00D535F9">
                                <w:rPr>
                                  <w:b/>
                                  <w:bCs/>
                                </w:rPr>
                                <w:t>Hand therapy follow-up for carpal tunnel release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474720" y="762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0F9B5286" w14:textId="77777777" w:rsidR="00F80678" w:rsidRPr="00D535F9" w:rsidRDefault="00F80678" w:rsidP="00D535F9">
                              <w:pPr>
                                <w:pStyle w:val="Tabletextcentred"/>
                                <w:rPr>
                                  <w:b/>
                                  <w:bCs/>
                                </w:rPr>
                              </w:pPr>
                              <w:r w:rsidRPr="00D535F9">
                                <w:rPr>
                                  <w:b/>
                                  <w:bCs/>
                                </w:rPr>
                                <w:t>Single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Plus Sign 104"/>
                        <wps:cNvSpPr/>
                        <wps:spPr>
                          <a:xfrm>
                            <a:off x="13258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Plus Sign 105"/>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Plus Sign 106"/>
                        <wps:cNvSpPr/>
                        <wps:spPr>
                          <a:xfrm>
                            <a:off x="47929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5204460" y="762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6E9EB4E6" w14:textId="77777777" w:rsidR="00F80678" w:rsidRPr="00D535F9" w:rsidRDefault="00F80678" w:rsidP="00D535F9">
                              <w:pPr>
                                <w:pStyle w:val="Tabletextcentred"/>
                                <w:rPr>
                                  <w:b/>
                                  <w:bCs/>
                                </w:rPr>
                              </w:pPr>
                              <w:r w:rsidRPr="00D535F9">
                                <w:rPr>
                                  <w:b/>
                                  <w:bCs/>
                                </w:rPr>
                                <w:t>Hybrid approach to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6AF73A" id="Group 86" o:spid="_x0000_s1042" style="width:509pt;height:54.45pt;mso-position-horizontal-relative:char;mso-position-vertical-relative:line" coordsize="64643,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">
                <v:rect id="Rectangle 87" o:spid="_x0000_s1043" style="position:absolute;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" fillcolor="#80bac3 [3205]" stroked="f" strokeweight="1pt">
                  <v:textbox>
                    <w:txbxContent>
                      <w:p w14:paraId="5563F5B0" w14:textId="77777777" w:rsidR="00F80678" w:rsidRPr="00D535F9" w:rsidRDefault="00F80678" w:rsidP="00D535F9">
                        <w:pPr>
                          <w:pStyle w:val="Tabletextcentred"/>
                          <w:rPr>
                            <w:b/>
                            <w:bCs/>
                          </w:rPr>
                        </w:pPr>
                        <w:r w:rsidRPr="00D535F9">
                          <w:rPr>
                            <w:b/>
                            <w:bCs/>
                          </w:rPr>
                          <w:t>Outpatient appointment</w:t>
                        </w:r>
                      </w:p>
                    </w:txbxContent>
                  </v:textbox>
                </v:rect>
                <v:rect id="Rectangle 88" o:spid="_x0000_s1044"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" fillcolor="#bfdde1 [3206]" stroked="f" strokeweight="1pt">
                  <v:textbox>
                    <w:txbxContent>
                      <w:p w14:paraId="6BF7E494" w14:textId="77777777" w:rsidR="00F80678" w:rsidRPr="00D535F9" w:rsidRDefault="00F80678" w:rsidP="00D535F9">
                        <w:pPr>
                          <w:pStyle w:val="Tabletextcentred"/>
                          <w:rPr>
                            <w:b/>
                            <w:bCs/>
                          </w:rPr>
                        </w:pPr>
                        <w:r w:rsidRPr="00D535F9">
                          <w:rPr>
                            <w:b/>
                            <w:bCs/>
                          </w:rPr>
                          <w:t>Hand therapy follow-up for carpal tunnel release surgery</w:t>
                        </w:r>
                      </w:p>
                    </w:txbxContent>
                  </v:textbox>
                </v:rect>
                <v:rect id="Rectangle 103" o:spid="_x0000_s1045" style="position:absolute;left:34747;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" fillcolor="#e5f1f3 [661]" stroked="f" strokeweight="1pt">
                  <v:textbox>
                    <w:txbxContent>
                      <w:p w14:paraId="0F9B5286" w14:textId="77777777" w:rsidR="00F80678" w:rsidRPr="00D535F9" w:rsidRDefault="00F80678" w:rsidP="00D535F9">
                        <w:pPr>
                          <w:pStyle w:val="Tabletextcentred"/>
                          <w:rPr>
                            <w:b/>
                            <w:bCs/>
                          </w:rPr>
                        </w:pPr>
                        <w:r w:rsidRPr="00D535F9">
                          <w:rPr>
                            <w:b/>
                            <w:bCs/>
                          </w:rPr>
                          <w:t>Single discipline</w:t>
                        </w:r>
                      </w:p>
                    </w:txbxContent>
                  </v:textbox>
                </v:rect>
                <v:shape id="Plus Sign 104" o:spid="_x0000_s1046" style="position:absolute;left:13258;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05" o:spid="_x0000_s1047"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06" o:spid="_x0000_s1048" style="position:absolute;left:47929;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107" o:spid="_x0000_s1049" style="position:absolute;left:52044;top:76;width:12599;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" fillcolor="#e5e5e7 [664]" stroked="f" strokeweight="1pt">
                  <v:textbox>
                    <w:txbxContent>
                      <w:p w14:paraId="6E9EB4E6" w14:textId="77777777" w:rsidR="00F80678" w:rsidRPr="00D535F9" w:rsidRDefault="00F80678" w:rsidP="00D535F9">
                        <w:pPr>
                          <w:pStyle w:val="Tabletextcentred"/>
                          <w:rPr>
                            <w:b/>
                            <w:bCs/>
                          </w:rPr>
                        </w:pPr>
                        <w:r w:rsidRPr="00D535F9">
                          <w:rPr>
                            <w:b/>
                            <w:bCs/>
                          </w:rPr>
                          <w:t>Hybrid approach to service delivery</w:t>
                        </w:r>
                      </w:p>
                    </w:txbxContent>
                  </v:textbox>
                </v:rect>
                <w10:anchorlock/>
              </v:group>
            </w:pict>
          </mc:Fallback>
        </mc:AlternateContent>
      </w:r>
    </w:p>
    <w:p w14:paraId="0E2B3393" w14:textId="7327C979" w:rsidR="00A671C3" w:rsidRDefault="00A671C3" w:rsidP="00D535F9">
      <w:r>
        <w:t>After initially completing a face-to-face assessment of the patient six weeks post carpal tunnel release surgery, a hand therapist conducts a one</w:t>
      </w:r>
      <w:r w:rsidR="0078315E">
        <w:t>-</w:t>
      </w:r>
      <w:r>
        <w:t xml:space="preserve">week follow-up consult with the patient via telehealth. The focus of the review session is to determine how </w:t>
      </w:r>
      <w:r w:rsidR="0078315E">
        <w:t xml:space="preserve">the patient’s </w:t>
      </w:r>
      <w:r>
        <w:t>scar is progressing, assess joint range and oedema, and review/progress their home exercise strengthening program.</w:t>
      </w:r>
      <w:r w:rsidR="00A91C21">
        <w:t xml:space="preserve"> </w:t>
      </w:r>
      <w:r>
        <w:t>The hand therapist provides the consultation via webcam from a private office space adjacent to the outpatient clinic and documents their clinical assessment and recommendations within the paper-based medical record.</w:t>
      </w:r>
      <w:r w:rsidR="00A91C21">
        <w:t xml:space="preserve"> </w:t>
      </w:r>
      <w:r>
        <w:t>The hand therapist also provides a follow-up email to the patient to confirm agreed changes to their home exercise program.</w:t>
      </w:r>
    </w:p>
    <w:p w14:paraId="6DE1473A" w14:textId="06B12C81" w:rsidR="00A671C3" w:rsidRDefault="00A671C3" w:rsidP="00D535F9">
      <w:pPr>
        <w:pStyle w:val="Heading3"/>
      </w:pPr>
      <w:r>
        <w:t>Example 3</w:t>
      </w:r>
    </w:p>
    <w:p w14:paraId="530BB22C" w14:textId="04ADA603" w:rsidR="00E317CE" w:rsidRDefault="00DC777D" w:rsidP="00D535F9">
      <w:pPr>
        <w:pStyle w:val="Normalfollowingheading"/>
      </w:pPr>
      <w:r>
        <w:rPr>
          <w:noProof/>
        </w:rPr>
        <mc:AlternateContent>
          <mc:Choice Requires="wpg">
            <w:drawing>
              <wp:inline distT="0" distB="0" distL="0" distR="0" wp14:anchorId="14C66D27" wp14:editId="4BD16DF5">
                <wp:extent cx="6464300" cy="691515"/>
                <wp:effectExtent l="0" t="0" r="0" b="0"/>
                <wp:docPr id="109" name="Group 109"/>
                <wp:cNvGraphicFramePr/>
                <a:graphic xmlns:a="http://schemas.openxmlformats.org/drawingml/2006/main">
                  <a:graphicData uri="http://schemas.microsoft.com/office/word/2010/wordprocessingGroup">
                    <wpg:wgp>
                      <wpg:cNvGrpSpPr/>
                      <wpg:grpSpPr>
                        <a:xfrm>
                          <a:off x="0" y="0"/>
                          <a:ext cx="6464300" cy="691515"/>
                          <a:chOff x="0" y="0"/>
                          <a:chExt cx="6464300" cy="691515"/>
                        </a:xfrm>
                      </wpg:grpSpPr>
                      <wps:wsp>
                        <wps:cNvPr id="110" name="Rectangle 110"/>
                        <wps:cNvSpPr/>
                        <wps:spPr>
                          <a:xfrm>
                            <a:off x="0" y="762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50AB475E" w14:textId="77777777" w:rsidR="00F80678" w:rsidRPr="00D535F9" w:rsidRDefault="00F80678" w:rsidP="00D535F9">
                              <w:pPr>
                                <w:pStyle w:val="Tabletextcentred"/>
                                <w:rPr>
                                  <w:b/>
                                  <w:bCs/>
                                </w:rPr>
                              </w:pPr>
                              <w:r w:rsidRPr="00D535F9">
                                <w:rPr>
                                  <w:b/>
                                  <w:bCs/>
                                </w:rPr>
                                <w:t>Community rehabilitation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37B43E10" w14:textId="77777777" w:rsidR="00F80678" w:rsidRPr="00D535F9" w:rsidRDefault="00F80678" w:rsidP="00D535F9">
                              <w:pPr>
                                <w:pStyle w:val="Tabletextcentred"/>
                                <w:rPr>
                                  <w:b/>
                                  <w:bCs/>
                                </w:rPr>
                              </w:pPr>
                              <w:r w:rsidRPr="00D535F9">
                                <w:rPr>
                                  <w:b/>
                                  <w:bCs/>
                                </w:rPr>
                                <w:t>Stroke early supported discharge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3474720" y="762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43E422E0" w14:textId="77777777" w:rsidR="00F80678" w:rsidRPr="00D535F9" w:rsidRDefault="00F80678" w:rsidP="00D535F9">
                              <w:pPr>
                                <w:pStyle w:val="Tabletextcentred"/>
                                <w:rPr>
                                  <w:b/>
                                  <w:bCs/>
                                </w:rPr>
                              </w:pPr>
                              <w:r w:rsidRPr="00D535F9">
                                <w:rPr>
                                  <w:b/>
                                  <w:bCs/>
                                </w:rPr>
                                <w:t>Multiple disciplines – multidisciplinary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Plus Sign 113"/>
                        <wps:cNvSpPr/>
                        <wps:spPr>
                          <a:xfrm>
                            <a:off x="13258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Plus Sign 114"/>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Plus Sign 115"/>
                        <wps:cNvSpPr/>
                        <wps:spPr>
                          <a:xfrm>
                            <a:off x="47929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5204460" y="762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75D939FF" w14:textId="5232BC83" w:rsidR="00F80678" w:rsidRPr="00D535F9" w:rsidRDefault="00F80678" w:rsidP="00D535F9">
                              <w:pPr>
                                <w:pStyle w:val="Tabletextcentred"/>
                                <w:rPr>
                                  <w:b/>
                                  <w:bCs/>
                                </w:rPr>
                              </w:pPr>
                              <w:r w:rsidRPr="00D535F9">
                                <w:rPr>
                                  <w:b/>
                                  <w:bCs/>
                                </w:rPr>
                                <w:t>Hybrid approach to service delivery incl. telehealth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C66D27" id="Group 109" o:spid="_x0000_s1050" style="width:509pt;height:54.45pt;mso-position-horizontal-relative:char;mso-position-vertical-relative:line" coordsize="64643,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">
                <v:rect id="Rectangle 110" o:spid="_x0000_s1051" style="position:absolute;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" fillcolor="#80bac3 [3205]" stroked="f" strokeweight="1pt">
                  <v:textbox>
                    <w:txbxContent>
                      <w:p w14:paraId="50AB475E" w14:textId="77777777" w:rsidR="00F80678" w:rsidRPr="00D535F9" w:rsidRDefault="00F80678" w:rsidP="00D535F9">
                        <w:pPr>
                          <w:pStyle w:val="Tabletextcentred"/>
                          <w:rPr>
                            <w:b/>
                            <w:bCs/>
                          </w:rPr>
                        </w:pPr>
                        <w:r w:rsidRPr="00D535F9">
                          <w:rPr>
                            <w:b/>
                            <w:bCs/>
                          </w:rPr>
                          <w:t>Community rehabilitation</w:t>
                        </w:r>
                      </w:p>
                    </w:txbxContent>
                  </v:textbox>
                </v:rect>
                <v:rect id="Rectangle 111" o:spid="_x0000_s1052"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" fillcolor="#bfdde1 [3206]" stroked="f" strokeweight="1pt">
                  <v:textbox>
                    <w:txbxContent>
                      <w:p w14:paraId="37B43E10" w14:textId="77777777" w:rsidR="00F80678" w:rsidRPr="00D535F9" w:rsidRDefault="00F80678" w:rsidP="00D535F9">
                        <w:pPr>
                          <w:pStyle w:val="Tabletextcentred"/>
                          <w:rPr>
                            <w:b/>
                            <w:bCs/>
                          </w:rPr>
                        </w:pPr>
                        <w:r w:rsidRPr="00D535F9">
                          <w:rPr>
                            <w:b/>
                            <w:bCs/>
                          </w:rPr>
                          <w:t>Stroke early supported discharge program</w:t>
                        </w:r>
                      </w:p>
                    </w:txbxContent>
                  </v:textbox>
                </v:rect>
                <v:rect id="Rectangle 112" o:spid="_x0000_s1053" style="position:absolute;left:34747;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" fillcolor="#e5f1f3 [661]" stroked="f" strokeweight="1pt">
                  <v:textbox>
                    <w:txbxContent>
                      <w:p w14:paraId="43E422E0" w14:textId="77777777" w:rsidR="00F80678" w:rsidRPr="00D535F9" w:rsidRDefault="00F80678" w:rsidP="00D535F9">
                        <w:pPr>
                          <w:pStyle w:val="Tabletextcentred"/>
                          <w:rPr>
                            <w:b/>
                            <w:bCs/>
                          </w:rPr>
                        </w:pPr>
                        <w:r w:rsidRPr="00D535F9">
                          <w:rPr>
                            <w:b/>
                            <w:bCs/>
                          </w:rPr>
                          <w:t>Multiple disciplines – multidisciplinary</w:t>
                        </w:r>
                      </w:p>
                    </w:txbxContent>
                  </v:textbox>
                </v:rect>
                <v:shape id="Plus Sign 113" o:spid="_x0000_s1054" style="position:absolute;left:13258;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14" o:spid="_x0000_s1055"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15" o:spid="_x0000_s1056" style="position:absolute;left:47929;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116" o:spid="_x0000_s1057" style="position:absolute;left:52044;top:76;width:12599;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" fillcolor="#e5e5e7 [664]" stroked="f" strokeweight="1pt">
                  <v:textbox>
                    <w:txbxContent>
                      <w:p w14:paraId="75D939FF" w14:textId="5232BC83" w:rsidR="00F80678" w:rsidRPr="00D535F9" w:rsidRDefault="00F80678" w:rsidP="00D535F9">
                        <w:pPr>
                          <w:pStyle w:val="Tabletextcentred"/>
                          <w:rPr>
                            <w:b/>
                            <w:bCs/>
                          </w:rPr>
                        </w:pPr>
                        <w:r w:rsidRPr="00D535F9">
                          <w:rPr>
                            <w:b/>
                            <w:bCs/>
                          </w:rPr>
                          <w:t>Hybrid approach to service delivery incl. telehealth groups</w:t>
                        </w:r>
                      </w:p>
                    </w:txbxContent>
                  </v:textbox>
                </v:rect>
                <w10:anchorlock/>
              </v:group>
            </w:pict>
          </mc:Fallback>
        </mc:AlternateContent>
      </w:r>
    </w:p>
    <w:p w14:paraId="32939879" w14:textId="1AD9DA29" w:rsidR="00A671C3" w:rsidRDefault="00A671C3" w:rsidP="00D535F9">
      <w:r>
        <w:t>A patient is referred to the early supported discharge program post inpatient discharge for ongoing stroke rehabilitation (occupational therapy, physiotherapy and speech pathology) and pharmacy education.</w:t>
      </w:r>
      <w:r w:rsidR="00A91C21">
        <w:t xml:space="preserve"> </w:t>
      </w:r>
      <w:r>
        <w:t>A mix of face-to-face and telehealth service delivery is employed by the various disciplines, all of whom provide individual input to the patient</w:t>
      </w:r>
      <w:r w:rsidR="00D514BD">
        <w:t>’s</w:t>
      </w:r>
      <w:r>
        <w:t xml:space="preserve"> care.</w:t>
      </w:r>
      <w:r w:rsidR="00A91C21">
        <w:t xml:space="preserve"> </w:t>
      </w:r>
      <w:r>
        <w:t xml:space="preserve">For example, the speech pathologist engages the patient in a weekly communication skills group that is conducted via telehealth sessions and completes a fortnightly face-to-face review of their swallowing function and tolerance of a modified consistency diet. The pharmacist completes two telehealth education sessions </w:t>
      </w:r>
      <w:r w:rsidR="00DE4FAD">
        <w:t xml:space="preserve">with the patient’s carer </w:t>
      </w:r>
      <w:r>
        <w:t>on medication compliance for blood pressure and cholesterol management.</w:t>
      </w:r>
    </w:p>
    <w:p w14:paraId="74FB0090" w14:textId="0D5225BF" w:rsidR="00A671C3" w:rsidRDefault="00A671C3" w:rsidP="00D535F9">
      <w:pPr>
        <w:pStyle w:val="Heading3"/>
      </w:pPr>
      <w:r>
        <w:lastRenderedPageBreak/>
        <w:t>Example 4</w:t>
      </w:r>
    </w:p>
    <w:p w14:paraId="372C81F0" w14:textId="02138591" w:rsidR="00E317CE" w:rsidRDefault="00DC777D" w:rsidP="00D535F9">
      <w:pPr>
        <w:pStyle w:val="Normalfollowingheading"/>
      </w:pPr>
      <w:r>
        <w:rPr>
          <w:noProof/>
        </w:rPr>
        <mc:AlternateContent>
          <mc:Choice Requires="wpg">
            <w:drawing>
              <wp:inline distT="0" distB="0" distL="0" distR="0" wp14:anchorId="41F7CFF0" wp14:editId="21C144BB">
                <wp:extent cx="6464300" cy="683895"/>
                <wp:effectExtent l="0" t="0" r="0" b="1905"/>
                <wp:docPr id="118" name="Group 118"/>
                <wp:cNvGraphicFramePr/>
                <a:graphic xmlns:a="http://schemas.openxmlformats.org/drawingml/2006/main">
                  <a:graphicData uri="http://schemas.microsoft.com/office/word/2010/wordprocessingGroup">
                    <wpg:wgp>
                      <wpg:cNvGrpSpPr/>
                      <wpg:grpSpPr>
                        <a:xfrm>
                          <a:off x="0" y="0"/>
                          <a:ext cx="6464300" cy="683895"/>
                          <a:chOff x="0" y="0"/>
                          <a:chExt cx="6464300" cy="683895"/>
                        </a:xfrm>
                      </wpg:grpSpPr>
                      <wps:wsp>
                        <wps:cNvPr id="119" name="Rectangle 119"/>
                        <wps:cNvSpPr/>
                        <wps:spPr>
                          <a:xfrm>
                            <a:off x="0" y="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297E4A28" w14:textId="77777777" w:rsidR="00F80678" w:rsidRPr="00D535F9" w:rsidRDefault="00F80678" w:rsidP="00D535F9">
                              <w:pPr>
                                <w:pStyle w:val="Tabletextcentred"/>
                                <w:rPr>
                                  <w:b/>
                                  <w:bCs/>
                                </w:rPr>
                              </w:pPr>
                              <w:r w:rsidRPr="00D535F9">
                                <w:rPr>
                                  <w:b/>
                                  <w:bCs/>
                                </w:rPr>
                                <w:t>Ambulatory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42B6CCBA" w14:textId="77777777" w:rsidR="00F80678" w:rsidRPr="00D535F9" w:rsidRDefault="00F80678" w:rsidP="00D535F9">
                              <w:pPr>
                                <w:pStyle w:val="Tabletextcentred"/>
                                <w:rPr>
                                  <w:b/>
                                  <w:bCs/>
                                </w:rPr>
                              </w:pPr>
                              <w:r w:rsidRPr="00D535F9">
                                <w:rPr>
                                  <w:b/>
                                  <w:bCs/>
                                </w:rPr>
                                <w:t>Pain management clinic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474720" y="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10DB93A9" w14:textId="77777777" w:rsidR="00F80678" w:rsidRPr="00D535F9" w:rsidRDefault="00F80678" w:rsidP="00D535F9">
                              <w:pPr>
                                <w:pStyle w:val="Tabletextcentred"/>
                                <w:rPr>
                                  <w:b/>
                                  <w:bCs/>
                                </w:rPr>
                              </w:pPr>
                              <w:r w:rsidRPr="00D535F9">
                                <w:rPr>
                                  <w:b/>
                                  <w:bCs/>
                                </w:rPr>
                                <w:t>Multiple disciplines – interdisciplinary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Plus Sign 122"/>
                        <wps:cNvSpPr/>
                        <wps:spPr>
                          <a:xfrm>
                            <a:off x="13258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Plus Sign 123"/>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Plus Sign 124"/>
                        <wps:cNvSpPr/>
                        <wps:spPr>
                          <a:xfrm>
                            <a:off x="4792980" y="16002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5204460" y="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2448393C" w14:textId="77777777" w:rsidR="00F80678" w:rsidRPr="00D535F9" w:rsidRDefault="00F80678" w:rsidP="00D535F9">
                              <w:pPr>
                                <w:pStyle w:val="Tabletextcentred"/>
                                <w:rPr>
                                  <w:b/>
                                  <w:bCs/>
                                </w:rPr>
                              </w:pPr>
                              <w:r w:rsidRPr="00D535F9">
                                <w:rPr>
                                  <w:b/>
                                  <w:bCs/>
                                </w:rPr>
                                <w:t>Full substitutions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F7CFF0" id="Group 118" o:spid="_x0000_s1058" style="width:509pt;height:53.85pt;mso-position-horizontal-relative:char;mso-position-vertical-relative:line" coordsize="64643,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">
                <v:rect id="Rectangle 119" o:spid="_x0000_s1059" style="position:absolute;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" fillcolor="#80bac3 [3205]" stroked="f" strokeweight="1pt">
                  <v:textbox>
                    <w:txbxContent>
                      <w:p w14:paraId="297E4A28" w14:textId="77777777" w:rsidR="00F80678" w:rsidRPr="00D535F9" w:rsidRDefault="00F80678" w:rsidP="00D535F9">
                        <w:pPr>
                          <w:pStyle w:val="Tabletextcentred"/>
                          <w:rPr>
                            <w:b/>
                            <w:bCs/>
                          </w:rPr>
                        </w:pPr>
                        <w:r w:rsidRPr="00D535F9">
                          <w:rPr>
                            <w:b/>
                            <w:bCs/>
                          </w:rPr>
                          <w:t>Ambulatory care</w:t>
                        </w:r>
                      </w:p>
                    </w:txbxContent>
                  </v:textbox>
                </v:rect>
                <v:rect id="Rectangle 120" o:spid="_x0000_s1060"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" fillcolor="#bfdde1 [3206]" stroked="f" strokeweight="1pt">
                  <v:textbox>
                    <w:txbxContent>
                      <w:p w14:paraId="42B6CCBA" w14:textId="77777777" w:rsidR="00F80678" w:rsidRPr="00D535F9" w:rsidRDefault="00F80678" w:rsidP="00D535F9">
                        <w:pPr>
                          <w:pStyle w:val="Tabletextcentred"/>
                          <w:rPr>
                            <w:b/>
                            <w:bCs/>
                          </w:rPr>
                        </w:pPr>
                        <w:r w:rsidRPr="00D535F9">
                          <w:rPr>
                            <w:b/>
                            <w:bCs/>
                          </w:rPr>
                          <w:t>Pain management clinic consultation</w:t>
                        </w:r>
                      </w:p>
                    </w:txbxContent>
                  </v:textbox>
                </v:rect>
                <v:rect id="Rectangle 121" o:spid="_x0000_s1061" style="position:absolute;left:34747;width:12598;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" fillcolor="#e5f1f3 [661]" stroked="f" strokeweight="1pt">
                  <v:textbox>
                    <w:txbxContent>
                      <w:p w14:paraId="10DB93A9" w14:textId="77777777" w:rsidR="00F80678" w:rsidRPr="00D535F9" w:rsidRDefault="00F80678" w:rsidP="00D535F9">
                        <w:pPr>
                          <w:pStyle w:val="Tabletextcentred"/>
                          <w:rPr>
                            <w:b/>
                            <w:bCs/>
                          </w:rPr>
                        </w:pPr>
                        <w:r w:rsidRPr="00D535F9">
                          <w:rPr>
                            <w:b/>
                            <w:bCs/>
                          </w:rPr>
                          <w:t>Multiple disciplines – interdisciplinary</w:t>
                        </w:r>
                      </w:p>
                    </w:txbxContent>
                  </v:textbox>
                </v:rect>
                <v:shape id="Plus Sign 122" o:spid="_x0000_s1062" style="position:absolute;left:13258;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23" o:spid="_x0000_s1063"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24" o:spid="_x0000_s1064" style="position:absolute;left:47929;top:1600;width:3467;height:3568;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125" o:spid="_x0000_s1065" style="position:absolute;left:52044;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" fillcolor="#e5e5e7 [664]" stroked="f" strokeweight="1pt">
                  <v:textbox>
                    <w:txbxContent>
                      <w:p w14:paraId="2448393C" w14:textId="77777777" w:rsidR="00F80678" w:rsidRPr="00D535F9" w:rsidRDefault="00F80678" w:rsidP="00D535F9">
                        <w:pPr>
                          <w:pStyle w:val="Tabletextcentred"/>
                          <w:rPr>
                            <w:b/>
                            <w:bCs/>
                          </w:rPr>
                        </w:pPr>
                        <w:r w:rsidRPr="00D535F9">
                          <w:rPr>
                            <w:b/>
                            <w:bCs/>
                          </w:rPr>
                          <w:t>Full substitutions</w:t>
                        </w:r>
                      </w:p>
                    </w:txbxContent>
                  </v:textbox>
                </v:rect>
                <w10:anchorlock/>
              </v:group>
            </w:pict>
          </mc:Fallback>
        </mc:AlternateContent>
      </w:r>
    </w:p>
    <w:p w14:paraId="4E5537BC" w14:textId="73E05DA8" w:rsidR="00A671C3" w:rsidRDefault="00A671C3" w:rsidP="00D535F9">
      <w:r>
        <w:t xml:space="preserve">A patient is referred to </w:t>
      </w:r>
      <w:r w:rsidR="00D514BD">
        <w:t>a health service’s</w:t>
      </w:r>
      <w:r w:rsidR="00D514BD" w:rsidDel="00D514BD">
        <w:t xml:space="preserve"> </w:t>
      </w:r>
      <w:r>
        <w:t>virtual pain management clinic.</w:t>
      </w:r>
      <w:r w:rsidR="00A91C21">
        <w:t xml:space="preserve"> </w:t>
      </w:r>
      <w:r>
        <w:t>The clinic employs a team of medical, nursing and allied health professionals (occupational therapy, physiotherapy and psychology) and operates within an interdisciplinary model.</w:t>
      </w:r>
      <w:r w:rsidR="00A91C21">
        <w:t xml:space="preserve"> </w:t>
      </w:r>
      <w:r>
        <w:t>Weekly telehealth consultations are conducted by a team of clinicians (dependent on the specific clinical needs of the patient) who provide a complete program of assessment, treatment, education and self-management.</w:t>
      </w:r>
      <w:r w:rsidR="00A91C21">
        <w:t xml:space="preserve"> </w:t>
      </w:r>
      <w:r>
        <w:t>Regular communication between the patient, their GP and the clinic team is also supported through telehealth team conferences.</w:t>
      </w:r>
    </w:p>
    <w:p w14:paraId="364811C5" w14:textId="2A814532" w:rsidR="00A671C3" w:rsidRDefault="00A671C3" w:rsidP="00D535F9">
      <w:pPr>
        <w:pStyle w:val="Heading3"/>
      </w:pPr>
      <w:r>
        <w:t>Example 5</w:t>
      </w:r>
    </w:p>
    <w:p w14:paraId="52A63E2A" w14:textId="24EF1CDF" w:rsidR="00E317CE" w:rsidRDefault="00DC777D" w:rsidP="00D535F9">
      <w:pPr>
        <w:pStyle w:val="Normalfollowingheading"/>
      </w:pPr>
      <w:r>
        <w:rPr>
          <w:noProof/>
        </w:rPr>
        <mc:AlternateContent>
          <mc:Choice Requires="wpg">
            <w:drawing>
              <wp:inline distT="0" distB="0" distL="0" distR="0" wp14:anchorId="04335D60" wp14:editId="4191CE7E">
                <wp:extent cx="6464300" cy="691515"/>
                <wp:effectExtent l="0" t="0" r="0" b="0"/>
                <wp:docPr id="127" name="Group 127"/>
                <wp:cNvGraphicFramePr/>
                <a:graphic xmlns:a="http://schemas.openxmlformats.org/drawingml/2006/main">
                  <a:graphicData uri="http://schemas.microsoft.com/office/word/2010/wordprocessingGroup">
                    <wpg:wgp>
                      <wpg:cNvGrpSpPr/>
                      <wpg:grpSpPr>
                        <a:xfrm>
                          <a:off x="0" y="0"/>
                          <a:ext cx="6464300" cy="691515"/>
                          <a:chOff x="0" y="0"/>
                          <a:chExt cx="6464300" cy="691515"/>
                        </a:xfrm>
                      </wpg:grpSpPr>
                      <wps:wsp>
                        <wps:cNvPr id="128" name="Rectangle 128"/>
                        <wps:cNvSpPr/>
                        <wps:spPr>
                          <a:xfrm>
                            <a:off x="0" y="7620"/>
                            <a:ext cx="1259840" cy="683895"/>
                          </a:xfrm>
                          <a:prstGeom prst="rect">
                            <a:avLst/>
                          </a:prstGeom>
                          <a:solidFill>
                            <a:schemeClr val="accent2"/>
                          </a:solidFill>
                          <a:ln w="12700">
                            <a:noFill/>
                          </a:ln>
                        </wps:spPr>
                        <wps:style>
                          <a:lnRef idx="2">
                            <a:schemeClr val="dk1"/>
                          </a:lnRef>
                          <a:fillRef idx="1">
                            <a:schemeClr val="lt1"/>
                          </a:fillRef>
                          <a:effectRef idx="0">
                            <a:schemeClr val="dk1"/>
                          </a:effectRef>
                          <a:fontRef idx="minor">
                            <a:schemeClr val="dk1"/>
                          </a:fontRef>
                        </wps:style>
                        <wps:txbx>
                          <w:txbxContent>
                            <w:p w14:paraId="18236886" w14:textId="77777777" w:rsidR="00F80678" w:rsidRPr="00D535F9" w:rsidRDefault="00F80678" w:rsidP="00D535F9">
                              <w:pPr>
                                <w:pStyle w:val="Tabletextcentred"/>
                                <w:rPr>
                                  <w:b/>
                                  <w:bCs/>
                                </w:rPr>
                              </w:pPr>
                              <w:r w:rsidRPr="00D535F9">
                                <w:rPr>
                                  <w:b/>
                                  <w:bCs/>
                                </w:rPr>
                                <w:t>Community mental health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1737360" y="0"/>
                            <a:ext cx="1259840" cy="683895"/>
                          </a:xfrm>
                          <a:prstGeom prst="rect">
                            <a:avLst/>
                          </a:prstGeom>
                          <a:solidFill>
                            <a:schemeClr val="accent3"/>
                          </a:solidFill>
                          <a:ln w="12700">
                            <a:noFill/>
                          </a:ln>
                        </wps:spPr>
                        <wps:style>
                          <a:lnRef idx="2">
                            <a:schemeClr val="dk1"/>
                          </a:lnRef>
                          <a:fillRef idx="1">
                            <a:schemeClr val="lt1"/>
                          </a:fillRef>
                          <a:effectRef idx="0">
                            <a:schemeClr val="dk1"/>
                          </a:effectRef>
                          <a:fontRef idx="minor">
                            <a:schemeClr val="dk1"/>
                          </a:fontRef>
                        </wps:style>
                        <wps:txbx>
                          <w:txbxContent>
                            <w:p w14:paraId="04CFAE3B" w14:textId="77777777" w:rsidR="00F80678" w:rsidRPr="00D535F9" w:rsidRDefault="00F80678" w:rsidP="00D535F9">
                              <w:pPr>
                                <w:pStyle w:val="Tabletextcentred"/>
                                <w:rPr>
                                  <w:b/>
                                  <w:bCs/>
                                </w:rPr>
                              </w:pPr>
                              <w:r w:rsidRPr="00D535F9">
                                <w:rPr>
                                  <w:b/>
                                  <w:bCs/>
                                </w:rPr>
                                <w:t>Cognitive behavioural therapy for bulimia nervosa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3474720" y="7620"/>
                            <a:ext cx="1259840" cy="683895"/>
                          </a:xfrm>
                          <a:prstGeom prst="rect">
                            <a:avLst/>
                          </a:prstGeom>
                          <a:solidFill>
                            <a:schemeClr val="accent2">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1157D892" w14:textId="77777777" w:rsidR="00F80678" w:rsidRPr="00D535F9" w:rsidRDefault="00F80678" w:rsidP="00D535F9">
                              <w:pPr>
                                <w:pStyle w:val="Tabletextcentred"/>
                                <w:rPr>
                                  <w:b/>
                                  <w:bCs/>
                                </w:rPr>
                              </w:pPr>
                              <w:r w:rsidRPr="00D535F9">
                                <w:rPr>
                                  <w:b/>
                                  <w:bCs/>
                                </w:rPr>
                                <w:t>Single discipline – generic worker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Plus Sign 131"/>
                        <wps:cNvSpPr/>
                        <wps:spPr>
                          <a:xfrm>
                            <a:off x="13258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Plus Sign 132"/>
                        <wps:cNvSpPr/>
                        <wps:spPr>
                          <a:xfrm>
                            <a:off x="306324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Plus Sign 133"/>
                        <wps:cNvSpPr/>
                        <wps:spPr>
                          <a:xfrm>
                            <a:off x="4792980" y="167640"/>
                            <a:ext cx="346710" cy="356870"/>
                          </a:xfrm>
                          <a:prstGeom prst="math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5204460" y="7620"/>
                            <a:ext cx="1259840" cy="683895"/>
                          </a:xfrm>
                          <a:prstGeom prst="rect">
                            <a:avLst/>
                          </a:prstGeom>
                          <a:solidFill>
                            <a:schemeClr val="accent5">
                              <a:lumMod val="20000"/>
                              <a:lumOff val="80000"/>
                            </a:schemeClr>
                          </a:solidFill>
                          <a:ln w="12700">
                            <a:noFill/>
                          </a:ln>
                        </wps:spPr>
                        <wps:style>
                          <a:lnRef idx="2">
                            <a:schemeClr val="dk1"/>
                          </a:lnRef>
                          <a:fillRef idx="1">
                            <a:schemeClr val="lt1"/>
                          </a:fillRef>
                          <a:effectRef idx="0">
                            <a:schemeClr val="dk1"/>
                          </a:effectRef>
                          <a:fontRef idx="minor">
                            <a:schemeClr val="dk1"/>
                          </a:fontRef>
                        </wps:style>
                        <wps:txbx>
                          <w:txbxContent>
                            <w:p w14:paraId="385E1E08" w14:textId="77777777" w:rsidR="00F80678" w:rsidRPr="00D535F9" w:rsidRDefault="00F80678" w:rsidP="00D535F9">
                              <w:pPr>
                                <w:pStyle w:val="Tabletextcentred"/>
                                <w:rPr>
                                  <w:b/>
                                  <w:bCs/>
                                </w:rPr>
                              </w:pPr>
                              <w:r w:rsidRPr="00D535F9">
                                <w:rPr>
                                  <w:b/>
                                  <w:bCs/>
                                </w:rPr>
                                <w:t>Hybrid approach to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4335D60" id="Group 127" o:spid="_x0000_s1066" style="width:509pt;height:54.45pt;mso-position-horizontal-relative:char;mso-position-vertical-relative:line" coordsize="64643,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">
                <v:rect id="Rectangle 128" o:spid="_x0000_s1067" style="position:absolute;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" fillcolor="#80bac3 [3205]" stroked="f" strokeweight="1pt">
                  <v:textbox>
                    <w:txbxContent>
                      <w:p w14:paraId="18236886" w14:textId="77777777" w:rsidR="00F80678" w:rsidRPr="00D535F9" w:rsidRDefault="00F80678" w:rsidP="00D535F9">
                        <w:pPr>
                          <w:pStyle w:val="Tabletextcentred"/>
                          <w:rPr>
                            <w:b/>
                            <w:bCs/>
                          </w:rPr>
                        </w:pPr>
                        <w:r w:rsidRPr="00D535F9">
                          <w:rPr>
                            <w:b/>
                            <w:bCs/>
                          </w:rPr>
                          <w:t>Community mental health treatment</w:t>
                        </w:r>
                      </w:p>
                    </w:txbxContent>
                  </v:textbox>
                </v:rect>
                <v:rect id="Rectangle 129" o:spid="_x0000_s1068" style="position:absolute;left:17373;width:1259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" fillcolor="#bfdde1 [3206]" stroked="f" strokeweight="1pt">
                  <v:textbox>
                    <w:txbxContent>
                      <w:p w14:paraId="04CFAE3B" w14:textId="77777777" w:rsidR="00F80678" w:rsidRPr="00D535F9" w:rsidRDefault="00F80678" w:rsidP="00D535F9">
                        <w:pPr>
                          <w:pStyle w:val="Tabletextcentred"/>
                          <w:rPr>
                            <w:b/>
                            <w:bCs/>
                          </w:rPr>
                        </w:pPr>
                        <w:r w:rsidRPr="00D535F9">
                          <w:rPr>
                            <w:b/>
                            <w:bCs/>
                          </w:rPr>
                          <w:t>Cognitive behavioural therapy for bulimia nervosa</w:t>
                        </w:r>
                      </w:p>
                    </w:txbxContent>
                  </v:textbox>
                </v:rect>
                <v:rect id="Rectangle 130" o:spid="_x0000_s1069" style="position:absolute;left:34747;top:76;width:1259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" fillcolor="#e5f1f3 [661]" stroked="f" strokeweight="1pt">
                  <v:textbox>
                    <w:txbxContent>
                      <w:p w14:paraId="1157D892" w14:textId="77777777" w:rsidR="00F80678" w:rsidRPr="00D535F9" w:rsidRDefault="00F80678" w:rsidP="00D535F9">
                        <w:pPr>
                          <w:pStyle w:val="Tabletextcentred"/>
                          <w:rPr>
                            <w:b/>
                            <w:bCs/>
                          </w:rPr>
                        </w:pPr>
                        <w:r w:rsidRPr="00D535F9">
                          <w:rPr>
                            <w:b/>
                            <w:bCs/>
                          </w:rPr>
                          <w:t>Single discipline – generic worker role</w:t>
                        </w:r>
                      </w:p>
                    </w:txbxContent>
                  </v:textbox>
                </v:rect>
                <v:shape id="Plus Sign 131" o:spid="_x0000_s1070" style="position:absolute;left:13258;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32" o:spid="_x0000_s1071" style="position:absolute;left:30632;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shape id="Plus Sign 133" o:spid="_x0000_s1072" style="position:absolute;left:47929;top:1676;width:3467;height:3569;visibility:visible;mso-wrap-style:square;v-text-anchor:middle" coordsize="34671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" path="m45956,137662r86626,l132582,47303r81546,l214128,137662r86626,l300754,219208r-86626,l214128,309567r-81546,l132582,219208r-86626,l45956,137662xe" fillcolor="black [3213]" stroked="f" strokeweight="2pt">
                  <v:path arrowok="t" o:connecttype="custom" o:connectlocs="45956,137662;132582,137662;132582,47303;214128,47303;214128,137662;300754,137662;300754,219208;214128,219208;214128,309567;132582,309567;132582,219208;45956,219208;45956,137662" o:connectangles="0,0,0,0,0,0,0,0,0,0,0,0,0"/>
                </v:shape>
                <v:rect id="Rectangle 134" o:spid="_x0000_s1073" style="position:absolute;left:52044;top:76;width:12599;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" fillcolor="#e5e5e7 [664]" stroked="f" strokeweight="1pt">
                  <v:textbox>
                    <w:txbxContent>
                      <w:p w14:paraId="385E1E08" w14:textId="77777777" w:rsidR="00F80678" w:rsidRPr="00D535F9" w:rsidRDefault="00F80678" w:rsidP="00D535F9">
                        <w:pPr>
                          <w:pStyle w:val="Tabletextcentred"/>
                          <w:rPr>
                            <w:b/>
                            <w:bCs/>
                          </w:rPr>
                        </w:pPr>
                        <w:r w:rsidRPr="00D535F9">
                          <w:rPr>
                            <w:b/>
                            <w:bCs/>
                          </w:rPr>
                          <w:t>Hybrid approach to service delivery</w:t>
                        </w:r>
                      </w:p>
                    </w:txbxContent>
                  </v:textbox>
                </v:rect>
                <w10:anchorlock/>
              </v:group>
            </w:pict>
          </mc:Fallback>
        </mc:AlternateContent>
      </w:r>
    </w:p>
    <w:p w14:paraId="12DB9FE9" w14:textId="64D6F414" w:rsidR="00A671C3" w:rsidRDefault="00A671C3" w:rsidP="00D535F9">
      <w:r>
        <w:t>A junior social worker employed as a community mental health practitioner provides a mix of face-to-face and telehealth counselling services for a long-standing patient with bulimia nervosa.</w:t>
      </w:r>
      <w:r w:rsidR="00A91C21">
        <w:t xml:space="preserve"> </w:t>
      </w:r>
      <w:r>
        <w:t xml:space="preserve">Owing to a change in the patient’s presentation, the social worker asks their professional supervisor </w:t>
      </w:r>
      <w:r w:rsidR="00D514BD">
        <w:t xml:space="preserve">– </w:t>
      </w:r>
      <w:r>
        <w:t>a clinical psychologist also employed as community mental health practitioner</w:t>
      </w:r>
      <w:r w:rsidR="00D514BD">
        <w:t xml:space="preserve"> –</w:t>
      </w:r>
      <w:r>
        <w:t xml:space="preserve"> to sit in on a telehealth session and provide an opinion on the need for an amended treatment plan.</w:t>
      </w:r>
      <w:r w:rsidR="00A91C21">
        <w:t xml:space="preserve"> </w:t>
      </w:r>
      <w:r>
        <w:t>With the patient’s consent, a co-treatment session is delivered by the social worker and psychologist via telehealth to determine the suitability of the revised treatment plan.</w:t>
      </w:r>
    </w:p>
    <w:p w14:paraId="263B6182" w14:textId="4F18731F" w:rsidR="00A671C3" w:rsidRDefault="00A671C3" w:rsidP="00D535F9"/>
    <w:p w14:paraId="78053D42" w14:textId="7C0BF460" w:rsidR="00A671C3" w:rsidRDefault="00A671C3" w:rsidP="00D535F9">
      <w:r>
        <w:br w:type="page"/>
      </w:r>
    </w:p>
    <w:p w14:paraId="13194055" w14:textId="78086471" w:rsidR="00A671C3" w:rsidRDefault="000D0F95" w:rsidP="00D535F9">
      <w:pPr>
        <w:pStyle w:val="Heading1"/>
        <w:framePr w:wrap="around"/>
      </w:pPr>
      <w:bookmarkStart w:id="9" w:name="_Toc45895458"/>
      <w:r>
        <w:lastRenderedPageBreak/>
        <w:t>Improving workforce utilisation and service access</w:t>
      </w:r>
      <w:r w:rsidDel="000D0F95">
        <w:t xml:space="preserve"> </w:t>
      </w:r>
      <w:bookmarkEnd w:id="9"/>
    </w:p>
    <w:p w14:paraId="4AC5BDB1" w14:textId="77777777" w:rsidR="00A671C3" w:rsidRDefault="00A671C3" w:rsidP="00D535F9">
      <w:r>
        <w:t>Digital health technologies, such as telehealth, have significant potential to address health workforce shortages and inequities in service access by improving workforce resource utilisation and productivity (Australian Government, Australian Digital Health Agency, 2019).</w:t>
      </w:r>
    </w:p>
    <w:p w14:paraId="2FBA4B0C" w14:textId="622F1410" w:rsidR="00D514BD" w:rsidRDefault="00A671C3" w:rsidP="00D535F9">
      <w:r>
        <w:t xml:space="preserve">Telehealth can facilitate enhanced patient access to allied health services, particularly in outer metropolitan and regional and rural areas which typically </w:t>
      </w:r>
      <w:proofErr w:type="gramStart"/>
      <w:r>
        <w:t>experience difficulty</w:t>
      </w:r>
      <w:proofErr w:type="gramEnd"/>
      <w:r>
        <w:t xml:space="preserve"> in attracting and retaining qualified health professionals (Australian Government, National Rural Health Commissioner, 2019).</w:t>
      </w:r>
      <w:r w:rsidR="00A91C21">
        <w:t xml:space="preserve"> </w:t>
      </w:r>
    </w:p>
    <w:p w14:paraId="1F0B0DB6" w14:textId="6ED835FD" w:rsidR="00A671C3" w:rsidRDefault="00A671C3" w:rsidP="00D535F9">
      <w:r>
        <w:t xml:space="preserve">Using telehealth, allied health professionals </w:t>
      </w:r>
      <w:r w:rsidR="00D514BD">
        <w:t xml:space="preserve">can </w:t>
      </w:r>
      <w:r>
        <w:t xml:space="preserve">deliver select treatments/interventions </w:t>
      </w:r>
      <w:r w:rsidR="00D514BD">
        <w:t xml:space="preserve">while </w:t>
      </w:r>
      <w:r>
        <w:t xml:space="preserve">living and working outside of the </w:t>
      </w:r>
      <w:r w:rsidR="00D514BD">
        <w:t xml:space="preserve">patient’s </w:t>
      </w:r>
      <w:r>
        <w:t>geographical vicinity.</w:t>
      </w:r>
      <w:r w:rsidR="00A91C21">
        <w:t xml:space="preserve"> </w:t>
      </w:r>
      <w:r w:rsidR="00D514BD">
        <w:t xml:space="preserve">The </w:t>
      </w:r>
      <w:r>
        <w:t>capacity for remote service delivery</w:t>
      </w:r>
      <w:r w:rsidR="005138C4">
        <w:t xml:space="preserve"> </w:t>
      </w:r>
      <w:r w:rsidR="002044FD">
        <w:t xml:space="preserve">may </w:t>
      </w:r>
      <w:r w:rsidR="005138C4">
        <w:t xml:space="preserve">also reduce the </w:t>
      </w:r>
      <w:r>
        <w:t xml:space="preserve">clinician time ‘lost’ </w:t>
      </w:r>
      <w:r w:rsidR="006117EB">
        <w:t xml:space="preserve">in travelling </w:t>
      </w:r>
      <w:r>
        <w:t>to</w:t>
      </w:r>
      <w:r w:rsidR="006117EB">
        <w:t xml:space="preserve"> and </w:t>
      </w:r>
      <w:r>
        <w:t>from home</w:t>
      </w:r>
      <w:r w:rsidR="006117EB">
        <w:t>-</w:t>
      </w:r>
      <w:r>
        <w:t xml:space="preserve"> and community-based appointments</w:t>
      </w:r>
      <w:r w:rsidR="006117EB">
        <w:t>,</w:t>
      </w:r>
      <w:r>
        <w:t xml:space="preserve"> and from </w:t>
      </w:r>
      <w:r w:rsidR="002044FD">
        <w:t>patient non-</w:t>
      </w:r>
      <w:r>
        <w:t>attend</w:t>
      </w:r>
      <w:r w:rsidR="002044FD">
        <w:t>ance at</w:t>
      </w:r>
      <w:r>
        <w:t xml:space="preserve"> scheduled face-to-face appointments</w:t>
      </w:r>
      <w:r w:rsidR="005138C4">
        <w:t xml:space="preserve">. </w:t>
      </w:r>
      <w:r w:rsidR="002044FD">
        <w:t>Thus</w:t>
      </w:r>
      <w:r w:rsidR="005138C4">
        <w:t xml:space="preserve">, telehealth </w:t>
      </w:r>
      <w:r>
        <w:t>may partially address regional workforce shortages and improve the u</w:t>
      </w:r>
      <w:r w:rsidR="00784E36">
        <w:t>se</w:t>
      </w:r>
      <w:r>
        <w:t xml:space="preserve"> of existing but finite allied health resources.</w:t>
      </w:r>
    </w:p>
    <w:p w14:paraId="3A8E4EBD" w14:textId="3FCF6161" w:rsidR="006E3BB1" w:rsidRDefault="005138C4" w:rsidP="00D535F9">
      <w:r>
        <w:t xml:space="preserve">In addition to </w:t>
      </w:r>
      <w:r w:rsidR="00A671C3">
        <w:t>productivity</w:t>
      </w:r>
      <w:r>
        <w:t xml:space="preserve"> benefits</w:t>
      </w:r>
      <w:r w:rsidR="00A671C3">
        <w:t>, telehealth provides a powerful mechanism for workforce capacity uplift.</w:t>
      </w:r>
      <w:r w:rsidR="00A91C21">
        <w:t xml:space="preserve"> </w:t>
      </w:r>
      <w:r w:rsidR="00A671C3">
        <w:t xml:space="preserve">Access to secondary consultations and clinical supervision/mentoring from more experienced clinicians can easily </w:t>
      </w:r>
      <w:r w:rsidR="006E3BB1">
        <w:t xml:space="preserve">be </w:t>
      </w:r>
      <w:r w:rsidR="00A671C3">
        <w:t>provided to individuals or team</w:t>
      </w:r>
      <w:r w:rsidR="006E3BB1">
        <w:t>s</w:t>
      </w:r>
      <w:r w:rsidR="00A671C3">
        <w:t xml:space="preserve"> using </w:t>
      </w:r>
      <w:r w:rsidR="006E3BB1">
        <w:t>this technology</w:t>
      </w:r>
      <w:r w:rsidR="00A671C3">
        <w:t>.</w:t>
      </w:r>
      <w:r w:rsidR="00A91C21">
        <w:t xml:space="preserve"> </w:t>
      </w:r>
      <w:r w:rsidR="00A671C3">
        <w:t>This is particularly advantageous for speciality and niche areas of clinical practice where a health service may not commonly experience a specific patient presentation and therefore does not require designated specialty resourcing on an ongoing basis.</w:t>
      </w:r>
      <w:r w:rsidR="00A91C21">
        <w:t xml:space="preserve"> </w:t>
      </w:r>
    </w:p>
    <w:p w14:paraId="71AAFA30" w14:textId="02C96A3F" w:rsidR="00A671C3" w:rsidRDefault="00784E36" w:rsidP="00D535F9">
      <w:r>
        <w:t>Under</w:t>
      </w:r>
      <w:r w:rsidR="00A671C3">
        <w:t xml:space="preserve"> Victoria’s devolved governance model, the main barrier to the uptake of ‘hub and spoke’ telehealth models for knowledge</w:t>
      </w:r>
      <w:r w:rsidR="006E3BB1">
        <w:t>-</w:t>
      </w:r>
      <w:r w:rsidR="00A671C3">
        <w:t>sharing and skill development is the lack of funding mechanisms to support ‘hub’ sites to release their clinicians to provide input to ‘spoke’ sites.</w:t>
      </w:r>
      <w:r w:rsidR="00A91C21">
        <w:t xml:space="preserve"> </w:t>
      </w:r>
      <w:r w:rsidR="00A671C3">
        <w:t>Memorand</w:t>
      </w:r>
      <w:r w:rsidR="00231BEF">
        <w:t>a</w:t>
      </w:r>
      <w:r w:rsidR="00A671C3">
        <w:t xml:space="preserve"> of understanding are also likely to be required to ensure appropriate alignment of hub and spoke sites within clinical specialty and geographic groupings, potentially leveraging the development of any workforce cluster models as part of the COVID-19 workforce planning response.</w:t>
      </w:r>
    </w:p>
    <w:p w14:paraId="0DB262D1" w14:textId="501FCCA0" w:rsidR="00A671C3" w:rsidRDefault="00A671C3" w:rsidP="00D535F9">
      <w:r>
        <w:br w:type="page"/>
      </w:r>
    </w:p>
    <w:p w14:paraId="457F78F6" w14:textId="77777777" w:rsidR="008B61B4" w:rsidRDefault="008B61B4" w:rsidP="00D535F9">
      <w:pPr>
        <w:pStyle w:val="Heading1"/>
        <w:framePr w:wrap="around"/>
      </w:pPr>
      <w:bookmarkStart w:id="10" w:name="_Toc45895459"/>
      <w:r>
        <w:lastRenderedPageBreak/>
        <w:t>Future opportunities</w:t>
      </w:r>
    </w:p>
    <w:p w14:paraId="4650453E" w14:textId="77777777" w:rsidR="008B61B4" w:rsidRDefault="008B61B4" w:rsidP="00D535F9">
      <w:r>
        <w:t>There is a significant opportunity to optimise the value of telehealth service delivery for both providers and patients through integration with other information technology applications and tools (Ackerman et al., 2010; Gill, 2011).</w:t>
      </w:r>
    </w:p>
    <w:p w14:paraId="107D2721" w14:textId="77777777" w:rsidR="008B61B4" w:rsidRDefault="008B61B4" w:rsidP="00D535F9">
      <w:pPr>
        <w:pStyle w:val="Heading2"/>
      </w:pPr>
      <w:r w:rsidRPr="00784E36">
        <w:t>EMR</w:t>
      </w:r>
    </w:p>
    <w:p w14:paraId="2C52DB08" w14:textId="1301ECDF" w:rsidR="008B61B4" w:rsidRDefault="008B61B4" w:rsidP="00D535F9">
      <w:pPr>
        <w:pStyle w:val="Normalfollowingheading"/>
      </w:pPr>
      <w:r>
        <w:t xml:space="preserve">Integration between a health service’s EMR and telehealth platform enables interoperability between the two systems and more streamlined user workflows (American Telemedicine Association, 2006). Health professionals are able to interact with a single platform rather than navigating two separate </w:t>
      </w:r>
      <w:proofErr w:type="gramStart"/>
      <w:r>
        <w:t>systems, and</w:t>
      </w:r>
      <w:proofErr w:type="gramEnd"/>
      <w:r>
        <w:t xml:space="preserve"> can access relevant clinical data and note-taking/documentation functions while concurrently delivering the telehealth consultation (Gill, 2011). This enhanced functionality has the potential to improve the quality of patient care and outcomes by facilitating evidence-based decision</w:t>
      </w:r>
      <w:r w:rsidR="00784E36">
        <w:t xml:space="preserve"> </w:t>
      </w:r>
      <w:r>
        <w:t>making, reducing errors/omissions of care, and enhancing continuity of care (American Telemedicine Association, 2006).</w:t>
      </w:r>
    </w:p>
    <w:p w14:paraId="01A984AC" w14:textId="77777777" w:rsidR="008B61B4" w:rsidRDefault="008B61B4" w:rsidP="00D535F9">
      <w:pPr>
        <w:pStyle w:val="Heading2"/>
      </w:pPr>
      <w:r>
        <w:t xml:space="preserve">Remote </w:t>
      </w:r>
      <w:r w:rsidRPr="00784E36">
        <w:t>monitoring</w:t>
      </w:r>
      <w:r>
        <w:t xml:space="preserve"> devices</w:t>
      </w:r>
    </w:p>
    <w:p w14:paraId="5F5367E4" w14:textId="77777777" w:rsidR="008B61B4" w:rsidRDefault="008B61B4" w:rsidP="00D535F9">
      <w:pPr>
        <w:pStyle w:val="Normalfollowingheading"/>
      </w:pPr>
      <w:r>
        <w:t>Remote monitoring devices use advanced information technologies to enable the collection of patient data outside of traditional models of healthcare service delivery (</w:t>
      </w:r>
      <w:proofErr w:type="spellStart"/>
      <w:r>
        <w:t>Vegesna</w:t>
      </w:r>
      <w:proofErr w:type="spellEnd"/>
      <w:r>
        <w:t xml:space="preserve">, Tran, </w:t>
      </w:r>
      <w:proofErr w:type="spellStart"/>
      <w:r>
        <w:t>Angelaccio</w:t>
      </w:r>
      <w:proofErr w:type="spellEnd"/>
      <w:r>
        <w:t xml:space="preserve"> &amp; </w:t>
      </w:r>
      <w:proofErr w:type="spellStart"/>
      <w:r>
        <w:t>Arcona</w:t>
      </w:r>
      <w:proofErr w:type="spellEnd"/>
      <w:r>
        <w:t xml:space="preserve">, 2017). Monitoring devices may be either purpose built to monitor specific vital signs and dimensions of function or use software applications via the patient’s own personal technology (i.e. mobile phones and tablets, smartwatches, and wearable fitness trackers) (Dias &amp; Cunha, 2018). </w:t>
      </w:r>
    </w:p>
    <w:p w14:paraId="1DC57285" w14:textId="77777777" w:rsidR="008B61B4" w:rsidRDefault="008B61B4" w:rsidP="00D535F9">
      <w:pPr>
        <w:pStyle w:val="Normalfollowingheading"/>
      </w:pPr>
      <w:r>
        <w:t>Common to both device categories is the capacity to remotely monitor, store and transmit data from the patient to the healthcare provider over multiple timepoints and extended time periods. This may be from the patient’s hospital bedside to a clinician located in another part of the facility, or from the patient’s home to a clinician based in a community outpatient clinic (Ackerman et al., 2010).</w:t>
      </w:r>
    </w:p>
    <w:p w14:paraId="3AC70B58" w14:textId="77777777" w:rsidR="008B61B4" w:rsidRDefault="008B61B4" w:rsidP="00D535F9">
      <w:r>
        <w:t>Physiological and functional health and wellbeing measures that can be monitored remotely with current technologies include but are not limited to:</w:t>
      </w:r>
    </w:p>
    <w:p w14:paraId="010AFD33" w14:textId="77777777" w:rsidR="008B61B4" w:rsidRDefault="008B61B4" w:rsidP="00D535F9">
      <w:pPr>
        <w:pStyle w:val="Bullet1"/>
      </w:pPr>
      <w:r>
        <w:t>body temperature</w:t>
      </w:r>
    </w:p>
    <w:p w14:paraId="1DA032EB" w14:textId="77777777" w:rsidR="008B61B4" w:rsidRDefault="008B61B4" w:rsidP="00D535F9">
      <w:pPr>
        <w:pStyle w:val="Bullet1"/>
      </w:pPr>
      <w:r>
        <w:t>blood pressure</w:t>
      </w:r>
    </w:p>
    <w:p w14:paraId="25CE2D5A" w14:textId="77777777" w:rsidR="008B61B4" w:rsidRDefault="008B61B4" w:rsidP="00D535F9">
      <w:pPr>
        <w:pStyle w:val="Bullet1"/>
      </w:pPr>
      <w:r>
        <w:t>respiratory rate</w:t>
      </w:r>
    </w:p>
    <w:p w14:paraId="71AE9BB7" w14:textId="77777777" w:rsidR="008B61B4" w:rsidRDefault="008B61B4" w:rsidP="00D535F9">
      <w:pPr>
        <w:pStyle w:val="Bullet1"/>
      </w:pPr>
      <w:r>
        <w:t>blood glucose</w:t>
      </w:r>
    </w:p>
    <w:p w14:paraId="52989EA6" w14:textId="77777777" w:rsidR="008B61B4" w:rsidRDefault="008B61B4" w:rsidP="00D535F9">
      <w:pPr>
        <w:pStyle w:val="Bullet1"/>
      </w:pPr>
      <w:r>
        <w:t>heart rate</w:t>
      </w:r>
    </w:p>
    <w:p w14:paraId="440B1C66" w14:textId="77777777" w:rsidR="008B61B4" w:rsidRDefault="008B61B4" w:rsidP="00D535F9">
      <w:pPr>
        <w:pStyle w:val="Bullet1"/>
      </w:pPr>
      <w:r>
        <w:t>oxygen saturation</w:t>
      </w:r>
    </w:p>
    <w:p w14:paraId="794D4394" w14:textId="77777777" w:rsidR="008B61B4" w:rsidRDefault="008B61B4" w:rsidP="00D535F9">
      <w:pPr>
        <w:pStyle w:val="Bullet1"/>
      </w:pPr>
      <w:r>
        <w:t>body weight</w:t>
      </w:r>
    </w:p>
    <w:p w14:paraId="24266C65" w14:textId="77777777" w:rsidR="008B61B4" w:rsidRDefault="008B61B4" w:rsidP="00D535F9">
      <w:pPr>
        <w:pStyle w:val="Bullet1"/>
      </w:pPr>
      <w:r>
        <w:t>fall alerts</w:t>
      </w:r>
    </w:p>
    <w:p w14:paraId="71191A42" w14:textId="77777777" w:rsidR="008B61B4" w:rsidRDefault="008B61B4" w:rsidP="00D535F9">
      <w:pPr>
        <w:pStyle w:val="Bullet1"/>
      </w:pPr>
      <w:r>
        <w:t xml:space="preserve">level of physical activity </w:t>
      </w:r>
      <w:r>
        <w:softHyphen/>
        <w:t>– i.e. step and stair counters</w:t>
      </w:r>
    </w:p>
    <w:p w14:paraId="6B113F53" w14:textId="77777777" w:rsidR="008B61B4" w:rsidRDefault="008B61B4" w:rsidP="00D535F9">
      <w:pPr>
        <w:pStyle w:val="Bullet1"/>
      </w:pPr>
      <w:r>
        <w:t>usage patterns of household appliances</w:t>
      </w:r>
    </w:p>
    <w:p w14:paraId="0FB73BFB" w14:textId="77777777" w:rsidR="008B61B4" w:rsidRDefault="008B61B4" w:rsidP="00D535F9">
      <w:pPr>
        <w:pStyle w:val="Bullet1"/>
      </w:pPr>
      <w:r>
        <w:t>sleep quality.</w:t>
      </w:r>
    </w:p>
    <w:p w14:paraId="2E607544" w14:textId="0384C429" w:rsidR="008B61B4" w:rsidRDefault="008B61B4" w:rsidP="00D535F9">
      <w:r>
        <w:t>In parallel, data collection via remote monitoring devices enhances the adaptability of telehealth service delivery for a variety of clinical conditions and the quality of service provision, including providing increased opportunity for patient engagement with their own healthcare (Ackerman et al., 2010).</w:t>
      </w:r>
      <w:r>
        <w:br w:type="page"/>
      </w:r>
    </w:p>
    <w:p w14:paraId="78EE4B8E" w14:textId="06380690" w:rsidR="00A671C3" w:rsidRDefault="00A671C3" w:rsidP="00D535F9">
      <w:pPr>
        <w:pStyle w:val="Heading1"/>
        <w:framePr w:wrap="around"/>
      </w:pPr>
      <w:r>
        <w:lastRenderedPageBreak/>
        <w:t>Practical implementation of telehealth</w:t>
      </w:r>
      <w:bookmarkEnd w:id="10"/>
    </w:p>
    <w:p w14:paraId="68D56E36" w14:textId="7C04D574" w:rsidR="00A671C3" w:rsidRDefault="00A671C3" w:rsidP="00D535F9">
      <w:proofErr w:type="gramStart"/>
      <w:r>
        <w:t>A number of</w:t>
      </w:r>
      <w:proofErr w:type="gramEnd"/>
      <w:r>
        <w:t xml:space="preserve"> </w:t>
      </w:r>
      <w:r w:rsidR="00231BEF">
        <w:t xml:space="preserve">state government </w:t>
      </w:r>
      <w:r>
        <w:t>agencies and allied health professional associations have developed guidance to support the practical implementation of telehealth service delivery.</w:t>
      </w:r>
      <w:r w:rsidR="00A91C21">
        <w:t xml:space="preserve"> </w:t>
      </w:r>
      <w:r>
        <w:t>These documents outline key infrastructure and systems level requirements including:</w:t>
      </w:r>
    </w:p>
    <w:p w14:paraId="5EF1EF8C" w14:textId="607DD014" w:rsidR="00A671C3" w:rsidRDefault="009C6AF8" w:rsidP="00D535F9">
      <w:pPr>
        <w:pStyle w:val="Bullet1"/>
      </w:pPr>
      <w:r>
        <w:t>t</w:t>
      </w:r>
      <w:r w:rsidR="00A671C3">
        <w:t>echnological specifications and resourcing requirements</w:t>
      </w:r>
    </w:p>
    <w:p w14:paraId="027FB736" w14:textId="55A482BB" w:rsidR="00A671C3" w:rsidRDefault="009C6AF8" w:rsidP="00D535F9">
      <w:pPr>
        <w:pStyle w:val="Bullet1"/>
      </w:pPr>
      <w:r>
        <w:t>i</w:t>
      </w:r>
      <w:r w:rsidR="00A671C3">
        <w:t>nformation technology security and digital information management processes</w:t>
      </w:r>
    </w:p>
    <w:p w14:paraId="78A454ED" w14:textId="41B48679" w:rsidR="00A671C3" w:rsidRDefault="009C6AF8" w:rsidP="00D535F9">
      <w:pPr>
        <w:pStyle w:val="Bullet1"/>
      </w:pPr>
      <w:r>
        <w:t>l</w:t>
      </w:r>
      <w:r w:rsidR="00A671C3">
        <w:t>egal considerations</w:t>
      </w:r>
      <w:r w:rsidR="00231BEF">
        <w:t xml:space="preserve"> – </w:t>
      </w:r>
      <w:r w:rsidR="00A671C3">
        <w:t>e.g. informed consent, privacy and confidentiality and clinical data storage and record keeping</w:t>
      </w:r>
    </w:p>
    <w:p w14:paraId="535AFEC9" w14:textId="4597B2F0" w:rsidR="00A671C3" w:rsidRDefault="009C6AF8" w:rsidP="00D535F9">
      <w:pPr>
        <w:pStyle w:val="Bullet1"/>
      </w:pPr>
      <w:r>
        <w:t>p</w:t>
      </w:r>
      <w:r w:rsidR="00A671C3">
        <w:t>rofessional indemnity</w:t>
      </w:r>
    </w:p>
    <w:p w14:paraId="64ED4B25" w14:textId="444D2552" w:rsidR="00A671C3" w:rsidRDefault="009C6AF8" w:rsidP="00D535F9">
      <w:pPr>
        <w:pStyle w:val="Bullet1"/>
      </w:pPr>
      <w:r>
        <w:t>w</w:t>
      </w:r>
      <w:r w:rsidR="00A671C3">
        <w:t xml:space="preserve">orkforce education/training needs </w:t>
      </w:r>
      <w:r w:rsidR="00231BEF">
        <w:t>–</w:t>
      </w:r>
      <w:r w:rsidR="00231BEF" w:rsidDel="00231BEF">
        <w:t xml:space="preserve"> </w:t>
      </w:r>
      <w:r w:rsidR="00A671C3">
        <w:t>e.g. procedural use of technology, translation of clinical service delivery to telehealth platforms, enhanced communication skills, change management support.</w:t>
      </w:r>
    </w:p>
    <w:p w14:paraId="0ACFDD8D" w14:textId="0F9C05CC" w:rsidR="005575A7" w:rsidRDefault="005575A7" w:rsidP="00D535F9">
      <w:pPr>
        <w:pStyle w:val="Heading2"/>
      </w:pPr>
      <w:r>
        <w:t>Resources</w:t>
      </w:r>
    </w:p>
    <w:p w14:paraId="7E68BA61" w14:textId="6952067D" w:rsidR="00A671C3" w:rsidRDefault="00A671C3" w:rsidP="00D535F9">
      <w:pPr>
        <w:pStyle w:val="Normalfollowingheading"/>
      </w:pPr>
      <w:r>
        <w:t>Key departmental documents include:</w:t>
      </w:r>
    </w:p>
    <w:p w14:paraId="12C329AE" w14:textId="2373FB8A" w:rsidR="00A671C3" w:rsidRDefault="00D535F9" w:rsidP="00D535F9">
      <w:pPr>
        <w:pStyle w:val="Bullet1"/>
      </w:pPr>
      <w:hyperlink r:id="rId21" w:history="1">
        <w:r w:rsidR="00A671C3" w:rsidRPr="001746BC">
          <w:rPr>
            <w:rStyle w:val="Hyperlink"/>
          </w:rPr>
          <w:t>Critical success factors: How to establish a successful telehealth service (DHHS, 2015)</w:t>
        </w:r>
      </w:hyperlink>
      <w:r w:rsidR="005575A7">
        <w:t xml:space="preserve"> </w:t>
      </w:r>
      <w:r w:rsidR="005575A7">
        <w:br/>
      </w:r>
      <w:r w:rsidR="005575A7" w:rsidRPr="005575A7">
        <w:t>www2.health.vic.gov.au/hospitals-and-health-services/rural-health/telehealth/about-telehealth</w:t>
      </w:r>
    </w:p>
    <w:p w14:paraId="6422B739" w14:textId="0D015ACD" w:rsidR="00A671C3" w:rsidRDefault="00D535F9" w:rsidP="00D535F9">
      <w:pPr>
        <w:pStyle w:val="Bullet1"/>
      </w:pPr>
      <w:hyperlink r:id="rId22" w:history="1">
        <w:r w:rsidR="00A671C3" w:rsidRPr="005575A7">
          <w:rPr>
            <w:rStyle w:val="Hyperlink"/>
          </w:rPr>
          <w:t>Medico-legal aspects of telehealth services for Victorian public health services (DLA Piper Australia for DHHS, 2015)</w:t>
        </w:r>
      </w:hyperlink>
      <w:r w:rsidR="005575A7">
        <w:br/>
      </w:r>
      <w:r w:rsidR="005575A7" w:rsidRPr="005575A7">
        <w:t>www2.health.vic.gov.au/hospitals-and-health-services/rural-health/telehealth/medico-legal-aspects</w:t>
      </w:r>
    </w:p>
    <w:p w14:paraId="6EF9F62E" w14:textId="5E9DA543" w:rsidR="00A671C3" w:rsidRDefault="00A671C3" w:rsidP="00D535F9">
      <w:r>
        <w:t>Examples of resources and documents developed by various allied health regulatory bodies, professional associations</w:t>
      </w:r>
      <w:r w:rsidR="00262688">
        <w:t>,</w:t>
      </w:r>
      <w:r>
        <w:t xml:space="preserve"> and peak organisations include:</w:t>
      </w:r>
    </w:p>
    <w:p w14:paraId="651F65EA" w14:textId="4721ACB5" w:rsidR="009C6AF8" w:rsidRPr="009B73F1" w:rsidRDefault="00A671C3" w:rsidP="00D535F9">
      <w:pPr>
        <w:pStyle w:val="Bullet1"/>
      </w:pPr>
      <w:r w:rsidRPr="003B6B44">
        <w:rPr>
          <w:rFonts w:ascii="VIC SemiBold" w:hAnsi="VIC SemiBold"/>
        </w:rPr>
        <w:t>Allied Health Professions Australia</w:t>
      </w:r>
      <w:r w:rsidR="005575A7">
        <w:rPr>
          <w:rFonts w:ascii="VIC SemiBold" w:hAnsi="VIC SemiBold"/>
        </w:rPr>
        <w:br/>
      </w:r>
      <w:hyperlink r:id="rId23" w:history="1">
        <w:r w:rsidR="009C6AF8" w:rsidRPr="0078315E">
          <w:rPr>
            <w:rStyle w:val="Hyperlink"/>
          </w:rPr>
          <w:t>Telehealth guide for allied health professionals (PDF)</w:t>
        </w:r>
      </w:hyperlink>
      <w:r w:rsidR="009C6AF8" w:rsidRPr="0078315E">
        <w:t xml:space="preserve"> </w:t>
      </w:r>
      <w:r w:rsidR="005575A7">
        <w:br/>
      </w:r>
      <w:r w:rsidR="009C6AF8" w:rsidRPr="0078315E">
        <w:t>ahpa.com.au/wp-content/uploads/2020/06/AHPA-Telehealth-Guide_Alli</w:t>
      </w:r>
      <w:r w:rsidR="009C6AF8" w:rsidRPr="006117EB">
        <w:t>ed-Health-Professionals-May-2020.pdf</w:t>
      </w:r>
    </w:p>
    <w:p w14:paraId="69F5C7B8" w14:textId="1E3FEB28" w:rsidR="009C6AF8" w:rsidRPr="003B6B44" w:rsidRDefault="00DA408C" w:rsidP="00D535F9">
      <w:pPr>
        <w:pStyle w:val="Bullet1"/>
      </w:pPr>
      <w:r>
        <w:rPr>
          <w:rFonts w:ascii="VIC SemiBold" w:hAnsi="VIC SemiBold"/>
        </w:rPr>
        <w:t xml:space="preserve">The </w:t>
      </w:r>
      <w:r w:rsidR="00A671C3" w:rsidRPr="003B6B44">
        <w:rPr>
          <w:rFonts w:ascii="VIC SemiBold" w:hAnsi="VIC SemiBold"/>
        </w:rPr>
        <w:t>Australian Orthotic Prosthetic Association</w:t>
      </w:r>
      <w:r w:rsidR="005575A7">
        <w:rPr>
          <w:rFonts w:ascii="VIC SemiBold" w:hAnsi="VIC SemiBold"/>
        </w:rPr>
        <w:br/>
      </w:r>
      <w:hyperlink r:id="rId24" w:history="1">
        <w:r w:rsidR="009C6AF8" w:rsidRPr="003B6B44">
          <w:rPr>
            <w:rStyle w:val="Hyperlink"/>
          </w:rPr>
          <w:t>COVID-19: Alternative, non-traditional modes of orthotic/prosthetic service delivery (PDF)</w:t>
        </w:r>
      </w:hyperlink>
      <w:r w:rsidR="009C6AF8">
        <w:t xml:space="preserve"> </w:t>
      </w:r>
      <w:r w:rsidR="005575A7">
        <w:br/>
      </w:r>
      <w:r w:rsidR="009C6AF8" w:rsidRPr="009C6AF8">
        <w:t>www.aopa.org.au/documents/item/862</w:t>
      </w:r>
    </w:p>
    <w:p w14:paraId="0CE5699A" w14:textId="7FFCD5E8" w:rsidR="009C6AF8" w:rsidRPr="00FE592F" w:rsidRDefault="00A671C3" w:rsidP="00D535F9">
      <w:pPr>
        <w:pStyle w:val="Bullet1"/>
      </w:pPr>
      <w:r w:rsidRPr="003B6B44">
        <w:rPr>
          <w:rFonts w:ascii="VIC SemiBold" w:hAnsi="VIC SemiBold"/>
        </w:rPr>
        <w:t>Australian Physiotherapy Association</w:t>
      </w:r>
      <w:r w:rsidR="005575A7">
        <w:rPr>
          <w:rFonts w:ascii="VIC SemiBold" w:hAnsi="VIC SemiBold"/>
        </w:rPr>
        <w:br/>
      </w:r>
      <w:hyperlink r:id="rId25" w:history="1">
        <w:r w:rsidR="009C6AF8" w:rsidRPr="003B6B44">
          <w:rPr>
            <w:rStyle w:val="Hyperlink"/>
          </w:rPr>
          <w:t>Telehealth guidelines</w:t>
        </w:r>
        <w:r w:rsidR="00EE2692" w:rsidRPr="003B6B44">
          <w:rPr>
            <w:rStyle w:val="Hyperlink"/>
          </w:rPr>
          <w:t>:</w:t>
        </w:r>
        <w:r w:rsidR="009C6AF8" w:rsidRPr="003B6B44">
          <w:rPr>
            <w:rStyle w:val="Hyperlink"/>
          </w:rPr>
          <w:t xml:space="preserve"> Response to COVID-19 (PDF)</w:t>
        </w:r>
      </w:hyperlink>
      <w:r w:rsidR="009C6AF8" w:rsidRPr="003B6B44">
        <w:t xml:space="preserve"> </w:t>
      </w:r>
      <w:r w:rsidR="009C6AF8" w:rsidRPr="009C6AF8">
        <w:t>australian.physio/sites/default/files/APA_Telehealth-Guidelines-COVID19_FA.pdf</w:t>
      </w:r>
    </w:p>
    <w:p w14:paraId="1F2130AD" w14:textId="28D3EF85" w:rsidR="00A671C3" w:rsidRDefault="00A671C3" w:rsidP="00D535F9">
      <w:pPr>
        <w:pStyle w:val="Bullet1"/>
      </w:pPr>
      <w:r w:rsidRPr="003B6B44">
        <w:rPr>
          <w:rFonts w:ascii="VIC SemiBold" w:hAnsi="VIC SemiBold"/>
        </w:rPr>
        <w:t>Australian Podiatry Association</w:t>
      </w:r>
      <w:r w:rsidR="00DA408C" w:rsidRPr="003B6B44">
        <w:rPr>
          <w:rFonts w:ascii="VIC SemiBold" w:hAnsi="VIC SemiBold"/>
        </w:rPr>
        <w:t xml:space="preserve"> </w:t>
      </w:r>
      <w:r w:rsidR="005575A7">
        <w:rPr>
          <w:rFonts w:ascii="VIC SemiBold" w:hAnsi="VIC SemiBold"/>
        </w:rPr>
        <w:br/>
      </w:r>
      <w:hyperlink r:id="rId26" w:history="1">
        <w:r w:rsidR="009C6AF8" w:rsidRPr="003B6B44">
          <w:rPr>
            <w:rStyle w:val="Hyperlink"/>
          </w:rPr>
          <w:t>Telehealth for podiatrists</w:t>
        </w:r>
      </w:hyperlink>
      <w:r w:rsidR="009C6AF8" w:rsidRPr="003B6B44">
        <w:t xml:space="preserve"> </w:t>
      </w:r>
      <w:r w:rsidR="005575A7">
        <w:br/>
      </w:r>
      <w:r w:rsidR="00EE2692" w:rsidRPr="00EE2692">
        <w:t>www.podiatry.org.au/about/news/telehealth-for-podiatrists</w:t>
      </w:r>
    </w:p>
    <w:p w14:paraId="03211A40" w14:textId="08B01402" w:rsidR="009C6AF8" w:rsidRPr="00FE592F" w:rsidRDefault="00A671C3" w:rsidP="00D535F9">
      <w:pPr>
        <w:pStyle w:val="Bullet1"/>
      </w:pPr>
      <w:r w:rsidRPr="003B6B44">
        <w:rPr>
          <w:rFonts w:ascii="VIC SemiBold" w:hAnsi="VIC SemiBold"/>
        </w:rPr>
        <w:t>Australian Psychological Society</w:t>
      </w:r>
      <w:r w:rsidR="005575A7">
        <w:rPr>
          <w:rFonts w:ascii="VIC SemiBold" w:hAnsi="VIC SemiBold"/>
        </w:rPr>
        <w:br/>
      </w:r>
      <w:hyperlink r:id="rId27" w:history="1">
        <w:r w:rsidR="009C6AF8" w:rsidRPr="003B6B44">
          <w:rPr>
            <w:rStyle w:val="Hyperlink"/>
          </w:rPr>
          <w:t>Principles for choosing videoconferencing technology</w:t>
        </w:r>
      </w:hyperlink>
      <w:r w:rsidR="005575A7">
        <w:br/>
      </w:r>
      <w:r w:rsidR="009C6AF8" w:rsidRPr="009C6AF8">
        <w:t>www.psychology.org.au/for-the-public/Medicare-rebates-psychological-services/Medicare-FAQs-for-the-public/Telehealth-services/Principles-choosing-videoconferencing-technology</w:t>
      </w:r>
    </w:p>
    <w:p w14:paraId="53402180" w14:textId="64233155" w:rsidR="009C6AF8" w:rsidRPr="00FE592F" w:rsidRDefault="00A671C3" w:rsidP="00D535F9">
      <w:pPr>
        <w:pStyle w:val="Bullet1"/>
      </w:pPr>
      <w:r w:rsidRPr="003B6B44">
        <w:rPr>
          <w:rFonts w:ascii="VIC SemiBold" w:hAnsi="VIC SemiBold"/>
        </w:rPr>
        <w:t>Diet</w:t>
      </w:r>
      <w:r w:rsidR="00EE2692">
        <w:rPr>
          <w:rFonts w:ascii="VIC SemiBold" w:hAnsi="VIC SemiBold"/>
        </w:rPr>
        <w:t>itians</w:t>
      </w:r>
      <w:r w:rsidRPr="003B6B44">
        <w:rPr>
          <w:rFonts w:ascii="VIC SemiBold" w:hAnsi="VIC SemiBold"/>
        </w:rPr>
        <w:t xml:space="preserve"> Association of Australia</w:t>
      </w:r>
      <w:r w:rsidR="00DA408C" w:rsidRPr="003B6B44">
        <w:rPr>
          <w:rFonts w:ascii="VIC SemiBold" w:hAnsi="VIC SemiBold"/>
        </w:rPr>
        <w:t xml:space="preserve"> </w:t>
      </w:r>
      <w:r w:rsidR="005575A7">
        <w:rPr>
          <w:rFonts w:ascii="VIC SemiBold" w:hAnsi="VIC SemiBold"/>
        </w:rPr>
        <w:br/>
      </w:r>
      <w:hyperlink r:id="rId28" w:history="1">
        <w:r w:rsidR="00EE2692" w:rsidRPr="003B6B44">
          <w:rPr>
            <w:rStyle w:val="Hyperlink"/>
          </w:rPr>
          <w:t>Accredited practising dietitians telehealth guidelines (PDF)</w:t>
        </w:r>
      </w:hyperlink>
      <w:r w:rsidR="005575A7">
        <w:rPr>
          <w:rStyle w:val="Hyperlink"/>
        </w:rPr>
        <w:br/>
      </w:r>
      <w:r w:rsidR="009C6AF8" w:rsidRPr="009C6AF8">
        <w:t>daa.asn.au/wp-content/uploads/2020/05/APD-Telehealth-Guidelines-May-2020.pdf</w:t>
      </w:r>
    </w:p>
    <w:p w14:paraId="09E87AB3" w14:textId="17D3FB27" w:rsidR="009C6AF8" w:rsidRPr="00FE592F" w:rsidRDefault="00A671C3" w:rsidP="00D535F9">
      <w:pPr>
        <w:pStyle w:val="Bullet1"/>
      </w:pPr>
      <w:r w:rsidRPr="003B6B44">
        <w:rPr>
          <w:rFonts w:ascii="VIC SemiBold" w:hAnsi="VIC SemiBold"/>
        </w:rPr>
        <w:t>O</w:t>
      </w:r>
      <w:r w:rsidR="009C6AF8" w:rsidRPr="003B6B44">
        <w:rPr>
          <w:rFonts w:ascii="VIC SemiBold" w:hAnsi="VIC SemiBold"/>
        </w:rPr>
        <w:t xml:space="preserve">ccupational </w:t>
      </w:r>
      <w:r w:rsidRPr="003B6B44">
        <w:rPr>
          <w:rFonts w:ascii="VIC SemiBold" w:hAnsi="VIC SemiBold"/>
        </w:rPr>
        <w:t>T</w:t>
      </w:r>
      <w:r w:rsidR="009C6AF8" w:rsidRPr="003B6B44">
        <w:rPr>
          <w:rFonts w:ascii="VIC SemiBold" w:hAnsi="VIC SemiBold"/>
        </w:rPr>
        <w:t>herapy</w:t>
      </w:r>
      <w:r w:rsidRPr="003B6B44">
        <w:rPr>
          <w:rFonts w:ascii="VIC SemiBold" w:hAnsi="VIC SemiBold"/>
        </w:rPr>
        <w:t xml:space="preserve"> Australia</w:t>
      </w:r>
      <w:r w:rsidR="009C6AF8" w:rsidRPr="003B6B44">
        <w:rPr>
          <w:rFonts w:ascii="VIC SemiBold" w:hAnsi="VIC SemiBold"/>
        </w:rPr>
        <w:t xml:space="preserve"> (OTA)</w:t>
      </w:r>
      <w:r w:rsidR="00DA408C" w:rsidRPr="003B6B44">
        <w:rPr>
          <w:rFonts w:ascii="VIC SemiBold" w:hAnsi="VIC SemiBold"/>
        </w:rPr>
        <w:t xml:space="preserve"> </w:t>
      </w:r>
      <w:r w:rsidR="005575A7">
        <w:rPr>
          <w:rFonts w:ascii="VIC SemiBold" w:hAnsi="VIC SemiBold"/>
        </w:rPr>
        <w:br/>
      </w:r>
      <w:hyperlink r:id="rId29" w:history="1">
        <w:r w:rsidR="009C6AF8" w:rsidRPr="003B6B44">
          <w:rPr>
            <w:rStyle w:val="Hyperlink"/>
          </w:rPr>
          <w:t>OTA telehealth guidelines, checklist and consent form template</w:t>
        </w:r>
      </w:hyperlink>
      <w:r w:rsidR="009C6AF8">
        <w:t xml:space="preserve"> </w:t>
      </w:r>
      <w:r w:rsidR="005575A7">
        <w:br/>
      </w:r>
      <w:r w:rsidR="009C6AF8" w:rsidRPr="009C6AF8">
        <w:t>www.otaus.com.au/member-resources/covid-19/telehealth</w:t>
      </w:r>
    </w:p>
    <w:p w14:paraId="37F07DFC" w14:textId="4F8D9882" w:rsidR="00A671C3" w:rsidRDefault="00A671C3" w:rsidP="00D535F9">
      <w:pPr>
        <w:pStyle w:val="Bullet1"/>
      </w:pPr>
      <w:r w:rsidRPr="003B6B44">
        <w:rPr>
          <w:rFonts w:ascii="VIC SemiBold" w:hAnsi="VIC SemiBold"/>
        </w:rPr>
        <w:t>Speech Pathology Australia</w:t>
      </w:r>
      <w:r w:rsidR="00DA408C" w:rsidRPr="003B6B44">
        <w:rPr>
          <w:rFonts w:ascii="VIC SemiBold" w:hAnsi="VIC SemiBold"/>
        </w:rPr>
        <w:t xml:space="preserve"> </w:t>
      </w:r>
      <w:r w:rsidR="005575A7">
        <w:rPr>
          <w:rFonts w:ascii="VIC SemiBold" w:hAnsi="VIC SemiBold"/>
        </w:rPr>
        <w:br/>
      </w:r>
      <w:hyperlink r:id="rId30" w:anchor="tp" w:history="1">
        <w:r w:rsidR="009C6AF8" w:rsidRPr="003B6B44">
          <w:rPr>
            <w:rStyle w:val="Hyperlink"/>
          </w:rPr>
          <w:t>Telepractice in speech pathology</w:t>
        </w:r>
      </w:hyperlink>
      <w:r w:rsidR="00DA408C" w:rsidRPr="003B6B44">
        <w:t xml:space="preserve"> </w:t>
      </w:r>
      <w:r w:rsidR="005575A7">
        <w:br/>
      </w:r>
      <w:r w:rsidR="009C6AF8" w:rsidRPr="009C6AF8">
        <w:t>www.speechpathologyaustralia.org.au/SPAweb/Members/Position_Statements/Position_Statements.aspx?hkey=b1a46941-246c-4609-bacc-1c1b5c52d19d#tp</w:t>
      </w:r>
    </w:p>
    <w:p w14:paraId="1682CA19" w14:textId="56979209" w:rsidR="00A671C3" w:rsidRDefault="00A671C3" w:rsidP="00D535F9">
      <w:r>
        <w:br w:type="page"/>
      </w:r>
    </w:p>
    <w:p w14:paraId="1763C0E1" w14:textId="77777777" w:rsidR="00956565" w:rsidRPr="009A6290" w:rsidRDefault="00956565" w:rsidP="00D535F9">
      <w:pPr>
        <w:pStyle w:val="Heading1"/>
        <w:framePr w:wrap="around"/>
      </w:pPr>
      <w:bookmarkStart w:id="11" w:name="_Toc45895452"/>
      <w:bookmarkStart w:id="12" w:name="_Toc45895463"/>
      <w:r w:rsidRPr="009A6290">
        <w:lastRenderedPageBreak/>
        <w:t>Acknowledgements</w:t>
      </w:r>
      <w:bookmarkEnd w:id="11"/>
      <w:r w:rsidRPr="009A6290">
        <w:t xml:space="preserve"> </w:t>
      </w:r>
    </w:p>
    <w:p w14:paraId="68EB3374" w14:textId="033DCA88" w:rsidR="00956565" w:rsidRPr="009A6290" w:rsidRDefault="00A64C0E" w:rsidP="00D535F9">
      <w:r>
        <w:t xml:space="preserve">These guidelines </w:t>
      </w:r>
      <w:r w:rsidRPr="003B6B44">
        <w:t xml:space="preserve">have </w:t>
      </w:r>
      <w:r w:rsidR="00956565" w:rsidRPr="009A6290">
        <w:t>been developed by Safer Care Victoria (SCV) and the DHHS Allied Health Workforce team with the support of the following individuals:</w:t>
      </w:r>
    </w:p>
    <w:p w14:paraId="2221E06E" w14:textId="77777777" w:rsidR="00956565" w:rsidRPr="00E873BB" w:rsidRDefault="00956565" w:rsidP="00D535F9">
      <w:pPr>
        <w:pStyle w:val="Heading4"/>
      </w:pPr>
      <w:r w:rsidRPr="00E873BB">
        <w:t>Project leads</w:t>
      </w:r>
    </w:p>
    <w:p w14:paraId="08AB9609" w14:textId="77777777" w:rsidR="00956565" w:rsidRPr="009A6290" w:rsidRDefault="00956565" w:rsidP="00D535F9">
      <w:pPr>
        <w:pStyle w:val="Bullet1"/>
      </w:pPr>
      <w:r w:rsidRPr="009A6290">
        <w:t xml:space="preserve">Sharon </w:t>
      </w:r>
      <w:proofErr w:type="spellStart"/>
      <w:r w:rsidRPr="009A6290">
        <w:t>Downie</w:t>
      </w:r>
      <w:proofErr w:type="spellEnd"/>
      <w:r w:rsidRPr="009A6290">
        <w:t>, Manager, Allied Health Workforce, DHHS</w:t>
      </w:r>
    </w:p>
    <w:p w14:paraId="39A781FB" w14:textId="77777777" w:rsidR="00956565" w:rsidRPr="009A6290" w:rsidRDefault="00956565" w:rsidP="00D535F9">
      <w:pPr>
        <w:pStyle w:val="Bullet1"/>
      </w:pPr>
      <w:r w:rsidRPr="009A6290">
        <w:t>Donna Markham, Chief Allied Health Officer, SCV</w:t>
      </w:r>
    </w:p>
    <w:p w14:paraId="6A324230" w14:textId="77777777" w:rsidR="00956565" w:rsidRPr="00E873BB" w:rsidRDefault="00956565" w:rsidP="00D535F9">
      <w:pPr>
        <w:pStyle w:val="Heading4"/>
      </w:pPr>
      <w:r w:rsidRPr="00E873BB">
        <w:t>Project contributors</w:t>
      </w:r>
    </w:p>
    <w:p w14:paraId="25221AA2" w14:textId="77777777" w:rsidR="00956565" w:rsidRDefault="00956565" w:rsidP="00D535F9">
      <w:pPr>
        <w:pStyle w:val="Bullet1"/>
      </w:pPr>
      <w:r>
        <w:t>Shelley Crowther, Deputy General Manager, Policy and Government Relations, Australian Physiotherapy Association</w:t>
      </w:r>
    </w:p>
    <w:p w14:paraId="2864819C" w14:textId="77777777" w:rsidR="00956565" w:rsidRDefault="00956565" w:rsidP="00D535F9">
      <w:pPr>
        <w:pStyle w:val="Bullet1"/>
      </w:pPr>
      <w:r>
        <w:t>Sally Harris, Director of Allied Health, Bendigo Health</w:t>
      </w:r>
    </w:p>
    <w:p w14:paraId="32CCFF76" w14:textId="77777777" w:rsidR="00956565" w:rsidRDefault="00956565" w:rsidP="00D535F9">
      <w:pPr>
        <w:pStyle w:val="Bullet1"/>
      </w:pPr>
      <w:r>
        <w:t>Alicia Martin, Director of Allied Health, Peter MacCallum Cancer Centre</w:t>
      </w:r>
    </w:p>
    <w:p w14:paraId="7D7117C6" w14:textId="77777777" w:rsidR="00956565" w:rsidRDefault="00956565" w:rsidP="00D535F9">
      <w:pPr>
        <w:pStyle w:val="Bullet1"/>
      </w:pPr>
      <w:r>
        <w:t>Dan Miles, Acting General Manager, Policy and Government Relations, Australian Physiotherapy Association</w:t>
      </w:r>
    </w:p>
    <w:p w14:paraId="76A9F2D3" w14:textId="77777777" w:rsidR="00956565" w:rsidRDefault="00956565" w:rsidP="00D535F9">
      <w:pPr>
        <w:pStyle w:val="Bullet1"/>
      </w:pPr>
      <w:r>
        <w:t>Emma Scott, Senior Policy Advisor, Allied Health Workforce, DHHS</w:t>
      </w:r>
    </w:p>
    <w:p w14:paraId="70D57811" w14:textId="77777777" w:rsidR="00956565" w:rsidRDefault="00956565" w:rsidP="00D535F9">
      <w:pPr>
        <w:pStyle w:val="Bullet1"/>
      </w:pPr>
      <w:r>
        <w:t>Lisa Somerville, Director of Allied Health, Alfred Health</w:t>
      </w:r>
    </w:p>
    <w:p w14:paraId="486C2846" w14:textId="77777777" w:rsidR="00956565" w:rsidRDefault="00956565" w:rsidP="00D535F9">
      <w:pPr>
        <w:pStyle w:val="Bullet1"/>
      </w:pPr>
      <w:r>
        <w:t>Kerrie Walter, Senior Project Officer, SCV</w:t>
      </w:r>
    </w:p>
    <w:p w14:paraId="7851E842" w14:textId="77777777" w:rsidR="00956565" w:rsidRDefault="00956565" w:rsidP="00D535F9">
      <w:pPr>
        <w:pStyle w:val="Bullet1"/>
      </w:pPr>
      <w:r>
        <w:t>Penelope Watson, Manager Telehealth, Ambulatory Policy, DHHS</w:t>
      </w:r>
    </w:p>
    <w:p w14:paraId="79481C37" w14:textId="77777777" w:rsidR="00956565" w:rsidRDefault="00956565" w:rsidP="00D535F9">
      <w:pPr>
        <w:pStyle w:val="Bullet1"/>
      </w:pPr>
      <w:r>
        <w:t>Anita Wilton, Director Allied Health, Eastern Health</w:t>
      </w:r>
    </w:p>
    <w:p w14:paraId="1367FD0E" w14:textId="77777777" w:rsidR="00956565" w:rsidRDefault="00956565" w:rsidP="00D535F9">
      <w:r>
        <w:br w:type="page"/>
      </w:r>
    </w:p>
    <w:p w14:paraId="25531230" w14:textId="07AD0365" w:rsidR="00A671C3" w:rsidRDefault="00A671C3" w:rsidP="00D535F9">
      <w:pPr>
        <w:pStyle w:val="Heading1"/>
        <w:framePr w:wrap="around"/>
      </w:pPr>
      <w:r>
        <w:lastRenderedPageBreak/>
        <w:t>References</w:t>
      </w:r>
      <w:bookmarkEnd w:id="12"/>
    </w:p>
    <w:p w14:paraId="7EED896F" w14:textId="17ADC04C" w:rsidR="00A671C3" w:rsidRPr="00D535F9" w:rsidRDefault="00A671C3" w:rsidP="00D535F9">
      <w:pPr>
        <w:spacing w:before="120" w:after="120" w:line="260" w:lineRule="atLeast"/>
        <w:rPr>
          <w:sz w:val="18"/>
          <w:szCs w:val="18"/>
        </w:rPr>
      </w:pPr>
      <w:r w:rsidRPr="00D535F9">
        <w:rPr>
          <w:sz w:val="18"/>
          <w:szCs w:val="18"/>
        </w:rPr>
        <w:t xml:space="preserve">Ackerman, M.J., </w:t>
      </w:r>
      <w:proofErr w:type="spellStart"/>
      <w:r w:rsidRPr="00D535F9">
        <w:rPr>
          <w:sz w:val="18"/>
          <w:szCs w:val="18"/>
        </w:rPr>
        <w:t>Filart</w:t>
      </w:r>
      <w:proofErr w:type="spellEnd"/>
      <w:r w:rsidRPr="00D535F9">
        <w:rPr>
          <w:sz w:val="18"/>
          <w:szCs w:val="18"/>
        </w:rPr>
        <w:t xml:space="preserve">, R., Burgess, L.P., Lee, I. &amp; </w:t>
      </w:r>
      <w:proofErr w:type="spellStart"/>
      <w:r w:rsidRPr="00D535F9">
        <w:rPr>
          <w:sz w:val="18"/>
          <w:szCs w:val="18"/>
        </w:rPr>
        <w:t>Poropatich</w:t>
      </w:r>
      <w:proofErr w:type="spellEnd"/>
      <w:r w:rsidRPr="00D535F9">
        <w:rPr>
          <w:sz w:val="18"/>
          <w:szCs w:val="18"/>
        </w:rPr>
        <w:t xml:space="preserve">, R.K. (2010). Developing next-generation </w:t>
      </w:r>
      <w:r w:rsidR="008D0233" w:rsidRPr="00D535F9">
        <w:rPr>
          <w:sz w:val="18"/>
          <w:szCs w:val="18"/>
        </w:rPr>
        <w:t xml:space="preserve">telehealth </w:t>
      </w:r>
      <w:r w:rsidRPr="00D535F9">
        <w:rPr>
          <w:sz w:val="18"/>
          <w:szCs w:val="18"/>
        </w:rPr>
        <w:t>tools and technologies: Patients, systems and data perspectives. Telemedicine Journal &amp; e-Health, 16(1): 93-95.</w:t>
      </w:r>
    </w:p>
    <w:p w14:paraId="79BE6AE5" w14:textId="493EA071" w:rsidR="00A671C3" w:rsidRPr="00D535F9" w:rsidRDefault="00A671C3" w:rsidP="00D535F9">
      <w:pPr>
        <w:spacing w:before="120" w:after="120" w:line="260" w:lineRule="atLeast"/>
        <w:rPr>
          <w:sz w:val="18"/>
          <w:szCs w:val="18"/>
        </w:rPr>
      </w:pPr>
      <w:r w:rsidRPr="00D535F9">
        <w:rPr>
          <w:sz w:val="18"/>
          <w:szCs w:val="18"/>
        </w:rPr>
        <w:t>Allied Health Professions Australia. (2020). Telehealth guide for allied health professionals. Available from: ahpa.com.au/wp-content/uploads/2020/06/AHPA-Telehealth-Guide_Allied-Health-Professionals-May-2020.pdf</w:t>
      </w:r>
    </w:p>
    <w:p w14:paraId="1917D1E6" w14:textId="16F12F95" w:rsidR="00A671C3" w:rsidRPr="00D535F9" w:rsidRDefault="00A671C3" w:rsidP="00D535F9">
      <w:pPr>
        <w:spacing w:before="120" w:after="120" w:line="260" w:lineRule="atLeast"/>
        <w:rPr>
          <w:sz w:val="18"/>
          <w:szCs w:val="18"/>
        </w:rPr>
      </w:pPr>
      <w:r w:rsidRPr="00D535F9">
        <w:rPr>
          <w:sz w:val="18"/>
          <w:szCs w:val="18"/>
        </w:rPr>
        <w:t>American Telemedicine Association. (2006). Telemedicine, telehealth and health information technology: ATA issue paper. Available from: www.who.int/goe/policies/countries/usa_support_tele.pdf</w:t>
      </w:r>
    </w:p>
    <w:p w14:paraId="41DC1E06" w14:textId="77777777" w:rsidR="00A671C3" w:rsidRPr="00D535F9" w:rsidRDefault="00A671C3" w:rsidP="00D535F9">
      <w:pPr>
        <w:spacing w:before="120" w:after="120" w:line="260" w:lineRule="atLeast"/>
        <w:rPr>
          <w:sz w:val="18"/>
          <w:szCs w:val="18"/>
        </w:rPr>
      </w:pPr>
      <w:r w:rsidRPr="00D535F9">
        <w:rPr>
          <w:sz w:val="18"/>
          <w:szCs w:val="18"/>
        </w:rPr>
        <w:t xml:space="preserve">Appel, L.J., Clark, J.M., Yeh, H.C., Wang, N.Y. Coughlin, J.W., </w:t>
      </w:r>
      <w:proofErr w:type="spellStart"/>
      <w:r w:rsidRPr="00D535F9">
        <w:rPr>
          <w:sz w:val="18"/>
          <w:szCs w:val="18"/>
        </w:rPr>
        <w:t>Daumit</w:t>
      </w:r>
      <w:proofErr w:type="spellEnd"/>
      <w:r w:rsidRPr="00D535F9">
        <w:rPr>
          <w:sz w:val="18"/>
          <w:szCs w:val="18"/>
        </w:rPr>
        <w:t xml:space="preserve">, G., Miller, E.R. </w:t>
      </w:r>
      <w:proofErr w:type="spellStart"/>
      <w:r w:rsidRPr="00D535F9">
        <w:rPr>
          <w:sz w:val="18"/>
          <w:szCs w:val="18"/>
        </w:rPr>
        <w:t>Dalcin</w:t>
      </w:r>
      <w:proofErr w:type="spellEnd"/>
      <w:r w:rsidRPr="00D535F9">
        <w:rPr>
          <w:sz w:val="18"/>
          <w:szCs w:val="18"/>
        </w:rPr>
        <w:t>, A., Jerome, G.J., Geller, S. et al. (2011). Comparative effectiveness of weight-loss interventions in clinical practice. New England Journal of Medicine, 365(21): 1959-1968.</w:t>
      </w:r>
    </w:p>
    <w:p w14:paraId="3478B23C" w14:textId="7429525A" w:rsidR="00A671C3" w:rsidRPr="00D535F9" w:rsidRDefault="00A671C3" w:rsidP="00D535F9">
      <w:pPr>
        <w:spacing w:before="120" w:after="120" w:line="260" w:lineRule="atLeast"/>
        <w:rPr>
          <w:sz w:val="18"/>
          <w:szCs w:val="18"/>
        </w:rPr>
      </w:pPr>
      <w:r w:rsidRPr="00D535F9">
        <w:rPr>
          <w:sz w:val="18"/>
          <w:szCs w:val="18"/>
        </w:rPr>
        <w:t>Australian Government, Australian Digital Health Agency. (2019). The healthcare workforce of the future: a global perspective. Available from: www.digitalhealth.gov.au/about-the-agency/digital-health-space/the-healthcare-workforce-of-the-future-a-global-perspective</w:t>
      </w:r>
    </w:p>
    <w:p w14:paraId="155A6A69" w14:textId="36200DCC" w:rsidR="00A671C3" w:rsidRPr="00D535F9" w:rsidRDefault="00A671C3" w:rsidP="00D535F9">
      <w:pPr>
        <w:spacing w:before="120" w:after="120" w:line="260" w:lineRule="atLeast"/>
        <w:rPr>
          <w:sz w:val="18"/>
          <w:szCs w:val="18"/>
        </w:rPr>
      </w:pPr>
      <w:r w:rsidRPr="00D535F9">
        <w:rPr>
          <w:sz w:val="18"/>
          <w:szCs w:val="18"/>
        </w:rPr>
        <w:t>Australian Government, Department of Health. (2015).</w:t>
      </w:r>
      <w:r w:rsidR="00A91C21" w:rsidRPr="00D535F9">
        <w:rPr>
          <w:sz w:val="18"/>
          <w:szCs w:val="18"/>
        </w:rPr>
        <w:t xml:space="preserve"> </w:t>
      </w:r>
      <w:r w:rsidRPr="00D535F9">
        <w:rPr>
          <w:sz w:val="18"/>
          <w:szCs w:val="18"/>
        </w:rPr>
        <w:t xml:space="preserve">Digital </w:t>
      </w:r>
      <w:r w:rsidR="008D0233" w:rsidRPr="00D535F9">
        <w:rPr>
          <w:sz w:val="18"/>
          <w:szCs w:val="18"/>
        </w:rPr>
        <w:t xml:space="preserve">health </w:t>
      </w:r>
      <w:r w:rsidRPr="00D535F9">
        <w:rPr>
          <w:sz w:val="18"/>
          <w:szCs w:val="18"/>
        </w:rPr>
        <w:t>– Telehealth. Available from: www1.health.gov.au/internet/main/publishing.nsf/Content/e-health-telehealth</w:t>
      </w:r>
    </w:p>
    <w:p w14:paraId="48B103FA" w14:textId="457114B5" w:rsidR="00A671C3" w:rsidRPr="00D535F9" w:rsidRDefault="00A671C3" w:rsidP="00D535F9">
      <w:pPr>
        <w:spacing w:before="120" w:after="120" w:line="260" w:lineRule="atLeast"/>
        <w:rPr>
          <w:sz w:val="18"/>
          <w:szCs w:val="18"/>
        </w:rPr>
      </w:pPr>
      <w:r w:rsidRPr="00D535F9">
        <w:rPr>
          <w:sz w:val="18"/>
          <w:szCs w:val="18"/>
        </w:rPr>
        <w:t>Australian Government, National Rural Health Commissioner. (2019). Discussion paper for consultation: Rural allied health quality, access and distribution. Available from: www1.health.gov.au/internet/main/publishing.nsf/Content/National-Rural-Health-Commissioner</w:t>
      </w:r>
    </w:p>
    <w:p w14:paraId="49F272C0" w14:textId="1E9189D8" w:rsidR="00A671C3" w:rsidRPr="00D535F9" w:rsidRDefault="009143A5" w:rsidP="00D535F9">
      <w:pPr>
        <w:spacing w:before="120" w:after="120" w:line="260" w:lineRule="atLeast"/>
        <w:rPr>
          <w:sz w:val="18"/>
          <w:szCs w:val="18"/>
        </w:rPr>
      </w:pPr>
      <w:r w:rsidRPr="00D535F9">
        <w:rPr>
          <w:sz w:val="18"/>
          <w:szCs w:val="18"/>
        </w:rPr>
        <w:t xml:space="preserve">The </w:t>
      </w:r>
      <w:r w:rsidR="00A671C3" w:rsidRPr="00D535F9">
        <w:rPr>
          <w:sz w:val="18"/>
          <w:szCs w:val="18"/>
        </w:rPr>
        <w:t>Australian Orthotic Prosthetic Association. (2020). Preliminary guidance COVID-19: Alternate, non-traditional modes of orthotic/prosthetic service delivery. Available from: www.aopa.org.au/documents/item/862</w:t>
      </w:r>
    </w:p>
    <w:p w14:paraId="7528FCEC" w14:textId="3056771D" w:rsidR="00A671C3" w:rsidRPr="00D535F9" w:rsidRDefault="00A671C3" w:rsidP="00D535F9">
      <w:pPr>
        <w:spacing w:before="120" w:after="120" w:line="260" w:lineRule="atLeast"/>
        <w:rPr>
          <w:sz w:val="18"/>
          <w:szCs w:val="18"/>
        </w:rPr>
      </w:pPr>
      <w:r w:rsidRPr="00D535F9">
        <w:rPr>
          <w:sz w:val="18"/>
          <w:szCs w:val="18"/>
        </w:rPr>
        <w:t>Australian Physiotherapy Association – APA. (2020). Telehealth guidelines response to COVID-19. Available from: australian.physio/sites/default/files/APA_Telehealth-Guidelines-COVID19_FA.pdf</w:t>
      </w:r>
    </w:p>
    <w:p w14:paraId="407BED62" w14:textId="6AB6006D" w:rsidR="00A671C3" w:rsidRPr="00D535F9" w:rsidRDefault="00A671C3" w:rsidP="00D535F9">
      <w:pPr>
        <w:spacing w:before="120" w:after="120" w:line="260" w:lineRule="atLeast"/>
        <w:rPr>
          <w:sz w:val="18"/>
          <w:szCs w:val="18"/>
        </w:rPr>
      </w:pPr>
      <w:r w:rsidRPr="00D535F9">
        <w:rPr>
          <w:sz w:val="18"/>
          <w:szCs w:val="18"/>
        </w:rPr>
        <w:t xml:space="preserve">Australian Podiatry Association. (2020). </w:t>
      </w:r>
      <w:proofErr w:type="spellStart"/>
      <w:r w:rsidRPr="00D535F9">
        <w:rPr>
          <w:sz w:val="18"/>
          <w:szCs w:val="18"/>
        </w:rPr>
        <w:t>APodA</w:t>
      </w:r>
      <w:proofErr w:type="spellEnd"/>
      <w:r w:rsidRPr="00D535F9">
        <w:rPr>
          <w:sz w:val="18"/>
          <w:szCs w:val="18"/>
        </w:rPr>
        <w:t xml:space="preserve"> COVID-19 Update: Telehealth for podiatrists. Available from: www.podiatry.org.au/about/news/telehealth-for-podiatrists</w:t>
      </w:r>
    </w:p>
    <w:p w14:paraId="6D4EA7FC" w14:textId="0C4EF684" w:rsidR="00A671C3" w:rsidRPr="00D535F9" w:rsidRDefault="00A671C3" w:rsidP="00D535F9">
      <w:pPr>
        <w:spacing w:before="120" w:after="120" w:line="260" w:lineRule="atLeast"/>
        <w:rPr>
          <w:sz w:val="18"/>
          <w:szCs w:val="18"/>
        </w:rPr>
      </w:pPr>
      <w:r w:rsidRPr="00D535F9">
        <w:rPr>
          <w:sz w:val="18"/>
          <w:szCs w:val="18"/>
        </w:rPr>
        <w:t>Australian Psychological Society. (2020). Principles for choosing videoconferencing technology. Available from: www.psychology.org.au/for-the-public/Medicare-rebates-psychological-services/Medicare-FAQs-for-the-public/Telehealth-services/Principles-choosing-videoconferencing-technology</w:t>
      </w:r>
    </w:p>
    <w:p w14:paraId="7E292081" w14:textId="6383938A" w:rsidR="00A671C3" w:rsidRPr="00D535F9" w:rsidRDefault="00A671C3" w:rsidP="00D535F9">
      <w:pPr>
        <w:spacing w:before="120" w:after="120" w:line="260" w:lineRule="atLeast"/>
        <w:rPr>
          <w:sz w:val="18"/>
          <w:szCs w:val="18"/>
        </w:rPr>
      </w:pPr>
      <w:r w:rsidRPr="00D535F9">
        <w:rPr>
          <w:sz w:val="18"/>
          <w:szCs w:val="18"/>
        </w:rPr>
        <w:t>Cottrell, M.A., Galea. O.A., O'Leary, S.P., Hill, A.J. &amp; Russell, T.G. (2017). Real-time telerehabilitation for the treatment of musculoskeletal conditions is effective and comparable to standard practice: a systematic review and meta-analysis. Clinical Rehabilitation, 31(5): 625-638.</w:t>
      </w:r>
    </w:p>
    <w:p w14:paraId="0AD0DEE4" w14:textId="70972970" w:rsidR="00A671C3" w:rsidRPr="00D535F9" w:rsidRDefault="00A671C3" w:rsidP="00D535F9">
      <w:pPr>
        <w:spacing w:before="120" w:after="120" w:line="260" w:lineRule="atLeast"/>
        <w:rPr>
          <w:sz w:val="18"/>
          <w:szCs w:val="18"/>
        </w:rPr>
      </w:pPr>
      <w:r w:rsidRPr="00D535F9">
        <w:rPr>
          <w:sz w:val="18"/>
          <w:szCs w:val="18"/>
        </w:rPr>
        <w:t>Department of Health and Human Services. (2019). Policy and funding guidelines 2019-20: Policy guide. Available from: www.dhhs.vic.gov.au/sites/default/files/documents/201908/PFG%202019-20%20-%20Policy%20guide.pdf</w:t>
      </w:r>
    </w:p>
    <w:p w14:paraId="0A038535" w14:textId="4FAEB2E3" w:rsidR="00A671C3" w:rsidRPr="00D535F9" w:rsidRDefault="00A671C3" w:rsidP="00D535F9">
      <w:pPr>
        <w:spacing w:before="120" w:after="120" w:line="260" w:lineRule="atLeast"/>
        <w:rPr>
          <w:sz w:val="18"/>
          <w:szCs w:val="18"/>
        </w:rPr>
      </w:pPr>
      <w:r w:rsidRPr="00D535F9">
        <w:rPr>
          <w:sz w:val="18"/>
          <w:szCs w:val="18"/>
        </w:rPr>
        <w:t xml:space="preserve">Department of Health and Human Services. (2020). COVID-19 </w:t>
      </w:r>
      <w:r w:rsidR="009143A5" w:rsidRPr="00D535F9">
        <w:rPr>
          <w:sz w:val="18"/>
          <w:szCs w:val="18"/>
        </w:rPr>
        <w:t xml:space="preserve">telehealth </w:t>
      </w:r>
      <w:r w:rsidRPr="00D535F9">
        <w:rPr>
          <w:sz w:val="18"/>
          <w:szCs w:val="18"/>
        </w:rPr>
        <w:t>consulting and conferencing: privacy and security. Available from: fac.dhhs.vic.gov.au/covid-19-telehealth-consulting-and-conferencing-privacy-and-security</w:t>
      </w:r>
    </w:p>
    <w:p w14:paraId="4419F475" w14:textId="74B4A696" w:rsidR="00A671C3" w:rsidRPr="00D535F9" w:rsidRDefault="00A671C3" w:rsidP="00D535F9">
      <w:pPr>
        <w:spacing w:before="120" w:after="120" w:line="260" w:lineRule="atLeast"/>
        <w:rPr>
          <w:sz w:val="18"/>
          <w:szCs w:val="18"/>
        </w:rPr>
      </w:pPr>
      <w:r w:rsidRPr="00D535F9">
        <w:rPr>
          <w:sz w:val="18"/>
          <w:szCs w:val="18"/>
        </w:rPr>
        <w:t xml:space="preserve">Dias, D. &amp; Cunha, J.P.S. (2018). Wearable health devices </w:t>
      </w:r>
      <w:r w:rsidR="009143A5" w:rsidRPr="00D535F9">
        <w:rPr>
          <w:sz w:val="18"/>
          <w:szCs w:val="18"/>
        </w:rPr>
        <w:t>–</w:t>
      </w:r>
      <w:r w:rsidRPr="00D535F9">
        <w:rPr>
          <w:sz w:val="18"/>
          <w:szCs w:val="18"/>
        </w:rPr>
        <w:t xml:space="preserve"> vital sign monitoring, systems and technologies. Sensors, 18(8): 2414.</w:t>
      </w:r>
    </w:p>
    <w:p w14:paraId="32C3FACE" w14:textId="1E667D76" w:rsidR="00A671C3" w:rsidRPr="00D535F9" w:rsidRDefault="00A671C3" w:rsidP="00D535F9">
      <w:pPr>
        <w:spacing w:before="120" w:after="120" w:line="260" w:lineRule="atLeast"/>
        <w:rPr>
          <w:sz w:val="18"/>
          <w:szCs w:val="18"/>
        </w:rPr>
      </w:pPr>
      <w:r w:rsidRPr="00D535F9">
        <w:rPr>
          <w:sz w:val="18"/>
          <w:szCs w:val="18"/>
        </w:rPr>
        <w:t>Diet</w:t>
      </w:r>
      <w:r w:rsidR="009143A5" w:rsidRPr="00D535F9">
        <w:rPr>
          <w:sz w:val="18"/>
          <w:szCs w:val="18"/>
        </w:rPr>
        <w:t>itians</w:t>
      </w:r>
      <w:r w:rsidRPr="00D535F9">
        <w:rPr>
          <w:sz w:val="18"/>
          <w:szCs w:val="18"/>
        </w:rPr>
        <w:t xml:space="preserve"> Association of Australia. (2020). Accredited </w:t>
      </w:r>
      <w:r w:rsidR="009143A5" w:rsidRPr="00D535F9">
        <w:rPr>
          <w:sz w:val="18"/>
          <w:szCs w:val="18"/>
        </w:rPr>
        <w:t xml:space="preserve">practising dietitian </w:t>
      </w:r>
      <w:r w:rsidRPr="00D535F9">
        <w:rPr>
          <w:sz w:val="18"/>
          <w:szCs w:val="18"/>
        </w:rPr>
        <w:t>(APD) telehealth guidelines. Available from: daa.asn.au/wp-content/uploads/2020/05/APD-Telehealth-Guidelines-May-2020.pdf</w:t>
      </w:r>
    </w:p>
    <w:p w14:paraId="2379838F" w14:textId="10841FCB" w:rsidR="00A671C3" w:rsidRPr="00D535F9" w:rsidRDefault="00A671C3" w:rsidP="00D535F9">
      <w:pPr>
        <w:spacing w:before="120" w:after="120" w:line="260" w:lineRule="atLeast"/>
        <w:rPr>
          <w:sz w:val="18"/>
          <w:szCs w:val="18"/>
        </w:rPr>
      </w:pPr>
      <w:r w:rsidRPr="00D535F9">
        <w:rPr>
          <w:sz w:val="18"/>
          <w:szCs w:val="18"/>
        </w:rPr>
        <w:lastRenderedPageBreak/>
        <w:t>DLA Piper Australia for Department of Health and Human Services. (2015). Medico-legal aspects of telehealth services for Victorian public health services. Available from: www2.health.vic.gov.au/hospitals-and-health-services/rural-health/telehealth/medico-legal-aspects</w:t>
      </w:r>
    </w:p>
    <w:p w14:paraId="07B8CCCF" w14:textId="77777777" w:rsidR="00A671C3" w:rsidRPr="00D535F9" w:rsidRDefault="00A671C3" w:rsidP="00D535F9">
      <w:pPr>
        <w:spacing w:before="120" w:after="120" w:line="260" w:lineRule="atLeast"/>
        <w:rPr>
          <w:sz w:val="18"/>
          <w:szCs w:val="18"/>
        </w:rPr>
      </w:pPr>
      <w:r w:rsidRPr="00D535F9">
        <w:rPr>
          <w:sz w:val="18"/>
          <w:szCs w:val="18"/>
        </w:rPr>
        <w:t>Gentry S., van</w:t>
      </w:r>
      <w:r w:rsidRPr="00D535F9">
        <w:rPr>
          <w:rFonts w:ascii="Cambria Math" w:hAnsi="Cambria Math" w:cs="Cambria Math"/>
          <w:sz w:val="18"/>
          <w:szCs w:val="18"/>
        </w:rPr>
        <w:t>‐</w:t>
      </w:r>
      <w:proofErr w:type="spellStart"/>
      <w:r w:rsidRPr="00D535F9">
        <w:rPr>
          <w:sz w:val="18"/>
          <w:szCs w:val="18"/>
        </w:rPr>
        <w:t>Velthoven</w:t>
      </w:r>
      <w:proofErr w:type="spellEnd"/>
      <w:r w:rsidRPr="00D535F9">
        <w:rPr>
          <w:sz w:val="18"/>
          <w:szCs w:val="18"/>
        </w:rPr>
        <w:t>, M.H.M.M.T., Tudor Car, L. &amp; Car J. (2013). Telephone delivered interventions for reducing morbidity and mortality in people with HIV infection. Cochrane Database of Systematic Reviews 2013, 5.</w:t>
      </w:r>
    </w:p>
    <w:p w14:paraId="5795DC17" w14:textId="2D9406DE" w:rsidR="00A671C3" w:rsidRPr="00D535F9" w:rsidRDefault="00A671C3" w:rsidP="00D535F9">
      <w:pPr>
        <w:spacing w:before="120" w:after="120" w:line="260" w:lineRule="atLeast"/>
        <w:rPr>
          <w:sz w:val="18"/>
          <w:szCs w:val="18"/>
        </w:rPr>
      </w:pPr>
      <w:r w:rsidRPr="00D535F9">
        <w:rPr>
          <w:sz w:val="18"/>
          <w:szCs w:val="18"/>
        </w:rPr>
        <w:t>Gill, M. (2011). A national telehealth strategy for Australia – for discussion (Australian National Consultative Committee on Electronic Health). Available from: www.who.int/goe/policies/countries/aus__support_tele.pdf</w:t>
      </w:r>
    </w:p>
    <w:p w14:paraId="2B2955B8" w14:textId="77777777" w:rsidR="00A671C3" w:rsidRPr="00D535F9" w:rsidRDefault="00A671C3" w:rsidP="00D535F9">
      <w:pPr>
        <w:spacing w:before="120" w:after="120" w:line="260" w:lineRule="atLeast"/>
        <w:rPr>
          <w:sz w:val="18"/>
          <w:szCs w:val="18"/>
        </w:rPr>
      </w:pPr>
      <w:r w:rsidRPr="00D535F9">
        <w:rPr>
          <w:sz w:val="18"/>
          <w:szCs w:val="18"/>
        </w:rPr>
        <w:t xml:space="preserve">Goode, A.D., Reeves, M.M. &amp; </w:t>
      </w:r>
      <w:proofErr w:type="spellStart"/>
      <w:r w:rsidRPr="00D535F9">
        <w:rPr>
          <w:sz w:val="18"/>
          <w:szCs w:val="18"/>
        </w:rPr>
        <w:t>Easkin</w:t>
      </w:r>
      <w:proofErr w:type="spellEnd"/>
      <w:r w:rsidRPr="00D535F9">
        <w:rPr>
          <w:sz w:val="18"/>
          <w:szCs w:val="18"/>
        </w:rPr>
        <w:t>, E.G. (2012). Telephone-delivered interventions for physical activity and dietary behaviour change: An updated systematic review. American Journal of Preventative Medicine, 42(1): 81.</w:t>
      </w:r>
    </w:p>
    <w:p w14:paraId="6BCA34E1" w14:textId="77777777" w:rsidR="00A671C3" w:rsidRPr="00D535F9" w:rsidRDefault="00A671C3" w:rsidP="00D535F9">
      <w:pPr>
        <w:spacing w:before="120" w:after="120" w:line="260" w:lineRule="atLeast"/>
        <w:rPr>
          <w:sz w:val="18"/>
          <w:szCs w:val="18"/>
        </w:rPr>
      </w:pPr>
      <w:proofErr w:type="spellStart"/>
      <w:r w:rsidRPr="00D535F9">
        <w:rPr>
          <w:sz w:val="18"/>
          <w:szCs w:val="18"/>
        </w:rPr>
        <w:t>Hutchesson</w:t>
      </w:r>
      <w:proofErr w:type="spellEnd"/>
      <w:r w:rsidRPr="00D535F9">
        <w:rPr>
          <w:sz w:val="18"/>
          <w:szCs w:val="18"/>
        </w:rPr>
        <w:t xml:space="preserve">, M.J., Rollo, M.E., </w:t>
      </w:r>
      <w:proofErr w:type="spellStart"/>
      <w:r w:rsidRPr="00D535F9">
        <w:rPr>
          <w:sz w:val="18"/>
          <w:szCs w:val="18"/>
        </w:rPr>
        <w:t>Krukowski</w:t>
      </w:r>
      <w:proofErr w:type="spellEnd"/>
      <w:r w:rsidRPr="00D535F9">
        <w:rPr>
          <w:sz w:val="18"/>
          <w:szCs w:val="18"/>
        </w:rPr>
        <w:t xml:space="preserve">, R., Ells, L., Harvey, J., Morgan, P.J., Callister, R., </w:t>
      </w:r>
      <w:proofErr w:type="spellStart"/>
      <w:r w:rsidRPr="00D535F9">
        <w:rPr>
          <w:sz w:val="18"/>
          <w:szCs w:val="18"/>
        </w:rPr>
        <w:t>Plotnikoff</w:t>
      </w:r>
      <w:proofErr w:type="spellEnd"/>
      <w:r w:rsidRPr="00D535F9">
        <w:rPr>
          <w:sz w:val="18"/>
          <w:szCs w:val="18"/>
        </w:rPr>
        <w:t>, R. &amp; Collins, C.E. (2015). eHealth interventions for the prevention and treatment of overweight and obesity in adults: A systematic review with meta-analysis. Obesity Reviews, 16(5): 376-392.</w:t>
      </w:r>
    </w:p>
    <w:p w14:paraId="475B8F0E" w14:textId="0DA8DBE9" w:rsidR="00A671C3" w:rsidRPr="00D535F9" w:rsidRDefault="00A671C3" w:rsidP="00D535F9">
      <w:pPr>
        <w:spacing w:before="120" w:after="120" w:line="260" w:lineRule="atLeast"/>
        <w:rPr>
          <w:sz w:val="18"/>
          <w:szCs w:val="18"/>
        </w:rPr>
      </w:pPr>
      <w:r w:rsidRPr="00D535F9">
        <w:rPr>
          <w:sz w:val="18"/>
          <w:szCs w:val="18"/>
        </w:rPr>
        <w:t xml:space="preserve">Kelly, J., </w:t>
      </w:r>
      <w:proofErr w:type="spellStart"/>
      <w:r w:rsidRPr="00D535F9">
        <w:rPr>
          <w:sz w:val="18"/>
          <w:szCs w:val="18"/>
        </w:rPr>
        <w:t>Reislinger</w:t>
      </w:r>
      <w:proofErr w:type="spellEnd"/>
      <w:r w:rsidRPr="00D535F9">
        <w:rPr>
          <w:sz w:val="18"/>
          <w:szCs w:val="18"/>
        </w:rPr>
        <w:t>, D., Hoffman, T.</w:t>
      </w:r>
      <w:r w:rsidR="00A91C21" w:rsidRPr="00D535F9">
        <w:rPr>
          <w:sz w:val="18"/>
          <w:szCs w:val="18"/>
        </w:rPr>
        <w:t xml:space="preserve"> </w:t>
      </w:r>
      <w:r w:rsidRPr="00D535F9">
        <w:rPr>
          <w:sz w:val="18"/>
          <w:szCs w:val="18"/>
        </w:rPr>
        <w:t>&amp; Campbell, K. (2016). Telehealth methods to deliver dietary interventions in adults with chronic disease: A systematic review and meta-analysis. American Journal of Clinical Nutrition, 104(6): 1693-1702.</w:t>
      </w:r>
    </w:p>
    <w:p w14:paraId="1E8BD48B" w14:textId="77777777" w:rsidR="00A671C3" w:rsidRPr="00D535F9" w:rsidRDefault="00A671C3" w:rsidP="00D535F9">
      <w:pPr>
        <w:spacing w:before="120" w:after="120" w:line="260" w:lineRule="atLeast"/>
        <w:rPr>
          <w:sz w:val="18"/>
          <w:szCs w:val="18"/>
        </w:rPr>
      </w:pPr>
      <w:r w:rsidRPr="00D535F9">
        <w:rPr>
          <w:sz w:val="18"/>
          <w:szCs w:val="18"/>
        </w:rPr>
        <w:t>Kew, K.M &amp; Cates, C.J. (2016). Remote versus face</w:t>
      </w:r>
      <w:r w:rsidRPr="00D535F9">
        <w:rPr>
          <w:rFonts w:ascii="Cambria Math" w:hAnsi="Cambria Math" w:cs="Cambria Math"/>
          <w:sz w:val="18"/>
          <w:szCs w:val="18"/>
        </w:rPr>
        <w:t>‐</w:t>
      </w:r>
      <w:r w:rsidRPr="00D535F9">
        <w:rPr>
          <w:sz w:val="18"/>
          <w:szCs w:val="18"/>
        </w:rPr>
        <w:t>to</w:t>
      </w:r>
      <w:r w:rsidRPr="00D535F9">
        <w:rPr>
          <w:rFonts w:ascii="Cambria Math" w:hAnsi="Cambria Math" w:cs="Cambria Math"/>
          <w:sz w:val="18"/>
          <w:szCs w:val="18"/>
        </w:rPr>
        <w:t>‐</w:t>
      </w:r>
      <w:r w:rsidRPr="00D535F9">
        <w:rPr>
          <w:sz w:val="18"/>
          <w:szCs w:val="18"/>
        </w:rPr>
        <w:t>face check</w:t>
      </w:r>
      <w:r w:rsidRPr="00D535F9">
        <w:rPr>
          <w:rFonts w:ascii="Cambria Math" w:hAnsi="Cambria Math" w:cs="Cambria Math"/>
          <w:sz w:val="18"/>
          <w:szCs w:val="18"/>
        </w:rPr>
        <w:t>‐</w:t>
      </w:r>
      <w:r w:rsidRPr="00D535F9">
        <w:rPr>
          <w:sz w:val="18"/>
          <w:szCs w:val="18"/>
        </w:rPr>
        <w:t>ups for asthma. Cochrane Database of Systematic Reviews 2016, 4.</w:t>
      </w:r>
    </w:p>
    <w:p w14:paraId="7565A4C5" w14:textId="77777777" w:rsidR="00A671C3" w:rsidRPr="00D535F9" w:rsidRDefault="00A671C3" w:rsidP="00D535F9">
      <w:pPr>
        <w:spacing w:before="120" w:after="120" w:line="260" w:lineRule="atLeast"/>
        <w:rPr>
          <w:sz w:val="18"/>
          <w:szCs w:val="18"/>
        </w:rPr>
      </w:pPr>
      <w:r w:rsidRPr="00D535F9">
        <w:rPr>
          <w:sz w:val="18"/>
          <w:szCs w:val="18"/>
        </w:rPr>
        <w:t>Laver, K.E., Adey</w:t>
      </w:r>
      <w:r w:rsidRPr="00D535F9">
        <w:rPr>
          <w:rFonts w:ascii="Cambria Math" w:hAnsi="Cambria Math" w:cs="Cambria Math"/>
          <w:sz w:val="18"/>
          <w:szCs w:val="18"/>
        </w:rPr>
        <w:t>‐</w:t>
      </w:r>
      <w:proofErr w:type="spellStart"/>
      <w:r w:rsidRPr="00D535F9">
        <w:rPr>
          <w:sz w:val="18"/>
          <w:szCs w:val="18"/>
        </w:rPr>
        <w:t>Wakeling</w:t>
      </w:r>
      <w:proofErr w:type="spellEnd"/>
      <w:r w:rsidRPr="00D535F9">
        <w:rPr>
          <w:sz w:val="18"/>
          <w:szCs w:val="18"/>
        </w:rPr>
        <w:t xml:space="preserve">, Z., Crotty, M., </w:t>
      </w:r>
      <w:proofErr w:type="spellStart"/>
      <w:r w:rsidRPr="00D535F9">
        <w:rPr>
          <w:sz w:val="18"/>
          <w:szCs w:val="18"/>
        </w:rPr>
        <w:t>Lannin</w:t>
      </w:r>
      <w:proofErr w:type="spellEnd"/>
      <w:r w:rsidRPr="00D535F9">
        <w:rPr>
          <w:sz w:val="18"/>
          <w:szCs w:val="18"/>
        </w:rPr>
        <w:t>, N.A., George, S. &amp; Sherrington, C. (2020). Telerehabilitation services for stroke. Cochrane Database of Systematic Reviews 2020, 1.</w:t>
      </w:r>
    </w:p>
    <w:p w14:paraId="576F1652" w14:textId="77777777" w:rsidR="00A671C3" w:rsidRPr="00D535F9" w:rsidRDefault="00A671C3" w:rsidP="00D535F9">
      <w:pPr>
        <w:spacing w:before="120" w:after="120" w:line="260" w:lineRule="atLeast"/>
        <w:rPr>
          <w:sz w:val="18"/>
          <w:szCs w:val="18"/>
        </w:rPr>
      </w:pPr>
      <w:proofErr w:type="spellStart"/>
      <w:r w:rsidRPr="00D535F9">
        <w:rPr>
          <w:sz w:val="18"/>
          <w:szCs w:val="18"/>
        </w:rPr>
        <w:t>Lundall</w:t>
      </w:r>
      <w:proofErr w:type="spellEnd"/>
      <w:r w:rsidRPr="00D535F9">
        <w:rPr>
          <w:sz w:val="18"/>
          <w:szCs w:val="18"/>
        </w:rPr>
        <w:t xml:space="preserve">, S., </w:t>
      </w:r>
      <w:proofErr w:type="spellStart"/>
      <w:r w:rsidRPr="00D535F9">
        <w:rPr>
          <w:sz w:val="18"/>
          <w:szCs w:val="18"/>
        </w:rPr>
        <w:t>Holmner</w:t>
      </w:r>
      <w:proofErr w:type="spellEnd"/>
      <w:r w:rsidRPr="00D535F9">
        <w:rPr>
          <w:sz w:val="18"/>
          <w:szCs w:val="18"/>
        </w:rPr>
        <w:t xml:space="preserve">, Å, Rehn, B., Nyberg, A. &amp; </w:t>
      </w:r>
      <w:proofErr w:type="spellStart"/>
      <w:r w:rsidRPr="00D535F9">
        <w:rPr>
          <w:sz w:val="18"/>
          <w:szCs w:val="18"/>
        </w:rPr>
        <w:t>Wadell</w:t>
      </w:r>
      <w:proofErr w:type="spellEnd"/>
      <w:r w:rsidRPr="00D535F9">
        <w:rPr>
          <w:sz w:val="18"/>
          <w:szCs w:val="18"/>
        </w:rPr>
        <w:t xml:space="preserve">, A. (2015). </w:t>
      </w:r>
      <w:proofErr w:type="spellStart"/>
      <w:r w:rsidRPr="00D535F9">
        <w:rPr>
          <w:sz w:val="18"/>
          <w:szCs w:val="18"/>
        </w:rPr>
        <w:t>Telehealthcare</w:t>
      </w:r>
      <w:proofErr w:type="spellEnd"/>
      <w:r w:rsidRPr="00D535F9">
        <w:rPr>
          <w:sz w:val="18"/>
          <w:szCs w:val="18"/>
        </w:rPr>
        <w:t xml:space="preserve"> in COPD: A systematic review and meta-analysis on physical outcomes and </w:t>
      </w:r>
      <w:proofErr w:type="spellStart"/>
      <w:r w:rsidRPr="00D535F9">
        <w:rPr>
          <w:sz w:val="18"/>
          <w:szCs w:val="18"/>
        </w:rPr>
        <w:t>dyspnea</w:t>
      </w:r>
      <w:proofErr w:type="spellEnd"/>
      <w:r w:rsidRPr="00D535F9">
        <w:rPr>
          <w:sz w:val="18"/>
          <w:szCs w:val="18"/>
        </w:rPr>
        <w:t>. Respiratory Medicine, 109(1): 11-26.</w:t>
      </w:r>
    </w:p>
    <w:p w14:paraId="5BB83243" w14:textId="47AD75F3" w:rsidR="00A671C3" w:rsidRPr="00D535F9" w:rsidRDefault="00A671C3" w:rsidP="00D535F9">
      <w:pPr>
        <w:spacing w:before="120" w:after="120" w:line="260" w:lineRule="atLeast"/>
        <w:rPr>
          <w:sz w:val="18"/>
          <w:szCs w:val="18"/>
        </w:rPr>
      </w:pPr>
      <w:r w:rsidRPr="00D535F9">
        <w:rPr>
          <w:sz w:val="18"/>
          <w:szCs w:val="18"/>
        </w:rPr>
        <w:t>Marx, W., Kelly, J.T., Crichton, M., Craven, D., Collins, J. Mackay,</w:t>
      </w:r>
      <w:r w:rsidR="009143A5" w:rsidRPr="00D535F9">
        <w:rPr>
          <w:sz w:val="18"/>
          <w:szCs w:val="18"/>
        </w:rPr>
        <w:t xml:space="preserve"> </w:t>
      </w:r>
      <w:r w:rsidRPr="00D535F9">
        <w:rPr>
          <w:sz w:val="18"/>
          <w:szCs w:val="18"/>
        </w:rPr>
        <w:t xml:space="preserve">H., </w:t>
      </w:r>
      <w:proofErr w:type="spellStart"/>
      <w:r w:rsidRPr="00D535F9">
        <w:rPr>
          <w:sz w:val="18"/>
          <w:szCs w:val="18"/>
        </w:rPr>
        <w:t>Isenring</w:t>
      </w:r>
      <w:proofErr w:type="spellEnd"/>
      <w:r w:rsidRPr="00D535F9">
        <w:rPr>
          <w:sz w:val="18"/>
          <w:szCs w:val="18"/>
        </w:rPr>
        <w:t xml:space="preserve">, E. &amp; </w:t>
      </w:r>
      <w:proofErr w:type="spellStart"/>
      <w:r w:rsidRPr="00D535F9">
        <w:rPr>
          <w:sz w:val="18"/>
          <w:szCs w:val="18"/>
        </w:rPr>
        <w:t>Marchall</w:t>
      </w:r>
      <w:proofErr w:type="spellEnd"/>
      <w:r w:rsidRPr="00D535F9">
        <w:rPr>
          <w:sz w:val="18"/>
          <w:szCs w:val="18"/>
        </w:rPr>
        <w:t xml:space="preserve">, S. (2018). Is telehealth effective in managing malnutrition in community-dwelling older adults? A systematic review and meta-analysis. </w:t>
      </w:r>
      <w:proofErr w:type="spellStart"/>
      <w:r w:rsidRPr="00D535F9">
        <w:rPr>
          <w:sz w:val="18"/>
          <w:szCs w:val="18"/>
        </w:rPr>
        <w:t>Maturitas</w:t>
      </w:r>
      <w:proofErr w:type="spellEnd"/>
      <w:r w:rsidRPr="00D535F9">
        <w:rPr>
          <w:sz w:val="18"/>
          <w:szCs w:val="18"/>
        </w:rPr>
        <w:t>, 111: 31-46.</w:t>
      </w:r>
    </w:p>
    <w:p w14:paraId="446D1273" w14:textId="008EC9A5" w:rsidR="00A671C3" w:rsidRPr="00D535F9" w:rsidRDefault="00A671C3" w:rsidP="00D535F9">
      <w:pPr>
        <w:spacing w:before="120" w:after="120" w:line="260" w:lineRule="atLeast"/>
        <w:rPr>
          <w:sz w:val="18"/>
          <w:szCs w:val="18"/>
        </w:rPr>
      </w:pPr>
      <w:r w:rsidRPr="00D535F9">
        <w:rPr>
          <w:sz w:val="18"/>
          <w:szCs w:val="18"/>
        </w:rPr>
        <w:t>Occupational Therapy Australia – OT Australia. (2020). Telehealth guidelines 2020. Available from: www.otaus.com.au/member-resources/covid-19/telehealth</w:t>
      </w:r>
    </w:p>
    <w:p w14:paraId="2769A503" w14:textId="22092F39" w:rsidR="00A671C3" w:rsidRPr="00D535F9" w:rsidRDefault="00A671C3" w:rsidP="00D535F9">
      <w:pPr>
        <w:spacing w:before="120" w:after="120" w:line="260" w:lineRule="atLeast"/>
        <w:rPr>
          <w:sz w:val="18"/>
          <w:szCs w:val="18"/>
        </w:rPr>
      </w:pPr>
      <w:r w:rsidRPr="00D535F9">
        <w:rPr>
          <w:sz w:val="18"/>
          <w:szCs w:val="18"/>
        </w:rPr>
        <w:t xml:space="preserve">Reeves, A., Beattie, S., Raymundo, C., </w:t>
      </w:r>
      <w:proofErr w:type="spellStart"/>
      <w:r w:rsidRPr="00D535F9">
        <w:rPr>
          <w:sz w:val="18"/>
          <w:szCs w:val="18"/>
        </w:rPr>
        <w:t>Coutsouvelis</w:t>
      </w:r>
      <w:proofErr w:type="spellEnd"/>
      <w:r w:rsidRPr="00D535F9">
        <w:rPr>
          <w:sz w:val="18"/>
          <w:szCs w:val="18"/>
        </w:rPr>
        <w:t xml:space="preserve">, I., Smith, D. &amp; Miller, J. (2020 </w:t>
      </w:r>
      <w:r w:rsidR="009143A5" w:rsidRPr="00D535F9">
        <w:rPr>
          <w:sz w:val="18"/>
          <w:szCs w:val="18"/>
        </w:rPr>
        <w:t>–</w:t>
      </w:r>
      <w:r w:rsidRPr="00D535F9">
        <w:rPr>
          <w:sz w:val="18"/>
          <w:szCs w:val="18"/>
        </w:rPr>
        <w:t xml:space="preserve"> unpublished manuscript). Designing telehealth-enabled models of care for specialist clinics. Melbourne: Royal Children’s Hospital.</w:t>
      </w:r>
    </w:p>
    <w:p w14:paraId="1AEC38C3" w14:textId="68AEF784" w:rsidR="00A671C3" w:rsidRPr="00D535F9" w:rsidRDefault="00A671C3" w:rsidP="00D535F9">
      <w:pPr>
        <w:spacing w:before="120" w:after="120" w:line="260" w:lineRule="atLeast"/>
        <w:rPr>
          <w:sz w:val="18"/>
          <w:szCs w:val="18"/>
        </w:rPr>
      </w:pPr>
      <w:r w:rsidRPr="00D535F9">
        <w:rPr>
          <w:sz w:val="18"/>
          <w:szCs w:val="18"/>
        </w:rPr>
        <w:t xml:space="preserve">Speech Pathology Australia. (2014). Position statement: </w:t>
      </w:r>
      <w:proofErr w:type="spellStart"/>
      <w:r w:rsidRPr="00D535F9">
        <w:rPr>
          <w:sz w:val="18"/>
          <w:szCs w:val="18"/>
        </w:rPr>
        <w:t>Telepractice</w:t>
      </w:r>
      <w:proofErr w:type="spellEnd"/>
      <w:r w:rsidRPr="00D535F9">
        <w:rPr>
          <w:sz w:val="18"/>
          <w:szCs w:val="18"/>
        </w:rPr>
        <w:t xml:space="preserve"> in speech pathology. Available from: </w:t>
      </w:r>
      <w:r w:rsidR="009143A5" w:rsidRPr="00D535F9">
        <w:rPr>
          <w:sz w:val="18"/>
          <w:szCs w:val="18"/>
        </w:rPr>
        <w:t>www.speechpathologyaustralia.org.au/SPAweb/Members/Position_Statements/Position_Statements.aspx?hkey=b1a46941-246c-4609-bacc-1c1b5c52d19d#tp</w:t>
      </w:r>
      <w:r w:rsidR="005F35AD" w:rsidRPr="00D535F9">
        <w:rPr>
          <w:sz w:val="18"/>
          <w:szCs w:val="18"/>
        </w:rPr>
        <w:t xml:space="preserve"> </w:t>
      </w:r>
    </w:p>
    <w:p w14:paraId="734A4E0E" w14:textId="77777777" w:rsidR="00A671C3" w:rsidRPr="00D535F9" w:rsidRDefault="00A671C3" w:rsidP="00D535F9">
      <w:pPr>
        <w:spacing w:before="120" w:after="120" w:line="260" w:lineRule="atLeast"/>
        <w:rPr>
          <w:sz w:val="18"/>
          <w:szCs w:val="18"/>
        </w:rPr>
      </w:pPr>
      <w:r w:rsidRPr="00D535F9">
        <w:rPr>
          <w:sz w:val="18"/>
          <w:szCs w:val="18"/>
        </w:rPr>
        <w:t>Stevenson, J.K., Campbell, Z.C., Webster, A.C., Chow, C.K., Tong, A., Craig, J.C., Campbell, K.L. &amp; Lee, V.W.S. (2019). eHealth interventions for people with chronic kidney disease. Cochrane Database of Systematic Reviews 2019, 8.</w:t>
      </w:r>
    </w:p>
    <w:p w14:paraId="3B0A98C6" w14:textId="730F5C8C" w:rsidR="00A671C3" w:rsidRPr="00D535F9" w:rsidRDefault="00A671C3" w:rsidP="00D535F9">
      <w:pPr>
        <w:spacing w:before="120" w:after="120" w:line="260" w:lineRule="atLeast"/>
        <w:rPr>
          <w:sz w:val="18"/>
          <w:szCs w:val="18"/>
        </w:rPr>
      </w:pPr>
      <w:proofErr w:type="spellStart"/>
      <w:r w:rsidRPr="00D535F9">
        <w:rPr>
          <w:sz w:val="18"/>
          <w:szCs w:val="18"/>
        </w:rPr>
        <w:t>Vegesna</w:t>
      </w:r>
      <w:proofErr w:type="spellEnd"/>
      <w:r w:rsidRPr="00D535F9">
        <w:rPr>
          <w:sz w:val="18"/>
          <w:szCs w:val="18"/>
        </w:rPr>
        <w:t xml:space="preserve">, A., Tran, M., </w:t>
      </w:r>
      <w:proofErr w:type="spellStart"/>
      <w:r w:rsidRPr="00D535F9">
        <w:rPr>
          <w:sz w:val="18"/>
          <w:szCs w:val="18"/>
        </w:rPr>
        <w:t>Angelaccio</w:t>
      </w:r>
      <w:proofErr w:type="spellEnd"/>
      <w:r w:rsidRPr="00D535F9">
        <w:rPr>
          <w:sz w:val="18"/>
          <w:szCs w:val="18"/>
        </w:rPr>
        <w:t xml:space="preserve">, M. &amp; </w:t>
      </w:r>
      <w:proofErr w:type="spellStart"/>
      <w:r w:rsidRPr="00D535F9">
        <w:rPr>
          <w:sz w:val="18"/>
          <w:szCs w:val="18"/>
        </w:rPr>
        <w:t>Arcona</w:t>
      </w:r>
      <w:proofErr w:type="spellEnd"/>
      <w:r w:rsidRPr="00D535F9">
        <w:rPr>
          <w:sz w:val="18"/>
          <w:szCs w:val="18"/>
        </w:rPr>
        <w:t>, S. (2017). Remote patient monitoring via non-invasive digital technologies: A systematic review. Telemedicine Journal &amp; e-Health, 23(1): 3-17.</w:t>
      </w:r>
    </w:p>
    <w:p w14:paraId="00B3CA88" w14:textId="77777777" w:rsidR="005F35AD" w:rsidRDefault="005F35AD" w:rsidP="00D535F9">
      <w:pPr>
        <w:sectPr w:rsidR="005F35AD" w:rsidSect="00DF3554">
          <w:type w:val="continuous"/>
          <w:pgSz w:w="11906" w:h="16838" w:code="9"/>
          <w:pgMar w:top="3402" w:right="851" w:bottom="1361" w:left="851" w:header="539" w:footer="624" w:gutter="0"/>
          <w:cols w:space="284"/>
          <w:docGrid w:linePitch="360"/>
        </w:sectPr>
      </w:pPr>
    </w:p>
    <w:p w14:paraId="0C60FD78" w14:textId="77777777" w:rsidR="005F35AD" w:rsidRPr="0052682E" w:rsidRDefault="005F35AD" w:rsidP="00D535F9">
      <w:pPr>
        <w:pStyle w:val="Heading1"/>
        <w:framePr w:wrap="around"/>
      </w:pPr>
      <w:bookmarkStart w:id="13" w:name="_Toc45895464"/>
      <w:r w:rsidRPr="0052682E">
        <w:lastRenderedPageBreak/>
        <w:t xml:space="preserve">Appendix 1 </w:t>
      </w:r>
      <w:r>
        <w:t>–</w:t>
      </w:r>
      <w:r w:rsidRPr="0052682E">
        <w:t xml:space="preserve"> Evidence</w:t>
      </w:r>
      <w:r>
        <w:t xml:space="preserve"> </w:t>
      </w:r>
      <w:r w:rsidRPr="0052682E">
        <w:t xml:space="preserve">base for </w:t>
      </w:r>
      <w:r>
        <w:t>t</w:t>
      </w:r>
      <w:r w:rsidRPr="0052682E">
        <w:t>elehealth for select clinical cohorts</w:t>
      </w:r>
      <w:r>
        <w:t xml:space="preserve"> (as at May 2020)</w:t>
      </w:r>
      <w:bookmarkEnd w:id="13"/>
    </w:p>
    <w:tbl>
      <w:tblPr>
        <w:tblStyle w:val="TableGrid"/>
        <w:tblW w:w="0" w:type="auto"/>
        <w:tblLayout w:type="fixed"/>
        <w:tblLook w:val="04A0" w:firstRow="1" w:lastRow="0" w:firstColumn="1" w:lastColumn="0" w:noHBand="0" w:noVBand="1"/>
      </w:tblPr>
      <w:tblGrid>
        <w:gridCol w:w="1816"/>
        <w:gridCol w:w="1586"/>
        <w:gridCol w:w="1418"/>
        <w:gridCol w:w="5384"/>
      </w:tblGrid>
      <w:tr w:rsidR="00C835CD" w:rsidRPr="00983726" w14:paraId="3FA6F15C" w14:textId="77777777" w:rsidTr="003B6B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6" w:type="dxa"/>
          </w:tcPr>
          <w:p w14:paraId="7FE8A242" w14:textId="77777777" w:rsidR="005F35AD" w:rsidRPr="003B6B44" w:rsidRDefault="005F35AD" w:rsidP="00D535F9">
            <w:r w:rsidRPr="003B6B44">
              <w:t>Clinical cohort</w:t>
            </w:r>
          </w:p>
        </w:tc>
        <w:tc>
          <w:tcPr>
            <w:tcW w:w="1586" w:type="dxa"/>
          </w:tcPr>
          <w:p w14:paraId="1AA5AAA0" w14:textId="77777777" w:rsidR="005F35AD" w:rsidRPr="003B6B44" w:rsidRDefault="005F35AD" w:rsidP="00D535F9">
            <w:pPr>
              <w:cnfStyle w:val="100000000000" w:firstRow="1" w:lastRow="0" w:firstColumn="0" w:lastColumn="0" w:oddVBand="0" w:evenVBand="0" w:oddHBand="0" w:evenHBand="0" w:firstRowFirstColumn="0" w:firstRowLastColumn="0" w:lastRowFirstColumn="0" w:lastRowLastColumn="0"/>
            </w:pPr>
            <w:r w:rsidRPr="003B6B44">
              <w:t>Author/s</w:t>
            </w:r>
          </w:p>
        </w:tc>
        <w:tc>
          <w:tcPr>
            <w:tcW w:w="0" w:type="dxa"/>
          </w:tcPr>
          <w:p w14:paraId="608F7E49" w14:textId="77777777" w:rsidR="005F35AD" w:rsidRPr="003B6B44" w:rsidRDefault="005F35AD" w:rsidP="00D535F9">
            <w:pPr>
              <w:cnfStyle w:val="100000000000" w:firstRow="1" w:lastRow="0" w:firstColumn="0" w:lastColumn="0" w:oddVBand="0" w:evenVBand="0" w:oddHBand="0" w:evenHBand="0" w:firstRowFirstColumn="0" w:firstRowLastColumn="0" w:lastRowFirstColumn="0" w:lastRowLastColumn="0"/>
            </w:pPr>
            <w:r w:rsidRPr="003B6B44">
              <w:t>Level of evidence</w:t>
            </w:r>
          </w:p>
        </w:tc>
        <w:tc>
          <w:tcPr>
            <w:tcW w:w="5384" w:type="dxa"/>
          </w:tcPr>
          <w:p w14:paraId="7BEC9F44" w14:textId="77777777" w:rsidR="005F35AD" w:rsidRPr="003B6B44" w:rsidRDefault="005F35AD" w:rsidP="00D535F9">
            <w:pPr>
              <w:cnfStyle w:val="100000000000" w:firstRow="1" w:lastRow="0" w:firstColumn="0" w:lastColumn="0" w:oddVBand="0" w:evenVBand="0" w:oddHBand="0" w:evenHBand="0" w:firstRowFirstColumn="0" w:firstRowLastColumn="0" w:lastRowFirstColumn="0" w:lastRowLastColumn="0"/>
            </w:pPr>
            <w:r w:rsidRPr="003B6B44">
              <w:t>Study conclusions</w:t>
            </w:r>
          </w:p>
        </w:tc>
      </w:tr>
      <w:tr w:rsidR="005F35AD" w:rsidRPr="00D535F9" w14:paraId="4EEB13FD" w14:textId="77777777" w:rsidTr="003B6B44">
        <w:tc>
          <w:tcPr>
            <w:cnfStyle w:val="001000000000" w:firstRow="0" w:lastRow="0" w:firstColumn="1" w:lastColumn="0" w:oddVBand="0" w:evenVBand="0" w:oddHBand="0" w:evenHBand="0" w:firstRowFirstColumn="0" w:firstRowLastColumn="0" w:lastRowFirstColumn="0" w:lastRowLastColumn="0"/>
            <w:tcW w:w="1816" w:type="dxa"/>
          </w:tcPr>
          <w:p w14:paraId="0286216E" w14:textId="77777777" w:rsidR="005F35AD" w:rsidRPr="00D535F9" w:rsidRDefault="005F35AD" w:rsidP="00D535F9">
            <w:pPr>
              <w:spacing w:before="60" w:line="240" w:lineRule="atLeast"/>
              <w:rPr>
                <w:sz w:val="18"/>
                <w:szCs w:val="18"/>
              </w:rPr>
            </w:pPr>
            <w:r w:rsidRPr="00D535F9">
              <w:rPr>
                <w:sz w:val="18"/>
                <w:szCs w:val="18"/>
              </w:rPr>
              <w:t>Asthma</w:t>
            </w:r>
          </w:p>
        </w:tc>
        <w:tc>
          <w:tcPr>
            <w:tcW w:w="1586" w:type="dxa"/>
          </w:tcPr>
          <w:p w14:paraId="6EBD259E"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Kew &amp; Cates (2016)</w:t>
            </w:r>
          </w:p>
        </w:tc>
        <w:tc>
          <w:tcPr>
            <w:tcW w:w="1418" w:type="dxa"/>
          </w:tcPr>
          <w:p w14:paraId="69590221"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16B393C4" w14:textId="46094286"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Evidence does not demonstrate any important differences between face</w:t>
            </w:r>
            <w:r w:rsidRPr="00D535F9">
              <w:rPr>
                <w:rFonts w:ascii="Cambria Math" w:hAnsi="Cambria Math" w:cs="Cambria Math"/>
                <w:sz w:val="18"/>
                <w:szCs w:val="18"/>
              </w:rPr>
              <w:t>‐</w:t>
            </w:r>
            <w:r w:rsidRPr="00D535F9">
              <w:rPr>
                <w:sz w:val="18"/>
                <w:szCs w:val="18"/>
              </w:rPr>
              <w:t>to</w:t>
            </w:r>
            <w:r w:rsidRPr="00D535F9">
              <w:rPr>
                <w:rFonts w:ascii="Cambria Math" w:hAnsi="Cambria Math" w:cs="Cambria Math"/>
                <w:sz w:val="18"/>
                <w:szCs w:val="18"/>
              </w:rPr>
              <w:t>‐</w:t>
            </w:r>
            <w:r w:rsidRPr="00D535F9">
              <w:rPr>
                <w:sz w:val="18"/>
                <w:szCs w:val="18"/>
              </w:rPr>
              <w:t>face and remote asthma check</w:t>
            </w:r>
            <w:r w:rsidRPr="00D535F9">
              <w:rPr>
                <w:rFonts w:ascii="Cambria Math" w:hAnsi="Cambria Math" w:cs="Cambria Math"/>
                <w:sz w:val="18"/>
                <w:szCs w:val="18"/>
              </w:rPr>
              <w:t>‐</w:t>
            </w:r>
            <w:r w:rsidRPr="00D535F9">
              <w:rPr>
                <w:sz w:val="18"/>
                <w:szCs w:val="18"/>
              </w:rPr>
              <w:t>ups in terms of exacerbations, asthma control</w:t>
            </w:r>
            <w:r w:rsidR="00D538EB" w:rsidRPr="00D535F9">
              <w:rPr>
                <w:sz w:val="18"/>
                <w:szCs w:val="18"/>
              </w:rPr>
              <w:t>,</w:t>
            </w:r>
            <w:r w:rsidRPr="00D535F9">
              <w:rPr>
                <w:sz w:val="18"/>
                <w:szCs w:val="18"/>
              </w:rPr>
              <w:t xml:space="preserve"> or quality of life.</w:t>
            </w:r>
          </w:p>
          <w:p w14:paraId="02388FA3" w14:textId="77777777"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 xml:space="preserve">Insufficient information to determine </w:t>
            </w:r>
            <w:proofErr w:type="gramStart"/>
            <w:r w:rsidRPr="00D535F9">
              <w:rPr>
                <w:sz w:val="18"/>
                <w:szCs w:val="18"/>
              </w:rPr>
              <w:t>whether or not</w:t>
            </w:r>
            <w:proofErr w:type="gramEnd"/>
            <w:r w:rsidRPr="00D535F9">
              <w:rPr>
                <w:sz w:val="18"/>
                <w:szCs w:val="18"/>
              </w:rPr>
              <w:t xml:space="preserve"> remote asthma check</w:t>
            </w:r>
            <w:r w:rsidRPr="00D535F9">
              <w:rPr>
                <w:rFonts w:ascii="Cambria Math" w:hAnsi="Cambria Math" w:cs="Cambria Math"/>
                <w:sz w:val="18"/>
                <w:szCs w:val="18"/>
              </w:rPr>
              <w:t>‐</w:t>
            </w:r>
            <w:r w:rsidRPr="00D535F9">
              <w:rPr>
                <w:sz w:val="18"/>
                <w:szCs w:val="18"/>
              </w:rPr>
              <w:t>ups are as safe as face</w:t>
            </w:r>
            <w:r w:rsidRPr="00D535F9">
              <w:rPr>
                <w:rFonts w:ascii="Cambria Math" w:hAnsi="Cambria Math" w:cs="Cambria Math"/>
                <w:sz w:val="18"/>
                <w:szCs w:val="18"/>
              </w:rPr>
              <w:t>‐</w:t>
            </w:r>
            <w:r w:rsidRPr="00D535F9">
              <w:rPr>
                <w:sz w:val="18"/>
                <w:szCs w:val="18"/>
              </w:rPr>
              <w:t>to</w:t>
            </w:r>
            <w:r w:rsidRPr="00D535F9">
              <w:rPr>
                <w:rFonts w:ascii="Cambria Math" w:hAnsi="Cambria Math" w:cs="Cambria Math"/>
                <w:sz w:val="18"/>
                <w:szCs w:val="18"/>
              </w:rPr>
              <w:t>‐</w:t>
            </w:r>
            <w:r w:rsidRPr="00D535F9">
              <w:rPr>
                <w:sz w:val="18"/>
                <w:szCs w:val="18"/>
              </w:rPr>
              <w:t>face alternatives.</w:t>
            </w:r>
          </w:p>
        </w:tc>
      </w:tr>
      <w:tr w:rsidR="005F35AD" w:rsidRPr="00D535F9" w14:paraId="78DE65BD" w14:textId="77777777" w:rsidTr="003B6B44">
        <w:tc>
          <w:tcPr>
            <w:cnfStyle w:val="001000000000" w:firstRow="0" w:lastRow="0" w:firstColumn="1" w:lastColumn="0" w:oddVBand="0" w:evenVBand="0" w:oddHBand="0" w:evenHBand="0" w:firstRowFirstColumn="0" w:firstRowLastColumn="0" w:lastRowFirstColumn="0" w:lastRowLastColumn="0"/>
            <w:tcW w:w="1816" w:type="dxa"/>
          </w:tcPr>
          <w:p w14:paraId="2B6ABE76" w14:textId="64755A96" w:rsidR="005F35AD" w:rsidRPr="00D535F9" w:rsidRDefault="005F35AD" w:rsidP="00D535F9">
            <w:pPr>
              <w:spacing w:before="60" w:line="240" w:lineRule="atLeast"/>
              <w:rPr>
                <w:sz w:val="18"/>
                <w:szCs w:val="18"/>
              </w:rPr>
            </w:pPr>
            <w:r w:rsidRPr="00D535F9">
              <w:rPr>
                <w:sz w:val="18"/>
                <w:szCs w:val="18"/>
              </w:rPr>
              <w:t xml:space="preserve">Chronic </w:t>
            </w:r>
            <w:r w:rsidR="0024093F" w:rsidRPr="00D535F9">
              <w:rPr>
                <w:sz w:val="18"/>
                <w:szCs w:val="18"/>
              </w:rPr>
              <w:t>obstructive pulmonary disease</w:t>
            </w:r>
          </w:p>
        </w:tc>
        <w:tc>
          <w:tcPr>
            <w:tcW w:w="1586" w:type="dxa"/>
          </w:tcPr>
          <w:p w14:paraId="39196E6A"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535F9">
              <w:rPr>
                <w:sz w:val="18"/>
                <w:szCs w:val="18"/>
              </w:rPr>
              <w:t>Lundell</w:t>
            </w:r>
            <w:proofErr w:type="spellEnd"/>
            <w:r w:rsidRPr="00D535F9">
              <w:rPr>
                <w:sz w:val="18"/>
                <w:szCs w:val="18"/>
              </w:rPr>
              <w:t xml:space="preserve">, </w:t>
            </w:r>
            <w:proofErr w:type="spellStart"/>
            <w:r w:rsidRPr="00D535F9">
              <w:rPr>
                <w:sz w:val="18"/>
                <w:szCs w:val="18"/>
              </w:rPr>
              <w:t>Holmner</w:t>
            </w:r>
            <w:proofErr w:type="spellEnd"/>
            <w:r w:rsidRPr="00D535F9">
              <w:rPr>
                <w:sz w:val="18"/>
                <w:szCs w:val="18"/>
              </w:rPr>
              <w:t xml:space="preserve">, Rehn, Nyberg &amp; </w:t>
            </w:r>
            <w:proofErr w:type="spellStart"/>
            <w:r w:rsidRPr="00D535F9">
              <w:rPr>
                <w:sz w:val="18"/>
                <w:szCs w:val="18"/>
              </w:rPr>
              <w:t>Wadell</w:t>
            </w:r>
            <w:proofErr w:type="spellEnd"/>
            <w:r w:rsidRPr="00D535F9">
              <w:rPr>
                <w:sz w:val="18"/>
                <w:szCs w:val="18"/>
              </w:rPr>
              <w:t xml:space="preserve"> (2018)</w:t>
            </w:r>
          </w:p>
        </w:tc>
        <w:tc>
          <w:tcPr>
            <w:tcW w:w="1418" w:type="dxa"/>
          </w:tcPr>
          <w:p w14:paraId="1FAD9F2B"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62BFF31C" w14:textId="05211685"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From the combined analysis of nine randomised control studies (982 patients), a significant effect for physical activity levels was found for interventions delivered via telehealth.</w:t>
            </w:r>
            <w:r w:rsidR="00A91C21" w:rsidRPr="00D535F9">
              <w:rPr>
                <w:sz w:val="18"/>
                <w:szCs w:val="18"/>
              </w:rPr>
              <w:t xml:space="preserve"> </w:t>
            </w:r>
            <w:r w:rsidRPr="00D535F9">
              <w:rPr>
                <w:sz w:val="18"/>
                <w:szCs w:val="18"/>
              </w:rPr>
              <w:t>However</w:t>
            </w:r>
            <w:r w:rsidR="002B013C" w:rsidRPr="00D535F9">
              <w:rPr>
                <w:sz w:val="18"/>
                <w:szCs w:val="18"/>
              </w:rPr>
              <w:t>,</w:t>
            </w:r>
            <w:r w:rsidRPr="00D535F9">
              <w:rPr>
                <w:sz w:val="18"/>
                <w:szCs w:val="18"/>
              </w:rPr>
              <w:t xml:space="preserve"> there was no difference between groups for measures of physical capacity and </w:t>
            </w:r>
            <w:proofErr w:type="spellStart"/>
            <w:r w:rsidRPr="00D535F9">
              <w:rPr>
                <w:sz w:val="18"/>
                <w:szCs w:val="18"/>
              </w:rPr>
              <w:t>dyspnea</w:t>
            </w:r>
            <w:proofErr w:type="spellEnd"/>
            <w:r w:rsidRPr="00D535F9">
              <w:rPr>
                <w:sz w:val="18"/>
                <w:szCs w:val="18"/>
              </w:rPr>
              <w:t>.</w:t>
            </w:r>
          </w:p>
        </w:tc>
      </w:tr>
      <w:tr w:rsidR="005F35AD" w:rsidRPr="00D535F9" w14:paraId="6B0C5964" w14:textId="77777777" w:rsidTr="003B6B44">
        <w:tc>
          <w:tcPr>
            <w:cnfStyle w:val="001000000000" w:firstRow="0" w:lastRow="0" w:firstColumn="1" w:lastColumn="0" w:oddVBand="0" w:evenVBand="0" w:oddHBand="0" w:evenHBand="0" w:firstRowFirstColumn="0" w:firstRowLastColumn="0" w:lastRowFirstColumn="0" w:lastRowLastColumn="0"/>
            <w:tcW w:w="1816" w:type="dxa"/>
          </w:tcPr>
          <w:p w14:paraId="06F20B6F" w14:textId="77777777" w:rsidR="005F35AD" w:rsidRPr="00D535F9" w:rsidRDefault="005F35AD" w:rsidP="00D535F9">
            <w:pPr>
              <w:spacing w:before="60" w:line="240" w:lineRule="atLeast"/>
              <w:rPr>
                <w:sz w:val="18"/>
                <w:szCs w:val="18"/>
              </w:rPr>
            </w:pPr>
            <w:r w:rsidRPr="00D535F9">
              <w:rPr>
                <w:sz w:val="18"/>
                <w:szCs w:val="18"/>
              </w:rPr>
              <w:t>HIV</w:t>
            </w:r>
          </w:p>
        </w:tc>
        <w:tc>
          <w:tcPr>
            <w:tcW w:w="1586" w:type="dxa"/>
          </w:tcPr>
          <w:p w14:paraId="0EAD59E6"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Gentry, van-</w:t>
            </w:r>
            <w:proofErr w:type="spellStart"/>
            <w:r w:rsidRPr="00D535F9">
              <w:rPr>
                <w:sz w:val="18"/>
                <w:szCs w:val="18"/>
              </w:rPr>
              <w:t>Velthoven</w:t>
            </w:r>
            <w:proofErr w:type="spellEnd"/>
            <w:r w:rsidRPr="00D535F9">
              <w:rPr>
                <w:sz w:val="18"/>
                <w:szCs w:val="18"/>
              </w:rPr>
              <w:t>, Tudor Car &amp; Car (2013)</w:t>
            </w:r>
          </w:p>
        </w:tc>
        <w:tc>
          <w:tcPr>
            <w:tcW w:w="1418" w:type="dxa"/>
          </w:tcPr>
          <w:p w14:paraId="2B5E855A"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642E9B65"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A limited evidence base supports the role of telephone interventions in improving medication adherence, reducing risky sexual behaviour, and reduc</w:t>
            </w:r>
            <w:bookmarkStart w:id="14" w:name="_GoBack"/>
            <w:bookmarkEnd w:id="14"/>
            <w:r w:rsidRPr="00D535F9">
              <w:rPr>
                <w:sz w:val="18"/>
                <w:szCs w:val="18"/>
              </w:rPr>
              <w:t>ing depressive and psychiatric symptoms.</w:t>
            </w:r>
          </w:p>
        </w:tc>
      </w:tr>
      <w:tr w:rsidR="005F35AD" w:rsidRPr="00D535F9" w14:paraId="32D86BCE" w14:textId="77777777" w:rsidTr="003B6B44">
        <w:tc>
          <w:tcPr>
            <w:cnfStyle w:val="001000000000" w:firstRow="0" w:lastRow="0" w:firstColumn="1" w:lastColumn="0" w:oddVBand="0" w:evenVBand="0" w:oddHBand="0" w:evenHBand="0" w:firstRowFirstColumn="0" w:firstRowLastColumn="0" w:lastRowFirstColumn="0" w:lastRowLastColumn="0"/>
            <w:tcW w:w="1816" w:type="dxa"/>
          </w:tcPr>
          <w:p w14:paraId="53CE3A27" w14:textId="77777777" w:rsidR="005F35AD" w:rsidRPr="00D535F9" w:rsidRDefault="005F35AD" w:rsidP="00D535F9">
            <w:pPr>
              <w:spacing w:before="60" w:line="240" w:lineRule="atLeast"/>
              <w:rPr>
                <w:sz w:val="18"/>
                <w:szCs w:val="18"/>
              </w:rPr>
            </w:pPr>
            <w:r w:rsidRPr="00D535F9">
              <w:rPr>
                <w:sz w:val="18"/>
                <w:szCs w:val="18"/>
              </w:rPr>
              <w:t>Malnutrition</w:t>
            </w:r>
          </w:p>
        </w:tc>
        <w:tc>
          <w:tcPr>
            <w:tcW w:w="1586" w:type="dxa"/>
          </w:tcPr>
          <w:p w14:paraId="2999C881"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Marx et al. (2018)</w:t>
            </w:r>
          </w:p>
        </w:tc>
        <w:tc>
          <w:tcPr>
            <w:tcW w:w="1418" w:type="dxa"/>
          </w:tcPr>
          <w:p w14:paraId="0BADCAA4"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2543BDE3"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Malnutrition-focused telehealth interventions were found to improve protein intake and quality of life measures in older adults at a statistically significant level.</w:t>
            </w:r>
          </w:p>
        </w:tc>
      </w:tr>
      <w:tr w:rsidR="005F35AD" w:rsidRPr="00D535F9" w14:paraId="6D9B757F" w14:textId="77777777" w:rsidTr="003B6B44">
        <w:tc>
          <w:tcPr>
            <w:cnfStyle w:val="001000000000" w:firstRow="0" w:lastRow="0" w:firstColumn="1" w:lastColumn="0" w:oddVBand="0" w:evenVBand="0" w:oddHBand="0" w:evenHBand="0" w:firstRowFirstColumn="0" w:firstRowLastColumn="0" w:lastRowFirstColumn="0" w:lastRowLastColumn="0"/>
            <w:tcW w:w="1816" w:type="dxa"/>
          </w:tcPr>
          <w:p w14:paraId="33AC9C79" w14:textId="77777777" w:rsidR="005F35AD" w:rsidRPr="00D535F9" w:rsidRDefault="005F35AD" w:rsidP="00D535F9">
            <w:pPr>
              <w:spacing w:before="60" w:line="240" w:lineRule="atLeast"/>
              <w:rPr>
                <w:sz w:val="18"/>
                <w:szCs w:val="18"/>
              </w:rPr>
            </w:pPr>
            <w:r w:rsidRPr="00D535F9">
              <w:rPr>
                <w:sz w:val="18"/>
                <w:szCs w:val="18"/>
              </w:rPr>
              <w:t>Musculoskeletal conditions</w:t>
            </w:r>
          </w:p>
        </w:tc>
        <w:tc>
          <w:tcPr>
            <w:tcW w:w="1586" w:type="dxa"/>
          </w:tcPr>
          <w:p w14:paraId="7FFB913D"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Cottrell, Galea, O’Leary, Hill &amp; Russell (2017)</w:t>
            </w:r>
          </w:p>
        </w:tc>
        <w:tc>
          <w:tcPr>
            <w:tcW w:w="1418" w:type="dxa"/>
          </w:tcPr>
          <w:p w14:paraId="70FFD5B5"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21B66709" w14:textId="2C439EFF"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Analysis of 13 studies suggests telerehabilitation plus usual care, compared to usual care alone, is associated with improved physical function.</w:t>
            </w:r>
            <w:r w:rsidR="00A91C21" w:rsidRPr="00D535F9">
              <w:rPr>
                <w:sz w:val="18"/>
                <w:szCs w:val="18"/>
              </w:rPr>
              <w:t xml:space="preserve"> </w:t>
            </w:r>
            <w:r w:rsidRPr="00D535F9">
              <w:rPr>
                <w:sz w:val="18"/>
                <w:szCs w:val="18"/>
              </w:rPr>
              <w:t>However, pain measures remained comparable between the two cohorts.</w:t>
            </w:r>
          </w:p>
        </w:tc>
      </w:tr>
      <w:tr w:rsidR="005F35AD" w:rsidRPr="00D535F9" w14:paraId="5756A786" w14:textId="77777777" w:rsidTr="003B6B44">
        <w:tc>
          <w:tcPr>
            <w:cnfStyle w:val="001000000000" w:firstRow="0" w:lastRow="0" w:firstColumn="1" w:lastColumn="0" w:oddVBand="0" w:evenVBand="0" w:oddHBand="0" w:evenHBand="0" w:firstRowFirstColumn="0" w:firstRowLastColumn="0" w:lastRowFirstColumn="0" w:lastRowLastColumn="0"/>
            <w:tcW w:w="1816" w:type="dxa"/>
            <w:vMerge w:val="restart"/>
          </w:tcPr>
          <w:p w14:paraId="7FF76FEF" w14:textId="39376F0F" w:rsidR="005F35AD" w:rsidRPr="00D535F9" w:rsidRDefault="005F35AD" w:rsidP="00D535F9">
            <w:pPr>
              <w:spacing w:before="60" w:line="240" w:lineRule="atLeast"/>
              <w:rPr>
                <w:sz w:val="18"/>
                <w:szCs w:val="18"/>
              </w:rPr>
            </w:pPr>
            <w:r w:rsidRPr="00D535F9">
              <w:rPr>
                <w:sz w:val="18"/>
                <w:szCs w:val="18"/>
              </w:rPr>
              <w:t>Nutrition</w:t>
            </w:r>
            <w:r w:rsidR="0024093F" w:rsidRPr="00D535F9">
              <w:rPr>
                <w:sz w:val="18"/>
                <w:szCs w:val="18"/>
              </w:rPr>
              <w:t>-</w:t>
            </w:r>
            <w:r w:rsidRPr="00D535F9">
              <w:rPr>
                <w:sz w:val="18"/>
                <w:szCs w:val="18"/>
              </w:rPr>
              <w:t>related chronic disease</w:t>
            </w:r>
          </w:p>
        </w:tc>
        <w:tc>
          <w:tcPr>
            <w:tcW w:w="1586" w:type="dxa"/>
          </w:tcPr>
          <w:p w14:paraId="528E2C1E"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 xml:space="preserve">Kelly, </w:t>
            </w:r>
            <w:proofErr w:type="spellStart"/>
            <w:r w:rsidRPr="00D535F9">
              <w:rPr>
                <w:sz w:val="18"/>
                <w:szCs w:val="18"/>
              </w:rPr>
              <w:t>Reidlinger</w:t>
            </w:r>
            <w:proofErr w:type="spellEnd"/>
            <w:r w:rsidRPr="00D535F9">
              <w:rPr>
                <w:sz w:val="18"/>
                <w:szCs w:val="18"/>
              </w:rPr>
              <w:t>, Hoffman &amp; Campbell (2016)</w:t>
            </w:r>
          </w:p>
        </w:tc>
        <w:tc>
          <w:tcPr>
            <w:tcW w:w="1418" w:type="dxa"/>
          </w:tcPr>
          <w:p w14:paraId="333F6453"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21F88D6F" w14:textId="1EAC64CC"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Telehealth-delivered interventions for the adoption of complex dietary recommendations can improve diet quality, fruit and vegetable intake, and dietary sodium intake.</w:t>
            </w:r>
            <w:r w:rsidR="00A91C21" w:rsidRPr="00D535F9">
              <w:rPr>
                <w:sz w:val="18"/>
                <w:szCs w:val="18"/>
              </w:rPr>
              <w:t xml:space="preserve"> </w:t>
            </w:r>
            <w:r w:rsidRPr="00D535F9">
              <w:rPr>
                <w:sz w:val="18"/>
                <w:szCs w:val="18"/>
              </w:rPr>
              <w:t>However, uptake of single nutrients (total fat and energy consumption) was not improved by telehealth interventions.</w:t>
            </w:r>
          </w:p>
        </w:tc>
      </w:tr>
      <w:tr w:rsidR="005F35AD" w:rsidRPr="00D535F9" w14:paraId="39850AEB" w14:textId="77777777" w:rsidTr="003B6B44">
        <w:tc>
          <w:tcPr>
            <w:cnfStyle w:val="001000000000" w:firstRow="0" w:lastRow="0" w:firstColumn="1" w:lastColumn="0" w:oddVBand="0" w:evenVBand="0" w:oddHBand="0" w:evenHBand="0" w:firstRowFirstColumn="0" w:firstRowLastColumn="0" w:lastRowFirstColumn="0" w:lastRowLastColumn="0"/>
            <w:tcW w:w="1816" w:type="dxa"/>
            <w:vMerge/>
          </w:tcPr>
          <w:p w14:paraId="3265B578" w14:textId="77777777" w:rsidR="005F35AD" w:rsidRPr="00D535F9" w:rsidRDefault="005F35AD" w:rsidP="00D535F9">
            <w:pPr>
              <w:spacing w:before="60" w:line="240" w:lineRule="atLeast"/>
              <w:rPr>
                <w:sz w:val="18"/>
                <w:szCs w:val="18"/>
              </w:rPr>
            </w:pPr>
          </w:p>
        </w:tc>
        <w:tc>
          <w:tcPr>
            <w:tcW w:w="1586" w:type="dxa"/>
          </w:tcPr>
          <w:p w14:paraId="02EF84C1"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Goode, Reeves &amp; Eakin (2012)</w:t>
            </w:r>
          </w:p>
        </w:tc>
        <w:tc>
          <w:tcPr>
            <w:tcW w:w="1418" w:type="dxa"/>
          </w:tcPr>
          <w:p w14:paraId="39C49085"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44E8FED5"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Of 27 comparison studies of telephone-delivered interventions for activity and dietary behaviour change, 20 were found to include evidence for initiation of behaviour change. However, further studies are required regarding dissemination and dose response.</w:t>
            </w:r>
          </w:p>
        </w:tc>
      </w:tr>
      <w:tr w:rsidR="005F35AD" w:rsidRPr="00D535F9" w14:paraId="083B6C3A" w14:textId="77777777" w:rsidTr="003B6B44">
        <w:trPr>
          <w:trHeight w:val="584"/>
        </w:trPr>
        <w:tc>
          <w:tcPr>
            <w:cnfStyle w:val="001000000000" w:firstRow="0" w:lastRow="0" w:firstColumn="1" w:lastColumn="0" w:oddVBand="0" w:evenVBand="0" w:oddHBand="0" w:evenHBand="0" w:firstRowFirstColumn="0" w:firstRowLastColumn="0" w:lastRowFirstColumn="0" w:lastRowLastColumn="0"/>
            <w:tcW w:w="1816" w:type="dxa"/>
          </w:tcPr>
          <w:p w14:paraId="4000B589" w14:textId="77777777" w:rsidR="005F35AD" w:rsidRPr="00D535F9" w:rsidRDefault="005F35AD" w:rsidP="00D535F9">
            <w:pPr>
              <w:spacing w:before="60" w:line="240" w:lineRule="atLeast"/>
              <w:rPr>
                <w:sz w:val="18"/>
                <w:szCs w:val="18"/>
              </w:rPr>
            </w:pPr>
            <w:r w:rsidRPr="00D535F9">
              <w:rPr>
                <w:sz w:val="18"/>
                <w:szCs w:val="18"/>
              </w:rPr>
              <w:t>Renal</w:t>
            </w:r>
          </w:p>
        </w:tc>
        <w:tc>
          <w:tcPr>
            <w:tcW w:w="1586" w:type="dxa"/>
          </w:tcPr>
          <w:p w14:paraId="76410C47"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Stevenson et al. (2019)</w:t>
            </w:r>
          </w:p>
        </w:tc>
        <w:tc>
          <w:tcPr>
            <w:tcW w:w="1418" w:type="dxa"/>
          </w:tcPr>
          <w:p w14:paraId="3880F2E2"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45F2A1F1" w14:textId="56A3B17C"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The poor quality of studies included in the systematic review limits the ability to determine if e</w:t>
            </w:r>
            <w:r w:rsidR="00A00F78" w:rsidRPr="00D535F9">
              <w:rPr>
                <w:sz w:val="18"/>
                <w:szCs w:val="18"/>
              </w:rPr>
              <w:t>-h</w:t>
            </w:r>
            <w:r w:rsidRPr="00D535F9">
              <w:rPr>
                <w:sz w:val="18"/>
                <w:szCs w:val="18"/>
              </w:rPr>
              <w:t>ealth interventions lead to improved clinical and patient</w:t>
            </w:r>
            <w:r w:rsidRPr="00D535F9">
              <w:rPr>
                <w:rFonts w:ascii="Cambria Math" w:hAnsi="Cambria Math" w:cs="Cambria Math"/>
                <w:sz w:val="18"/>
                <w:szCs w:val="18"/>
              </w:rPr>
              <w:t>‐</w:t>
            </w:r>
            <w:r w:rsidRPr="00D535F9">
              <w:rPr>
                <w:sz w:val="18"/>
                <w:szCs w:val="18"/>
              </w:rPr>
              <w:t>centred outcomes as compared with usual care.</w:t>
            </w:r>
          </w:p>
        </w:tc>
      </w:tr>
      <w:tr w:rsidR="005F35AD" w:rsidRPr="00D535F9" w14:paraId="0850D52E" w14:textId="77777777" w:rsidTr="00F72710">
        <w:trPr>
          <w:cantSplit/>
        </w:trPr>
        <w:tc>
          <w:tcPr>
            <w:cnfStyle w:val="001000000000" w:firstRow="0" w:lastRow="0" w:firstColumn="1" w:lastColumn="0" w:oddVBand="0" w:evenVBand="0" w:oddHBand="0" w:evenHBand="0" w:firstRowFirstColumn="0" w:firstRowLastColumn="0" w:lastRowFirstColumn="0" w:lastRowLastColumn="0"/>
            <w:tcW w:w="1816" w:type="dxa"/>
          </w:tcPr>
          <w:p w14:paraId="6AB3A018" w14:textId="77777777" w:rsidR="005F35AD" w:rsidRPr="00D535F9" w:rsidRDefault="005F35AD" w:rsidP="00D535F9">
            <w:pPr>
              <w:spacing w:before="60" w:line="240" w:lineRule="atLeast"/>
              <w:rPr>
                <w:sz w:val="18"/>
                <w:szCs w:val="18"/>
              </w:rPr>
            </w:pPr>
            <w:r w:rsidRPr="00D535F9">
              <w:rPr>
                <w:sz w:val="18"/>
                <w:szCs w:val="18"/>
              </w:rPr>
              <w:lastRenderedPageBreak/>
              <w:t>Stroke</w:t>
            </w:r>
          </w:p>
        </w:tc>
        <w:tc>
          <w:tcPr>
            <w:tcW w:w="1586" w:type="dxa"/>
          </w:tcPr>
          <w:p w14:paraId="0811AD50"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Laver et al. (2020)</w:t>
            </w:r>
          </w:p>
        </w:tc>
        <w:tc>
          <w:tcPr>
            <w:tcW w:w="1418" w:type="dxa"/>
          </w:tcPr>
          <w:p w14:paraId="29327B74"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10B6DD1F" w14:textId="77777777"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Difficult to draw conclusions on effectiveness owing to significant variation in the interventions and few adequately powered studies.</w:t>
            </w:r>
          </w:p>
          <w:p w14:paraId="524DA8C8" w14:textId="60DCD7E8"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Studies comparing telehealth approaches within usual care in-person rehabilitation have not demonstrated significant</w:t>
            </w:r>
            <w:r w:rsidR="00A91C21" w:rsidRPr="00D535F9">
              <w:rPr>
                <w:sz w:val="18"/>
                <w:szCs w:val="18"/>
              </w:rPr>
              <w:t xml:space="preserve"> </w:t>
            </w:r>
            <w:r w:rsidRPr="00D535F9">
              <w:rPr>
                <w:sz w:val="18"/>
                <w:szCs w:val="18"/>
              </w:rPr>
              <w:t>differences between groups, suggesting that telehealth is not inferior.</w:t>
            </w:r>
          </w:p>
        </w:tc>
      </w:tr>
      <w:tr w:rsidR="005F35AD" w:rsidRPr="00D535F9" w14:paraId="35A4441B" w14:textId="77777777" w:rsidTr="003B6B44">
        <w:tc>
          <w:tcPr>
            <w:cnfStyle w:val="001000000000" w:firstRow="0" w:lastRow="0" w:firstColumn="1" w:lastColumn="0" w:oddVBand="0" w:evenVBand="0" w:oddHBand="0" w:evenHBand="0" w:firstRowFirstColumn="0" w:firstRowLastColumn="0" w:lastRowFirstColumn="0" w:lastRowLastColumn="0"/>
            <w:tcW w:w="1816" w:type="dxa"/>
            <w:vMerge w:val="restart"/>
          </w:tcPr>
          <w:p w14:paraId="4472A57C" w14:textId="77777777" w:rsidR="005F35AD" w:rsidRPr="00D535F9" w:rsidRDefault="005F35AD" w:rsidP="00D535F9">
            <w:pPr>
              <w:spacing w:before="60" w:line="240" w:lineRule="atLeast"/>
              <w:rPr>
                <w:sz w:val="18"/>
                <w:szCs w:val="18"/>
              </w:rPr>
            </w:pPr>
            <w:r w:rsidRPr="00D535F9">
              <w:rPr>
                <w:sz w:val="18"/>
                <w:szCs w:val="18"/>
              </w:rPr>
              <w:t>Weight management</w:t>
            </w:r>
          </w:p>
        </w:tc>
        <w:tc>
          <w:tcPr>
            <w:tcW w:w="1586" w:type="dxa"/>
          </w:tcPr>
          <w:p w14:paraId="7D437204"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Appel et al. (2011)</w:t>
            </w:r>
          </w:p>
        </w:tc>
        <w:tc>
          <w:tcPr>
            <w:tcW w:w="1418" w:type="dxa"/>
          </w:tcPr>
          <w:p w14:paraId="1F79F9D8"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Randomised control trial</w:t>
            </w:r>
          </w:p>
        </w:tc>
        <w:tc>
          <w:tcPr>
            <w:tcW w:w="5384" w:type="dxa"/>
          </w:tcPr>
          <w:p w14:paraId="257286A6"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Results of the randomised control trial comparing participants receiving a remote telehealth or face-to-face weight loss support program indicated that both participant groups were able to sustain clinically significant weight loss over a 24-month period.</w:t>
            </w:r>
          </w:p>
        </w:tc>
      </w:tr>
      <w:tr w:rsidR="005F35AD" w:rsidRPr="00D535F9" w14:paraId="52BB3990" w14:textId="77777777" w:rsidTr="003B6B44">
        <w:tc>
          <w:tcPr>
            <w:cnfStyle w:val="001000000000" w:firstRow="0" w:lastRow="0" w:firstColumn="1" w:lastColumn="0" w:oddVBand="0" w:evenVBand="0" w:oddHBand="0" w:evenHBand="0" w:firstRowFirstColumn="0" w:firstRowLastColumn="0" w:lastRowFirstColumn="0" w:lastRowLastColumn="0"/>
            <w:tcW w:w="1816" w:type="dxa"/>
            <w:vMerge/>
          </w:tcPr>
          <w:p w14:paraId="79D58351" w14:textId="77777777" w:rsidR="005F35AD" w:rsidRPr="00D535F9" w:rsidRDefault="005F35AD" w:rsidP="00D535F9">
            <w:pPr>
              <w:spacing w:before="60" w:line="240" w:lineRule="atLeast"/>
              <w:rPr>
                <w:sz w:val="18"/>
                <w:szCs w:val="18"/>
              </w:rPr>
            </w:pPr>
            <w:bookmarkStart w:id="15" w:name="_Hlk40955662"/>
          </w:p>
        </w:tc>
        <w:tc>
          <w:tcPr>
            <w:tcW w:w="1586" w:type="dxa"/>
          </w:tcPr>
          <w:p w14:paraId="0F1BAD85"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535F9">
              <w:rPr>
                <w:sz w:val="18"/>
                <w:szCs w:val="18"/>
              </w:rPr>
              <w:t>Hutchesson</w:t>
            </w:r>
            <w:proofErr w:type="spellEnd"/>
            <w:r w:rsidRPr="00D535F9">
              <w:rPr>
                <w:sz w:val="18"/>
                <w:szCs w:val="18"/>
              </w:rPr>
              <w:t xml:space="preserve"> et al. (2015)</w:t>
            </w:r>
          </w:p>
        </w:tc>
        <w:tc>
          <w:tcPr>
            <w:tcW w:w="1418" w:type="dxa"/>
          </w:tcPr>
          <w:p w14:paraId="33DC7ACB" w14:textId="77777777" w:rsidR="005F35AD" w:rsidRPr="00D535F9" w:rsidRDefault="005F35AD" w:rsidP="00D535F9">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Systematic review</w:t>
            </w:r>
          </w:p>
        </w:tc>
        <w:tc>
          <w:tcPr>
            <w:tcW w:w="5384" w:type="dxa"/>
          </w:tcPr>
          <w:p w14:paraId="2C5F8F6B" w14:textId="12165C37"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Findings support the use of e</w:t>
            </w:r>
            <w:r w:rsidR="000F3C47" w:rsidRPr="00D535F9">
              <w:rPr>
                <w:sz w:val="18"/>
                <w:szCs w:val="18"/>
              </w:rPr>
              <w:t>-h</w:t>
            </w:r>
            <w:r w:rsidRPr="00D535F9">
              <w:rPr>
                <w:sz w:val="18"/>
                <w:szCs w:val="18"/>
              </w:rPr>
              <w:t xml:space="preserve">ealth interventions as a treatment option for obesity (as compared to control or minimal interventions), </w:t>
            </w:r>
            <w:proofErr w:type="gramStart"/>
            <w:r w:rsidRPr="00D535F9">
              <w:rPr>
                <w:sz w:val="18"/>
                <w:szCs w:val="18"/>
              </w:rPr>
              <w:t>and also</w:t>
            </w:r>
            <w:proofErr w:type="gramEnd"/>
            <w:r w:rsidRPr="00D535F9">
              <w:rPr>
                <w:sz w:val="18"/>
                <w:szCs w:val="18"/>
              </w:rPr>
              <w:t xml:space="preserve"> suggest e</w:t>
            </w:r>
            <w:r w:rsidR="000F3C47" w:rsidRPr="00D535F9">
              <w:rPr>
                <w:sz w:val="18"/>
                <w:szCs w:val="18"/>
              </w:rPr>
              <w:t>-h</w:t>
            </w:r>
            <w:r w:rsidRPr="00D535F9">
              <w:rPr>
                <w:sz w:val="18"/>
                <w:szCs w:val="18"/>
              </w:rPr>
              <w:t>ealth weight loss interventions are more effective when they include multiple technologies.</w:t>
            </w:r>
          </w:p>
          <w:p w14:paraId="690DD542" w14:textId="68FCAC06" w:rsidR="005F35AD" w:rsidRPr="00D535F9" w:rsidRDefault="005F35AD" w:rsidP="00D535F9">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D535F9">
              <w:rPr>
                <w:sz w:val="18"/>
                <w:szCs w:val="18"/>
              </w:rPr>
              <w:t xml:space="preserve">However, there is insufficient evidence as to the </w:t>
            </w:r>
            <w:proofErr w:type="gramStart"/>
            <w:r w:rsidRPr="00D535F9">
              <w:rPr>
                <w:sz w:val="18"/>
                <w:szCs w:val="18"/>
              </w:rPr>
              <w:t>longer term</w:t>
            </w:r>
            <w:proofErr w:type="gramEnd"/>
            <w:r w:rsidRPr="00D535F9">
              <w:rPr>
                <w:sz w:val="18"/>
                <w:szCs w:val="18"/>
              </w:rPr>
              <w:t xml:space="preserve"> effectiveness of e</w:t>
            </w:r>
            <w:r w:rsidR="000F3C47" w:rsidRPr="00D535F9">
              <w:rPr>
                <w:sz w:val="18"/>
                <w:szCs w:val="18"/>
              </w:rPr>
              <w:t>-h</w:t>
            </w:r>
            <w:r w:rsidRPr="00D535F9">
              <w:rPr>
                <w:sz w:val="18"/>
                <w:szCs w:val="18"/>
              </w:rPr>
              <w:t>ealth interventions for weight loss maintenance.</w:t>
            </w:r>
          </w:p>
        </w:tc>
      </w:tr>
      <w:bookmarkEnd w:id="15"/>
    </w:tbl>
    <w:p w14:paraId="6744A9D4" w14:textId="77777777" w:rsidR="00A671C3" w:rsidRPr="00A671C3" w:rsidRDefault="00A671C3" w:rsidP="00D535F9"/>
    <w:p w14:paraId="4674215F" w14:textId="77777777" w:rsidR="00FE25D0" w:rsidRDefault="00FE25D0" w:rsidP="00D535F9">
      <w:pPr>
        <w:rPr>
          <w:noProof/>
          <w:lang w:eastAsia="en-US"/>
        </w:rPr>
      </w:pPr>
    </w:p>
    <w:p w14:paraId="51B4E26A" w14:textId="77777777" w:rsidR="0064798F" w:rsidRDefault="0064798F" w:rsidP="00D535F9">
      <w:pPr>
        <w:rPr>
          <w:noProof/>
          <w:lang w:eastAsia="en-US"/>
        </w:rPr>
        <w:sectPr w:rsidR="0064798F" w:rsidSect="003B6B44">
          <w:pgSz w:w="11906" w:h="16838" w:code="9"/>
          <w:pgMar w:top="3402" w:right="851" w:bottom="1361" w:left="851" w:header="539" w:footer="624" w:gutter="0"/>
          <w:cols w:space="284"/>
          <w:docGrid w:linePitch="360"/>
        </w:sectPr>
      </w:pPr>
    </w:p>
    <w:p w14:paraId="1FD83AAF" w14:textId="77777777" w:rsidR="00727C45" w:rsidRDefault="00727C45" w:rsidP="00D535F9">
      <w:r>
        <w:rPr>
          <w:noProof/>
        </w:rPr>
        <w:lastRenderedPageBreak/>
        <w:drawing>
          <wp:anchor distT="0" distB="0" distL="114300" distR="114300" simplePos="0" relativeHeight="251652096" behindDoc="1" locked="0" layoutInCell="1" allowOverlap="1" wp14:anchorId="5CBFD87A" wp14:editId="55265F62">
            <wp:simplePos x="0" y="0"/>
            <wp:positionH relativeFrom="page">
              <wp:posOffset>0</wp:posOffset>
            </wp:positionH>
            <wp:positionV relativeFrom="page">
              <wp:posOffset>0</wp:posOffset>
            </wp:positionV>
            <wp:extent cx="7559675" cy="10691495"/>
            <wp:effectExtent l="0" t="0" r="3175" b="0"/>
            <wp:wrapTopAndBottom/>
            <wp:docPr id="4" name="back 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D84D2D">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6A52" w14:textId="77777777" w:rsidR="008452F4" w:rsidRDefault="008452F4" w:rsidP="00D535F9">
      <w:r>
        <w:separator/>
      </w:r>
    </w:p>
  </w:endnote>
  <w:endnote w:type="continuationSeparator" w:id="0">
    <w:p w14:paraId="36BD5F8A" w14:textId="77777777" w:rsidR="008452F4" w:rsidRDefault="008452F4" w:rsidP="00D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07F7" w14:textId="77777777" w:rsidR="00F80678" w:rsidRDefault="00F80678" w:rsidP="00D535F9">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Allied health and telehealth</w:t>
        </w:r>
      </w:sdtContent>
    </w:sdt>
    <w:r>
      <w:t xml:space="preserve"> </w:t>
    </w:r>
    <w:r>
      <w:drawing>
        <wp:anchor distT="0" distB="0" distL="114300" distR="114300" simplePos="0" relativeHeight="251675648" behindDoc="0" locked="0" layoutInCell="1" allowOverlap="1" wp14:anchorId="0E71309B" wp14:editId="27625F49">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8A26545" w14:textId="77777777" w:rsidR="00F80678" w:rsidRPr="002A5891" w:rsidRDefault="00F80678" w:rsidP="00D5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3E77" w14:textId="77777777" w:rsidR="00F80678" w:rsidRDefault="00D535F9" w:rsidP="00D535F9">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F80678">
          <w:t>Allied health and telehealth</w:t>
        </w:r>
      </w:sdtContent>
    </w:sdt>
    <w:r w:rsidR="00F80678">
      <w:t> </w:t>
    </w:r>
    <w:r w:rsidR="00F80678">
      <w:t> </w:t>
    </w:r>
    <w:r w:rsidR="00F80678" w:rsidRPr="0097403D">
      <w:rPr>
        <w:b/>
      </w:rPr>
      <w:t>Safer Care Victoria</w:t>
    </w:r>
    <w:r w:rsidR="00F80678">
      <w:t> </w:t>
    </w:r>
    <w:r w:rsidR="00F80678">
      <w:t> </w:t>
    </w:r>
    <w:r w:rsidR="00F80678">
      <w:rPr>
        <w:noProof w:val="0"/>
      </w:rPr>
      <w:fldChar w:fldCharType="begin"/>
    </w:r>
    <w:r w:rsidR="00F80678">
      <w:instrText xml:space="preserve"> PAGE   \* MERGEFORMAT </w:instrText>
    </w:r>
    <w:r w:rsidR="00F80678">
      <w:rPr>
        <w:noProof w:val="0"/>
      </w:rPr>
      <w:fldChar w:fldCharType="separate"/>
    </w:r>
    <w:r w:rsidR="00F80678">
      <w:t>5</w:t>
    </w:r>
    <w:r w:rsidR="00F80678">
      <w:fldChar w:fldCharType="end"/>
    </w:r>
  </w:p>
  <w:p w14:paraId="0A494D46" w14:textId="77777777" w:rsidR="00F80678" w:rsidRPr="002A5891" w:rsidRDefault="00F80678" w:rsidP="00D5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E5DA" w14:textId="77777777" w:rsidR="00F80678" w:rsidRDefault="00F80678" w:rsidP="00D5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E79B6" w14:textId="77777777" w:rsidR="008452F4" w:rsidRDefault="008452F4" w:rsidP="00D535F9"/>
  </w:footnote>
  <w:footnote w:type="continuationSeparator" w:id="0">
    <w:p w14:paraId="3DCDE267" w14:textId="77777777" w:rsidR="008452F4" w:rsidRDefault="008452F4" w:rsidP="00D53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9D36" w14:textId="77777777" w:rsidR="00F80678" w:rsidRDefault="00F80678" w:rsidP="00D535F9">
    <w:pPr>
      <w:pStyle w:val="Header"/>
    </w:pPr>
    <w:r>
      <w:rPr>
        <w:noProof/>
      </w:rPr>
      <w:drawing>
        <wp:anchor distT="0" distB="0" distL="114300" distR="114300" simplePos="0" relativeHeight="251673600" behindDoc="1" locked="0" layoutInCell="1" allowOverlap="1" wp14:anchorId="0BEA8EBE" wp14:editId="4072C80B">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1CB2" w14:textId="77777777" w:rsidR="00F80678" w:rsidRDefault="00F80678" w:rsidP="0023694D">
    <w:pPr>
      <w:pStyle w:val="NoSpacing"/>
    </w:pPr>
    <w:r>
      <w:rPr>
        <w:noProof/>
      </w:rPr>
      <w:drawing>
        <wp:anchor distT="0" distB="0" distL="114300" distR="114300" simplePos="0" relativeHeight="251676672" behindDoc="1" locked="0" layoutInCell="1" allowOverlap="1" wp14:anchorId="03EE371C" wp14:editId="709AA1F3">
          <wp:simplePos x="542925" y="342900"/>
          <wp:positionH relativeFrom="page">
            <wp:align>left</wp:align>
          </wp:positionH>
          <wp:positionV relativeFrom="page">
            <wp:align>top</wp:align>
          </wp:positionV>
          <wp:extent cx="7560000" cy="10691587"/>
          <wp:effectExtent l="0" t="0" r="3175" b="0"/>
          <wp:wrapNone/>
          <wp:docPr id="2" name="Picture 2" descr="SCV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08A2" w14:textId="77777777" w:rsidR="00F80678" w:rsidRDefault="00F80678"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142"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AA448E18"/>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A473BF8"/>
    <w:multiLevelType w:val="hybridMultilevel"/>
    <w:tmpl w:val="CF8E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8F65F1"/>
    <w:multiLevelType w:val="hybridMultilevel"/>
    <w:tmpl w:val="4F7A5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3A1576"/>
    <w:multiLevelType w:val="hybridMultilevel"/>
    <w:tmpl w:val="0DD4C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5541CE6"/>
    <w:multiLevelType w:val="hybridMultilevel"/>
    <w:tmpl w:val="D910E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5F4081"/>
    <w:multiLevelType w:val="hybridMultilevel"/>
    <w:tmpl w:val="9A0AE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56013C"/>
    <w:multiLevelType w:val="hybridMultilevel"/>
    <w:tmpl w:val="A3E61FE8"/>
    <w:lvl w:ilvl="0" w:tplc="0928A5A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9E2953"/>
    <w:multiLevelType w:val="hybridMultilevel"/>
    <w:tmpl w:val="26666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14"/>
  </w:num>
  <w:num w:numId="5">
    <w:abstractNumId w:val="1"/>
  </w:num>
  <w:num w:numId="6">
    <w:abstractNumId w:val="4"/>
  </w:num>
  <w:num w:numId="7">
    <w:abstractNumId w:val="13"/>
  </w:num>
  <w:num w:numId="8">
    <w:abstractNumId w:val="3"/>
  </w:num>
  <w:num w:numId="9">
    <w:abstractNumId w:val="3"/>
  </w:num>
  <w:num w:numId="10">
    <w:abstractNumId w:val="2"/>
  </w:num>
  <w:num w:numId="11">
    <w:abstractNumId w:val="0"/>
  </w:num>
  <w:num w:numId="12">
    <w:abstractNumId w:val="11"/>
  </w:num>
  <w:num w:numId="13">
    <w:abstractNumId w:val="12"/>
  </w:num>
  <w:num w:numId="14">
    <w:abstractNumId w:val="9"/>
  </w:num>
  <w:num w:numId="15">
    <w:abstractNumId w:val="7"/>
  </w:num>
  <w:num w:numId="16">
    <w:abstractNumId w:val="8"/>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C8"/>
    <w:rsid w:val="00012F6F"/>
    <w:rsid w:val="00014213"/>
    <w:rsid w:val="00014B55"/>
    <w:rsid w:val="00020E3E"/>
    <w:rsid w:val="00023BF3"/>
    <w:rsid w:val="00026811"/>
    <w:rsid w:val="00034166"/>
    <w:rsid w:val="0004185E"/>
    <w:rsid w:val="000438D0"/>
    <w:rsid w:val="000442F0"/>
    <w:rsid w:val="00056988"/>
    <w:rsid w:val="00065A4F"/>
    <w:rsid w:val="00072279"/>
    <w:rsid w:val="00073407"/>
    <w:rsid w:val="00075E6C"/>
    <w:rsid w:val="00080A46"/>
    <w:rsid w:val="00081C12"/>
    <w:rsid w:val="00085BAC"/>
    <w:rsid w:val="00087D42"/>
    <w:rsid w:val="000B29AD"/>
    <w:rsid w:val="000C6372"/>
    <w:rsid w:val="000D0F95"/>
    <w:rsid w:val="000D7841"/>
    <w:rsid w:val="000E392D"/>
    <w:rsid w:val="000E39B6"/>
    <w:rsid w:val="000E3D05"/>
    <w:rsid w:val="000F3C47"/>
    <w:rsid w:val="000F4288"/>
    <w:rsid w:val="000F7165"/>
    <w:rsid w:val="00102379"/>
    <w:rsid w:val="00103722"/>
    <w:rsid w:val="001065D6"/>
    <w:rsid w:val="001068D5"/>
    <w:rsid w:val="0011444F"/>
    <w:rsid w:val="0012044F"/>
    <w:rsid w:val="00121252"/>
    <w:rsid w:val="00124609"/>
    <w:rsid w:val="001254CE"/>
    <w:rsid w:val="001422CC"/>
    <w:rsid w:val="00145346"/>
    <w:rsid w:val="00145E5E"/>
    <w:rsid w:val="001617B6"/>
    <w:rsid w:val="0016239F"/>
    <w:rsid w:val="00165E66"/>
    <w:rsid w:val="001746BC"/>
    <w:rsid w:val="001960C5"/>
    <w:rsid w:val="00196143"/>
    <w:rsid w:val="001A24FC"/>
    <w:rsid w:val="001B6F43"/>
    <w:rsid w:val="001C7BAE"/>
    <w:rsid w:val="001E31FA"/>
    <w:rsid w:val="001E48F9"/>
    <w:rsid w:val="001E614A"/>
    <w:rsid w:val="001E64F6"/>
    <w:rsid w:val="001E7AEB"/>
    <w:rsid w:val="002044FD"/>
    <w:rsid w:val="00204B82"/>
    <w:rsid w:val="00222BEB"/>
    <w:rsid w:val="00225E60"/>
    <w:rsid w:val="00230BBB"/>
    <w:rsid w:val="00231BEF"/>
    <w:rsid w:val="0023202C"/>
    <w:rsid w:val="00234619"/>
    <w:rsid w:val="0023694D"/>
    <w:rsid w:val="0024093F"/>
    <w:rsid w:val="00245043"/>
    <w:rsid w:val="00255DD0"/>
    <w:rsid w:val="0025688B"/>
    <w:rsid w:val="00257461"/>
    <w:rsid w:val="0026028E"/>
    <w:rsid w:val="00262688"/>
    <w:rsid w:val="00263221"/>
    <w:rsid w:val="00265EC8"/>
    <w:rsid w:val="00284FA2"/>
    <w:rsid w:val="002878B4"/>
    <w:rsid w:val="00292D36"/>
    <w:rsid w:val="00293400"/>
    <w:rsid w:val="00293F47"/>
    <w:rsid w:val="00294A5A"/>
    <w:rsid w:val="00297281"/>
    <w:rsid w:val="002975ED"/>
    <w:rsid w:val="00297A47"/>
    <w:rsid w:val="002A3D2F"/>
    <w:rsid w:val="002A5891"/>
    <w:rsid w:val="002B013C"/>
    <w:rsid w:val="002B03F1"/>
    <w:rsid w:val="002B5E2B"/>
    <w:rsid w:val="002B6DAA"/>
    <w:rsid w:val="002C2A67"/>
    <w:rsid w:val="002D70F7"/>
    <w:rsid w:val="002D711A"/>
    <w:rsid w:val="002D7336"/>
    <w:rsid w:val="002E00D0"/>
    <w:rsid w:val="002E3396"/>
    <w:rsid w:val="002F01D3"/>
    <w:rsid w:val="002F2953"/>
    <w:rsid w:val="002F666D"/>
    <w:rsid w:val="0031149C"/>
    <w:rsid w:val="0032625C"/>
    <w:rsid w:val="00336154"/>
    <w:rsid w:val="00340EEC"/>
    <w:rsid w:val="003416E8"/>
    <w:rsid w:val="00343CCD"/>
    <w:rsid w:val="0035420C"/>
    <w:rsid w:val="0036258C"/>
    <w:rsid w:val="0036778F"/>
    <w:rsid w:val="00371382"/>
    <w:rsid w:val="00381FFE"/>
    <w:rsid w:val="0038771C"/>
    <w:rsid w:val="003945F7"/>
    <w:rsid w:val="003953DB"/>
    <w:rsid w:val="003A430B"/>
    <w:rsid w:val="003A50B3"/>
    <w:rsid w:val="003A541A"/>
    <w:rsid w:val="003A5B49"/>
    <w:rsid w:val="003A6923"/>
    <w:rsid w:val="003B6B44"/>
    <w:rsid w:val="003B73AD"/>
    <w:rsid w:val="003B7B6F"/>
    <w:rsid w:val="003C2C67"/>
    <w:rsid w:val="003C2D4C"/>
    <w:rsid w:val="003C3B3A"/>
    <w:rsid w:val="003C5BA4"/>
    <w:rsid w:val="003C7395"/>
    <w:rsid w:val="003D27D1"/>
    <w:rsid w:val="003E3E26"/>
    <w:rsid w:val="003E5DFC"/>
    <w:rsid w:val="003E608A"/>
    <w:rsid w:val="003F1295"/>
    <w:rsid w:val="003F4AFE"/>
    <w:rsid w:val="003F5102"/>
    <w:rsid w:val="003F76FC"/>
    <w:rsid w:val="004002EB"/>
    <w:rsid w:val="00404441"/>
    <w:rsid w:val="00407A79"/>
    <w:rsid w:val="0041405A"/>
    <w:rsid w:val="00422DDC"/>
    <w:rsid w:val="004231B5"/>
    <w:rsid w:val="004236C8"/>
    <w:rsid w:val="00427681"/>
    <w:rsid w:val="00433DB7"/>
    <w:rsid w:val="00441B38"/>
    <w:rsid w:val="00453750"/>
    <w:rsid w:val="00456941"/>
    <w:rsid w:val="00465BF2"/>
    <w:rsid w:val="004702EA"/>
    <w:rsid w:val="004818E3"/>
    <w:rsid w:val="0048259C"/>
    <w:rsid w:val="00482D02"/>
    <w:rsid w:val="00484326"/>
    <w:rsid w:val="00490369"/>
    <w:rsid w:val="004966EC"/>
    <w:rsid w:val="004A7519"/>
    <w:rsid w:val="004B167C"/>
    <w:rsid w:val="004B3DBC"/>
    <w:rsid w:val="004B64B1"/>
    <w:rsid w:val="004C63D5"/>
    <w:rsid w:val="004C6C48"/>
    <w:rsid w:val="004D01AC"/>
    <w:rsid w:val="004D3518"/>
    <w:rsid w:val="004D62D6"/>
    <w:rsid w:val="004D6898"/>
    <w:rsid w:val="004E251D"/>
    <w:rsid w:val="004F3F4E"/>
    <w:rsid w:val="004F6513"/>
    <w:rsid w:val="0050356B"/>
    <w:rsid w:val="00510167"/>
    <w:rsid w:val="005138C4"/>
    <w:rsid w:val="00513E86"/>
    <w:rsid w:val="00527D97"/>
    <w:rsid w:val="005306A2"/>
    <w:rsid w:val="0053416C"/>
    <w:rsid w:val="00540588"/>
    <w:rsid w:val="00541C2F"/>
    <w:rsid w:val="005506FB"/>
    <w:rsid w:val="00551B95"/>
    <w:rsid w:val="00552DE4"/>
    <w:rsid w:val="005575A7"/>
    <w:rsid w:val="00563527"/>
    <w:rsid w:val="0057407A"/>
    <w:rsid w:val="0058124E"/>
    <w:rsid w:val="005875A3"/>
    <w:rsid w:val="005953EA"/>
    <w:rsid w:val="005A3416"/>
    <w:rsid w:val="005A6325"/>
    <w:rsid w:val="005B27FE"/>
    <w:rsid w:val="005B76DF"/>
    <w:rsid w:val="005B79CB"/>
    <w:rsid w:val="005E08D7"/>
    <w:rsid w:val="005E2B6E"/>
    <w:rsid w:val="005E32F7"/>
    <w:rsid w:val="005E4C16"/>
    <w:rsid w:val="005E5947"/>
    <w:rsid w:val="005F15F1"/>
    <w:rsid w:val="005F35AD"/>
    <w:rsid w:val="005F547F"/>
    <w:rsid w:val="005F61DF"/>
    <w:rsid w:val="0060163A"/>
    <w:rsid w:val="006023F9"/>
    <w:rsid w:val="00610559"/>
    <w:rsid w:val="006117EB"/>
    <w:rsid w:val="00614076"/>
    <w:rsid w:val="00621F7C"/>
    <w:rsid w:val="00623A24"/>
    <w:rsid w:val="00632F2E"/>
    <w:rsid w:val="006332F6"/>
    <w:rsid w:val="00635C38"/>
    <w:rsid w:val="006413F2"/>
    <w:rsid w:val="0064798F"/>
    <w:rsid w:val="006534B2"/>
    <w:rsid w:val="0065615D"/>
    <w:rsid w:val="00657011"/>
    <w:rsid w:val="0066292D"/>
    <w:rsid w:val="006650B5"/>
    <w:rsid w:val="006651B1"/>
    <w:rsid w:val="00665778"/>
    <w:rsid w:val="006665CE"/>
    <w:rsid w:val="00672B12"/>
    <w:rsid w:val="006751BC"/>
    <w:rsid w:val="00675A54"/>
    <w:rsid w:val="00676E5F"/>
    <w:rsid w:val="00680BD6"/>
    <w:rsid w:val="0069041D"/>
    <w:rsid w:val="006945CA"/>
    <w:rsid w:val="006968AF"/>
    <w:rsid w:val="006A10FD"/>
    <w:rsid w:val="006A3309"/>
    <w:rsid w:val="006A3A5A"/>
    <w:rsid w:val="006A5B34"/>
    <w:rsid w:val="006C24E4"/>
    <w:rsid w:val="006C77A9"/>
    <w:rsid w:val="006D2BBB"/>
    <w:rsid w:val="006D4720"/>
    <w:rsid w:val="006E3BB1"/>
    <w:rsid w:val="006E4310"/>
    <w:rsid w:val="006E6CDF"/>
    <w:rsid w:val="006F37F2"/>
    <w:rsid w:val="006F6693"/>
    <w:rsid w:val="007003C5"/>
    <w:rsid w:val="00707FE8"/>
    <w:rsid w:val="00712532"/>
    <w:rsid w:val="00714AAE"/>
    <w:rsid w:val="007206CD"/>
    <w:rsid w:val="00724962"/>
    <w:rsid w:val="00724A0F"/>
    <w:rsid w:val="00726D2F"/>
    <w:rsid w:val="00727C45"/>
    <w:rsid w:val="00734456"/>
    <w:rsid w:val="00734B97"/>
    <w:rsid w:val="00736732"/>
    <w:rsid w:val="00740019"/>
    <w:rsid w:val="00746426"/>
    <w:rsid w:val="00750BF9"/>
    <w:rsid w:val="00750CBE"/>
    <w:rsid w:val="00752AFB"/>
    <w:rsid w:val="0076424F"/>
    <w:rsid w:val="00764496"/>
    <w:rsid w:val="007650D2"/>
    <w:rsid w:val="00766B5A"/>
    <w:rsid w:val="00766D45"/>
    <w:rsid w:val="00772209"/>
    <w:rsid w:val="007770A5"/>
    <w:rsid w:val="007811F5"/>
    <w:rsid w:val="0078315E"/>
    <w:rsid w:val="007834F2"/>
    <w:rsid w:val="00784E36"/>
    <w:rsid w:val="00791020"/>
    <w:rsid w:val="007A04D2"/>
    <w:rsid w:val="007A5F82"/>
    <w:rsid w:val="007B6E61"/>
    <w:rsid w:val="007C4073"/>
    <w:rsid w:val="007D5F9E"/>
    <w:rsid w:val="007E098F"/>
    <w:rsid w:val="007E3BA2"/>
    <w:rsid w:val="007E459B"/>
    <w:rsid w:val="007E73F3"/>
    <w:rsid w:val="007F05A8"/>
    <w:rsid w:val="007F1A4C"/>
    <w:rsid w:val="007F723F"/>
    <w:rsid w:val="008022C3"/>
    <w:rsid w:val="008041E6"/>
    <w:rsid w:val="008065D2"/>
    <w:rsid w:val="008116D8"/>
    <w:rsid w:val="008136B4"/>
    <w:rsid w:val="00815A8A"/>
    <w:rsid w:val="0082194C"/>
    <w:rsid w:val="008222FF"/>
    <w:rsid w:val="008241FF"/>
    <w:rsid w:val="008411E9"/>
    <w:rsid w:val="00841617"/>
    <w:rsid w:val="0084200F"/>
    <w:rsid w:val="00843B2C"/>
    <w:rsid w:val="00844F16"/>
    <w:rsid w:val="008452F4"/>
    <w:rsid w:val="00854F74"/>
    <w:rsid w:val="00855FF9"/>
    <w:rsid w:val="0086277A"/>
    <w:rsid w:val="008668A8"/>
    <w:rsid w:val="008768AD"/>
    <w:rsid w:val="00880AC4"/>
    <w:rsid w:val="00897447"/>
    <w:rsid w:val="008A39CF"/>
    <w:rsid w:val="008A4900"/>
    <w:rsid w:val="008A55FE"/>
    <w:rsid w:val="008B146D"/>
    <w:rsid w:val="008B42AD"/>
    <w:rsid w:val="008B5666"/>
    <w:rsid w:val="008B61B4"/>
    <w:rsid w:val="008C083C"/>
    <w:rsid w:val="008D0233"/>
    <w:rsid w:val="008D0281"/>
    <w:rsid w:val="008D27DA"/>
    <w:rsid w:val="008D5BA3"/>
    <w:rsid w:val="008E2348"/>
    <w:rsid w:val="008E3830"/>
    <w:rsid w:val="008F6D45"/>
    <w:rsid w:val="00911478"/>
    <w:rsid w:val="009143A5"/>
    <w:rsid w:val="00922944"/>
    <w:rsid w:val="00936479"/>
    <w:rsid w:val="00937A10"/>
    <w:rsid w:val="00956565"/>
    <w:rsid w:val="009568DA"/>
    <w:rsid w:val="0096514B"/>
    <w:rsid w:val="00966115"/>
    <w:rsid w:val="00982488"/>
    <w:rsid w:val="009834C0"/>
    <w:rsid w:val="00983726"/>
    <w:rsid w:val="00986AAC"/>
    <w:rsid w:val="009945B6"/>
    <w:rsid w:val="00995526"/>
    <w:rsid w:val="009A1DA2"/>
    <w:rsid w:val="009A231A"/>
    <w:rsid w:val="009A3704"/>
    <w:rsid w:val="009A4739"/>
    <w:rsid w:val="009A6290"/>
    <w:rsid w:val="009A674F"/>
    <w:rsid w:val="009A6D22"/>
    <w:rsid w:val="009B199C"/>
    <w:rsid w:val="009B26BF"/>
    <w:rsid w:val="009B61F1"/>
    <w:rsid w:val="009B62E0"/>
    <w:rsid w:val="009B73F1"/>
    <w:rsid w:val="009C0D62"/>
    <w:rsid w:val="009C1A2A"/>
    <w:rsid w:val="009C3D88"/>
    <w:rsid w:val="009C6AF8"/>
    <w:rsid w:val="009D159B"/>
    <w:rsid w:val="009D3136"/>
    <w:rsid w:val="009E1651"/>
    <w:rsid w:val="009E3858"/>
    <w:rsid w:val="009E4475"/>
    <w:rsid w:val="009E467D"/>
    <w:rsid w:val="009E70DD"/>
    <w:rsid w:val="009F2ED9"/>
    <w:rsid w:val="009F3231"/>
    <w:rsid w:val="009F5C58"/>
    <w:rsid w:val="00A00F78"/>
    <w:rsid w:val="00A023A0"/>
    <w:rsid w:val="00A05EBC"/>
    <w:rsid w:val="00A1562B"/>
    <w:rsid w:val="00A16DCC"/>
    <w:rsid w:val="00A170F4"/>
    <w:rsid w:val="00A21408"/>
    <w:rsid w:val="00A21CFD"/>
    <w:rsid w:val="00A223CB"/>
    <w:rsid w:val="00A24A37"/>
    <w:rsid w:val="00A25B78"/>
    <w:rsid w:val="00A37375"/>
    <w:rsid w:val="00A45E5B"/>
    <w:rsid w:val="00A46288"/>
    <w:rsid w:val="00A46BA8"/>
    <w:rsid w:val="00A47634"/>
    <w:rsid w:val="00A50395"/>
    <w:rsid w:val="00A612FE"/>
    <w:rsid w:val="00A64C0E"/>
    <w:rsid w:val="00A671C3"/>
    <w:rsid w:val="00A70B49"/>
    <w:rsid w:val="00A75C77"/>
    <w:rsid w:val="00A91C21"/>
    <w:rsid w:val="00A92D94"/>
    <w:rsid w:val="00AA26B8"/>
    <w:rsid w:val="00AA3FE7"/>
    <w:rsid w:val="00AA7EF9"/>
    <w:rsid w:val="00AC0B87"/>
    <w:rsid w:val="00AC2624"/>
    <w:rsid w:val="00AC32A8"/>
    <w:rsid w:val="00AD26C0"/>
    <w:rsid w:val="00AD70E4"/>
    <w:rsid w:val="00AD7E4E"/>
    <w:rsid w:val="00AF4D58"/>
    <w:rsid w:val="00AF6666"/>
    <w:rsid w:val="00AF7BC5"/>
    <w:rsid w:val="00B439E2"/>
    <w:rsid w:val="00B81B44"/>
    <w:rsid w:val="00B86869"/>
    <w:rsid w:val="00B9053B"/>
    <w:rsid w:val="00BA0C37"/>
    <w:rsid w:val="00BA3782"/>
    <w:rsid w:val="00BA7DF6"/>
    <w:rsid w:val="00BB4D98"/>
    <w:rsid w:val="00BB4EBF"/>
    <w:rsid w:val="00BB59E0"/>
    <w:rsid w:val="00BC3422"/>
    <w:rsid w:val="00BC6E19"/>
    <w:rsid w:val="00BD11C2"/>
    <w:rsid w:val="00BD5018"/>
    <w:rsid w:val="00BD55C8"/>
    <w:rsid w:val="00BE5811"/>
    <w:rsid w:val="00BE5ADC"/>
    <w:rsid w:val="00BF3854"/>
    <w:rsid w:val="00BF4F96"/>
    <w:rsid w:val="00C015B9"/>
    <w:rsid w:val="00C022F9"/>
    <w:rsid w:val="00C032EA"/>
    <w:rsid w:val="00C06EB5"/>
    <w:rsid w:val="00C1145F"/>
    <w:rsid w:val="00C11CD1"/>
    <w:rsid w:val="00C139E5"/>
    <w:rsid w:val="00C32D49"/>
    <w:rsid w:val="00C33AD3"/>
    <w:rsid w:val="00C34E40"/>
    <w:rsid w:val="00C37AB3"/>
    <w:rsid w:val="00C41B3C"/>
    <w:rsid w:val="00C43F06"/>
    <w:rsid w:val="00C46BE9"/>
    <w:rsid w:val="00C51C01"/>
    <w:rsid w:val="00C607BF"/>
    <w:rsid w:val="00C637E1"/>
    <w:rsid w:val="00C67EAC"/>
    <w:rsid w:val="00C70D50"/>
    <w:rsid w:val="00C72252"/>
    <w:rsid w:val="00C835CD"/>
    <w:rsid w:val="00C907D7"/>
    <w:rsid w:val="00C92338"/>
    <w:rsid w:val="00C954FA"/>
    <w:rsid w:val="00CA05DC"/>
    <w:rsid w:val="00CA7B47"/>
    <w:rsid w:val="00CB3976"/>
    <w:rsid w:val="00CB5275"/>
    <w:rsid w:val="00CD0307"/>
    <w:rsid w:val="00CD3D1B"/>
    <w:rsid w:val="00CE0E73"/>
    <w:rsid w:val="00CF7538"/>
    <w:rsid w:val="00D02663"/>
    <w:rsid w:val="00D0633E"/>
    <w:rsid w:val="00D12E74"/>
    <w:rsid w:val="00D216E5"/>
    <w:rsid w:val="00D2312F"/>
    <w:rsid w:val="00D23B04"/>
    <w:rsid w:val="00D246AB"/>
    <w:rsid w:val="00D269C1"/>
    <w:rsid w:val="00D41A7C"/>
    <w:rsid w:val="00D41B2F"/>
    <w:rsid w:val="00D44953"/>
    <w:rsid w:val="00D514BD"/>
    <w:rsid w:val="00D535F9"/>
    <w:rsid w:val="00D538EB"/>
    <w:rsid w:val="00D53AF6"/>
    <w:rsid w:val="00D542F3"/>
    <w:rsid w:val="00D54513"/>
    <w:rsid w:val="00D54AAE"/>
    <w:rsid w:val="00D5644B"/>
    <w:rsid w:val="00D56E25"/>
    <w:rsid w:val="00D57E89"/>
    <w:rsid w:val="00D6560D"/>
    <w:rsid w:val="00D65D77"/>
    <w:rsid w:val="00D718D7"/>
    <w:rsid w:val="00D775D4"/>
    <w:rsid w:val="00D80021"/>
    <w:rsid w:val="00D814B7"/>
    <w:rsid w:val="00D84D2D"/>
    <w:rsid w:val="00D87B34"/>
    <w:rsid w:val="00D90688"/>
    <w:rsid w:val="00DA3AAD"/>
    <w:rsid w:val="00DA408C"/>
    <w:rsid w:val="00DB1478"/>
    <w:rsid w:val="00DB312B"/>
    <w:rsid w:val="00DC287C"/>
    <w:rsid w:val="00DC5654"/>
    <w:rsid w:val="00DC658F"/>
    <w:rsid w:val="00DC674A"/>
    <w:rsid w:val="00DC777D"/>
    <w:rsid w:val="00DE4FAD"/>
    <w:rsid w:val="00DE60CC"/>
    <w:rsid w:val="00DF3554"/>
    <w:rsid w:val="00E10E72"/>
    <w:rsid w:val="00E12578"/>
    <w:rsid w:val="00E213A3"/>
    <w:rsid w:val="00E264CB"/>
    <w:rsid w:val="00E26B32"/>
    <w:rsid w:val="00E317CE"/>
    <w:rsid w:val="00E31CD4"/>
    <w:rsid w:val="00E31E60"/>
    <w:rsid w:val="00E3274E"/>
    <w:rsid w:val="00E33E08"/>
    <w:rsid w:val="00E352F0"/>
    <w:rsid w:val="00E407B6"/>
    <w:rsid w:val="00E41EF1"/>
    <w:rsid w:val="00E42942"/>
    <w:rsid w:val="00E614BC"/>
    <w:rsid w:val="00E63564"/>
    <w:rsid w:val="00E639C1"/>
    <w:rsid w:val="00E65A0A"/>
    <w:rsid w:val="00E71BDF"/>
    <w:rsid w:val="00E75CCB"/>
    <w:rsid w:val="00E77E60"/>
    <w:rsid w:val="00E8245B"/>
    <w:rsid w:val="00E82C21"/>
    <w:rsid w:val="00E82F59"/>
    <w:rsid w:val="00E832E3"/>
    <w:rsid w:val="00E83CA7"/>
    <w:rsid w:val="00E873BB"/>
    <w:rsid w:val="00E92192"/>
    <w:rsid w:val="00E95A71"/>
    <w:rsid w:val="00EB7014"/>
    <w:rsid w:val="00EC5CDE"/>
    <w:rsid w:val="00ED3077"/>
    <w:rsid w:val="00ED487E"/>
    <w:rsid w:val="00ED64F1"/>
    <w:rsid w:val="00EE2692"/>
    <w:rsid w:val="00EE33A1"/>
    <w:rsid w:val="00EE7A0D"/>
    <w:rsid w:val="00F0222C"/>
    <w:rsid w:val="00F12312"/>
    <w:rsid w:val="00F17CE1"/>
    <w:rsid w:val="00F2115C"/>
    <w:rsid w:val="00F22ABA"/>
    <w:rsid w:val="00F25F4B"/>
    <w:rsid w:val="00F30E7F"/>
    <w:rsid w:val="00F36B12"/>
    <w:rsid w:val="00F460D2"/>
    <w:rsid w:val="00F60F9F"/>
    <w:rsid w:val="00F64F08"/>
    <w:rsid w:val="00F70055"/>
    <w:rsid w:val="00F72710"/>
    <w:rsid w:val="00F734F5"/>
    <w:rsid w:val="00F73B5B"/>
    <w:rsid w:val="00F76ACD"/>
    <w:rsid w:val="00F80678"/>
    <w:rsid w:val="00F90EA5"/>
    <w:rsid w:val="00F91F5A"/>
    <w:rsid w:val="00F966B1"/>
    <w:rsid w:val="00F97D48"/>
    <w:rsid w:val="00FA0311"/>
    <w:rsid w:val="00FA1489"/>
    <w:rsid w:val="00FB3D41"/>
    <w:rsid w:val="00FC772F"/>
    <w:rsid w:val="00FD50F0"/>
    <w:rsid w:val="00FD640F"/>
    <w:rsid w:val="00FD6B4C"/>
    <w:rsid w:val="00FE0553"/>
    <w:rsid w:val="00FE25D0"/>
    <w:rsid w:val="00FE592F"/>
    <w:rsid w:val="00FE6CB3"/>
    <w:rsid w:val="00FE7930"/>
    <w:rsid w:val="00FF0C9E"/>
    <w:rsid w:val="00FF4E99"/>
    <w:rsid w:val="00FF6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DFA24"/>
  <w15:docId w15:val="{95A58E0B-E655-4A4A-9EDC-BEAE40EA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uiPriority="9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D535F9"/>
    <w:rPr>
      <w:rFonts w:ascii="Arial" w:hAnsi="Arial" w:cs="Arial"/>
    </w:rPr>
  </w:style>
  <w:style w:type="paragraph" w:styleId="Heading1">
    <w:name w:val="heading 1"/>
    <w:basedOn w:val="Normal"/>
    <w:next w:val="Normalfollowingheading"/>
    <w:link w:val="Heading1Char"/>
    <w:qFormat/>
    <w:rsid w:val="00D535F9"/>
    <w:pPr>
      <w:keepNext/>
      <w:keepLines/>
      <w:framePr w:wrap="around" w:vAnchor="page" w:hAnchor="margin" w:y="1022"/>
      <w:spacing w:before="0" w:after="120" w:line="240" w:lineRule="auto"/>
      <w:outlineLvl w:val="0"/>
    </w:pPr>
    <w:rPr>
      <w:rFonts w:eastAsiaTheme="majorEastAsia"/>
      <w:b/>
      <w:bCs/>
      <w:noProof/>
      <w:color w:val="007586" w:themeColor="text2"/>
      <w:spacing w:val="-1"/>
      <w:sz w:val="48"/>
      <w:szCs w:val="28"/>
      <w:lang w:eastAsia="en-US"/>
    </w:rPr>
  </w:style>
  <w:style w:type="paragraph" w:styleId="Heading2">
    <w:name w:val="heading 2"/>
    <w:basedOn w:val="Normal"/>
    <w:next w:val="Normalfollowingheading"/>
    <w:link w:val="Heading2Char"/>
    <w:qFormat/>
    <w:rsid w:val="00D535F9"/>
    <w:pPr>
      <w:keepNext/>
      <w:keepLines/>
      <w:spacing w:before="280" w:after="60" w:line="240" w:lineRule="auto"/>
      <w:outlineLvl w:val="1"/>
    </w:pPr>
    <w:rPr>
      <w:rFonts w:asciiTheme="majorHAnsi" w:eastAsiaTheme="majorEastAsia" w:hAnsiTheme="majorHAnsi" w:cstheme="majorHAnsi"/>
      <w:b/>
      <w:bCs/>
      <w:caps/>
      <w:color w:val="007586" w:themeColor="text2"/>
      <w:sz w:val="24"/>
      <w:szCs w:val="26"/>
    </w:rPr>
  </w:style>
  <w:style w:type="paragraph" w:styleId="Heading3">
    <w:name w:val="heading 3"/>
    <w:basedOn w:val="Normal"/>
    <w:next w:val="Normalfollowingheading"/>
    <w:link w:val="Heading3Char"/>
    <w:qFormat/>
    <w:rsid w:val="00D535F9"/>
    <w:pPr>
      <w:keepNext/>
      <w:keepLines/>
      <w:spacing w:before="240" w:after="50" w:line="240" w:lineRule="auto"/>
      <w:outlineLvl w:val="2"/>
    </w:pPr>
    <w:rPr>
      <w:rFonts w:asciiTheme="minorHAnsi" w:eastAsiaTheme="majorEastAsia" w:hAnsiTheme="minorHAnsi" w:cstheme="minorHAnsi"/>
      <w:b/>
      <w:bCs/>
      <w:color w:val="000000" w:themeColor="text1"/>
      <w:sz w:val="24"/>
      <w:szCs w:val="22"/>
    </w:rPr>
  </w:style>
  <w:style w:type="paragraph" w:styleId="Heading4">
    <w:name w:val="heading 4"/>
    <w:basedOn w:val="Normal"/>
    <w:next w:val="Normalfollowingheading"/>
    <w:link w:val="Heading4Char"/>
    <w:qFormat/>
    <w:rsid w:val="00E873BB"/>
    <w:pPr>
      <w:keepNext/>
      <w:keepLines/>
      <w:spacing w:before="320" w:after="70" w:line="240" w:lineRule="auto"/>
      <w:outlineLvl w:val="3"/>
    </w:pPr>
    <w:rPr>
      <w:rFonts w:ascii="VIC SemiBold" w:eastAsiaTheme="majorEastAsia" w:hAnsi="VIC SemiBold" w:cstheme="majorBid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B73F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9A6290"/>
    <w:pPr>
      <w:pBdr>
        <w:bottom w:val="single" w:sz="2" w:space="4" w:color="000016"/>
        <w:between w:val="single" w:sz="2" w:space="1" w:color="000000" w:themeColor="text1"/>
      </w:pBdr>
      <w:tabs>
        <w:tab w:val="right" w:pos="10206"/>
      </w:tabs>
      <w:spacing w:before="240" w:after="120"/>
      <w:ind w:right="57"/>
    </w:pPr>
    <w:rPr>
      <w:rFonts w:ascii="VIC SemiBold" w:hAnsi="VIC SemiBold"/>
      <w:bCs/>
      <w:noProof/>
      <w:color w:val="007586" w:themeColor="text2"/>
      <w:lang w:eastAsia="en-US"/>
    </w:rPr>
  </w:style>
  <w:style w:type="paragraph" w:styleId="TOC2">
    <w:name w:val="toc 2"/>
    <w:basedOn w:val="Normal"/>
    <w:next w:val="Normal"/>
    <w:uiPriority w:val="39"/>
    <w:rsid w:val="009A6290"/>
    <w:pPr>
      <w:pBdr>
        <w:bottom w:val="single" w:sz="2" w:space="4" w:color="000000" w:themeColor="text1"/>
        <w:between w:val="single" w:sz="2" w:space="0" w:color="000000" w:themeColor="text1"/>
      </w:pBdr>
      <w:tabs>
        <w:tab w:val="left" w:pos="340"/>
        <w:tab w:val="right" w:pos="10206"/>
      </w:tabs>
      <w:spacing w:before="120" w:after="120" w:line="240" w:lineRule="auto"/>
      <w:ind w:right="57"/>
    </w:pPr>
    <w:rPr>
      <w:bCs/>
      <w:noProof/>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CF7538"/>
    <w:rPr>
      <w:color w:val="007586" w:themeColor="text2"/>
      <w:u w:val="none"/>
    </w:rPr>
  </w:style>
  <w:style w:type="character" w:customStyle="1" w:styleId="Heading1Char">
    <w:name w:val="Heading 1 Char"/>
    <w:basedOn w:val="DefaultParagraphFont"/>
    <w:link w:val="Heading1"/>
    <w:rsid w:val="00D535F9"/>
    <w:rPr>
      <w:rFonts w:ascii="Arial" w:eastAsiaTheme="majorEastAsia" w:hAnsi="Arial" w:cs="Arial"/>
      <w:b/>
      <w:bCs/>
      <w:noProof/>
      <w:color w:val="007586" w:themeColor="text2"/>
      <w:spacing w:val="-1"/>
      <w:sz w:val="48"/>
      <w:szCs w:val="28"/>
      <w:lang w:eastAsia="en-US"/>
    </w:rPr>
  </w:style>
  <w:style w:type="character" w:customStyle="1" w:styleId="Heading2Char">
    <w:name w:val="Heading 2 Char"/>
    <w:basedOn w:val="DefaultParagraphFont"/>
    <w:link w:val="Heading2"/>
    <w:rsid w:val="00D535F9"/>
    <w:rPr>
      <w:rFonts w:asciiTheme="majorHAnsi" w:eastAsiaTheme="majorEastAsia" w:hAnsiTheme="majorHAnsi" w:cstheme="majorHAnsi"/>
      <w:b/>
      <w:bCs/>
      <w:caps/>
      <w:color w:val="007586" w:themeColor="text2"/>
      <w:sz w:val="24"/>
      <w:szCs w:val="26"/>
    </w:rPr>
  </w:style>
  <w:style w:type="paragraph" w:customStyle="1" w:styleId="Bullet1">
    <w:name w:val="Bullet 1"/>
    <w:uiPriority w:val="1"/>
    <w:qFormat/>
    <w:rsid w:val="00D535F9"/>
    <w:pPr>
      <w:numPr>
        <w:numId w:val="9"/>
      </w:numPr>
      <w:spacing w:before="60" w:after="60"/>
    </w:pPr>
    <w:rPr>
      <w:rFonts w:ascii="Arial" w:eastAsia="Times New Roman" w:hAnsi="Arial" w:cs="Arial"/>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ind w:left="0"/>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D535F9"/>
    <w:rPr>
      <w:rFonts w:eastAsiaTheme="majorEastAsia" w:cstheme="minorHAns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E873BB"/>
    <w:rPr>
      <w:rFonts w:ascii="VIC SemiBold" w:eastAsiaTheme="majorEastAsia" w:hAnsi="VIC SemiBold" w:cstheme="majorBidi"/>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0438D0"/>
    <w:pPr>
      <w:framePr w:hSpace="5670" w:wrap="around" w:vAnchor="page" w:hAnchor="page" w:x="852" w:y="4310"/>
      <w:spacing w:before="0" w:after="0" w:line="240" w:lineRule="auto"/>
      <w:suppressOverlap/>
    </w:pPr>
    <w:rPr>
      <w:rFonts w:eastAsia="Times New Roman" w:cstheme="minorHAnsi"/>
      <w:color w:val="000000" w:themeColor="text1"/>
      <w:sz w:val="40"/>
      <w:szCs w:val="24"/>
    </w:rPr>
  </w:style>
  <w:style w:type="character" w:customStyle="1" w:styleId="SubtitleChar">
    <w:name w:val="Subtitle Char"/>
    <w:basedOn w:val="DefaultParagraphFont"/>
    <w:link w:val="Subtitle"/>
    <w:uiPriority w:val="99"/>
    <w:rsid w:val="000438D0"/>
    <w:rPr>
      <w:rFonts w:eastAsia="Times New Roman" w:cstheme="min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0438D0"/>
    <w:pPr>
      <w:framePr w:hSpace="5670" w:wrap="around" w:vAnchor="page" w:hAnchor="page" w:x="852" w:y="4310"/>
      <w:spacing w:before="0" w:after="200" w:line="240" w:lineRule="auto"/>
      <w:ind w:right="284"/>
      <w:contextualSpacing/>
      <w:suppressOverlap/>
    </w:pPr>
    <w:rPr>
      <w:rFonts w:ascii="Arial" w:eastAsia="Times New Roman" w:hAnsi="Arial" w:cs="Arial"/>
      <w:b/>
      <w:color w:val="007586" w:themeColor="text2"/>
      <w:spacing w:val="-4"/>
      <w:sz w:val="76"/>
      <w:szCs w:val="22"/>
    </w:rPr>
  </w:style>
  <w:style w:type="character" w:customStyle="1" w:styleId="TitleChar">
    <w:name w:val="Title Char"/>
    <w:basedOn w:val="DefaultParagraphFont"/>
    <w:link w:val="Title"/>
    <w:uiPriority w:val="99"/>
    <w:rsid w:val="000438D0"/>
    <w:rPr>
      <w:rFonts w:ascii="Arial" w:eastAsia="Times New Roman" w:hAnsi="Arial" w:cs="Arial"/>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D535F9"/>
    <w:pPr>
      <w:tabs>
        <w:tab w:val="left" w:pos="1080"/>
      </w:tabs>
      <w:spacing w:before="280" w:after="210" w:line="260" w:lineRule="atLeast"/>
    </w:pPr>
    <w:rPr>
      <w:rFonts w:ascii="Arial" w:hAnsi="Arial" w:cs="Arial"/>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D535F9"/>
    <w:pPr>
      <w:spacing w:before="280" w:after="240"/>
    </w:pPr>
    <w:rPr>
      <w:rFonts w:asciiTheme="minorHAnsi" w:hAnsiTheme="minorHAnsi" w:cstheme="minorHAnsi"/>
      <w:bCs/>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0438D0"/>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0438D0"/>
    <w:rPr>
      <w:rFonts w:ascii="Arial" w:hAnsi="Arial" w:cs="Arial"/>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CommentReference">
    <w:name w:val="annotation reference"/>
    <w:basedOn w:val="DefaultParagraphFont"/>
    <w:uiPriority w:val="1"/>
    <w:semiHidden/>
    <w:unhideWhenUsed/>
    <w:rsid w:val="003945F7"/>
    <w:rPr>
      <w:sz w:val="16"/>
      <w:szCs w:val="16"/>
    </w:rPr>
  </w:style>
  <w:style w:type="paragraph" w:styleId="CommentText">
    <w:name w:val="annotation text"/>
    <w:basedOn w:val="Normal"/>
    <w:link w:val="CommentTextChar"/>
    <w:uiPriority w:val="1"/>
    <w:unhideWhenUsed/>
    <w:rsid w:val="003945F7"/>
    <w:pPr>
      <w:spacing w:line="240" w:lineRule="auto"/>
    </w:pPr>
  </w:style>
  <w:style w:type="character" w:customStyle="1" w:styleId="CommentTextChar">
    <w:name w:val="Comment Text Char"/>
    <w:basedOn w:val="DefaultParagraphFont"/>
    <w:link w:val="CommentText"/>
    <w:uiPriority w:val="1"/>
    <w:rsid w:val="003945F7"/>
  </w:style>
  <w:style w:type="paragraph" w:styleId="CommentSubject">
    <w:name w:val="annotation subject"/>
    <w:basedOn w:val="CommentText"/>
    <w:next w:val="CommentText"/>
    <w:link w:val="CommentSubjectChar"/>
    <w:uiPriority w:val="1"/>
    <w:semiHidden/>
    <w:unhideWhenUsed/>
    <w:rsid w:val="003945F7"/>
    <w:rPr>
      <w:b/>
      <w:bCs/>
    </w:rPr>
  </w:style>
  <w:style w:type="character" w:customStyle="1" w:styleId="CommentSubjectChar">
    <w:name w:val="Comment Subject Char"/>
    <w:basedOn w:val="CommentTextChar"/>
    <w:link w:val="CommentSubject"/>
    <w:uiPriority w:val="1"/>
    <w:semiHidden/>
    <w:rsid w:val="003945F7"/>
    <w:rPr>
      <w:b/>
      <w:bCs/>
    </w:rPr>
  </w:style>
  <w:style w:type="character" w:styleId="UnresolvedMention">
    <w:name w:val="Unresolved Mention"/>
    <w:basedOn w:val="DefaultParagraphFont"/>
    <w:uiPriority w:val="99"/>
    <w:semiHidden/>
    <w:unhideWhenUsed/>
    <w:rsid w:val="009A6290"/>
    <w:rPr>
      <w:color w:val="605E5C"/>
      <w:shd w:val="clear" w:color="auto" w:fill="E1DFDD"/>
    </w:rPr>
  </w:style>
  <w:style w:type="character" w:styleId="FollowedHyperlink">
    <w:name w:val="FollowedHyperlink"/>
    <w:basedOn w:val="DefaultParagraphFont"/>
    <w:uiPriority w:val="1"/>
    <w:semiHidden/>
    <w:unhideWhenUsed/>
    <w:rsid w:val="00145E5E"/>
    <w:rPr>
      <w:color w:val="007586" w:themeColor="followedHyperlink"/>
      <w:u w:val="single"/>
    </w:rPr>
  </w:style>
  <w:style w:type="table" w:styleId="TableSimple1">
    <w:name w:val="Table Simple 1"/>
    <w:basedOn w:val="TableNormal"/>
    <w:uiPriority w:val="99"/>
    <w:semiHidden/>
    <w:unhideWhenUsed/>
    <w:rsid w:val="009B73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www.podiatry.org.au/about/news/telehealth-for-podiatrists" TargetMode="External"/><Relationship Id="rId3" Type="http://schemas.openxmlformats.org/officeDocument/2006/relationships/customXml" Target="../customXml/item3.xml"/><Relationship Id="rId21" Type="http://schemas.openxmlformats.org/officeDocument/2006/relationships/hyperlink" Target="https://www2.health.vic.gov.au/hospitals-and-health-services/rural-health/telehealth/about-telehealt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australian.physio/sites/default/files/APA_Telehealth-Guidelines-COVID19_FA.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0" Type="http://schemas.openxmlformats.org/officeDocument/2006/relationships/footer" Target="footer3.xml"/><Relationship Id="rId29" Type="http://schemas.openxmlformats.org/officeDocument/2006/relationships/hyperlink" Target="https://www.otaus.com.au/member-resources/covid-19/tele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opa.org.au/documents/item/86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safercare.vic.gov.au" TargetMode="External"/><Relationship Id="rId23" Type="http://schemas.openxmlformats.org/officeDocument/2006/relationships/hyperlink" Target="https://ahpa.com.au/wp-content/uploads/2020/06/AHPA-Telehealth-Guide_Allied-Health-Professionals-May-2020.pdf" TargetMode="External"/><Relationship Id="rId28" Type="http://schemas.openxmlformats.org/officeDocument/2006/relationships/hyperlink" Target="https://daa.asn.au/wp-content/uploads/2020/05/APD-Telehealth-Guidelines-May-2020.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2.health.vic.gov.au/hospitals-and-health-services/rural-health/telehealth/medico-legal-aspects" TargetMode="External"/><Relationship Id="rId27" Type="http://schemas.openxmlformats.org/officeDocument/2006/relationships/hyperlink" Target="https://www.psychology.org.au/for-the-public/Medicare-rebates-psychological-services/Medicare-FAQs-for-the-public/Telehealth-services/Principles-choosing-videoconferencing-technology" TargetMode="External"/><Relationship Id="rId30" Type="http://schemas.openxmlformats.org/officeDocument/2006/relationships/hyperlink" Target="https://www.speechpathologyaustralia.org.au/SPAweb/Members/Position_Statements/Position_Statements.aspx?hkey=b1a46941-246c-4609-bacc-1c1b5c52d19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6FE0931366450897007F7ED16ADE4F"/>
        <w:category>
          <w:name w:val="General"/>
          <w:gallery w:val="placeholder"/>
        </w:category>
        <w:types>
          <w:type w:val="bbPlcHdr"/>
        </w:types>
        <w:behaviors>
          <w:behavior w:val="content"/>
        </w:behaviors>
        <w:guid w:val="{DEA7599E-08D2-495E-A843-155C5219482A}"/>
      </w:docPartPr>
      <w:docPartBody>
        <w:p w:rsidR="0010331D" w:rsidRDefault="0010331D">
          <w:pPr>
            <w:pStyle w:val="D96FE0931366450897007F7ED16ADE4F"/>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1D"/>
    <w:rsid w:val="0010331D"/>
    <w:rsid w:val="00127FE7"/>
    <w:rsid w:val="00224FB3"/>
    <w:rsid w:val="00397BA5"/>
    <w:rsid w:val="00397CFD"/>
    <w:rsid w:val="003E52DD"/>
    <w:rsid w:val="004A5FD3"/>
    <w:rsid w:val="005022B3"/>
    <w:rsid w:val="00512531"/>
    <w:rsid w:val="007C6F21"/>
    <w:rsid w:val="007E3B4D"/>
    <w:rsid w:val="00A77C00"/>
    <w:rsid w:val="00A85987"/>
    <w:rsid w:val="00B55BDF"/>
    <w:rsid w:val="00C4476B"/>
    <w:rsid w:val="00CC777A"/>
    <w:rsid w:val="00CD676F"/>
    <w:rsid w:val="00D4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D96FE0931366450897007F7ED16ADE4F">
    <w:name w:val="D96FE0931366450897007F7ED16ADE4F"/>
  </w:style>
  <w:style w:type="paragraph" w:customStyle="1" w:styleId="140A86B5F32944AE9F049FB251B412C7">
    <w:name w:val="140A86B5F32944AE9F049FB251B412C7"/>
  </w:style>
  <w:style w:type="paragraph" w:customStyle="1" w:styleId="D53AF3F6E31A4C578C342FD293DF5033">
    <w:name w:val="D53AF3F6E31A4C578C342FD293DF5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8489A9025454793503A540D0360DC" ma:contentTypeVersion="13" ma:contentTypeDescription="Create a new document." ma:contentTypeScope="" ma:versionID="cedb736721045081bc315cfb7f556455">
  <xsd:schema xmlns:xsd="http://www.w3.org/2001/XMLSchema" xmlns:xs="http://www.w3.org/2001/XMLSchema" xmlns:p="http://schemas.microsoft.com/office/2006/metadata/properties" xmlns:ns3="f456a8be-1760-4601-8e7c-60c32695ff88" xmlns:ns4="e4fc9e05-8c1f-4a61-8c64-6f51c0810396" targetNamespace="http://schemas.microsoft.com/office/2006/metadata/properties" ma:root="true" ma:fieldsID="f433988c20f913235b91f309fd3d7afe" ns3:_="" ns4:_="">
    <xsd:import namespace="f456a8be-1760-4601-8e7c-60c32695ff88"/>
    <xsd:import namespace="e4fc9e05-8c1f-4a61-8c64-6f51c08103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a8be-1760-4601-8e7c-60c32695f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c9e05-8c1f-4a61-8c64-6f51c08103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CDE32-D11D-4071-B4C1-DB5B28550BEC}">
  <ds:schemaRefs>
    <ds:schemaRef ds:uri="http://schemas.microsoft.com/sharepoint/v3/contenttype/forms"/>
  </ds:schemaRefs>
</ds:datastoreItem>
</file>

<file path=customXml/itemProps2.xml><?xml version="1.0" encoding="utf-8"?>
<ds:datastoreItem xmlns:ds="http://schemas.openxmlformats.org/officeDocument/2006/customXml" ds:itemID="{94815D8A-A93D-4993-BB5F-775948C5D2AE}">
  <ds:schemaRefs>
    <ds:schemaRef ds:uri="f456a8be-1760-4601-8e7c-60c32695ff88"/>
    <ds:schemaRef ds:uri="http://purl.org/dc/elements/1.1/"/>
    <ds:schemaRef ds:uri="http://schemas.microsoft.com/office/2006/metadata/properties"/>
    <ds:schemaRef ds:uri="http://purl.org/dc/terms/"/>
    <ds:schemaRef ds:uri="e4fc9e05-8c1f-4a61-8c64-6f51c081039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B7B4E4-6330-4E89-B5CF-76AC5E05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a8be-1760-4601-8e7c-60c32695ff88"/>
    <ds:schemaRef ds:uri="e4fc9e05-8c1f-4a61-8c64-6f51c081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95385-7168-410D-B875-45AC36B2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Allied health and telehealth</vt:lpstr>
    </vt:vector>
  </TitlesOfParts>
  <Company>Department of Treasury and Finance</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and telehealth</dc:title>
  <dc:subject/>
  <dc:creator>Eleanor Bentham (DHHS)</dc:creator>
  <cp:keywords/>
  <dc:description/>
  <cp:lastModifiedBy>Emma Gumbleton (DHHS)</cp:lastModifiedBy>
  <cp:revision>3</cp:revision>
  <cp:lastPrinted>2020-07-30T22:10:00Z</cp:lastPrinted>
  <dcterms:created xsi:type="dcterms:W3CDTF">2020-07-30T22:12:00Z</dcterms:created>
  <dcterms:modified xsi:type="dcterms:W3CDTF">2020-07-30T22:20:00Z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0x01010001B8489A9025454793503A540D0360DC</vt:lpwstr>
  </property>
  <property fmtid="{D5CDD505-2E9C-101B-9397-08002B2CF9AE}" pid="5" name="MSIP_Label_efdf5488-3066-4b6c-8fea-9472b8a1f34c_Enabled">
    <vt:lpwstr>True</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Owner">
    <vt:lpwstr>Stephanie.J.Chan@safercare.vic.gov.au</vt:lpwstr>
  </property>
  <property fmtid="{D5CDD505-2E9C-101B-9397-08002B2CF9AE}" pid="8" name="MSIP_Label_efdf5488-3066-4b6c-8fea-9472b8a1f34c_SetDate">
    <vt:lpwstr>2020-07-20T23:30:34.4035684Z</vt:lpwstr>
  </property>
  <property fmtid="{D5CDD505-2E9C-101B-9397-08002B2CF9AE}" pid="9" name="MSIP_Label_efdf5488-3066-4b6c-8fea-9472b8a1f34c_Name">
    <vt:lpwstr>DO NOT MARK</vt:lpwstr>
  </property>
  <property fmtid="{D5CDD505-2E9C-101B-9397-08002B2CF9AE}" pid="10" name="MSIP_Label_efdf5488-3066-4b6c-8fea-9472b8a1f34c_Application">
    <vt:lpwstr>Microsoft Azure Information Protection</vt:lpwstr>
  </property>
  <property fmtid="{D5CDD505-2E9C-101B-9397-08002B2CF9AE}" pid="11" name="MSIP_Label_efdf5488-3066-4b6c-8fea-9472b8a1f34c_ActionId">
    <vt:lpwstr>1629758f-dff6-42de-ad28-1d680e30e1ea</vt:lpwstr>
  </property>
  <property fmtid="{D5CDD505-2E9C-101B-9397-08002B2CF9AE}" pid="12" name="MSIP_Label_efdf5488-3066-4b6c-8fea-9472b8a1f34c_Extended_MSFT_Method">
    <vt:lpwstr>Manual</vt:lpwstr>
  </property>
  <property fmtid="{D5CDD505-2E9C-101B-9397-08002B2CF9AE}" pid="13" name="Sensitivity">
    <vt:lpwstr>DO NOT MARK</vt:lpwstr>
  </property>
</Properties>
</file>