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5E57A" w14:textId="6423121A" w:rsidR="00A46288" w:rsidRDefault="000F197A" w:rsidP="00DB2323">
      <w:pPr>
        <w:pStyle w:val="Title"/>
        <w:spacing w:after="0"/>
      </w:pPr>
      <w:r>
        <w:t xml:space="preserve">Summary report: </w:t>
      </w:r>
      <w:r w:rsidR="00887875">
        <w:t>Reducing unnecessary prescribing in infant</w:t>
      </w:r>
      <w:r w:rsidR="000914EC">
        <w:t xml:space="preserve"> reflux</w:t>
      </w:r>
      <w:r w:rsidR="00E638E7">
        <w:t xml:space="preserve"> </w:t>
      </w:r>
    </w:p>
    <w:p w14:paraId="76B5E57B" w14:textId="31C92FD7" w:rsidR="00897157" w:rsidRDefault="000914EC" w:rsidP="00E03F35">
      <w:pPr>
        <w:pStyle w:val="IntroductoryText"/>
      </w:pPr>
      <w:r>
        <w:t xml:space="preserve">In 2018, </w:t>
      </w:r>
      <w:r w:rsidR="005B23C8">
        <w:t xml:space="preserve">Safer Care Victoria’s </w:t>
      </w:r>
      <w:r w:rsidR="002A32B7">
        <w:t xml:space="preserve">Paediatric Clinical Network </w:t>
      </w:r>
      <w:r>
        <w:t xml:space="preserve">partnered with the Royal Children’s Hospital (RCH) to lead a project targeting unnecessary prescribing of acid suppression therapy (AST) in infants. The resources piloted </w:t>
      </w:r>
      <w:r w:rsidR="00CC7F53">
        <w:t>in</w:t>
      </w:r>
      <w:r>
        <w:t xml:space="preserve"> the project</w:t>
      </w:r>
      <w:r w:rsidR="002D598C">
        <w:t xml:space="preserve"> aim to improve parent and clinician knowledge of the potential harms and benefits of ASTs in infants.</w:t>
      </w:r>
    </w:p>
    <w:p w14:paraId="76B5E57C" w14:textId="77777777" w:rsidR="007A4444" w:rsidRDefault="007A4444" w:rsidP="007A4444">
      <w:pPr>
        <w:pStyle w:val="NoSpacing"/>
        <w:sectPr w:rsidR="007A4444" w:rsidSect="000905F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438" w:right="737" w:bottom="680" w:left="737" w:header="539" w:footer="624" w:gutter="0"/>
          <w:cols w:space="284"/>
          <w:titlePg/>
          <w:docGrid w:linePitch="360"/>
        </w:sectPr>
      </w:pPr>
    </w:p>
    <w:p w14:paraId="76B5E57D" w14:textId="5EB1AB8C" w:rsidR="008A58D2" w:rsidRDefault="008001F8" w:rsidP="00DB2323">
      <w:pPr>
        <w:pStyle w:val="Heading2"/>
      </w:pPr>
      <w:r>
        <w:t>B</w:t>
      </w:r>
      <w:r w:rsidR="00DB2323">
        <w:t>ackground</w:t>
      </w:r>
    </w:p>
    <w:p w14:paraId="76B5E57E" w14:textId="57F089EB" w:rsidR="00887875" w:rsidRDefault="003D5AA5" w:rsidP="005B23C8">
      <w:pPr>
        <w:pStyle w:val="Normalfollowingheading"/>
      </w:pPr>
      <w:r w:rsidRPr="00314106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ADC8154" wp14:editId="699A2751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2905125" cy="45148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514850"/>
                        </a:xfrm>
                        <a:prstGeom prst="rect">
                          <a:avLst/>
                        </a:prstGeom>
                        <a:solidFill>
                          <a:srgbClr val="EDF5F7"/>
                        </a:solidFill>
                        <a:ln w="6350">
                          <a:solidFill>
                            <a:srgbClr val="EDF5F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1B012" w14:textId="77777777" w:rsidR="00CD4460" w:rsidRPr="004D6898" w:rsidRDefault="00CD4460" w:rsidP="00CD4460">
                            <w:pPr>
                              <w:pStyle w:val="PulloutHeading"/>
                            </w:pPr>
                            <w:r>
                              <w:t>RESULTS AT A GLANCE</w:t>
                            </w:r>
                          </w:p>
                          <w:p w14:paraId="3F5C6F1E" w14:textId="77777777" w:rsidR="00CD4460" w:rsidRPr="00BF2D11" w:rsidRDefault="00CD4460" w:rsidP="00BF2D11">
                            <w:pPr>
                              <w:pStyle w:val="PulloutText"/>
                              <w:rPr>
                                <w:b/>
                                <w:bCs/>
                              </w:rPr>
                            </w:pPr>
                            <w:r w:rsidRPr="00BF2D11">
                              <w:rPr>
                                <w:b/>
                                <w:bCs/>
                              </w:rPr>
                              <w:t>Health services</w:t>
                            </w:r>
                          </w:p>
                          <w:p w14:paraId="581F9DCD" w14:textId="6C1ED469" w:rsidR="00CD4460" w:rsidRDefault="006365A1" w:rsidP="00BF2D11">
                            <w:pPr>
                              <w:pStyle w:val="PulloutText"/>
                            </w:pPr>
                            <w:r>
                              <w:t xml:space="preserve">Three </w:t>
                            </w:r>
                            <w:r w:rsidR="00CD4460">
                              <w:t>Victorian hospitals participated in the pilot representing a mix of metropolitan, regional, tertiary and non-tertiary services.</w:t>
                            </w:r>
                          </w:p>
                          <w:p w14:paraId="4FF59B63" w14:textId="77777777" w:rsidR="00CD4460" w:rsidRPr="00BF2D11" w:rsidRDefault="00CD4460" w:rsidP="00BF2D11">
                            <w:pPr>
                              <w:pStyle w:val="PulloutText"/>
                              <w:rPr>
                                <w:b/>
                                <w:bCs/>
                              </w:rPr>
                            </w:pPr>
                            <w:r w:rsidRPr="00BF2D11">
                              <w:rPr>
                                <w:b/>
                                <w:bCs/>
                              </w:rPr>
                              <w:t>Duration</w:t>
                            </w:r>
                          </w:p>
                          <w:p w14:paraId="1C56FD9C" w14:textId="77777777" w:rsidR="00CD4460" w:rsidRDefault="00CD4460" w:rsidP="00BF2D11">
                            <w:pPr>
                              <w:pStyle w:val="PulloutText"/>
                            </w:pPr>
                            <w:r>
                              <w:t>May 2018 to April 2020</w:t>
                            </w:r>
                          </w:p>
                          <w:p w14:paraId="504BF894" w14:textId="77777777" w:rsidR="00CD4460" w:rsidRPr="00BF2D11" w:rsidRDefault="00CD4460" w:rsidP="00BF2D11">
                            <w:pPr>
                              <w:pStyle w:val="PulloutText"/>
                              <w:rPr>
                                <w:b/>
                                <w:bCs/>
                              </w:rPr>
                            </w:pPr>
                            <w:r w:rsidRPr="00BF2D11">
                              <w:rPr>
                                <w:b/>
                                <w:bCs/>
                              </w:rPr>
                              <w:t>Project measures</w:t>
                            </w:r>
                          </w:p>
                          <w:p w14:paraId="0D8C145E" w14:textId="77777777" w:rsidR="00CD4460" w:rsidRDefault="00CD4460" w:rsidP="00BF2D11">
                            <w:pPr>
                              <w:pStyle w:val="PulloutText"/>
                            </w:pPr>
                            <w:r>
                              <w:t>One outcome measure, four process measures</w:t>
                            </w:r>
                          </w:p>
                          <w:p w14:paraId="51F62261" w14:textId="77777777" w:rsidR="00CD4460" w:rsidRPr="00BF2D11" w:rsidRDefault="00CD4460" w:rsidP="00BF2D11">
                            <w:pPr>
                              <w:pStyle w:val="PulloutText"/>
                              <w:rPr>
                                <w:b/>
                                <w:bCs/>
                              </w:rPr>
                            </w:pPr>
                            <w:r w:rsidRPr="00BF2D11">
                              <w:rPr>
                                <w:b/>
                                <w:bCs/>
                              </w:rPr>
                              <w:t>Results</w:t>
                            </w:r>
                          </w:p>
                          <w:p w14:paraId="6A91C0F9" w14:textId="4242D44B" w:rsidR="00CD4460" w:rsidRDefault="00CD4460" w:rsidP="00BF2D11">
                            <w:pPr>
                              <w:pStyle w:val="PulloutText"/>
                            </w:pPr>
                            <w:r>
                              <w:t>21% decrease in AST prescriptions across the three hospitals</w:t>
                            </w:r>
                          </w:p>
                          <w:p w14:paraId="74A4F336" w14:textId="77777777" w:rsidR="00CD4460" w:rsidRPr="00BF2D11" w:rsidRDefault="00CD4460" w:rsidP="00BF2D11">
                            <w:pPr>
                              <w:pStyle w:val="PulloutText"/>
                              <w:rPr>
                                <w:b/>
                                <w:bCs/>
                              </w:rPr>
                            </w:pPr>
                            <w:r w:rsidRPr="00BF2D11">
                              <w:rPr>
                                <w:b/>
                                <w:bCs/>
                              </w:rPr>
                              <w:t>Other outcomes</w:t>
                            </w:r>
                          </w:p>
                          <w:p w14:paraId="771347E3" w14:textId="75C7ADC3" w:rsidR="00CD4460" w:rsidRDefault="00F82BC9" w:rsidP="00830712">
                            <w:pPr>
                              <w:pStyle w:val="PulloutText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</w:pPr>
                            <w:r>
                              <w:t>More</w:t>
                            </w:r>
                            <w:r w:rsidR="00CD4460">
                              <w:t xml:space="preserve"> parents advised to cease AST</w:t>
                            </w:r>
                          </w:p>
                          <w:p w14:paraId="39B9D79C" w14:textId="77777777" w:rsidR="00CD4460" w:rsidRDefault="00CD4460" w:rsidP="00830712">
                            <w:pPr>
                              <w:pStyle w:val="PulloutText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</w:pPr>
                            <w:r>
                              <w:t>Improved parent knowledge that ASTs can cause harm</w:t>
                            </w:r>
                          </w:p>
                          <w:p w14:paraId="29915729" w14:textId="77777777" w:rsidR="00CD4460" w:rsidRDefault="00CD4460" w:rsidP="00830712">
                            <w:pPr>
                              <w:pStyle w:val="PulloutText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</w:pPr>
                            <w:r>
                              <w:t>Improved clinician capability and confidence to manage infants with gastro-oesophageal reflux</w:t>
                            </w:r>
                          </w:p>
                        </w:txbxContent>
                      </wps:txbx>
                      <wps:bodyPr rot="0" vert="horz" wrap="square" lIns="180000" tIns="180000" rIns="144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C81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.55pt;margin-top:7.85pt;width:228.75pt;height:355.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" fillcolor="#edf5f7" strokecolor="#edf5f7" strokeweight=".5pt">
                <v:textbox inset="5mm,5mm,4mm,1mm">
                  <w:txbxContent>
                    <w:p w14:paraId="18D1B012" w14:textId="77777777" w:rsidR="00CD4460" w:rsidRPr="004D6898" w:rsidRDefault="00CD4460" w:rsidP="00CD4460">
                      <w:pPr>
                        <w:pStyle w:val="PulloutHeading"/>
                      </w:pPr>
                      <w:r>
                        <w:t>RESULTS AT A GLANCE</w:t>
                      </w:r>
                    </w:p>
                    <w:p w14:paraId="3F5C6F1E" w14:textId="77777777" w:rsidR="00CD4460" w:rsidRPr="00BF2D11" w:rsidRDefault="00CD4460" w:rsidP="00BF2D11">
                      <w:pPr>
                        <w:pStyle w:val="PulloutText"/>
                        <w:rPr>
                          <w:b/>
                          <w:bCs/>
                        </w:rPr>
                      </w:pPr>
                      <w:r w:rsidRPr="00BF2D11">
                        <w:rPr>
                          <w:b/>
                          <w:bCs/>
                        </w:rPr>
                        <w:t>Health services</w:t>
                      </w:r>
                    </w:p>
                    <w:p w14:paraId="581F9DCD" w14:textId="6C1ED469" w:rsidR="00CD4460" w:rsidRDefault="006365A1" w:rsidP="00BF2D11">
                      <w:pPr>
                        <w:pStyle w:val="PulloutText"/>
                      </w:pPr>
                      <w:r>
                        <w:t xml:space="preserve">Three </w:t>
                      </w:r>
                      <w:r w:rsidR="00CD4460">
                        <w:t>Victorian hospitals participated in the pilot representing a mix of metropolitan, regional, tertiary and non-tertiary services.</w:t>
                      </w:r>
                    </w:p>
                    <w:p w14:paraId="4FF59B63" w14:textId="77777777" w:rsidR="00CD4460" w:rsidRPr="00BF2D11" w:rsidRDefault="00CD4460" w:rsidP="00BF2D11">
                      <w:pPr>
                        <w:pStyle w:val="PulloutText"/>
                        <w:rPr>
                          <w:b/>
                          <w:bCs/>
                        </w:rPr>
                      </w:pPr>
                      <w:r w:rsidRPr="00BF2D11">
                        <w:rPr>
                          <w:b/>
                          <w:bCs/>
                        </w:rPr>
                        <w:t>Duration</w:t>
                      </w:r>
                    </w:p>
                    <w:p w14:paraId="1C56FD9C" w14:textId="77777777" w:rsidR="00CD4460" w:rsidRDefault="00CD4460" w:rsidP="00BF2D11">
                      <w:pPr>
                        <w:pStyle w:val="PulloutText"/>
                      </w:pPr>
                      <w:r>
                        <w:t>May 2018 to April 2020</w:t>
                      </w:r>
                    </w:p>
                    <w:p w14:paraId="504BF894" w14:textId="77777777" w:rsidR="00CD4460" w:rsidRPr="00BF2D11" w:rsidRDefault="00CD4460" w:rsidP="00BF2D11">
                      <w:pPr>
                        <w:pStyle w:val="PulloutText"/>
                        <w:rPr>
                          <w:b/>
                          <w:bCs/>
                        </w:rPr>
                      </w:pPr>
                      <w:r w:rsidRPr="00BF2D11">
                        <w:rPr>
                          <w:b/>
                          <w:bCs/>
                        </w:rPr>
                        <w:t>Project measures</w:t>
                      </w:r>
                    </w:p>
                    <w:p w14:paraId="0D8C145E" w14:textId="77777777" w:rsidR="00CD4460" w:rsidRDefault="00CD4460" w:rsidP="00BF2D11">
                      <w:pPr>
                        <w:pStyle w:val="PulloutText"/>
                      </w:pPr>
                      <w:r>
                        <w:t>One outcome measure, four process measures</w:t>
                      </w:r>
                    </w:p>
                    <w:p w14:paraId="51F62261" w14:textId="77777777" w:rsidR="00CD4460" w:rsidRPr="00BF2D11" w:rsidRDefault="00CD4460" w:rsidP="00BF2D11">
                      <w:pPr>
                        <w:pStyle w:val="PulloutText"/>
                        <w:rPr>
                          <w:b/>
                          <w:bCs/>
                        </w:rPr>
                      </w:pPr>
                      <w:r w:rsidRPr="00BF2D11">
                        <w:rPr>
                          <w:b/>
                          <w:bCs/>
                        </w:rPr>
                        <w:t>Results</w:t>
                      </w:r>
                    </w:p>
                    <w:p w14:paraId="6A91C0F9" w14:textId="4242D44B" w:rsidR="00CD4460" w:rsidRDefault="00CD4460" w:rsidP="00BF2D11">
                      <w:pPr>
                        <w:pStyle w:val="PulloutText"/>
                      </w:pPr>
                      <w:r>
                        <w:t>21% decrease in AST prescriptions across the three hospitals</w:t>
                      </w:r>
                    </w:p>
                    <w:p w14:paraId="74A4F336" w14:textId="77777777" w:rsidR="00CD4460" w:rsidRPr="00BF2D11" w:rsidRDefault="00CD4460" w:rsidP="00BF2D11">
                      <w:pPr>
                        <w:pStyle w:val="PulloutText"/>
                        <w:rPr>
                          <w:b/>
                          <w:bCs/>
                        </w:rPr>
                      </w:pPr>
                      <w:r w:rsidRPr="00BF2D11">
                        <w:rPr>
                          <w:b/>
                          <w:bCs/>
                        </w:rPr>
                        <w:t>Other outcomes</w:t>
                      </w:r>
                    </w:p>
                    <w:p w14:paraId="771347E3" w14:textId="75C7ADC3" w:rsidR="00CD4460" w:rsidRDefault="00F82BC9" w:rsidP="00830712">
                      <w:pPr>
                        <w:pStyle w:val="PulloutText"/>
                        <w:numPr>
                          <w:ilvl w:val="0"/>
                          <w:numId w:val="18"/>
                        </w:numPr>
                        <w:spacing w:line="240" w:lineRule="auto"/>
                      </w:pPr>
                      <w:r>
                        <w:t>More</w:t>
                      </w:r>
                      <w:r w:rsidR="00CD4460">
                        <w:t xml:space="preserve"> parents advised to cease AST</w:t>
                      </w:r>
                    </w:p>
                    <w:p w14:paraId="39B9D79C" w14:textId="77777777" w:rsidR="00CD4460" w:rsidRDefault="00CD4460" w:rsidP="00830712">
                      <w:pPr>
                        <w:pStyle w:val="PulloutText"/>
                        <w:numPr>
                          <w:ilvl w:val="0"/>
                          <w:numId w:val="18"/>
                        </w:numPr>
                        <w:spacing w:line="240" w:lineRule="auto"/>
                      </w:pPr>
                      <w:r>
                        <w:t>Improved parent knowledge that ASTs can cause harm</w:t>
                      </w:r>
                    </w:p>
                    <w:p w14:paraId="29915729" w14:textId="77777777" w:rsidR="00CD4460" w:rsidRDefault="00CD4460" w:rsidP="00830712">
                      <w:pPr>
                        <w:pStyle w:val="PulloutText"/>
                        <w:numPr>
                          <w:ilvl w:val="0"/>
                          <w:numId w:val="18"/>
                        </w:numPr>
                        <w:spacing w:line="240" w:lineRule="auto"/>
                      </w:pPr>
                      <w:r>
                        <w:t>Improved clinician capability and confidence to manage infants with gastro-oesophageal reflux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7F53">
        <w:t>‘</w:t>
      </w:r>
      <w:r w:rsidR="00887875">
        <w:t>Do not routinely treat gastro</w:t>
      </w:r>
      <w:r w:rsidR="00F82BC9">
        <w:t>-o</w:t>
      </w:r>
      <w:r w:rsidR="00887875">
        <w:t>esophageal reflux disease (GORD) in infants with acid suppression therapy’</w:t>
      </w:r>
      <w:r w:rsidR="00887875" w:rsidRPr="00887875">
        <w:rPr>
          <w:vertAlign w:val="superscript"/>
        </w:rPr>
        <w:t>1</w:t>
      </w:r>
      <w:r w:rsidR="00887875">
        <w:t xml:space="preserve"> has been identified as a top five low value care (LVC) paediatric practice in Australia. LVC encompasses any practice that lacks evidence of efficacy, may cause harm or provides minimal benefit to the patient.</w:t>
      </w:r>
      <w:r w:rsidR="00887875" w:rsidRPr="00887875">
        <w:rPr>
          <w:vertAlign w:val="superscript"/>
        </w:rPr>
        <w:t>2</w:t>
      </w:r>
      <w:r w:rsidR="00887875">
        <w:t xml:space="preserve"> </w:t>
      </w:r>
      <w:r w:rsidR="000B42B7">
        <w:t>T</w:t>
      </w:r>
      <w:r w:rsidR="00887875">
        <w:t>argeting LVC practices has become an increasing priority for the Australian healthcare system.</w:t>
      </w:r>
    </w:p>
    <w:p w14:paraId="76B5E57F" w14:textId="16F64A3F" w:rsidR="000B42B7" w:rsidRDefault="00887875" w:rsidP="00B048AB">
      <w:r>
        <w:t>Infant gastro-oesophageal reflux</w:t>
      </w:r>
      <w:r w:rsidR="000B42B7">
        <w:t xml:space="preserve"> (GOR)</w:t>
      </w:r>
      <w:r>
        <w:t xml:space="preserve"> is a physiological process that can be characterised by vomiting or small ‘</w:t>
      </w:r>
      <w:proofErr w:type="gramStart"/>
      <w:r>
        <w:t>possets’</w:t>
      </w:r>
      <w:proofErr w:type="gramEnd"/>
      <w:r>
        <w:t>. It</w:t>
      </w:r>
      <w:r w:rsidR="00F82BC9">
        <w:t>’s common for</w:t>
      </w:r>
      <w:r w:rsidR="00233559">
        <w:t xml:space="preserve"> </w:t>
      </w:r>
      <w:r>
        <w:t xml:space="preserve">infants </w:t>
      </w:r>
      <w:r w:rsidR="00F82BC9">
        <w:t xml:space="preserve">to </w:t>
      </w:r>
      <w:r>
        <w:t xml:space="preserve">experience </w:t>
      </w:r>
      <w:r w:rsidR="000B42B7">
        <w:t>GOR</w:t>
      </w:r>
      <w:r>
        <w:t xml:space="preserve"> and it tends to self-resolve as </w:t>
      </w:r>
      <w:r w:rsidR="00F82BC9">
        <w:t>they</w:t>
      </w:r>
      <w:r>
        <w:t xml:space="preserve"> get older, without the need for medical intervention.</w:t>
      </w:r>
    </w:p>
    <w:p w14:paraId="2381085D" w14:textId="77777777" w:rsidR="00F55B46" w:rsidRDefault="00F55B46" w:rsidP="00F55B46">
      <w:r>
        <w:t>ASTs are commonly prescribed to treat infant GOR. ASTs, such as proton pump inhibitors (PPIs) and histamine-2 receptor antagonists (H2RAs), have been shown to cause harm in infants. There is also strong evidence to show ASTs are ineffective in managing infant GOR, irritability or unsettled behaviours.</w:t>
      </w:r>
      <w:r>
        <w:rPr>
          <w:vertAlign w:val="superscript"/>
        </w:rPr>
        <w:t>3</w:t>
      </w:r>
    </w:p>
    <w:p w14:paraId="1A5028EB" w14:textId="30E8A446" w:rsidR="00662AF0" w:rsidRDefault="00F55B46" w:rsidP="00F55B46">
      <w:pPr>
        <w:sectPr w:rsidR="00662AF0" w:rsidSect="00427405">
          <w:type w:val="continuous"/>
          <w:pgSz w:w="11906" w:h="16838" w:code="9"/>
          <w:pgMar w:top="1276" w:right="737" w:bottom="680" w:left="737" w:header="539" w:footer="624" w:gutter="0"/>
          <w:cols w:space="284"/>
          <w:docGrid w:linePitch="360"/>
        </w:sectPr>
      </w:pPr>
      <w:r>
        <w:t xml:space="preserve">The Health Services Research Unit at RCH submitted a project proposal </w:t>
      </w:r>
      <w:r w:rsidR="00F82BC9">
        <w:t>to</w:t>
      </w:r>
      <w:r>
        <w:t xml:space="preserve"> </w:t>
      </w:r>
      <w:r w:rsidR="00233559">
        <w:t>r</w:t>
      </w:r>
      <w:r>
        <w:t>educ</w:t>
      </w:r>
      <w:r w:rsidR="00F82BC9">
        <w:t>e</w:t>
      </w:r>
      <w:r>
        <w:t xml:space="preserve"> unnecessary</w:t>
      </w:r>
      <w:r w:rsidR="00F82BC9">
        <w:t xml:space="preserve"> AST prescribing. The PCN recognised the value and agreed to fund a two-year improvement project.</w:t>
      </w:r>
    </w:p>
    <w:p w14:paraId="264847BF" w14:textId="77777777" w:rsidR="00427405" w:rsidRDefault="00427405" w:rsidP="00314106">
      <w:pPr>
        <w:pStyle w:val="Heading2"/>
        <w:sectPr w:rsidR="00427405" w:rsidSect="00662AF0">
          <w:type w:val="continuous"/>
          <w:pgSz w:w="11906" w:h="16838" w:code="9"/>
          <w:pgMar w:top="1276" w:right="737" w:bottom="680" w:left="737" w:header="539" w:footer="624" w:gutter="0"/>
          <w:cols w:space="284"/>
          <w:docGrid w:linePitch="360"/>
        </w:sectPr>
      </w:pPr>
    </w:p>
    <w:p w14:paraId="284A8405" w14:textId="77777777" w:rsidR="005B23C8" w:rsidRDefault="005B23C8" w:rsidP="005B23C8">
      <w:pPr>
        <w:pStyle w:val="Normalfollowingheading"/>
        <w:spacing w:after="0"/>
      </w:pPr>
    </w:p>
    <w:p w14:paraId="7F975052" w14:textId="752BB1A2" w:rsidR="00314106" w:rsidRDefault="00314106" w:rsidP="00233559">
      <w:pPr>
        <w:pStyle w:val="Heading2"/>
        <w:spacing w:before="0"/>
      </w:pPr>
      <w:r>
        <w:t>aim</w:t>
      </w:r>
    </w:p>
    <w:p w14:paraId="00A73C1A" w14:textId="36F099A5" w:rsidR="00CD4460" w:rsidRDefault="00F82BC9" w:rsidP="005B23C8">
      <w:pPr>
        <w:pStyle w:val="Normalfollowingheading"/>
      </w:pPr>
      <w:r>
        <w:t>T</w:t>
      </w:r>
      <w:r w:rsidR="007857E5" w:rsidRPr="007857E5">
        <w:t>o co-design and pilot a targeted intervention package to reduce unnecessary prescribing of AST for infant gastro-oesophageal reflux by 20</w:t>
      </w:r>
      <w:r w:rsidR="005B23C8">
        <w:t xml:space="preserve"> per cent</w:t>
      </w:r>
      <w:r w:rsidR="007857E5" w:rsidRPr="007857E5">
        <w:t xml:space="preserve"> in four Victorian hospitals by April 2020</w:t>
      </w:r>
      <w:r w:rsidR="00CD4460">
        <w:t>.</w:t>
      </w:r>
    </w:p>
    <w:p w14:paraId="5E08F5FC" w14:textId="6B1F0973" w:rsidR="00CD4460" w:rsidRDefault="00CD4460" w:rsidP="00CD4460"/>
    <w:p w14:paraId="76B5E59D" w14:textId="0ADA7E9B" w:rsidR="00E20FC0" w:rsidRDefault="009229D9" w:rsidP="005B23C8">
      <w:pPr>
        <w:pStyle w:val="Heading2"/>
        <w:spacing w:before="400"/>
      </w:pPr>
      <w:r>
        <w:t xml:space="preserve">improvement </w:t>
      </w:r>
      <w:r w:rsidR="0087586E">
        <w:t>approach</w:t>
      </w:r>
    </w:p>
    <w:p w14:paraId="031ABFAF" w14:textId="7494C871" w:rsidR="005B23C8" w:rsidRDefault="000820E1" w:rsidP="005B23C8">
      <w:pPr>
        <w:pStyle w:val="Normalfollowingheading"/>
      </w:pPr>
      <w:r>
        <w:t>The project design integrated research and improvement science methodologies to achieve the overall aim. Ethics approval was granted for the project from the RCH Human Research Ethics Committee.</w:t>
      </w:r>
    </w:p>
    <w:p w14:paraId="0A7CA2AE" w14:textId="77777777" w:rsidR="00D801D5" w:rsidRDefault="00D801D5" w:rsidP="00B048AB">
      <w:pPr>
        <w:spacing w:before="0" w:after="120"/>
      </w:pPr>
      <w:r>
        <w:br w:type="page"/>
      </w:r>
    </w:p>
    <w:p w14:paraId="76B5E59F" w14:textId="26EDC3C8" w:rsidR="007F3547" w:rsidRDefault="00E20FC0" w:rsidP="00D801D5">
      <w:pPr>
        <w:spacing w:before="120" w:after="120" w:line="260" w:lineRule="atLeast"/>
      </w:pPr>
      <w:r>
        <w:lastRenderedPageBreak/>
        <w:t>Four hospitals were recruited to the project following an expression of interest.</w:t>
      </w:r>
      <w:r w:rsidR="000820E1">
        <w:t xml:space="preserve"> Parents and clinicians from each hospital participated in qualitative interviews in April and May 2019</w:t>
      </w:r>
      <w:r w:rsidR="006365A1">
        <w:t xml:space="preserve">, focusing </w:t>
      </w:r>
      <w:r w:rsidR="000820E1">
        <w:t xml:space="preserve">on understanding the behaviours contributing to unnecessary prescribing. </w:t>
      </w:r>
      <w:r w:rsidR="007F3547">
        <w:t xml:space="preserve">The key findings informed the conversation at the co-design workshop in June 2019. Clinicians from each hospital and a consumer representative attended the workshop and developed </w:t>
      </w:r>
      <w:proofErr w:type="gramStart"/>
      <w:r w:rsidR="007F3547">
        <w:t>a number of</w:t>
      </w:r>
      <w:proofErr w:type="gramEnd"/>
      <w:r w:rsidR="007F3547">
        <w:t xml:space="preserve"> resources to target unnecessary prescribing and improve knowledge. </w:t>
      </w:r>
    </w:p>
    <w:p w14:paraId="76B5E5A0" w14:textId="104F975A" w:rsidR="00DD758B" w:rsidRDefault="006365A1" w:rsidP="00D801D5">
      <w:pPr>
        <w:spacing w:before="120" w:after="120" w:line="260" w:lineRule="atLeast"/>
      </w:pPr>
      <w:r>
        <w:t>T</w:t>
      </w:r>
      <w:r w:rsidR="00E20FC0">
        <w:t>hree hospitals piloted the developed resources. Each hospital team used the improvement science methodology to test the resources</w:t>
      </w:r>
      <w:r>
        <w:t>, supported by</w:t>
      </w:r>
      <w:r w:rsidR="00233559">
        <w:t xml:space="preserve"> </w:t>
      </w:r>
      <w:r w:rsidR="005B23C8">
        <w:t>SCV</w:t>
      </w:r>
      <w:r w:rsidR="007F3547">
        <w:t xml:space="preserve"> during the</w:t>
      </w:r>
      <w:r w:rsidR="00C639C8">
        <w:t xml:space="preserve"> resource</w:t>
      </w:r>
      <w:r w:rsidR="007F3547">
        <w:t xml:space="preserve"> piloting phase </w:t>
      </w:r>
      <w:r w:rsidR="00C639C8">
        <w:t xml:space="preserve">and </w:t>
      </w:r>
      <w:r>
        <w:t xml:space="preserve">to </w:t>
      </w:r>
      <w:r w:rsidR="007F3547">
        <w:t>apply improvement science.</w:t>
      </w:r>
    </w:p>
    <w:p w14:paraId="76B5E5A1" w14:textId="77777777" w:rsidR="00C639C8" w:rsidRDefault="007F3547" w:rsidP="00D801D5">
      <w:pPr>
        <w:spacing w:before="120" w:after="120" w:line="260" w:lineRule="atLeast"/>
      </w:pPr>
      <w:r>
        <w:t xml:space="preserve">Quantitative data was collected pre and post the </w:t>
      </w:r>
      <w:r w:rsidR="00C639C8">
        <w:t xml:space="preserve">resource </w:t>
      </w:r>
      <w:r>
        <w:t>pilot phase to determine the change in prescribing of ASTs.</w:t>
      </w:r>
    </w:p>
    <w:p w14:paraId="76B5E5A2" w14:textId="77777777" w:rsidR="00A463DB" w:rsidRDefault="009229D9" w:rsidP="009229D9">
      <w:pPr>
        <w:pStyle w:val="Heading2"/>
      </w:pPr>
      <w:r>
        <w:t>key improvements</w:t>
      </w:r>
    </w:p>
    <w:p w14:paraId="76B5E5A3" w14:textId="77777777" w:rsidR="0087586E" w:rsidRDefault="00C639C8" w:rsidP="00A44CF6">
      <w:pPr>
        <w:pStyle w:val="Heading4"/>
        <w:spacing w:before="120"/>
      </w:pPr>
      <w:r>
        <w:t>Resources</w:t>
      </w:r>
      <w:r w:rsidR="0087586E">
        <w:t xml:space="preserve"> </w:t>
      </w:r>
    </w:p>
    <w:p w14:paraId="76B5E5A5" w14:textId="6A162342" w:rsidR="0087586E" w:rsidRDefault="00D801D5" w:rsidP="0087586E">
      <w:pPr>
        <w:pStyle w:val="Bullet1"/>
      </w:pPr>
      <w:r>
        <w:t>A</w:t>
      </w:r>
      <w:r w:rsidR="005B23C8">
        <w:t>n e</w:t>
      </w:r>
      <w:r w:rsidR="00C639C8">
        <w:t>ducation seminar to enhance clinician knowledge of GOR, and potential harms and benefits of ASTs</w:t>
      </w:r>
      <w:r>
        <w:t>.</w:t>
      </w:r>
    </w:p>
    <w:p w14:paraId="76B5E5A6" w14:textId="6E537809" w:rsidR="0087586E" w:rsidRDefault="00D801D5" w:rsidP="0087586E">
      <w:pPr>
        <w:pStyle w:val="Bullet1"/>
      </w:pPr>
      <w:r>
        <w:t>V</w:t>
      </w:r>
      <w:r w:rsidR="00C639C8">
        <w:t>erbal communication script and recorded role play scenarios to facilitate effective communication between clinicians and parents</w:t>
      </w:r>
      <w:r>
        <w:t>.</w:t>
      </w:r>
    </w:p>
    <w:p w14:paraId="76B5E5A7" w14:textId="30955ED1" w:rsidR="0087586E" w:rsidRDefault="00D801D5" w:rsidP="0087586E">
      <w:pPr>
        <w:pStyle w:val="Bullet1"/>
      </w:pPr>
      <w:r>
        <w:t>I</w:t>
      </w:r>
      <w:r w:rsidR="00C639C8">
        <w:t xml:space="preserve">rritable </w:t>
      </w:r>
      <w:r w:rsidR="005B23C8">
        <w:t>i</w:t>
      </w:r>
      <w:r w:rsidR="00C639C8">
        <w:t xml:space="preserve">nfant </w:t>
      </w:r>
      <w:r w:rsidR="005B23C8">
        <w:t>a</w:t>
      </w:r>
      <w:r w:rsidR="00C639C8">
        <w:t>ssessment flowchart to assist clinicians with diagnosis journey</w:t>
      </w:r>
      <w:r>
        <w:t>.</w:t>
      </w:r>
    </w:p>
    <w:p w14:paraId="76B5E5A8" w14:textId="15FFA0FB" w:rsidR="0087586E" w:rsidRDefault="00D801D5" w:rsidP="0087586E">
      <w:pPr>
        <w:pStyle w:val="Bullet1"/>
      </w:pPr>
      <w:r>
        <w:t>T</w:t>
      </w:r>
      <w:r w:rsidR="00C639C8">
        <w:t>hree parent handouts:</w:t>
      </w:r>
    </w:p>
    <w:p w14:paraId="76B5E5A9" w14:textId="77777777" w:rsidR="00C639C8" w:rsidRPr="00C639C8" w:rsidRDefault="00C639C8" w:rsidP="002D176E">
      <w:pPr>
        <w:pStyle w:val="Bullet2"/>
        <w:spacing w:after="0"/>
      </w:pPr>
      <w:r>
        <w:rPr>
          <w:i/>
        </w:rPr>
        <w:t>How do I know if my child has reflux?</w:t>
      </w:r>
    </w:p>
    <w:p w14:paraId="76B5E5AA" w14:textId="77777777" w:rsidR="00C639C8" w:rsidRPr="002D176E" w:rsidRDefault="00C639C8" w:rsidP="002D176E">
      <w:pPr>
        <w:pStyle w:val="Bullet2"/>
        <w:spacing w:after="0"/>
        <w:rPr>
          <w:i/>
        </w:rPr>
      </w:pPr>
      <w:r>
        <w:rPr>
          <w:i/>
        </w:rPr>
        <w:t>How to stop reflux medications</w:t>
      </w:r>
    </w:p>
    <w:p w14:paraId="76B5E5AB" w14:textId="555C5B58" w:rsidR="00C639C8" w:rsidRPr="002D176E" w:rsidRDefault="00C639C8" w:rsidP="002D176E">
      <w:pPr>
        <w:pStyle w:val="Bullet2"/>
        <w:spacing w:after="0"/>
        <w:rPr>
          <w:i/>
        </w:rPr>
      </w:pPr>
      <w:r>
        <w:rPr>
          <w:i/>
        </w:rPr>
        <w:t>Managing unsettled babies</w:t>
      </w:r>
      <w:r w:rsidR="00D801D5">
        <w:rPr>
          <w:i/>
        </w:rPr>
        <w:t>.</w:t>
      </w:r>
    </w:p>
    <w:p w14:paraId="76B5E5AC" w14:textId="53292445" w:rsidR="00C639C8" w:rsidRDefault="00C639C8" w:rsidP="0087586E">
      <w:pPr>
        <w:pStyle w:val="Bullet1"/>
      </w:pPr>
      <w:r w:rsidRPr="00C639C8">
        <w:rPr>
          <w:i/>
        </w:rPr>
        <w:t>Baby Business</w:t>
      </w:r>
      <w:r>
        <w:t xml:space="preserve"> booklet developed by the Murdoch Children’s Research Institute</w:t>
      </w:r>
      <w:r w:rsidR="00D801D5">
        <w:t>.</w:t>
      </w:r>
    </w:p>
    <w:p w14:paraId="2A1B7905" w14:textId="56692F4D" w:rsidR="000F13F3" w:rsidRDefault="00D801D5" w:rsidP="0084764F">
      <w:pPr>
        <w:pStyle w:val="Bullet1"/>
      </w:pPr>
      <w:r>
        <w:t>I</w:t>
      </w:r>
      <w:r w:rsidR="00C639C8">
        <w:t xml:space="preserve">nformation handout for </w:t>
      </w:r>
      <w:r w:rsidR="005B23C8">
        <w:t>g</w:t>
      </w:r>
      <w:r w:rsidR="00C639C8">
        <w:t xml:space="preserve">eneral </w:t>
      </w:r>
      <w:r w:rsidR="005B23C8">
        <w:t>p</w:t>
      </w:r>
      <w:r w:rsidR="00C639C8">
        <w:t>ractitioners</w:t>
      </w:r>
      <w:r>
        <w:t>.</w:t>
      </w:r>
    </w:p>
    <w:p w14:paraId="77BF6E00" w14:textId="2694F21C" w:rsidR="00C639C8" w:rsidRDefault="00D801D5" w:rsidP="0087586E">
      <w:pPr>
        <w:pStyle w:val="Bullet1"/>
      </w:pPr>
      <w:r>
        <w:t>P</w:t>
      </w:r>
      <w:r w:rsidR="00C639C8">
        <w:t>osters to promote key messages</w:t>
      </w:r>
      <w:r w:rsidR="005B23C8">
        <w:t>.</w:t>
      </w:r>
    </w:p>
    <w:p w14:paraId="76B5E5AF" w14:textId="6A79AA93" w:rsidR="00C639C8" w:rsidRDefault="00D801D5" w:rsidP="005B23C8">
      <w:r>
        <w:br w:type="column"/>
      </w:r>
      <w:r w:rsidR="00C639C8">
        <w:t>The resources follow the clinical guidance provided by the updated RCH Clinical Practice Guidelines</w:t>
      </w:r>
      <w:r w:rsidR="002A32B7">
        <w:t xml:space="preserve"> (CPGs)</w:t>
      </w:r>
      <w:r w:rsidR="00C639C8">
        <w:t>:</w:t>
      </w:r>
    </w:p>
    <w:p w14:paraId="6A43EBFC" w14:textId="30F2D25B" w:rsidR="00DF74BE" w:rsidRPr="00233559" w:rsidRDefault="00D801D5" w:rsidP="00DF74BE">
      <w:pPr>
        <w:pStyle w:val="Bullet1"/>
        <w:rPr>
          <w:rStyle w:val="Hyperlink"/>
          <w:color w:val="007586" w:themeColor="text2"/>
        </w:rPr>
      </w:pPr>
      <w:hyperlink r:id="rId17" w:history="1">
        <w:r w:rsidR="00DF74BE" w:rsidRPr="00233559">
          <w:rPr>
            <w:rStyle w:val="Hyperlink"/>
            <w:color w:val="007586" w:themeColor="text2"/>
          </w:rPr>
          <w:t>Gastro</w:t>
        </w:r>
        <w:r w:rsidR="006365A1" w:rsidRPr="00233559">
          <w:rPr>
            <w:rStyle w:val="Hyperlink"/>
            <w:color w:val="007586" w:themeColor="text2"/>
          </w:rPr>
          <w:t>-</w:t>
        </w:r>
        <w:r w:rsidR="00DF74BE" w:rsidRPr="00233559">
          <w:rPr>
            <w:rStyle w:val="Hyperlink"/>
            <w:color w:val="007586" w:themeColor="text2"/>
          </w:rPr>
          <w:t>oesophageal reflux disease in infants</w:t>
        </w:r>
      </w:hyperlink>
      <w:r w:rsidR="00DF74BE" w:rsidRPr="00233559">
        <w:rPr>
          <w:rStyle w:val="Hyperlink"/>
          <w:color w:val="007586" w:themeColor="text2"/>
        </w:rPr>
        <w:t xml:space="preserve"> </w:t>
      </w:r>
    </w:p>
    <w:p w14:paraId="4AC115B6" w14:textId="77777777" w:rsidR="00DF74BE" w:rsidRPr="00233559" w:rsidRDefault="00D801D5" w:rsidP="00DF74BE">
      <w:pPr>
        <w:pStyle w:val="Bullet1"/>
        <w:rPr>
          <w:rStyle w:val="Hyperlink"/>
          <w:color w:val="007586" w:themeColor="text2"/>
        </w:rPr>
      </w:pPr>
      <w:hyperlink r:id="rId18" w:history="1">
        <w:r w:rsidR="00DF74BE" w:rsidRPr="00233559">
          <w:rPr>
            <w:rStyle w:val="Hyperlink"/>
            <w:color w:val="007586" w:themeColor="text2"/>
          </w:rPr>
          <w:t>Unsettled or crying babies</w:t>
        </w:r>
      </w:hyperlink>
    </w:p>
    <w:p w14:paraId="76B5E5B2" w14:textId="3426CFAD" w:rsidR="0087586E" w:rsidRDefault="0087586E" w:rsidP="005B23C8">
      <w:pPr>
        <w:pStyle w:val="Heading2"/>
      </w:pPr>
      <w:r w:rsidRPr="005B23C8">
        <w:rPr>
          <w:rStyle w:val="Heading2Char"/>
          <w:b/>
          <w:bCs/>
          <w:caps/>
        </w:rPr>
        <w:t>Results</w:t>
      </w:r>
      <w:r>
        <w:t xml:space="preserve"> </w:t>
      </w:r>
    </w:p>
    <w:p w14:paraId="76B5E5B3" w14:textId="77777777" w:rsidR="00887875" w:rsidRDefault="00887875" w:rsidP="00887875">
      <w:pPr>
        <w:pStyle w:val="Normalfollowingheading"/>
      </w:pPr>
      <w:r>
        <w:t>The piloted resources were associated with:</w:t>
      </w:r>
    </w:p>
    <w:p w14:paraId="76B5E5B4" w14:textId="747497C9" w:rsidR="00887875" w:rsidRDefault="00887875" w:rsidP="00887875">
      <w:pPr>
        <w:pStyle w:val="Bullet1"/>
      </w:pPr>
      <w:r>
        <w:t>46</w:t>
      </w:r>
      <w:r w:rsidR="005B23C8">
        <w:t xml:space="preserve"> per cent</w:t>
      </w:r>
      <w:r>
        <w:t xml:space="preserve"> increase in </w:t>
      </w:r>
      <w:r w:rsidR="005B23C8">
        <w:t xml:space="preserve">the </w:t>
      </w:r>
      <w:r>
        <w:t>number of clinicians advising parents to cease ASTs</w:t>
      </w:r>
    </w:p>
    <w:p w14:paraId="76B5E5B5" w14:textId="0B599A27" w:rsidR="00887875" w:rsidRDefault="005B23C8" w:rsidP="00887875">
      <w:pPr>
        <w:pStyle w:val="Bullet1"/>
      </w:pPr>
      <w:r>
        <w:t>p</w:t>
      </w:r>
      <w:r w:rsidR="00887875">
        <w:t>ositive reported change in clinical practice by clinicians</w:t>
      </w:r>
    </w:p>
    <w:p w14:paraId="76B5E5B6" w14:textId="48CD79C2" w:rsidR="00887875" w:rsidRDefault="005B23C8" w:rsidP="00887875">
      <w:pPr>
        <w:pStyle w:val="Bullet1"/>
      </w:pPr>
      <w:r>
        <w:t>an i</w:t>
      </w:r>
      <w:r w:rsidR="00887875">
        <w:t>ncrease in parents’ and clinicians’ knowledge that ASTs can cause harm</w:t>
      </w:r>
    </w:p>
    <w:p w14:paraId="76B5E5B7" w14:textId="52E28AAB" w:rsidR="00887875" w:rsidRDefault="005B23C8" w:rsidP="00887875">
      <w:pPr>
        <w:pStyle w:val="Bullet1"/>
      </w:pPr>
      <w:r>
        <w:t>i</w:t>
      </w:r>
      <w:r w:rsidR="00887875">
        <w:t xml:space="preserve">mproved clinician self-reported capability and confidence to discuss with </w:t>
      </w:r>
      <w:proofErr w:type="gramStart"/>
      <w:r w:rsidR="00887875">
        <w:t>parents</w:t>
      </w:r>
      <w:proofErr w:type="gramEnd"/>
      <w:r w:rsidR="00887875">
        <w:t xml:space="preserve"> gastro-oesophageal reflux, potential harms of ASTs and alternative management strategies.</w:t>
      </w:r>
    </w:p>
    <w:p w14:paraId="76B5E5B8" w14:textId="4A883CEE" w:rsidR="00C639C8" w:rsidRPr="00C639C8" w:rsidRDefault="00887875" w:rsidP="005B23C8">
      <w:r>
        <w:t xml:space="preserve">The project achieved </w:t>
      </w:r>
      <w:r w:rsidR="006365A1">
        <w:t xml:space="preserve">its aim </w:t>
      </w:r>
      <w:r>
        <w:t>with a 21</w:t>
      </w:r>
      <w:r w:rsidR="005B23C8">
        <w:t xml:space="preserve"> per cent</w:t>
      </w:r>
      <w:r>
        <w:t xml:space="preserve"> decrease in AST prescribing.</w:t>
      </w:r>
    </w:p>
    <w:p w14:paraId="76B5E5B9" w14:textId="77777777" w:rsidR="00C15B20" w:rsidRDefault="00C15B20" w:rsidP="00C15B20">
      <w:pPr>
        <w:pStyle w:val="Heading2"/>
      </w:pPr>
      <w:r>
        <w:t>Next steps</w:t>
      </w:r>
    </w:p>
    <w:p w14:paraId="76B5E5BA" w14:textId="24AD02FB" w:rsidR="00C15B20" w:rsidRDefault="005B23C8" w:rsidP="008B7709">
      <w:pPr>
        <w:pStyle w:val="Normalfollowingheading"/>
        <w:spacing w:after="0"/>
      </w:pPr>
      <w:r>
        <w:t>SCV</w:t>
      </w:r>
      <w:r w:rsidR="002A32B7">
        <w:t xml:space="preserve"> is</w:t>
      </w:r>
      <w:r w:rsidR="00CB5CE6">
        <w:t xml:space="preserve"> focused on promoting</w:t>
      </w:r>
      <w:r w:rsidR="000B075E">
        <w:t xml:space="preserve"> the</w:t>
      </w:r>
      <w:r w:rsidR="00CB5CE6">
        <w:t xml:space="preserve"> resources to all hospital</w:t>
      </w:r>
      <w:r w:rsidR="002A32B7">
        <w:t>s</w:t>
      </w:r>
      <w:r w:rsidR="00CB5CE6">
        <w:t xml:space="preserve"> in Victoria </w:t>
      </w:r>
      <w:r w:rsidR="002A32B7">
        <w:t xml:space="preserve">but also </w:t>
      </w:r>
      <w:r w:rsidR="00CB5CE6">
        <w:t>to primary care</w:t>
      </w:r>
      <w:r w:rsidR="002A32B7">
        <w:t xml:space="preserve"> providers; </w:t>
      </w:r>
      <w:proofErr w:type="gramStart"/>
      <w:r w:rsidR="002A32B7">
        <w:t>specifically</w:t>
      </w:r>
      <w:proofErr w:type="gramEnd"/>
      <w:r w:rsidR="00CB5CE6">
        <w:t xml:space="preserve"> GPs and </w:t>
      </w:r>
      <w:r>
        <w:t>m</w:t>
      </w:r>
      <w:r w:rsidR="00CB5CE6">
        <w:t xml:space="preserve">aternal and </w:t>
      </w:r>
      <w:r>
        <w:t>c</w:t>
      </w:r>
      <w:r w:rsidR="00CB5CE6">
        <w:t xml:space="preserve">hild </w:t>
      </w:r>
      <w:r>
        <w:t>h</w:t>
      </w:r>
      <w:r w:rsidR="00CB5CE6">
        <w:t>ealth</w:t>
      </w:r>
      <w:r w:rsidR="002A32B7">
        <w:t xml:space="preserve"> nurses.</w:t>
      </w:r>
      <w:r w:rsidR="00CB5CE6">
        <w:t xml:space="preserve"> </w:t>
      </w:r>
    </w:p>
    <w:p w14:paraId="76B5E5BB" w14:textId="093F0258" w:rsidR="00C15B20" w:rsidRDefault="00C15B20" w:rsidP="005B23C8">
      <w:pPr>
        <w:pStyle w:val="Heading2"/>
      </w:pPr>
      <w:r w:rsidRPr="005B23C8">
        <w:rPr>
          <w:rStyle w:val="Heading2Char"/>
          <w:b/>
          <w:bCs/>
          <w:caps/>
        </w:rPr>
        <w:t>Resources</w:t>
      </w:r>
    </w:p>
    <w:p w14:paraId="76B5E5BC" w14:textId="06995D87" w:rsidR="002A32B7" w:rsidRDefault="002A32B7" w:rsidP="005B23C8">
      <w:pPr>
        <w:pStyle w:val="Normalfollowingheading"/>
      </w:pPr>
      <w:r>
        <w:t xml:space="preserve">The resources are available </w:t>
      </w:r>
      <w:r w:rsidR="005B23C8">
        <w:t>at</w:t>
      </w:r>
      <w:r w:rsidR="006365A1">
        <w:t>:</w:t>
      </w:r>
      <w:r>
        <w:t xml:space="preserve"> </w:t>
      </w:r>
    </w:p>
    <w:p w14:paraId="77FEC0BF" w14:textId="1C581D9E" w:rsidR="006558F6" w:rsidRPr="00233559" w:rsidRDefault="00D801D5" w:rsidP="001C5D21">
      <w:pPr>
        <w:pStyle w:val="Bullet1"/>
        <w:rPr>
          <w:color w:val="007586" w:themeColor="text2"/>
        </w:rPr>
      </w:pPr>
      <w:hyperlink r:id="rId19" w:history="1">
        <w:r w:rsidR="00015281" w:rsidRPr="00233559">
          <w:rPr>
            <w:rStyle w:val="Hyperlink"/>
            <w:color w:val="007586" w:themeColor="text2"/>
          </w:rPr>
          <w:t xml:space="preserve">Safer Care Victoria </w:t>
        </w:r>
      </w:hyperlink>
    </w:p>
    <w:p w14:paraId="58B65CDD" w14:textId="164CB0EC" w:rsidR="00CD4460" w:rsidRPr="00233559" w:rsidRDefault="00D801D5" w:rsidP="00566408">
      <w:pPr>
        <w:pStyle w:val="Bullet1"/>
        <w:rPr>
          <w:rStyle w:val="Hyperlink"/>
          <w:color w:val="007586" w:themeColor="text2"/>
        </w:rPr>
        <w:sectPr w:rsidR="00CD4460" w:rsidRPr="00233559" w:rsidSect="00CD4460">
          <w:type w:val="continuous"/>
          <w:pgSz w:w="11906" w:h="16838" w:code="9"/>
          <w:pgMar w:top="1276" w:right="737" w:bottom="2410" w:left="737" w:header="539" w:footer="624" w:gutter="0"/>
          <w:cols w:num="2" w:space="284"/>
          <w:docGrid w:linePitch="360"/>
        </w:sectPr>
      </w:pPr>
      <w:hyperlink r:id="rId20" w:history="1">
        <w:r w:rsidR="00DF6286" w:rsidRPr="00233559">
          <w:rPr>
            <w:rStyle w:val="Hyperlink"/>
            <w:color w:val="007586" w:themeColor="text2"/>
          </w:rPr>
          <w:t xml:space="preserve">The Royal Children’s Hospital Health Services Research Unit </w:t>
        </w:r>
      </w:hyperlink>
      <w:r w:rsidR="00015281" w:rsidRPr="00233559">
        <w:rPr>
          <w:rStyle w:val="Hyperlink"/>
          <w:color w:val="007586" w:themeColor="text2"/>
        </w:rPr>
        <w:t xml:space="preserve"> </w:t>
      </w:r>
    </w:p>
    <w:p w14:paraId="0ED61C5F" w14:textId="3DEA1863" w:rsidR="00A3399A" w:rsidRPr="002A32B7" w:rsidRDefault="00A3399A" w:rsidP="00D801D5">
      <w:pPr>
        <w:pStyle w:val="Heading2"/>
        <w:spacing w:before="0" w:after="120"/>
      </w:pPr>
      <w:r>
        <w:t>Refer</w:t>
      </w:r>
      <w:bookmarkStart w:id="0" w:name="_GoBack"/>
      <w:bookmarkEnd w:id="0"/>
      <w:r>
        <w:t>ences</w:t>
      </w:r>
    </w:p>
    <w:p w14:paraId="470B2940" w14:textId="77777777" w:rsidR="00A3399A" w:rsidRPr="00475461" w:rsidRDefault="00A3399A" w:rsidP="00281658">
      <w:pPr>
        <w:pStyle w:val="Numpara"/>
        <w:spacing w:before="0" w:after="40" w:line="220" w:lineRule="atLeast"/>
        <w:contextualSpacing w:val="0"/>
        <w:rPr>
          <w:sz w:val="16"/>
          <w:szCs w:val="16"/>
        </w:rPr>
      </w:pPr>
      <w:r w:rsidRPr="00475461">
        <w:rPr>
          <w:sz w:val="16"/>
          <w:szCs w:val="16"/>
        </w:rPr>
        <w:t>PCHD. Paediatric and Child Health Division: Top 5 low-value practices and interventions. 2016 https://evolve.edu.au/published-lists/paediatrics-and-child-health-division (accessed May 2018).</w:t>
      </w:r>
    </w:p>
    <w:p w14:paraId="123A53B2" w14:textId="77777777" w:rsidR="00A3399A" w:rsidRDefault="00A3399A" w:rsidP="00281658">
      <w:pPr>
        <w:pStyle w:val="Numpara"/>
        <w:spacing w:before="0" w:after="40" w:line="220" w:lineRule="atLeast"/>
        <w:contextualSpacing w:val="0"/>
        <w:rPr>
          <w:sz w:val="16"/>
          <w:szCs w:val="16"/>
        </w:rPr>
      </w:pPr>
      <w:r w:rsidRPr="00475461">
        <w:rPr>
          <w:sz w:val="16"/>
          <w:szCs w:val="16"/>
        </w:rPr>
        <w:t>Scott IA, Duckett SJ. In search of professional consensus in defining and reducing low-value care. The Medical Journal of Australia 2015; 203(4):179-81</w:t>
      </w:r>
    </w:p>
    <w:p w14:paraId="76B5E5CA" w14:textId="2A6460B7" w:rsidR="00BF5652" w:rsidRPr="004933EA" w:rsidRDefault="00044EED" w:rsidP="004933EA">
      <w:pPr>
        <w:pStyle w:val="Numpara"/>
        <w:spacing w:before="0" w:after="40" w:line="220" w:lineRule="atLeast"/>
        <w:contextualSpacing w:val="0"/>
        <w:rPr>
          <w:sz w:val="16"/>
          <w:szCs w:val="16"/>
        </w:rPr>
        <w:sectPr w:rsidR="00BF5652" w:rsidRPr="004933EA" w:rsidSect="00B13DA4">
          <w:type w:val="continuous"/>
          <w:pgSz w:w="11906" w:h="16838" w:code="9"/>
          <w:pgMar w:top="2438" w:right="737" w:bottom="426" w:left="737" w:header="539" w:footer="624" w:gutter="0"/>
          <w:cols w:space="284"/>
          <w:docGrid w:linePitch="360"/>
        </w:sectPr>
      </w:pPr>
      <w:r w:rsidRPr="00DB0311">
        <w:rPr>
          <w:sz w:val="16"/>
          <w:szCs w:val="16"/>
        </w:rPr>
        <w:t>V</w:t>
      </w:r>
      <w:r w:rsidR="00A3399A" w:rsidRPr="00DB0311">
        <w:rPr>
          <w:sz w:val="16"/>
          <w:szCs w:val="16"/>
        </w:rPr>
        <w:t xml:space="preserve">an der Pol RJ, Smits MJ, van </w:t>
      </w:r>
      <w:proofErr w:type="spellStart"/>
      <w:r w:rsidR="00A3399A" w:rsidRPr="00DB0311">
        <w:rPr>
          <w:sz w:val="16"/>
          <w:szCs w:val="16"/>
        </w:rPr>
        <w:t>Wijk</w:t>
      </w:r>
      <w:proofErr w:type="spellEnd"/>
      <w:r w:rsidR="00A3399A" w:rsidRPr="00DB0311">
        <w:rPr>
          <w:sz w:val="16"/>
          <w:szCs w:val="16"/>
        </w:rPr>
        <w:t xml:space="preserve"> MP, Omari TI, </w:t>
      </w:r>
      <w:proofErr w:type="spellStart"/>
      <w:r w:rsidR="00A3399A" w:rsidRPr="00DB0311">
        <w:rPr>
          <w:sz w:val="16"/>
          <w:szCs w:val="16"/>
        </w:rPr>
        <w:t>Tabbers</w:t>
      </w:r>
      <w:proofErr w:type="spellEnd"/>
      <w:r w:rsidR="00A3399A" w:rsidRPr="00DB0311">
        <w:rPr>
          <w:sz w:val="16"/>
          <w:szCs w:val="16"/>
        </w:rPr>
        <w:t xml:space="preserve"> MM and </w:t>
      </w:r>
      <w:proofErr w:type="spellStart"/>
      <w:r w:rsidR="00A3399A" w:rsidRPr="00DB0311">
        <w:rPr>
          <w:sz w:val="16"/>
          <w:szCs w:val="16"/>
        </w:rPr>
        <w:t>Benninga</w:t>
      </w:r>
      <w:proofErr w:type="spellEnd"/>
      <w:r w:rsidR="00A3399A" w:rsidRPr="00DB0311">
        <w:rPr>
          <w:sz w:val="16"/>
          <w:szCs w:val="16"/>
        </w:rPr>
        <w:t xml:space="preserve"> MA. Efficacy of Proton-Pump Inhibitors in Children </w:t>
      </w:r>
      <w:proofErr w:type="gramStart"/>
      <w:r w:rsidR="00A3399A" w:rsidRPr="00DB0311">
        <w:rPr>
          <w:sz w:val="16"/>
          <w:szCs w:val="16"/>
        </w:rPr>
        <w:t>With</w:t>
      </w:r>
      <w:proofErr w:type="gramEnd"/>
      <w:r w:rsidR="00A3399A" w:rsidRPr="00DB0311">
        <w:rPr>
          <w:sz w:val="16"/>
          <w:szCs w:val="16"/>
        </w:rPr>
        <w:t xml:space="preserve"> Gastroesophageal Reflux Disease: A Systematic Review. </w:t>
      </w:r>
      <w:proofErr w:type="spellStart"/>
      <w:r w:rsidR="00A3399A" w:rsidRPr="00DB0311">
        <w:rPr>
          <w:sz w:val="16"/>
          <w:szCs w:val="16"/>
        </w:rPr>
        <w:t>Pediatrics</w:t>
      </w:r>
      <w:proofErr w:type="spellEnd"/>
      <w:r w:rsidR="00A3399A" w:rsidRPr="00DB0311">
        <w:rPr>
          <w:sz w:val="16"/>
          <w:szCs w:val="16"/>
        </w:rPr>
        <w:t xml:space="preserve"> 2011; 127(5):925-35</w:t>
      </w:r>
      <w:r w:rsidR="0057500E" w:rsidRPr="00DB0311">
        <w:rPr>
          <w:sz w:val="16"/>
          <w:szCs w:val="16"/>
        </w:rPr>
        <w:t>.</w:t>
      </w:r>
    </w:p>
    <w:tbl>
      <w:tblPr>
        <w:tblStyle w:val="SCVInformationTable"/>
        <w:tblpPr w:leftFromText="181" w:rightFromText="181" w:vertAnchor="page" w:horzAnchor="page" w:tblpX="738" w:tblpY="14289"/>
        <w:tblW w:w="10348" w:type="dxa"/>
        <w:shd w:val="clear" w:color="auto" w:fill="F2F2F3"/>
        <w:tblLayout w:type="fixed"/>
        <w:tblLook w:val="0600" w:firstRow="0" w:lastRow="0" w:firstColumn="0" w:lastColumn="0" w:noHBand="1" w:noVBand="1"/>
      </w:tblPr>
      <w:tblGrid>
        <w:gridCol w:w="5245"/>
        <w:gridCol w:w="3164"/>
        <w:gridCol w:w="1939"/>
      </w:tblGrid>
      <w:sdt>
        <w:sdtPr>
          <w:rPr>
            <w:sz w:val="24"/>
          </w:rPr>
          <w:id w:val="-967040995"/>
          <w:lock w:val="sdtLocked"/>
          <w:placeholder>
            <w:docPart w:val="1B436FEAE7B94855B68C499A3960E106"/>
          </w:placeholder>
        </w:sdtPr>
        <w:sdtEndPr>
          <w:rPr>
            <w:sz w:val="15"/>
            <w:szCs w:val="15"/>
          </w:rPr>
        </w:sdtEndPr>
        <w:sdtContent>
          <w:tr w:rsidR="004D364A" w:rsidRPr="00736C0C" w14:paraId="76B5E5D1" w14:textId="77777777" w:rsidTr="00D801D5">
            <w:trPr>
              <w:trHeight w:val="1362"/>
            </w:trPr>
            <w:tc>
              <w:tcPr>
                <w:tcW w:w="5245" w:type="dxa"/>
                <w:tcMar>
                  <w:left w:w="113" w:type="dxa"/>
                </w:tcMar>
              </w:tcPr>
              <w:p w14:paraId="76B5E5CB" w14:textId="5DCBF89C" w:rsidR="00767035" w:rsidRPr="00767035" w:rsidRDefault="00767035" w:rsidP="00D801D5">
                <w:pPr>
                  <w:spacing w:after="0" w:line="260" w:lineRule="exact"/>
                  <w:ind w:right="454"/>
                  <w:rPr>
                    <w:sz w:val="24"/>
                  </w:rPr>
                </w:pPr>
                <w:r w:rsidRPr="00D801D5">
                  <w:rPr>
                    <w:sz w:val="24"/>
                    <w:szCs w:val="24"/>
                  </w:rPr>
                  <w:t>To receive this publication in an accessible format phone</w:t>
                </w:r>
                <w:r w:rsidR="00291FBA" w:rsidRPr="00D801D5">
                  <w:rPr>
                    <w:sz w:val="24"/>
                    <w:szCs w:val="24"/>
                  </w:rPr>
                  <w:t xml:space="preserve"> </w:t>
                </w:r>
                <w:r w:rsidR="008A4889" w:rsidRPr="00D801D5">
                  <w:rPr>
                    <w:sz w:val="24"/>
                    <w:szCs w:val="24"/>
                  </w:rPr>
                  <w:t>(03) 9096 7770</w:t>
                </w:r>
                <w:r w:rsidRPr="00D801D5">
                  <w:rPr>
                    <w:sz w:val="24"/>
                    <w:szCs w:val="24"/>
                  </w:rPr>
                  <w:t xml:space="preserve">, using the National Relay Service 13 36 77 if required, or email </w:t>
                </w:r>
                <w:proofErr w:type="gramStart"/>
                <w:r w:rsidR="004933EA" w:rsidRPr="00D801D5">
                  <w:rPr>
                    <w:b/>
                    <w:sz w:val="24"/>
                    <w:szCs w:val="24"/>
                  </w:rPr>
                  <w:t xml:space="preserve">paediatric </w:t>
                </w:r>
                <w:r w:rsidR="008A4889" w:rsidRPr="00D801D5">
                  <w:rPr>
                    <w:b/>
                    <w:sz w:val="24"/>
                    <w:szCs w:val="24"/>
                  </w:rPr>
                  <w:t>.</w:t>
                </w:r>
                <w:proofErr w:type="gramEnd"/>
                <w:r w:rsidR="008A4889" w:rsidRPr="00D801D5">
                  <w:rPr>
                    <w:b/>
                    <w:sz w:val="24"/>
                    <w:szCs w:val="24"/>
                  </w:rPr>
                  <w:t>clinicalnetwork</w:t>
                </w:r>
                <w:r w:rsidRPr="00D801D5">
                  <w:rPr>
                    <w:b/>
                    <w:sz w:val="24"/>
                    <w:szCs w:val="24"/>
                  </w:rPr>
                  <w:t>@safercare.vic.gov.au</w:t>
                </w:r>
              </w:p>
            </w:tc>
            <w:tc>
              <w:tcPr>
                <w:tcW w:w="3164" w:type="dxa"/>
              </w:tcPr>
              <w:p w14:paraId="76B5E5CC" w14:textId="77777777" w:rsidR="00767035" w:rsidRPr="00D801D5" w:rsidRDefault="00767035" w:rsidP="004D364A">
                <w:pPr>
                  <w:spacing w:line="230" w:lineRule="auto"/>
                  <w:ind w:left="0" w:right="-90" w:hanging="2"/>
                  <w:rPr>
                    <w:sz w:val="14"/>
                    <w:szCs w:val="14"/>
                  </w:rPr>
                </w:pPr>
                <w:r w:rsidRPr="00D801D5">
                  <w:rPr>
                    <w:sz w:val="14"/>
                    <w:szCs w:val="14"/>
                  </w:rPr>
                  <w:t>Authorised and published by the Victorian Government, 1 Treasury Place, Melbourne.</w:t>
                </w:r>
              </w:p>
              <w:p w14:paraId="76B5E5CD" w14:textId="36515536" w:rsidR="00767035" w:rsidRPr="00D801D5" w:rsidRDefault="00767035" w:rsidP="00D801D5">
                <w:pPr>
                  <w:spacing w:line="230" w:lineRule="auto"/>
                  <w:ind w:left="-2" w:right="43" w:firstLine="2"/>
                  <w:rPr>
                    <w:sz w:val="14"/>
                    <w:szCs w:val="14"/>
                  </w:rPr>
                </w:pPr>
                <w:r w:rsidRPr="00D801D5">
                  <w:rPr>
                    <w:sz w:val="14"/>
                    <w:szCs w:val="14"/>
                  </w:rPr>
                  <w:t>© State of Victoria, Australia, Safer Care</w:t>
                </w:r>
                <w:r w:rsidR="004D364A" w:rsidRPr="00D801D5">
                  <w:rPr>
                    <w:sz w:val="14"/>
                    <w:szCs w:val="14"/>
                  </w:rPr>
                  <w:t xml:space="preserve"> </w:t>
                </w:r>
                <w:r w:rsidRPr="00D801D5">
                  <w:rPr>
                    <w:sz w:val="14"/>
                    <w:szCs w:val="14"/>
                  </w:rPr>
                  <w:t>Victoria</w:t>
                </w:r>
                <w:r w:rsidR="00773833" w:rsidRPr="00D801D5">
                  <w:rPr>
                    <w:sz w:val="14"/>
                    <w:szCs w:val="14"/>
                  </w:rPr>
                  <w:t xml:space="preserve">, </w:t>
                </w:r>
                <w:r w:rsidR="00D801D5">
                  <w:rPr>
                    <w:sz w:val="14"/>
                    <w:szCs w:val="14"/>
                  </w:rPr>
                  <w:br/>
                </w:r>
                <w:r w:rsidR="00773833" w:rsidRPr="00D801D5">
                  <w:rPr>
                    <w:sz w:val="14"/>
                    <w:szCs w:val="14"/>
                  </w:rPr>
                  <w:t>June 2020</w:t>
                </w:r>
              </w:p>
              <w:p w14:paraId="76B5E5CE" w14:textId="2B5B0761" w:rsidR="00767035" w:rsidRPr="00D801D5" w:rsidRDefault="00291FBA" w:rsidP="00D801D5">
                <w:pPr>
                  <w:spacing w:line="230" w:lineRule="auto"/>
                  <w:ind w:left="-2" w:right="43"/>
                  <w:rPr>
                    <w:sz w:val="14"/>
                    <w:szCs w:val="14"/>
                  </w:rPr>
                </w:pPr>
                <w:r w:rsidRPr="00D801D5">
                  <w:rPr>
                    <w:sz w:val="14"/>
                    <w:szCs w:val="14"/>
                  </w:rPr>
                  <w:fldChar w:fldCharType="begin"/>
                </w:r>
                <w:r w:rsidRPr="00D801D5">
                  <w:rPr>
                    <w:sz w:val="14"/>
                    <w:szCs w:val="14"/>
                  </w:rPr>
                  <w:instrText xml:space="preserve"> Macrobutton NoMacro ISBN/ISSN number</w:instrText>
                </w:r>
                <w:r w:rsidRPr="00D801D5">
                  <w:rPr>
                    <w:sz w:val="14"/>
                    <w:szCs w:val="14"/>
                  </w:rPr>
                  <w:fldChar w:fldCharType="end"/>
                </w:r>
                <w:r w:rsidR="00D04DA2" w:rsidRPr="00D801D5">
                  <w:rPr>
                    <w:sz w:val="14"/>
                    <w:szCs w:val="14"/>
                  </w:rPr>
                  <w:t xml:space="preserve"> 978-1</w:t>
                </w:r>
                <w:r w:rsidR="004674A5" w:rsidRPr="00D801D5">
                  <w:rPr>
                    <w:sz w:val="14"/>
                    <w:szCs w:val="14"/>
                  </w:rPr>
                  <w:t>-</w:t>
                </w:r>
                <w:r w:rsidR="00D04DA2" w:rsidRPr="00D801D5">
                  <w:rPr>
                    <w:sz w:val="14"/>
                    <w:szCs w:val="14"/>
                  </w:rPr>
                  <w:t>760</w:t>
                </w:r>
                <w:r w:rsidR="004674A5" w:rsidRPr="00D801D5">
                  <w:rPr>
                    <w:sz w:val="14"/>
                    <w:szCs w:val="14"/>
                  </w:rPr>
                  <w:t>96</w:t>
                </w:r>
                <w:r w:rsidR="00D04DA2" w:rsidRPr="00D801D5">
                  <w:rPr>
                    <w:sz w:val="14"/>
                    <w:szCs w:val="14"/>
                  </w:rPr>
                  <w:t>-058-2</w:t>
                </w:r>
                <w:r w:rsidR="004265E2" w:rsidRPr="00D801D5">
                  <w:rPr>
                    <w:sz w:val="14"/>
                    <w:szCs w:val="14"/>
                  </w:rPr>
                  <w:t xml:space="preserve"> </w:t>
                </w:r>
                <w:r w:rsidR="00767035" w:rsidRPr="00D801D5">
                  <w:rPr>
                    <w:sz w:val="14"/>
                    <w:szCs w:val="14"/>
                  </w:rPr>
                  <w:t>(online/print)</w:t>
                </w:r>
              </w:p>
              <w:p w14:paraId="76B5E5CF" w14:textId="50A1F35A" w:rsidR="00767035" w:rsidRPr="00D801D5" w:rsidRDefault="00767035" w:rsidP="004D364A">
                <w:pPr>
                  <w:spacing w:line="230" w:lineRule="auto"/>
                  <w:ind w:left="0" w:right="1020"/>
                  <w:rPr>
                    <w:sz w:val="14"/>
                    <w:szCs w:val="14"/>
                  </w:rPr>
                </w:pPr>
                <w:r w:rsidRPr="00D801D5">
                  <w:rPr>
                    <w:sz w:val="14"/>
                    <w:szCs w:val="14"/>
                  </w:rPr>
                  <w:t xml:space="preserve">Available at </w:t>
                </w:r>
                <w:hyperlink r:id="rId21" w:history="1">
                  <w:r w:rsidR="00D801D5" w:rsidRPr="00D801D5">
                    <w:rPr>
                      <w:rStyle w:val="Hyperlink"/>
                      <w:sz w:val="14"/>
                      <w:szCs w:val="14"/>
                    </w:rPr>
                    <w:t>safercare.vic</w:t>
                  </w:r>
                </w:hyperlink>
                <w:r w:rsidRPr="00D801D5">
                  <w:rPr>
                    <w:sz w:val="14"/>
                    <w:szCs w:val="14"/>
                  </w:rPr>
                  <w:t>.gov.au</w:t>
                </w:r>
              </w:p>
            </w:tc>
            <w:tc>
              <w:tcPr>
                <w:tcW w:w="1939" w:type="dxa"/>
              </w:tcPr>
              <w:p w14:paraId="76B5E5D0" w14:textId="77777777" w:rsidR="00767035" w:rsidRPr="00736C0C" w:rsidRDefault="00767035" w:rsidP="00767035">
                <w:pPr>
                  <w:rPr>
                    <w:szCs w:val="15"/>
                  </w:rPr>
                </w:pPr>
                <w:r>
                  <w:rPr>
                    <w:noProof/>
                    <w:szCs w:val="15"/>
                  </w:rPr>
                  <w:drawing>
                    <wp:anchor distT="0" distB="0" distL="114300" distR="114300" simplePos="0" relativeHeight="251658240" behindDoc="0" locked="0" layoutInCell="1" allowOverlap="1" wp14:anchorId="76B5E5DD" wp14:editId="76B5E5DE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635</wp:posOffset>
                      </wp:positionV>
                      <wp:extent cx="734060" cy="421005"/>
                      <wp:effectExtent l="0" t="0" r="8890" b="0"/>
                      <wp:wrapSquare wrapText="bothSides"/>
                      <wp:docPr id="9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State Logo.png"/>
                              <pic:cNvPicPr/>
                            </pic:nvPicPr>
                            <pic:blipFill>
                              <a:blip r:embed="rId2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4060" cy="4210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sdtContent>
      </w:sdt>
    </w:tbl>
    <w:p w14:paraId="76B5E5D4" w14:textId="010B6718" w:rsidR="0006457C" w:rsidRPr="005B23C8" w:rsidRDefault="0006457C" w:rsidP="005B23C8">
      <w:pPr>
        <w:spacing w:before="0" w:after="0" w:line="240" w:lineRule="auto"/>
        <w:rPr>
          <w:sz w:val="2"/>
          <w:szCs w:val="2"/>
        </w:rPr>
      </w:pPr>
    </w:p>
    <w:sectPr w:rsidR="0006457C" w:rsidRPr="005B23C8" w:rsidSect="000905F7">
      <w:type w:val="continuous"/>
      <w:pgSz w:w="11906" w:h="16838" w:code="9"/>
      <w:pgMar w:top="2438" w:right="737" w:bottom="680" w:left="737" w:header="539" w:footer="624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FC746" w14:textId="77777777" w:rsidR="008E0464" w:rsidRDefault="008E0464" w:rsidP="002D711A">
      <w:pPr>
        <w:spacing w:after="0" w:line="240" w:lineRule="auto"/>
      </w:pPr>
      <w:r>
        <w:separator/>
      </w:r>
    </w:p>
  </w:endnote>
  <w:endnote w:type="continuationSeparator" w:id="0">
    <w:p w14:paraId="788076AB" w14:textId="77777777" w:rsidR="008E0464" w:rsidRDefault="008E0464" w:rsidP="002D711A">
      <w:pPr>
        <w:spacing w:after="0" w:line="240" w:lineRule="auto"/>
      </w:pPr>
      <w:r>
        <w:continuationSeparator/>
      </w:r>
    </w:p>
  </w:endnote>
  <w:endnote w:type="continuationNotice" w:id="1">
    <w:p w14:paraId="3029FB5B" w14:textId="77777777" w:rsidR="008E0464" w:rsidRDefault="008E046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A254C" w14:textId="77777777" w:rsidR="005B23C8" w:rsidRDefault="005B23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41137" w14:textId="23F548DD" w:rsidR="003B10D7" w:rsidRDefault="003B10D7">
    <w:pPr>
      <w:pStyle w:val="Footer"/>
    </w:pPr>
    <w:r>
      <mc:AlternateContent>
        <mc:Choice Requires="wps">
          <w:drawing>
            <wp:anchor distT="0" distB="0" distL="114300" distR="114300" simplePos="0" relativeHeight="251658242" behindDoc="0" locked="0" layoutInCell="0" allowOverlap="1" wp14:anchorId="13F916D6" wp14:editId="7B31D592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b87c47ee8a3c7b6f3ee03be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BC1712" w14:textId="3415956C" w:rsidR="003B10D7" w:rsidRPr="003B10D7" w:rsidRDefault="003B10D7" w:rsidP="003B10D7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F916D6" id="_x0000_t202" coordsize="21600,21600" o:spt="202" path="m,l,21600r21600,l21600,xe">
              <v:stroke joinstyle="miter"/>
              <v:path gradientshapeok="t" o:connecttype="rect"/>
            </v:shapetype>
            <v:shape id="MSIPCMb87c47ee8a3c7b6f3ee03be1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" o:allowincell="f" filled="f" stroked="f" strokeweight=".5pt">
              <v:textbox inset=",0,,0">
                <w:txbxContent>
                  <w:p w14:paraId="08BC1712" w14:textId="3415956C" w:rsidR="003B10D7" w:rsidRPr="003B10D7" w:rsidRDefault="003B10D7" w:rsidP="003B10D7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637E6" w14:textId="10BA769B" w:rsidR="003B10D7" w:rsidRDefault="003B10D7">
    <w:pPr>
      <w:pStyle w:val="Footer"/>
    </w:pPr>
    <w:r>
      <mc:AlternateContent>
        <mc:Choice Requires="wps">
          <w:drawing>
            <wp:anchor distT="0" distB="0" distL="114300" distR="114300" simplePos="0" relativeHeight="251658243" behindDoc="0" locked="0" layoutInCell="0" allowOverlap="1" wp14:anchorId="5C64CCC2" wp14:editId="56F74EC8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8" name="MSIPCM460b4ce59f84fdd30ac15e4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E55129" w14:textId="3B122EA5" w:rsidR="003B10D7" w:rsidRPr="003B10D7" w:rsidRDefault="003B10D7" w:rsidP="003B10D7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64CCC2" id="_x0000_t202" coordsize="21600,21600" o:spt="202" path="m,l,21600r21600,l21600,xe">
              <v:stroke joinstyle="miter"/>
              <v:path gradientshapeok="t" o:connecttype="rect"/>
            </v:shapetype>
            <v:shape id="MSIPCM460b4ce59f84fdd30ac15e46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" o:allowincell="f" filled="f" stroked="f" strokeweight=".5pt">
              <v:textbox inset=",0,,0">
                <w:txbxContent>
                  <w:p w14:paraId="70E55129" w14:textId="3B122EA5" w:rsidR="003B10D7" w:rsidRPr="003B10D7" w:rsidRDefault="003B10D7" w:rsidP="003B10D7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7E68B" w14:textId="77777777" w:rsidR="008E0464" w:rsidRDefault="008E0464" w:rsidP="00E33E08">
      <w:pPr>
        <w:spacing w:before="0" w:after="0" w:line="240" w:lineRule="auto"/>
      </w:pPr>
    </w:p>
  </w:footnote>
  <w:footnote w:type="continuationSeparator" w:id="0">
    <w:p w14:paraId="7BD062DA" w14:textId="77777777" w:rsidR="008E0464" w:rsidRDefault="008E0464" w:rsidP="00E33E08">
      <w:pPr>
        <w:spacing w:before="0" w:after="0" w:line="240" w:lineRule="auto"/>
      </w:pPr>
    </w:p>
  </w:footnote>
  <w:footnote w:type="continuationNotice" w:id="1">
    <w:p w14:paraId="6CC1C62E" w14:textId="77777777" w:rsidR="008E0464" w:rsidRDefault="008E046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CEA3B" w14:textId="77777777" w:rsidR="005B23C8" w:rsidRDefault="005B23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B15F" w14:textId="77777777" w:rsidR="005B23C8" w:rsidRDefault="005B23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5E5E3" w14:textId="379BACE8" w:rsidR="000905F7" w:rsidRDefault="005B23C8">
    <w:pPr>
      <w:pStyle w:val="Header"/>
    </w:pPr>
    <w:r>
      <w:rPr>
        <w:noProof/>
      </w:rPr>
      <w:drawing>
        <wp:anchor distT="0" distB="0" distL="114300" distR="114300" simplePos="0" relativeHeight="251659267" behindDoc="1" locked="0" layoutInCell="1" allowOverlap="1" wp14:anchorId="7F5CFB57" wp14:editId="798D3A4B">
          <wp:simplePos x="0" y="0"/>
          <wp:positionH relativeFrom="column">
            <wp:posOffset>-214044</wp:posOffset>
          </wp:positionH>
          <wp:positionV relativeFrom="paragraph">
            <wp:posOffset>-234315</wp:posOffset>
          </wp:positionV>
          <wp:extent cx="1665408" cy="1385667"/>
          <wp:effectExtent l="0" t="0" r="0" b="0"/>
          <wp:wrapNone/>
          <wp:docPr id="10" name="Picture 10" descr="SCV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5408" cy="1385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38E7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6B5E5E4" wp14:editId="76B5E5E5">
              <wp:simplePos x="0" y="0"/>
              <wp:positionH relativeFrom="column">
                <wp:posOffset>1141730</wp:posOffset>
              </wp:positionH>
              <wp:positionV relativeFrom="paragraph">
                <wp:posOffset>524510</wp:posOffset>
              </wp:positionV>
              <wp:extent cx="1038225" cy="276225"/>
              <wp:effectExtent l="0" t="0" r="28575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8225" cy="276225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rect w14:anchorId="492D5C6C" id="Rectangle 2" o:spid="_x0000_s1026" style="position:absolute;margin-left:89.9pt;margin-top:41.3pt;width:81.7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" fillcolor="white [3201]" strokecolor="white [3212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2526"/>
    <w:multiLevelType w:val="hybridMultilevel"/>
    <w:tmpl w:val="A68CD9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2062D"/>
    <w:multiLevelType w:val="hybridMultilevel"/>
    <w:tmpl w:val="1084E9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29C950B5"/>
    <w:multiLevelType w:val="hybridMultilevel"/>
    <w:tmpl w:val="069616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2C2660"/>
    <w:multiLevelType w:val="hybridMultilevel"/>
    <w:tmpl w:val="EE20DE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93A12AA"/>
    <w:multiLevelType w:val="multilevel"/>
    <w:tmpl w:val="AF1C315A"/>
    <w:lvl w:ilvl="0">
      <w:start w:val="1"/>
      <w:numFmt w:val="bullet"/>
      <w:pStyle w:val="Bullet1"/>
      <w:lvlText w:val=""/>
      <w:lvlJc w:val="left"/>
      <w:pPr>
        <w:ind w:left="284" w:hanging="284"/>
      </w:pPr>
      <w:rPr>
        <w:rFonts w:ascii="Wingdings 2" w:hAnsi="Wingdings 2" w:hint="default"/>
        <w:color w:val="4D92C0"/>
        <w:position w:val="2"/>
        <w:sz w:val="16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7" w15:restartNumberingAfterBreak="0">
    <w:nsid w:val="43BF2B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46D3A6A"/>
    <w:multiLevelType w:val="multilevel"/>
    <w:tmpl w:val="F58A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9" w15:restartNumberingAfterBreak="0">
    <w:nsid w:val="6F9912B3"/>
    <w:multiLevelType w:val="hybridMultilevel"/>
    <w:tmpl w:val="3DEE56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11"/>
  </w:num>
  <w:num w:numId="5">
    <w:abstractNumId w:val="2"/>
  </w:num>
  <w:num w:numId="6">
    <w:abstractNumId w:val="7"/>
  </w:num>
  <w:num w:numId="7">
    <w:abstractNumId w:val="10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3"/>
  </w:num>
  <w:num w:numId="18">
    <w:abstractNumId w:val="9"/>
  </w:num>
  <w:num w:numId="19">
    <w:abstractNumId w:val="6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323"/>
    <w:rsid w:val="00012F6F"/>
    <w:rsid w:val="00014213"/>
    <w:rsid w:val="00014B55"/>
    <w:rsid w:val="00015281"/>
    <w:rsid w:val="00020E3E"/>
    <w:rsid w:val="00023BF3"/>
    <w:rsid w:val="00026811"/>
    <w:rsid w:val="0004185E"/>
    <w:rsid w:val="00044EED"/>
    <w:rsid w:val="00047E6A"/>
    <w:rsid w:val="00053181"/>
    <w:rsid w:val="00056988"/>
    <w:rsid w:val="0006457C"/>
    <w:rsid w:val="00072279"/>
    <w:rsid w:val="00073407"/>
    <w:rsid w:val="00075E6C"/>
    <w:rsid w:val="00081C12"/>
    <w:rsid w:val="000820E1"/>
    <w:rsid w:val="00083919"/>
    <w:rsid w:val="00087D42"/>
    <w:rsid w:val="000905F7"/>
    <w:rsid w:val="000914EC"/>
    <w:rsid w:val="000924E7"/>
    <w:rsid w:val="000943C0"/>
    <w:rsid w:val="0009464F"/>
    <w:rsid w:val="000A03E7"/>
    <w:rsid w:val="000B075E"/>
    <w:rsid w:val="000B29AD"/>
    <w:rsid w:val="000B42B7"/>
    <w:rsid w:val="000C6372"/>
    <w:rsid w:val="000D6EC4"/>
    <w:rsid w:val="000D7841"/>
    <w:rsid w:val="000E392D"/>
    <w:rsid w:val="000E39B6"/>
    <w:rsid w:val="000E3D05"/>
    <w:rsid w:val="000F13F3"/>
    <w:rsid w:val="000F197A"/>
    <w:rsid w:val="000F1A94"/>
    <w:rsid w:val="000F4288"/>
    <w:rsid w:val="000F7165"/>
    <w:rsid w:val="00102379"/>
    <w:rsid w:val="00103722"/>
    <w:rsid w:val="001065D6"/>
    <w:rsid w:val="001068D5"/>
    <w:rsid w:val="00121252"/>
    <w:rsid w:val="00124609"/>
    <w:rsid w:val="001254CE"/>
    <w:rsid w:val="0013637A"/>
    <w:rsid w:val="001422CC"/>
    <w:rsid w:val="001448BA"/>
    <w:rsid w:val="00145346"/>
    <w:rsid w:val="00155FB0"/>
    <w:rsid w:val="001617B6"/>
    <w:rsid w:val="00165E66"/>
    <w:rsid w:val="00196143"/>
    <w:rsid w:val="00197437"/>
    <w:rsid w:val="001A24FC"/>
    <w:rsid w:val="001C0A14"/>
    <w:rsid w:val="001C5D21"/>
    <w:rsid w:val="001C6993"/>
    <w:rsid w:val="001C7BAE"/>
    <w:rsid w:val="001E31FA"/>
    <w:rsid w:val="001E48F9"/>
    <w:rsid w:val="001E4AE1"/>
    <w:rsid w:val="001E64F6"/>
    <w:rsid w:val="001E7AEB"/>
    <w:rsid w:val="00204B82"/>
    <w:rsid w:val="00212987"/>
    <w:rsid w:val="00222BEB"/>
    <w:rsid w:val="00223C70"/>
    <w:rsid w:val="0022471D"/>
    <w:rsid w:val="00225E60"/>
    <w:rsid w:val="00230BBB"/>
    <w:rsid w:val="0023202C"/>
    <w:rsid w:val="00233559"/>
    <w:rsid w:val="00234619"/>
    <w:rsid w:val="00235BE2"/>
    <w:rsid w:val="00245043"/>
    <w:rsid w:val="0026028E"/>
    <w:rsid w:val="00261514"/>
    <w:rsid w:val="00277532"/>
    <w:rsid w:val="00281658"/>
    <w:rsid w:val="00284FA2"/>
    <w:rsid w:val="00291FBA"/>
    <w:rsid w:val="00292D36"/>
    <w:rsid w:val="00294A5A"/>
    <w:rsid w:val="00297281"/>
    <w:rsid w:val="00297A47"/>
    <w:rsid w:val="002A146F"/>
    <w:rsid w:val="002A32B7"/>
    <w:rsid w:val="002A5891"/>
    <w:rsid w:val="002B03F1"/>
    <w:rsid w:val="002B156D"/>
    <w:rsid w:val="002B5C34"/>
    <w:rsid w:val="002B5E2B"/>
    <w:rsid w:val="002B6DAA"/>
    <w:rsid w:val="002C0C5B"/>
    <w:rsid w:val="002D176E"/>
    <w:rsid w:val="002D598C"/>
    <w:rsid w:val="002D70F7"/>
    <w:rsid w:val="002D711A"/>
    <w:rsid w:val="002D7336"/>
    <w:rsid w:val="002E0DA9"/>
    <w:rsid w:val="002E3396"/>
    <w:rsid w:val="002E6454"/>
    <w:rsid w:val="002E6FB1"/>
    <w:rsid w:val="002F2953"/>
    <w:rsid w:val="00300642"/>
    <w:rsid w:val="0031149C"/>
    <w:rsid w:val="00314106"/>
    <w:rsid w:val="00314977"/>
    <w:rsid w:val="0033346D"/>
    <w:rsid w:val="00336784"/>
    <w:rsid w:val="00366AAC"/>
    <w:rsid w:val="0036778F"/>
    <w:rsid w:val="0038771C"/>
    <w:rsid w:val="003A430B"/>
    <w:rsid w:val="003A541A"/>
    <w:rsid w:val="003A6923"/>
    <w:rsid w:val="003B10D7"/>
    <w:rsid w:val="003B39ED"/>
    <w:rsid w:val="003C2C67"/>
    <w:rsid w:val="003C2D4C"/>
    <w:rsid w:val="003C3B3A"/>
    <w:rsid w:val="003C5BA4"/>
    <w:rsid w:val="003D5AA5"/>
    <w:rsid w:val="003E3E26"/>
    <w:rsid w:val="003F1295"/>
    <w:rsid w:val="003F5102"/>
    <w:rsid w:val="003F76FC"/>
    <w:rsid w:val="004002EB"/>
    <w:rsid w:val="00407A79"/>
    <w:rsid w:val="00417F16"/>
    <w:rsid w:val="00422DDC"/>
    <w:rsid w:val="004231B5"/>
    <w:rsid w:val="004236C8"/>
    <w:rsid w:val="004265E2"/>
    <w:rsid w:val="00427405"/>
    <w:rsid w:val="00427681"/>
    <w:rsid w:val="0043380E"/>
    <w:rsid w:val="00433DB7"/>
    <w:rsid w:val="0045347E"/>
    <w:rsid w:val="00453750"/>
    <w:rsid w:val="00456941"/>
    <w:rsid w:val="00460BD5"/>
    <w:rsid w:val="004674A5"/>
    <w:rsid w:val="004702EA"/>
    <w:rsid w:val="00475461"/>
    <w:rsid w:val="00477C4C"/>
    <w:rsid w:val="0048259C"/>
    <w:rsid w:val="00482D02"/>
    <w:rsid w:val="00484326"/>
    <w:rsid w:val="00490369"/>
    <w:rsid w:val="004933EA"/>
    <w:rsid w:val="004A7519"/>
    <w:rsid w:val="004B351C"/>
    <w:rsid w:val="004B64B1"/>
    <w:rsid w:val="004C509A"/>
    <w:rsid w:val="004C732B"/>
    <w:rsid w:val="004D01AC"/>
    <w:rsid w:val="004D3518"/>
    <w:rsid w:val="004D364A"/>
    <w:rsid w:val="004D62D6"/>
    <w:rsid w:val="004D6898"/>
    <w:rsid w:val="004E795B"/>
    <w:rsid w:val="004F1F41"/>
    <w:rsid w:val="004F3F4E"/>
    <w:rsid w:val="00510167"/>
    <w:rsid w:val="00513E86"/>
    <w:rsid w:val="005306A2"/>
    <w:rsid w:val="0053416C"/>
    <w:rsid w:val="00541C2F"/>
    <w:rsid w:val="00543799"/>
    <w:rsid w:val="00543AAF"/>
    <w:rsid w:val="00552DE4"/>
    <w:rsid w:val="00563527"/>
    <w:rsid w:val="0057407A"/>
    <w:rsid w:val="0057500E"/>
    <w:rsid w:val="0058124E"/>
    <w:rsid w:val="005875A3"/>
    <w:rsid w:val="005953EA"/>
    <w:rsid w:val="005A3416"/>
    <w:rsid w:val="005A7A1F"/>
    <w:rsid w:val="005B061F"/>
    <w:rsid w:val="005B157A"/>
    <w:rsid w:val="005B20D0"/>
    <w:rsid w:val="005B23C8"/>
    <w:rsid w:val="005B27FE"/>
    <w:rsid w:val="005B76DF"/>
    <w:rsid w:val="005B79CB"/>
    <w:rsid w:val="005E08D7"/>
    <w:rsid w:val="005E4C16"/>
    <w:rsid w:val="005E5947"/>
    <w:rsid w:val="005F1629"/>
    <w:rsid w:val="005F61DF"/>
    <w:rsid w:val="0060163A"/>
    <w:rsid w:val="006023F9"/>
    <w:rsid w:val="00610559"/>
    <w:rsid w:val="00614076"/>
    <w:rsid w:val="006267CF"/>
    <w:rsid w:val="00632F2E"/>
    <w:rsid w:val="006332F6"/>
    <w:rsid w:val="006365A1"/>
    <w:rsid w:val="006413F2"/>
    <w:rsid w:val="0065188D"/>
    <w:rsid w:val="006534B2"/>
    <w:rsid w:val="006558F6"/>
    <w:rsid w:val="0065615D"/>
    <w:rsid w:val="00657011"/>
    <w:rsid w:val="00657CA4"/>
    <w:rsid w:val="00662AF0"/>
    <w:rsid w:val="006650B5"/>
    <w:rsid w:val="006651B1"/>
    <w:rsid w:val="00665778"/>
    <w:rsid w:val="006726F7"/>
    <w:rsid w:val="00676E5F"/>
    <w:rsid w:val="00680577"/>
    <w:rsid w:val="006945CA"/>
    <w:rsid w:val="006A3309"/>
    <w:rsid w:val="006A3A5A"/>
    <w:rsid w:val="006A5B34"/>
    <w:rsid w:val="006B4A9F"/>
    <w:rsid w:val="006C77A9"/>
    <w:rsid w:val="006D4720"/>
    <w:rsid w:val="006E6CDF"/>
    <w:rsid w:val="006F37F2"/>
    <w:rsid w:val="006F6693"/>
    <w:rsid w:val="00707FE8"/>
    <w:rsid w:val="00714AAE"/>
    <w:rsid w:val="00724962"/>
    <w:rsid w:val="00724A0F"/>
    <w:rsid w:val="00726D2F"/>
    <w:rsid w:val="00736732"/>
    <w:rsid w:val="00740019"/>
    <w:rsid w:val="00746426"/>
    <w:rsid w:val="00750BF9"/>
    <w:rsid w:val="00750CBE"/>
    <w:rsid w:val="0075325B"/>
    <w:rsid w:val="00754BE1"/>
    <w:rsid w:val="007650D2"/>
    <w:rsid w:val="00766B5A"/>
    <w:rsid w:val="00767035"/>
    <w:rsid w:val="00772209"/>
    <w:rsid w:val="00773833"/>
    <w:rsid w:val="007770A5"/>
    <w:rsid w:val="007834F2"/>
    <w:rsid w:val="007857E5"/>
    <w:rsid w:val="00791020"/>
    <w:rsid w:val="007A04D2"/>
    <w:rsid w:val="007A4444"/>
    <w:rsid w:val="007A5F82"/>
    <w:rsid w:val="007B555A"/>
    <w:rsid w:val="007D5F9E"/>
    <w:rsid w:val="007E098F"/>
    <w:rsid w:val="007E3BA2"/>
    <w:rsid w:val="007E532A"/>
    <w:rsid w:val="007E56E9"/>
    <w:rsid w:val="007E6F9B"/>
    <w:rsid w:val="007F1A4C"/>
    <w:rsid w:val="007F3547"/>
    <w:rsid w:val="007F723F"/>
    <w:rsid w:val="008001F8"/>
    <w:rsid w:val="008022C3"/>
    <w:rsid w:val="00803E7B"/>
    <w:rsid w:val="008041E6"/>
    <w:rsid w:val="008065D2"/>
    <w:rsid w:val="00813FC1"/>
    <w:rsid w:val="00815A8A"/>
    <w:rsid w:val="0082194C"/>
    <w:rsid w:val="008222FF"/>
    <w:rsid w:val="008241FF"/>
    <w:rsid w:val="00824FE8"/>
    <w:rsid w:val="00830712"/>
    <w:rsid w:val="00831B41"/>
    <w:rsid w:val="00840089"/>
    <w:rsid w:val="008411E9"/>
    <w:rsid w:val="00841617"/>
    <w:rsid w:val="0084200F"/>
    <w:rsid w:val="00843B2C"/>
    <w:rsid w:val="008444ED"/>
    <w:rsid w:val="00844F16"/>
    <w:rsid w:val="0084764F"/>
    <w:rsid w:val="00853213"/>
    <w:rsid w:val="00855FF9"/>
    <w:rsid w:val="0086277A"/>
    <w:rsid w:val="00864860"/>
    <w:rsid w:val="008668A8"/>
    <w:rsid w:val="008703D8"/>
    <w:rsid w:val="0087586E"/>
    <w:rsid w:val="008768AD"/>
    <w:rsid w:val="00880AC4"/>
    <w:rsid w:val="008816EE"/>
    <w:rsid w:val="00883CFA"/>
    <w:rsid w:val="00887875"/>
    <w:rsid w:val="00897157"/>
    <w:rsid w:val="00897447"/>
    <w:rsid w:val="008A4889"/>
    <w:rsid w:val="008A4900"/>
    <w:rsid w:val="008A55FE"/>
    <w:rsid w:val="008A58D2"/>
    <w:rsid w:val="008B146D"/>
    <w:rsid w:val="008B42AD"/>
    <w:rsid w:val="008B5666"/>
    <w:rsid w:val="008B7709"/>
    <w:rsid w:val="008C2C15"/>
    <w:rsid w:val="008C307E"/>
    <w:rsid w:val="008D0281"/>
    <w:rsid w:val="008E0464"/>
    <w:rsid w:val="008E2348"/>
    <w:rsid w:val="008F2C87"/>
    <w:rsid w:val="008F6D45"/>
    <w:rsid w:val="009045E6"/>
    <w:rsid w:val="00916AD5"/>
    <w:rsid w:val="00922944"/>
    <w:rsid w:val="009229D9"/>
    <w:rsid w:val="009322CF"/>
    <w:rsid w:val="00936479"/>
    <w:rsid w:val="00937A10"/>
    <w:rsid w:val="00953A2C"/>
    <w:rsid w:val="00966115"/>
    <w:rsid w:val="0096674D"/>
    <w:rsid w:val="009701CA"/>
    <w:rsid w:val="009765A7"/>
    <w:rsid w:val="009834C0"/>
    <w:rsid w:val="00986AAC"/>
    <w:rsid w:val="00990D2B"/>
    <w:rsid w:val="00995526"/>
    <w:rsid w:val="009A1DA2"/>
    <w:rsid w:val="009A3704"/>
    <w:rsid w:val="009A4739"/>
    <w:rsid w:val="009A674F"/>
    <w:rsid w:val="009A6D22"/>
    <w:rsid w:val="009B199C"/>
    <w:rsid w:val="009B5195"/>
    <w:rsid w:val="009B61F1"/>
    <w:rsid w:val="009B62E0"/>
    <w:rsid w:val="009C3D88"/>
    <w:rsid w:val="009E1651"/>
    <w:rsid w:val="009E3858"/>
    <w:rsid w:val="009E467D"/>
    <w:rsid w:val="009E70DD"/>
    <w:rsid w:val="009F2ED9"/>
    <w:rsid w:val="009F3231"/>
    <w:rsid w:val="009F5C58"/>
    <w:rsid w:val="00A023A0"/>
    <w:rsid w:val="00A05EBC"/>
    <w:rsid w:val="00A1562B"/>
    <w:rsid w:val="00A170F4"/>
    <w:rsid w:val="00A21408"/>
    <w:rsid w:val="00A21CFD"/>
    <w:rsid w:val="00A25B78"/>
    <w:rsid w:val="00A32B90"/>
    <w:rsid w:val="00A3399A"/>
    <w:rsid w:val="00A44C8E"/>
    <w:rsid w:val="00A44CF6"/>
    <w:rsid w:val="00A460D4"/>
    <w:rsid w:val="00A46288"/>
    <w:rsid w:val="00A463DB"/>
    <w:rsid w:val="00A46BA8"/>
    <w:rsid w:val="00A47634"/>
    <w:rsid w:val="00A57B2E"/>
    <w:rsid w:val="00A612FE"/>
    <w:rsid w:val="00A70B49"/>
    <w:rsid w:val="00A87C93"/>
    <w:rsid w:val="00A92D94"/>
    <w:rsid w:val="00AA26B8"/>
    <w:rsid w:val="00AC0B87"/>
    <w:rsid w:val="00AC2624"/>
    <w:rsid w:val="00AC32A8"/>
    <w:rsid w:val="00AD7E4E"/>
    <w:rsid w:val="00AF4D58"/>
    <w:rsid w:val="00AF6666"/>
    <w:rsid w:val="00AF6A98"/>
    <w:rsid w:val="00AF79CF"/>
    <w:rsid w:val="00AF7BC5"/>
    <w:rsid w:val="00B048AB"/>
    <w:rsid w:val="00B13DA4"/>
    <w:rsid w:val="00B362E7"/>
    <w:rsid w:val="00B368A8"/>
    <w:rsid w:val="00B402DA"/>
    <w:rsid w:val="00B46400"/>
    <w:rsid w:val="00B466F1"/>
    <w:rsid w:val="00B71CDF"/>
    <w:rsid w:val="00B73C09"/>
    <w:rsid w:val="00B81B44"/>
    <w:rsid w:val="00B9053B"/>
    <w:rsid w:val="00B93E72"/>
    <w:rsid w:val="00BA0C37"/>
    <w:rsid w:val="00BA3782"/>
    <w:rsid w:val="00BA436E"/>
    <w:rsid w:val="00BA512C"/>
    <w:rsid w:val="00BB110A"/>
    <w:rsid w:val="00BB4D98"/>
    <w:rsid w:val="00BB4EBF"/>
    <w:rsid w:val="00BB59E0"/>
    <w:rsid w:val="00BC3422"/>
    <w:rsid w:val="00BC6E19"/>
    <w:rsid w:val="00BD11C2"/>
    <w:rsid w:val="00BD5018"/>
    <w:rsid w:val="00BE5ADC"/>
    <w:rsid w:val="00BE7272"/>
    <w:rsid w:val="00BF2D11"/>
    <w:rsid w:val="00BF4F96"/>
    <w:rsid w:val="00BF5652"/>
    <w:rsid w:val="00BF7636"/>
    <w:rsid w:val="00C015B9"/>
    <w:rsid w:val="00C022F9"/>
    <w:rsid w:val="00C032EA"/>
    <w:rsid w:val="00C06EB5"/>
    <w:rsid w:val="00C1145F"/>
    <w:rsid w:val="00C115FD"/>
    <w:rsid w:val="00C11CD1"/>
    <w:rsid w:val="00C15B20"/>
    <w:rsid w:val="00C32D49"/>
    <w:rsid w:val="00C33AD3"/>
    <w:rsid w:val="00C35D53"/>
    <w:rsid w:val="00C41B3C"/>
    <w:rsid w:val="00C43F06"/>
    <w:rsid w:val="00C51C01"/>
    <w:rsid w:val="00C52A07"/>
    <w:rsid w:val="00C534F6"/>
    <w:rsid w:val="00C637E1"/>
    <w:rsid w:val="00C639C8"/>
    <w:rsid w:val="00C67EAC"/>
    <w:rsid w:val="00C70D50"/>
    <w:rsid w:val="00C72252"/>
    <w:rsid w:val="00C907D7"/>
    <w:rsid w:val="00C92338"/>
    <w:rsid w:val="00CA05DC"/>
    <w:rsid w:val="00CA13B9"/>
    <w:rsid w:val="00CA7B47"/>
    <w:rsid w:val="00CB3976"/>
    <w:rsid w:val="00CB5CE6"/>
    <w:rsid w:val="00CC0021"/>
    <w:rsid w:val="00CC155E"/>
    <w:rsid w:val="00CC7F53"/>
    <w:rsid w:val="00CD0307"/>
    <w:rsid w:val="00CD0E9A"/>
    <w:rsid w:val="00CD3C79"/>
    <w:rsid w:val="00CD3D1B"/>
    <w:rsid w:val="00CD4460"/>
    <w:rsid w:val="00CF0B06"/>
    <w:rsid w:val="00D02663"/>
    <w:rsid w:val="00D04DA2"/>
    <w:rsid w:val="00D0633E"/>
    <w:rsid w:val="00D1139D"/>
    <w:rsid w:val="00D12E74"/>
    <w:rsid w:val="00D21725"/>
    <w:rsid w:val="00D2312F"/>
    <w:rsid w:val="00D23B04"/>
    <w:rsid w:val="00D269C1"/>
    <w:rsid w:val="00D41230"/>
    <w:rsid w:val="00D41B2F"/>
    <w:rsid w:val="00D44953"/>
    <w:rsid w:val="00D542F3"/>
    <w:rsid w:val="00D54513"/>
    <w:rsid w:val="00D54AAE"/>
    <w:rsid w:val="00D5644B"/>
    <w:rsid w:val="00D56E25"/>
    <w:rsid w:val="00D57E89"/>
    <w:rsid w:val="00D60109"/>
    <w:rsid w:val="00D6560D"/>
    <w:rsid w:val="00D65D77"/>
    <w:rsid w:val="00D718D7"/>
    <w:rsid w:val="00D801D5"/>
    <w:rsid w:val="00D814B7"/>
    <w:rsid w:val="00D90688"/>
    <w:rsid w:val="00DA3AAD"/>
    <w:rsid w:val="00DA3F36"/>
    <w:rsid w:val="00DB0311"/>
    <w:rsid w:val="00DB2323"/>
    <w:rsid w:val="00DB312B"/>
    <w:rsid w:val="00DB461C"/>
    <w:rsid w:val="00DC5654"/>
    <w:rsid w:val="00DC658F"/>
    <w:rsid w:val="00DC674A"/>
    <w:rsid w:val="00DD353F"/>
    <w:rsid w:val="00DD705D"/>
    <w:rsid w:val="00DD758B"/>
    <w:rsid w:val="00DD7D54"/>
    <w:rsid w:val="00DE60CC"/>
    <w:rsid w:val="00DF6286"/>
    <w:rsid w:val="00DF74BE"/>
    <w:rsid w:val="00E01002"/>
    <w:rsid w:val="00E03F35"/>
    <w:rsid w:val="00E20FC0"/>
    <w:rsid w:val="00E26B32"/>
    <w:rsid w:val="00E31CD4"/>
    <w:rsid w:val="00E31E60"/>
    <w:rsid w:val="00E33E08"/>
    <w:rsid w:val="00E3685E"/>
    <w:rsid w:val="00E407B6"/>
    <w:rsid w:val="00E41EF1"/>
    <w:rsid w:val="00E42942"/>
    <w:rsid w:val="00E53247"/>
    <w:rsid w:val="00E57281"/>
    <w:rsid w:val="00E638E7"/>
    <w:rsid w:val="00E65A0A"/>
    <w:rsid w:val="00E71BDF"/>
    <w:rsid w:val="00E71C34"/>
    <w:rsid w:val="00E72C7E"/>
    <w:rsid w:val="00E74BD2"/>
    <w:rsid w:val="00E75CCB"/>
    <w:rsid w:val="00E77E62"/>
    <w:rsid w:val="00E8245B"/>
    <w:rsid w:val="00E82C21"/>
    <w:rsid w:val="00E82F59"/>
    <w:rsid w:val="00E83CA7"/>
    <w:rsid w:val="00E86921"/>
    <w:rsid w:val="00E9025E"/>
    <w:rsid w:val="00E92192"/>
    <w:rsid w:val="00E95A71"/>
    <w:rsid w:val="00EA5005"/>
    <w:rsid w:val="00EB17A5"/>
    <w:rsid w:val="00EB7014"/>
    <w:rsid w:val="00EC0291"/>
    <w:rsid w:val="00EC5CDE"/>
    <w:rsid w:val="00EC7F2A"/>
    <w:rsid w:val="00ED3077"/>
    <w:rsid w:val="00ED487E"/>
    <w:rsid w:val="00ED64F1"/>
    <w:rsid w:val="00EE33A1"/>
    <w:rsid w:val="00EE7A0D"/>
    <w:rsid w:val="00F0222C"/>
    <w:rsid w:val="00F06647"/>
    <w:rsid w:val="00F100B9"/>
    <w:rsid w:val="00F12312"/>
    <w:rsid w:val="00F17CE1"/>
    <w:rsid w:val="00F2115C"/>
    <w:rsid w:val="00F22ABA"/>
    <w:rsid w:val="00F25919"/>
    <w:rsid w:val="00F25F4B"/>
    <w:rsid w:val="00F27C9D"/>
    <w:rsid w:val="00F30307"/>
    <w:rsid w:val="00F36578"/>
    <w:rsid w:val="00F36B12"/>
    <w:rsid w:val="00F37C86"/>
    <w:rsid w:val="00F4543F"/>
    <w:rsid w:val="00F55B46"/>
    <w:rsid w:val="00F60F9F"/>
    <w:rsid w:val="00F61246"/>
    <w:rsid w:val="00F64F08"/>
    <w:rsid w:val="00F70055"/>
    <w:rsid w:val="00F734F5"/>
    <w:rsid w:val="00F73B5B"/>
    <w:rsid w:val="00F82BC9"/>
    <w:rsid w:val="00F90EA5"/>
    <w:rsid w:val="00F91F5A"/>
    <w:rsid w:val="00F966B1"/>
    <w:rsid w:val="00F97D48"/>
    <w:rsid w:val="00FA0311"/>
    <w:rsid w:val="00FA1489"/>
    <w:rsid w:val="00FA16AC"/>
    <w:rsid w:val="00FD50F0"/>
    <w:rsid w:val="00FD640F"/>
    <w:rsid w:val="00FD6B4C"/>
    <w:rsid w:val="00FE04C6"/>
    <w:rsid w:val="00FE0553"/>
    <w:rsid w:val="00FE25D0"/>
    <w:rsid w:val="00FE6CB3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6B5E57A"/>
  <w15:docId w15:val="{D929CBAC-0BF3-48FF-B7FF-07F6A7B8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7">
    <w:lsdException w:name="Normal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9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9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uiPriority w:val="1"/>
    <w:qFormat/>
    <w:rsid w:val="00A05EBC"/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26028E"/>
    <w:pPr>
      <w:keepNext/>
      <w:keepLines/>
      <w:spacing w:before="280" w:after="6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007586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26028E"/>
    <w:pPr>
      <w:keepNext/>
      <w:keepLines/>
      <w:spacing w:before="240" w:after="5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80808B" w:themeColor="accent5"/>
        <w:bottom w:val="single" w:sz="2" w:space="0" w:color="80808B" w:themeColor="accent5"/>
        <w:insideH w:val="single" w:sz="2" w:space="0" w:color="80808B" w:themeColor="accent5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7586" w:themeColor="text2"/>
        <w:sz w:val="16"/>
      </w:rPr>
      <w:tblPr/>
      <w:tcPr>
        <w:tcBorders>
          <w:top w:val="single" w:sz="2" w:space="0" w:color="EDF5F7" w:themeColor="background2"/>
          <w:left w:val="nil"/>
          <w:bottom w:val="single" w:sz="24" w:space="0" w:color="CCCCD0" w:themeColor="accent6"/>
          <w:right w:val="nil"/>
          <w:insideH w:val="nil"/>
          <w:insideV w:val="nil"/>
          <w:tl2br w:val="nil"/>
          <w:tr2bl w:val="nil"/>
        </w:tcBorders>
        <w:shd w:val="clear" w:color="auto" w:fill="EDF5F7"/>
        <w:tcMar>
          <w:top w:w="80" w:type="dxa"/>
          <w:left w:w="113" w:type="dxa"/>
          <w:bottom w:w="80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7586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A05EBC"/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A05EBC"/>
    <w:rPr>
      <w:rFonts w:asciiTheme="majorHAnsi" w:eastAsiaTheme="majorEastAsia" w:hAnsiTheme="majorHAnsi" w:cstheme="majorBidi"/>
      <w:b/>
      <w:bCs/>
      <w:caps/>
      <w:color w:val="007586" w:themeColor="text2"/>
      <w:sz w:val="24"/>
      <w:szCs w:val="26"/>
    </w:rPr>
  </w:style>
  <w:style w:type="paragraph" w:customStyle="1" w:styleId="Bullet1">
    <w:name w:val="Bullet 1"/>
    <w:uiPriority w:val="1"/>
    <w:qFormat/>
    <w:rsid w:val="00F25919"/>
    <w:pPr>
      <w:numPr>
        <w:numId w:val="9"/>
      </w:numPr>
      <w:spacing w:before="60" w:after="60"/>
    </w:pPr>
    <w:rPr>
      <w:rFonts w:eastAsia="Times New Roman" w:cs="Calibri"/>
    </w:rPr>
  </w:style>
  <w:style w:type="paragraph" w:customStyle="1" w:styleId="Bullet2">
    <w:name w:val="Bullet 2"/>
    <w:basedOn w:val="Bullet1"/>
    <w:uiPriority w:val="1"/>
    <w:qFormat/>
    <w:rsid w:val="00294A5A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10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10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A05EBC"/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10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"/>
    <w:uiPriority w:val="1"/>
    <w:qFormat/>
    <w:rsid w:val="009B62E0"/>
    <w:pPr>
      <w:spacing w:line="252" w:lineRule="auto"/>
      <w:ind w:left="792"/>
    </w:p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A4444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A4444"/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A05EBC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</w:rPr>
      <w:tblPr/>
      <w:tcPr>
        <w:shd w:val="clear" w:color="auto" w:fill="AD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D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paragraph" w:customStyle="1" w:styleId="Tabletext">
    <w:name w:val="Table text"/>
    <w:basedOn w:val="Normal"/>
    <w:uiPriority w:val="2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E1651"/>
    <w:pPr>
      <w:keepNext/>
      <w:keepLines/>
      <w:spacing w:before="0" w:after="0" w:line="260" w:lineRule="atLeast"/>
    </w:pPr>
    <w:rPr>
      <w:rFonts w:eastAsiaTheme="minorHAnsi"/>
      <w:b/>
      <w:color w:val="007586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5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1"/>
    <w:semiHidden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7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</w:rPr>
      <w:tblPr/>
      <w:tcPr>
        <w:shd w:val="clear" w:color="auto" w:fill="CCE3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E3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</w:rPr>
      <w:tblPr/>
      <w:tcPr>
        <w:shd w:val="clear" w:color="auto" w:fill="E5F1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F1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5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7586" w:themeColor="text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E03F35"/>
    <w:pPr>
      <w:spacing w:before="280" w:after="60"/>
    </w:pPr>
    <w:rPr>
      <w:b/>
      <w:color w:val="007586" w:themeColor="text2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94A5A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8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BEC6" w:themeFill="accent3" w:themeFillShade="CC"/>
      </w:tcPr>
    </w:tblStylePr>
    <w:tblStylePr w:type="lastRow">
      <w:rPr>
        <w:b/>
        <w:bCs/>
        <w:color w:val="86BEC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A6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A62" w:themeColor="accent1" w:themeShade="99"/>
          <w:insideV w:val="nil"/>
        </w:tcBorders>
        <w:shd w:val="clear" w:color="auto" w:fill="265A6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A62" w:themeFill="accent1" w:themeFillShade="99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99D0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798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7983" w:themeColor="accent2" w:themeShade="99"/>
          <w:insideV w:val="nil"/>
        </w:tcBorders>
        <w:shd w:val="clear" w:color="auto" w:fill="3E798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983" w:themeFill="accent2" w:themeFillShade="99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BFDCE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FA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FA9" w:themeColor="accent3" w:themeShade="99"/>
          <w:insideV w:val="nil"/>
        </w:tcBorders>
        <w:shd w:val="clear" w:color="auto" w:fill="4F9FA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FA9" w:themeFill="accent3" w:themeFillShade="99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DE1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B5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717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656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98A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848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B7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D9DF" w:themeColor="accent1" w:themeTint="66"/>
        <w:left w:val="single" w:sz="4" w:space="0" w:color="ADD9DF" w:themeColor="accent1" w:themeTint="66"/>
        <w:bottom w:val="single" w:sz="4" w:space="0" w:color="ADD9DF" w:themeColor="accent1" w:themeTint="66"/>
        <w:right w:val="single" w:sz="4" w:space="0" w:color="ADD9DF" w:themeColor="accent1" w:themeTint="66"/>
        <w:insideH w:val="single" w:sz="4" w:space="0" w:color="ADD9DF" w:themeColor="accent1" w:themeTint="66"/>
        <w:insideV w:val="single" w:sz="4" w:space="0" w:color="AD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E3E7" w:themeColor="accent2" w:themeTint="66"/>
        <w:left w:val="single" w:sz="4" w:space="0" w:color="CCE3E7" w:themeColor="accent2" w:themeTint="66"/>
        <w:bottom w:val="single" w:sz="4" w:space="0" w:color="CCE3E7" w:themeColor="accent2" w:themeTint="66"/>
        <w:right w:val="single" w:sz="4" w:space="0" w:color="CCE3E7" w:themeColor="accent2" w:themeTint="66"/>
        <w:insideH w:val="single" w:sz="4" w:space="0" w:color="CCE3E7" w:themeColor="accent2" w:themeTint="66"/>
        <w:insideV w:val="single" w:sz="4" w:space="0" w:color="CCE3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F1F3" w:themeColor="accent3" w:themeTint="66"/>
        <w:left w:val="single" w:sz="4" w:space="0" w:color="E5F1F3" w:themeColor="accent3" w:themeTint="66"/>
        <w:bottom w:val="single" w:sz="4" w:space="0" w:color="E5F1F3" w:themeColor="accent3" w:themeTint="66"/>
        <w:right w:val="single" w:sz="4" w:space="0" w:color="E5F1F3" w:themeColor="accent3" w:themeTint="66"/>
        <w:insideH w:val="single" w:sz="4" w:space="0" w:color="E5F1F3" w:themeColor="accent3" w:themeTint="66"/>
        <w:insideV w:val="single" w:sz="4" w:space="0" w:color="E5F1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5C6CF" w:themeColor="accent1" w:themeTint="99"/>
        <w:bottom w:val="single" w:sz="2" w:space="0" w:color="85C6CF" w:themeColor="accent1" w:themeTint="99"/>
        <w:insideH w:val="single" w:sz="2" w:space="0" w:color="85C6CF" w:themeColor="accent1" w:themeTint="99"/>
        <w:insideV w:val="single" w:sz="2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C6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5DB" w:themeColor="accent2" w:themeTint="99"/>
        <w:bottom w:val="single" w:sz="2" w:space="0" w:color="B2D5DB" w:themeColor="accent2" w:themeTint="99"/>
        <w:insideH w:val="single" w:sz="2" w:space="0" w:color="B2D5DB" w:themeColor="accent2" w:themeTint="99"/>
        <w:insideV w:val="single" w:sz="2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5D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AED" w:themeColor="accent3" w:themeTint="99"/>
        <w:bottom w:val="single" w:sz="2" w:space="0" w:color="D8EAED" w:themeColor="accent3" w:themeTint="99"/>
        <w:insideH w:val="single" w:sz="2" w:space="0" w:color="D8EAED" w:themeColor="accent3" w:themeTint="99"/>
        <w:insideV w:val="single" w:sz="2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AE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ADD9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CCE3E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E5F1F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1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  <w:shd w:val="clear" w:color="auto" w:fill="CCE7EB" w:themeFill="accent1" w:themeFillTint="3F"/>
      </w:tcPr>
    </w:tblStylePr>
    <w:tblStylePr w:type="band2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1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  <w:shd w:val="clear" w:color="auto" w:fill="DFEDF0" w:themeFill="accent2" w:themeFillTint="3F"/>
      </w:tcPr>
    </w:tblStylePr>
    <w:tblStylePr w:type="band2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1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  <w:shd w:val="clear" w:color="auto" w:fill="EFF6F7" w:themeFill="accent3" w:themeFillTint="3F"/>
      </w:tcPr>
    </w:tblStylePr>
    <w:tblStylePr w:type="band2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bottom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bottom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bottom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98A4" w:themeColor="accent1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98A4" w:themeColor="accent1"/>
          <w:right w:val="single" w:sz="4" w:space="0" w:color="4098A4" w:themeColor="accent1"/>
        </w:tcBorders>
      </w:tcPr>
    </w:tblStylePr>
    <w:tblStylePr w:type="band1Horz">
      <w:tblPr/>
      <w:tcPr>
        <w:tcBorders>
          <w:top w:val="single" w:sz="4" w:space="0" w:color="4098A4" w:themeColor="accent1"/>
          <w:bottom w:val="single" w:sz="4" w:space="0" w:color="4098A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98A4" w:themeColor="accent1"/>
          <w:left w:val="nil"/>
        </w:tcBorders>
      </w:tcPr>
    </w:tblStylePr>
    <w:tblStylePr w:type="swCell">
      <w:tblPr/>
      <w:tcPr>
        <w:tcBorders>
          <w:top w:val="double" w:sz="4" w:space="0" w:color="4098A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AC3" w:themeColor="accent2"/>
          <w:right w:val="single" w:sz="4" w:space="0" w:color="80BAC3" w:themeColor="accent2"/>
        </w:tcBorders>
      </w:tcPr>
    </w:tblStylePr>
    <w:tblStylePr w:type="band1Horz">
      <w:tblPr/>
      <w:tcPr>
        <w:tcBorders>
          <w:top w:val="single" w:sz="4" w:space="0" w:color="80BAC3" w:themeColor="accent2"/>
          <w:bottom w:val="single" w:sz="4" w:space="0" w:color="80BAC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AC3" w:themeColor="accent2"/>
          <w:left w:val="nil"/>
        </w:tcBorders>
      </w:tcPr>
    </w:tblStylePr>
    <w:tblStylePr w:type="swCell">
      <w:tblPr/>
      <w:tcPr>
        <w:tcBorders>
          <w:top w:val="double" w:sz="4" w:space="0" w:color="80BAC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DE1" w:themeColor="accent3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DE1" w:themeColor="accent3"/>
          <w:right w:val="single" w:sz="4" w:space="0" w:color="BFDDE1" w:themeColor="accent3"/>
        </w:tcBorders>
      </w:tcPr>
    </w:tblStylePr>
    <w:tblStylePr w:type="band1Horz">
      <w:tblPr/>
      <w:tcPr>
        <w:tcBorders>
          <w:top w:val="single" w:sz="4" w:space="0" w:color="BFDDE1" w:themeColor="accent3"/>
          <w:bottom w:val="single" w:sz="4" w:space="0" w:color="BFDDE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DE1" w:themeColor="accent3"/>
          <w:left w:val="nil"/>
        </w:tcBorders>
      </w:tcPr>
    </w:tblStylePr>
    <w:tblStylePr w:type="swCell">
      <w:tblPr/>
      <w:tcPr>
        <w:tcBorders>
          <w:top w:val="double" w:sz="4" w:space="0" w:color="BFDDE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98A4" w:themeColor="accent1"/>
        <w:left w:val="single" w:sz="24" w:space="0" w:color="4098A4" w:themeColor="accent1"/>
        <w:bottom w:val="single" w:sz="24" w:space="0" w:color="4098A4" w:themeColor="accent1"/>
        <w:right w:val="single" w:sz="24" w:space="0" w:color="4098A4" w:themeColor="accent1"/>
      </w:tblBorders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AC3" w:themeColor="accent2"/>
        <w:left w:val="single" w:sz="24" w:space="0" w:color="80BAC3" w:themeColor="accent2"/>
        <w:bottom w:val="single" w:sz="24" w:space="0" w:color="80BAC3" w:themeColor="accent2"/>
        <w:right w:val="single" w:sz="24" w:space="0" w:color="80BAC3" w:themeColor="accent2"/>
      </w:tblBorders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DE1" w:themeColor="accent3"/>
        <w:left w:val="single" w:sz="24" w:space="0" w:color="BFDDE1" w:themeColor="accent3"/>
        <w:bottom w:val="single" w:sz="24" w:space="0" w:color="BFDDE1" w:themeColor="accent3"/>
        <w:right w:val="single" w:sz="24" w:space="0" w:color="BFDDE1" w:themeColor="accent3"/>
      </w:tblBorders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4098A4" w:themeColor="accent1"/>
        <w:bottom w:val="single" w:sz="4" w:space="0" w:color="4098A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98A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80BAC3" w:themeColor="accent2"/>
        <w:bottom w:val="single" w:sz="4" w:space="0" w:color="80BAC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AC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BFDDE1" w:themeColor="accent3"/>
        <w:bottom w:val="single" w:sz="4" w:space="0" w:color="BFDDE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DE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98A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98A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98A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98A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AC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AC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AC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AC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DE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DE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DE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DE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  <w:insideV w:val="single" w:sz="8" w:space="0" w:color="66B8C3" w:themeColor="accent1" w:themeTint="BF"/>
      </w:tblBorders>
    </w:tblPr>
    <w:tcPr>
      <w:shd w:val="clear" w:color="auto" w:fill="CC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B8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  <w:insideV w:val="single" w:sz="8" w:space="0" w:color="9FCBD2" w:themeColor="accent2" w:themeTint="BF"/>
      </w:tblBorders>
    </w:tblPr>
    <w:tcPr>
      <w:shd w:val="clear" w:color="auto" w:fill="DFED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BD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  <w:insideV w:val="single" w:sz="8" w:space="0" w:color="CEE5E8" w:themeColor="accent3" w:themeTint="BF"/>
      </w:tblBorders>
    </w:tblPr>
    <w:tcPr>
      <w:shd w:val="clear" w:color="auto" w:fill="EFF6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5E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cPr>
      <w:shd w:val="clear" w:color="auto" w:fill="CC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CEF" w:themeFill="accent1" w:themeFillTint="33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tcBorders>
          <w:insideH w:val="single" w:sz="6" w:space="0" w:color="4098A4" w:themeColor="accent1"/>
          <w:insideV w:val="single" w:sz="6" w:space="0" w:color="4098A4" w:themeColor="accent1"/>
        </w:tcBorders>
        <w:shd w:val="clear" w:color="auto" w:fill="99D0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cPr>
      <w:shd w:val="clear" w:color="auto" w:fill="DFED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8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F3" w:themeFill="accent2" w:themeFillTint="33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tcBorders>
          <w:insideH w:val="single" w:sz="6" w:space="0" w:color="80BAC3" w:themeColor="accent2"/>
          <w:insideV w:val="single" w:sz="6" w:space="0" w:color="80BAC3" w:themeColor="accent2"/>
        </w:tcBorders>
        <w:shd w:val="clear" w:color="auto" w:fill="BFDCE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cPr>
      <w:shd w:val="clear" w:color="auto" w:fill="EFF6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8F9" w:themeFill="accent3" w:themeFillTint="33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tcBorders>
          <w:insideH w:val="single" w:sz="6" w:space="0" w:color="BFDDE1" w:themeColor="accent3"/>
          <w:insideV w:val="single" w:sz="6" w:space="0" w:color="BFDDE1" w:themeColor="accent3"/>
        </w:tcBorders>
        <w:shd w:val="clear" w:color="auto" w:fill="DFEEF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D0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D0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D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CE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CE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6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EF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EF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98A4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shd w:val="clear" w:color="auto" w:fill="CCE7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AC3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shd w:val="clear" w:color="auto" w:fill="DFEDF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DE1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shd w:val="clear" w:color="auto" w:fill="EFF6F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98A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98A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98A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98A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7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AC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AC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AC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D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DE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DE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DE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6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D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6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7E098F"/>
    <w:pPr>
      <w:spacing w:before="100" w:after="100"/>
    </w:pPr>
    <w:rPr>
      <w:color w:val="007586" w:themeColor="text2"/>
    </w:rPr>
  </w:style>
  <w:style w:type="paragraph" w:customStyle="1" w:styleId="PulloutHeading">
    <w:name w:val="Pullout Heading"/>
    <w:basedOn w:val="PulloutText"/>
    <w:next w:val="PulloutText"/>
    <w:uiPriority w:val="1"/>
    <w:qFormat/>
    <w:rsid w:val="007E098F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767035"/>
    <w:pPr>
      <w:spacing w:before="0" w:after="80" w:line="240" w:lineRule="auto"/>
      <w:ind w:left="170"/>
    </w:pPr>
    <w:rPr>
      <w:sz w:val="15"/>
    </w:rPr>
    <w:tblPr>
      <w:tblCellMar>
        <w:top w:w="198" w:type="dxa"/>
        <w:left w:w="0" w:type="dxa"/>
        <w:right w:w="0" w:type="dxa"/>
      </w:tblCellMar>
    </w:tblPr>
    <w:tcPr>
      <w:shd w:val="clear" w:color="auto" w:fill="F2F2F3"/>
    </w:tcPr>
  </w:style>
  <w:style w:type="character" w:styleId="UnresolvedMention">
    <w:name w:val="Unresolved Mention"/>
    <w:basedOn w:val="DefaultParagraphFont"/>
    <w:uiPriority w:val="99"/>
    <w:semiHidden/>
    <w:unhideWhenUsed/>
    <w:rsid w:val="006558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1"/>
    <w:semiHidden/>
    <w:unhideWhenUsed/>
    <w:rsid w:val="001448BA"/>
    <w:rPr>
      <w:color w:val="007586" w:themeColor="followedHyperlink"/>
      <w:u w:val="single"/>
    </w:rPr>
  </w:style>
  <w:style w:type="character" w:styleId="CommentReference">
    <w:name w:val="annotation reference"/>
    <w:basedOn w:val="DefaultParagraphFont"/>
    <w:uiPriority w:val="1"/>
    <w:semiHidden/>
    <w:unhideWhenUsed/>
    <w:rsid w:val="00F82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unhideWhenUsed/>
    <w:rsid w:val="00F82BC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1"/>
    <w:semiHidden/>
    <w:rsid w:val="00F82BC9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F82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F82B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rch.org.au/clinicalguide/guideline_index/Crying_Baby_Infant_Distres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afercare.vic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rch.org.au/clinicalguide/guideline_index/Gastrooesophageal_reflux_disease_in_infant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rch.org.au/hsru/research/Reducing_medications_in_infant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bettersafercare.vic.gov.au/paediatric-network/infant-reflu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B436FEAE7B94855B68C499A3960E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0D823-50DB-46DA-ABAB-81656B0FF814}"/>
      </w:docPartPr>
      <w:docPartBody>
        <w:p w:rsidR="00451AEF" w:rsidRDefault="00451AEF">
          <w:pPr>
            <w:pStyle w:val="1B436FEAE7B94855B68C499A3960E106"/>
          </w:pPr>
          <w:r w:rsidRPr="00171E4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AEF"/>
    <w:rsid w:val="003A2AAB"/>
    <w:rsid w:val="00451AEF"/>
    <w:rsid w:val="006D2034"/>
    <w:rsid w:val="006D6050"/>
    <w:rsid w:val="00AF3AA6"/>
    <w:rsid w:val="00E3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1"/>
    <w:semiHidden/>
    <w:rPr>
      <w:color w:val="808080"/>
    </w:rPr>
  </w:style>
  <w:style w:type="paragraph" w:customStyle="1" w:styleId="6CACF91FC75A4AA892B9E6BC710D4D3E">
    <w:name w:val="6CACF91FC75A4AA892B9E6BC710D4D3E"/>
  </w:style>
  <w:style w:type="paragraph" w:customStyle="1" w:styleId="1B436FEAE7B94855B68C499A3960E106">
    <w:name w:val="1B436FEAE7B94855B68C499A3960E106"/>
  </w:style>
  <w:style w:type="paragraph" w:customStyle="1" w:styleId="60EE0240EC934D8CB1345F9A8C412759">
    <w:name w:val="60EE0240EC934D8CB1345F9A8C412759"/>
  </w:style>
  <w:style w:type="paragraph" w:customStyle="1" w:styleId="6D954889C565461D82753F16A31EF760">
    <w:name w:val="6D954889C565461D82753F16A31EF7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CV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4098A4"/>
      </a:accent1>
      <a:accent2>
        <a:srgbClr val="80BAC3"/>
      </a:accent2>
      <a:accent3>
        <a:srgbClr val="BFDDE1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12" ma:contentTypeDescription="Create a new document." ma:contentTypeScope="" ma:versionID="45669423a79ce1c2e572556ebc79f20c">
  <xsd:schema xmlns:xsd="http://www.w3.org/2001/XMLSchema" xmlns:xs="http://www.w3.org/2001/XMLSchema" xmlns:p="http://schemas.microsoft.com/office/2006/metadata/properties" xmlns:ns2="31b2e4f9-c376-4e2f-bd2e-796d1bcd5746" xmlns:ns3="7ee2ad8a-2b33-419f-875c-ac0e4cfc6b7f" targetNamespace="http://schemas.microsoft.com/office/2006/metadata/properties" ma:root="true" ma:fieldsID="d2cf200c18ae3fe1d0dcf27c239547f6" ns2:_="" ns3:_="">
    <xsd:import namespace="31b2e4f9-c376-4e2f-bd2e-796d1bcd5746"/>
    <xsd:import namespace="7ee2ad8a-2b33-419f-875c-ac0e4cfc6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EBE0D-D2A8-4EE1-B316-DA944C751A49}">
  <ds:schemaRefs>
    <ds:schemaRef ds:uri="http://purl.org/dc/terms/"/>
    <ds:schemaRef ds:uri="31b2e4f9-c376-4e2f-bd2e-796d1bcd5746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ee2ad8a-2b33-419f-875c-ac0e4cfc6b7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D1341D9-C4A2-4CEA-927C-6E1AD041EE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E1536-0E5A-4DC0-A3A4-9B12A85A5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18A28-1BD1-4866-9580-7AB2955B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885</Words>
  <Characters>5050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Implementing a sepsis bundle of care in emergency departments and urgent care centres</vt:lpstr>
    </vt:vector>
  </TitlesOfParts>
  <Company>Department of Treasury and Finance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Implementing a sepsis bundle of care in emergency departments and urgent care centres</dc:title>
  <dc:subject/>
  <dc:creator>Aisling Lim (DHHS)</dc:creator>
  <cp:keywords/>
  <cp:lastModifiedBy>Emma Gumbleton (DHHS)</cp:lastModifiedBy>
  <cp:revision>2</cp:revision>
  <cp:lastPrinted>2019-05-12T13:21:00Z</cp:lastPrinted>
  <dcterms:created xsi:type="dcterms:W3CDTF">2020-07-02T21:37:00Z</dcterms:created>
  <dcterms:modified xsi:type="dcterms:W3CDTF">2020-07-02T21:37:00Z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346754aa-f64f-4676-8998-5678c96f0a97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0x01010026D179483B3A4E458E2DA955233B6DD4</vt:lpwstr>
  </property>
  <property fmtid="{D5CDD505-2E9C-101B-9397-08002B2CF9AE}" pid="5" name="MSIP_Label_efdf5488-3066-4b6c-8fea-9472b8a1f34c_Enabled">
    <vt:lpwstr>True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Owner">
    <vt:lpwstr>Emma.Gumbleton@safercare.vic.gov.au</vt:lpwstr>
  </property>
  <property fmtid="{D5CDD505-2E9C-101B-9397-08002B2CF9AE}" pid="8" name="MSIP_Label_efdf5488-3066-4b6c-8fea-9472b8a1f34c_SetDate">
    <vt:lpwstr>2020-07-02T21:32:14.6734832Z</vt:lpwstr>
  </property>
  <property fmtid="{D5CDD505-2E9C-101B-9397-08002B2CF9AE}" pid="9" name="MSIP_Label_efdf5488-3066-4b6c-8fea-9472b8a1f34c_Name">
    <vt:lpwstr>DO NOT MARK</vt:lpwstr>
  </property>
  <property fmtid="{D5CDD505-2E9C-101B-9397-08002B2CF9AE}" pid="10" name="MSIP_Label_efdf5488-3066-4b6c-8fea-9472b8a1f34c_Application">
    <vt:lpwstr>Microsoft Azure Information Protection</vt:lpwstr>
  </property>
  <property fmtid="{D5CDD505-2E9C-101B-9397-08002B2CF9AE}" pid="11" name="MSIP_Label_efdf5488-3066-4b6c-8fea-9472b8a1f34c_ActionId">
    <vt:lpwstr>a86860ba-4471-4dda-bc86-d6d44ff696b9</vt:lpwstr>
  </property>
  <property fmtid="{D5CDD505-2E9C-101B-9397-08002B2CF9AE}" pid="12" name="MSIP_Label_efdf5488-3066-4b6c-8fea-9472b8a1f34c_Extended_MSFT_Method">
    <vt:lpwstr>Manual</vt:lpwstr>
  </property>
  <property fmtid="{D5CDD505-2E9C-101B-9397-08002B2CF9AE}" pid="13" name="Sensitivity">
    <vt:lpwstr>DO NOT MARK</vt:lpwstr>
  </property>
</Properties>
</file>