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6F2BEF6A" w14:textId="77777777" w:rsidTr="0050356B">
        <w:trPr>
          <w:trHeight w:val="57"/>
        </w:trPr>
        <w:tc>
          <w:tcPr>
            <w:tcW w:w="6804" w:type="dxa"/>
            <w:shd w:val="clear" w:color="auto" w:fill="auto"/>
            <w:tcMar>
              <w:top w:w="312" w:type="dxa"/>
            </w:tcMar>
          </w:tcPr>
          <w:p w14:paraId="706BB5D7" w14:textId="2F46DF39" w:rsidR="0050356B" w:rsidRPr="0050356B" w:rsidRDefault="00B4415C" w:rsidP="005F15F1">
            <w:pPr>
              <w:pStyle w:val="Date"/>
              <w:framePr w:hSpace="0" w:wrap="auto" w:vAnchor="margin" w:hAnchor="text" w:xAlign="left" w:yAlign="inline"/>
              <w:suppressOverlap w:val="0"/>
            </w:pPr>
            <w:r>
              <w:t>December 2020</w:t>
            </w:r>
          </w:p>
        </w:tc>
      </w:tr>
      <w:tr w:rsidR="00A46288" w14:paraId="47DBC124" w14:textId="77777777" w:rsidTr="0050356B">
        <w:trPr>
          <w:trHeight w:val="2948"/>
        </w:trPr>
        <w:tc>
          <w:tcPr>
            <w:tcW w:w="6804" w:type="dxa"/>
            <w:shd w:val="clear" w:color="auto" w:fill="auto"/>
            <w:tcMar>
              <w:top w:w="312" w:type="dxa"/>
            </w:tcMar>
          </w:tcPr>
          <w:p w14:paraId="038CAE85" w14:textId="01A497AA" w:rsidR="00A46288" w:rsidRPr="0050356B" w:rsidRDefault="00B4415C" w:rsidP="0050356B">
            <w:pPr>
              <w:pStyle w:val="Title"/>
              <w:framePr w:hSpace="0" w:wrap="auto" w:vAnchor="margin" w:hAnchor="text" w:xAlign="left" w:yAlign="inline"/>
              <w:suppressOverlap w:val="0"/>
            </w:pPr>
            <w:r>
              <w:t xml:space="preserve">Independent </w:t>
            </w:r>
            <w:r w:rsidR="00257401">
              <w:t>f</w:t>
            </w:r>
            <w:r>
              <w:t>acilitator trial</w:t>
            </w:r>
          </w:p>
          <w:p w14:paraId="470FE547" w14:textId="5D34D589" w:rsidR="00A46288" w:rsidRPr="00BF3854" w:rsidRDefault="00323315" w:rsidP="0050356B">
            <w:pPr>
              <w:pStyle w:val="Subtitle"/>
              <w:framePr w:hSpace="0" w:wrap="auto" w:vAnchor="margin" w:hAnchor="text" w:xAlign="left" w:yAlign="inline"/>
              <w:suppressOverlap w:val="0"/>
            </w:pPr>
            <w:r>
              <w:t>S</w:t>
            </w:r>
            <w:r w:rsidR="00B4415C">
              <w:t>ummary</w:t>
            </w:r>
            <w:r>
              <w:t xml:space="preserve"> and implementation </w:t>
            </w:r>
            <w:r w:rsidR="00982ADC">
              <w:t>resources</w:t>
            </w:r>
          </w:p>
        </w:tc>
      </w:tr>
    </w:tbl>
    <w:p w14:paraId="548D4E94" w14:textId="77777777" w:rsidR="00A46288" w:rsidRDefault="00A46288" w:rsidP="00A46288">
      <w:pPr>
        <w:pStyle w:val="NoSpacing"/>
      </w:pPr>
    </w:p>
    <w:p w14:paraId="4C0C6F10" w14:textId="77777777" w:rsidR="00A46288" w:rsidRDefault="00A46288" w:rsidP="0026028E">
      <w:pPr>
        <w:sectPr w:rsidR="00A46288" w:rsidSect="00257461">
          <w:headerReference w:type="even" r:id="rId8"/>
          <w:headerReference w:type="default" r:id="rId9"/>
          <w:footerReference w:type="even" r:id="rId10"/>
          <w:footerReference w:type="default" r:id="rId11"/>
          <w:headerReference w:type="first" r:id="rId12"/>
          <w:footerReference w:type="first" r:id="rId13"/>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599B1334" w14:textId="77777777" w:rsidTr="008116D8">
        <w:trPr>
          <w:trHeight w:val="2041"/>
        </w:trPr>
        <w:tc>
          <w:tcPr>
            <w:tcW w:w="4111" w:type="dxa"/>
            <w:tcMar>
              <w:left w:w="113" w:type="dxa"/>
            </w:tcMar>
          </w:tcPr>
          <w:p w14:paraId="140D96DA" w14:textId="5DC38C30" w:rsidR="008116D8" w:rsidRPr="008116D8" w:rsidRDefault="008116D8" w:rsidP="00465BF2">
            <w:pPr>
              <w:rPr>
                <w:sz w:val="24"/>
                <w:szCs w:val="24"/>
              </w:rPr>
            </w:pPr>
            <w:r w:rsidRPr="008116D8">
              <w:rPr>
                <w:sz w:val="24"/>
                <w:szCs w:val="24"/>
              </w:rPr>
              <w:lastRenderedPageBreak/>
              <w:t xml:space="preserve">To receive this publication in an accessible format phone </w:t>
            </w:r>
            <w:r>
              <w:rPr>
                <w:sz w:val="24"/>
                <w:szCs w:val="24"/>
              </w:rPr>
              <w:br/>
            </w:r>
            <w:r w:rsidRPr="008116D8">
              <w:rPr>
                <w:sz w:val="24"/>
                <w:szCs w:val="24"/>
              </w:rPr>
              <w:t xml:space="preserve">03 9096 1384, using the National Relay Service 13 36 </w:t>
            </w:r>
            <w:r w:rsidRPr="008116D8">
              <w:rPr>
                <w:spacing w:val="-2"/>
                <w:sz w:val="24"/>
                <w:szCs w:val="24"/>
              </w:rPr>
              <w:t>77 if required, or email</w:t>
            </w:r>
            <w:r>
              <w:rPr>
                <w:spacing w:val="-2"/>
                <w:sz w:val="24"/>
                <w:szCs w:val="24"/>
              </w:rPr>
              <w:t xml:space="preserve"> </w:t>
            </w:r>
            <w:r w:rsidRPr="008116D8">
              <w:rPr>
                <w:sz w:val="24"/>
                <w:szCs w:val="24"/>
              </w:rPr>
              <w:t>Safer Care Victoria</w:t>
            </w:r>
            <w:r>
              <w:rPr>
                <w:sz w:val="24"/>
                <w:szCs w:val="24"/>
              </w:rPr>
              <w:t xml:space="preserve"> </w:t>
            </w:r>
            <w:hyperlink r:id="rId14" w:history="1">
              <w:r w:rsidR="008B2365" w:rsidRPr="008B2365">
                <w:rPr>
                  <w:rStyle w:val="Hyperlink"/>
                  <w:color w:val="4098A4" w:themeColor="accent1"/>
                  <w:sz w:val="24"/>
                  <w:szCs w:val="24"/>
                </w:rPr>
                <w:t>info@safercare.vic.gov.au</w:t>
              </w:r>
            </w:hyperlink>
          </w:p>
        </w:tc>
        <w:tc>
          <w:tcPr>
            <w:tcW w:w="3621" w:type="dxa"/>
          </w:tcPr>
          <w:p w14:paraId="6860DB18" w14:textId="77777777" w:rsidR="008116D8" w:rsidRDefault="008116D8" w:rsidP="0086277A">
            <w:pPr>
              <w:rPr>
                <w:szCs w:val="15"/>
              </w:rPr>
            </w:pPr>
            <w:r w:rsidRPr="00736C0C">
              <w:rPr>
                <w:szCs w:val="15"/>
              </w:rPr>
              <w:t xml:space="preserve">Authorised and </w:t>
            </w:r>
            <w:r w:rsidRPr="00736C0C">
              <w:rPr>
                <w:spacing w:val="-2"/>
                <w:szCs w:val="15"/>
              </w:rPr>
              <w:t>published by the Victorian</w:t>
            </w:r>
            <w:r w:rsidRPr="00736C0C">
              <w:rPr>
                <w:szCs w:val="15"/>
              </w:rPr>
              <w:t xml:space="preserve"> Government, 1</w:t>
            </w:r>
            <w:r>
              <w:rPr>
                <w:szCs w:val="15"/>
              </w:rPr>
              <w:t xml:space="preserve"> </w:t>
            </w:r>
            <w:r w:rsidRPr="00736C0C">
              <w:rPr>
                <w:szCs w:val="15"/>
              </w:rPr>
              <w:t>Treasury Place, Melbourne.</w:t>
            </w:r>
          </w:p>
          <w:p w14:paraId="66C226DF" w14:textId="60DA3B81" w:rsidR="008116D8" w:rsidRPr="00736C0C" w:rsidRDefault="008116D8" w:rsidP="0086277A">
            <w:pPr>
              <w:rPr>
                <w:szCs w:val="15"/>
              </w:rPr>
            </w:pPr>
            <w:r w:rsidRPr="00736C0C">
              <w:rPr>
                <w:szCs w:val="15"/>
              </w:rPr>
              <w:t>© State of Victoria, Australia,</w:t>
            </w:r>
            <w:r>
              <w:rPr>
                <w:szCs w:val="15"/>
              </w:rPr>
              <w:t xml:space="preserve"> </w:t>
            </w:r>
            <w:r w:rsidRPr="00736C0C">
              <w:rPr>
                <w:szCs w:val="15"/>
              </w:rPr>
              <w:t>Safer Care Victoria,</w:t>
            </w:r>
            <w:r>
              <w:rPr>
                <w:szCs w:val="15"/>
              </w:rPr>
              <w:t xml:space="preserve"> </w:t>
            </w:r>
            <w:r w:rsidR="00B4415C">
              <w:rPr>
                <w:szCs w:val="15"/>
              </w:rPr>
              <w:t>December 2020</w:t>
            </w:r>
          </w:p>
          <w:p w14:paraId="415A1C38" w14:textId="691F6FB6" w:rsidR="008116D8" w:rsidRPr="00736C0C" w:rsidRDefault="00E96029" w:rsidP="0086277A">
            <w:pPr>
              <w:rPr>
                <w:szCs w:val="15"/>
              </w:rPr>
            </w:pPr>
            <w:r w:rsidRPr="00E96029">
              <w:rPr>
                <w:szCs w:val="15"/>
              </w:rPr>
              <w:t xml:space="preserve">ISBN 978-1-76096-304-0 (pdf/online/MS word) </w:t>
            </w:r>
          </w:p>
          <w:p w14:paraId="38F956B4" w14:textId="6DD36A28" w:rsidR="008116D8" w:rsidRPr="00736C0C" w:rsidRDefault="008116D8" w:rsidP="008116D8">
            <w:pPr>
              <w:rPr>
                <w:szCs w:val="15"/>
              </w:rPr>
            </w:pPr>
            <w:r w:rsidRPr="00736C0C">
              <w:rPr>
                <w:szCs w:val="15"/>
              </w:rPr>
              <w:t>Available at Safer Care</w:t>
            </w:r>
            <w:r>
              <w:rPr>
                <w:szCs w:val="15"/>
              </w:rPr>
              <w:t xml:space="preserve"> </w:t>
            </w:r>
            <w:r w:rsidRPr="00736C0C">
              <w:rPr>
                <w:szCs w:val="15"/>
              </w:rPr>
              <w:t>Victoria</w:t>
            </w:r>
            <w:r>
              <w:rPr>
                <w:szCs w:val="15"/>
              </w:rPr>
              <w:br/>
            </w:r>
            <w:hyperlink r:id="rId15" w:history="1">
              <w:r w:rsidR="00B4415C" w:rsidRPr="008B2365">
                <w:rPr>
                  <w:rStyle w:val="Hyperlink"/>
                  <w:color w:val="4098A4" w:themeColor="accent1"/>
                  <w:szCs w:val="15"/>
                </w:rPr>
                <w:t>www.safercare.vic.gov.au</w:t>
              </w:r>
            </w:hyperlink>
          </w:p>
        </w:tc>
        <w:tc>
          <w:tcPr>
            <w:tcW w:w="2484" w:type="dxa"/>
          </w:tcPr>
          <w:p w14:paraId="5080005F" w14:textId="77777777" w:rsidR="008116D8" w:rsidRPr="00736C0C" w:rsidRDefault="008116D8" w:rsidP="0086277A">
            <w:pPr>
              <w:rPr>
                <w:szCs w:val="15"/>
              </w:rPr>
            </w:pPr>
            <w:r w:rsidRPr="00736C0C">
              <w:rPr>
                <w:noProof/>
                <w:szCs w:val="15"/>
              </w:rPr>
              <w:drawing>
                <wp:inline distT="0" distB="0" distL="0" distR="0" wp14:anchorId="48C97DF1" wp14:editId="74F15E5D">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2D3C91CD" w14:textId="77777777" w:rsidR="0086277A" w:rsidRDefault="007C4073" w:rsidP="0026028E">
      <w:r>
        <w:fldChar w:fldCharType="begin"/>
      </w:r>
      <w:r>
        <w:instrText xml:space="preserve"> Macrobutton NoMacro  </w:instrText>
      </w:r>
      <w:r>
        <w:fldChar w:fldCharType="end"/>
      </w:r>
      <w:r>
        <w:rPr>
          <w:noProof/>
        </w:rPr>
        <w:drawing>
          <wp:anchor distT="0" distB="0" distL="114300" distR="114300" simplePos="0" relativeHeight="251661312" behindDoc="1" locked="1" layoutInCell="1" allowOverlap="1" wp14:anchorId="6ABE117D" wp14:editId="18B1E46B">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7B22C22" w14:textId="77777777" w:rsidR="0086277A" w:rsidRDefault="0086277A" w:rsidP="0026028E">
      <w:pPr>
        <w:sectPr w:rsidR="0086277A" w:rsidSect="007C4073">
          <w:headerReference w:type="first" r:id="rId18"/>
          <w:footerReference w:type="first" r:id="rId19"/>
          <w:pgSz w:w="11906" w:h="16838" w:code="9"/>
          <w:pgMar w:top="3402" w:right="851" w:bottom="1361" w:left="851" w:header="539" w:footer="624" w:gutter="0"/>
          <w:cols w:num="2" w:space="284"/>
          <w:docGrid w:linePitch="360"/>
        </w:sectPr>
      </w:pPr>
    </w:p>
    <w:p w14:paraId="4A72BCC0" w14:textId="77777777" w:rsidR="00982ADC" w:rsidRDefault="00982ADC">
      <w:r>
        <w:rPr>
          <w:b/>
          <w:bCs/>
        </w:rPr>
        <w:br w:type="page"/>
      </w:r>
    </w:p>
    <w:p w14:paraId="5953D2D7" w14:textId="3083C6EA" w:rsidR="0064798F" w:rsidRPr="00311599" w:rsidRDefault="00257401" w:rsidP="008B2365">
      <w:pPr>
        <w:pStyle w:val="Heading1"/>
        <w:framePr w:wrap="around"/>
      </w:pPr>
      <w:r>
        <w:lastRenderedPageBreak/>
        <w:t>About this report</w:t>
      </w:r>
    </w:p>
    <w:p w14:paraId="0897079E" w14:textId="77777777" w:rsidR="00982ADC" w:rsidRDefault="00982ADC" w:rsidP="00257401">
      <w:pPr>
        <w:pStyle w:val="Normalfollowingheading"/>
        <w:sectPr w:rsidR="00982ADC" w:rsidSect="000C02ED">
          <w:type w:val="continuous"/>
          <w:pgSz w:w="11906" w:h="16838" w:code="9"/>
          <w:pgMar w:top="3402" w:right="851" w:bottom="1361" w:left="851" w:header="539" w:footer="624" w:gutter="0"/>
          <w:pgNumType w:start="1"/>
          <w:cols w:num="2" w:space="284"/>
          <w:docGrid w:linePitch="360"/>
        </w:sectPr>
      </w:pPr>
    </w:p>
    <w:p w14:paraId="197FA8DC" w14:textId="77777777" w:rsidR="00CD79E9" w:rsidRDefault="00257401" w:rsidP="00257401">
      <w:pPr>
        <w:pStyle w:val="Normalfollowingheading"/>
      </w:pPr>
      <w:r>
        <w:t xml:space="preserve">This report provides an overview of the independent facilitator trial that was conducted </w:t>
      </w:r>
      <w:r w:rsidR="00B2350B">
        <w:t>by Safer Care Victoria</w:t>
      </w:r>
      <w:r w:rsidR="008236E9">
        <w:t xml:space="preserve"> (SCV)</w:t>
      </w:r>
      <w:r w:rsidR="00B2350B">
        <w:t xml:space="preserve"> </w:t>
      </w:r>
      <w:r>
        <w:t>in two metropolitan Victoria</w:t>
      </w:r>
      <w:r w:rsidR="000C162A">
        <w:t>n</w:t>
      </w:r>
      <w:r>
        <w:t xml:space="preserve"> health services</w:t>
      </w:r>
      <w:r w:rsidR="005B53FC">
        <w:t xml:space="preserve"> from March 2019 to October 2020</w:t>
      </w:r>
      <w:r w:rsidR="00CD79E9">
        <w:t>.</w:t>
      </w:r>
    </w:p>
    <w:p w14:paraId="62209285" w14:textId="2AB5825A" w:rsidR="005D7F87" w:rsidRPr="005D7F87" w:rsidRDefault="005D7F87" w:rsidP="000C02ED">
      <w:pPr>
        <w:pStyle w:val="Normalfollowingheading"/>
      </w:pPr>
      <w:r>
        <w:t xml:space="preserve">The </w:t>
      </w:r>
      <w:r w:rsidR="004365C6">
        <w:t xml:space="preserve">independent facilitator </w:t>
      </w:r>
      <w:r>
        <w:t xml:space="preserve">role provided healthcare </w:t>
      </w:r>
      <w:r w:rsidR="00A45E04">
        <w:t>staff</w:t>
      </w:r>
      <w:r>
        <w:t xml:space="preserve"> with an independent, neutral</w:t>
      </w:r>
      <w:r w:rsidR="00DE7AD2">
        <w:t xml:space="preserve">, </w:t>
      </w:r>
      <w:r>
        <w:t xml:space="preserve">confidential </w:t>
      </w:r>
      <w:r w:rsidR="00DE7AD2">
        <w:t xml:space="preserve">and informal </w:t>
      </w:r>
      <w:r>
        <w:t>resource who could help and support them with workplace bullying</w:t>
      </w:r>
      <w:r w:rsidR="001537A5">
        <w:t xml:space="preserve">, </w:t>
      </w:r>
      <w:r>
        <w:t>harassment</w:t>
      </w:r>
      <w:r w:rsidR="00842242">
        <w:t xml:space="preserve"> and other work</w:t>
      </w:r>
      <w:r w:rsidR="00E96029">
        <w:t>-</w:t>
      </w:r>
      <w:r>
        <w:t>related concerns.</w:t>
      </w:r>
      <w:r w:rsidR="004B5363">
        <w:t xml:space="preserve"> </w:t>
      </w:r>
      <w:r w:rsidR="00E96029">
        <w:t>E</w:t>
      </w:r>
      <w:r w:rsidR="000C162A">
        <w:t>valuation survey data</w:t>
      </w:r>
      <w:r w:rsidR="004B5363">
        <w:t xml:space="preserve"> </w:t>
      </w:r>
      <w:r w:rsidR="00E96029">
        <w:t xml:space="preserve">from the trial </w:t>
      </w:r>
      <w:r w:rsidR="004B5363">
        <w:t xml:space="preserve">showed the </w:t>
      </w:r>
      <w:r w:rsidR="00192E61">
        <w:t>independent facilitator role provided benefits</w:t>
      </w:r>
      <w:r w:rsidR="00BE4E85">
        <w:t xml:space="preserve"> </w:t>
      </w:r>
      <w:r w:rsidR="004B5363">
        <w:t>for both healthcare staff and the health services.</w:t>
      </w:r>
    </w:p>
    <w:p w14:paraId="5827E23B" w14:textId="068C916A" w:rsidR="00982ADC" w:rsidRDefault="005B53FC" w:rsidP="000C02ED">
      <w:pPr>
        <w:pStyle w:val="Normalfollowingheading"/>
        <w:sectPr w:rsidR="00982ADC" w:rsidSect="00A2390C">
          <w:type w:val="continuous"/>
          <w:pgSz w:w="11906" w:h="16838" w:code="9"/>
          <w:pgMar w:top="3402" w:right="851" w:bottom="1361" w:left="851" w:header="539" w:footer="624" w:gutter="0"/>
          <w:cols w:space="284"/>
          <w:docGrid w:linePitch="360"/>
        </w:sectPr>
      </w:pPr>
      <w:r>
        <w:t xml:space="preserve">In addition to sharing the outcomes of the trial, this report </w:t>
      </w:r>
      <w:r w:rsidR="00E625AC">
        <w:t>includes key learnings and resources from the trial that</w:t>
      </w:r>
      <w:r w:rsidR="004B5363">
        <w:t xml:space="preserve"> </w:t>
      </w:r>
      <w:r w:rsidR="00E625AC">
        <w:t xml:space="preserve">health services may </w:t>
      </w:r>
      <w:r w:rsidR="004B5363">
        <w:t xml:space="preserve">find useful </w:t>
      </w:r>
      <w:r w:rsidR="00CE49F0">
        <w:t>when</w:t>
      </w:r>
      <w:r w:rsidR="00B66B41">
        <w:t xml:space="preserve"> </w:t>
      </w:r>
      <w:r w:rsidR="00192E61">
        <w:t>considering</w:t>
      </w:r>
      <w:r w:rsidR="00CE49F0">
        <w:t xml:space="preserve"> </w:t>
      </w:r>
      <w:r>
        <w:t>implement</w:t>
      </w:r>
      <w:r w:rsidR="00CE49F0">
        <w:t>ing</w:t>
      </w:r>
      <w:r>
        <w:t xml:space="preserve"> a similar </w:t>
      </w:r>
      <w:r w:rsidR="00E625AC">
        <w:t xml:space="preserve">model </w:t>
      </w:r>
      <w:r>
        <w:t>in their own organisation</w:t>
      </w:r>
      <w:r w:rsidR="005D7F87">
        <w:t>.</w:t>
      </w:r>
    </w:p>
    <w:p w14:paraId="0C1165F9" w14:textId="77777777" w:rsidR="00791C9D" w:rsidRPr="00752CA8" w:rsidRDefault="00791C9D" w:rsidP="00791C9D">
      <w:pPr>
        <w:pStyle w:val="Heading2"/>
      </w:pPr>
      <w:r w:rsidRPr="00752CA8">
        <w:t>Background</w:t>
      </w:r>
    </w:p>
    <w:p w14:paraId="04195C40" w14:textId="707BF7B2" w:rsidR="00752CA8" w:rsidRDefault="00982ADC" w:rsidP="000C02ED">
      <w:pPr>
        <w:pStyle w:val="Normalfollowingheading"/>
        <w:rPr>
          <w:rFonts w:asciiTheme="majorHAnsi" w:eastAsiaTheme="majorEastAsia" w:hAnsiTheme="majorHAnsi" w:cstheme="majorBidi"/>
          <w:b/>
          <w:bCs/>
          <w:caps/>
          <w:color w:val="007586" w:themeColor="text2"/>
          <w:sz w:val="24"/>
          <w:szCs w:val="26"/>
        </w:rPr>
      </w:pPr>
      <w:r>
        <w:t xml:space="preserve">In March 2016, the </w:t>
      </w:r>
      <w:hyperlink r:id="rId20" w:history="1">
        <w:r w:rsidRPr="00AE12B9">
          <w:rPr>
            <w:rStyle w:val="Hyperlink"/>
          </w:rPr>
          <w:t>Bullying and Harassment in the Health Sector audit</w:t>
        </w:r>
      </w:hyperlink>
      <w:r>
        <w:t xml:space="preserve"> conducted by the Victorian Auditor-General’s Office revealed that complaints were being poorly managed in Victorian health services, and that staff did not trust or feared</w:t>
      </w:r>
      <w:r w:rsidR="00BA0B13">
        <w:t xml:space="preserve"> using</w:t>
      </w:r>
      <w:r>
        <w:t xml:space="preserve"> the complaints process. This resulted in significant under-reporting of inappropriate behaviour, including bullying and harassment.</w:t>
      </w:r>
    </w:p>
    <w:p w14:paraId="5F097071" w14:textId="402BB28A" w:rsidR="00041FF1" w:rsidRDefault="0007423C" w:rsidP="00041FF1">
      <w:r>
        <w:t xml:space="preserve">In response to </w:t>
      </w:r>
      <w:r w:rsidR="00DA5A6B">
        <w:t>these findings</w:t>
      </w:r>
      <w:r>
        <w:t>, t</w:t>
      </w:r>
      <w:r w:rsidR="00041FF1">
        <w:t>he Bullying and Harassment in Healthcare Advisory Group</w:t>
      </w:r>
      <w:r w:rsidR="00242008">
        <w:t xml:space="preserve"> </w:t>
      </w:r>
      <w:r w:rsidR="00041FF1">
        <w:t xml:space="preserve">identified initiatives to strengthen </w:t>
      </w:r>
      <w:r w:rsidR="00B2350B">
        <w:t xml:space="preserve">the </w:t>
      </w:r>
      <w:r w:rsidR="00041FF1">
        <w:t xml:space="preserve">grievance processes and support for Victorian healthcare </w:t>
      </w:r>
      <w:r w:rsidR="00A45E04">
        <w:t>staff</w:t>
      </w:r>
      <w:r w:rsidR="00041FF1">
        <w:t xml:space="preserve">. One initiative was to trial an </w:t>
      </w:r>
      <w:r w:rsidR="00745E5E">
        <w:t>i</w:t>
      </w:r>
      <w:r w:rsidR="00041FF1">
        <w:t xml:space="preserve">ndependent </w:t>
      </w:r>
      <w:r w:rsidR="00745E5E">
        <w:t>f</w:t>
      </w:r>
      <w:r w:rsidR="00041FF1">
        <w:t xml:space="preserve">acilitator </w:t>
      </w:r>
      <w:r w:rsidR="00B2350B">
        <w:t xml:space="preserve">(IF) </w:t>
      </w:r>
      <w:r w:rsidR="00041FF1">
        <w:t xml:space="preserve">role in Victorian health services. </w:t>
      </w:r>
    </w:p>
    <w:p w14:paraId="42E78B2A" w14:textId="5C85C3AE" w:rsidR="00E96029" w:rsidRDefault="00CE49F0" w:rsidP="00752CA8">
      <w:r>
        <w:t xml:space="preserve">SCV trialled </w:t>
      </w:r>
      <w:r w:rsidR="00BA0B13">
        <w:t>the</w:t>
      </w:r>
      <w:r>
        <w:t xml:space="preserve"> IF</w:t>
      </w:r>
      <w:r w:rsidR="00BA0B13">
        <w:t xml:space="preserve"> role</w:t>
      </w:r>
      <w:r>
        <w:t xml:space="preserve"> </w:t>
      </w:r>
      <w:r w:rsidR="00752CA8">
        <w:t>at two acute health services in metropolitan Melbourne</w:t>
      </w:r>
      <w:r w:rsidR="009C63FD">
        <w:t xml:space="preserve"> –</w:t>
      </w:r>
      <w:r w:rsidR="009C63FD" w:rsidRPr="009C63FD">
        <w:t xml:space="preserve"> The Royal Women’s Hospital and Melbourne Health</w:t>
      </w:r>
      <w:r w:rsidR="009C63FD">
        <w:t xml:space="preserve"> –</w:t>
      </w:r>
      <w:r w:rsidR="00752CA8">
        <w:t xml:space="preserve"> </w:t>
      </w:r>
      <w:r>
        <w:t xml:space="preserve">for 19 months from March 2019 to October 2020, </w:t>
      </w:r>
      <w:r w:rsidR="00752CA8">
        <w:t xml:space="preserve">with one IF allocated to </w:t>
      </w:r>
      <w:r w:rsidR="00457021">
        <w:t>operate</w:t>
      </w:r>
      <w:r w:rsidR="00BA0B13">
        <w:t xml:space="preserve"> </w:t>
      </w:r>
      <w:r w:rsidR="005511A9">
        <w:t xml:space="preserve">across </w:t>
      </w:r>
      <w:r w:rsidR="00BA0B13">
        <w:t>both health services</w:t>
      </w:r>
      <w:r w:rsidR="00752CA8">
        <w:t xml:space="preserve">. </w:t>
      </w:r>
      <w:r w:rsidR="001537A5">
        <w:t xml:space="preserve">The trial also </w:t>
      </w:r>
      <w:r w:rsidR="000C162A">
        <w:t>operated in four regional health services from March to August 2019.</w:t>
      </w:r>
      <w:r w:rsidR="00CD79E9">
        <w:t xml:space="preserve"> </w:t>
      </w:r>
    </w:p>
    <w:p w14:paraId="4AFCF424" w14:textId="0D8859BE" w:rsidR="00752CA8" w:rsidRDefault="00B66B41" w:rsidP="00752CA8">
      <w:r>
        <w:t>This report</w:t>
      </w:r>
      <w:r w:rsidR="00CD79E9">
        <w:t xml:space="preserve"> focus</w:t>
      </w:r>
      <w:r w:rsidR="001537A5">
        <w:t>es</w:t>
      </w:r>
      <w:r w:rsidR="00CD79E9">
        <w:t xml:space="preserve"> on the outcomes from the metropolitan health services</w:t>
      </w:r>
      <w:r w:rsidR="001537A5">
        <w:t>,</w:t>
      </w:r>
      <w:r w:rsidR="00CD79E9">
        <w:t xml:space="preserve"> where </w:t>
      </w:r>
      <w:r w:rsidR="00612926">
        <w:t>a</w:t>
      </w:r>
      <w:r w:rsidR="00CD79E9">
        <w:t xml:space="preserve"> longer trial period </w:t>
      </w:r>
      <w:r>
        <w:t>provided more data to measure</w:t>
      </w:r>
      <w:r w:rsidR="00612926">
        <w:t xml:space="preserve"> impacts and benefits of this innovative and new approach to addressing bullying and harassment</w:t>
      </w:r>
      <w:r w:rsidR="00CD79E9">
        <w:t>.</w:t>
      </w:r>
    </w:p>
    <w:p w14:paraId="202BB484" w14:textId="77777777" w:rsidR="00791C9D" w:rsidRDefault="00791C9D">
      <w:pPr>
        <w:rPr>
          <w:rFonts w:asciiTheme="majorHAnsi" w:eastAsiaTheme="majorEastAsia" w:hAnsiTheme="majorHAnsi" w:cstheme="majorBidi"/>
          <w:b/>
          <w:bCs/>
          <w:caps/>
          <w:color w:val="007586" w:themeColor="text2"/>
          <w:sz w:val="24"/>
          <w:szCs w:val="26"/>
        </w:rPr>
      </w:pPr>
      <w:r>
        <w:br w:type="page"/>
      </w:r>
    </w:p>
    <w:p w14:paraId="1DC9EC9E" w14:textId="4A50FDF6" w:rsidR="00DA0A7A" w:rsidRDefault="00DA0A7A" w:rsidP="00B2350B">
      <w:pPr>
        <w:pStyle w:val="Heading2"/>
      </w:pPr>
      <w:r>
        <w:lastRenderedPageBreak/>
        <w:t>what is an independent facilitator?</w:t>
      </w:r>
    </w:p>
    <w:p w14:paraId="6356BB65" w14:textId="38ED4322" w:rsidR="00DE59F5" w:rsidRDefault="00CE49F0" w:rsidP="00F63FAC">
      <w:pPr>
        <w:pStyle w:val="Normalfollowingheading"/>
      </w:pPr>
      <w:r>
        <w:t xml:space="preserve">An </w:t>
      </w:r>
      <w:r w:rsidR="002C320D">
        <w:t xml:space="preserve">IF </w:t>
      </w:r>
      <w:r w:rsidR="002C320D" w:rsidRPr="002C320D">
        <w:t>is an independent, neutral</w:t>
      </w:r>
      <w:r w:rsidR="00DE7AD2">
        <w:t xml:space="preserve">, </w:t>
      </w:r>
      <w:r w:rsidR="002C320D" w:rsidRPr="002C320D">
        <w:t xml:space="preserve">confidential </w:t>
      </w:r>
      <w:r w:rsidR="00DE7AD2">
        <w:t xml:space="preserve">and </w:t>
      </w:r>
      <w:r w:rsidR="00DE7AD2" w:rsidRPr="002C320D">
        <w:t xml:space="preserve">informal </w:t>
      </w:r>
      <w:r w:rsidR="002C320D" w:rsidRPr="002C320D">
        <w:t xml:space="preserve">resource for </w:t>
      </w:r>
      <w:r w:rsidR="002C320D">
        <w:t xml:space="preserve">health service staff. </w:t>
      </w:r>
    </w:p>
    <w:p w14:paraId="5C0C8364" w14:textId="45ED6F7A" w:rsidR="00F63FAC" w:rsidRDefault="00DE59F5" w:rsidP="00F63FAC">
      <w:pPr>
        <w:pStyle w:val="Normalfollowingheading"/>
      </w:pPr>
      <w:r>
        <w:t xml:space="preserve">The role </w:t>
      </w:r>
      <w:r w:rsidRPr="00DE59F5">
        <w:t>complements, without replacing, the function of the human resources department, line management, employee relations, health and wellbeing, the employee assistance program, unions</w:t>
      </w:r>
      <w:r w:rsidR="009C1A77">
        <w:t>,</w:t>
      </w:r>
      <w:r w:rsidRPr="00DE59F5">
        <w:t xml:space="preserve"> </w:t>
      </w:r>
      <w:r w:rsidR="009C1A77">
        <w:t>and/</w:t>
      </w:r>
      <w:r w:rsidRPr="00DE59F5">
        <w:t>or other channels of support and complaint available to staff at health services.</w:t>
      </w:r>
    </w:p>
    <w:p w14:paraId="43A0212B" w14:textId="605C6B2B" w:rsidR="008236E9" w:rsidRDefault="008236E9" w:rsidP="008236E9">
      <w:r>
        <w:t xml:space="preserve">The IF </w:t>
      </w:r>
      <w:r w:rsidR="00F63FAC">
        <w:t>offers staff</w:t>
      </w:r>
      <w:r>
        <w:t>:</w:t>
      </w:r>
    </w:p>
    <w:p w14:paraId="57A48DC9" w14:textId="5007408B" w:rsidR="00F63FAC" w:rsidRDefault="00F63FAC" w:rsidP="00F63FAC">
      <w:pPr>
        <w:pStyle w:val="Bullet1"/>
      </w:pPr>
      <w:r>
        <w:t>an independent avenue for support and help</w:t>
      </w:r>
      <w:r w:rsidR="009C1A77">
        <w:t>s</w:t>
      </w:r>
      <w:r>
        <w:t xml:space="preserve"> them </w:t>
      </w:r>
      <w:r w:rsidR="009C1A77">
        <w:t xml:space="preserve">to </w:t>
      </w:r>
      <w:r>
        <w:t>clarify their concerns</w:t>
      </w:r>
    </w:p>
    <w:p w14:paraId="5EE04065" w14:textId="77777777" w:rsidR="00F63FAC" w:rsidRDefault="00F63FAC" w:rsidP="00F63FAC">
      <w:pPr>
        <w:pStyle w:val="Bullet1"/>
      </w:pPr>
      <w:r>
        <w:t>access to information, resources and tools</w:t>
      </w:r>
    </w:p>
    <w:p w14:paraId="5C133D81" w14:textId="77777777" w:rsidR="00F63FAC" w:rsidRDefault="00F63FAC" w:rsidP="00F63FAC">
      <w:pPr>
        <w:pStyle w:val="Bullet1"/>
      </w:pPr>
      <w:r>
        <w:t>information about the options available to address their concerns</w:t>
      </w:r>
    </w:p>
    <w:p w14:paraId="692B5D65" w14:textId="1EC77D2C" w:rsidR="00F63FAC" w:rsidRDefault="00F63FAC" w:rsidP="00F63FAC">
      <w:pPr>
        <w:pStyle w:val="Bullet1"/>
      </w:pPr>
      <w:r>
        <w:t>help navigat</w:t>
      </w:r>
      <w:r w:rsidR="00114D74">
        <w:t>ing</w:t>
      </w:r>
      <w:r>
        <w:t xml:space="preserve"> the existing internal and external complaints processes and pathways available to them</w:t>
      </w:r>
    </w:p>
    <w:p w14:paraId="3FAADC3C" w14:textId="6619B834" w:rsidR="00F63FAC" w:rsidRDefault="00F63FAC" w:rsidP="00F63FAC">
      <w:pPr>
        <w:pStyle w:val="Bullet1"/>
      </w:pPr>
      <w:r>
        <w:t>support to learn new ways to address issues and concerns themselves, including having difficult conversations</w:t>
      </w:r>
    </w:p>
    <w:p w14:paraId="574008BE" w14:textId="538ED620" w:rsidR="008236E9" w:rsidRDefault="00F63FAC" w:rsidP="008236E9">
      <w:pPr>
        <w:pStyle w:val="Bullet1"/>
      </w:pPr>
      <w:r>
        <w:t xml:space="preserve">help to facilitate </w:t>
      </w:r>
      <w:r w:rsidR="008236E9">
        <w:t>informal conversations between staff, independently and impartially</w:t>
      </w:r>
      <w:r>
        <w:t>, with the agreement of all parties, including the IF</w:t>
      </w:r>
      <w:r w:rsidR="008236E9">
        <w:t>.</w:t>
      </w:r>
    </w:p>
    <w:p w14:paraId="35AE5209" w14:textId="6E3C9FF5" w:rsidR="008236E9" w:rsidRDefault="008236E9" w:rsidP="00F63FAC">
      <w:r>
        <w:t xml:space="preserve">Other </w:t>
      </w:r>
      <w:r w:rsidR="00F63FAC">
        <w:t xml:space="preserve">IF </w:t>
      </w:r>
      <w:r>
        <w:t xml:space="preserve">responsibilities </w:t>
      </w:r>
      <w:r w:rsidR="00C65ACE">
        <w:t xml:space="preserve">during the trial </w:t>
      </w:r>
      <w:r>
        <w:t>include</w:t>
      </w:r>
      <w:r w:rsidR="00C65ACE">
        <w:t>d</w:t>
      </w:r>
      <w:r>
        <w:t>:</w:t>
      </w:r>
    </w:p>
    <w:p w14:paraId="178B3B70" w14:textId="1CF5C321" w:rsidR="008236E9" w:rsidRDefault="008236E9" w:rsidP="008236E9">
      <w:pPr>
        <w:pStyle w:val="Bullet1"/>
      </w:pPr>
      <w:r>
        <w:t>provid</w:t>
      </w:r>
      <w:r w:rsidR="00F63FAC">
        <w:t xml:space="preserve">ing health service </w:t>
      </w:r>
      <w:r>
        <w:t>senior management and Safer Care Victoria (SCV) with aggregated and de-identified information about the use of the service, systemic issues, and opportunities for improvement, with the aim of supporting the health services' work to provide safe, fair, positive and respectful workplaces</w:t>
      </w:r>
    </w:p>
    <w:p w14:paraId="7C9AE9C3" w14:textId="5F1AB959" w:rsidR="008236E9" w:rsidRDefault="008236E9" w:rsidP="008236E9">
      <w:pPr>
        <w:pStyle w:val="Bullet1"/>
      </w:pPr>
      <w:r>
        <w:t>support</w:t>
      </w:r>
      <w:r w:rsidR="00C65ACE">
        <w:t>ing</w:t>
      </w:r>
      <w:r>
        <w:t xml:space="preserve"> the work of the health services, the </w:t>
      </w:r>
      <w:r w:rsidR="00791C9D">
        <w:t>Department of Health and Human Services (</w:t>
      </w:r>
      <w:r>
        <w:t>DHHS</w:t>
      </w:r>
      <w:r w:rsidR="00791C9D">
        <w:t>)</w:t>
      </w:r>
      <w:r>
        <w:t>, and SCV to prevent, respond to, and better manage inappropriate workplace behaviours, including bullying, sexual harassment and discrimination within health services.</w:t>
      </w:r>
    </w:p>
    <w:p w14:paraId="6BA389F4" w14:textId="33560999" w:rsidR="00E96029" w:rsidRDefault="00752CA8" w:rsidP="00DD48F4">
      <w:r>
        <w:t>The IF role has been implemented locally and internationally</w:t>
      </w:r>
      <w:r w:rsidR="00DD48F4">
        <w:t xml:space="preserve"> </w:t>
      </w:r>
      <w:r w:rsidR="00457021">
        <w:t>as an effective resource to address</w:t>
      </w:r>
      <w:r w:rsidR="00DD48F4">
        <w:t xml:space="preserve"> bullying and harassment</w:t>
      </w:r>
      <w:r w:rsidR="00457021">
        <w:t xml:space="preserve"> and support early resolution of conflict and disputes before they escalate to formal processes</w:t>
      </w:r>
      <w:r w:rsidR="00DD48F4">
        <w:t xml:space="preserve">. </w:t>
      </w:r>
    </w:p>
    <w:p w14:paraId="4E8D0C0B" w14:textId="4B2D4C7F" w:rsidR="00E96029" w:rsidRDefault="00C65ACE" w:rsidP="00DD48F4">
      <w:r>
        <w:t>S</w:t>
      </w:r>
      <w:r w:rsidR="00752CA8" w:rsidRPr="002804B5">
        <w:t xml:space="preserve">imilar models </w:t>
      </w:r>
      <w:r w:rsidR="00DD48F4">
        <w:t xml:space="preserve">exist in </w:t>
      </w:r>
      <w:r w:rsidR="00791C9D">
        <w:t>DHHS</w:t>
      </w:r>
      <w:r w:rsidR="00752CA8" w:rsidRPr="002804B5">
        <w:t xml:space="preserve"> and the Department of Environment, Land, Water and Planning</w:t>
      </w:r>
      <w:r w:rsidR="00DD48F4">
        <w:t>, in</w:t>
      </w:r>
      <w:r w:rsidR="00612926">
        <w:t xml:space="preserve"> multinational corporations,</w:t>
      </w:r>
      <w:r w:rsidR="00DD48F4">
        <w:t xml:space="preserve"> </w:t>
      </w:r>
      <w:r w:rsidR="00E96029">
        <w:t xml:space="preserve">and in </w:t>
      </w:r>
      <w:r w:rsidR="00DD48F4">
        <w:t xml:space="preserve">international </w:t>
      </w:r>
      <w:r w:rsidR="00752CA8" w:rsidRPr="002804B5">
        <w:t>organisations including</w:t>
      </w:r>
      <w:r w:rsidR="00752CA8">
        <w:t xml:space="preserve"> </w:t>
      </w:r>
      <w:r w:rsidR="00752CA8" w:rsidRPr="002804B5">
        <w:t xml:space="preserve">the United Nations and its agencies, the International Red Cross, the World Bank, and universities in the </w:t>
      </w:r>
      <w:r w:rsidR="00752CA8">
        <w:t xml:space="preserve">US </w:t>
      </w:r>
      <w:r w:rsidR="00752CA8" w:rsidRPr="002804B5">
        <w:t xml:space="preserve">under the </w:t>
      </w:r>
      <w:hyperlink r:id="rId21" w:history="1">
        <w:r w:rsidR="00752CA8" w:rsidRPr="00E96029">
          <w:rPr>
            <w:rStyle w:val="Hyperlink"/>
          </w:rPr>
          <w:t>International Ombudsman Association framework</w:t>
        </w:r>
      </w:hyperlink>
      <w:r w:rsidR="00752CA8">
        <w:t xml:space="preserve">. </w:t>
      </w:r>
    </w:p>
    <w:p w14:paraId="346886FA" w14:textId="7BF058D6" w:rsidR="00257401" w:rsidRDefault="00DD48F4" w:rsidP="00DD48F4">
      <w:pPr>
        <w:rPr>
          <w:b/>
        </w:rPr>
      </w:pPr>
      <w:r>
        <w:t xml:space="preserve">However, the IF role is new to the Victorian healthcare sector. </w:t>
      </w:r>
      <w:r w:rsidR="00257401">
        <w:br w:type="page"/>
      </w:r>
    </w:p>
    <w:p w14:paraId="74A4E8DA" w14:textId="77777777" w:rsidR="00982ADC" w:rsidRDefault="00982ADC" w:rsidP="00257401">
      <w:pPr>
        <w:pStyle w:val="Heading1"/>
        <w:framePr w:wrap="auto" w:vAnchor="margin" w:hAnchor="text" w:yAlign="inline" w:anchorLock="1"/>
        <w:sectPr w:rsidR="00982ADC" w:rsidSect="00A2390C">
          <w:type w:val="continuous"/>
          <w:pgSz w:w="11906" w:h="16838" w:code="9"/>
          <w:pgMar w:top="3402" w:right="851" w:bottom="1361" w:left="851" w:header="539" w:footer="624" w:gutter="0"/>
          <w:cols w:space="284"/>
          <w:docGrid w:linePitch="360"/>
        </w:sectPr>
      </w:pPr>
    </w:p>
    <w:p w14:paraId="177BB59A" w14:textId="0D1EE0DB" w:rsidR="00257401" w:rsidRDefault="00386323" w:rsidP="00257401">
      <w:pPr>
        <w:pStyle w:val="Heading1"/>
        <w:framePr w:wrap="around"/>
      </w:pPr>
      <w:r>
        <w:lastRenderedPageBreak/>
        <w:t>Trial outcomes</w:t>
      </w:r>
    </w:p>
    <w:p w14:paraId="2F221E71" w14:textId="77777777" w:rsidR="00982ADC" w:rsidRDefault="00982ADC" w:rsidP="00865662">
      <w:pPr>
        <w:pStyle w:val="Bullet1"/>
        <w:numPr>
          <w:ilvl w:val="0"/>
          <w:numId w:val="0"/>
        </w:numPr>
        <w:sectPr w:rsidR="00982ADC" w:rsidSect="00A2390C">
          <w:type w:val="continuous"/>
          <w:pgSz w:w="11906" w:h="16838" w:code="9"/>
          <w:pgMar w:top="3402" w:right="851" w:bottom="1361" w:left="851" w:header="539" w:footer="624" w:gutter="0"/>
          <w:cols w:num="2" w:space="284"/>
          <w:docGrid w:linePitch="360"/>
        </w:sectPr>
      </w:pPr>
    </w:p>
    <w:p w14:paraId="110A85D2" w14:textId="5CE35C69" w:rsidR="00305571" w:rsidRDefault="00305571" w:rsidP="00865662">
      <w:pPr>
        <w:pStyle w:val="Bullet1"/>
        <w:numPr>
          <w:ilvl w:val="0"/>
          <w:numId w:val="0"/>
        </w:numPr>
      </w:pPr>
      <w:r w:rsidRPr="00305571">
        <w:t xml:space="preserve">The </w:t>
      </w:r>
      <w:r>
        <w:t xml:space="preserve">IF </w:t>
      </w:r>
      <w:r w:rsidRPr="00305571">
        <w:t xml:space="preserve">model delivered benefits for </w:t>
      </w:r>
      <w:r w:rsidR="00DD2C1A">
        <w:t xml:space="preserve">the healthcare </w:t>
      </w:r>
      <w:r w:rsidRPr="00305571">
        <w:t xml:space="preserve">staff who used the service and </w:t>
      </w:r>
      <w:r w:rsidR="00DD2C1A">
        <w:t xml:space="preserve">for </w:t>
      </w:r>
      <w:r w:rsidRPr="00305571">
        <w:t>the health services</w:t>
      </w:r>
      <w:r w:rsidR="001537A5">
        <w:t>.</w:t>
      </w:r>
    </w:p>
    <w:p w14:paraId="364D8864" w14:textId="7EA81C30" w:rsidR="00D837A4" w:rsidRDefault="00D837A4" w:rsidP="00865662">
      <w:pPr>
        <w:pStyle w:val="Bullet1"/>
        <w:numPr>
          <w:ilvl w:val="0"/>
          <w:numId w:val="0"/>
        </w:numPr>
      </w:pPr>
      <w:r>
        <w:t>During the 19-month trial</w:t>
      </w:r>
      <w:r w:rsidR="00865662">
        <w:t xml:space="preserve">, </w:t>
      </w:r>
      <w:r w:rsidR="00221F15">
        <w:t xml:space="preserve">207 </w:t>
      </w:r>
      <w:r>
        <w:t xml:space="preserve">healthcare </w:t>
      </w:r>
      <w:r w:rsidR="00A45E04">
        <w:t>staff</w:t>
      </w:r>
      <w:r>
        <w:t xml:space="preserve"> visited the IF</w:t>
      </w:r>
      <w:r w:rsidR="00221F15">
        <w:t xml:space="preserve"> </w:t>
      </w:r>
      <w:r w:rsidR="00DD2C1A">
        <w:t xml:space="preserve">over </w:t>
      </w:r>
      <w:r w:rsidR="00E96029">
        <w:t xml:space="preserve">more than </w:t>
      </w:r>
      <w:r w:rsidR="00221F15">
        <w:t>6</w:t>
      </w:r>
      <w:r w:rsidR="00E96029">
        <w:t>0</w:t>
      </w:r>
      <w:r w:rsidR="00221F15">
        <w:t>0 visits</w:t>
      </w:r>
      <w:r w:rsidR="00791C9D">
        <w:t>. T</w:t>
      </w:r>
      <w:r w:rsidR="00A41CCA">
        <w:t xml:space="preserve">he majority </w:t>
      </w:r>
      <w:r w:rsidR="00DD2C1A">
        <w:t xml:space="preserve">of staff accessing the service </w:t>
      </w:r>
      <w:r w:rsidR="00791C9D">
        <w:t xml:space="preserve">were </w:t>
      </w:r>
      <w:r w:rsidR="00A41CCA">
        <w:t>nurses and management/administration/corporate staff</w:t>
      </w:r>
      <w:r w:rsidR="00865662">
        <w:t>.</w:t>
      </w:r>
    </w:p>
    <w:p w14:paraId="1AB3E684" w14:textId="124E6822" w:rsidR="00865662" w:rsidRDefault="00865662" w:rsidP="00865662">
      <w:pPr>
        <w:pStyle w:val="Bullet1"/>
        <w:numPr>
          <w:ilvl w:val="0"/>
          <w:numId w:val="0"/>
        </w:numPr>
      </w:pPr>
      <w:r>
        <w:t xml:space="preserve">Of the 104 staff who responded to </w:t>
      </w:r>
      <w:r w:rsidR="00242008">
        <w:t>an anonymous and voluntary</w:t>
      </w:r>
      <w:r>
        <w:t xml:space="preserve"> survey:</w:t>
      </w:r>
    </w:p>
    <w:p w14:paraId="7FCE4529" w14:textId="77777777" w:rsidR="00865662" w:rsidRDefault="00865662" w:rsidP="00865662">
      <w:pPr>
        <w:pStyle w:val="Bullet1"/>
      </w:pPr>
      <w:r>
        <w:t>99 per cent felt the IF was independent</w:t>
      </w:r>
    </w:p>
    <w:p w14:paraId="18E2A6DB" w14:textId="2740319A" w:rsidR="00865662" w:rsidRDefault="00865662" w:rsidP="00865662">
      <w:pPr>
        <w:pStyle w:val="Bullet1"/>
      </w:pPr>
      <w:r>
        <w:t>98 per cent agreed the IF helped them clarify their concern(s)</w:t>
      </w:r>
    </w:p>
    <w:p w14:paraId="4A27CDCA" w14:textId="105889F0" w:rsidR="00865662" w:rsidRDefault="00865662" w:rsidP="00865662">
      <w:pPr>
        <w:pStyle w:val="Bullet1"/>
      </w:pPr>
      <w:r>
        <w:t>96 per cent were satisfied with the information, resources and tools provided by the IF</w:t>
      </w:r>
    </w:p>
    <w:p w14:paraId="740E9AFE" w14:textId="77777777" w:rsidR="00865662" w:rsidRDefault="00865662" w:rsidP="00865662">
      <w:pPr>
        <w:pStyle w:val="Bullet1"/>
      </w:pPr>
      <w:r>
        <w:t>85 per cent agreed the IF helped them to navigate internal and external complaints processes and explore available options (if applicable)</w:t>
      </w:r>
    </w:p>
    <w:p w14:paraId="6F5CEF97" w14:textId="360CB334" w:rsidR="00865662" w:rsidRDefault="00865662" w:rsidP="00865662">
      <w:pPr>
        <w:pStyle w:val="Bullet1"/>
      </w:pPr>
      <w:r>
        <w:t>85 per cent felt more confident in managing their workplace concern(s) after meeting with the IF.</w:t>
      </w:r>
    </w:p>
    <w:p w14:paraId="5B6074A8" w14:textId="6C1A9F34" w:rsidR="00865662" w:rsidRDefault="00865662" w:rsidP="00865662">
      <w:r>
        <w:t>Staff reported the IF had made a real difference; they felt empowered and equipped to more constructively manage their workplace concern</w:t>
      </w:r>
      <w:r w:rsidR="00B826BF">
        <w:t>(s)</w:t>
      </w:r>
      <w:r>
        <w:t xml:space="preserve">. For some, the IF’s support enabled them to remain at the health service and develop valuable conflict management skills. </w:t>
      </w:r>
    </w:p>
    <w:p w14:paraId="2CF83F23" w14:textId="6D0FF4E6" w:rsidR="00A41CCA" w:rsidRDefault="007E6BDE" w:rsidP="007E6BDE">
      <w:r>
        <w:t xml:space="preserve">The health services also reported that </w:t>
      </w:r>
      <w:r w:rsidRPr="007E6BDE">
        <w:t>quarterly meetings and reports with SCV and the IF supported their efforts to provide a safe, fair, positive</w:t>
      </w:r>
      <w:r>
        <w:t>,</w:t>
      </w:r>
      <w:r w:rsidRPr="007E6BDE">
        <w:t xml:space="preserve"> and respectful workplace for staff. </w:t>
      </w:r>
      <w:r w:rsidR="00B826BF">
        <w:t>De-identified i</w:t>
      </w:r>
      <w:r w:rsidRPr="007E6BDE">
        <w:t xml:space="preserve">nformation gathered by the IF helped them to address staff concerns, enabled </w:t>
      </w:r>
      <w:r w:rsidR="00B826BF">
        <w:t xml:space="preserve">them to improve </w:t>
      </w:r>
      <w:r w:rsidRPr="007E6BDE">
        <w:t>policies and procedures</w:t>
      </w:r>
      <w:r>
        <w:t>,</w:t>
      </w:r>
      <w:r w:rsidRPr="007E6BDE">
        <w:t xml:space="preserve"> and supported training for staff and managers on conflict management and raising awareness of the importance of speaking up.</w:t>
      </w:r>
    </w:p>
    <w:p w14:paraId="3A112340" w14:textId="050B7616" w:rsidR="009C63FD" w:rsidRDefault="00305571" w:rsidP="009C63FD">
      <w:pPr>
        <w:pStyle w:val="Bullet1"/>
        <w:numPr>
          <w:ilvl w:val="0"/>
          <w:numId w:val="0"/>
        </w:numPr>
        <w:sectPr w:rsidR="009C63FD" w:rsidSect="00A2390C">
          <w:type w:val="continuous"/>
          <w:pgSz w:w="11906" w:h="16838" w:code="9"/>
          <w:pgMar w:top="3402" w:right="851" w:bottom="1361" w:left="851" w:header="539" w:footer="624" w:gutter="0"/>
          <w:cols w:num="2" w:space="284"/>
          <w:docGrid w:linePitch="360"/>
        </w:sectPr>
      </w:pPr>
      <w:r w:rsidRPr="00305571">
        <w:t xml:space="preserve">By supporting staff in a safe and confidential setting and </w:t>
      </w:r>
      <w:r w:rsidR="00B66B41">
        <w:t>supporting</w:t>
      </w:r>
      <w:r w:rsidR="00B66B41" w:rsidRPr="00305571">
        <w:t xml:space="preserve"> </w:t>
      </w:r>
      <w:r w:rsidRPr="00305571">
        <w:t xml:space="preserve">staff </w:t>
      </w:r>
      <w:r w:rsidR="00B66B41">
        <w:t>to explore</w:t>
      </w:r>
      <w:r w:rsidRPr="00305571">
        <w:t xml:space="preserve"> their options, the IF can build capacity across the organisation</w:t>
      </w:r>
      <w:r w:rsidR="009C63FD">
        <w:t xml:space="preserve"> </w:t>
      </w:r>
      <w:r w:rsidRPr="00305571">
        <w:t>for early intervention by promoting and supporting informal resolution of workplace conflict and preventing escalation to more formal channels.</w:t>
      </w:r>
      <w:r w:rsidR="009C63FD">
        <w:br w:type="column"/>
      </w:r>
      <w:r w:rsidR="009C63FD">
        <w:rPr>
          <w:noProof/>
        </w:rPr>
        <mc:AlternateContent>
          <mc:Choice Requires="wps">
            <w:drawing>
              <wp:inline distT="0" distB="0" distL="0" distR="0" wp14:anchorId="4D3681EF" wp14:editId="269E95CA">
                <wp:extent cx="3149600" cy="7210425"/>
                <wp:effectExtent l="0" t="0" r="1270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7210425"/>
                        </a:xfrm>
                        <a:prstGeom prst="rect">
                          <a:avLst/>
                        </a:prstGeom>
                        <a:solidFill>
                          <a:schemeClr val="bg2"/>
                        </a:solidFill>
                        <a:ln w="6350">
                          <a:solidFill>
                            <a:schemeClr val="bg2"/>
                          </a:solidFill>
                          <a:miter lim="800000"/>
                          <a:headEnd/>
                          <a:tailEnd/>
                        </a:ln>
                      </wps:spPr>
                      <wps:txbx>
                        <w:txbxContent>
                          <w:p w14:paraId="0C403267" w14:textId="77777777" w:rsidR="009C63FD" w:rsidRPr="00FC05FB" w:rsidRDefault="009C63FD" w:rsidP="009C63FD">
                            <w:pPr>
                              <w:pStyle w:val="PulloutHeading"/>
                            </w:pPr>
                            <w:r>
                              <w:t>Staff feedback</w:t>
                            </w:r>
                          </w:p>
                          <w:p w14:paraId="15DA48A0" w14:textId="77777777" w:rsidR="009C63FD" w:rsidRDefault="009C63FD" w:rsidP="009C63FD">
                            <w:pPr>
                              <w:pStyle w:val="PulloutText"/>
                            </w:pPr>
                            <w:r>
                              <w:t>‘It was nice to be able to raise a concern without having to involve management. The advice was very neutral and follow up resources were provided.’</w:t>
                            </w:r>
                          </w:p>
                          <w:p w14:paraId="7220F1BC" w14:textId="77777777" w:rsidR="009C63FD" w:rsidRDefault="009C63FD" w:rsidP="009C63FD">
                            <w:pPr>
                              <w:pStyle w:val="PulloutText"/>
                            </w:pPr>
                            <w:r>
                              <w:t>‘I came away feeling empowered ... and now feel I can go forward and support others in approaching negative behaviours in a way that may make a positive difference.’</w:t>
                            </w:r>
                          </w:p>
                          <w:p w14:paraId="74E6A60D" w14:textId="21A36E19" w:rsidR="009C63FD" w:rsidRDefault="009C63FD" w:rsidP="009C63FD">
                            <w:pPr>
                              <w:pStyle w:val="PulloutText"/>
                            </w:pPr>
                            <w:r>
                              <w:t xml:space="preserve">‘The IF is an asset to the organisation for assisting staff to discuss </w:t>
                            </w:r>
                            <w:r w:rsidR="00CF0202">
                              <w:t xml:space="preserve">… </w:t>
                            </w:r>
                            <w:r>
                              <w:t xml:space="preserve">issues [and] maintain a neutral position that also reflects </w:t>
                            </w:r>
                            <w:r w:rsidR="00CF0202">
                              <w:t xml:space="preserve">… </w:t>
                            </w:r>
                            <w:r>
                              <w:t>the possible perception of the other person.’</w:t>
                            </w:r>
                          </w:p>
                          <w:p w14:paraId="4F7D46C5" w14:textId="7A7AEF8C" w:rsidR="009C63FD" w:rsidRDefault="009C63FD" w:rsidP="009C63FD">
                            <w:pPr>
                              <w:pStyle w:val="PulloutText"/>
                            </w:pPr>
                            <w:r>
                              <w:t>‘[The IF] has been incredibly supportive and professional and really made a very challenging experience much easier to manage and understand. I think without her help I probably would have strongly considered resigning from my job and may have withdrawn my complaint purely because of the stress and confusion of the process.’</w:t>
                            </w:r>
                          </w:p>
                          <w:p w14:paraId="1745D8DA" w14:textId="6D9CDF83" w:rsidR="009C63FD" w:rsidRDefault="009C63FD" w:rsidP="009C63FD">
                            <w:pPr>
                              <w:pStyle w:val="PulloutText"/>
                            </w:pPr>
                          </w:p>
                          <w:p w14:paraId="363786E6" w14:textId="70A1BE9B" w:rsidR="009C63FD" w:rsidRDefault="009C63FD" w:rsidP="009C63FD">
                            <w:pPr>
                              <w:pStyle w:val="PulloutText"/>
                              <w:rPr>
                                <w:b/>
                                <w:sz w:val="24"/>
                              </w:rPr>
                            </w:pPr>
                            <w:r w:rsidRPr="009C63FD">
                              <w:rPr>
                                <w:b/>
                                <w:sz w:val="24"/>
                              </w:rPr>
                              <w:t>Health service feedback</w:t>
                            </w:r>
                          </w:p>
                          <w:p w14:paraId="1F43D9DA" w14:textId="3AF40FF5" w:rsidR="009C63FD" w:rsidRPr="009C63FD" w:rsidRDefault="009C63FD" w:rsidP="009C63FD">
                            <w:pPr>
                              <w:pStyle w:val="PulloutText"/>
                            </w:pPr>
                            <w:r>
                              <w:t>‘</w:t>
                            </w:r>
                            <w:r w:rsidRPr="009C63FD">
                              <w:t>The feedback we have had is that the staff who have used the IF have found her to be a fantastic independent voice.</w:t>
                            </w:r>
                            <w:r>
                              <w:t>’</w:t>
                            </w:r>
                          </w:p>
                          <w:p w14:paraId="4382C2F7" w14:textId="69101360" w:rsidR="009C63FD" w:rsidRPr="009C63FD" w:rsidRDefault="009C63FD" w:rsidP="009C63FD">
                            <w:pPr>
                              <w:pStyle w:val="PulloutText"/>
                            </w:pPr>
                            <w:r>
                              <w:t>‘</w:t>
                            </w:r>
                            <w:r w:rsidRPr="009C63FD">
                              <w:t>[The IF] has given us specific opportunities for training and identified other options.</w:t>
                            </w:r>
                            <w:r>
                              <w:t>’</w:t>
                            </w:r>
                          </w:p>
                          <w:p w14:paraId="0B21DC09" w14:textId="516A647B" w:rsidR="009C63FD" w:rsidRPr="009C63FD" w:rsidRDefault="009C63FD" w:rsidP="009C63FD">
                            <w:pPr>
                              <w:pStyle w:val="PulloutText"/>
                            </w:pPr>
                            <w:r>
                              <w:t>‘</w:t>
                            </w:r>
                            <w:r w:rsidRPr="009C63FD">
                              <w:t>[The IF helps] staff self-clarify what their issue is and [explains] their options. This helps staff make the choice that feels right for them and reinforces that there are avenues of redress. This helps [our health service] in providing a psychologically safe environment for conflict resolution and this enhances patient safety.</w:t>
                            </w:r>
                            <w:r>
                              <w:t>’</w:t>
                            </w:r>
                          </w:p>
                        </w:txbxContent>
                      </wps:txbx>
                      <wps:bodyPr rot="0" vert="horz" wrap="square" lIns="180000" tIns="180000" rIns="144000" bIns="36000" anchor="t" anchorCtr="0">
                        <a:noAutofit/>
                      </wps:bodyPr>
                    </wps:wsp>
                  </a:graphicData>
                </a:graphic>
              </wp:inline>
            </w:drawing>
          </mc:Choice>
          <mc:Fallback>
            <w:pict>
              <v:shapetype w14:anchorId="4D3681EF" id="_x0000_t202" coordsize="21600,21600" o:spt="202" path="m,l,21600r21600,l21600,xe">
                <v:stroke joinstyle="miter"/>
                <v:path gradientshapeok="t" o:connecttype="rect"/>
              </v:shapetype>
              <v:shape id="Text Box 2" o:spid="_x0000_s1026" type="#_x0000_t202" style="width:248pt;height:5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9LJAIAAEgEAAAOAAAAZHJzL2Uyb0RvYy54bWysVNtu2zAMfR+wfxD0vviSNO2MOEWXrsOA&#10;7gK0+wBZlmNhkqhJSuzs60vJSdZuTxvmB0GUqEPyHNKr61ErshfOSzA1LWY5JcJwaKXZ1vTb492b&#10;K0p8YKZlCoyo6UF4er1+/Wo12EqU0INqhSMIYnw12Jr2IdgqyzzvhWZ+BlYYvOzAaRbQdNusdWxA&#10;dK2yMs+X2QCutQ648B5Pb6dLuk74XSd4+NJ1XgSiaoq5hbS6tDZxzdYrVm0ds73kxzTYP2ShmTQY&#10;9Ax1ywIjOyf/gNKSO/DQhRkHnUHXSS5SDVhNkf9WzUPPrEi1IDnenmny/w+Wf95/dUS2NS2LS0oM&#10;0yjSoxgDeQcjKSM/g/UVuj1YdAwjHqPOqVZv74F/98TApmdmK26cg6EXrMX8ivgye/Z0wvERpBk+&#10;QYth2C5AAho7pyN5SAdBdNTpcNYmpsLxcF4s3i5zvOJ4d1kW+aK8SDFYdXpunQ8fBGgSNzV1KH6C&#10;Z/t7H2I6rDq5xGgelGzvpFLJiA0nNsqRPcNWabapdHzxwksZMtR0Ob/IJwL+HkHLgP2upK7pVR6/&#10;qQMja+9Nm7oxMKmmPYZX5khjZG7iMIzNeJSlgfaAhDqY+hrnEDc9uJ+UDNjTNfU/dswJStRHE0VJ&#10;IXEKXlhushaLmA1pkjVHqtFghiNaTcNpuwlpdiJjBm5Qv04mZqPQUzLHdLFdE+HH0Yrz8NxOXr9+&#10;AOsnAAAA//8DAFBLAwQUAAYACAAAACEA+LL2yNsAAAAGAQAADwAAAGRycy9kb3ducmV2LnhtbEyP&#10;wU7DMBBE70j8g7VIXCrqhNKKhjhVVJErEqUfsI23SSBeR7Hbhr9n4UIvK41mNPsm30yuV2caQ+fZ&#10;QDpPQBHX3nbcGNh/VA/PoEJEtth7JgPfFGBT3N7kmFl/4Xc672KjpIRDhgbaGIdM61C35DDM/UAs&#10;3tGPDqPIsdF2xIuUu14/JslKO+xYPrQ40Lal+mt3ctLSlNXsaGfr+m2/SO1n1ZWv6daY+7upfAEV&#10;aYr/YfjFF3QohOngT2yD6g3IkPh3xXtar0QeJJQulkvQRa6v8YsfAAAA//8DAFBLAQItABQABgAI&#10;AAAAIQC2gziS/gAAAOEBAAATAAAAAAAAAAAAAAAAAAAAAABbQ29udGVudF9UeXBlc10ueG1sUEsB&#10;Ai0AFAAGAAgAAAAhADj9If/WAAAAlAEAAAsAAAAAAAAAAAAAAAAALwEAAF9yZWxzLy5yZWxzUEsB&#10;Ai0AFAAGAAgAAAAhAEqUL0skAgAASAQAAA4AAAAAAAAAAAAAAAAALgIAAGRycy9lMm9Eb2MueG1s&#10;UEsBAi0AFAAGAAgAAAAhAPiy9sjbAAAABgEAAA8AAAAAAAAAAAAAAAAAfgQAAGRycy9kb3ducmV2&#10;LnhtbFBLBQYAAAAABAAEAPMAAACGBQAAAAA=&#10;" fillcolor="#edf5f7 [3214]" strokecolor="#edf5f7 [3214]" strokeweight=".5pt">
                <v:textbox inset="5mm,5mm,4mm,1mm">
                  <w:txbxContent>
                    <w:p w14:paraId="0C403267" w14:textId="77777777" w:rsidR="009C63FD" w:rsidRPr="00FC05FB" w:rsidRDefault="009C63FD" w:rsidP="009C63FD">
                      <w:pPr>
                        <w:pStyle w:val="PulloutHeading"/>
                      </w:pPr>
                      <w:r>
                        <w:t>Staff feedback</w:t>
                      </w:r>
                    </w:p>
                    <w:p w14:paraId="15DA48A0" w14:textId="77777777" w:rsidR="009C63FD" w:rsidRDefault="009C63FD" w:rsidP="009C63FD">
                      <w:pPr>
                        <w:pStyle w:val="PulloutText"/>
                      </w:pPr>
                      <w:r>
                        <w:t>‘It was nice to be able to raise a concern without having to involve management. The advice was very neutral and follow up resources were provided.’</w:t>
                      </w:r>
                    </w:p>
                    <w:p w14:paraId="7220F1BC" w14:textId="77777777" w:rsidR="009C63FD" w:rsidRDefault="009C63FD" w:rsidP="009C63FD">
                      <w:pPr>
                        <w:pStyle w:val="PulloutText"/>
                      </w:pPr>
                      <w:r>
                        <w:t>‘I came away feeling empowered ... and now feel I can go forward and support others in approaching negative behaviours in a way that may make a positive difference.’</w:t>
                      </w:r>
                    </w:p>
                    <w:p w14:paraId="74E6A60D" w14:textId="21A36E19" w:rsidR="009C63FD" w:rsidRDefault="009C63FD" w:rsidP="009C63FD">
                      <w:pPr>
                        <w:pStyle w:val="PulloutText"/>
                      </w:pPr>
                      <w:r>
                        <w:t xml:space="preserve">‘The IF is an asset to the organisation for assisting staff to discuss </w:t>
                      </w:r>
                      <w:r w:rsidR="00CF0202">
                        <w:t xml:space="preserve">… </w:t>
                      </w:r>
                      <w:r>
                        <w:t xml:space="preserve">issues [and] maintain a neutral position that also reflects </w:t>
                      </w:r>
                      <w:r w:rsidR="00CF0202">
                        <w:t xml:space="preserve">… </w:t>
                      </w:r>
                      <w:r>
                        <w:t>the possible perception of the other person.’</w:t>
                      </w:r>
                    </w:p>
                    <w:p w14:paraId="4F7D46C5" w14:textId="7A7AEF8C" w:rsidR="009C63FD" w:rsidRDefault="009C63FD" w:rsidP="009C63FD">
                      <w:pPr>
                        <w:pStyle w:val="PulloutText"/>
                      </w:pPr>
                      <w:r>
                        <w:t>‘[The IF] has been incredibly supportive and professional and really made a very challenging experience much easier to manage and understand. I think without her help I probably would have strongly considered resigning from my job and may have withdrawn my complaint purely because of the stress and confusion of the process.’</w:t>
                      </w:r>
                    </w:p>
                    <w:p w14:paraId="1745D8DA" w14:textId="6D9CDF83" w:rsidR="009C63FD" w:rsidRDefault="009C63FD" w:rsidP="009C63FD">
                      <w:pPr>
                        <w:pStyle w:val="PulloutText"/>
                      </w:pPr>
                    </w:p>
                    <w:p w14:paraId="363786E6" w14:textId="70A1BE9B" w:rsidR="009C63FD" w:rsidRDefault="009C63FD" w:rsidP="009C63FD">
                      <w:pPr>
                        <w:pStyle w:val="PulloutText"/>
                        <w:rPr>
                          <w:b/>
                          <w:sz w:val="24"/>
                        </w:rPr>
                      </w:pPr>
                      <w:r w:rsidRPr="009C63FD">
                        <w:rPr>
                          <w:b/>
                          <w:sz w:val="24"/>
                        </w:rPr>
                        <w:t>Health service feedback</w:t>
                      </w:r>
                    </w:p>
                    <w:p w14:paraId="1F43D9DA" w14:textId="3AF40FF5" w:rsidR="009C63FD" w:rsidRPr="009C63FD" w:rsidRDefault="009C63FD" w:rsidP="009C63FD">
                      <w:pPr>
                        <w:pStyle w:val="PulloutText"/>
                      </w:pPr>
                      <w:r>
                        <w:t>‘</w:t>
                      </w:r>
                      <w:r w:rsidRPr="009C63FD">
                        <w:t>The feedback we have had is that the staff who have used the IF have found her to be a fantastic independent voice.</w:t>
                      </w:r>
                      <w:r>
                        <w:t>’</w:t>
                      </w:r>
                    </w:p>
                    <w:p w14:paraId="4382C2F7" w14:textId="69101360" w:rsidR="009C63FD" w:rsidRPr="009C63FD" w:rsidRDefault="009C63FD" w:rsidP="009C63FD">
                      <w:pPr>
                        <w:pStyle w:val="PulloutText"/>
                      </w:pPr>
                      <w:r>
                        <w:t>‘</w:t>
                      </w:r>
                      <w:r w:rsidRPr="009C63FD">
                        <w:t>[The IF] has given us specific opportunities for training and identified other options.</w:t>
                      </w:r>
                      <w:r>
                        <w:t>’</w:t>
                      </w:r>
                    </w:p>
                    <w:p w14:paraId="0B21DC09" w14:textId="516A647B" w:rsidR="009C63FD" w:rsidRPr="009C63FD" w:rsidRDefault="009C63FD" w:rsidP="009C63FD">
                      <w:pPr>
                        <w:pStyle w:val="PulloutText"/>
                      </w:pPr>
                      <w:r>
                        <w:t>‘</w:t>
                      </w:r>
                      <w:r w:rsidRPr="009C63FD">
                        <w:t>[The IF helps] staff self-clarify what their issue is and [explains] their options. This helps staff make the choice that feels right for them and reinforces that there are avenues of redress. This helps [our health service] in providing a psychologically safe environment for conflict resolution and this enhances patient safety.</w:t>
                      </w:r>
                      <w:r>
                        <w:t>’</w:t>
                      </w:r>
                    </w:p>
                  </w:txbxContent>
                </v:textbox>
                <w10:anchorlock/>
              </v:shape>
            </w:pict>
          </mc:Fallback>
        </mc:AlternateContent>
      </w:r>
    </w:p>
    <w:p w14:paraId="07DDFDB8" w14:textId="5D96EA44" w:rsidR="00410DEF" w:rsidRDefault="00410DEF" w:rsidP="009C63FD">
      <w:pPr>
        <w:pStyle w:val="Quote"/>
        <w:ind w:left="0"/>
        <w:jc w:val="left"/>
        <w:rPr>
          <w:i w:val="0"/>
          <w:iCs w:val="0"/>
        </w:rPr>
      </w:pPr>
    </w:p>
    <w:p w14:paraId="7819AEAB" w14:textId="4BB2C880" w:rsidR="00B66B41" w:rsidRPr="00457021" w:rsidRDefault="00752ACC" w:rsidP="00BE13A2">
      <w:pPr>
        <w:pStyle w:val="Quote"/>
        <w:ind w:left="0"/>
        <w:jc w:val="left"/>
        <w:rPr>
          <w:i w:val="0"/>
          <w:iCs w:val="0"/>
        </w:rPr>
      </w:pPr>
      <w:r>
        <w:rPr>
          <w:i w:val="0"/>
          <w:iCs w:val="0"/>
        </w:rPr>
        <w:t>Some key l</w:t>
      </w:r>
      <w:r w:rsidR="00410DEF">
        <w:rPr>
          <w:i w:val="0"/>
          <w:iCs w:val="0"/>
        </w:rPr>
        <w:t xml:space="preserve">earnings </w:t>
      </w:r>
      <w:r>
        <w:rPr>
          <w:i w:val="0"/>
          <w:iCs w:val="0"/>
        </w:rPr>
        <w:t xml:space="preserve">and resources </w:t>
      </w:r>
      <w:r w:rsidR="00CF0202">
        <w:rPr>
          <w:i w:val="0"/>
          <w:iCs w:val="0"/>
        </w:rPr>
        <w:t xml:space="preserve">from the trial </w:t>
      </w:r>
      <w:r w:rsidR="00410DEF">
        <w:rPr>
          <w:i w:val="0"/>
          <w:iCs w:val="0"/>
        </w:rPr>
        <w:t xml:space="preserve">are listed below. </w:t>
      </w:r>
      <w:r w:rsidR="00CF0202">
        <w:rPr>
          <w:i w:val="0"/>
          <w:iCs w:val="0"/>
        </w:rPr>
        <w:t>Health services</w:t>
      </w:r>
      <w:r w:rsidR="00B66B41">
        <w:rPr>
          <w:i w:val="0"/>
          <w:iCs w:val="0"/>
        </w:rPr>
        <w:t xml:space="preserve"> </w:t>
      </w:r>
      <w:r w:rsidR="00CF0202">
        <w:rPr>
          <w:i w:val="0"/>
          <w:iCs w:val="0"/>
        </w:rPr>
        <w:t xml:space="preserve">may find these useful when </w:t>
      </w:r>
      <w:r w:rsidR="00410DEF">
        <w:rPr>
          <w:i w:val="0"/>
          <w:iCs w:val="0"/>
        </w:rPr>
        <w:t xml:space="preserve">considering implementing an IF </w:t>
      </w:r>
      <w:r w:rsidR="00C325B0">
        <w:rPr>
          <w:i w:val="0"/>
          <w:iCs w:val="0"/>
        </w:rPr>
        <w:t xml:space="preserve">model </w:t>
      </w:r>
      <w:r w:rsidR="00410DEF">
        <w:rPr>
          <w:i w:val="0"/>
          <w:iCs w:val="0"/>
        </w:rPr>
        <w:t xml:space="preserve">in their </w:t>
      </w:r>
      <w:r w:rsidR="006318C7">
        <w:rPr>
          <w:i w:val="0"/>
          <w:iCs w:val="0"/>
        </w:rPr>
        <w:t xml:space="preserve">own </w:t>
      </w:r>
      <w:r w:rsidR="00410DEF">
        <w:rPr>
          <w:i w:val="0"/>
          <w:iCs w:val="0"/>
        </w:rPr>
        <w:t xml:space="preserve">organisation. </w:t>
      </w:r>
    </w:p>
    <w:p w14:paraId="4D0ADF6F" w14:textId="6F655497" w:rsidR="00410DEF" w:rsidRDefault="00410DEF" w:rsidP="00410DEF">
      <w:pPr>
        <w:pStyle w:val="Heading1"/>
        <w:framePr w:wrap="around"/>
      </w:pPr>
      <w:r>
        <w:t xml:space="preserve">Implementation resources </w:t>
      </w:r>
    </w:p>
    <w:p w14:paraId="271D1C04" w14:textId="1BC4194A" w:rsidR="009C793D" w:rsidRDefault="009C793D" w:rsidP="009C793D">
      <w:pPr>
        <w:pStyle w:val="Heading2"/>
      </w:pPr>
      <w:r>
        <w:t>key learnings</w:t>
      </w:r>
    </w:p>
    <w:p w14:paraId="5B38F3AF" w14:textId="44B563F9" w:rsidR="00BE13A2" w:rsidRPr="00457021" w:rsidRDefault="00BE13A2" w:rsidP="00BE13A2">
      <w:pPr>
        <w:pStyle w:val="Bullet1"/>
      </w:pPr>
      <w:r w:rsidRPr="00457021">
        <w:rPr>
          <w:b/>
          <w:bCs/>
        </w:rPr>
        <w:t>How t</w:t>
      </w:r>
      <w:r w:rsidR="001537A5">
        <w:rPr>
          <w:b/>
          <w:bCs/>
        </w:rPr>
        <w:t>he</w:t>
      </w:r>
      <w:r w:rsidRPr="00457021">
        <w:rPr>
          <w:b/>
          <w:bCs/>
        </w:rPr>
        <w:t xml:space="preserve"> role </w:t>
      </w:r>
      <w:r w:rsidR="00457021" w:rsidRPr="00457021">
        <w:rPr>
          <w:b/>
          <w:bCs/>
        </w:rPr>
        <w:t>can strengthen the grievance processes and support for Victorian healthcare</w:t>
      </w:r>
      <w:r w:rsidR="00457021" w:rsidRPr="000C02ED">
        <w:rPr>
          <w:b/>
          <w:bCs/>
        </w:rPr>
        <w:t xml:space="preserve"> staff</w:t>
      </w:r>
      <w:r w:rsidR="00457021">
        <w:t xml:space="preserve"> </w:t>
      </w:r>
      <w:r w:rsidR="002B3E23">
        <w:t>–</w:t>
      </w:r>
      <w:r>
        <w:t xml:space="preserve"> </w:t>
      </w:r>
      <w:r w:rsidRPr="00457021">
        <w:t>The role is unique in its confidential and independent support for staff who fear retribution</w:t>
      </w:r>
      <w:r w:rsidR="00457021">
        <w:t>,</w:t>
      </w:r>
      <w:r w:rsidRPr="00457021">
        <w:t xml:space="preserve"> lack confidence in formal complaints mechanisms and may otherwise stay silent about inappropriate behaviour, bullying and harassment in their workplace. The role adds a significant resource for organisations seeking to promote and support early resolution of workplace issues and concerns.</w:t>
      </w:r>
    </w:p>
    <w:p w14:paraId="7E7A2A17" w14:textId="3A4441A7" w:rsidR="009C793D" w:rsidRPr="009C793D" w:rsidRDefault="00344581" w:rsidP="00716ACA">
      <w:pPr>
        <w:pStyle w:val="Bullet1"/>
      </w:pPr>
      <w:r w:rsidRPr="00167C89">
        <w:rPr>
          <w:b/>
          <w:bCs/>
        </w:rPr>
        <w:t xml:space="preserve">Be clear on the role and purpose of the IF from the outset – </w:t>
      </w:r>
      <w:r w:rsidRPr="00344581">
        <w:t xml:space="preserve">Misperceptions </w:t>
      </w:r>
      <w:r>
        <w:t xml:space="preserve">about the </w:t>
      </w:r>
      <w:r w:rsidRPr="00344581">
        <w:t xml:space="preserve">IF </w:t>
      </w:r>
      <w:r w:rsidR="00CF0202">
        <w:t xml:space="preserve">are </w:t>
      </w:r>
      <w:r w:rsidRPr="00344581">
        <w:t xml:space="preserve">common. For example, </w:t>
      </w:r>
      <w:r w:rsidR="00EF08BF">
        <w:t xml:space="preserve">it is important to address any misperception </w:t>
      </w:r>
      <w:r w:rsidR="002B3E23">
        <w:t xml:space="preserve">that </w:t>
      </w:r>
      <w:r w:rsidR="00EF08BF">
        <w:t xml:space="preserve">the </w:t>
      </w:r>
      <w:r w:rsidRPr="00344581">
        <w:t>IF provide</w:t>
      </w:r>
      <w:r w:rsidR="00EF08BF">
        <w:t>s</w:t>
      </w:r>
      <w:r w:rsidRPr="00344581">
        <w:t xml:space="preserve"> </w:t>
      </w:r>
      <w:r w:rsidR="00EF08BF">
        <w:t>staff</w:t>
      </w:r>
      <w:r w:rsidRPr="00344581">
        <w:t xml:space="preserve"> with ‘advice’ </w:t>
      </w:r>
      <w:r w:rsidR="00EF08BF">
        <w:t>or</w:t>
      </w:r>
      <w:r w:rsidRPr="00344581">
        <w:t xml:space="preserve"> ‘advocat</w:t>
      </w:r>
      <w:r w:rsidR="00EF08BF">
        <w:t>es</w:t>
      </w:r>
      <w:r w:rsidRPr="00344581">
        <w:t xml:space="preserve">’ for </w:t>
      </w:r>
      <w:r w:rsidR="002B3E23">
        <w:t xml:space="preserve">them </w:t>
      </w:r>
      <w:r w:rsidRPr="00344581">
        <w:t xml:space="preserve">and </w:t>
      </w:r>
      <w:r w:rsidR="00EF08BF">
        <w:t xml:space="preserve">does </w:t>
      </w:r>
      <w:r w:rsidRPr="00344581">
        <w:t xml:space="preserve">not act independently. </w:t>
      </w:r>
      <w:r w:rsidR="002B3E23">
        <w:t>M</w:t>
      </w:r>
      <w:r w:rsidR="001537A5">
        <w:t xml:space="preserve">isperceptions </w:t>
      </w:r>
      <w:r>
        <w:t>can be mitigated by being transparent about how the IF upholds the four core principles</w:t>
      </w:r>
      <w:r w:rsidR="001537A5">
        <w:t xml:space="preserve"> of</w:t>
      </w:r>
      <w:r>
        <w:t xml:space="preserve"> </w:t>
      </w:r>
      <w:r w:rsidR="008C1E6F">
        <w:t>independen</w:t>
      </w:r>
      <w:r w:rsidR="001537A5">
        <w:t>ce</w:t>
      </w:r>
      <w:r w:rsidR="008C1E6F">
        <w:t>, neutral</w:t>
      </w:r>
      <w:r w:rsidR="001537A5">
        <w:t>ity</w:t>
      </w:r>
      <w:r w:rsidR="008C1E6F">
        <w:t>, confidential</w:t>
      </w:r>
      <w:r w:rsidR="001537A5">
        <w:t>ity</w:t>
      </w:r>
      <w:r w:rsidR="008C1E6F">
        <w:t xml:space="preserve"> and informal</w:t>
      </w:r>
      <w:r w:rsidR="001537A5">
        <w:t>ity</w:t>
      </w:r>
      <w:r w:rsidR="008C1E6F">
        <w:t xml:space="preserve"> </w:t>
      </w:r>
      <w:r>
        <w:t>with all stakeholders.</w:t>
      </w:r>
      <w:r w:rsidR="00167C89" w:rsidRPr="00167C89">
        <w:t xml:space="preserve"> Continuous promotion to raise staff</w:t>
      </w:r>
      <w:r w:rsidR="00EF08BF">
        <w:t xml:space="preserve"> and management</w:t>
      </w:r>
      <w:r w:rsidR="00167C89" w:rsidRPr="00167C89">
        <w:t xml:space="preserve"> awareness and understanding of the role</w:t>
      </w:r>
      <w:r w:rsidR="00167C89">
        <w:t xml:space="preserve"> </w:t>
      </w:r>
      <w:r w:rsidR="00EF08BF">
        <w:t xml:space="preserve">is best supported by establishing a </w:t>
      </w:r>
      <w:r w:rsidR="002B3E23">
        <w:t>c</w:t>
      </w:r>
      <w:r w:rsidR="00EF08BF">
        <w:t xml:space="preserve">harter, </w:t>
      </w:r>
      <w:r w:rsidR="002B3E23">
        <w:t>o</w:t>
      </w:r>
      <w:r w:rsidR="00EF08BF">
        <w:t xml:space="preserve">perating </w:t>
      </w:r>
      <w:r w:rsidR="002B3E23">
        <w:t>g</w:t>
      </w:r>
      <w:r w:rsidR="00EF08BF">
        <w:t xml:space="preserve">uidelines and a </w:t>
      </w:r>
      <w:r w:rsidR="002B3E23">
        <w:t>s</w:t>
      </w:r>
      <w:r w:rsidR="00EF08BF">
        <w:t xml:space="preserve">taff </w:t>
      </w:r>
      <w:r w:rsidR="002B3E23">
        <w:t>i</w:t>
      </w:r>
      <w:r w:rsidR="00EF08BF">
        <w:t xml:space="preserve">nformation </w:t>
      </w:r>
      <w:r w:rsidR="002B3E23">
        <w:t>s</w:t>
      </w:r>
      <w:r w:rsidR="00EF08BF">
        <w:t>heet that explains these principles</w:t>
      </w:r>
      <w:r w:rsidR="002B3E23">
        <w:t xml:space="preserve"> (see examples below)</w:t>
      </w:r>
      <w:r w:rsidR="00167C89" w:rsidRPr="00167C89">
        <w:t>.</w:t>
      </w:r>
    </w:p>
    <w:p w14:paraId="5E5F9871" w14:textId="0BB2CB7B" w:rsidR="00C92375" w:rsidRPr="009C793D" w:rsidRDefault="00C92375" w:rsidP="005722D2">
      <w:pPr>
        <w:pStyle w:val="Bullet1"/>
      </w:pPr>
      <w:r w:rsidRPr="00E86C69">
        <w:rPr>
          <w:b/>
          <w:bCs/>
        </w:rPr>
        <w:t>The IF role takes time to become embedded within an organisation and demonstrate results</w:t>
      </w:r>
      <w:r w:rsidR="00E86C69">
        <w:rPr>
          <w:b/>
          <w:bCs/>
        </w:rPr>
        <w:t xml:space="preserve"> –</w:t>
      </w:r>
      <w:r w:rsidRPr="00C92375">
        <w:t xml:space="preserve"> </w:t>
      </w:r>
      <w:r w:rsidR="00E86C69">
        <w:t>Although the trial showed benefits, t</w:t>
      </w:r>
      <w:r w:rsidRPr="00C92375">
        <w:t xml:space="preserve">he short duration </w:t>
      </w:r>
      <w:r w:rsidR="00E86C69">
        <w:t xml:space="preserve">of </w:t>
      </w:r>
      <w:r w:rsidRPr="00C92375">
        <w:t>19 months</w:t>
      </w:r>
      <w:r w:rsidR="008125C3">
        <w:t xml:space="preserve"> </w:t>
      </w:r>
      <w:r w:rsidR="008125C3" w:rsidRPr="008125C3">
        <w:t xml:space="preserve">and </w:t>
      </w:r>
      <w:r w:rsidR="00E86C69">
        <w:t xml:space="preserve">the </w:t>
      </w:r>
      <w:r w:rsidR="008125C3" w:rsidRPr="008125C3">
        <w:t xml:space="preserve">relatively low number of staff using the service made it difficult to fully </w:t>
      </w:r>
      <w:r w:rsidR="00AA5C13">
        <w:t>realise its potential</w:t>
      </w:r>
      <w:r w:rsidR="00E86C69">
        <w:t>. T</w:t>
      </w:r>
      <w:r w:rsidR="008125C3" w:rsidRPr="008125C3">
        <w:t>he number of staff visiting the IF increased as awareness of the service grew</w:t>
      </w:r>
      <w:r w:rsidR="00E86C69">
        <w:t xml:space="preserve"> over the course of the trial</w:t>
      </w:r>
      <w:r w:rsidR="00AA5C13">
        <w:t xml:space="preserve"> due to promotional activities and word</w:t>
      </w:r>
      <w:r w:rsidR="002B3E23">
        <w:t>-</w:t>
      </w:r>
      <w:r w:rsidR="00AA5C13">
        <w:t>of</w:t>
      </w:r>
      <w:r w:rsidR="002B3E23">
        <w:t>-</w:t>
      </w:r>
      <w:r w:rsidR="00AA5C13">
        <w:t>mouth referrals</w:t>
      </w:r>
      <w:r w:rsidR="00E86C69">
        <w:t xml:space="preserve">. </w:t>
      </w:r>
      <w:r w:rsidR="001537A5">
        <w:t>S</w:t>
      </w:r>
      <w:r w:rsidR="00AA5C13">
        <w:t xml:space="preserve">imilar roles internationally and in Victorian </w:t>
      </w:r>
      <w:r w:rsidR="002B3E23">
        <w:t>G</w:t>
      </w:r>
      <w:r w:rsidR="00AA5C13">
        <w:t>overnment suggest at least two years</w:t>
      </w:r>
      <w:r w:rsidR="008125C3" w:rsidRPr="008125C3">
        <w:t xml:space="preserve"> is needed to </w:t>
      </w:r>
      <w:r w:rsidR="005511A9">
        <w:t xml:space="preserve">fully establish </w:t>
      </w:r>
      <w:r w:rsidR="009505F5">
        <w:t xml:space="preserve">awareness of </w:t>
      </w:r>
      <w:r w:rsidR="005511A9">
        <w:t>the role and</w:t>
      </w:r>
      <w:r w:rsidR="001537A5">
        <w:t xml:space="preserve"> for the IF</w:t>
      </w:r>
      <w:r w:rsidR="005511A9">
        <w:t xml:space="preserve"> to</w:t>
      </w:r>
      <w:r w:rsidR="00242008">
        <w:t xml:space="preserve"> identify systemic issues and</w:t>
      </w:r>
      <w:r w:rsidR="005511A9">
        <w:t xml:space="preserve"> deliver</w:t>
      </w:r>
      <w:r w:rsidR="008125C3" w:rsidRPr="008125C3">
        <w:t xml:space="preserve"> longer</w:t>
      </w:r>
      <w:r w:rsidR="00E86C69">
        <w:t xml:space="preserve"> </w:t>
      </w:r>
      <w:r w:rsidR="008125C3" w:rsidRPr="008125C3">
        <w:t xml:space="preserve">term </w:t>
      </w:r>
      <w:r w:rsidR="005511A9">
        <w:t xml:space="preserve">organisational </w:t>
      </w:r>
      <w:r w:rsidR="008125C3" w:rsidRPr="008125C3">
        <w:t>benefits.</w:t>
      </w:r>
    </w:p>
    <w:p w14:paraId="2B46CDFA" w14:textId="77777777" w:rsidR="006D619F" w:rsidRDefault="006D619F" w:rsidP="006D619F">
      <w:pPr>
        <w:pStyle w:val="Heading2"/>
      </w:pPr>
      <w:r>
        <w:t>Resources</w:t>
      </w:r>
    </w:p>
    <w:p w14:paraId="07FC206A" w14:textId="3598A8C6" w:rsidR="00E73730" w:rsidRPr="000C02ED" w:rsidRDefault="00E73730" w:rsidP="006D619F">
      <w:pPr>
        <w:rPr>
          <w:b/>
          <w:bCs/>
        </w:rPr>
      </w:pPr>
      <w:r w:rsidRPr="000C02ED">
        <w:rPr>
          <w:b/>
          <w:bCs/>
        </w:rPr>
        <w:t xml:space="preserve">Disclaimer: </w:t>
      </w:r>
      <w:r w:rsidRPr="000C02ED">
        <w:t>The following resources</w:t>
      </w:r>
      <w:r>
        <w:rPr>
          <w:b/>
          <w:bCs/>
        </w:rPr>
        <w:t xml:space="preserve"> </w:t>
      </w:r>
      <w:r w:rsidRPr="000C02ED">
        <w:t xml:space="preserve">were used </w:t>
      </w:r>
      <w:r>
        <w:t>during the trial and as such, some of the information may no longer be current or applicable.</w:t>
      </w:r>
    </w:p>
    <w:p w14:paraId="5658BE45" w14:textId="3C2B52B1" w:rsidR="006D619F" w:rsidRDefault="00603DF7" w:rsidP="006D619F">
      <w:hyperlink r:id="rId22" w:history="1">
        <w:r w:rsidR="006D619F" w:rsidRPr="006D619F">
          <w:rPr>
            <w:rStyle w:val="Hyperlink"/>
            <w:b/>
            <w:bCs/>
          </w:rPr>
          <w:t>Charter</w:t>
        </w:r>
      </w:hyperlink>
      <w:r>
        <w:rPr>
          <w:rStyle w:val="Hyperlink"/>
          <w:b/>
          <w:bCs/>
        </w:rPr>
        <w:t xml:space="preserve"> </w:t>
      </w:r>
      <w:bookmarkStart w:id="0" w:name="_GoBack"/>
      <w:bookmarkEnd w:id="0"/>
      <w:r w:rsidR="006D619F">
        <w:t xml:space="preserve">– Outlines the role and responsibilities of the IF, including </w:t>
      </w:r>
      <w:r w:rsidR="00E41387">
        <w:t xml:space="preserve">their </w:t>
      </w:r>
      <w:r w:rsidR="006D619F">
        <w:t>core guiding principles</w:t>
      </w:r>
      <w:r w:rsidR="00E41387">
        <w:t xml:space="preserve"> of being independent, neutral, confidential and informal</w:t>
      </w:r>
      <w:r w:rsidR="006D619F">
        <w:t>.</w:t>
      </w:r>
    </w:p>
    <w:p w14:paraId="47275B7C" w14:textId="6534F40A" w:rsidR="006D619F" w:rsidRDefault="00603DF7" w:rsidP="006D619F">
      <w:hyperlink r:id="rId23" w:history="1">
        <w:r w:rsidR="009E6D81">
          <w:rPr>
            <w:rStyle w:val="Hyperlink"/>
            <w:b/>
            <w:bCs/>
          </w:rPr>
          <w:t>O</w:t>
        </w:r>
        <w:r w:rsidR="006D619F" w:rsidRPr="006D619F">
          <w:rPr>
            <w:rStyle w:val="Hyperlink"/>
            <w:b/>
            <w:bCs/>
          </w:rPr>
          <w:t>perating guidelines</w:t>
        </w:r>
      </w:hyperlink>
      <w:r w:rsidR="006D619F">
        <w:t xml:space="preserve"> – Outlines the purpose and scope of the IF role and how the IF trial operate</w:t>
      </w:r>
      <w:r w:rsidR="007F2A55">
        <w:t>d</w:t>
      </w:r>
      <w:r w:rsidR="001537A5">
        <w:t xml:space="preserve"> </w:t>
      </w:r>
      <w:r w:rsidR="00AA5C13">
        <w:t>during the trial.</w:t>
      </w:r>
    </w:p>
    <w:p w14:paraId="05075388" w14:textId="0FD0B040" w:rsidR="006D619F" w:rsidRDefault="00603DF7" w:rsidP="006D619F">
      <w:hyperlink r:id="rId24" w:history="1">
        <w:r w:rsidR="009E6D81">
          <w:rPr>
            <w:rStyle w:val="Hyperlink"/>
            <w:b/>
            <w:bCs/>
          </w:rPr>
          <w:t>S</w:t>
        </w:r>
        <w:r w:rsidR="00D26063" w:rsidRPr="00C41B4A">
          <w:rPr>
            <w:rStyle w:val="Hyperlink"/>
            <w:b/>
            <w:bCs/>
          </w:rPr>
          <w:t>taff information sheet</w:t>
        </w:r>
      </w:hyperlink>
      <w:r w:rsidR="00D26063">
        <w:t xml:space="preserve"> – Explains the role of the IF </w:t>
      </w:r>
      <w:r w:rsidR="00C41B4A">
        <w:t xml:space="preserve">in a handout that can be </w:t>
      </w:r>
      <w:r w:rsidR="007F2A55">
        <w:t xml:space="preserve">given </w:t>
      </w:r>
      <w:r w:rsidR="00C41B4A">
        <w:t>to staff.</w:t>
      </w:r>
    </w:p>
    <w:p w14:paraId="1B7A35D4" w14:textId="3B8312FA" w:rsidR="006D619F" w:rsidRDefault="00603DF7" w:rsidP="003C7395">
      <w:hyperlink r:id="rId25" w:history="1">
        <w:r w:rsidR="009E6D81" w:rsidRPr="009E6D81">
          <w:rPr>
            <w:rStyle w:val="Hyperlink"/>
            <w:b/>
            <w:bCs/>
          </w:rPr>
          <w:t>Frequently asked questions</w:t>
        </w:r>
      </w:hyperlink>
      <w:r w:rsidR="009E6D81" w:rsidRPr="009E6D81">
        <w:rPr>
          <w:b/>
          <w:bCs/>
        </w:rPr>
        <w:t xml:space="preserve"> –</w:t>
      </w:r>
      <w:r w:rsidR="009E6D81">
        <w:t xml:space="preserve"> Addresses common questions about the IF role</w:t>
      </w:r>
      <w:r w:rsidR="00C95E22">
        <w:t xml:space="preserve"> and trial</w:t>
      </w:r>
      <w:r w:rsidR="009E6D81">
        <w:t>.</w:t>
      </w:r>
    </w:p>
    <w:p w14:paraId="6FC6736B" w14:textId="77777777" w:rsidR="006D619F" w:rsidRDefault="006D619F" w:rsidP="003C7395"/>
    <w:p w14:paraId="7C0C2A83" w14:textId="3A6FD836" w:rsidR="006D619F" w:rsidRDefault="006D619F" w:rsidP="003C7395">
      <w:pPr>
        <w:sectPr w:rsidR="006D619F" w:rsidSect="00A2390C">
          <w:type w:val="continuous"/>
          <w:pgSz w:w="11906" w:h="16838" w:code="9"/>
          <w:pgMar w:top="3402" w:right="851" w:bottom="1361" w:left="851" w:header="539" w:footer="624" w:gutter="0"/>
          <w:cols w:space="284"/>
          <w:docGrid w:linePitch="360"/>
        </w:sectPr>
      </w:pPr>
    </w:p>
    <w:p w14:paraId="0B7CAB6F" w14:textId="4B685185" w:rsidR="00727C45" w:rsidRDefault="00727C45" w:rsidP="003C7395">
      <w:r>
        <w:rPr>
          <w:noProof/>
        </w:rPr>
        <w:lastRenderedPageBreak/>
        <w:drawing>
          <wp:anchor distT="0" distB="0" distL="114300" distR="114300" simplePos="0" relativeHeight="251663360" behindDoc="1" locked="0" layoutInCell="1" allowOverlap="1" wp14:anchorId="75A89881" wp14:editId="5FEF83EC">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A2390C">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6A37" w14:textId="77777777" w:rsidR="00CE2AB4" w:rsidRDefault="00CE2AB4" w:rsidP="002D711A">
      <w:pPr>
        <w:spacing w:after="0" w:line="240" w:lineRule="auto"/>
      </w:pPr>
      <w:r>
        <w:separator/>
      </w:r>
    </w:p>
  </w:endnote>
  <w:endnote w:type="continuationSeparator" w:id="0">
    <w:p w14:paraId="4C3D8AFD" w14:textId="77777777" w:rsidR="00CE2AB4" w:rsidRDefault="00CE2AB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25FD" w14:textId="197D15CB" w:rsidR="00265EC8" w:rsidRDefault="00265EC8" w:rsidP="00265EC8">
    <w:pPr>
      <w:pStyle w:val="FooterEven"/>
      <w:framePr w:wrap="around"/>
    </w:pPr>
    <w:r>
      <w:rPr>
        <w:noProof w:val="0"/>
      </w:rPr>
      <w:fldChar w:fldCharType="begin"/>
    </w:r>
    <w:r>
      <w:instrText xml:space="preserve"> PAGE   \* MERGEFORMAT </w:instrText>
    </w:r>
    <w:r>
      <w:rPr>
        <w:noProof w:val="0"/>
      </w:rPr>
      <w:fldChar w:fldCharType="separate"/>
    </w:r>
    <w:r w:rsidR="00465BF2">
      <w:t>4</w:t>
    </w:r>
    <w:r>
      <w:fldChar w:fldCharType="end"/>
    </w:r>
    <w:r>
      <w:t> </w:t>
    </w:r>
    <w:r>
      <w:t> </w:t>
    </w:r>
    <w:r w:rsidRPr="00724F74">
      <w:rPr>
        <w:b/>
      </w:rPr>
      <w:t>Safer Care Victoria</w:t>
    </w:r>
    <w:r>
      <w:t> </w:t>
    </w:r>
    <w:r>
      <w:t> </w:t>
    </w:r>
    <w:r w:rsidR="00257401">
      <w:t>Independent facilitator trial</w:t>
    </w:r>
    <w:r w:rsidR="003B7B6F">
      <w:t xml:space="preserve"> </w:t>
    </w:r>
    <w:r>
      <w:drawing>
        <wp:anchor distT="0" distB="0" distL="114300" distR="114300" simplePos="0" relativeHeight="251675648" behindDoc="0" locked="0" layoutInCell="1" allowOverlap="1" wp14:anchorId="7227930B" wp14:editId="7341051A">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51364947" w14:textId="77777777" w:rsidR="002A5891" w:rsidRPr="002A5891" w:rsidRDefault="002A5891" w:rsidP="002A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ED89" w14:textId="6670938E" w:rsidR="00CB3976" w:rsidRDefault="00257401" w:rsidP="004B3DBC">
    <w:pPr>
      <w:pStyle w:val="FooterOdd"/>
      <w:framePr w:wrap="around"/>
    </w:pPr>
    <w:r>
      <w:t>Independent facilitator trial</w:t>
    </w:r>
    <w:r w:rsidR="002A5891">
      <w:t> </w:t>
    </w:r>
    <w:r w:rsidR="002A5891">
      <w:t> </w:t>
    </w:r>
    <w:r w:rsidR="002A5891" w:rsidRPr="0097403D">
      <w:rPr>
        <w:b/>
      </w:rPr>
      <w:t>Safer Care Victoria</w:t>
    </w:r>
    <w:r w:rsidR="002A5891">
      <w:t> </w:t>
    </w:r>
    <w:r w:rsidR="002A5891">
      <w:t> </w:t>
    </w:r>
    <w:r w:rsidR="002A5891">
      <w:rPr>
        <w:noProof w:val="0"/>
      </w:rPr>
      <w:fldChar w:fldCharType="begin"/>
    </w:r>
    <w:r w:rsidR="002A5891">
      <w:instrText xml:space="preserve"> PAGE   \* MERGEFORMAT </w:instrText>
    </w:r>
    <w:r w:rsidR="002A5891">
      <w:rPr>
        <w:noProof w:val="0"/>
      </w:rPr>
      <w:fldChar w:fldCharType="separate"/>
    </w:r>
    <w:r w:rsidR="00465BF2">
      <w:t>5</w:t>
    </w:r>
    <w:r w:rsidR="002A5891">
      <w:fldChar w:fldCharType="end"/>
    </w:r>
  </w:p>
  <w:p w14:paraId="35A684CD" w14:textId="77777777" w:rsidR="002A5891" w:rsidRPr="002A5891" w:rsidRDefault="002A5891" w:rsidP="002A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3178" w14:textId="77777777" w:rsidR="00603DF7" w:rsidRDefault="00603D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D67D" w14:textId="77777777" w:rsidR="0086277A" w:rsidRDefault="0086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3456F" w14:textId="77777777" w:rsidR="00CE2AB4" w:rsidRDefault="00CE2AB4" w:rsidP="00E33E08">
      <w:pPr>
        <w:spacing w:before="0" w:after="0" w:line="240" w:lineRule="auto"/>
      </w:pPr>
    </w:p>
  </w:footnote>
  <w:footnote w:type="continuationSeparator" w:id="0">
    <w:p w14:paraId="71EE14C1" w14:textId="77777777" w:rsidR="00CE2AB4" w:rsidRDefault="00CE2AB4"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1F8C" w14:textId="77777777" w:rsidR="00603DF7" w:rsidRDefault="0060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29D8" w14:textId="77777777" w:rsidR="00AC32A8" w:rsidRDefault="00AC32A8" w:rsidP="00F25F4B">
    <w:pPr>
      <w:pStyle w:val="Header"/>
    </w:pPr>
    <w:r>
      <w:rPr>
        <w:noProof/>
      </w:rPr>
      <w:drawing>
        <wp:anchor distT="0" distB="0" distL="114300" distR="114300" simplePos="0" relativeHeight="251673600" behindDoc="1" locked="0" layoutInCell="1" allowOverlap="1" wp14:anchorId="3BAD7381" wp14:editId="0834F1A9">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3E7C" w14:textId="77777777" w:rsidR="003E5DFC" w:rsidRDefault="00255DD0" w:rsidP="0023694D">
    <w:pPr>
      <w:pStyle w:val="NoSpacing"/>
    </w:pPr>
    <w:r>
      <w:rPr>
        <w:noProof/>
      </w:rPr>
      <w:drawing>
        <wp:anchor distT="0" distB="0" distL="114300" distR="114300" simplePos="0" relativeHeight="251676672" behindDoc="1" locked="0" layoutInCell="1" allowOverlap="1" wp14:anchorId="206DBD3E" wp14:editId="2D01C4AC">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963E" w14:textId="77777777" w:rsidR="0086277A" w:rsidRDefault="0086277A"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7"/>
  </w:num>
  <w:num w:numId="5">
    <w:abstractNumId w:val="1"/>
  </w:num>
  <w:num w:numId="6">
    <w:abstractNumId w:val="4"/>
  </w:num>
  <w:num w:numId="7">
    <w:abstractNumId w:val="6"/>
  </w:num>
  <w:num w:numId="8">
    <w:abstractNumId w:val="3"/>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B4"/>
    <w:rsid w:val="00012F6F"/>
    <w:rsid w:val="00014213"/>
    <w:rsid w:val="00014B55"/>
    <w:rsid w:val="00020E3E"/>
    <w:rsid w:val="00023BF3"/>
    <w:rsid w:val="00026811"/>
    <w:rsid w:val="0004185E"/>
    <w:rsid w:val="00041FF1"/>
    <w:rsid w:val="000442F0"/>
    <w:rsid w:val="00056988"/>
    <w:rsid w:val="00072279"/>
    <w:rsid w:val="00073407"/>
    <w:rsid w:val="0007423C"/>
    <w:rsid w:val="00075E6C"/>
    <w:rsid w:val="00081C12"/>
    <w:rsid w:val="00087D42"/>
    <w:rsid w:val="000B29AD"/>
    <w:rsid w:val="000C02ED"/>
    <w:rsid w:val="000C162A"/>
    <w:rsid w:val="000C6372"/>
    <w:rsid w:val="000D7841"/>
    <w:rsid w:val="000E392D"/>
    <w:rsid w:val="000E39B6"/>
    <w:rsid w:val="000E3D05"/>
    <w:rsid w:val="000F4288"/>
    <w:rsid w:val="000F7165"/>
    <w:rsid w:val="00102379"/>
    <w:rsid w:val="00103722"/>
    <w:rsid w:val="001065D6"/>
    <w:rsid w:val="001068D5"/>
    <w:rsid w:val="00114D74"/>
    <w:rsid w:val="00121252"/>
    <w:rsid w:val="00124609"/>
    <w:rsid w:val="001254CE"/>
    <w:rsid w:val="001422CC"/>
    <w:rsid w:val="00145346"/>
    <w:rsid w:val="001537A5"/>
    <w:rsid w:val="001617B6"/>
    <w:rsid w:val="00165E66"/>
    <w:rsid w:val="00167C89"/>
    <w:rsid w:val="00192E61"/>
    <w:rsid w:val="001960C5"/>
    <w:rsid w:val="00196143"/>
    <w:rsid w:val="001A24FC"/>
    <w:rsid w:val="001C7BAE"/>
    <w:rsid w:val="001E31FA"/>
    <w:rsid w:val="001E48F9"/>
    <w:rsid w:val="001E64F6"/>
    <w:rsid w:val="001E7AEB"/>
    <w:rsid w:val="00204B82"/>
    <w:rsid w:val="00221F15"/>
    <w:rsid w:val="00222BEB"/>
    <w:rsid w:val="00225E60"/>
    <w:rsid w:val="00230BBB"/>
    <w:rsid w:val="0023202C"/>
    <w:rsid w:val="00234619"/>
    <w:rsid w:val="0023694D"/>
    <w:rsid w:val="00242008"/>
    <w:rsid w:val="00245043"/>
    <w:rsid w:val="00255DD0"/>
    <w:rsid w:val="00257401"/>
    <w:rsid w:val="00257461"/>
    <w:rsid w:val="0026028E"/>
    <w:rsid w:val="00263221"/>
    <w:rsid w:val="00265EC8"/>
    <w:rsid w:val="00280C0E"/>
    <w:rsid w:val="00284FA2"/>
    <w:rsid w:val="00292D36"/>
    <w:rsid w:val="00294A5A"/>
    <w:rsid w:val="00297281"/>
    <w:rsid w:val="00297A47"/>
    <w:rsid w:val="002A5891"/>
    <w:rsid w:val="002B03F1"/>
    <w:rsid w:val="002B3E23"/>
    <w:rsid w:val="002B5E2B"/>
    <w:rsid w:val="002B6DAA"/>
    <w:rsid w:val="002C320D"/>
    <w:rsid w:val="002D70F7"/>
    <w:rsid w:val="002D711A"/>
    <w:rsid w:val="002D7336"/>
    <w:rsid w:val="002E3396"/>
    <w:rsid w:val="002F2953"/>
    <w:rsid w:val="00305571"/>
    <w:rsid w:val="0031149C"/>
    <w:rsid w:val="00323315"/>
    <w:rsid w:val="00340A79"/>
    <w:rsid w:val="00340EEC"/>
    <w:rsid w:val="00344581"/>
    <w:rsid w:val="0036258C"/>
    <w:rsid w:val="0036778F"/>
    <w:rsid w:val="00386323"/>
    <w:rsid w:val="0038771C"/>
    <w:rsid w:val="003A0975"/>
    <w:rsid w:val="003A430B"/>
    <w:rsid w:val="003A50B3"/>
    <w:rsid w:val="003A541A"/>
    <w:rsid w:val="003A6923"/>
    <w:rsid w:val="003B7B6F"/>
    <w:rsid w:val="003C2C67"/>
    <w:rsid w:val="003C2D4C"/>
    <w:rsid w:val="003C3B3A"/>
    <w:rsid w:val="003C5BA4"/>
    <w:rsid w:val="003C7395"/>
    <w:rsid w:val="003D27D1"/>
    <w:rsid w:val="003E3E26"/>
    <w:rsid w:val="003E5DFC"/>
    <w:rsid w:val="003E608A"/>
    <w:rsid w:val="003F1295"/>
    <w:rsid w:val="003F5102"/>
    <w:rsid w:val="003F76FC"/>
    <w:rsid w:val="004002EB"/>
    <w:rsid w:val="00407A79"/>
    <w:rsid w:val="00410DEF"/>
    <w:rsid w:val="00422DDC"/>
    <w:rsid w:val="004231B5"/>
    <w:rsid w:val="004236C8"/>
    <w:rsid w:val="00427681"/>
    <w:rsid w:val="00427D65"/>
    <w:rsid w:val="00433DB7"/>
    <w:rsid w:val="004365C6"/>
    <w:rsid w:val="00453750"/>
    <w:rsid w:val="00456941"/>
    <w:rsid w:val="00457021"/>
    <w:rsid w:val="00465BF2"/>
    <w:rsid w:val="004702EA"/>
    <w:rsid w:val="0048259C"/>
    <w:rsid w:val="00482D02"/>
    <w:rsid w:val="00484326"/>
    <w:rsid w:val="00490369"/>
    <w:rsid w:val="004A7519"/>
    <w:rsid w:val="004B3DBC"/>
    <w:rsid w:val="004B5363"/>
    <w:rsid w:val="004B64B1"/>
    <w:rsid w:val="004C6C48"/>
    <w:rsid w:val="004D01AC"/>
    <w:rsid w:val="004D3518"/>
    <w:rsid w:val="004D62D6"/>
    <w:rsid w:val="004D6898"/>
    <w:rsid w:val="004E251D"/>
    <w:rsid w:val="004F3F4E"/>
    <w:rsid w:val="0050356B"/>
    <w:rsid w:val="00510167"/>
    <w:rsid w:val="00513E86"/>
    <w:rsid w:val="00517AE1"/>
    <w:rsid w:val="005306A2"/>
    <w:rsid w:val="0053416C"/>
    <w:rsid w:val="00540588"/>
    <w:rsid w:val="00541C2F"/>
    <w:rsid w:val="005511A9"/>
    <w:rsid w:val="00551B95"/>
    <w:rsid w:val="00552DE4"/>
    <w:rsid w:val="00563527"/>
    <w:rsid w:val="005722D2"/>
    <w:rsid w:val="0057407A"/>
    <w:rsid w:val="0058124E"/>
    <w:rsid w:val="005875A3"/>
    <w:rsid w:val="005953EA"/>
    <w:rsid w:val="005A3416"/>
    <w:rsid w:val="005A6325"/>
    <w:rsid w:val="005B27FE"/>
    <w:rsid w:val="005B53FC"/>
    <w:rsid w:val="005B76DF"/>
    <w:rsid w:val="005B79CB"/>
    <w:rsid w:val="005D7F87"/>
    <w:rsid w:val="005E08D7"/>
    <w:rsid w:val="005E2B6E"/>
    <w:rsid w:val="005E4C16"/>
    <w:rsid w:val="005E5947"/>
    <w:rsid w:val="005F15F1"/>
    <w:rsid w:val="005F61DF"/>
    <w:rsid w:val="0060163A"/>
    <w:rsid w:val="006023F9"/>
    <w:rsid w:val="00603DF7"/>
    <w:rsid w:val="00610559"/>
    <w:rsid w:val="00612926"/>
    <w:rsid w:val="00614076"/>
    <w:rsid w:val="006318C7"/>
    <w:rsid w:val="006328EB"/>
    <w:rsid w:val="00632F2E"/>
    <w:rsid w:val="006332F6"/>
    <w:rsid w:val="006413F2"/>
    <w:rsid w:val="0064798F"/>
    <w:rsid w:val="006534B2"/>
    <w:rsid w:val="0065615D"/>
    <w:rsid w:val="00657011"/>
    <w:rsid w:val="006650B5"/>
    <w:rsid w:val="006651B1"/>
    <w:rsid w:val="00665778"/>
    <w:rsid w:val="00676E5F"/>
    <w:rsid w:val="0069041D"/>
    <w:rsid w:val="006945CA"/>
    <w:rsid w:val="006A3309"/>
    <w:rsid w:val="006A3A5A"/>
    <w:rsid w:val="006A5B34"/>
    <w:rsid w:val="006C77A9"/>
    <w:rsid w:val="006D4720"/>
    <w:rsid w:val="006D619F"/>
    <w:rsid w:val="006E6CDF"/>
    <w:rsid w:val="006F37F2"/>
    <w:rsid w:val="006F6693"/>
    <w:rsid w:val="0070378B"/>
    <w:rsid w:val="00707FE8"/>
    <w:rsid w:val="00714AAE"/>
    <w:rsid w:val="00724962"/>
    <w:rsid w:val="00724A0F"/>
    <w:rsid w:val="00726D2F"/>
    <w:rsid w:val="00727C45"/>
    <w:rsid w:val="00736732"/>
    <w:rsid w:val="00740019"/>
    <w:rsid w:val="00745E5E"/>
    <w:rsid w:val="00746426"/>
    <w:rsid w:val="00750BF9"/>
    <w:rsid w:val="00750CBE"/>
    <w:rsid w:val="00752ACC"/>
    <w:rsid w:val="00752CA8"/>
    <w:rsid w:val="007650D2"/>
    <w:rsid w:val="00766B5A"/>
    <w:rsid w:val="00766D7D"/>
    <w:rsid w:val="00772209"/>
    <w:rsid w:val="007770A5"/>
    <w:rsid w:val="007834F2"/>
    <w:rsid w:val="00791020"/>
    <w:rsid w:val="00791C9D"/>
    <w:rsid w:val="007A04D2"/>
    <w:rsid w:val="007A5F82"/>
    <w:rsid w:val="007C4073"/>
    <w:rsid w:val="007D5F9E"/>
    <w:rsid w:val="007E098F"/>
    <w:rsid w:val="007E3BA2"/>
    <w:rsid w:val="007E6BDE"/>
    <w:rsid w:val="007F05A8"/>
    <w:rsid w:val="007F1A4C"/>
    <w:rsid w:val="007F2A55"/>
    <w:rsid w:val="007F723F"/>
    <w:rsid w:val="008022C3"/>
    <w:rsid w:val="008041E6"/>
    <w:rsid w:val="008065D2"/>
    <w:rsid w:val="008116D8"/>
    <w:rsid w:val="008125C3"/>
    <w:rsid w:val="008136B4"/>
    <w:rsid w:val="00815A8A"/>
    <w:rsid w:val="0082194C"/>
    <w:rsid w:val="008222FF"/>
    <w:rsid w:val="008236E9"/>
    <w:rsid w:val="008241FF"/>
    <w:rsid w:val="008411E9"/>
    <w:rsid w:val="00841617"/>
    <w:rsid w:val="0084200F"/>
    <w:rsid w:val="00842242"/>
    <w:rsid w:val="00843B2C"/>
    <w:rsid w:val="00844F16"/>
    <w:rsid w:val="00855FF9"/>
    <w:rsid w:val="0086277A"/>
    <w:rsid w:val="00865662"/>
    <w:rsid w:val="008668A8"/>
    <w:rsid w:val="008768AD"/>
    <w:rsid w:val="00880AC4"/>
    <w:rsid w:val="00896BA7"/>
    <w:rsid w:val="00897447"/>
    <w:rsid w:val="008A39CF"/>
    <w:rsid w:val="008A4900"/>
    <w:rsid w:val="008A55FE"/>
    <w:rsid w:val="008B146D"/>
    <w:rsid w:val="008B2365"/>
    <w:rsid w:val="008B42AD"/>
    <w:rsid w:val="008B5666"/>
    <w:rsid w:val="008C1E6F"/>
    <w:rsid w:val="008D0281"/>
    <w:rsid w:val="008D5BA3"/>
    <w:rsid w:val="008E2348"/>
    <w:rsid w:val="008F6D45"/>
    <w:rsid w:val="00922944"/>
    <w:rsid w:val="00936479"/>
    <w:rsid w:val="00937A10"/>
    <w:rsid w:val="009505F5"/>
    <w:rsid w:val="00966115"/>
    <w:rsid w:val="00982ADC"/>
    <w:rsid w:val="009834C0"/>
    <w:rsid w:val="00986AAC"/>
    <w:rsid w:val="009945B6"/>
    <w:rsid w:val="00995526"/>
    <w:rsid w:val="009A1DA2"/>
    <w:rsid w:val="009A3704"/>
    <w:rsid w:val="009A4739"/>
    <w:rsid w:val="009A674F"/>
    <w:rsid w:val="009A6D22"/>
    <w:rsid w:val="009B199C"/>
    <w:rsid w:val="009B61F1"/>
    <w:rsid w:val="009B62E0"/>
    <w:rsid w:val="009C1A77"/>
    <w:rsid w:val="009C3D88"/>
    <w:rsid w:val="009C63FD"/>
    <w:rsid w:val="009C793D"/>
    <w:rsid w:val="009D159B"/>
    <w:rsid w:val="009E1651"/>
    <w:rsid w:val="009E3858"/>
    <w:rsid w:val="009E467D"/>
    <w:rsid w:val="009E6D81"/>
    <w:rsid w:val="009E70DD"/>
    <w:rsid w:val="009F2ED9"/>
    <w:rsid w:val="009F3231"/>
    <w:rsid w:val="009F5C58"/>
    <w:rsid w:val="00A023A0"/>
    <w:rsid w:val="00A05EBC"/>
    <w:rsid w:val="00A1562B"/>
    <w:rsid w:val="00A170F4"/>
    <w:rsid w:val="00A21408"/>
    <w:rsid w:val="00A21CFD"/>
    <w:rsid w:val="00A2390C"/>
    <w:rsid w:val="00A24A37"/>
    <w:rsid w:val="00A25B78"/>
    <w:rsid w:val="00A41CCA"/>
    <w:rsid w:val="00A45E04"/>
    <w:rsid w:val="00A46288"/>
    <w:rsid w:val="00A46BA8"/>
    <w:rsid w:val="00A47634"/>
    <w:rsid w:val="00A479C6"/>
    <w:rsid w:val="00A612FE"/>
    <w:rsid w:val="00A70B49"/>
    <w:rsid w:val="00A758C9"/>
    <w:rsid w:val="00A92D94"/>
    <w:rsid w:val="00AA26B8"/>
    <w:rsid w:val="00AA5C13"/>
    <w:rsid w:val="00AC0B87"/>
    <w:rsid w:val="00AC2624"/>
    <w:rsid w:val="00AC32A8"/>
    <w:rsid w:val="00AD3465"/>
    <w:rsid w:val="00AD7E4E"/>
    <w:rsid w:val="00AE0737"/>
    <w:rsid w:val="00AE12B9"/>
    <w:rsid w:val="00AF4D58"/>
    <w:rsid w:val="00AF6666"/>
    <w:rsid w:val="00AF7BC5"/>
    <w:rsid w:val="00B2350B"/>
    <w:rsid w:val="00B4415C"/>
    <w:rsid w:val="00B62334"/>
    <w:rsid w:val="00B66B41"/>
    <w:rsid w:val="00B81B44"/>
    <w:rsid w:val="00B826BF"/>
    <w:rsid w:val="00B9053B"/>
    <w:rsid w:val="00BA0B13"/>
    <w:rsid w:val="00BA0C37"/>
    <w:rsid w:val="00BA3782"/>
    <w:rsid w:val="00BB4D98"/>
    <w:rsid w:val="00BB4EBF"/>
    <w:rsid w:val="00BB59E0"/>
    <w:rsid w:val="00BC3422"/>
    <w:rsid w:val="00BC6E19"/>
    <w:rsid w:val="00BD11C2"/>
    <w:rsid w:val="00BD5018"/>
    <w:rsid w:val="00BE13A2"/>
    <w:rsid w:val="00BE4E85"/>
    <w:rsid w:val="00BE5ADC"/>
    <w:rsid w:val="00BF3854"/>
    <w:rsid w:val="00BF4F96"/>
    <w:rsid w:val="00C015B9"/>
    <w:rsid w:val="00C022F9"/>
    <w:rsid w:val="00C032EA"/>
    <w:rsid w:val="00C06EB5"/>
    <w:rsid w:val="00C1145F"/>
    <w:rsid w:val="00C11CD1"/>
    <w:rsid w:val="00C325B0"/>
    <w:rsid w:val="00C32D49"/>
    <w:rsid w:val="00C33AD3"/>
    <w:rsid w:val="00C41B3C"/>
    <w:rsid w:val="00C41B4A"/>
    <w:rsid w:val="00C43F06"/>
    <w:rsid w:val="00C51C01"/>
    <w:rsid w:val="00C637E1"/>
    <w:rsid w:val="00C65ACE"/>
    <w:rsid w:val="00C67EAC"/>
    <w:rsid w:val="00C70D50"/>
    <w:rsid w:val="00C72252"/>
    <w:rsid w:val="00C830E4"/>
    <w:rsid w:val="00C907D7"/>
    <w:rsid w:val="00C92338"/>
    <w:rsid w:val="00C92375"/>
    <w:rsid w:val="00C954FA"/>
    <w:rsid w:val="00C95E22"/>
    <w:rsid w:val="00CA05DC"/>
    <w:rsid w:val="00CA7B47"/>
    <w:rsid w:val="00CB3976"/>
    <w:rsid w:val="00CB5275"/>
    <w:rsid w:val="00CD0307"/>
    <w:rsid w:val="00CD3D1B"/>
    <w:rsid w:val="00CD79E9"/>
    <w:rsid w:val="00CE2AB4"/>
    <w:rsid w:val="00CE49F0"/>
    <w:rsid w:val="00CF0202"/>
    <w:rsid w:val="00D00A18"/>
    <w:rsid w:val="00D02663"/>
    <w:rsid w:val="00D0633E"/>
    <w:rsid w:val="00D12E74"/>
    <w:rsid w:val="00D2312F"/>
    <w:rsid w:val="00D23B04"/>
    <w:rsid w:val="00D26063"/>
    <w:rsid w:val="00D269C1"/>
    <w:rsid w:val="00D346C6"/>
    <w:rsid w:val="00D41B2F"/>
    <w:rsid w:val="00D44953"/>
    <w:rsid w:val="00D47532"/>
    <w:rsid w:val="00D542F3"/>
    <w:rsid w:val="00D54513"/>
    <w:rsid w:val="00D54AAE"/>
    <w:rsid w:val="00D5644B"/>
    <w:rsid w:val="00D56E25"/>
    <w:rsid w:val="00D57E89"/>
    <w:rsid w:val="00D6560D"/>
    <w:rsid w:val="00D65804"/>
    <w:rsid w:val="00D65D77"/>
    <w:rsid w:val="00D718D7"/>
    <w:rsid w:val="00D775D4"/>
    <w:rsid w:val="00D814B7"/>
    <w:rsid w:val="00D837A4"/>
    <w:rsid w:val="00D90688"/>
    <w:rsid w:val="00DA0A7A"/>
    <w:rsid w:val="00DA20D7"/>
    <w:rsid w:val="00DA3AAD"/>
    <w:rsid w:val="00DA5A6B"/>
    <w:rsid w:val="00DB1478"/>
    <w:rsid w:val="00DB312B"/>
    <w:rsid w:val="00DC5654"/>
    <w:rsid w:val="00DC658F"/>
    <w:rsid w:val="00DC674A"/>
    <w:rsid w:val="00DD2C1A"/>
    <w:rsid w:val="00DD48F4"/>
    <w:rsid w:val="00DE59F5"/>
    <w:rsid w:val="00DE60CC"/>
    <w:rsid w:val="00DE7AD2"/>
    <w:rsid w:val="00E0330D"/>
    <w:rsid w:val="00E213A3"/>
    <w:rsid w:val="00E26B32"/>
    <w:rsid w:val="00E31CD4"/>
    <w:rsid w:val="00E31E60"/>
    <w:rsid w:val="00E33E08"/>
    <w:rsid w:val="00E407B6"/>
    <w:rsid w:val="00E41387"/>
    <w:rsid w:val="00E41EF1"/>
    <w:rsid w:val="00E42942"/>
    <w:rsid w:val="00E625AC"/>
    <w:rsid w:val="00E63564"/>
    <w:rsid w:val="00E65A0A"/>
    <w:rsid w:val="00E71BDF"/>
    <w:rsid w:val="00E73730"/>
    <w:rsid w:val="00E75CCB"/>
    <w:rsid w:val="00E77E60"/>
    <w:rsid w:val="00E8245B"/>
    <w:rsid w:val="00E82C21"/>
    <w:rsid w:val="00E82F59"/>
    <w:rsid w:val="00E83CA7"/>
    <w:rsid w:val="00E86C69"/>
    <w:rsid w:val="00E92192"/>
    <w:rsid w:val="00E95A71"/>
    <w:rsid w:val="00E96029"/>
    <w:rsid w:val="00EB7014"/>
    <w:rsid w:val="00EB7894"/>
    <w:rsid w:val="00EC5CDE"/>
    <w:rsid w:val="00ED3077"/>
    <w:rsid w:val="00ED487E"/>
    <w:rsid w:val="00ED64F1"/>
    <w:rsid w:val="00EE33A1"/>
    <w:rsid w:val="00EE7A0D"/>
    <w:rsid w:val="00EF08BF"/>
    <w:rsid w:val="00F0222C"/>
    <w:rsid w:val="00F12312"/>
    <w:rsid w:val="00F17CE1"/>
    <w:rsid w:val="00F2115C"/>
    <w:rsid w:val="00F22ABA"/>
    <w:rsid w:val="00F25F4B"/>
    <w:rsid w:val="00F36B12"/>
    <w:rsid w:val="00F4371E"/>
    <w:rsid w:val="00F60F9F"/>
    <w:rsid w:val="00F63FAC"/>
    <w:rsid w:val="00F64F08"/>
    <w:rsid w:val="00F70055"/>
    <w:rsid w:val="00F734F5"/>
    <w:rsid w:val="00F73B5B"/>
    <w:rsid w:val="00F90EA5"/>
    <w:rsid w:val="00F91F5A"/>
    <w:rsid w:val="00F966B1"/>
    <w:rsid w:val="00F97D48"/>
    <w:rsid w:val="00FA0311"/>
    <w:rsid w:val="00FA1489"/>
    <w:rsid w:val="00FD50F0"/>
    <w:rsid w:val="00FD640F"/>
    <w:rsid w:val="00FD6B4C"/>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E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3854"/>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07423C"/>
    <w:rPr>
      <w:color w:val="007586" w:themeColor="text2"/>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294A5A"/>
    <w:pPr>
      <w:numPr>
        <w:numId w:val="9"/>
      </w:numPr>
      <w:spacing w:before="60" w:after="60"/>
    </w:pPr>
    <w:rPr>
      <w:rFonts w:eastAsia="Times New Roman"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UnresolvedMention">
    <w:name w:val="Unresolved Mention"/>
    <w:basedOn w:val="DefaultParagraphFont"/>
    <w:uiPriority w:val="99"/>
    <w:semiHidden/>
    <w:unhideWhenUsed/>
    <w:rsid w:val="00B4415C"/>
    <w:rPr>
      <w:color w:val="605E5C"/>
      <w:shd w:val="clear" w:color="auto" w:fill="E1DFDD"/>
    </w:rPr>
  </w:style>
  <w:style w:type="paragraph" w:styleId="EndnoteText">
    <w:name w:val="endnote text"/>
    <w:basedOn w:val="Normal"/>
    <w:link w:val="EndnoteTextChar"/>
    <w:uiPriority w:val="1"/>
    <w:semiHidden/>
    <w:unhideWhenUsed/>
    <w:rsid w:val="006328EB"/>
    <w:pPr>
      <w:spacing w:before="0" w:after="0" w:line="240" w:lineRule="auto"/>
    </w:pPr>
  </w:style>
  <w:style w:type="character" w:customStyle="1" w:styleId="EndnoteTextChar">
    <w:name w:val="Endnote Text Char"/>
    <w:basedOn w:val="DefaultParagraphFont"/>
    <w:link w:val="EndnoteText"/>
    <w:uiPriority w:val="1"/>
    <w:semiHidden/>
    <w:rsid w:val="006328EB"/>
  </w:style>
  <w:style w:type="character" w:styleId="EndnoteReference">
    <w:name w:val="endnote reference"/>
    <w:basedOn w:val="DefaultParagraphFont"/>
    <w:uiPriority w:val="1"/>
    <w:semiHidden/>
    <w:unhideWhenUsed/>
    <w:rsid w:val="006328EB"/>
    <w:rPr>
      <w:vertAlign w:val="superscript"/>
    </w:rPr>
  </w:style>
  <w:style w:type="character" w:styleId="CommentReference">
    <w:name w:val="annotation reference"/>
    <w:basedOn w:val="DefaultParagraphFont"/>
    <w:uiPriority w:val="1"/>
    <w:semiHidden/>
    <w:unhideWhenUsed/>
    <w:rsid w:val="00221F15"/>
    <w:rPr>
      <w:sz w:val="16"/>
      <w:szCs w:val="16"/>
    </w:rPr>
  </w:style>
  <w:style w:type="paragraph" w:styleId="CommentText">
    <w:name w:val="annotation text"/>
    <w:basedOn w:val="Normal"/>
    <w:link w:val="CommentTextChar"/>
    <w:uiPriority w:val="1"/>
    <w:semiHidden/>
    <w:unhideWhenUsed/>
    <w:rsid w:val="00221F15"/>
    <w:pPr>
      <w:spacing w:line="240" w:lineRule="auto"/>
    </w:pPr>
  </w:style>
  <w:style w:type="character" w:customStyle="1" w:styleId="CommentTextChar">
    <w:name w:val="Comment Text Char"/>
    <w:basedOn w:val="DefaultParagraphFont"/>
    <w:link w:val="CommentText"/>
    <w:uiPriority w:val="1"/>
    <w:semiHidden/>
    <w:rsid w:val="00221F15"/>
  </w:style>
  <w:style w:type="paragraph" w:styleId="CommentSubject">
    <w:name w:val="annotation subject"/>
    <w:basedOn w:val="CommentText"/>
    <w:next w:val="CommentText"/>
    <w:link w:val="CommentSubjectChar"/>
    <w:uiPriority w:val="1"/>
    <w:semiHidden/>
    <w:unhideWhenUsed/>
    <w:rsid w:val="00221F15"/>
    <w:rPr>
      <w:b/>
      <w:bCs/>
    </w:rPr>
  </w:style>
  <w:style w:type="character" w:customStyle="1" w:styleId="CommentSubjectChar">
    <w:name w:val="Comment Subject Char"/>
    <w:basedOn w:val="CommentTextChar"/>
    <w:link w:val="CommentSubject"/>
    <w:uiPriority w:val="1"/>
    <w:semiHidden/>
    <w:rsid w:val="00221F15"/>
    <w:rPr>
      <w:b/>
      <w:bCs/>
    </w:rPr>
  </w:style>
  <w:style w:type="character" w:styleId="FollowedHyperlink">
    <w:name w:val="FollowedHyperlink"/>
    <w:basedOn w:val="DefaultParagraphFont"/>
    <w:uiPriority w:val="1"/>
    <w:semiHidden/>
    <w:unhideWhenUsed/>
    <w:rsid w:val="00CE49F0"/>
    <w:rPr>
      <w:color w:val="007586" w:themeColor="followedHyperlink"/>
      <w:u w:val="single"/>
    </w:rPr>
  </w:style>
  <w:style w:type="paragraph" w:styleId="Revision">
    <w:name w:val="Revision"/>
    <w:hidden/>
    <w:uiPriority w:val="99"/>
    <w:semiHidden/>
    <w:rsid w:val="002B3E2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 w:id="13872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ombudsassociation.org/standards-of-practice-code-of-ethic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s://www.bettersafercare.vic.gov.au/sites/default/files/2020-12/Independent%20facilitator%20FAQs.doc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udit.vic.gov.au/report/bullying-and-harassment-health-s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ettersafercare.vic.gov.au/sites/default/files/2020-06/Independent%20facilitator%20Staff%20information%20sheet%202020.pdf" TargetMode="External"/><Relationship Id="rId5" Type="http://schemas.openxmlformats.org/officeDocument/2006/relationships/webSettings" Target="webSettings.xml"/><Relationship Id="rId15" Type="http://schemas.openxmlformats.org/officeDocument/2006/relationships/hyperlink" Target="http://www.safercare.vic.gov.au" TargetMode="External"/><Relationship Id="rId23" Type="http://schemas.openxmlformats.org/officeDocument/2006/relationships/hyperlink" Target="https://www.bettersafercare.vic.gov.au/sites/default/files/2020-06/Independent%20facilitator%20operating%20guidelines%202020.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afercare.vic.gov.au" TargetMode="External"/><Relationship Id="rId22" Type="http://schemas.openxmlformats.org/officeDocument/2006/relationships/hyperlink" Target="https://www.bettersafercare.vic.gov.au/sites/default/files/2020-06/Charter%20of%20the%20Independent%20facilitator%202020.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C4F6-5236-4C32-A85D-43F3B0CC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facilitator trial - summary and implementation resources</dc:title>
  <dc:subject/>
  <dc:creator>Safer Care Victoria</dc:creator>
  <cp:keywords>Safer Care Victoria, SCV, independent facilitator</cp:keywords>
  <cp:lastModifiedBy/>
  <cp:revision>1</cp:revision>
  <dcterms:created xsi:type="dcterms:W3CDTF">2020-12-23T05:01:00Z</dcterms:created>
  <dcterms:modified xsi:type="dcterms:W3CDTF">2020-12-23T05:04:00Z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2020-12-23T05:01:52Z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d1784bb0-701b-4591-8a6d-b1085863f619</vt:lpwstr>
  </property>
  <property fmtid="{D5CDD505-2E9C-101B-9397-08002B2CF9AE}" pid="8" name="MSIP_Label_efdf5488-3066-4b6c-8fea-9472b8a1f34c_ContentBits">
    <vt:lpwstr>0</vt:lpwstr>
  </property>
</Properties>
</file>