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29D13" w14:textId="22E897A1" w:rsidR="00A46288" w:rsidRPr="00DA3F36" w:rsidRDefault="002F0482" w:rsidP="007A4444">
      <w:pPr>
        <w:pStyle w:val="Title"/>
      </w:pPr>
      <w:bookmarkStart w:id="0" w:name="_GoBack"/>
      <w:bookmarkEnd w:id="0"/>
      <w:r>
        <w:t xml:space="preserve">Reducing </w:t>
      </w:r>
      <w:r w:rsidR="003F20D7">
        <w:t xml:space="preserve">surgical </w:t>
      </w:r>
      <w:r>
        <w:t xml:space="preserve">risks for women </w:t>
      </w:r>
      <w:r w:rsidR="00F5252F">
        <w:t>through ambulatory care</w:t>
      </w:r>
    </w:p>
    <w:p w14:paraId="6800B4C5" w14:textId="5478B68D" w:rsidR="00897157" w:rsidRDefault="001C6080" w:rsidP="00E03F35">
      <w:pPr>
        <w:pStyle w:val="IntroductoryText"/>
      </w:pPr>
      <w:bookmarkStart w:id="1" w:name="_Hlk54825504"/>
      <w:r>
        <w:t xml:space="preserve">Peninsula Health developed two </w:t>
      </w:r>
      <w:r w:rsidR="00EC7B15">
        <w:t>ambulatory services to</w:t>
      </w:r>
      <w:r w:rsidR="00342A90">
        <w:t xml:space="preserve"> provide </w:t>
      </w:r>
      <w:r w:rsidR="000758DE">
        <w:t xml:space="preserve">women </w:t>
      </w:r>
      <w:r w:rsidR="0075165D">
        <w:t xml:space="preserve">experiencing early pregnancy loss or abnormal uterine bleeding </w:t>
      </w:r>
      <w:r w:rsidR="000758DE">
        <w:t>with safe, effective alternative</w:t>
      </w:r>
      <w:r w:rsidR="00113A30">
        <w:t>s</w:t>
      </w:r>
      <w:r w:rsidR="000758DE">
        <w:t xml:space="preserve"> </w:t>
      </w:r>
      <w:r w:rsidR="005E3096">
        <w:t xml:space="preserve">to </w:t>
      </w:r>
      <w:r w:rsidR="00596F30">
        <w:t xml:space="preserve">having </w:t>
      </w:r>
      <w:r w:rsidR="005E3096">
        <w:t>surgery</w:t>
      </w:r>
      <w:r w:rsidR="00B56A7B">
        <w:t xml:space="preserve"> </w:t>
      </w:r>
      <w:r w:rsidR="0075165D">
        <w:t xml:space="preserve">under general </w:t>
      </w:r>
      <w:r w:rsidR="00E92AE9">
        <w:t>anaesthesia</w:t>
      </w:r>
      <w:r w:rsidR="006747F2">
        <w:t xml:space="preserve">. </w:t>
      </w:r>
      <w:bookmarkEnd w:id="1"/>
    </w:p>
    <w:p w14:paraId="7E23E5B8" w14:textId="77777777" w:rsidR="007A4444" w:rsidRDefault="007A4444" w:rsidP="007A4444">
      <w:pPr>
        <w:pStyle w:val="NoSpacing"/>
      </w:pPr>
    </w:p>
    <w:p w14:paraId="4230C339" w14:textId="77777777" w:rsidR="007A4444" w:rsidRDefault="007A4444" w:rsidP="00794CB7">
      <w:pPr>
        <w:sectPr w:rsidR="007A4444" w:rsidSect="00D517F2">
          <w:footerReference w:type="default" r:id="rId8"/>
          <w:headerReference w:type="first" r:id="rId9"/>
          <w:type w:val="continuous"/>
          <w:pgSz w:w="11906" w:h="16838" w:code="9"/>
          <w:pgMar w:top="2438" w:right="737" w:bottom="680" w:left="737" w:header="539" w:footer="624" w:gutter="0"/>
          <w:cols w:space="284"/>
          <w:titlePg/>
          <w:docGrid w:linePitch="360"/>
        </w:sectPr>
      </w:pPr>
    </w:p>
    <w:p w14:paraId="08B76A1A" w14:textId="30D2B9DC" w:rsidR="00911408" w:rsidRDefault="000C515F" w:rsidP="00911408">
      <w:pPr>
        <w:pStyle w:val="Heading2"/>
      </w:pPr>
      <w:r>
        <w:t>Background</w:t>
      </w:r>
    </w:p>
    <w:p w14:paraId="68BA120A" w14:textId="74E1726B" w:rsidR="00B435FF" w:rsidRPr="00B435FF" w:rsidRDefault="000A6653" w:rsidP="00AF4DC2">
      <w:pPr>
        <w:pStyle w:val="Normalfollowingheading"/>
      </w:pPr>
      <w:bookmarkStart w:id="2" w:name="_Hlk54825449"/>
      <w:r>
        <w:t xml:space="preserve">Each year, </w:t>
      </w:r>
      <w:r w:rsidR="00B435FF" w:rsidRPr="00B435FF">
        <w:t xml:space="preserve">Peninsula Health performs approximately 520 procedures on women who are admitted for </w:t>
      </w:r>
      <w:r>
        <w:t xml:space="preserve">surgery to investigate </w:t>
      </w:r>
      <w:r w:rsidR="00B435FF" w:rsidRPr="00B435FF">
        <w:t>abnormal uterine bleeding</w:t>
      </w:r>
      <w:r>
        <w:t xml:space="preserve"> (</w:t>
      </w:r>
      <w:r w:rsidRPr="000A6653">
        <w:t>hysteroscopy</w:t>
      </w:r>
      <w:r>
        <w:t xml:space="preserve">) or </w:t>
      </w:r>
      <w:r w:rsidR="00AD7396">
        <w:t xml:space="preserve">to </w:t>
      </w:r>
      <w:r>
        <w:t xml:space="preserve">manage </w:t>
      </w:r>
      <w:r w:rsidRPr="00B435FF">
        <w:t>early pregnancy loss</w:t>
      </w:r>
      <w:r>
        <w:t>.</w:t>
      </w:r>
      <w:r w:rsidR="00B435FF" w:rsidRPr="00B435FF">
        <w:t xml:space="preserve"> </w:t>
      </w:r>
      <w:r>
        <w:t xml:space="preserve">These procedures </w:t>
      </w:r>
      <w:r w:rsidR="00B435FF" w:rsidRPr="00B435FF">
        <w:t xml:space="preserve">involve a general anaesthetic </w:t>
      </w:r>
      <w:r>
        <w:t xml:space="preserve">and usually </w:t>
      </w:r>
      <w:r w:rsidR="00B435FF" w:rsidRPr="00B435FF">
        <w:t>requir</w:t>
      </w:r>
      <w:r>
        <w:t xml:space="preserve">e </w:t>
      </w:r>
      <w:r w:rsidR="00AD7396">
        <w:t xml:space="preserve">a </w:t>
      </w:r>
      <w:r w:rsidR="00B435FF" w:rsidRPr="00B435FF">
        <w:t xml:space="preserve">hospital </w:t>
      </w:r>
      <w:r>
        <w:t xml:space="preserve">stay </w:t>
      </w:r>
      <w:r w:rsidR="00B435FF" w:rsidRPr="00B435FF">
        <w:t>of between 12</w:t>
      </w:r>
      <w:r w:rsidR="000635B8">
        <w:t xml:space="preserve"> and </w:t>
      </w:r>
      <w:r w:rsidR="00B435FF" w:rsidRPr="00B435FF">
        <w:t>24 hours</w:t>
      </w:r>
      <w:r>
        <w:t xml:space="preserve">. However, the use of general </w:t>
      </w:r>
      <w:r w:rsidR="00E92AE9">
        <w:t>anaesthetic</w:t>
      </w:r>
      <w:r>
        <w:t xml:space="preserve"> carries the risk of </w:t>
      </w:r>
      <w:r w:rsidR="00B435FF" w:rsidRPr="00B435FF">
        <w:t>potential complications</w:t>
      </w:r>
      <w:r w:rsidR="005A47B3">
        <w:t>, such as postoperative nausea and vomiting or a severe allergic reaction (anaphylaxis),</w:t>
      </w:r>
      <w:r w:rsidR="00596F30">
        <w:t xml:space="preserve"> </w:t>
      </w:r>
      <w:r w:rsidR="00B435FF" w:rsidRPr="00B435FF">
        <w:t xml:space="preserve">and </w:t>
      </w:r>
      <w:r w:rsidR="005A47B3">
        <w:t xml:space="preserve">can lead to an </w:t>
      </w:r>
      <w:r w:rsidR="00B435FF" w:rsidRPr="00B435FF">
        <w:t>extended recovery time.</w:t>
      </w:r>
    </w:p>
    <w:bookmarkEnd w:id="2"/>
    <w:p w14:paraId="5D7D3F99" w14:textId="0983421B" w:rsidR="00B435FF" w:rsidRPr="00B435FF" w:rsidRDefault="000A6653" w:rsidP="009A1F55">
      <w:pPr>
        <w:pStyle w:val="Normalfollowingheading"/>
      </w:pPr>
      <w:r>
        <w:t xml:space="preserve">In 2017, </w:t>
      </w:r>
      <w:r w:rsidRPr="00B435FF">
        <w:t xml:space="preserve">Peninsula Health </w:t>
      </w:r>
      <w:r w:rsidR="00B435FF" w:rsidRPr="00B435FF">
        <w:t xml:space="preserve">patients requiring a hysteroscopy </w:t>
      </w:r>
      <w:r>
        <w:t xml:space="preserve">had no alternative to </w:t>
      </w:r>
      <w:r w:rsidR="00B435FF" w:rsidRPr="00B435FF">
        <w:t>general anaesthesia</w:t>
      </w:r>
      <w:r>
        <w:t>. Of the 26</w:t>
      </w:r>
      <w:r w:rsidR="009A1F55">
        <w:t xml:space="preserve">0 female patients per year </w:t>
      </w:r>
      <w:r w:rsidR="00B435FF" w:rsidRPr="00B435FF">
        <w:t>experiencing early pregnancy loss</w:t>
      </w:r>
      <w:r w:rsidR="009A1F55">
        <w:t xml:space="preserve">, 60 per cent would </w:t>
      </w:r>
      <w:r w:rsidR="00B435FF" w:rsidRPr="00B435FF">
        <w:t xml:space="preserve">elect for surgical intervention, </w:t>
      </w:r>
      <w:r w:rsidR="009A1F55">
        <w:t xml:space="preserve">30 per cent for </w:t>
      </w:r>
      <w:r w:rsidR="00B435FF" w:rsidRPr="00B435FF">
        <w:t xml:space="preserve">conservative management </w:t>
      </w:r>
      <w:r w:rsidR="009A1F55">
        <w:t xml:space="preserve">and 10 per cent for </w:t>
      </w:r>
      <w:r w:rsidR="00B435FF" w:rsidRPr="00B435FF">
        <w:t xml:space="preserve">medical management. </w:t>
      </w:r>
      <w:r w:rsidR="009A1F55">
        <w:t xml:space="preserve">While the latter two options </w:t>
      </w:r>
      <w:r w:rsidR="00B435FF" w:rsidRPr="00B435FF">
        <w:t>avoid</w:t>
      </w:r>
      <w:r w:rsidR="009A1F55">
        <w:t>ed</w:t>
      </w:r>
      <w:r w:rsidR="00B435FF" w:rsidRPr="00B435FF">
        <w:t xml:space="preserve"> </w:t>
      </w:r>
      <w:r w:rsidR="00E92AE9">
        <w:t xml:space="preserve">the general </w:t>
      </w:r>
      <w:r w:rsidR="00B435FF" w:rsidRPr="00B435FF">
        <w:t>anaesthe</w:t>
      </w:r>
      <w:r w:rsidR="00E92AE9">
        <w:t>sia</w:t>
      </w:r>
      <w:r w:rsidR="00B435FF" w:rsidRPr="00B435FF">
        <w:t xml:space="preserve"> risk, many women </w:t>
      </w:r>
      <w:r w:rsidR="009A1F55">
        <w:t xml:space="preserve">were </w:t>
      </w:r>
      <w:r w:rsidR="00B435FF" w:rsidRPr="00B435FF">
        <w:t>concerned about miscarrying at home and cop</w:t>
      </w:r>
      <w:r w:rsidR="00596F30">
        <w:t>ing</w:t>
      </w:r>
      <w:r w:rsidR="00B435FF" w:rsidRPr="00B435FF">
        <w:t xml:space="preserve"> with </w:t>
      </w:r>
      <w:r w:rsidR="009A1F55">
        <w:t xml:space="preserve">the </w:t>
      </w:r>
      <w:r w:rsidR="00B435FF" w:rsidRPr="00B435FF">
        <w:t>associated bleeding and pain.</w:t>
      </w:r>
    </w:p>
    <w:p w14:paraId="4961DB38" w14:textId="1A51DC54" w:rsidR="00986EC9" w:rsidRPr="00986EC9" w:rsidRDefault="00986EC9" w:rsidP="00983983">
      <w:pPr>
        <w:pStyle w:val="Normalfollowingheading"/>
      </w:pPr>
      <w:r>
        <w:t xml:space="preserve">To </w:t>
      </w:r>
      <w:r w:rsidR="00B435FF" w:rsidRPr="00B435FF">
        <w:t xml:space="preserve">minimise the risks and concerns expressed by </w:t>
      </w:r>
      <w:r>
        <w:t xml:space="preserve">these </w:t>
      </w:r>
      <w:r w:rsidR="00B435FF" w:rsidRPr="00B435FF">
        <w:t>women</w:t>
      </w:r>
      <w:r w:rsidR="008717BC">
        <w:t xml:space="preserve"> and </w:t>
      </w:r>
      <w:r w:rsidR="008717BC" w:rsidRPr="00B435FF">
        <w:t xml:space="preserve">provide safe, effective and supportive </w:t>
      </w:r>
      <w:r w:rsidR="008717BC">
        <w:t xml:space="preserve">treatment </w:t>
      </w:r>
      <w:r w:rsidR="008717BC" w:rsidRPr="00B435FF">
        <w:t>alternative</w:t>
      </w:r>
      <w:r w:rsidR="008717BC">
        <w:t>s</w:t>
      </w:r>
      <w:r>
        <w:t xml:space="preserve">, Peninsula Health explored </w:t>
      </w:r>
      <w:r w:rsidR="00983983" w:rsidRPr="00B435FF">
        <w:t>option</w:t>
      </w:r>
      <w:r w:rsidR="00983983">
        <w:t xml:space="preserve">s </w:t>
      </w:r>
      <w:r w:rsidR="008717BC">
        <w:t xml:space="preserve">that enabled </w:t>
      </w:r>
      <w:r w:rsidR="00343F2E" w:rsidRPr="00343F2E">
        <w:t>hysteroscop</w:t>
      </w:r>
      <w:r w:rsidR="008717BC">
        <w:t xml:space="preserve">ies </w:t>
      </w:r>
      <w:r w:rsidR="00343F2E" w:rsidRPr="00343F2E">
        <w:t xml:space="preserve">and surgical </w:t>
      </w:r>
      <w:r w:rsidR="00596F30">
        <w:t xml:space="preserve">treatment </w:t>
      </w:r>
      <w:r w:rsidR="00343F2E" w:rsidRPr="00343F2E">
        <w:t xml:space="preserve">for early pregnancy loss </w:t>
      </w:r>
      <w:r w:rsidR="008717BC">
        <w:t xml:space="preserve">to be performed </w:t>
      </w:r>
      <w:r w:rsidR="00343F2E" w:rsidRPr="00343F2E">
        <w:t xml:space="preserve">in </w:t>
      </w:r>
      <w:r w:rsidR="00596F30">
        <w:t xml:space="preserve">an </w:t>
      </w:r>
      <w:r w:rsidR="00343F2E" w:rsidRPr="00343F2E">
        <w:t>ambulatory setting</w:t>
      </w:r>
      <w:r w:rsidR="00596F30">
        <w:t xml:space="preserve"> </w:t>
      </w:r>
      <w:r w:rsidRPr="00343F2E">
        <w:t>using local anaesthesia and sedation</w:t>
      </w:r>
      <w:r w:rsidR="00343F2E" w:rsidRPr="00343F2E">
        <w:t>.</w:t>
      </w:r>
      <w:r>
        <w:t xml:space="preserve"> </w:t>
      </w:r>
      <w:r w:rsidR="00596F30">
        <w:t xml:space="preserve">These </w:t>
      </w:r>
      <w:r w:rsidR="00CF59C9">
        <w:t>model</w:t>
      </w:r>
      <w:r w:rsidR="00596F30">
        <w:t>s</w:t>
      </w:r>
      <w:r w:rsidR="00CF59C9">
        <w:t xml:space="preserve"> ha</w:t>
      </w:r>
      <w:r w:rsidR="00596F30">
        <w:t>d</w:t>
      </w:r>
      <w:r w:rsidR="00CF59C9">
        <w:t xml:space="preserve"> </w:t>
      </w:r>
      <w:r w:rsidRPr="00343F2E">
        <w:t>successful</w:t>
      </w:r>
      <w:r w:rsidR="00CF59C9">
        <w:t xml:space="preserve">ly </w:t>
      </w:r>
      <w:r w:rsidR="00596F30">
        <w:t xml:space="preserve">been </w:t>
      </w:r>
      <w:r w:rsidR="00CF59C9">
        <w:t>introduced internationally</w:t>
      </w:r>
      <w:r w:rsidR="00596F30">
        <w:t>,</w:t>
      </w:r>
      <w:r w:rsidR="00CF59C9">
        <w:t xml:space="preserve"> including </w:t>
      </w:r>
      <w:r w:rsidR="00E2050B">
        <w:t xml:space="preserve">in </w:t>
      </w:r>
      <w:r w:rsidR="00CF59C9">
        <w:t>the UK, US, Canada and New Zealand</w:t>
      </w:r>
      <w:r>
        <w:t>.</w:t>
      </w:r>
    </w:p>
    <w:p w14:paraId="33D3F94E" w14:textId="5416BBAE" w:rsidR="002F0482" w:rsidRDefault="00CF59C9" w:rsidP="00862814">
      <w:pPr>
        <w:pStyle w:val="Normalfollowingheading"/>
      </w:pPr>
      <w:r>
        <w:t xml:space="preserve">Peninsula Health </w:t>
      </w:r>
      <w:r w:rsidR="00343F2E" w:rsidRPr="00343F2E">
        <w:t xml:space="preserve">set out to </w:t>
      </w:r>
      <w:r w:rsidR="00596F30">
        <w:t xml:space="preserve">develop </w:t>
      </w:r>
      <w:r w:rsidR="00343F2E" w:rsidRPr="00343F2E">
        <w:t xml:space="preserve">a </w:t>
      </w:r>
      <w:r w:rsidR="00F5252F">
        <w:t xml:space="preserve">Victorian </w:t>
      </w:r>
      <w:r w:rsidR="00343F2E" w:rsidRPr="00343F2E">
        <w:t>model of care in an ambulatory clinic for women experiencing dysfunctional uterine bleeding and early pregnancy loss.</w:t>
      </w:r>
      <w:r>
        <w:t xml:space="preserve"> </w:t>
      </w:r>
    </w:p>
    <w:p w14:paraId="3B2CB0EB" w14:textId="660FF1C3" w:rsidR="00862814" w:rsidRPr="00343F2E" w:rsidRDefault="002F0482" w:rsidP="00862814">
      <w:pPr>
        <w:pStyle w:val="Normalfollowingheading"/>
      </w:pPr>
      <w:r>
        <w:br w:type="column"/>
      </w:r>
      <w:r w:rsidR="00862814">
        <w:t xml:space="preserve">Its </w:t>
      </w:r>
      <w:r w:rsidR="00596F30">
        <w:t xml:space="preserve">primary aims were </w:t>
      </w:r>
      <w:r w:rsidR="00862814">
        <w:t>to provide these patients with safe</w:t>
      </w:r>
      <w:r w:rsidR="00EE2ACF">
        <w:t>,</w:t>
      </w:r>
      <w:r w:rsidR="00862814">
        <w:t xml:space="preserve"> effective treatment alternative</w:t>
      </w:r>
      <w:r w:rsidR="00307D13">
        <w:t>s</w:t>
      </w:r>
      <w:r w:rsidR="00862814">
        <w:t xml:space="preserve">, avoid </w:t>
      </w:r>
      <w:r w:rsidR="00596F30">
        <w:t xml:space="preserve">exposing them to the </w:t>
      </w:r>
      <w:r w:rsidR="00343F2E" w:rsidRPr="00343F2E">
        <w:t xml:space="preserve">risks </w:t>
      </w:r>
      <w:r w:rsidR="00596F30">
        <w:t xml:space="preserve">associated with </w:t>
      </w:r>
      <w:r w:rsidR="00343F2E" w:rsidRPr="00343F2E">
        <w:t>general anaesthesia</w:t>
      </w:r>
      <w:r w:rsidR="00CF59C9">
        <w:t xml:space="preserve">, </w:t>
      </w:r>
      <w:r w:rsidR="00862814">
        <w:t xml:space="preserve">and </w:t>
      </w:r>
      <w:r w:rsidR="00343F2E" w:rsidRPr="00343F2E">
        <w:t xml:space="preserve">reduce </w:t>
      </w:r>
      <w:r w:rsidR="00862814">
        <w:t xml:space="preserve">their </w:t>
      </w:r>
      <w:r w:rsidR="00343F2E" w:rsidRPr="00343F2E">
        <w:t>length of stay</w:t>
      </w:r>
      <w:r w:rsidR="0069573C">
        <w:t xml:space="preserve"> (LOS)</w:t>
      </w:r>
      <w:r w:rsidR="00343F2E" w:rsidRPr="00343F2E">
        <w:t xml:space="preserve"> in hospital</w:t>
      </w:r>
      <w:r w:rsidR="00862814">
        <w:t>.</w:t>
      </w:r>
    </w:p>
    <w:p w14:paraId="444E5032" w14:textId="5141355A" w:rsidR="00EC7F2A" w:rsidRPr="00C821CE" w:rsidRDefault="00C7098C" w:rsidP="00343F2E">
      <w:pPr>
        <w:rPr>
          <w:i/>
          <w:iCs/>
        </w:rPr>
      </w:pPr>
      <w:r w:rsidRPr="00C821CE">
        <w:rPr>
          <w:i/>
          <w:iCs/>
          <w:noProof/>
        </w:rPr>
        <mc:AlternateContent>
          <mc:Choice Requires="wps">
            <w:drawing>
              <wp:inline distT="0" distB="0" distL="0" distR="0" wp14:anchorId="7E5AC192" wp14:editId="577B2783">
                <wp:extent cx="3230245" cy="4419600"/>
                <wp:effectExtent l="0" t="0" r="27305" b="1905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0245" cy="4419600"/>
                        </a:xfrm>
                        <a:prstGeom prst="rect">
                          <a:avLst/>
                        </a:prstGeom>
                        <a:solidFill>
                          <a:srgbClr val="FEEAD2"/>
                        </a:solidFill>
                        <a:ln w="6350">
                          <a:solidFill>
                            <a:srgbClr val="FEEAD2"/>
                          </a:solidFill>
                          <a:miter lim="800000"/>
                          <a:headEnd/>
                          <a:tailEnd/>
                        </a:ln>
                      </wps:spPr>
                      <wps:txbx>
                        <w:txbxContent>
                          <w:p w14:paraId="14988FB7" w14:textId="730A01A8" w:rsidR="00C7098C" w:rsidRPr="004D6898" w:rsidRDefault="00445CBD" w:rsidP="00C7098C">
                            <w:pPr>
                              <w:pStyle w:val="PulloutHeading"/>
                            </w:pPr>
                            <w:r w:rsidRPr="00445CBD">
                              <w:t xml:space="preserve">Developing </w:t>
                            </w:r>
                            <w:r>
                              <w:t>a</w:t>
                            </w:r>
                            <w:r w:rsidRPr="00445CBD">
                              <w:t xml:space="preserve">mbulatory </w:t>
                            </w:r>
                            <w:r>
                              <w:t>c</w:t>
                            </w:r>
                            <w:r w:rsidRPr="00445CBD">
                              <w:t xml:space="preserve">are </w:t>
                            </w:r>
                            <w:r>
                              <w:t>s</w:t>
                            </w:r>
                            <w:r w:rsidRPr="00445CBD">
                              <w:t xml:space="preserve">ervices for </w:t>
                            </w:r>
                            <w:r>
                              <w:t>w</w:t>
                            </w:r>
                            <w:r w:rsidRPr="00445CBD">
                              <w:t>omen in Peninsula Health</w:t>
                            </w:r>
                          </w:p>
                          <w:p w14:paraId="3BCE2E88" w14:textId="45711873" w:rsidR="00C7098C" w:rsidRDefault="00C7098C" w:rsidP="00C7098C">
                            <w:pPr>
                              <w:pStyle w:val="PulloutText"/>
                            </w:pPr>
                            <w:r w:rsidRPr="00186B39">
                              <w:rPr>
                                <w:b/>
                                <w:bCs/>
                              </w:rPr>
                              <w:t>Lead</w:t>
                            </w:r>
                            <w:r>
                              <w:t xml:space="preserve"> </w:t>
                            </w:r>
                            <w:r w:rsidR="00445CBD">
                              <w:t>Peninsula Health</w:t>
                            </w:r>
                          </w:p>
                          <w:p w14:paraId="59A54D14" w14:textId="42BC3632" w:rsidR="00C7098C" w:rsidRPr="00FE6BEB" w:rsidRDefault="00186B39" w:rsidP="00C7098C">
                            <w:pPr>
                              <w:pStyle w:val="PulloutText"/>
                            </w:pPr>
                            <w:r>
                              <w:rPr>
                                <w:b/>
                                <w:bCs/>
                              </w:rPr>
                              <w:t>Duration</w:t>
                            </w:r>
                            <w:r w:rsidR="00FE6BEB">
                              <w:rPr>
                                <w:b/>
                                <w:bCs/>
                              </w:rPr>
                              <w:t xml:space="preserve"> </w:t>
                            </w:r>
                            <w:r w:rsidR="00FE6BEB" w:rsidRPr="00FE6BEB">
                              <w:t>December 2017 – September 2018</w:t>
                            </w:r>
                          </w:p>
                          <w:p w14:paraId="29DC0549" w14:textId="6C011366" w:rsidR="00C7098C" w:rsidRDefault="00C7098C" w:rsidP="00C7098C">
                            <w:pPr>
                              <w:pStyle w:val="PulloutText"/>
                              <w:rPr>
                                <w:b/>
                                <w:bCs/>
                              </w:rPr>
                            </w:pPr>
                            <w:r w:rsidRPr="00911408">
                              <w:rPr>
                                <w:b/>
                                <w:bCs/>
                              </w:rPr>
                              <w:t xml:space="preserve">Key </w:t>
                            </w:r>
                            <w:r w:rsidR="00BC07DF">
                              <w:rPr>
                                <w:b/>
                                <w:bCs/>
                              </w:rPr>
                              <w:t>outcomes</w:t>
                            </w:r>
                          </w:p>
                          <w:p w14:paraId="07D28215" w14:textId="7DCBA97C" w:rsidR="00297DC3" w:rsidRDefault="00297DC3" w:rsidP="00297DC3">
                            <w:pPr>
                              <w:pStyle w:val="Bullet1"/>
                            </w:pPr>
                            <w:bookmarkStart w:id="3" w:name="_Hlk54825938"/>
                            <w:bookmarkStart w:id="4" w:name="_Hlk54825939"/>
                            <w:r>
                              <w:t>Reduced total LOS and average recovery time by 68 per cent and 80 per cent, respectively, for patients who opted for the ambulatory hysteroscopy service</w:t>
                            </w:r>
                          </w:p>
                          <w:p w14:paraId="31D51F79" w14:textId="5D65BA7A" w:rsidR="00297DC3" w:rsidRDefault="00297DC3" w:rsidP="00297DC3">
                            <w:pPr>
                              <w:pStyle w:val="Bullet1"/>
                            </w:pPr>
                            <w:r>
                              <w:t>Eliminated the risks associated with general anaesthesia for patients undergoing a</w:t>
                            </w:r>
                            <w:r w:rsidR="006B2E71">
                              <w:t xml:space="preserve">n ambulatory </w:t>
                            </w:r>
                            <w:r>
                              <w:t>hysteroscopy or early pregnancy loss treatment by using local anaesthetic and sedation</w:t>
                            </w:r>
                          </w:p>
                          <w:p w14:paraId="58252622" w14:textId="4DE0C98D" w:rsidR="00297DC3" w:rsidRDefault="006B2E71" w:rsidP="00297DC3">
                            <w:pPr>
                              <w:pStyle w:val="Bullet1"/>
                            </w:pPr>
                            <w:r>
                              <w:t xml:space="preserve">All ambulatory service patients were seen within 21 days of referral, leading to more efficient surgical </w:t>
                            </w:r>
                            <w:r w:rsidR="00297DC3">
                              <w:t xml:space="preserve">wait </w:t>
                            </w:r>
                            <w:r>
                              <w:t xml:space="preserve">list management and the release of </w:t>
                            </w:r>
                            <w:r w:rsidR="00297DC3">
                              <w:t>resources for other patients</w:t>
                            </w:r>
                          </w:p>
                          <w:p w14:paraId="005220AD" w14:textId="43A10AA0" w:rsidR="00297DC3" w:rsidRPr="00911408" w:rsidRDefault="00297DC3" w:rsidP="00297DC3">
                            <w:pPr>
                              <w:pStyle w:val="Bullet1"/>
                            </w:pPr>
                            <w:r>
                              <w:t xml:space="preserve">Achieved estimated treatment cost savings of </w:t>
                            </w:r>
                            <w:r w:rsidR="006B2E71">
                              <w:t xml:space="preserve">more than </w:t>
                            </w:r>
                            <w:r>
                              <w:t>$1</w:t>
                            </w:r>
                            <w:r w:rsidR="006B2E71">
                              <w:t>,</w:t>
                            </w:r>
                            <w:r>
                              <w:t>700 per patient for both ambulatory services</w:t>
                            </w:r>
                            <w:bookmarkEnd w:id="3"/>
                            <w:bookmarkEnd w:id="4"/>
                          </w:p>
                        </w:txbxContent>
                      </wps:txbx>
                      <wps:bodyPr rot="0" vert="horz" wrap="square" lIns="180000" tIns="180000" rIns="144000" bIns="36000" anchor="t" anchorCtr="0">
                        <a:noAutofit/>
                      </wps:bodyPr>
                    </wps:wsp>
                  </a:graphicData>
                </a:graphic>
              </wp:inline>
            </w:drawing>
          </mc:Choice>
          <mc:Fallback>
            <w:pict>
              <v:shapetype w14:anchorId="7E5AC192" id="_x0000_t202" coordsize="21600,21600" o:spt="202" path="m,l,21600r21600,l21600,xe">
                <v:stroke joinstyle="miter"/>
                <v:path gradientshapeok="t" o:connecttype="rect"/>
              </v:shapetype>
              <v:shape id="Text Box 2" o:spid="_x0000_s1026" type="#_x0000_t202" style="width:254.35pt;height:3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" fillcolor="#feead2" strokecolor="#feead2" strokeweight=".5pt">
                <v:textbox inset="5mm,5mm,4mm,1mm">
                  <w:txbxContent>
                    <w:p w14:paraId="14988FB7" w14:textId="730A01A8" w:rsidR="00C7098C" w:rsidRPr="004D6898" w:rsidRDefault="00445CBD" w:rsidP="00C7098C">
                      <w:pPr>
                        <w:pStyle w:val="PulloutHeading"/>
                      </w:pPr>
                      <w:r w:rsidRPr="00445CBD">
                        <w:t xml:space="preserve">Developing </w:t>
                      </w:r>
                      <w:r>
                        <w:t>a</w:t>
                      </w:r>
                      <w:r w:rsidRPr="00445CBD">
                        <w:t xml:space="preserve">mbulatory </w:t>
                      </w:r>
                      <w:r>
                        <w:t>c</w:t>
                      </w:r>
                      <w:r w:rsidRPr="00445CBD">
                        <w:t xml:space="preserve">are </w:t>
                      </w:r>
                      <w:r>
                        <w:t>s</w:t>
                      </w:r>
                      <w:r w:rsidRPr="00445CBD">
                        <w:t xml:space="preserve">ervices for </w:t>
                      </w:r>
                      <w:r>
                        <w:t>w</w:t>
                      </w:r>
                      <w:r w:rsidRPr="00445CBD">
                        <w:t>omen in Peninsula Health</w:t>
                      </w:r>
                    </w:p>
                    <w:p w14:paraId="3BCE2E88" w14:textId="45711873" w:rsidR="00C7098C" w:rsidRDefault="00C7098C" w:rsidP="00C7098C">
                      <w:pPr>
                        <w:pStyle w:val="PulloutText"/>
                      </w:pPr>
                      <w:r w:rsidRPr="00186B39">
                        <w:rPr>
                          <w:b/>
                          <w:bCs/>
                        </w:rPr>
                        <w:t>Lead</w:t>
                      </w:r>
                      <w:r>
                        <w:t xml:space="preserve"> </w:t>
                      </w:r>
                      <w:r w:rsidR="00445CBD">
                        <w:t>Peninsula Health</w:t>
                      </w:r>
                    </w:p>
                    <w:p w14:paraId="59A54D14" w14:textId="42BC3632" w:rsidR="00C7098C" w:rsidRPr="00FE6BEB" w:rsidRDefault="00186B39" w:rsidP="00C7098C">
                      <w:pPr>
                        <w:pStyle w:val="PulloutText"/>
                      </w:pPr>
                      <w:r>
                        <w:rPr>
                          <w:b/>
                          <w:bCs/>
                        </w:rPr>
                        <w:t>Duration</w:t>
                      </w:r>
                      <w:r w:rsidR="00FE6BEB">
                        <w:rPr>
                          <w:b/>
                          <w:bCs/>
                        </w:rPr>
                        <w:t xml:space="preserve"> </w:t>
                      </w:r>
                      <w:r w:rsidR="00FE6BEB" w:rsidRPr="00FE6BEB">
                        <w:t>December 2017 – September 2018</w:t>
                      </w:r>
                    </w:p>
                    <w:p w14:paraId="29DC0549" w14:textId="6C011366" w:rsidR="00C7098C" w:rsidRDefault="00C7098C" w:rsidP="00C7098C">
                      <w:pPr>
                        <w:pStyle w:val="PulloutText"/>
                        <w:rPr>
                          <w:b/>
                          <w:bCs/>
                        </w:rPr>
                      </w:pPr>
                      <w:r w:rsidRPr="00911408">
                        <w:rPr>
                          <w:b/>
                          <w:bCs/>
                        </w:rPr>
                        <w:t xml:space="preserve">Key </w:t>
                      </w:r>
                      <w:r w:rsidR="00BC07DF">
                        <w:rPr>
                          <w:b/>
                          <w:bCs/>
                        </w:rPr>
                        <w:t>outcomes</w:t>
                      </w:r>
                    </w:p>
                    <w:p w14:paraId="07D28215" w14:textId="7DCBA97C" w:rsidR="00297DC3" w:rsidRDefault="00297DC3" w:rsidP="00297DC3">
                      <w:pPr>
                        <w:pStyle w:val="Bullet1"/>
                      </w:pPr>
                      <w:bookmarkStart w:id="5" w:name="_Hlk54825938"/>
                      <w:bookmarkStart w:id="6" w:name="_Hlk54825939"/>
                      <w:r>
                        <w:t>Reduced total LOS and average recovery time by 68 per cent and 80 per cent, respectively, for patients who opted for the ambulatory hysteroscopy service</w:t>
                      </w:r>
                    </w:p>
                    <w:p w14:paraId="31D51F79" w14:textId="5D65BA7A" w:rsidR="00297DC3" w:rsidRDefault="00297DC3" w:rsidP="00297DC3">
                      <w:pPr>
                        <w:pStyle w:val="Bullet1"/>
                      </w:pPr>
                      <w:r>
                        <w:t>Eliminated the risks associated with general anaesthesia for patients undergoing a</w:t>
                      </w:r>
                      <w:r w:rsidR="006B2E71">
                        <w:t xml:space="preserve">n ambulatory </w:t>
                      </w:r>
                      <w:r>
                        <w:t>hysteroscopy or early pregnancy loss treatment by using local anaesthetic and sedation</w:t>
                      </w:r>
                    </w:p>
                    <w:p w14:paraId="58252622" w14:textId="4DE0C98D" w:rsidR="00297DC3" w:rsidRDefault="006B2E71" w:rsidP="00297DC3">
                      <w:pPr>
                        <w:pStyle w:val="Bullet1"/>
                      </w:pPr>
                      <w:r>
                        <w:t xml:space="preserve">All ambulatory service patients were seen within 21 days of referral, leading to more efficient surgical </w:t>
                      </w:r>
                      <w:r w:rsidR="00297DC3">
                        <w:t xml:space="preserve">wait </w:t>
                      </w:r>
                      <w:r>
                        <w:t xml:space="preserve">list management and the release of </w:t>
                      </w:r>
                      <w:r w:rsidR="00297DC3">
                        <w:t>resources for other patients</w:t>
                      </w:r>
                    </w:p>
                    <w:p w14:paraId="005220AD" w14:textId="43A10AA0" w:rsidR="00297DC3" w:rsidRPr="00911408" w:rsidRDefault="00297DC3" w:rsidP="00297DC3">
                      <w:pPr>
                        <w:pStyle w:val="Bullet1"/>
                      </w:pPr>
                      <w:r>
                        <w:t xml:space="preserve">Achieved estimated treatment cost savings of </w:t>
                      </w:r>
                      <w:r w:rsidR="006B2E71">
                        <w:t xml:space="preserve">more than </w:t>
                      </w:r>
                      <w:r>
                        <w:t>$1</w:t>
                      </w:r>
                      <w:r w:rsidR="006B2E71">
                        <w:t>,</w:t>
                      </w:r>
                      <w:r>
                        <w:t>700 per patient for both ambulatory services</w:t>
                      </w:r>
                      <w:bookmarkEnd w:id="5"/>
                      <w:bookmarkEnd w:id="6"/>
                    </w:p>
                  </w:txbxContent>
                </v:textbox>
                <w10:anchorlock/>
              </v:shape>
            </w:pict>
          </mc:Fallback>
        </mc:AlternateContent>
      </w:r>
    </w:p>
    <w:p w14:paraId="35DB7B6F" w14:textId="77777777" w:rsidR="0067152D" w:rsidRDefault="0067152D" w:rsidP="0067152D">
      <w:pPr>
        <w:pStyle w:val="Quote"/>
      </w:pPr>
      <w:r>
        <w:t>‘</w:t>
      </w:r>
      <w:r w:rsidRPr="00EA41A7">
        <w:t>A much more comfortable environment than I thought it would be. Much better system than preparing for and exiting theatre.</w:t>
      </w:r>
      <w:r>
        <w:t xml:space="preserve">’ </w:t>
      </w:r>
    </w:p>
    <w:p w14:paraId="08F15236" w14:textId="77777777" w:rsidR="00EF04B5" w:rsidRDefault="0067152D" w:rsidP="0067152D">
      <w:pPr>
        <w:pStyle w:val="Quote"/>
        <w:rPr>
          <w:b/>
          <w:bCs/>
        </w:rPr>
        <w:sectPr w:rsidR="00EF04B5" w:rsidSect="00D517F2">
          <w:footerReference w:type="default" r:id="rId10"/>
          <w:type w:val="continuous"/>
          <w:pgSz w:w="11906" w:h="16838" w:code="9"/>
          <w:pgMar w:top="2438" w:right="737" w:bottom="680" w:left="737" w:header="539" w:footer="624" w:gutter="0"/>
          <w:cols w:num="2" w:space="284"/>
          <w:docGrid w:linePitch="360"/>
        </w:sectPr>
      </w:pPr>
      <w:r w:rsidRPr="00EA41A7">
        <w:rPr>
          <w:b/>
          <w:bCs/>
        </w:rPr>
        <w:t xml:space="preserve">– Ambulatory hysteroscopy </w:t>
      </w:r>
      <w:r w:rsidR="00765DD5">
        <w:rPr>
          <w:b/>
          <w:bCs/>
        </w:rPr>
        <w:t xml:space="preserve">service </w:t>
      </w:r>
      <w:r w:rsidRPr="00EA41A7">
        <w:rPr>
          <w:b/>
          <w:bCs/>
        </w:rPr>
        <w:t>patient</w:t>
      </w:r>
    </w:p>
    <w:p w14:paraId="3DA60E98" w14:textId="59E80AD8" w:rsidR="00794CB7" w:rsidRDefault="000635B8" w:rsidP="004A4ED0">
      <w:pPr>
        <w:pStyle w:val="Heading2"/>
      </w:pPr>
      <w:r>
        <w:lastRenderedPageBreak/>
        <w:t>Key activity</w:t>
      </w:r>
    </w:p>
    <w:p w14:paraId="0FF49E84" w14:textId="4D9F0013" w:rsidR="00383FEC" w:rsidRDefault="00383FEC" w:rsidP="00383FEC">
      <w:pPr>
        <w:pStyle w:val="Bullet1"/>
        <w:rPr>
          <w:rFonts w:eastAsiaTheme="minorEastAsia"/>
        </w:rPr>
      </w:pPr>
      <w:r>
        <w:rPr>
          <w:rFonts w:eastAsiaTheme="minorEastAsia"/>
        </w:rPr>
        <w:t xml:space="preserve">Reviewed </w:t>
      </w:r>
      <w:r w:rsidRPr="00737AAC">
        <w:rPr>
          <w:rFonts w:eastAsiaTheme="minorEastAsia"/>
        </w:rPr>
        <w:t>international and local ambulatory models, including arranging site visits to Mercy Hospital and The Royal Women’s Hospital, which offer similar services</w:t>
      </w:r>
      <w:r>
        <w:rPr>
          <w:rFonts w:eastAsiaTheme="minorEastAsia"/>
        </w:rPr>
        <w:t>.</w:t>
      </w:r>
    </w:p>
    <w:p w14:paraId="3F51E9E6" w14:textId="524C59CA" w:rsidR="00DB29B4" w:rsidRPr="00DD7741" w:rsidRDefault="00383FEC" w:rsidP="00737AAC">
      <w:pPr>
        <w:pStyle w:val="Bullet1"/>
      </w:pPr>
      <w:r>
        <w:rPr>
          <w:rFonts w:eastAsiaTheme="minorEastAsia"/>
        </w:rPr>
        <w:t>A</w:t>
      </w:r>
      <w:r w:rsidRPr="00E803D1">
        <w:rPr>
          <w:rFonts w:eastAsiaTheme="minorEastAsia"/>
        </w:rPr>
        <w:t>pplied to the Therapeutic Goods Administration via industry to introduce a bi-valve manual vacuum aspiration of contents (mVac) device that had previously never been used in Australia.</w:t>
      </w:r>
    </w:p>
    <w:p w14:paraId="561D8B60" w14:textId="0AC40890" w:rsidR="00DD7741" w:rsidRPr="00DB29B4" w:rsidRDefault="00DD7741" w:rsidP="00737AAC">
      <w:pPr>
        <w:pStyle w:val="Bullet1"/>
      </w:pPr>
      <w:r w:rsidRPr="00DD7741">
        <w:rPr>
          <w:rFonts w:eastAsiaTheme="minorEastAsia"/>
        </w:rPr>
        <w:t xml:space="preserve">Trained two senior clinical staff on the new early pregnancy loss </w:t>
      </w:r>
      <w:r w:rsidR="008E4BF6">
        <w:rPr>
          <w:rFonts w:eastAsiaTheme="minorEastAsia"/>
        </w:rPr>
        <w:t xml:space="preserve">mVac </w:t>
      </w:r>
      <w:r w:rsidRPr="00DD7741">
        <w:rPr>
          <w:rFonts w:eastAsiaTheme="minorEastAsia"/>
        </w:rPr>
        <w:t xml:space="preserve">treatments at the </w:t>
      </w:r>
      <w:r w:rsidRPr="00E90BEF">
        <w:t>Royal College of Obstetricians and Gynaecologists</w:t>
      </w:r>
      <w:r>
        <w:t xml:space="preserve"> </w:t>
      </w:r>
      <w:r w:rsidRPr="00E90BEF">
        <w:t>(UK)</w:t>
      </w:r>
      <w:r>
        <w:t>, then designed local training workshops and education sessions for key medical and nursing staff in conjunction with industry.</w:t>
      </w:r>
    </w:p>
    <w:p w14:paraId="51308E2E" w14:textId="743BBE1C" w:rsidR="00DB29B4" w:rsidRDefault="00DB29B4" w:rsidP="00737AAC">
      <w:pPr>
        <w:pStyle w:val="Bullet1"/>
      </w:pPr>
      <w:r w:rsidRPr="00DD7741">
        <w:rPr>
          <w:rFonts w:eastAsiaTheme="minorEastAsia"/>
        </w:rPr>
        <w:t xml:space="preserve">Developed </w:t>
      </w:r>
      <w:r w:rsidR="00DD7741" w:rsidRPr="00DD7741">
        <w:rPr>
          <w:rFonts w:eastAsiaTheme="minorEastAsia"/>
        </w:rPr>
        <w:t xml:space="preserve">multidisciplinary </w:t>
      </w:r>
      <w:r w:rsidR="00737AAC">
        <w:t>clinical guidelines</w:t>
      </w:r>
      <w:r w:rsidR="00DD7741">
        <w:t xml:space="preserve"> </w:t>
      </w:r>
      <w:r w:rsidR="00737AAC">
        <w:t xml:space="preserve">and operational models for two new </w:t>
      </w:r>
      <w:r w:rsidR="00F10E22">
        <w:t xml:space="preserve">ambulatory care clinic </w:t>
      </w:r>
      <w:r w:rsidR="00737AAC">
        <w:t>service</w:t>
      </w:r>
      <w:r>
        <w:t>s</w:t>
      </w:r>
      <w:r w:rsidR="00F10E22">
        <w:t xml:space="preserve"> to be delivered in an existing, shared outpatient space: the </w:t>
      </w:r>
      <w:r>
        <w:t>early pregnancy loss service</w:t>
      </w:r>
      <w:r w:rsidR="00F10E22">
        <w:t>, which used the mVac device,</w:t>
      </w:r>
      <w:r>
        <w:t xml:space="preserve"> and the ambulatory hysteroscopy service</w:t>
      </w:r>
      <w:r w:rsidR="00F10E22">
        <w:t>. Both services used local anaesthetic</w:t>
      </w:r>
      <w:r w:rsidR="00844FE3">
        <w:t xml:space="preserve"> instead of general anaesthetic</w:t>
      </w:r>
      <w:r w:rsidR="00F10E22">
        <w:t>.</w:t>
      </w:r>
    </w:p>
    <w:p w14:paraId="45816560" w14:textId="32F935AB" w:rsidR="00737AAC" w:rsidRDefault="00F10E22" w:rsidP="00737AAC">
      <w:pPr>
        <w:pStyle w:val="Bullet1"/>
      </w:pPr>
      <w:r>
        <w:t>C</w:t>
      </w:r>
      <w:r w:rsidRPr="00F10E22">
        <w:t>onduct</w:t>
      </w:r>
      <w:r>
        <w:t xml:space="preserve">ed </w:t>
      </w:r>
      <w:r w:rsidRPr="00F10E22">
        <w:t xml:space="preserve">a mock run-through to test </w:t>
      </w:r>
      <w:r>
        <w:t xml:space="preserve">both models </w:t>
      </w:r>
      <w:r w:rsidRPr="00F10E22">
        <w:t>prior to implementation</w:t>
      </w:r>
      <w:r>
        <w:t xml:space="preserve"> and m</w:t>
      </w:r>
      <w:r w:rsidR="00DB29B4">
        <w:t xml:space="preserve">ade further </w:t>
      </w:r>
      <w:r w:rsidR="00DD7741">
        <w:t xml:space="preserve">service </w:t>
      </w:r>
      <w:r w:rsidR="00DB29B4">
        <w:t xml:space="preserve">improvements and modifications </w:t>
      </w:r>
      <w:r w:rsidR="00DD7741">
        <w:t xml:space="preserve">post-implementation </w:t>
      </w:r>
      <w:r w:rsidR="00DB29B4">
        <w:t xml:space="preserve">based on </w:t>
      </w:r>
      <w:r w:rsidR="00DD7741">
        <w:t xml:space="preserve">clinical </w:t>
      </w:r>
      <w:r w:rsidR="00DB29B4">
        <w:t xml:space="preserve">and patient feedback.  </w:t>
      </w:r>
    </w:p>
    <w:p w14:paraId="4DCFB341" w14:textId="339EB00A" w:rsidR="002B5C34" w:rsidRDefault="00435805" w:rsidP="00343F2E">
      <w:pPr>
        <w:pStyle w:val="Heading2"/>
      </w:pPr>
      <w:r>
        <w:t>O</w:t>
      </w:r>
      <w:r w:rsidR="009B1BBA" w:rsidRPr="00F80A39">
        <w:t>utcomes</w:t>
      </w:r>
    </w:p>
    <w:p w14:paraId="34C5F63A" w14:textId="77777777" w:rsidR="0069573C" w:rsidRPr="0069573C" w:rsidRDefault="0069573C" w:rsidP="0069573C">
      <w:pPr>
        <w:pStyle w:val="Tablechartdiagramheading"/>
      </w:pPr>
      <w:r w:rsidRPr="0069573C">
        <w:t>Figure 1. Comparison of surgical and ambulatory hysteroscopy service treatment times (in hr:min)</w:t>
      </w:r>
    </w:p>
    <w:p w14:paraId="2983E58A" w14:textId="77777777" w:rsidR="0069573C" w:rsidRDefault="0069573C" w:rsidP="0069573C">
      <w:r w:rsidRPr="00FE2AA7">
        <w:rPr>
          <w:noProof/>
        </w:rPr>
        <w:drawing>
          <wp:inline distT="0" distB="0" distL="0" distR="0" wp14:anchorId="4409AA23" wp14:editId="356E8D13">
            <wp:extent cx="3086100" cy="2295525"/>
            <wp:effectExtent l="0" t="0" r="0" b="9525"/>
            <wp:docPr id="2" name="Chart 2" descr="A bar graph showing that both total LOS and average recovery time were considerably shorter for ambulatory hysteroscopy patients compared with surgical hysteroscopy patients. Total procedure time was slightly longer for ambulatory hysteroscopy patient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149C083" w14:textId="2908F4D0" w:rsidR="0069573C" w:rsidRDefault="0069573C" w:rsidP="00FE2AA7">
      <w:pPr>
        <w:pStyle w:val="Bullet1"/>
      </w:pPr>
      <w:r>
        <w:t>Total LOS was two hours and 16 minutes for patients who had a hysteroscopy under the ambulatory model</w:t>
      </w:r>
      <w:r w:rsidR="00273139">
        <w:t>, a 68 per cent reduction</w:t>
      </w:r>
      <w:r>
        <w:t xml:space="preserve"> compared </w:t>
      </w:r>
      <w:r w:rsidR="00DE5729">
        <w:t xml:space="preserve">to </w:t>
      </w:r>
      <w:r>
        <w:t>seven hours and nine minutes for those who had a surgical hysteroscopy</w:t>
      </w:r>
      <w:r w:rsidR="00206AB3">
        <w:t xml:space="preserve"> under general anaesthesia</w:t>
      </w:r>
      <w:r>
        <w:t xml:space="preserve"> (see Figure 1). </w:t>
      </w:r>
    </w:p>
    <w:p w14:paraId="21A13BB2" w14:textId="037615AD" w:rsidR="0069573C" w:rsidRDefault="0069573C" w:rsidP="00FE2AA7">
      <w:pPr>
        <w:pStyle w:val="Bullet1"/>
      </w:pPr>
      <w:r>
        <w:t xml:space="preserve">Average recovery time </w:t>
      </w:r>
      <w:r w:rsidR="00D517F2">
        <w:t xml:space="preserve">was </w:t>
      </w:r>
      <w:r>
        <w:t>also reduced</w:t>
      </w:r>
      <w:r w:rsidR="0004000D">
        <w:t xml:space="preserve"> by 80</w:t>
      </w:r>
      <w:r w:rsidR="00D0762E">
        <w:t> </w:t>
      </w:r>
      <w:r w:rsidR="0004000D">
        <w:t>per</w:t>
      </w:r>
      <w:r w:rsidR="00D0762E">
        <w:t> </w:t>
      </w:r>
      <w:r w:rsidR="0004000D">
        <w:t>cent under the ambulatory model of care,</w:t>
      </w:r>
      <w:r>
        <w:t xml:space="preserve"> </w:t>
      </w:r>
      <w:r w:rsidR="0004000D">
        <w:t xml:space="preserve">decreasing from </w:t>
      </w:r>
      <w:r>
        <w:t>two hours and 41 minutes to 32 minutes (see Figure 1).</w:t>
      </w:r>
    </w:p>
    <w:p w14:paraId="0052A64F" w14:textId="4FC03230" w:rsidR="0045181E" w:rsidRDefault="0069573C" w:rsidP="00FE2AA7">
      <w:pPr>
        <w:pStyle w:val="Bullet1"/>
      </w:pPr>
      <w:r>
        <w:t xml:space="preserve">While the ambulatory hysteroscopy </w:t>
      </w:r>
      <w:r w:rsidR="006D512D">
        <w:t xml:space="preserve">took 12 minutes longer than </w:t>
      </w:r>
      <w:r>
        <w:t xml:space="preserve">surgical hysteroscopy to </w:t>
      </w:r>
      <w:r w:rsidR="006D512D">
        <w:t>allow for administration of local anaesthetic and equipment set up</w:t>
      </w:r>
      <w:r>
        <w:t xml:space="preserve">, the </w:t>
      </w:r>
      <w:r w:rsidR="006D512D">
        <w:t>data suggest</w:t>
      </w:r>
      <w:r>
        <w:t>ed</w:t>
      </w:r>
      <w:r w:rsidR="006D512D">
        <w:t xml:space="preserve"> this </w:t>
      </w:r>
      <w:r>
        <w:t xml:space="preserve">led </w:t>
      </w:r>
      <w:r w:rsidR="006D512D">
        <w:t>to significant benefits</w:t>
      </w:r>
      <w:r w:rsidR="00DE5729">
        <w:t xml:space="preserve">, reducing patients’ </w:t>
      </w:r>
      <w:r w:rsidR="006D512D">
        <w:t>pain and anxiety during the procedure</w:t>
      </w:r>
      <w:r w:rsidR="00726A30">
        <w:t xml:space="preserve">, improving </w:t>
      </w:r>
      <w:r w:rsidR="00DE5729">
        <w:t xml:space="preserve">their </w:t>
      </w:r>
      <w:r w:rsidR="00726A30">
        <w:t>experience</w:t>
      </w:r>
      <w:r w:rsidR="00D517F2">
        <w:t>,</w:t>
      </w:r>
      <w:r w:rsidR="00726A30">
        <w:t xml:space="preserve"> and contributing to shorter recovery and LOS times</w:t>
      </w:r>
      <w:r w:rsidR="00D46C51">
        <w:t xml:space="preserve"> (see Figure 1)</w:t>
      </w:r>
      <w:r w:rsidR="00726A30">
        <w:t xml:space="preserve">. </w:t>
      </w:r>
      <w:r w:rsidR="0045181E">
        <w:t>Due to the low number of patients</w:t>
      </w:r>
      <w:r w:rsidR="00DE5729">
        <w:t xml:space="preserve"> over the project period</w:t>
      </w:r>
      <w:r w:rsidR="0045181E">
        <w:t xml:space="preserve">, there was insufficient data to allow for a similar </w:t>
      </w:r>
      <w:r w:rsidR="00DE5729">
        <w:t xml:space="preserve">treatment time </w:t>
      </w:r>
      <w:r w:rsidR="0045181E">
        <w:t xml:space="preserve">evaluation of </w:t>
      </w:r>
      <w:r w:rsidR="00DE5729" w:rsidRPr="00DE5729">
        <w:t>the early pregnancy loss service</w:t>
      </w:r>
      <w:r w:rsidR="0045181E">
        <w:t>.</w:t>
      </w:r>
    </w:p>
    <w:p w14:paraId="115C21DF" w14:textId="757B890E" w:rsidR="00C25BFD" w:rsidRDefault="00C25BFD" w:rsidP="00FE2AA7">
      <w:pPr>
        <w:pStyle w:val="Bullet1"/>
      </w:pPr>
      <w:r>
        <w:t>Given neither ambulatory service involved the use of general anaesthetic, the associated risks for patients were eliminated</w:t>
      </w:r>
      <w:r w:rsidRPr="00C25BFD">
        <w:t>.</w:t>
      </w:r>
      <w:r>
        <w:t xml:space="preserve"> </w:t>
      </w:r>
      <w:r w:rsidR="006546BD">
        <w:t xml:space="preserve">While </w:t>
      </w:r>
      <w:r w:rsidR="00124436">
        <w:t xml:space="preserve">local anaesthetic can </w:t>
      </w:r>
      <w:r w:rsidR="00DE5729">
        <w:t xml:space="preserve">lead to </w:t>
      </w:r>
      <w:r w:rsidR="00124436">
        <w:t xml:space="preserve">adverse effects, </w:t>
      </w:r>
      <w:r w:rsidR="00DE5729">
        <w:t xml:space="preserve">these are </w:t>
      </w:r>
      <w:r w:rsidR="00124436">
        <w:t>very uncommon</w:t>
      </w:r>
      <w:r w:rsidR="00302ED9">
        <w:t>,</w:t>
      </w:r>
      <w:r w:rsidR="00124436">
        <w:t xml:space="preserve"> and no </w:t>
      </w:r>
      <w:r w:rsidR="00302ED9">
        <w:t xml:space="preserve">incidents </w:t>
      </w:r>
      <w:r w:rsidR="00D90923">
        <w:t xml:space="preserve">were reported </w:t>
      </w:r>
      <w:r w:rsidR="00124436">
        <w:t xml:space="preserve">during the project.  </w:t>
      </w:r>
    </w:p>
    <w:p w14:paraId="696BDF04" w14:textId="7E27CBA7" w:rsidR="00307D13" w:rsidRDefault="0045181E" w:rsidP="00FE2AA7">
      <w:pPr>
        <w:pStyle w:val="Bullet1"/>
      </w:pPr>
      <w:r>
        <w:t xml:space="preserve">More than 80 per cent of patients for both services </w:t>
      </w:r>
      <w:r w:rsidR="00307D13" w:rsidRPr="00307D13">
        <w:t xml:space="preserve">indicated </w:t>
      </w:r>
      <w:r>
        <w:t xml:space="preserve">their treatment was </w:t>
      </w:r>
      <w:r w:rsidR="00307D13" w:rsidRPr="00307D13">
        <w:t>acceptable</w:t>
      </w:r>
      <w:r w:rsidR="00275726">
        <w:t>, with the remainder rating the procedure as neither acceptable nor unacceptable</w:t>
      </w:r>
      <w:r>
        <w:t xml:space="preserve">. </w:t>
      </w:r>
      <w:r w:rsidR="00307D13">
        <w:t xml:space="preserve">No patient found </w:t>
      </w:r>
      <w:r w:rsidR="00275726">
        <w:t xml:space="preserve">either </w:t>
      </w:r>
      <w:r w:rsidR="00307D13">
        <w:t>procedure unacceptable</w:t>
      </w:r>
      <w:r w:rsidR="00275726">
        <w:t xml:space="preserve">, </w:t>
      </w:r>
      <w:r w:rsidR="00BD3B1C">
        <w:t>although pain levels for patients who underwent the e</w:t>
      </w:r>
      <w:r w:rsidR="00BD3B1C" w:rsidRPr="00181390">
        <w:t xml:space="preserve">arly </w:t>
      </w:r>
      <w:r w:rsidR="00BD3B1C">
        <w:t>p</w:t>
      </w:r>
      <w:r w:rsidR="00BD3B1C" w:rsidRPr="00181390">
        <w:t xml:space="preserve">regnancy </w:t>
      </w:r>
      <w:r w:rsidR="00BD3B1C">
        <w:t>l</w:t>
      </w:r>
      <w:r w:rsidR="00BD3B1C" w:rsidRPr="00181390">
        <w:t xml:space="preserve">oss </w:t>
      </w:r>
      <w:r w:rsidR="00BD3B1C">
        <w:t xml:space="preserve">treatment were </w:t>
      </w:r>
      <w:r w:rsidR="00BD3B1C" w:rsidRPr="00181390">
        <w:t>higher than expected</w:t>
      </w:r>
      <w:r w:rsidR="00BD3B1C">
        <w:t xml:space="preserve"> </w:t>
      </w:r>
      <w:r w:rsidR="00BD3B1C" w:rsidRPr="00181390">
        <w:t>(5</w:t>
      </w:r>
      <w:r w:rsidR="00BD3B1C">
        <w:t>–</w:t>
      </w:r>
      <w:r w:rsidR="00BD3B1C" w:rsidRPr="00181390">
        <w:t>10</w:t>
      </w:r>
      <w:r w:rsidR="00BD3B1C">
        <w:t xml:space="preserve"> out of </w:t>
      </w:r>
      <w:r w:rsidR="00BD3B1C" w:rsidRPr="00181390">
        <w:t>10)</w:t>
      </w:r>
      <w:r w:rsidR="00BD3B1C">
        <w:t>.</w:t>
      </w:r>
      <w:r w:rsidR="00275726">
        <w:t xml:space="preserve"> </w:t>
      </w:r>
      <w:r>
        <w:t xml:space="preserve">86 per cent of </w:t>
      </w:r>
      <w:r w:rsidR="00275726">
        <w:t xml:space="preserve">ambulatory hysteroscopy </w:t>
      </w:r>
      <w:r>
        <w:t xml:space="preserve">patients said they would recommend the treatment option to another person. </w:t>
      </w:r>
    </w:p>
    <w:p w14:paraId="19343136" w14:textId="77777777" w:rsidR="0045181E" w:rsidRDefault="0045181E" w:rsidP="0045181E">
      <w:pPr>
        <w:pStyle w:val="Bullet1"/>
      </w:pPr>
      <w:r>
        <w:t>All patients referred to the ambulatory model of care were seen within 21 days, regardless of their treatment surgery category. By comparison, the average wait for a procedure under general anaesthesia was 80 days.</w:t>
      </w:r>
    </w:p>
    <w:p w14:paraId="6ABA8D88" w14:textId="6099CFC9" w:rsidR="0045181E" w:rsidRDefault="00BD3B1C" w:rsidP="00FE2AA7">
      <w:pPr>
        <w:pStyle w:val="Bullet1"/>
      </w:pPr>
      <w:r>
        <w:t xml:space="preserve">Patient referrals to the ambulatory clinic </w:t>
      </w:r>
      <w:r w:rsidR="0045181E">
        <w:t xml:space="preserve">corresponded with an overall </w:t>
      </w:r>
      <w:r w:rsidR="0045181E" w:rsidRPr="005076C1">
        <w:t xml:space="preserve">reduction in the number of patients on the surgical </w:t>
      </w:r>
      <w:r w:rsidR="0045181E">
        <w:t xml:space="preserve">wait </w:t>
      </w:r>
      <w:r w:rsidR="0045181E" w:rsidRPr="005076C1">
        <w:t>list</w:t>
      </w:r>
      <w:r w:rsidR="0045181E">
        <w:t>, allowing resources</w:t>
      </w:r>
      <w:r>
        <w:t xml:space="preserve"> such as operating </w:t>
      </w:r>
      <w:r w:rsidR="0045181E">
        <w:t>theatre</w:t>
      </w:r>
      <w:r>
        <w:t xml:space="preserve">s </w:t>
      </w:r>
      <w:r w:rsidR="0045181E">
        <w:t xml:space="preserve">and surgical and recovery beds to be </w:t>
      </w:r>
      <w:r>
        <w:t xml:space="preserve">used by </w:t>
      </w:r>
      <w:r w:rsidR="0045181E">
        <w:t>other patients.</w:t>
      </w:r>
    </w:p>
    <w:p w14:paraId="4516D978" w14:textId="77777777" w:rsidR="00D517F2" w:rsidRDefault="00D517F2" w:rsidP="00FE2AA7">
      <w:pPr>
        <w:pStyle w:val="Bullet1"/>
        <w:sectPr w:rsidR="00D517F2" w:rsidSect="00EF04B5">
          <w:pgSz w:w="11906" w:h="16838" w:code="9"/>
          <w:pgMar w:top="2438" w:right="737" w:bottom="680" w:left="737" w:header="539" w:footer="624" w:gutter="0"/>
          <w:cols w:num="2" w:space="284"/>
          <w:docGrid w:linePitch="360"/>
        </w:sectPr>
      </w:pPr>
    </w:p>
    <w:p w14:paraId="4557C0DD" w14:textId="5AB77DF2" w:rsidR="00307D13" w:rsidRDefault="00BD3B1C" w:rsidP="002266A9">
      <w:pPr>
        <w:pStyle w:val="Bullet1"/>
      </w:pPr>
      <w:r>
        <w:lastRenderedPageBreak/>
        <w:t xml:space="preserve">The early pregnancy loss service was estimated to offer </w:t>
      </w:r>
      <w:r w:rsidR="00515F79">
        <w:t xml:space="preserve">treatment </w:t>
      </w:r>
      <w:r>
        <w:t xml:space="preserve">cost savings </w:t>
      </w:r>
      <w:r w:rsidR="00515F79">
        <w:t xml:space="preserve">of </w:t>
      </w:r>
      <w:r w:rsidR="0045181E">
        <w:t xml:space="preserve">more than </w:t>
      </w:r>
      <w:r w:rsidR="00D90923">
        <w:t>$1,700 per patient</w:t>
      </w:r>
      <w:r>
        <w:t xml:space="preserve">. The ambulatory hysteroscopy service was also estimated to save </w:t>
      </w:r>
      <w:r w:rsidR="00D90923">
        <w:t>more than $1,800 per patient.</w:t>
      </w:r>
    </w:p>
    <w:p w14:paraId="16DFDB2B" w14:textId="77777777" w:rsidR="00F26CD4" w:rsidRDefault="00D517F2" w:rsidP="00D517F2">
      <w:pPr>
        <w:pStyle w:val="Quote"/>
      </w:pPr>
      <w:r>
        <w:t>‘</w:t>
      </w:r>
      <w:r w:rsidRPr="00F15590">
        <w:t>Only minimal pain. Nowhere near what I was expecting. And was well informed before and during and after the procedure.</w:t>
      </w:r>
      <w:r>
        <w:t>’</w:t>
      </w:r>
    </w:p>
    <w:p w14:paraId="0CB47F49" w14:textId="0684272F" w:rsidR="00D517F2" w:rsidRPr="00D517F2" w:rsidRDefault="00D517F2" w:rsidP="00D517F2">
      <w:pPr>
        <w:pStyle w:val="Quote"/>
        <w:rPr>
          <w:b/>
          <w:bCs/>
        </w:rPr>
      </w:pPr>
      <w:r w:rsidRPr="00D517F2">
        <w:rPr>
          <w:b/>
          <w:bCs/>
        </w:rPr>
        <w:t>– Ambulatory hysteroscopy service patient</w:t>
      </w:r>
    </w:p>
    <w:p w14:paraId="7507262E" w14:textId="5441252D" w:rsidR="00EF04B5" w:rsidRPr="00DB29B4" w:rsidRDefault="00EF04B5" w:rsidP="00EF04B5">
      <w:pPr>
        <w:pStyle w:val="Quote"/>
      </w:pPr>
      <w:r w:rsidRPr="00DB29B4">
        <w:t xml:space="preserve"> ‘The treatment option is not for everyone but the benefits outweigh the risks and recovery [is] quicker.’ </w:t>
      </w:r>
    </w:p>
    <w:p w14:paraId="39EDDB69" w14:textId="0F252E1F" w:rsidR="00EF04B5" w:rsidRPr="00EF04B5" w:rsidRDefault="00EF04B5" w:rsidP="00EF04B5">
      <w:pPr>
        <w:pStyle w:val="Quote"/>
      </w:pPr>
      <w:r w:rsidRPr="00AC2CDD">
        <w:rPr>
          <w:b/>
          <w:bCs/>
        </w:rPr>
        <w:t>–</w:t>
      </w:r>
      <w:r>
        <w:rPr>
          <w:b/>
          <w:bCs/>
        </w:rPr>
        <w:t xml:space="preserve"> E</w:t>
      </w:r>
      <w:r w:rsidRPr="00AC2CDD">
        <w:rPr>
          <w:b/>
          <w:bCs/>
        </w:rPr>
        <w:t xml:space="preserve">arly pregnancy loss </w:t>
      </w:r>
      <w:r>
        <w:rPr>
          <w:b/>
          <w:bCs/>
        </w:rPr>
        <w:t xml:space="preserve">service </w:t>
      </w:r>
      <w:r w:rsidRPr="00AC2CDD">
        <w:rPr>
          <w:b/>
          <w:bCs/>
        </w:rPr>
        <w:t>patient</w:t>
      </w:r>
    </w:p>
    <w:p w14:paraId="2485892E" w14:textId="3631735C" w:rsidR="00435805" w:rsidRDefault="00435805" w:rsidP="00D517F2">
      <w:pPr>
        <w:pStyle w:val="Heading2"/>
      </w:pPr>
      <w:r>
        <w:t>Key learnings</w:t>
      </w:r>
    </w:p>
    <w:p w14:paraId="1DF2492F" w14:textId="0FF0EAC4" w:rsidR="00C17664" w:rsidRPr="00C17664" w:rsidRDefault="00F5431F" w:rsidP="00445208">
      <w:pPr>
        <w:pStyle w:val="Bullet1"/>
      </w:pPr>
      <w:r w:rsidRPr="00ED1148">
        <w:rPr>
          <w:b/>
          <w:bCs/>
        </w:rPr>
        <w:t xml:space="preserve">Early </w:t>
      </w:r>
      <w:r w:rsidR="00670F0B" w:rsidRPr="00ED1148">
        <w:rPr>
          <w:b/>
          <w:bCs/>
        </w:rPr>
        <w:t xml:space="preserve">and ongoing </w:t>
      </w:r>
      <w:r w:rsidRPr="00ED1148">
        <w:rPr>
          <w:b/>
          <w:bCs/>
        </w:rPr>
        <w:t xml:space="preserve">monitoring </w:t>
      </w:r>
      <w:r w:rsidR="00670F0B" w:rsidRPr="00ED1148">
        <w:rPr>
          <w:b/>
          <w:bCs/>
        </w:rPr>
        <w:t>is critical to ensuring the service is meeting patient needs</w:t>
      </w:r>
      <w:r w:rsidR="00ED1148">
        <w:rPr>
          <w:b/>
          <w:bCs/>
        </w:rPr>
        <w:t xml:space="preserve"> – </w:t>
      </w:r>
      <w:r w:rsidR="00961176" w:rsidRPr="00961176">
        <w:t>W</w:t>
      </w:r>
      <w:r w:rsidR="00B209E4">
        <w:t xml:space="preserve">hile </w:t>
      </w:r>
      <w:r w:rsidR="00C17664">
        <w:t xml:space="preserve">patients of the </w:t>
      </w:r>
      <w:r w:rsidR="00B209E4">
        <w:t xml:space="preserve">early pregnancy loss service </w:t>
      </w:r>
      <w:r w:rsidR="00B209E4" w:rsidRPr="00B209E4">
        <w:t xml:space="preserve">reported that the procedure was </w:t>
      </w:r>
      <w:r w:rsidR="00B209E4">
        <w:t>acceptable</w:t>
      </w:r>
      <w:r w:rsidR="00B209E4" w:rsidRPr="00B209E4">
        <w:t xml:space="preserve">, on follow up, </w:t>
      </w:r>
      <w:r w:rsidR="00F751C2">
        <w:t xml:space="preserve">it was discovered that </w:t>
      </w:r>
      <w:r w:rsidR="00C17664">
        <w:t xml:space="preserve">they </w:t>
      </w:r>
      <w:r w:rsidR="00523662">
        <w:t xml:space="preserve">were experiencing </w:t>
      </w:r>
      <w:r w:rsidR="00F751C2">
        <w:t xml:space="preserve">higher levels of pain </w:t>
      </w:r>
      <w:r w:rsidR="00523662">
        <w:t xml:space="preserve">than </w:t>
      </w:r>
      <w:r w:rsidR="00F751C2">
        <w:t>expected</w:t>
      </w:r>
      <w:r w:rsidR="00523662">
        <w:t xml:space="preserve">. </w:t>
      </w:r>
      <w:r w:rsidR="000151AB">
        <w:t xml:space="preserve">This was </w:t>
      </w:r>
      <w:r w:rsidR="00670F0B">
        <w:t xml:space="preserve">likely </w:t>
      </w:r>
      <w:r w:rsidR="00297365">
        <w:t xml:space="preserve">due to the </w:t>
      </w:r>
      <w:r w:rsidR="00670F0B">
        <w:t xml:space="preserve">use </w:t>
      </w:r>
      <w:r w:rsidR="00297365">
        <w:t>of a non-opiate</w:t>
      </w:r>
      <w:r w:rsidR="00670F0B">
        <w:t>-based</w:t>
      </w:r>
      <w:r w:rsidR="00297365">
        <w:t xml:space="preserve"> approach to analgesia, which differed from the original regime implemented </w:t>
      </w:r>
      <w:r w:rsidR="00523662">
        <w:t>international</w:t>
      </w:r>
      <w:r w:rsidR="00297365">
        <w:t>ly</w:t>
      </w:r>
      <w:r w:rsidR="00523662">
        <w:t xml:space="preserve">. </w:t>
      </w:r>
      <w:r w:rsidR="00C17664">
        <w:t xml:space="preserve">Peninsula Health paused the service temporarily and conducted a review, </w:t>
      </w:r>
      <w:r w:rsidR="000151AB">
        <w:t xml:space="preserve">after which </w:t>
      </w:r>
      <w:r w:rsidR="00670F0B">
        <w:t xml:space="preserve">it </w:t>
      </w:r>
      <w:r w:rsidR="00C17664">
        <w:t>revise</w:t>
      </w:r>
      <w:r w:rsidR="000151AB">
        <w:t>d</w:t>
      </w:r>
      <w:r w:rsidR="00C17664">
        <w:t xml:space="preserve"> the </w:t>
      </w:r>
      <w:r w:rsidR="00F751C2">
        <w:t xml:space="preserve">service’s clinical guidelines to </w:t>
      </w:r>
      <w:r w:rsidR="00C17664">
        <w:t>incorporate</w:t>
      </w:r>
      <w:r w:rsidR="00405D20">
        <w:t xml:space="preserve"> the use of </w:t>
      </w:r>
      <w:r w:rsidR="00F751C2">
        <w:t>sedative agents and opioid drugs</w:t>
      </w:r>
      <w:r w:rsidR="000151AB">
        <w:t>. S</w:t>
      </w:r>
      <w:r w:rsidR="00523662">
        <w:t xml:space="preserve">taff education and training </w:t>
      </w:r>
      <w:r w:rsidR="000151AB">
        <w:t xml:space="preserve">was developed </w:t>
      </w:r>
      <w:r w:rsidR="00523662">
        <w:t>to support the clinical amendments</w:t>
      </w:r>
      <w:r w:rsidR="00F751C2">
        <w:t>.</w:t>
      </w:r>
      <w:r w:rsidR="00C17664" w:rsidRPr="00C17664">
        <w:t xml:space="preserve"> </w:t>
      </w:r>
    </w:p>
    <w:p w14:paraId="23904EC6" w14:textId="3090C1FA" w:rsidR="00844FE3" w:rsidRDefault="00670F0B" w:rsidP="00BD34AF">
      <w:pPr>
        <w:pStyle w:val="Bullet1"/>
      </w:pPr>
      <w:r w:rsidRPr="00ED1148">
        <w:rPr>
          <w:b/>
          <w:bCs/>
        </w:rPr>
        <w:t>Industry proved invaluable in the development of the ambulatory services</w:t>
      </w:r>
      <w:r w:rsidR="00ED1148">
        <w:rPr>
          <w:b/>
          <w:bCs/>
        </w:rPr>
        <w:t xml:space="preserve"> </w:t>
      </w:r>
      <w:r w:rsidR="00ED1148" w:rsidRPr="00ED1148">
        <w:t xml:space="preserve">– </w:t>
      </w:r>
      <w:r>
        <w:t xml:space="preserve">Peninsula Health </w:t>
      </w:r>
      <w:r w:rsidR="00ED1148">
        <w:t xml:space="preserve">benefitted </w:t>
      </w:r>
      <w:r>
        <w:t xml:space="preserve">greatly from the training and support provided by technology and medical equipment suppliers. </w:t>
      </w:r>
    </w:p>
    <w:p w14:paraId="5FEFFBAC" w14:textId="02D40694" w:rsidR="00BD34AF" w:rsidRPr="00BD34AF" w:rsidRDefault="00844FE3" w:rsidP="00BD34AF">
      <w:pPr>
        <w:pStyle w:val="Bullet1"/>
      </w:pPr>
      <w:r>
        <w:br w:type="column"/>
      </w:r>
      <w:r w:rsidR="00BD34AF" w:rsidRPr="00ED1148">
        <w:rPr>
          <w:b/>
          <w:bCs/>
        </w:rPr>
        <w:t xml:space="preserve">Process mapping </w:t>
      </w:r>
      <w:r w:rsidR="00F10E22" w:rsidRPr="00ED1148">
        <w:rPr>
          <w:b/>
          <w:bCs/>
        </w:rPr>
        <w:t xml:space="preserve">of both ambulatory services </w:t>
      </w:r>
      <w:r w:rsidR="00BD34AF" w:rsidRPr="00ED1148">
        <w:rPr>
          <w:b/>
          <w:bCs/>
        </w:rPr>
        <w:t>was one of the most useful exercises undertaken</w:t>
      </w:r>
      <w:r w:rsidR="00ED1148">
        <w:rPr>
          <w:b/>
          <w:bCs/>
        </w:rPr>
        <w:t xml:space="preserve"> </w:t>
      </w:r>
      <w:r w:rsidR="00ED1148" w:rsidRPr="00ED1148">
        <w:t>–</w:t>
      </w:r>
      <w:r w:rsidR="00C17664" w:rsidRPr="00ED1148">
        <w:t xml:space="preserve"> </w:t>
      </w:r>
      <w:r w:rsidR="00961176">
        <w:t>T</w:t>
      </w:r>
      <w:r w:rsidR="00ED1148" w:rsidRPr="00ED1148">
        <w:t xml:space="preserve">his </w:t>
      </w:r>
      <w:r w:rsidR="00ED1148">
        <w:t xml:space="preserve">process allowed </w:t>
      </w:r>
      <w:r w:rsidR="00BD34AF" w:rsidRPr="00BD34AF">
        <w:t xml:space="preserve">all stakeholders </w:t>
      </w:r>
      <w:r>
        <w:t xml:space="preserve">to engage </w:t>
      </w:r>
      <w:r w:rsidR="00BD34AF" w:rsidRPr="00BD34AF">
        <w:t xml:space="preserve">in </w:t>
      </w:r>
      <w:r w:rsidR="00670F0B">
        <w:t xml:space="preserve">project </w:t>
      </w:r>
      <w:r w:rsidR="00BD34AF" w:rsidRPr="00BD34AF">
        <w:t>planning and implementation and offer joint solutions to identified issues.</w:t>
      </w:r>
      <w:r w:rsidR="00F10E22">
        <w:t xml:space="preserve"> </w:t>
      </w:r>
      <w:r w:rsidR="00ED1148">
        <w:rPr>
          <w:rFonts w:eastAsiaTheme="minorEastAsia"/>
        </w:rPr>
        <w:t xml:space="preserve">It </w:t>
      </w:r>
      <w:r w:rsidR="00F10E22" w:rsidRPr="00844FE3">
        <w:rPr>
          <w:rFonts w:eastAsiaTheme="minorEastAsia"/>
        </w:rPr>
        <w:t>also highlighted IT system management and health-reporting requirements.</w:t>
      </w:r>
    </w:p>
    <w:p w14:paraId="2987CC6A" w14:textId="5E341906" w:rsidR="00DB1288" w:rsidRDefault="00ED1148" w:rsidP="00DB1288">
      <w:pPr>
        <w:pStyle w:val="Bullet1"/>
      </w:pPr>
      <w:r w:rsidRPr="00ED1148">
        <w:rPr>
          <w:b/>
          <w:bCs/>
        </w:rPr>
        <w:t xml:space="preserve">A purpose-built space for ambulatory procedures </w:t>
      </w:r>
      <w:r w:rsidR="006363A5">
        <w:rPr>
          <w:b/>
          <w:bCs/>
        </w:rPr>
        <w:t xml:space="preserve">is ideal </w:t>
      </w:r>
      <w:r w:rsidRPr="00ED1148">
        <w:rPr>
          <w:b/>
          <w:bCs/>
        </w:rPr>
        <w:t>–</w:t>
      </w:r>
      <w:r>
        <w:t xml:space="preserve"> </w:t>
      </w:r>
      <w:r w:rsidR="00961176">
        <w:t>T</w:t>
      </w:r>
      <w:r w:rsidR="00DB1288">
        <w:t xml:space="preserve">he </w:t>
      </w:r>
      <w:r w:rsidR="0098748D">
        <w:t xml:space="preserve">growth of the </w:t>
      </w:r>
      <w:r w:rsidR="00DB1288">
        <w:t xml:space="preserve">ambulatory </w:t>
      </w:r>
      <w:r w:rsidR="00405D20">
        <w:t xml:space="preserve">clinic was limited </w:t>
      </w:r>
      <w:r w:rsidR="00DB1288">
        <w:t xml:space="preserve">as the procedure space </w:t>
      </w:r>
      <w:r w:rsidR="00405D20">
        <w:t xml:space="preserve">was </w:t>
      </w:r>
      <w:r w:rsidR="00DB1288">
        <w:t>shared with other services.</w:t>
      </w:r>
      <w:r>
        <w:t xml:space="preserve"> A purpose-built space </w:t>
      </w:r>
      <w:r w:rsidR="006363A5" w:rsidRPr="006363A5">
        <w:t>would increase efficiency, financial viability and enhance the patient experience</w:t>
      </w:r>
      <w:r w:rsidR="006363A5">
        <w:t xml:space="preserve">. This option </w:t>
      </w:r>
      <w:r w:rsidR="0098748D">
        <w:t>is being considered by Peninsula Health</w:t>
      </w:r>
      <w:r w:rsidR="00405D20">
        <w:t xml:space="preserve"> for the services’ future</w:t>
      </w:r>
      <w:r w:rsidR="00DB1288" w:rsidRPr="00BD34AF">
        <w:t>.</w:t>
      </w:r>
    </w:p>
    <w:p w14:paraId="386D0753" w14:textId="68101A76" w:rsidR="00670F0B" w:rsidRPr="00BD34AF" w:rsidRDefault="006363A5" w:rsidP="00670F0B">
      <w:pPr>
        <w:pStyle w:val="Bullet1"/>
      </w:pPr>
      <w:r w:rsidRPr="006363A5">
        <w:rPr>
          <w:b/>
          <w:bCs/>
        </w:rPr>
        <w:t>Nursing hours may need to be adjusted –</w:t>
      </w:r>
      <w:r>
        <w:t xml:space="preserve"> </w:t>
      </w:r>
      <w:r w:rsidR="00670F0B">
        <w:t xml:space="preserve">Planned nursing hours had to be increased from 16 hours per week to 40 hours per week for both services to allow for the extra time taken to set up and pack down the procedure room, admit and recover patients to allow for better patient flow, and for triaging and following up results. </w:t>
      </w:r>
    </w:p>
    <w:p w14:paraId="53B16CC1" w14:textId="123BA0B3" w:rsidR="00435805" w:rsidRDefault="006363A5" w:rsidP="00BD34AF">
      <w:pPr>
        <w:pStyle w:val="Bullet1"/>
      </w:pPr>
      <w:r w:rsidRPr="006363A5">
        <w:rPr>
          <w:b/>
          <w:bCs/>
        </w:rPr>
        <w:t>The services depend on referrals –</w:t>
      </w:r>
      <w:r>
        <w:t xml:space="preserve"> </w:t>
      </w:r>
      <w:r w:rsidR="00961176">
        <w:t>T</w:t>
      </w:r>
      <w:r w:rsidR="00670F0B" w:rsidRPr="00670F0B">
        <w:t xml:space="preserve">he success of the </w:t>
      </w:r>
      <w:r w:rsidR="00670F0B">
        <w:t xml:space="preserve">ambulatory services is dependent </w:t>
      </w:r>
      <w:r w:rsidR="00670F0B" w:rsidRPr="00670F0B">
        <w:t xml:space="preserve">on continued </w:t>
      </w:r>
      <w:r w:rsidR="00670F0B">
        <w:t xml:space="preserve">patient </w:t>
      </w:r>
      <w:r w:rsidR="00670F0B" w:rsidRPr="00670F0B">
        <w:t>referral</w:t>
      </w:r>
      <w:r w:rsidR="00670F0B">
        <w:t>s</w:t>
      </w:r>
      <w:r w:rsidR="00670F0B" w:rsidRPr="00670F0B">
        <w:t xml:space="preserve"> by external gynaecologists</w:t>
      </w:r>
      <w:r w:rsidR="00670F0B">
        <w:t xml:space="preserve">. Recognising this, Peninsula Health is exploring </w:t>
      </w:r>
      <w:r w:rsidR="00405D20">
        <w:t xml:space="preserve">the acceptance of </w:t>
      </w:r>
      <w:r w:rsidR="00670F0B" w:rsidRPr="00670F0B">
        <w:t xml:space="preserve">direct referrals from </w:t>
      </w:r>
      <w:r w:rsidR="00670F0B">
        <w:t xml:space="preserve">general practitioners to </w:t>
      </w:r>
      <w:r w:rsidR="00670F0B" w:rsidRPr="00670F0B">
        <w:t xml:space="preserve">open up the service </w:t>
      </w:r>
      <w:r w:rsidR="00405D20">
        <w:t xml:space="preserve">to more </w:t>
      </w:r>
      <w:r w:rsidR="00670F0B">
        <w:t>patient</w:t>
      </w:r>
      <w:r w:rsidR="00405D20">
        <w:t>s</w:t>
      </w:r>
      <w:r w:rsidR="00670F0B" w:rsidRPr="00670F0B">
        <w:t>.</w:t>
      </w:r>
    </w:p>
    <w:sectPr w:rsidR="00435805" w:rsidSect="00D517F2">
      <w:footerReference w:type="default" r:id="rId12"/>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3898E" w14:textId="77777777" w:rsidR="002C1734" w:rsidRDefault="002C1734" w:rsidP="002D711A">
      <w:pPr>
        <w:spacing w:after="0" w:line="240" w:lineRule="auto"/>
      </w:pPr>
      <w:r>
        <w:separator/>
      </w:r>
    </w:p>
  </w:endnote>
  <w:endnote w:type="continuationSeparator" w:id="0">
    <w:p w14:paraId="44FCEF35" w14:textId="77777777" w:rsidR="002C1734" w:rsidRDefault="002C1734"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442182" w:rsidRPr="00736C0C" w14:paraId="74FB32AF" w14:textId="77777777" w:rsidTr="000F2A2C">
      <w:trPr>
        <w:trHeight w:val="1531"/>
      </w:trPr>
      <w:tc>
        <w:tcPr>
          <w:tcW w:w="3515" w:type="dxa"/>
          <w:tcMar>
            <w:left w:w="113" w:type="dxa"/>
          </w:tcMar>
        </w:tcPr>
        <w:p w14:paraId="1C47117C" w14:textId="649393BA" w:rsidR="00442182" w:rsidRPr="00911408" w:rsidRDefault="00442182" w:rsidP="00442182">
          <w:pPr>
            <w:spacing w:line="235" w:lineRule="auto"/>
            <w:rPr>
              <w:sz w:val="24"/>
              <w:szCs w:val="24"/>
            </w:rPr>
          </w:pPr>
          <w:r w:rsidRPr="00911408">
            <w:rPr>
              <w:sz w:val="24"/>
              <w:szCs w:val="24"/>
            </w:rPr>
            <w:t>To receive this publication in an accessible format phone</w:t>
          </w:r>
          <w:r w:rsidR="00911408">
            <w:rPr>
              <w:sz w:val="24"/>
              <w:szCs w:val="24"/>
            </w:rPr>
            <w:t xml:space="preserve"> (</w:t>
          </w:r>
          <w:r w:rsidR="00911408" w:rsidRPr="00911408">
            <w:rPr>
              <w:sz w:val="24"/>
              <w:szCs w:val="24"/>
            </w:rPr>
            <w:t>03</w:t>
          </w:r>
          <w:r w:rsidR="00911408">
            <w:rPr>
              <w:sz w:val="24"/>
              <w:szCs w:val="24"/>
            </w:rPr>
            <w:t>)</w:t>
          </w:r>
          <w:r w:rsidR="00911408" w:rsidRPr="00911408">
            <w:rPr>
              <w:sz w:val="24"/>
              <w:szCs w:val="24"/>
            </w:rPr>
            <w:t xml:space="preserve"> 9096</w:t>
          </w:r>
          <w:r w:rsidR="005B5F0B">
            <w:t xml:space="preserve"> </w:t>
          </w:r>
          <w:r w:rsidR="005B5F0B"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005B5F0B" w:rsidRPr="00A131B1">
              <w:rPr>
                <w:rStyle w:val="Hyperlink"/>
                <w:b/>
                <w:bCs/>
                <w:sz w:val="24"/>
                <w:szCs w:val="24"/>
              </w:rPr>
              <w:t>info</w:t>
            </w:r>
            <w:r w:rsidRPr="00A131B1">
              <w:rPr>
                <w:rStyle w:val="Hyperlink"/>
                <w:b/>
                <w:sz w:val="24"/>
                <w:szCs w:val="24"/>
              </w:rPr>
              <w:t>@safercare.vic.gov.au</w:t>
            </w:r>
          </w:hyperlink>
        </w:p>
      </w:tc>
      <w:tc>
        <w:tcPr>
          <w:tcW w:w="3402" w:type="dxa"/>
        </w:tcPr>
        <w:p w14:paraId="6D7675E5" w14:textId="45EDE8CA" w:rsidR="00442182" w:rsidRPr="00911408" w:rsidRDefault="00442182" w:rsidP="00442182">
          <w:pPr>
            <w:spacing w:line="230" w:lineRule="auto"/>
            <w:rPr>
              <w:sz w:val="18"/>
              <w:szCs w:val="18"/>
            </w:rPr>
          </w:pPr>
          <w:r w:rsidRPr="00911408">
            <w:rPr>
              <w:sz w:val="18"/>
              <w:szCs w:val="18"/>
            </w:rPr>
            <w:t>Authorised and published by the Victorian Government, 1 Treasury Place, Melbourne.</w:t>
          </w:r>
        </w:p>
        <w:p w14:paraId="7495C6B4" w14:textId="6E74D99A" w:rsidR="00442182" w:rsidRPr="00911408" w:rsidRDefault="00442182" w:rsidP="00442182">
          <w:pPr>
            <w:spacing w:line="230" w:lineRule="auto"/>
            <w:rPr>
              <w:sz w:val="18"/>
              <w:szCs w:val="18"/>
            </w:rPr>
          </w:pPr>
          <w:r w:rsidRPr="00911408">
            <w:rPr>
              <w:sz w:val="18"/>
              <w:szCs w:val="18"/>
            </w:rPr>
            <w:t xml:space="preserve">© State of Victoria, Australia, Safer Care Victoria, </w:t>
          </w:r>
          <w:r w:rsidR="002A5F50">
            <w:rPr>
              <w:sz w:val="18"/>
              <w:szCs w:val="18"/>
            </w:rPr>
            <w:t>September</w:t>
          </w:r>
          <w:r w:rsidR="00911408">
            <w:rPr>
              <w:sz w:val="18"/>
              <w:szCs w:val="18"/>
            </w:rPr>
            <w:t xml:space="preserve"> 2020</w:t>
          </w:r>
        </w:p>
        <w:p w14:paraId="30F4D29D" w14:textId="77777777" w:rsidR="00442182" w:rsidRPr="00CE61C3" w:rsidRDefault="00442182" w:rsidP="00442182">
          <w:pPr>
            <w:spacing w:line="230" w:lineRule="auto"/>
            <w:rPr>
              <w:color w:val="FF0000"/>
              <w:sz w:val="18"/>
              <w:szCs w:val="18"/>
            </w:rPr>
          </w:pPr>
          <w:r w:rsidRPr="00CE61C3">
            <w:rPr>
              <w:color w:val="FF0000"/>
              <w:sz w:val="18"/>
              <w:szCs w:val="18"/>
              <w:highlight w:val="yellow"/>
            </w:rPr>
            <w:t>ISBN/ISSN number (online/print)</w:t>
          </w:r>
        </w:p>
        <w:p w14:paraId="06F94A07" w14:textId="1D4C6D41" w:rsidR="00442182" w:rsidRDefault="00442182" w:rsidP="00442182">
          <w:pPr>
            <w:spacing w:line="230" w:lineRule="auto"/>
            <w:rPr>
              <w:sz w:val="18"/>
              <w:szCs w:val="18"/>
            </w:rPr>
          </w:pPr>
          <w:r w:rsidRPr="00911408">
            <w:rPr>
              <w:sz w:val="18"/>
              <w:szCs w:val="18"/>
            </w:rPr>
            <w:t xml:space="preserve">Available at </w:t>
          </w:r>
          <w:hyperlink r:id="rId2" w:history="1">
            <w:r w:rsidR="00911408" w:rsidRPr="00F52379">
              <w:rPr>
                <w:rStyle w:val="Hyperlink"/>
                <w:sz w:val="18"/>
                <w:szCs w:val="18"/>
              </w:rPr>
              <w:t>safercare.vic.gov.au</w:t>
            </w:r>
          </w:hyperlink>
        </w:p>
        <w:p w14:paraId="3B40A82D" w14:textId="5308783B" w:rsidR="00911408" w:rsidRPr="007A4444" w:rsidRDefault="00911408" w:rsidP="00442182">
          <w:pPr>
            <w:spacing w:line="230" w:lineRule="auto"/>
            <w:rPr>
              <w:sz w:val="13"/>
              <w:szCs w:val="13"/>
            </w:rPr>
          </w:pPr>
        </w:p>
      </w:tc>
      <w:tc>
        <w:tcPr>
          <w:tcW w:w="3515" w:type="dxa"/>
        </w:tcPr>
        <w:p w14:paraId="3A80A9B4" w14:textId="25DDFB9E" w:rsidR="00442182" w:rsidRPr="00736C0C" w:rsidRDefault="00442182" w:rsidP="000905F7">
          <w:pPr>
            <w:rPr>
              <w:szCs w:val="15"/>
            </w:rPr>
          </w:pPr>
          <w:r>
            <w:rPr>
              <w:noProof/>
              <w:szCs w:val="15"/>
            </w:rPr>
            <w:drawing>
              <wp:inline distT="0" distB="0" distL="0" distR="0" wp14:anchorId="5CB2EA93" wp14:editId="41A59989">
                <wp:extent cx="1967488" cy="510541"/>
                <wp:effectExtent l="0" t="0" r="0" b="3810"/>
                <wp:docPr id="5" name="Picture 5"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63D44AAC" w14:textId="77777777" w:rsidR="000905F7" w:rsidRDefault="000905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64426" w14:textId="77777777" w:rsidR="00F80A39" w:rsidRDefault="00F80A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SCVInformationTable"/>
      <w:tblpPr w:leftFromText="181" w:rightFromText="181" w:vertAnchor="page" w:horzAnchor="page" w:tblpX="738" w:tblpY="14289"/>
      <w:tblW w:w="10432" w:type="dxa"/>
      <w:shd w:val="clear" w:color="auto" w:fill="F2F2F3"/>
      <w:tblLook w:val="0600" w:firstRow="0" w:lastRow="0" w:firstColumn="0" w:lastColumn="0" w:noHBand="1" w:noVBand="1"/>
    </w:tblPr>
    <w:tblGrid>
      <w:gridCol w:w="3515"/>
      <w:gridCol w:w="3402"/>
      <w:gridCol w:w="3515"/>
    </w:tblGrid>
    <w:tr w:rsidR="00C821CE" w:rsidRPr="00736C0C" w14:paraId="600019E9" w14:textId="77777777" w:rsidTr="00126727">
      <w:trPr>
        <w:trHeight w:val="1531"/>
      </w:trPr>
      <w:tc>
        <w:tcPr>
          <w:tcW w:w="3515" w:type="dxa"/>
          <w:tcMar>
            <w:left w:w="113" w:type="dxa"/>
          </w:tcMar>
        </w:tcPr>
        <w:p w14:paraId="6ABDDD2C" w14:textId="77777777" w:rsidR="00C821CE" w:rsidRPr="00911408" w:rsidRDefault="00C821CE" w:rsidP="0043317F">
          <w:pPr>
            <w:spacing w:line="235" w:lineRule="auto"/>
            <w:rPr>
              <w:sz w:val="24"/>
              <w:szCs w:val="24"/>
            </w:rPr>
          </w:pPr>
          <w:r w:rsidRPr="00911408">
            <w:rPr>
              <w:sz w:val="24"/>
              <w:szCs w:val="24"/>
            </w:rPr>
            <w:t>To receive this publication in an accessible format phone</w:t>
          </w:r>
          <w:r>
            <w:rPr>
              <w:sz w:val="24"/>
              <w:szCs w:val="24"/>
            </w:rPr>
            <w:t xml:space="preserve"> (</w:t>
          </w:r>
          <w:r w:rsidRPr="00911408">
            <w:rPr>
              <w:sz w:val="24"/>
              <w:szCs w:val="24"/>
            </w:rPr>
            <w:t>03</w:t>
          </w:r>
          <w:r>
            <w:rPr>
              <w:sz w:val="24"/>
              <w:szCs w:val="24"/>
            </w:rPr>
            <w:t>)</w:t>
          </w:r>
          <w:r w:rsidRPr="00911408">
            <w:rPr>
              <w:sz w:val="24"/>
              <w:szCs w:val="24"/>
            </w:rPr>
            <w:t xml:space="preserve"> 9096</w:t>
          </w:r>
          <w:r>
            <w:t xml:space="preserve"> </w:t>
          </w:r>
          <w:r w:rsidRPr="005B5F0B">
            <w:rPr>
              <w:sz w:val="24"/>
              <w:szCs w:val="24"/>
            </w:rPr>
            <w:t>1384</w:t>
          </w:r>
          <w:r w:rsidRPr="00911408">
            <w:rPr>
              <w:sz w:val="24"/>
              <w:szCs w:val="24"/>
            </w:rPr>
            <w:t xml:space="preserve">, using the National Relay Service </w:t>
          </w:r>
          <w:r w:rsidRPr="00911408">
            <w:rPr>
              <w:sz w:val="24"/>
              <w:szCs w:val="24"/>
            </w:rPr>
            <w:br/>
            <w:t xml:space="preserve">13 36 77 if required, or email </w:t>
          </w:r>
          <w:hyperlink r:id="rId1" w:history="1">
            <w:r w:rsidRPr="00A131B1">
              <w:rPr>
                <w:rStyle w:val="Hyperlink"/>
                <w:b/>
                <w:bCs/>
                <w:sz w:val="24"/>
                <w:szCs w:val="24"/>
              </w:rPr>
              <w:t>info</w:t>
            </w:r>
            <w:r w:rsidRPr="00A131B1">
              <w:rPr>
                <w:rStyle w:val="Hyperlink"/>
                <w:b/>
                <w:sz w:val="24"/>
                <w:szCs w:val="24"/>
              </w:rPr>
              <w:t>@safercare.vic.gov.au</w:t>
            </w:r>
          </w:hyperlink>
        </w:p>
      </w:tc>
      <w:tc>
        <w:tcPr>
          <w:tcW w:w="3402" w:type="dxa"/>
        </w:tcPr>
        <w:p w14:paraId="10DACBD6" w14:textId="77777777" w:rsidR="00C821CE" w:rsidRPr="00911408" w:rsidRDefault="00C821CE" w:rsidP="0043317F">
          <w:pPr>
            <w:spacing w:line="230" w:lineRule="auto"/>
            <w:rPr>
              <w:sz w:val="18"/>
              <w:szCs w:val="18"/>
            </w:rPr>
          </w:pPr>
          <w:r w:rsidRPr="00911408">
            <w:rPr>
              <w:sz w:val="18"/>
              <w:szCs w:val="18"/>
            </w:rPr>
            <w:t>Authorised and published by the Victorian Government, 1 Treasury Place, Melbourne.</w:t>
          </w:r>
        </w:p>
        <w:p w14:paraId="34CA84F8" w14:textId="3421A770" w:rsidR="00C821CE" w:rsidRPr="00911408" w:rsidRDefault="00C821CE" w:rsidP="0043317F">
          <w:pPr>
            <w:spacing w:line="230" w:lineRule="auto"/>
            <w:rPr>
              <w:sz w:val="18"/>
              <w:szCs w:val="18"/>
            </w:rPr>
          </w:pPr>
          <w:r w:rsidRPr="00911408">
            <w:rPr>
              <w:sz w:val="18"/>
              <w:szCs w:val="18"/>
            </w:rPr>
            <w:t xml:space="preserve">© State of Victoria, Australia, Safer Care Victoria, </w:t>
          </w:r>
          <w:r w:rsidR="00D0762E">
            <w:rPr>
              <w:sz w:val="18"/>
              <w:szCs w:val="18"/>
            </w:rPr>
            <w:t xml:space="preserve">November </w:t>
          </w:r>
          <w:r>
            <w:rPr>
              <w:sz w:val="18"/>
              <w:szCs w:val="18"/>
            </w:rPr>
            <w:t>2020</w:t>
          </w:r>
        </w:p>
        <w:p w14:paraId="585BE8B9" w14:textId="4CE034B5" w:rsidR="00C821CE" w:rsidRPr="00D0762E" w:rsidRDefault="00D0762E" w:rsidP="0043317F">
          <w:pPr>
            <w:spacing w:line="230" w:lineRule="auto"/>
            <w:rPr>
              <w:color w:val="000000" w:themeColor="text1"/>
              <w:sz w:val="18"/>
              <w:szCs w:val="18"/>
            </w:rPr>
          </w:pPr>
          <w:r w:rsidRPr="00D0762E">
            <w:rPr>
              <w:color w:val="000000" w:themeColor="text1"/>
              <w:sz w:val="18"/>
              <w:szCs w:val="18"/>
            </w:rPr>
            <w:t>ISBN 978-1-76096-279-1 (pdf/online/MS word)</w:t>
          </w:r>
        </w:p>
        <w:p w14:paraId="5090B2B9" w14:textId="3DEC44E7" w:rsidR="00C821CE" w:rsidRPr="007A4444" w:rsidRDefault="00C821CE" w:rsidP="00D0762E">
          <w:pPr>
            <w:spacing w:line="230" w:lineRule="auto"/>
            <w:rPr>
              <w:sz w:val="13"/>
              <w:szCs w:val="13"/>
            </w:rPr>
          </w:pPr>
          <w:r w:rsidRPr="00911408">
            <w:rPr>
              <w:sz w:val="18"/>
              <w:szCs w:val="18"/>
            </w:rPr>
            <w:t xml:space="preserve">Available at </w:t>
          </w:r>
          <w:hyperlink r:id="rId2" w:history="1">
            <w:r w:rsidRPr="00F52379">
              <w:rPr>
                <w:rStyle w:val="Hyperlink"/>
                <w:sz w:val="18"/>
                <w:szCs w:val="18"/>
              </w:rPr>
              <w:t>safercare.vic.gov.au</w:t>
            </w:r>
          </w:hyperlink>
          <w:r w:rsidR="00D0762E">
            <w:rPr>
              <w:rStyle w:val="Hyperlink"/>
              <w:sz w:val="18"/>
              <w:szCs w:val="18"/>
            </w:rPr>
            <w:br/>
          </w:r>
        </w:p>
      </w:tc>
      <w:tc>
        <w:tcPr>
          <w:tcW w:w="3515" w:type="dxa"/>
        </w:tcPr>
        <w:p w14:paraId="5A25321B" w14:textId="77777777" w:rsidR="00C821CE" w:rsidRPr="00736C0C" w:rsidRDefault="00C821CE" w:rsidP="0043317F">
          <w:pPr>
            <w:rPr>
              <w:szCs w:val="15"/>
            </w:rPr>
          </w:pPr>
          <w:r>
            <w:rPr>
              <w:noProof/>
              <w:szCs w:val="15"/>
            </w:rPr>
            <w:drawing>
              <wp:inline distT="0" distB="0" distL="0" distR="0" wp14:anchorId="2FF70F3B" wp14:editId="341025C6">
                <wp:extent cx="1967488" cy="510541"/>
                <wp:effectExtent l="0" t="0" r="0" b="3810"/>
                <wp:docPr id="24" name="Picture 24" descr="Safer Care Victoria and Victoria State Government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isclaimer logos.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7488" cy="510541"/>
                        </a:xfrm>
                        <a:prstGeom prst="rect">
                          <a:avLst/>
                        </a:prstGeom>
                      </pic:spPr>
                    </pic:pic>
                  </a:graphicData>
                </a:graphic>
              </wp:inline>
            </w:drawing>
          </w:r>
        </w:p>
      </w:tc>
    </w:tr>
  </w:tbl>
  <w:p w14:paraId="7EEEF341" w14:textId="77777777" w:rsidR="00C821CE" w:rsidRDefault="00C82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AE81E" w14:textId="77777777" w:rsidR="002C1734" w:rsidRDefault="002C1734" w:rsidP="00E33E08">
      <w:pPr>
        <w:spacing w:before="0" w:after="0" w:line="240" w:lineRule="auto"/>
      </w:pPr>
    </w:p>
  </w:footnote>
  <w:footnote w:type="continuationSeparator" w:id="0">
    <w:p w14:paraId="282D6075" w14:textId="77777777" w:rsidR="002C1734" w:rsidRDefault="002C1734"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53DC0" w14:textId="77777777" w:rsidR="000905F7" w:rsidRDefault="00794CB7">
    <w:pPr>
      <w:pStyle w:val="Header"/>
    </w:pPr>
    <w:r>
      <w:rPr>
        <w:noProof/>
      </w:rPr>
      <w:drawing>
        <wp:anchor distT="0" distB="0" distL="114300" distR="114300" simplePos="0" relativeHeight="251659264" behindDoc="1" locked="0" layoutInCell="1" allowOverlap="1" wp14:anchorId="1E265C5D" wp14:editId="744056DE">
          <wp:simplePos x="0" y="0"/>
          <wp:positionH relativeFrom="page">
            <wp:posOffset>0</wp:posOffset>
          </wp:positionH>
          <wp:positionV relativeFrom="page">
            <wp:posOffset>0</wp:posOffset>
          </wp:positionV>
          <wp:extent cx="2127600" cy="1202400"/>
          <wp:effectExtent l="0" t="0" r="0" b="0"/>
          <wp:wrapNone/>
          <wp:docPr id="7" name="Picture 7" descr="Better Car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ge 1.png"/>
                  <pic:cNvPicPr/>
                </pic:nvPicPr>
                <pic:blipFill>
                  <a:blip r:embed="rId1">
                    <a:extLst>
                      <a:ext uri="{28A0092B-C50C-407E-A947-70E740481C1C}">
                        <a14:useLocalDpi xmlns:a14="http://schemas.microsoft.com/office/drawing/2010/main" val="0"/>
                      </a:ext>
                    </a:extLst>
                  </a:blip>
                  <a:stretch>
                    <a:fillRect/>
                  </a:stretch>
                </pic:blipFill>
                <pic:spPr>
                  <a:xfrm>
                    <a:off x="0" y="0"/>
                    <a:ext cx="2127600" cy="120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E962EC02"/>
    <w:lvl w:ilvl="0">
      <w:start w:val="1"/>
      <w:numFmt w:val="bullet"/>
      <w:pStyle w:val="Bullet1"/>
      <w:lvlText w:val=""/>
      <w:lvlJc w:val="left"/>
      <w:pPr>
        <w:ind w:left="284" w:hanging="284"/>
      </w:pPr>
      <w:rPr>
        <w:rFonts w:ascii="Wingdings 2" w:hAnsi="Wingdings 2" w:hint="default"/>
        <w:color w:val="FAB662"/>
        <w:position w:val="0"/>
        <w:sz w:val="20"/>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5"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4"/>
  </w:num>
  <w:num w:numId="3">
    <w:abstractNumId w:val="4"/>
  </w:num>
  <w:num w:numId="4">
    <w:abstractNumId w:val="6"/>
  </w:num>
  <w:num w:numId="5">
    <w:abstractNumId w:val="0"/>
  </w:num>
  <w:num w:numId="6">
    <w:abstractNumId w:val="3"/>
  </w:num>
  <w:num w:numId="7">
    <w:abstractNumId w:val="5"/>
  </w:num>
  <w:num w:numId="8">
    <w:abstractNumId w:val="2"/>
  </w:num>
  <w:num w:numId="9">
    <w:abstractNumId w:val="2"/>
  </w:num>
  <w:num w:numId="10">
    <w:abstractNumId w:val="1"/>
  </w:num>
  <w:num w:numId="11">
    <w:abstractNumId w:val="2"/>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47"/>
    <w:rsid w:val="000065D3"/>
    <w:rsid w:val="00012F6F"/>
    <w:rsid w:val="00014213"/>
    <w:rsid w:val="00014B55"/>
    <w:rsid w:val="000151AB"/>
    <w:rsid w:val="00020E3E"/>
    <w:rsid w:val="00023457"/>
    <w:rsid w:val="00023BF3"/>
    <w:rsid w:val="00026811"/>
    <w:rsid w:val="00027C6F"/>
    <w:rsid w:val="00036F7D"/>
    <w:rsid w:val="0004000D"/>
    <w:rsid w:val="0004185E"/>
    <w:rsid w:val="0004375A"/>
    <w:rsid w:val="00053181"/>
    <w:rsid w:val="00053680"/>
    <w:rsid w:val="00056988"/>
    <w:rsid w:val="00060D97"/>
    <w:rsid w:val="000635B8"/>
    <w:rsid w:val="00071F51"/>
    <w:rsid w:val="00072279"/>
    <w:rsid w:val="00073407"/>
    <w:rsid w:val="000758DE"/>
    <w:rsid w:val="00075E6C"/>
    <w:rsid w:val="00081C12"/>
    <w:rsid w:val="00087D42"/>
    <w:rsid w:val="000905F7"/>
    <w:rsid w:val="000A2E21"/>
    <w:rsid w:val="000A6653"/>
    <w:rsid w:val="000B29AD"/>
    <w:rsid w:val="000B31EC"/>
    <w:rsid w:val="000C406A"/>
    <w:rsid w:val="000C515F"/>
    <w:rsid w:val="000C6372"/>
    <w:rsid w:val="000D7841"/>
    <w:rsid w:val="000E392D"/>
    <w:rsid w:val="000E39B6"/>
    <w:rsid w:val="000E3D05"/>
    <w:rsid w:val="000F2A2C"/>
    <w:rsid w:val="000F4288"/>
    <w:rsid w:val="000F7165"/>
    <w:rsid w:val="00102379"/>
    <w:rsid w:val="00103722"/>
    <w:rsid w:val="001065D6"/>
    <w:rsid w:val="001068D5"/>
    <w:rsid w:val="00113A30"/>
    <w:rsid w:val="00121252"/>
    <w:rsid w:val="00121488"/>
    <w:rsid w:val="00124436"/>
    <w:rsid w:val="00124609"/>
    <w:rsid w:val="001254CE"/>
    <w:rsid w:val="001334EE"/>
    <w:rsid w:val="0013637A"/>
    <w:rsid w:val="001422CC"/>
    <w:rsid w:val="00144B86"/>
    <w:rsid w:val="00145346"/>
    <w:rsid w:val="001617B6"/>
    <w:rsid w:val="00165E66"/>
    <w:rsid w:val="00181390"/>
    <w:rsid w:val="00185761"/>
    <w:rsid w:val="00186B39"/>
    <w:rsid w:val="0019391C"/>
    <w:rsid w:val="00196143"/>
    <w:rsid w:val="001A24FC"/>
    <w:rsid w:val="001C6080"/>
    <w:rsid w:val="001C60B2"/>
    <w:rsid w:val="001C6993"/>
    <w:rsid w:val="001C7BAE"/>
    <w:rsid w:val="001E31FA"/>
    <w:rsid w:val="001E48F9"/>
    <w:rsid w:val="001E64F6"/>
    <w:rsid w:val="001E7AEB"/>
    <w:rsid w:val="00204B82"/>
    <w:rsid w:val="00206AB3"/>
    <w:rsid w:val="0021266E"/>
    <w:rsid w:val="00222BEB"/>
    <w:rsid w:val="00225E60"/>
    <w:rsid w:val="002266A9"/>
    <w:rsid w:val="00230494"/>
    <w:rsid w:val="00230BBB"/>
    <w:rsid w:val="0023202C"/>
    <w:rsid w:val="00234619"/>
    <w:rsid w:val="00235BE2"/>
    <w:rsid w:val="00245043"/>
    <w:rsid w:val="002521D2"/>
    <w:rsid w:val="0026028E"/>
    <w:rsid w:val="00262C17"/>
    <w:rsid w:val="00273139"/>
    <w:rsid w:val="00273AF5"/>
    <w:rsid w:val="00275726"/>
    <w:rsid w:val="00284FA2"/>
    <w:rsid w:val="00292D36"/>
    <w:rsid w:val="00294A5A"/>
    <w:rsid w:val="00297281"/>
    <w:rsid w:val="00297365"/>
    <w:rsid w:val="00297A47"/>
    <w:rsid w:val="00297DC3"/>
    <w:rsid w:val="002A5891"/>
    <w:rsid w:val="002A5F50"/>
    <w:rsid w:val="002B03F1"/>
    <w:rsid w:val="002B5C34"/>
    <w:rsid w:val="002B5E2B"/>
    <w:rsid w:val="002B6DAA"/>
    <w:rsid w:val="002C1734"/>
    <w:rsid w:val="002C338A"/>
    <w:rsid w:val="002D70F7"/>
    <w:rsid w:val="002D711A"/>
    <w:rsid w:val="002D7336"/>
    <w:rsid w:val="002D7DEB"/>
    <w:rsid w:val="002E3396"/>
    <w:rsid w:val="002E6454"/>
    <w:rsid w:val="002F0482"/>
    <w:rsid w:val="002F2953"/>
    <w:rsid w:val="002F4E84"/>
    <w:rsid w:val="002F5412"/>
    <w:rsid w:val="00302ED9"/>
    <w:rsid w:val="00307D13"/>
    <w:rsid w:val="0031149C"/>
    <w:rsid w:val="003120F1"/>
    <w:rsid w:val="0033105E"/>
    <w:rsid w:val="00332D4F"/>
    <w:rsid w:val="003347B2"/>
    <w:rsid w:val="00342A90"/>
    <w:rsid w:val="00343F2E"/>
    <w:rsid w:val="00351A6D"/>
    <w:rsid w:val="003525AC"/>
    <w:rsid w:val="0036778F"/>
    <w:rsid w:val="00383FEC"/>
    <w:rsid w:val="0038771C"/>
    <w:rsid w:val="00392E3A"/>
    <w:rsid w:val="003A430B"/>
    <w:rsid w:val="003A5356"/>
    <w:rsid w:val="003A541A"/>
    <w:rsid w:val="003A6923"/>
    <w:rsid w:val="003B4A5A"/>
    <w:rsid w:val="003C2C67"/>
    <w:rsid w:val="003C2D4C"/>
    <w:rsid w:val="003C3B3A"/>
    <w:rsid w:val="003C5BA4"/>
    <w:rsid w:val="003E3E26"/>
    <w:rsid w:val="003F1295"/>
    <w:rsid w:val="003F20D7"/>
    <w:rsid w:val="003F5102"/>
    <w:rsid w:val="003F76FC"/>
    <w:rsid w:val="004002EB"/>
    <w:rsid w:val="00405D20"/>
    <w:rsid w:val="00407A79"/>
    <w:rsid w:val="00414713"/>
    <w:rsid w:val="00422DDC"/>
    <w:rsid w:val="004231B5"/>
    <w:rsid w:val="004236C8"/>
    <w:rsid w:val="00426B65"/>
    <w:rsid w:val="00427681"/>
    <w:rsid w:val="0043317F"/>
    <w:rsid w:val="00433DB7"/>
    <w:rsid w:val="00435805"/>
    <w:rsid w:val="00442182"/>
    <w:rsid w:val="00445208"/>
    <w:rsid w:val="00445CBD"/>
    <w:rsid w:val="0045181E"/>
    <w:rsid w:val="0045347E"/>
    <w:rsid w:val="00453750"/>
    <w:rsid w:val="00456941"/>
    <w:rsid w:val="00460BD5"/>
    <w:rsid w:val="004702EA"/>
    <w:rsid w:val="0048259C"/>
    <w:rsid w:val="00482D02"/>
    <w:rsid w:val="00484326"/>
    <w:rsid w:val="00490369"/>
    <w:rsid w:val="004A4ED0"/>
    <w:rsid w:val="004A7519"/>
    <w:rsid w:val="004B3857"/>
    <w:rsid w:val="004B55CE"/>
    <w:rsid w:val="004B64B1"/>
    <w:rsid w:val="004D01AC"/>
    <w:rsid w:val="004D3518"/>
    <w:rsid w:val="004D62D6"/>
    <w:rsid w:val="004D6898"/>
    <w:rsid w:val="004F3F4E"/>
    <w:rsid w:val="005076C1"/>
    <w:rsid w:val="00510167"/>
    <w:rsid w:val="0051383D"/>
    <w:rsid w:val="00513E86"/>
    <w:rsid w:val="00515F79"/>
    <w:rsid w:val="00523662"/>
    <w:rsid w:val="005306A2"/>
    <w:rsid w:val="0053416C"/>
    <w:rsid w:val="00541C2F"/>
    <w:rsid w:val="00552DE4"/>
    <w:rsid w:val="00555D37"/>
    <w:rsid w:val="00562DB5"/>
    <w:rsid w:val="00563527"/>
    <w:rsid w:val="00567B8B"/>
    <w:rsid w:val="0057407A"/>
    <w:rsid w:val="0058124E"/>
    <w:rsid w:val="0058180C"/>
    <w:rsid w:val="005875A3"/>
    <w:rsid w:val="005953EA"/>
    <w:rsid w:val="00596F30"/>
    <w:rsid w:val="005A3416"/>
    <w:rsid w:val="005A47B3"/>
    <w:rsid w:val="005B061F"/>
    <w:rsid w:val="005B27FE"/>
    <w:rsid w:val="005B327A"/>
    <w:rsid w:val="005B5F0B"/>
    <w:rsid w:val="005B76DF"/>
    <w:rsid w:val="005B79CB"/>
    <w:rsid w:val="005C0B1A"/>
    <w:rsid w:val="005D5CD0"/>
    <w:rsid w:val="005E08D7"/>
    <w:rsid w:val="005E3096"/>
    <w:rsid w:val="005E4C16"/>
    <w:rsid w:val="005E5947"/>
    <w:rsid w:val="005E7F43"/>
    <w:rsid w:val="005F61DF"/>
    <w:rsid w:val="0060163A"/>
    <w:rsid w:val="006023F9"/>
    <w:rsid w:val="00610559"/>
    <w:rsid w:val="00614076"/>
    <w:rsid w:val="00614CD5"/>
    <w:rsid w:val="00632F2E"/>
    <w:rsid w:val="006332F6"/>
    <w:rsid w:val="006363A5"/>
    <w:rsid w:val="006413F2"/>
    <w:rsid w:val="00642B0C"/>
    <w:rsid w:val="0064349F"/>
    <w:rsid w:val="0064598D"/>
    <w:rsid w:val="006534B2"/>
    <w:rsid w:val="006546BD"/>
    <w:rsid w:val="0065615D"/>
    <w:rsid w:val="00657011"/>
    <w:rsid w:val="006650B5"/>
    <w:rsid w:val="006651B1"/>
    <w:rsid w:val="00665778"/>
    <w:rsid w:val="00670F0B"/>
    <w:rsid w:val="00671012"/>
    <w:rsid w:val="0067152D"/>
    <w:rsid w:val="006747F2"/>
    <w:rsid w:val="00675C32"/>
    <w:rsid w:val="00676E5F"/>
    <w:rsid w:val="00680577"/>
    <w:rsid w:val="00686230"/>
    <w:rsid w:val="006945CA"/>
    <w:rsid w:val="0069573C"/>
    <w:rsid w:val="006A3309"/>
    <w:rsid w:val="006A3A5A"/>
    <w:rsid w:val="006A45D1"/>
    <w:rsid w:val="006A5B34"/>
    <w:rsid w:val="006B2A76"/>
    <w:rsid w:val="006B2E71"/>
    <w:rsid w:val="006C77A9"/>
    <w:rsid w:val="006D2F37"/>
    <w:rsid w:val="006D4720"/>
    <w:rsid w:val="006D512D"/>
    <w:rsid w:val="006E09D6"/>
    <w:rsid w:val="006E6CDF"/>
    <w:rsid w:val="006F37F2"/>
    <w:rsid w:val="006F6693"/>
    <w:rsid w:val="006F7437"/>
    <w:rsid w:val="006F75DD"/>
    <w:rsid w:val="00707FE8"/>
    <w:rsid w:val="00714AAE"/>
    <w:rsid w:val="007162C2"/>
    <w:rsid w:val="007232D2"/>
    <w:rsid w:val="00724962"/>
    <w:rsid w:val="00724A0F"/>
    <w:rsid w:val="00725358"/>
    <w:rsid w:val="00726A30"/>
    <w:rsid w:val="00726D2F"/>
    <w:rsid w:val="007352D2"/>
    <w:rsid w:val="00736732"/>
    <w:rsid w:val="0073685D"/>
    <w:rsid w:val="00737AAC"/>
    <w:rsid w:val="00740019"/>
    <w:rsid w:val="00746426"/>
    <w:rsid w:val="0074751A"/>
    <w:rsid w:val="00750BF9"/>
    <w:rsid w:val="00750CBE"/>
    <w:rsid w:val="0075165D"/>
    <w:rsid w:val="007650D2"/>
    <w:rsid w:val="00765DD5"/>
    <w:rsid w:val="00766B5A"/>
    <w:rsid w:val="00772209"/>
    <w:rsid w:val="007770A5"/>
    <w:rsid w:val="007834F2"/>
    <w:rsid w:val="00791020"/>
    <w:rsid w:val="00794356"/>
    <w:rsid w:val="00794CB7"/>
    <w:rsid w:val="007A04D2"/>
    <w:rsid w:val="007A2124"/>
    <w:rsid w:val="007A4444"/>
    <w:rsid w:val="007A5F82"/>
    <w:rsid w:val="007B5863"/>
    <w:rsid w:val="007C59C2"/>
    <w:rsid w:val="007D12E5"/>
    <w:rsid w:val="007D4A1E"/>
    <w:rsid w:val="007D5F9E"/>
    <w:rsid w:val="007E098F"/>
    <w:rsid w:val="007E3BA2"/>
    <w:rsid w:val="007E44C2"/>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44FE3"/>
    <w:rsid w:val="00847BE1"/>
    <w:rsid w:val="00855FF9"/>
    <w:rsid w:val="0086277A"/>
    <w:rsid w:val="00862814"/>
    <w:rsid w:val="008668A8"/>
    <w:rsid w:val="008703D8"/>
    <w:rsid w:val="008717BC"/>
    <w:rsid w:val="008768AD"/>
    <w:rsid w:val="00880AC4"/>
    <w:rsid w:val="00893E52"/>
    <w:rsid w:val="0089644D"/>
    <w:rsid w:val="00897157"/>
    <w:rsid w:val="00897447"/>
    <w:rsid w:val="008A3E0F"/>
    <w:rsid w:val="008A4900"/>
    <w:rsid w:val="008A55FE"/>
    <w:rsid w:val="008A58D2"/>
    <w:rsid w:val="008A5A03"/>
    <w:rsid w:val="008B146D"/>
    <w:rsid w:val="008B42AD"/>
    <w:rsid w:val="008B5666"/>
    <w:rsid w:val="008C2C15"/>
    <w:rsid w:val="008C3F1E"/>
    <w:rsid w:val="008D0281"/>
    <w:rsid w:val="008E04FD"/>
    <w:rsid w:val="008E2348"/>
    <w:rsid w:val="008E4BF6"/>
    <w:rsid w:val="008F38F7"/>
    <w:rsid w:val="008F6D45"/>
    <w:rsid w:val="00911408"/>
    <w:rsid w:val="00916AD5"/>
    <w:rsid w:val="00922944"/>
    <w:rsid w:val="00936479"/>
    <w:rsid w:val="00937A10"/>
    <w:rsid w:val="00953A2C"/>
    <w:rsid w:val="00961176"/>
    <w:rsid w:val="00966115"/>
    <w:rsid w:val="009711D9"/>
    <w:rsid w:val="009834C0"/>
    <w:rsid w:val="00983983"/>
    <w:rsid w:val="00986AAC"/>
    <w:rsid w:val="00986EC9"/>
    <w:rsid w:val="0098748D"/>
    <w:rsid w:val="00991C00"/>
    <w:rsid w:val="00995526"/>
    <w:rsid w:val="00996E62"/>
    <w:rsid w:val="009A1DA2"/>
    <w:rsid w:val="009A1F55"/>
    <w:rsid w:val="009A3704"/>
    <w:rsid w:val="009A4739"/>
    <w:rsid w:val="009A674F"/>
    <w:rsid w:val="009A6D22"/>
    <w:rsid w:val="009A7FCC"/>
    <w:rsid w:val="009B08D5"/>
    <w:rsid w:val="009B199C"/>
    <w:rsid w:val="009B1BBA"/>
    <w:rsid w:val="009B61F1"/>
    <w:rsid w:val="009B62E0"/>
    <w:rsid w:val="009C3D88"/>
    <w:rsid w:val="009E0D59"/>
    <w:rsid w:val="009E1651"/>
    <w:rsid w:val="009E3858"/>
    <w:rsid w:val="009E467D"/>
    <w:rsid w:val="009E5E60"/>
    <w:rsid w:val="009E6A5A"/>
    <w:rsid w:val="009E70DD"/>
    <w:rsid w:val="009F2ED9"/>
    <w:rsid w:val="009F3231"/>
    <w:rsid w:val="009F5C58"/>
    <w:rsid w:val="00A023A0"/>
    <w:rsid w:val="00A05EBC"/>
    <w:rsid w:val="00A131B1"/>
    <w:rsid w:val="00A1562B"/>
    <w:rsid w:val="00A170F4"/>
    <w:rsid w:val="00A21408"/>
    <w:rsid w:val="00A2160F"/>
    <w:rsid w:val="00A21CFD"/>
    <w:rsid w:val="00A25B78"/>
    <w:rsid w:val="00A31503"/>
    <w:rsid w:val="00A46288"/>
    <w:rsid w:val="00A46BA8"/>
    <w:rsid w:val="00A47634"/>
    <w:rsid w:val="00A612FE"/>
    <w:rsid w:val="00A67B92"/>
    <w:rsid w:val="00A70B49"/>
    <w:rsid w:val="00A76651"/>
    <w:rsid w:val="00A82AA5"/>
    <w:rsid w:val="00A869C4"/>
    <w:rsid w:val="00A92D94"/>
    <w:rsid w:val="00AA26B8"/>
    <w:rsid w:val="00AC0B87"/>
    <w:rsid w:val="00AC2624"/>
    <w:rsid w:val="00AC2CDD"/>
    <w:rsid w:val="00AC32A8"/>
    <w:rsid w:val="00AC3C03"/>
    <w:rsid w:val="00AD1C7C"/>
    <w:rsid w:val="00AD3E41"/>
    <w:rsid w:val="00AD7396"/>
    <w:rsid w:val="00AD7E4E"/>
    <w:rsid w:val="00AF4D58"/>
    <w:rsid w:val="00AF4DC2"/>
    <w:rsid w:val="00AF6666"/>
    <w:rsid w:val="00AF70C6"/>
    <w:rsid w:val="00AF7BC5"/>
    <w:rsid w:val="00B000E4"/>
    <w:rsid w:val="00B074B2"/>
    <w:rsid w:val="00B1120D"/>
    <w:rsid w:val="00B209E4"/>
    <w:rsid w:val="00B32240"/>
    <w:rsid w:val="00B435FF"/>
    <w:rsid w:val="00B56A7B"/>
    <w:rsid w:val="00B81B44"/>
    <w:rsid w:val="00B9053B"/>
    <w:rsid w:val="00BA0C37"/>
    <w:rsid w:val="00BA3782"/>
    <w:rsid w:val="00BA43B6"/>
    <w:rsid w:val="00BB051B"/>
    <w:rsid w:val="00BB4D98"/>
    <w:rsid w:val="00BB4EBF"/>
    <w:rsid w:val="00BB59E0"/>
    <w:rsid w:val="00BC07DF"/>
    <w:rsid w:val="00BC3422"/>
    <w:rsid w:val="00BC6E19"/>
    <w:rsid w:val="00BD11C2"/>
    <w:rsid w:val="00BD34AF"/>
    <w:rsid w:val="00BD3B1C"/>
    <w:rsid w:val="00BD5018"/>
    <w:rsid w:val="00BE5ADC"/>
    <w:rsid w:val="00BF4F96"/>
    <w:rsid w:val="00C015B9"/>
    <w:rsid w:val="00C022F9"/>
    <w:rsid w:val="00C032EA"/>
    <w:rsid w:val="00C06EB5"/>
    <w:rsid w:val="00C1145F"/>
    <w:rsid w:val="00C11CD1"/>
    <w:rsid w:val="00C17664"/>
    <w:rsid w:val="00C25BFD"/>
    <w:rsid w:val="00C32D49"/>
    <w:rsid w:val="00C33AD3"/>
    <w:rsid w:val="00C35D53"/>
    <w:rsid w:val="00C41B3C"/>
    <w:rsid w:val="00C43F06"/>
    <w:rsid w:val="00C47999"/>
    <w:rsid w:val="00C51C01"/>
    <w:rsid w:val="00C631AC"/>
    <w:rsid w:val="00C637E1"/>
    <w:rsid w:val="00C67EAC"/>
    <w:rsid w:val="00C7098C"/>
    <w:rsid w:val="00C70D50"/>
    <w:rsid w:val="00C72252"/>
    <w:rsid w:val="00C821CE"/>
    <w:rsid w:val="00C82470"/>
    <w:rsid w:val="00C907D7"/>
    <w:rsid w:val="00C92338"/>
    <w:rsid w:val="00CA05DC"/>
    <w:rsid w:val="00CA722F"/>
    <w:rsid w:val="00CA7B47"/>
    <w:rsid w:val="00CB3976"/>
    <w:rsid w:val="00CC0347"/>
    <w:rsid w:val="00CC5010"/>
    <w:rsid w:val="00CD0307"/>
    <w:rsid w:val="00CD3C79"/>
    <w:rsid w:val="00CD3D1B"/>
    <w:rsid w:val="00CE590E"/>
    <w:rsid w:val="00CE61C3"/>
    <w:rsid w:val="00CF09FB"/>
    <w:rsid w:val="00CF59C9"/>
    <w:rsid w:val="00D02663"/>
    <w:rsid w:val="00D0633E"/>
    <w:rsid w:val="00D0762E"/>
    <w:rsid w:val="00D12E74"/>
    <w:rsid w:val="00D2312F"/>
    <w:rsid w:val="00D23B04"/>
    <w:rsid w:val="00D269C1"/>
    <w:rsid w:val="00D41230"/>
    <w:rsid w:val="00D41B2F"/>
    <w:rsid w:val="00D44953"/>
    <w:rsid w:val="00D46C51"/>
    <w:rsid w:val="00D517F2"/>
    <w:rsid w:val="00D542F3"/>
    <w:rsid w:val="00D54513"/>
    <w:rsid w:val="00D54AAE"/>
    <w:rsid w:val="00D5644B"/>
    <w:rsid w:val="00D56E25"/>
    <w:rsid w:val="00D57E89"/>
    <w:rsid w:val="00D6560D"/>
    <w:rsid w:val="00D65D77"/>
    <w:rsid w:val="00D718D7"/>
    <w:rsid w:val="00D76AD4"/>
    <w:rsid w:val="00D814B7"/>
    <w:rsid w:val="00D858A3"/>
    <w:rsid w:val="00D87418"/>
    <w:rsid w:val="00D90688"/>
    <w:rsid w:val="00D90923"/>
    <w:rsid w:val="00D9518F"/>
    <w:rsid w:val="00DA248C"/>
    <w:rsid w:val="00DA3AAD"/>
    <w:rsid w:val="00DA3F36"/>
    <w:rsid w:val="00DB1288"/>
    <w:rsid w:val="00DB29B4"/>
    <w:rsid w:val="00DB312B"/>
    <w:rsid w:val="00DC5654"/>
    <w:rsid w:val="00DC658F"/>
    <w:rsid w:val="00DC674A"/>
    <w:rsid w:val="00DD0606"/>
    <w:rsid w:val="00DD380A"/>
    <w:rsid w:val="00DD7741"/>
    <w:rsid w:val="00DE5729"/>
    <w:rsid w:val="00DE60CC"/>
    <w:rsid w:val="00DF7313"/>
    <w:rsid w:val="00E03F35"/>
    <w:rsid w:val="00E10DA9"/>
    <w:rsid w:val="00E1766A"/>
    <w:rsid w:val="00E2050B"/>
    <w:rsid w:val="00E21768"/>
    <w:rsid w:val="00E26B32"/>
    <w:rsid w:val="00E31CD4"/>
    <w:rsid w:val="00E31E60"/>
    <w:rsid w:val="00E33E08"/>
    <w:rsid w:val="00E407B6"/>
    <w:rsid w:val="00E41D82"/>
    <w:rsid w:val="00E41EF1"/>
    <w:rsid w:val="00E42942"/>
    <w:rsid w:val="00E56BC7"/>
    <w:rsid w:val="00E6148E"/>
    <w:rsid w:val="00E62670"/>
    <w:rsid w:val="00E65A0A"/>
    <w:rsid w:val="00E71BDF"/>
    <w:rsid w:val="00E75CCB"/>
    <w:rsid w:val="00E75EE6"/>
    <w:rsid w:val="00E803D1"/>
    <w:rsid w:val="00E8245B"/>
    <w:rsid w:val="00E82C21"/>
    <w:rsid w:val="00E82F59"/>
    <w:rsid w:val="00E83CA7"/>
    <w:rsid w:val="00E92192"/>
    <w:rsid w:val="00E92AE9"/>
    <w:rsid w:val="00E95A71"/>
    <w:rsid w:val="00E961FB"/>
    <w:rsid w:val="00EA41A7"/>
    <w:rsid w:val="00EB7014"/>
    <w:rsid w:val="00EC5CDE"/>
    <w:rsid w:val="00EC747F"/>
    <w:rsid w:val="00EC7B15"/>
    <w:rsid w:val="00EC7F2A"/>
    <w:rsid w:val="00ED1148"/>
    <w:rsid w:val="00ED3077"/>
    <w:rsid w:val="00ED487E"/>
    <w:rsid w:val="00ED64F1"/>
    <w:rsid w:val="00EE2ACF"/>
    <w:rsid w:val="00EE33A1"/>
    <w:rsid w:val="00EE36E6"/>
    <w:rsid w:val="00EE7A0D"/>
    <w:rsid w:val="00EF04B5"/>
    <w:rsid w:val="00EF4EB3"/>
    <w:rsid w:val="00F0222C"/>
    <w:rsid w:val="00F06647"/>
    <w:rsid w:val="00F10E22"/>
    <w:rsid w:val="00F12312"/>
    <w:rsid w:val="00F12BCD"/>
    <w:rsid w:val="00F13239"/>
    <w:rsid w:val="00F15590"/>
    <w:rsid w:val="00F17CE1"/>
    <w:rsid w:val="00F2115C"/>
    <w:rsid w:val="00F22ABA"/>
    <w:rsid w:val="00F25919"/>
    <w:rsid w:val="00F25F4B"/>
    <w:rsid w:val="00F26CD4"/>
    <w:rsid w:val="00F36B12"/>
    <w:rsid w:val="00F5252F"/>
    <w:rsid w:val="00F5431F"/>
    <w:rsid w:val="00F60F9F"/>
    <w:rsid w:val="00F61246"/>
    <w:rsid w:val="00F62C86"/>
    <w:rsid w:val="00F64F08"/>
    <w:rsid w:val="00F70055"/>
    <w:rsid w:val="00F734F5"/>
    <w:rsid w:val="00F73B5B"/>
    <w:rsid w:val="00F751C2"/>
    <w:rsid w:val="00F80A39"/>
    <w:rsid w:val="00F8536E"/>
    <w:rsid w:val="00F90EA5"/>
    <w:rsid w:val="00F91F5A"/>
    <w:rsid w:val="00F966B1"/>
    <w:rsid w:val="00F97D48"/>
    <w:rsid w:val="00FA0311"/>
    <w:rsid w:val="00FA1489"/>
    <w:rsid w:val="00FC7098"/>
    <w:rsid w:val="00FD50F0"/>
    <w:rsid w:val="00FD640F"/>
    <w:rsid w:val="00FD6B4C"/>
    <w:rsid w:val="00FE04C6"/>
    <w:rsid w:val="00FE0553"/>
    <w:rsid w:val="00FE25D0"/>
    <w:rsid w:val="00FE2AA7"/>
    <w:rsid w:val="00FE6BEB"/>
    <w:rsid w:val="00FE6CB3"/>
    <w:rsid w:val="00FF41A5"/>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4B1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63A5"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63A5"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555D37"/>
    <w:pPr>
      <w:spacing w:before="60" w:after="60" w:line="192" w:lineRule="atLeast"/>
    </w:pPr>
    <w:rPr>
      <w:rFonts w:eastAsiaTheme="minorHAnsi"/>
      <w:sz w:val="16"/>
      <w:szCs w:val="21"/>
      <w:lang w:eastAsia="en-US"/>
    </w:rPr>
    <w:tblPr>
      <w:tblStyleColBandSize w:val="1"/>
      <w:tblBorders>
        <w:top w:val="single" w:sz="2" w:space="0" w:color="4D92C0"/>
        <w:bottom w:val="single" w:sz="2" w:space="0" w:color="4D92C0"/>
        <w:insideH w:val="single" w:sz="2" w:space="0" w:color="4D92C0"/>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63A5" w:themeColor="text2"/>
        <w:sz w:val="16"/>
      </w:rPr>
      <w:tblPr/>
      <w:tcPr>
        <w:tcBorders>
          <w:top w:val="single" w:sz="2" w:space="0" w:color="CCE0ED"/>
          <w:left w:val="nil"/>
          <w:bottom w:val="single" w:sz="24" w:space="0" w:color="CCE0ED"/>
          <w:right w:val="nil"/>
          <w:insideH w:val="nil"/>
          <w:insideV w:val="nil"/>
          <w:tl2br w:val="nil"/>
          <w:tr2bl w:val="nil"/>
        </w:tcBorders>
        <w:shd w:val="clear" w:color="auto" w:fill="E6EFF6" w:themeFill="background2"/>
        <w:tcMar>
          <w:top w:w="79" w:type="dxa"/>
          <w:left w:w="113" w:type="dxa"/>
          <w:bottom w:w="79"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63A5"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pPr>
        <w:spacing w:before="0" w:after="0" w:line="240" w:lineRule="auto"/>
      </w:pPr>
      <w:rPr>
        <w:b/>
        <w:bCs/>
        <w:color w:val="FFFFFF" w:themeColor="background1"/>
      </w:rPr>
      <w:tblPr/>
      <w:tcPr>
        <w:shd w:val="clear" w:color="auto" w:fill="408ABB" w:themeFill="accent1"/>
      </w:tcPr>
    </w:tblStylePr>
    <w:tblStylePr w:type="lastRow">
      <w:pPr>
        <w:spacing w:before="0" w:after="0" w:line="240" w:lineRule="auto"/>
      </w:pPr>
      <w:rPr>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tcBorders>
      </w:tcPr>
    </w:tblStylePr>
    <w:tblStylePr w:type="firstCol">
      <w:rPr>
        <w:b/>
        <w:bCs/>
      </w:rPr>
    </w:tblStylePr>
    <w:tblStylePr w:type="lastCol">
      <w:rPr>
        <w:b/>
        <w:bCs/>
      </w:r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63A5"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63A5"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63A5" w:themeColor="text2"/>
      <w:sz w:val="24"/>
      <w:szCs w:val="26"/>
    </w:rPr>
  </w:style>
  <w:style w:type="paragraph" w:customStyle="1" w:styleId="Bullet1">
    <w:name w:val="Bullet 1"/>
    <w:uiPriority w:val="1"/>
    <w:qFormat/>
    <w:rsid w:val="00D76AD4"/>
    <w:pPr>
      <w:numPr>
        <w:numId w:val="12"/>
      </w:numPr>
      <w:spacing w:before="60" w:after="60"/>
    </w:pPr>
    <w:rPr>
      <w:rFonts w:eastAsia="Times New Roman" w:cs="Calibri"/>
      <w:spacing w:val="2"/>
    </w:rPr>
  </w:style>
  <w:style w:type="paragraph" w:customStyle="1" w:styleId="Bullet2">
    <w:name w:val="Bullet 2"/>
    <w:basedOn w:val="Bullet1"/>
    <w:uiPriority w:val="1"/>
    <w:qFormat/>
    <w:rsid w:val="00D76AD4"/>
    <w:pPr>
      <w:numPr>
        <w:ilvl w:val="1"/>
      </w:numPr>
    </w:pPr>
  </w:style>
  <w:style w:type="paragraph" w:styleId="Quote">
    <w:name w:val="Quote"/>
    <w:basedOn w:val="Normal"/>
    <w:next w:val="Normal"/>
    <w:link w:val="QuoteChar"/>
    <w:uiPriority w:val="1"/>
    <w:qFormat/>
    <w:rsid w:val="00121488"/>
    <w:pPr>
      <w:ind w:left="567" w:right="567"/>
      <w:jc w:val="center"/>
    </w:pPr>
    <w:rPr>
      <w:i/>
      <w:iCs/>
      <w:color w:val="408ABB" w:themeColor="accen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94CB7"/>
    <w:pPr>
      <w:pBdr>
        <w:top w:val="single" w:sz="24" w:space="6" w:color="CCCCD0" w:themeColor="accent6"/>
      </w:pBdr>
      <w:spacing w:before="0" w:after="1260" w:line="240" w:lineRule="auto"/>
      <w:contextualSpacing/>
    </w:pPr>
    <w:rPr>
      <w:rFonts w:asciiTheme="majorHAnsi" w:eastAsia="Times New Roman" w:hAnsiTheme="majorHAnsi" w:cstheme="majorHAnsi"/>
      <w:b/>
      <w:caps/>
      <w:color w:val="0063A5" w:themeColor="text2"/>
      <w:sz w:val="48"/>
      <w:szCs w:val="22"/>
    </w:rPr>
  </w:style>
  <w:style w:type="character" w:customStyle="1" w:styleId="TitleChar">
    <w:name w:val="Title Char"/>
    <w:basedOn w:val="DefaultParagraphFont"/>
    <w:link w:val="Title"/>
    <w:uiPriority w:val="99"/>
    <w:rsid w:val="00794CB7"/>
    <w:rPr>
      <w:rFonts w:asciiTheme="majorHAnsi" w:eastAsia="Times New Roman" w:hAnsiTheme="majorHAnsi" w:cstheme="majorHAnsi"/>
      <w:b/>
      <w:caps/>
      <w:color w:val="0063A5"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121488"/>
    <w:rPr>
      <w:i/>
      <w:iCs/>
      <w:color w:val="408ABB" w:themeColor="accen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8E7F1" w:themeFill="accent1" w:themeFillTint="33"/>
    </w:tcPr>
    <w:tblStylePr w:type="firstRow">
      <w:rPr>
        <w:b/>
        <w:bCs/>
      </w:rPr>
      <w:tblPr/>
      <w:tcPr>
        <w:shd w:val="clear" w:color="auto" w:fill="B1D0E4" w:themeFill="accent1" w:themeFillTint="66"/>
      </w:tcPr>
    </w:tblStylePr>
    <w:tblStylePr w:type="lastRow">
      <w:rPr>
        <w:b/>
        <w:bCs/>
        <w:color w:val="000000" w:themeColor="text1"/>
      </w:rPr>
      <w:tblPr/>
      <w:tcPr>
        <w:shd w:val="clear" w:color="auto" w:fill="B1D0E4" w:themeFill="accent1" w:themeFillTint="66"/>
      </w:tcPr>
    </w:tblStylePr>
    <w:tblStylePr w:type="firstCol">
      <w:rPr>
        <w:color w:val="FFFFFF" w:themeColor="background1"/>
      </w:rPr>
      <w:tblPr/>
      <w:tcPr>
        <w:shd w:val="clear" w:color="auto" w:fill="30678C" w:themeFill="accent1" w:themeFillShade="BF"/>
      </w:tcPr>
    </w:tblStylePr>
    <w:tblStylePr w:type="lastCol">
      <w:rPr>
        <w:color w:val="FFFFFF" w:themeColor="background1"/>
      </w:rPr>
      <w:tblPr/>
      <w:tcPr>
        <w:shd w:val="clear" w:color="auto" w:fill="30678C" w:themeFill="accent1" w:themeFillShade="BF"/>
      </w:tc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63A5"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1"/>
    <w:semiHidden/>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FF6" w:themeFill="accent2" w:themeFillTint="33"/>
    </w:tcPr>
    <w:tblStylePr w:type="firstRow">
      <w:rPr>
        <w:b/>
        <w:bCs/>
      </w:rPr>
      <w:tblPr/>
      <w:tcPr>
        <w:shd w:val="clear" w:color="auto" w:fill="CCDFED" w:themeFill="accent2" w:themeFillTint="66"/>
      </w:tcPr>
    </w:tblStylePr>
    <w:tblStylePr w:type="lastRow">
      <w:rPr>
        <w:b/>
        <w:bCs/>
        <w:color w:val="000000" w:themeColor="text1"/>
      </w:rPr>
      <w:tblPr/>
      <w:tcPr>
        <w:shd w:val="clear" w:color="auto" w:fill="CCDFED" w:themeFill="accent2" w:themeFillTint="66"/>
      </w:tcPr>
    </w:tblStylePr>
    <w:tblStylePr w:type="firstCol">
      <w:rPr>
        <w:color w:val="FFFFFF" w:themeColor="background1"/>
      </w:rPr>
      <w:tblPr/>
      <w:tcPr>
        <w:shd w:val="clear" w:color="auto" w:fill="428ABA" w:themeFill="accent2" w:themeFillShade="BF"/>
      </w:tcPr>
    </w:tblStylePr>
    <w:tblStylePr w:type="lastCol">
      <w:rPr>
        <w:color w:val="FFFFFF" w:themeColor="background1"/>
      </w:rPr>
      <w:tblPr/>
      <w:tcPr>
        <w:shd w:val="clear" w:color="auto" w:fill="428ABA" w:themeFill="accent2" w:themeFillShade="BF"/>
      </w:tc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7FA" w:themeFill="accent3" w:themeFillTint="33"/>
    </w:tcPr>
    <w:tblStylePr w:type="firstRow">
      <w:rPr>
        <w:b/>
        <w:bCs/>
      </w:rPr>
      <w:tblPr/>
      <w:tcPr>
        <w:shd w:val="clear" w:color="auto" w:fill="E5EFF5" w:themeFill="accent3" w:themeFillTint="66"/>
      </w:tcPr>
    </w:tblStylePr>
    <w:tblStylePr w:type="lastRow">
      <w:rPr>
        <w:b/>
        <w:bCs/>
        <w:color w:val="000000" w:themeColor="text1"/>
      </w:rPr>
      <w:tblPr/>
      <w:tcPr>
        <w:shd w:val="clear" w:color="auto" w:fill="E5EFF5" w:themeFill="accent3" w:themeFillTint="66"/>
      </w:tcPr>
    </w:tblStylePr>
    <w:tblStylePr w:type="firstCol">
      <w:rPr>
        <w:color w:val="FFFFFF" w:themeColor="background1"/>
      </w:rPr>
      <w:tblPr/>
      <w:tcPr>
        <w:shd w:val="clear" w:color="auto" w:fill="70A8CC" w:themeFill="accent3" w:themeFillShade="BF"/>
      </w:tcPr>
    </w:tblStylePr>
    <w:tblStylePr w:type="lastCol">
      <w:rPr>
        <w:color w:val="FFFFFF" w:themeColor="background1"/>
      </w:rPr>
      <w:tblPr/>
      <w:tcPr>
        <w:shd w:val="clear" w:color="auto" w:fill="70A8CC" w:themeFill="accent3" w:themeFillShade="BF"/>
      </w:tc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63A5"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63A5"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63A5"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3F8" w:themeFill="accent1"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E2EE" w:themeFill="accent1" w:themeFillTint="3F"/>
      </w:tcPr>
    </w:tblStylePr>
    <w:tblStylePr w:type="band1Horz">
      <w:tblPr/>
      <w:tcPr>
        <w:shd w:val="clear" w:color="auto" w:fill="D8E7F1"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7FA" w:themeFill="accent2" w:themeFillTint="19"/>
    </w:tcPr>
    <w:tblStylePr w:type="firstRow">
      <w:rPr>
        <w:b/>
        <w:bCs/>
        <w:color w:val="FFFFFF" w:themeColor="background1"/>
      </w:rPr>
      <w:tblPr/>
      <w:tcPr>
        <w:tcBorders>
          <w:bottom w:val="single" w:sz="12" w:space="0" w:color="FFFFFF" w:themeColor="background1"/>
        </w:tcBorders>
        <w:shd w:val="clear" w:color="auto" w:fill="4E92C0" w:themeFill="accent2" w:themeFillShade="CC"/>
      </w:tcPr>
    </w:tblStylePr>
    <w:tblStylePr w:type="lastRow">
      <w:rPr>
        <w:b/>
        <w:bCs/>
        <w:color w:val="4E92C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BF3" w:themeFill="accent2" w:themeFillTint="3F"/>
      </w:tcPr>
    </w:tblStylePr>
    <w:tblStylePr w:type="band1Horz">
      <w:tblPr/>
      <w:tcPr>
        <w:shd w:val="clear" w:color="auto" w:fill="E5EFF6"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5F9" w:themeFill="accent3" w:themeFillTint="3F"/>
      </w:tcPr>
    </w:tblStylePr>
    <w:tblStylePr w:type="band1Horz">
      <w:tblPr/>
      <w:tcPr>
        <w:shd w:val="clear" w:color="auto" w:fill="F2F7FA"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0B1D1" w:themeFill="accent3" w:themeFillShade="CC"/>
      </w:tcPr>
    </w:tblStylePr>
    <w:tblStylePr w:type="lastRow">
      <w:rPr>
        <w:b/>
        <w:bCs/>
        <w:color w:val="80B1D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408ABB" w:themeColor="accent1"/>
        <w:bottom w:val="single" w:sz="4" w:space="0" w:color="408ABB" w:themeColor="accent1"/>
        <w:right w:val="single" w:sz="4" w:space="0" w:color="408ABB" w:themeColor="accent1"/>
        <w:insideH w:val="single" w:sz="4" w:space="0" w:color="FFFFFF" w:themeColor="background1"/>
        <w:insideV w:val="single" w:sz="4" w:space="0" w:color="FFFFFF" w:themeColor="background1"/>
      </w:tblBorders>
    </w:tblPr>
    <w:tcPr>
      <w:shd w:val="clear" w:color="auto" w:fill="EBF3F8" w:themeFill="accent1"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26F" w:themeFill="accent1" w:themeFillShade="99"/>
      </w:tcPr>
    </w:tblStylePr>
    <w:tblStylePr w:type="firstCol">
      <w:rPr>
        <w:color w:val="FFFFFF" w:themeColor="background1"/>
      </w:rPr>
      <w:tblPr/>
      <w:tcPr>
        <w:tcBorders>
          <w:top w:val="nil"/>
          <w:left w:val="nil"/>
          <w:bottom w:val="nil"/>
          <w:right w:val="nil"/>
          <w:insideH w:val="single" w:sz="4" w:space="0" w:color="26526F" w:themeColor="accent1" w:themeShade="99"/>
          <w:insideV w:val="nil"/>
        </w:tcBorders>
        <w:shd w:val="clear" w:color="auto" w:fill="26526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26F" w:themeFill="accent1" w:themeFillShade="99"/>
      </w:tcPr>
    </w:tblStylePr>
    <w:tblStylePr w:type="band1Vert">
      <w:tblPr/>
      <w:tcPr>
        <w:shd w:val="clear" w:color="auto" w:fill="B1D0E4" w:themeFill="accent1" w:themeFillTint="66"/>
      </w:tcPr>
    </w:tblStylePr>
    <w:tblStylePr w:type="band1Horz">
      <w:tblPr/>
      <w:tcPr>
        <w:shd w:val="clear" w:color="auto" w:fill="9EC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1D2" w:themeColor="accent2"/>
        <w:left w:val="single" w:sz="4" w:space="0" w:color="80B1D2" w:themeColor="accent2"/>
        <w:bottom w:val="single" w:sz="4" w:space="0" w:color="80B1D2" w:themeColor="accent2"/>
        <w:right w:val="single" w:sz="4" w:space="0" w:color="80B1D2" w:themeColor="accent2"/>
        <w:insideH w:val="single" w:sz="4" w:space="0" w:color="FFFFFF" w:themeColor="background1"/>
        <w:insideV w:val="single" w:sz="4" w:space="0" w:color="FFFFFF" w:themeColor="background1"/>
      </w:tblBorders>
    </w:tblPr>
    <w:tcPr>
      <w:shd w:val="clear" w:color="auto" w:fill="F2F7FA" w:themeFill="accent2" w:themeFillTint="19"/>
    </w:tcPr>
    <w:tblStylePr w:type="firstRow">
      <w:rPr>
        <w:b/>
        <w:bCs/>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6E95" w:themeFill="accent2" w:themeFillShade="99"/>
      </w:tcPr>
    </w:tblStylePr>
    <w:tblStylePr w:type="firstCol">
      <w:rPr>
        <w:color w:val="FFFFFF" w:themeColor="background1"/>
      </w:rPr>
      <w:tblPr/>
      <w:tcPr>
        <w:tcBorders>
          <w:top w:val="nil"/>
          <w:left w:val="nil"/>
          <w:bottom w:val="nil"/>
          <w:right w:val="nil"/>
          <w:insideH w:val="single" w:sz="4" w:space="0" w:color="356E95" w:themeColor="accent2" w:themeShade="99"/>
          <w:insideV w:val="nil"/>
        </w:tcBorders>
        <w:shd w:val="clear" w:color="auto" w:fill="356E9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56E95" w:themeFill="accent2" w:themeFillShade="99"/>
      </w:tcPr>
    </w:tblStylePr>
    <w:tblStylePr w:type="band1Vert">
      <w:tblPr/>
      <w:tcPr>
        <w:shd w:val="clear" w:color="auto" w:fill="CCDFED" w:themeFill="accent2" w:themeFillTint="66"/>
      </w:tcPr>
    </w:tblStylePr>
    <w:tblStylePr w:type="band1Horz">
      <w:tblPr/>
      <w:tcPr>
        <w:shd w:val="clear" w:color="auto" w:fill="BFD8E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8E8" w:themeColor="accent3"/>
        <w:bottom w:val="single" w:sz="4" w:space="0" w:color="BFD8E8" w:themeColor="accent3"/>
        <w:right w:val="single" w:sz="4" w:space="0" w:color="BFD8E8"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BBA" w:themeFill="accent3" w:themeFillShade="99"/>
      </w:tcPr>
    </w:tblStylePr>
    <w:tblStylePr w:type="firstCol">
      <w:rPr>
        <w:color w:val="FFFFFF" w:themeColor="background1"/>
      </w:rPr>
      <w:tblPr/>
      <w:tcPr>
        <w:tcBorders>
          <w:top w:val="nil"/>
          <w:left w:val="nil"/>
          <w:bottom w:val="nil"/>
          <w:right w:val="nil"/>
          <w:insideH w:val="single" w:sz="4" w:space="0" w:color="438BBA" w:themeColor="accent3" w:themeShade="99"/>
          <w:insideV w:val="nil"/>
        </w:tcBorders>
        <w:shd w:val="clear" w:color="auto" w:fill="438BB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38BBA" w:themeFill="accent3" w:themeFillShade="99"/>
      </w:tcPr>
    </w:tblStylePr>
    <w:tblStylePr w:type="band1Vert">
      <w:tblPr/>
      <w:tcPr>
        <w:shd w:val="clear" w:color="auto" w:fill="E5EFF5" w:themeFill="accent3" w:themeFillTint="66"/>
      </w:tcPr>
    </w:tblStylePr>
    <w:tblStylePr w:type="band1Horz">
      <w:tblPr/>
      <w:tcPr>
        <w:shd w:val="clear" w:color="auto" w:fill="DFEBF3"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8E8"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8AB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445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678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678C" w:themeFill="accent1" w:themeFillShade="BF"/>
      </w:tcPr>
    </w:tblStylePr>
    <w:tblStylePr w:type="band1Vert">
      <w:tblPr/>
      <w:tcPr>
        <w:tcBorders>
          <w:top w:val="nil"/>
          <w:left w:val="nil"/>
          <w:bottom w:val="nil"/>
          <w:right w:val="nil"/>
          <w:insideH w:val="nil"/>
          <w:insideV w:val="nil"/>
        </w:tcBorders>
        <w:shd w:val="clear" w:color="auto" w:fill="30678C" w:themeFill="accent1" w:themeFillShade="BF"/>
      </w:tcPr>
    </w:tblStylePr>
    <w:tblStylePr w:type="band1Horz">
      <w:tblPr/>
      <w:tcPr>
        <w:tcBorders>
          <w:top w:val="nil"/>
          <w:left w:val="nil"/>
          <w:bottom w:val="nil"/>
          <w:right w:val="nil"/>
          <w:insideH w:val="nil"/>
          <w:insideV w:val="nil"/>
        </w:tcBorders>
        <w:shd w:val="clear" w:color="auto" w:fill="30678C"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1D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5B7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28A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28ABA" w:themeFill="accent2" w:themeFillShade="BF"/>
      </w:tcPr>
    </w:tblStylePr>
    <w:tblStylePr w:type="band1Vert">
      <w:tblPr/>
      <w:tcPr>
        <w:tcBorders>
          <w:top w:val="nil"/>
          <w:left w:val="nil"/>
          <w:bottom w:val="nil"/>
          <w:right w:val="nil"/>
          <w:insideH w:val="nil"/>
          <w:insideV w:val="nil"/>
        </w:tcBorders>
        <w:shd w:val="clear" w:color="auto" w:fill="428ABA" w:themeFill="accent2" w:themeFillShade="BF"/>
      </w:tcPr>
    </w:tblStylePr>
    <w:tblStylePr w:type="band1Horz">
      <w:tblPr/>
      <w:tcPr>
        <w:tcBorders>
          <w:top w:val="nil"/>
          <w:left w:val="nil"/>
          <w:bottom w:val="nil"/>
          <w:right w:val="nil"/>
          <w:insideH w:val="nil"/>
          <w:insideV w:val="nil"/>
        </w:tcBorders>
        <w:shd w:val="clear" w:color="auto" w:fill="428ABA"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8E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749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A8C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A8CC" w:themeFill="accent3" w:themeFillShade="BF"/>
      </w:tcPr>
    </w:tblStylePr>
    <w:tblStylePr w:type="band1Vert">
      <w:tblPr/>
      <w:tcPr>
        <w:tcBorders>
          <w:top w:val="nil"/>
          <w:left w:val="nil"/>
          <w:bottom w:val="nil"/>
          <w:right w:val="nil"/>
          <w:insideH w:val="nil"/>
          <w:insideV w:val="nil"/>
        </w:tcBorders>
        <w:shd w:val="clear" w:color="auto" w:fill="70A8CC" w:themeFill="accent3" w:themeFillShade="BF"/>
      </w:tcPr>
    </w:tblStylePr>
    <w:tblStylePr w:type="band1Horz">
      <w:tblPr/>
      <w:tcPr>
        <w:tcBorders>
          <w:top w:val="nil"/>
          <w:left w:val="nil"/>
          <w:bottom w:val="nil"/>
          <w:right w:val="nil"/>
          <w:insideH w:val="nil"/>
          <w:insideV w:val="nil"/>
        </w:tcBorders>
        <w:shd w:val="clear" w:color="auto" w:fill="70A8CC"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B1D0E4" w:themeColor="accent1" w:themeTint="66"/>
        <w:left w:val="single" w:sz="4" w:space="0" w:color="B1D0E4" w:themeColor="accent1" w:themeTint="66"/>
        <w:bottom w:val="single" w:sz="4" w:space="0" w:color="B1D0E4" w:themeColor="accent1" w:themeTint="66"/>
        <w:right w:val="single" w:sz="4" w:space="0" w:color="B1D0E4" w:themeColor="accent1" w:themeTint="66"/>
        <w:insideH w:val="single" w:sz="4" w:space="0" w:color="B1D0E4" w:themeColor="accent1" w:themeTint="66"/>
        <w:insideV w:val="single" w:sz="4" w:space="0" w:color="B1D0E4" w:themeColor="accent1" w:themeTint="66"/>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2" w:space="0" w:color="8BB8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DFED" w:themeColor="accent2" w:themeTint="66"/>
        <w:left w:val="single" w:sz="4" w:space="0" w:color="CCDFED" w:themeColor="accent2" w:themeTint="66"/>
        <w:bottom w:val="single" w:sz="4" w:space="0" w:color="CCDFED" w:themeColor="accent2" w:themeTint="66"/>
        <w:right w:val="single" w:sz="4" w:space="0" w:color="CCDFED" w:themeColor="accent2" w:themeTint="66"/>
        <w:insideH w:val="single" w:sz="4" w:space="0" w:color="CCDFED" w:themeColor="accent2" w:themeTint="66"/>
        <w:insideV w:val="single" w:sz="4" w:space="0" w:color="CCDFED" w:themeColor="accent2" w:themeTint="66"/>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2" w:space="0" w:color="B2D0E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EFF5" w:themeColor="accent3" w:themeTint="66"/>
        <w:left w:val="single" w:sz="4" w:space="0" w:color="E5EFF5" w:themeColor="accent3" w:themeTint="66"/>
        <w:bottom w:val="single" w:sz="4" w:space="0" w:color="E5EFF5" w:themeColor="accent3" w:themeTint="66"/>
        <w:right w:val="single" w:sz="4" w:space="0" w:color="E5EFF5" w:themeColor="accent3" w:themeTint="66"/>
        <w:insideH w:val="single" w:sz="4" w:space="0" w:color="E5EFF5" w:themeColor="accent3" w:themeTint="66"/>
        <w:insideV w:val="single" w:sz="4" w:space="0" w:color="E5EFF5" w:themeColor="accent3" w:themeTint="66"/>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2" w:space="0" w:color="D8E7F1"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BB8D7" w:themeColor="accent1" w:themeTint="99"/>
        <w:bottom w:val="single" w:sz="2" w:space="0" w:color="8BB8D7" w:themeColor="accent1" w:themeTint="99"/>
        <w:insideH w:val="single" w:sz="2" w:space="0" w:color="8BB8D7" w:themeColor="accent1" w:themeTint="99"/>
        <w:insideV w:val="single" w:sz="2" w:space="0" w:color="8BB8D7" w:themeColor="accent1" w:themeTint="99"/>
      </w:tblBorders>
    </w:tblPr>
    <w:tblStylePr w:type="firstRow">
      <w:rPr>
        <w:b/>
        <w:bCs/>
      </w:rPr>
      <w:tblPr/>
      <w:tcPr>
        <w:tcBorders>
          <w:top w:val="nil"/>
          <w:bottom w:val="single" w:sz="12" w:space="0" w:color="8BB8D7" w:themeColor="accent1" w:themeTint="99"/>
          <w:insideH w:val="nil"/>
          <w:insideV w:val="nil"/>
        </w:tcBorders>
        <w:shd w:val="clear" w:color="auto" w:fill="FFFFFF" w:themeFill="background1"/>
      </w:tcPr>
    </w:tblStylePr>
    <w:tblStylePr w:type="lastRow">
      <w:rPr>
        <w:b/>
        <w:bCs/>
      </w:rPr>
      <w:tblPr/>
      <w:tcPr>
        <w:tcBorders>
          <w:top w:val="double" w:sz="2" w:space="0" w:color="8BB8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0E4" w:themeColor="accent2" w:themeTint="99"/>
        <w:bottom w:val="single" w:sz="2" w:space="0" w:color="B2D0E4" w:themeColor="accent2" w:themeTint="99"/>
        <w:insideH w:val="single" w:sz="2" w:space="0" w:color="B2D0E4" w:themeColor="accent2" w:themeTint="99"/>
        <w:insideV w:val="single" w:sz="2" w:space="0" w:color="B2D0E4" w:themeColor="accent2" w:themeTint="99"/>
      </w:tblBorders>
    </w:tblPr>
    <w:tblStylePr w:type="firstRow">
      <w:rPr>
        <w:b/>
        <w:bCs/>
      </w:rPr>
      <w:tblPr/>
      <w:tcPr>
        <w:tcBorders>
          <w:top w:val="nil"/>
          <w:bottom w:val="single" w:sz="12" w:space="0" w:color="B2D0E4" w:themeColor="accent2" w:themeTint="99"/>
          <w:insideH w:val="nil"/>
          <w:insideV w:val="nil"/>
        </w:tcBorders>
        <w:shd w:val="clear" w:color="auto" w:fill="FFFFFF" w:themeFill="background1"/>
      </w:tcPr>
    </w:tblStylePr>
    <w:tblStylePr w:type="lastRow">
      <w:rPr>
        <w:b/>
        <w:bCs/>
      </w:rPr>
      <w:tblPr/>
      <w:tcPr>
        <w:tcBorders>
          <w:top w:val="double" w:sz="2" w:space="0" w:color="B2D0E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7F1" w:themeColor="accent3" w:themeTint="99"/>
        <w:bottom w:val="single" w:sz="2" w:space="0" w:color="D8E7F1" w:themeColor="accent3" w:themeTint="99"/>
        <w:insideH w:val="single" w:sz="2" w:space="0" w:color="D8E7F1" w:themeColor="accent3" w:themeTint="99"/>
        <w:insideV w:val="single" w:sz="2" w:space="0" w:color="D8E7F1" w:themeColor="accent3" w:themeTint="99"/>
      </w:tblBorders>
    </w:tblPr>
    <w:tblStylePr w:type="firstRow">
      <w:rPr>
        <w:b/>
        <w:bCs/>
      </w:rPr>
      <w:tblPr/>
      <w:tcPr>
        <w:tcBorders>
          <w:top w:val="nil"/>
          <w:bottom w:val="single" w:sz="12" w:space="0" w:color="D8E7F1" w:themeColor="accent3" w:themeTint="99"/>
          <w:insideH w:val="nil"/>
          <w:insideV w:val="nil"/>
        </w:tcBorders>
        <w:shd w:val="clear" w:color="auto" w:fill="FFFFFF" w:themeFill="background1"/>
      </w:tcPr>
    </w:tblStylePr>
    <w:tblStylePr w:type="lastRow">
      <w:rPr>
        <w:b/>
        <w:bCs/>
      </w:rPr>
      <w:tblPr/>
      <w:tcPr>
        <w:tcBorders>
          <w:top w:val="double" w:sz="2" w:space="0" w:color="D8E7F1"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insideV w:val="nil"/>
        </w:tcBorders>
        <w:shd w:val="clear" w:color="auto" w:fill="408ABB" w:themeFill="accent1"/>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insideV w:val="nil"/>
        </w:tcBorders>
        <w:shd w:val="clear" w:color="auto" w:fill="80B1D2" w:themeFill="accent2"/>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insideV w:val="nil"/>
        </w:tcBorders>
        <w:shd w:val="clear" w:color="auto" w:fill="BFD8E8" w:themeFill="accent3"/>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7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8ABB"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8ABB"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8ABB"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8ABB" w:themeFill="accent1"/>
      </w:tcPr>
    </w:tblStylePr>
    <w:tblStylePr w:type="band1Vert">
      <w:tblPr/>
      <w:tcPr>
        <w:shd w:val="clear" w:color="auto" w:fill="B1D0E4" w:themeFill="accent1" w:themeFillTint="66"/>
      </w:tcPr>
    </w:tblStylePr>
    <w:tblStylePr w:type="band1Horz">
      <w:tblPr/>
      <w:tcPr>
        <w:shd w:val="clear" w:color="auto" w:fill="B1D0E4"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1D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1D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1D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1D2" w:themeFill="accent2"/>
      </w:tcPr>
    </w:tblStylePr>
    <w:tblStylePr w:type="band1Vert">
      <w:tblPr/>
      <w:tcPr>
        <w:shd w:val="clear" w:color="auto" w:fill="CCDFED" w:themeFill="accent2" w:themeFillTint="66"/>
      </w:tcPr>
    </w:tblStylePr>
    <w:tblStylePr w:type="band1Horz">
      <w:tblPr/>
      <w:tcPr>
        <w:shd w:val="clear" w:color="auto" w:fill="CCDFED"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7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8E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8E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8E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8E8" w:themeFill="accent3"/>
      </w:tcPr>
    </w:tblStylePr>
    <w:tblStylePr w:type="band1Vert">
      <w:tblPr/>
      <w:tcPr>
        <w:shd w:val="clear" w:color="auto" w:fill="E5EFF5" w:themeFill="accent3" w:themeFillTint="66"/>
      </w:tcPr>
    </w:tblStylePr>
    <w:tblStylePr w:type="band1Horz">
      <w:tblPr/>
      <w:tcPr>
        <w:shd w:val="clear" w:color="auto" w:fill="E5EFF5"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bottom w:val="single" w:sz="12" w:space="0" w:color="8BB8D7" w:themeColor="accent1" w:themeTint="99"/>
        </w:tcBorders>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bottom w:val="single" w:sz="12" w:space="0" w:color="B2D0E4" w:themeColor="accent2" w:themeTint="99"/>
        </w:tcBorders>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bottom w:val="single" w:sz="12" w:space="0" w:color="D8E7F1" w:themeColor="accent3" w:themeTint="99"/>
        </w:tcBorders>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678C" w:themeColor="accent1" w:themeShade="BF"/>
    </w:r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insideV w:val="single" w:sz="4" w:space="0" w:color="8BB8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bottom w:val="single" w:sz="4" w:space="0" w:color="8BB8D7" w:themeColor="accent1" w:themeTint="99"/>
        </w:tcBorders>
      </w:tcPr>
    </w:tblStylePr>
    <w:tblStylePr w:type="nwCell">
      <w:tblPr/>
      <w:tcPr>
        <w:tcBorders>
          <w:bottom w:val="single" w:sz="4" w:space="0" w:color="8BB8D7" w:themeColor="accent1" w:themeTint="99"/>
        </w:tcBorders>
      </w:tcPr>
    </w:tblStylePr>
    <w:tblStylePr w:type="seCell">
      <w:tblPr/>
      <w:tcPr>
        <w:tcBorders>
          <w:top w:val="single" w:sz="4" w:space="0" w:color="8BB8D7" w:themeColor="accent1" w:themeTint="99"/>
        </w:tcBorders>
      </w:tcPr>
    </w:tblStylePr>
    <w:tblStylePr w:type="swCell">
      <w:tblPr/>
      <w:tcPr>
        <w:tcBorders>
          <w:top w:val="single" w:sz="4" w:space="0" w:color="8BB8D7"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28ABA" w:themeColor="accent2" w:themeShade="BF"/>
    </w:r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insideV w:val="single" w:sz="4" w:space="0" w:color="B2D0E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bottom w:val="single" w:sz="4" w:space="0" w:color="B2D0E4" w:themeColor="accent2" w:themeTint="99"/>
        </w:tcBorders>
      </w:tcPr>
    </w:tblStylePr>
    <w:tblStylePr w:type="nwCell">
      <w:tblPr/>
      <w:tcPr>
        <w:tcBorders>
          <w:bottom w:val="single" w:sz="4" w:space="0" w:color="B2D0E4" w:themeColor="accent2" w:themeTint="99"/>
        </w:tcBorders>
      </w:tcPr>
    </w:tblStylePr>
    <w:tblStylePr w:type="seCell">
      <w:tblPr/>
      <w:tcPr>
        <w:tcBorders>
          <w:top w:val="single" w:sz="4" w:space="0" w:color="B2D0E4" w:themeColor="accent2" w:themeTint="99"/>
        </w:tcBorders>
      </w:tcPr>
    </w:tblStylePr>
    <w:tblStylePr w:type="swCell">
      <w:tblPr/>
      <w:tcPr>
        <w:tcBorders>
          <w:top w:val="single" w:sz="4" w:space="0" w:color="B2D0E4"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0A8CC" w:themeColor="accent3" w:themeShade="BF"/>
    </w:r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insideV w:val="single" w:sz="4" w:space="0" w:color="D8E7F1"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bottom w:val="single" w:sz="4" w:space="0" w:color="D8E7F1" w:themeColor="accent3" w:themeTint="99"/>
        </w:tcBorders>
      </w:tcPr>
    </w:tblStylePr>
    <w:tblStylePr w:type="nwCell">
      <w:tblPr/>
      <w:tcPr>
        <w:tcBorders>
          <w:bottom w:val="single" w:sz="4" w:space="0" w:color="D8E7F1" w:themeColor="accent3" w:themeTint="99"/>
        </w:tcBorders>
      </w:tcPr>
    </w:tblStylePr>
    <w:tblStylePr w:type="seCell">
      <w:tblPr/>
      <w:tcPr>
        <w:tcBorders>
          <w:top w:val="single" w:sz="4" w:space="0" w:color="D8E7F1" w:themeColor="accent3" w:themeTint="99"/>
        </w:tcBorders>
      </w:tcPr>
    </w:tblStylePr>
    <w:tblStylePr w:type="swCell">
      <w:tblPr/>
      <w:tcPr>
        <w:tcBorders>
          <w:top w:val="single" w:sz="4" w:space="0" w:color="D8E7F1"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18" w:space="0" w:color="408ABB" w:themeColor="accent1"/>
          <w:right w:val="single" w:sz="8" w:space="0" w:color="408ABB" w:themeColor="accent1"/>
          <w:insideH w:val="nil"/>
          <w:insideV w:val="single" w:sz="8" w:space="0" w:color="408AB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8ABB" w:themeColor="accent1"/>
          <w:left w:val="single" w:sz="8" w:space="0" w:color="408ABB" w:themeColor="accent1"/>
          <w:bottom w:val="single" w:sz="8" w:space="0" w:color="408ABB" w:themeColor="accent1"/>
          <w:right w:val="single" w:sz="8" w:space="0" w:color="408ABB" w:themeColor="accent1"/>
          <w:insideH w:val="nil"/>
          <w:insideV w:val="single" w:sz="8" w:space="0" w:color="408AB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tcPr>
    </w:tblStylePr>
    <w:tblStylePr w:type="band1Vert">
      <w:tblPr/>
      <w:tcPr>
        <w:tcBorders>
          <w:top w:val="single" w:sz="8" w:space="0" w:color="408ABB" w:themeColor="accent1"/>
          <w:left w:val="single" w:sz="8" w:space="0" w:color="408ABB" w:themeColor="accent1"/>
          <w:bottom w:val="single" w:sz="8" w:space="0" w:color="408ABB" w:themeColor="accent1"/>
          <w:right w:val="single" w:sz="8" w:space="0" w:color="408ABB" w:themeColor="accent1"/>
        </w:tcBorders>
        <w:shd w:val="clear" w:color="auto" w:fill="CFE2EE" w:themeFill="accent1" w:themeFillTint="3F"/>
      </w:tcPr>
    </w:tblStylePr>
    <w:tblStylePr w:type="band1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shd w:val="clear" w:color="auto" w:fill="CFE2EE" w:themeFill="accent1" w:themeFillTint="3F"/>
      </w:tcPr>
    </w:tblStylePr>
    <w:tblStylePr w:type="band2Horz">
      <w:tblPr/>
      <w:tcPr>
        <w:tcBorders>
          <w:top w:val="single" w:sz="8" w:space="0" w:color="408ABB" w:themeColor="accent1"/>
          <w:left w:val="single" w:sz="8" w:space="0" w:color="408ABB" w:themeColor="accent1"/>
          <w:bottom w:val="single" w:sz="8" w:space="0" w:color="408ABB" w:themeColor="accent1"/>
          <w:right w:val="single" w:sz="8" w:space="0" w:color="408ABB" w:themeColor="accent1"/>
          <w:insideV w:val="single" w:sz="8" w:space="0" w:color="408ABB"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18" w:space="0" w:color="80B1D2" w:themeColor="accent2"/>
          <w:right w:val="single" w:sz="8" w:space="0" w:color="80B1D2" w:themeColor="accent2"/>
          <w:insideH w:val="nil"/>
          <w:insideV w:val="single" w:sz="8" w:space="0" w:color="80B1D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insideH w:val="nil"/>
          <w:insideV w:val="single" w:sz="8" w:space="0" w:color="80B1D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shd w:val="clear" w:color="auto" w:fill="DFEBF3" w:themeFill="accent2" w:themeFillTint="3F"/>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shd w:val="clear" w:color="auto" w:fill="DFEBF3" w:themeFill="accent2" w:themeFillTint="3F"/>
      </w:tcPr>
    </w:tblStylePr>
    <w:tblStylePr w:type="band2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insideV w:val="single" w:sz="8" w:space="0" w:color="80B1D2"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18" w:space="0" w:color="BFD8E8" w:themeColor="accent3"/>
          <w:right w:val="single" w:sz="8" w:space="0" w:color="BFD8E8" w:themeColor="accent3"/>
          <w:insideH w:val="nil"/>
          <w:insideV w:val="single" w:sz="8" w:space="0" w:color="BFD8E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insideH w:val="nil"/>
          <w:insideV w:val="single" w:sz="8" w:space="0" w:color="BFD8E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shd w:val="clear" w:color="auto" w:fill="EFF5F9" w:themeFill="accent3" w:themeFillTint="3F"/>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shd w:val="clear" w:color="auto" w:fill="EFF5F9" w:themeFill="accent3" w:themeFillTint="3F"/>
      </w:tcPr>
    </w:tblStylePr>
    <w:tblStylePr w:type="band2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insideV w:val="single" w:sz="8" w:space="0" w:color="BFD8E8"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pPr>
        <w:spacing w:before="0" w:after="0" w:line="240" w:lineRule="auto"/>
      </w:pPr>
      <w:rPr>
        <w:b/>
        <w:bCs/>
        <w:color w:val="FFFFFF" w:themeColor="background1"/>
      </w:rPr>
      <w:tblPr/>
      <w:tcPr>
        <w:shd w:val="clear" w:color="auto" w:fill="80B1D2" w:themeFill="accent2"/>
      </w:tcPr>
    </w:tblStylePr>
    <w:tblStylePr w:type="lastRow">
      <w:pPr>
        <w:spacing w:before="0" w:after="0" w:line="240" w:lineRule="auto"/>
      </w:pPr>
      <w:rPr>
        <w:b/>
        <w:bCs/>
      </w:rPr>
      <w:tblPr/>
      <w:tcPr>
        <w:tcBorders>
          <w:top w:val="double" w:sz="6" w:space="0" w:color="80B1D2" w:themeColor="accent2"/>
          <w:left w:val="single" w:sz="8" w:space="0" w:color="80B1D2" w:themeColor="accent2"/>
          <w:bottom w:val="single" w:sz="8" w:space="0" w:color="80B1D2" w:themeColor="accent2"/>
          <w:right w:val="single" w:sz="8" w:space="0" w:color="80B1D2" w:themeColor="accent2"/>
        </w:tcBorders>
      </w:tcPr>
    </w:tblStylePr>
    <w:tblStylePr w:type="firstCol">
      <w:rPr>
        <w:b/>
        <w:bCs/>
      </w:rPr>
    </w:tblStylePr>
    <w:tblStylePr w:type="lastCol">
      <w:rPr>
        <w:b/>
        <w:bCs/>
      </w:rPr>
    </w:tblStylePr>
    <w:tblStylePr w:type="band1Vert">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tblStylePr w:type="band1Horz">
      <w:tblPr/>
      <w:tcPr>
        <w:tcBorders>
          <w:top w:val="single" w:sz="8" w:space="0" w:color="80B1D2" w:themeColor="accent2"/>
          <w:left w:val="single" w:sz="8" w:space="0" w:color="80B1D2" w:themeColor="accent2"/>
          <w:bottom w:val="single" w:sz="8" w:space="0" w:color="80B1D2" w:themeColor="accent2"/>
          <w:right w:val="single" w:sz="8" w:space="0" w:color="80B1D2"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pPr>
        <w:spacing w:before="0" w:after="0" w:line="240" w:lineRule="auto"/>
      </w:pPr>
      <w:rPr>
        <w:b/>
        <w:bCs/>
        <w:color w:val="FFFFFF" w:themeColor="background1"/>
      </w:rPr>
      <w:tblPr/>
      <w:tcPr>
        <w:shd w:val="clear" w:color="auto" w:fill="BFD8E8" w:themeFill="accent3"/>
      </w:tcPr>
    </w:tblStylePr>
    <w:tblStylePr w:type="lastRow">
      <w:pPr>
        <w:spacing w:before="0" w:after="0" w:line="240" w:lineRule="auto"/>
      </w:pPr>
      <w:rPr>
        <w:b/>
        <w:bCs/>
      </w:rPr>
      <w:tblPr/>
      <w:tcPr>
        <w:tcBorders>
          <w:top w:val="double" w:sz="6" w:space="0" w:color="BFD8E8" w:themeColor="accent3"/>
          <w:left w:val="single" w:sz="8" w:space="0" w:color="BFD8E8" w:themeColor="accent3"/>
          <w:bottom w:val="single" w:sz="8" w:space="0" w:color="BFD8E8" w:themeColor="accent3"/>
          <w:right w:val="single" w:sz="8" w:space="0" w:color="BFD8E8" w:themeColor="accent3"/>
        </w:tcBorders>
      </w:tcPr>
    </w:tblStylePr>
    <w:tblStylePr w:type="firstCol">
      <w:rPr>
        <w:b/>
        <w:bCs/>
      </w:rPr>
    </w:tblStylePr>
    <w:tblStylePr w:type="lastCol">
      <w:rPr>
        <w:b/>
        <w:bCs/>
      </w:rPr>
    </w:tblStylePr>
    <w:tblStylePr w:type="band1Vert">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tblStylePr w:type="band1Horz">
      <w:tblPr/>
      <w:tcPr>
        <w:tcBorders>
          <w:top w:val="single" w:sz="8" w:space="0" w:color="BFD8E8" w:themeColor="accent3"/>
          <w:left w:val="single" w:sz="8" w:space="0" w:color="BFD8E8" w:themeColor="accent3"/>
          <w:bottom w:val="single" w:sz="8" w:space="0" w:color="BFD8E8" w:themeColor="accent3"/>
          <w:right w:val="single" w:sz="8" w:space="0" w:color="BFD8E8"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678C" w:themeColor="accent1" w:themeShade="BF"/>
    </w:rPr>
    <w:tblPr>
      <w:tblStyleRowBandSize w:val="1"/>
      <w:tblStyleColBandSize w:val="1"/>
      <w:tblBorders>
        <w:top w:val="single" w:sz="8" w:space="0" w:color="408ABB" w:themeColor="accent1"/>
        <w:bottom w:val="single" w:sz="8" w:space="0" w:color="408ABB" w:themeColor="accent1"/>
      </w:tblBorders>
    </w:tblPr>
    <w:tblStylePr w:type="fir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lastRow">
      <w:pPr>
        <w:spacing w:before="0" w:after="0" w:line="240" w:lineRule="auto"/>
      </w:pPr>
      <w:rPr>
        <w:b/>
        <w:bCs/>
      </w:rPr>
      <w:tblPr/>
      <w:tcPr>
        <w:tcBorders>
          <w:top w:val="single" w:sz="8" w:space="0" w:color="408ABB" w:themeColor="accent1"/>
          <w:left w:val="nil"/>
          <w:bottom w:val="single" w:sz="8" w:space="0" w:color="408AB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left w:val="nil"/>
          <w:right w:val="nil"/>
          <w:insideH w:val="nil"/>
          <w:insideV w:val="nil"/>
        </w:tcBorders>
        <w:shd w:val="clear" w:color="auto" w:fill="CFE2EE"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28ABA" w:themeColor="accent2" w:themeShade="BF"/>
    </w:rPr>
    <w:tblPr>
      <w:tblStyleRowBandSize w:val="1"/>
      <w:tblStyleColBandSize w:val="1"/>
      <w:tblBorders>
        <w:top w:val="single" w:sz="8" w:space="0" w:color="80B1D2" w:themeColor="accent2"/>
        <w:bottom w:val="single" w:sz="8" w:space="0" w:color="80B1D2" w:themeColor="accent2"/>
      </w:tblBorders>
    </w:tblPr>
    <w:tblStylePr w:type="fir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lastRow">
      <w:pPr>
        <w:spacing w:before="0" w:after="0" w:line="240" w:lineRule="auto"/>
      </w:pPr>
      <w:rPr>
        <w:b/>
        <w:bCs/>
      </w:rPr>
      <w:tblPr/>
      <w:tcPr>
        <w:tcBorders>
          <w:top w:val="single" w:sz="8" w:space="0" w:color="80B1D2" w:themeColor="accent2"/>
          <w:left w:val="nil"/>
          <w:bottom w:val="single" w:sz="8" w:space="0" w:color="80B1D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left w:val="nil"/>
          <w:right w:val="nil"/>
          <w:insideH w:val="nil"/>
          <w:insideV w:val="nil"/>
        </w:tcBorders>
        <w:shd w:val="clear" w:color="auto" w:fill="DFEBF3"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0A8CC" w:themeColor="accent3" w:themeShade="BF"/>
    </w:rPr>
    <w:tblPr>
      <w:tblStyleRowBandSize w:val="1"/>
      <w:tblStyleColBandSize w:val="1"/>
      <w:tblBorders>
        <w:top w:val="single" w:sz="8" w:space="0" w:color="BFD8E8" w:themeColor="accent3"/>
        <w:bottom w:val="single" w:sz="8" w:space="0" w:color="BFD8E8" w:themeColor="accent3"/>
      </w:tblBorders>
    </w:tblPr>
    <w:tblStylePr w:type="fir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lastRow">
      <w:pPr>
        <w:spacing w:before="0" w:after="0" w:line="240" w:lineRule="auto"/>
      </w:pPr>
      <w:rPr>
        <w:b/>
        <w:bCs/>
      </w:rPr>
      <w:tblPr/>
      <w:tcPr>
        <w:tcBorders>
          <w:top w:val="single" w:sz="8" w:space="0" w:color="BFD8E8" w:themeColor="accent3"/>
          <w:left w:val="nil"/>
          <w:bottom w:val="single" w:sz="8" w:space="0" w:color="BFD8E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left w:val="nil"/>
          <w:right w:val="nil"/>
          <w:insideH w:val="nil"/>
          <w:insideV w:val="nil"/>
        </w:tcBorders>
        <w:shd w:val="clear" w:color="auto" w:fill="EFF5F9"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BB8D7" w:themeColor="accent1" w:themeTint="99"/>
        </w:tcBorders>
      </w:tcPr>
    </w:tblStylePr>
    <w:tblStylePr w:type="lastRow">
      <w:rPr>
        <w:b/>
        <w:bCs/>
      </w:rPr>
      <w:tblPr/>
      <w:tcPr>
        <w:tcBorders>
          <w:top w:val="sing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0E4" w:themeColor="accent2" w:themeTint="99"/>
        </w:tcBorders>
      </w:tcPr>
    </w:tblStylePr>
    <w:tblStylePr w:type="lastRow">
      <w:rPr>
        <w:b/>
        <w:bCs/>
      </w:rPr>
      <w:tblPr/>
      <w:tcPr>
        <w:tcBorders>
          <w:top w:val="sing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7F1" w:themeColor="accent3" w:themeTint="99"/>
        </w:tcBorders>
      </w:tcPr>
    </w:tblStylePr>
    <w:tblStylePr w:type="lastRow">
      <w:rPr>
        <w:b/>
        <w:bCs/>
      </w:rPr>
      <w:tblPr/>
      <w:tcPr>
        <w:tcBorders>
          <w:top w:val="sing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BB8D7" w:themeColor="accent1" w:themeTint="99"/>
        <w:bottom w:val="single" w:sz="4" w:space="0" w:color="8BB8D7" w:themeColor="accent1" w:themeTint="99"/>
        <w:insideH w:val="single" w:sz="4" w:space="0" w:color="8BB8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0E4" w:themeColor="accent2" w:themeTint="99"/>
        <w:bottom w:val="single" w:sz="4" w:space="0" w:color="B2D0E4" w:themeColor="accent2" w:themeTint="99"/>
        <w:insideH w:val="single" w:sz="4" w:space="0" w:color="B2D0E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7F1" w:themeColor="accent3" w:themeTint="99"/>
        <w:bottom w:val="single" w:sz="4" w:space="0" w:color="D8E7F1" w:themeColor="accent3" w:themeTint="99"/>
        <w:insideH w:val="single" w:sz="4" w:space="0" w:color="D8E7F1"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8ABB" w:themeColor="accent1"/>
        <w:left w:val="single" w:sz="4" w:space="0" w:color="408ABB" w:themeColor="accent1"/>
        <w:bottom w:val="single" w:sz="4" w:space="0" w:color="408ABB" w:themeColor="accent1"/>
        <w:right w:val="single" w:sz="4" w:space="0" w:color="408ABB" w:themeColor="accent1"/>
      </w:tblBorders>
    </w:tblPr>
    <w:tblStylePr w:type="firstRow">
      <w:rPr>
        <w:b/>
        <w:bCs/>
        <w:color w:val="FFFFFF" w:themeColor="background1"/>
      </w:rPr>
      <w:tblPr/>
      <w:tcPr>
        <w:shd w:val="clear" w:color="auto" w:fill="408ABB" w:themeFill="accent1"/>
      </w:tcPr>
    </w:tblStylePr>
    <w:tblStylePr w:type="lastRow">
      <w:rPr>
        <w:b/>
        <w:bCs/>
      </w:rPr>
      <w:tblPr/>
      <w:tcPr>
        <w:tcBorders>
          <w:top w:val="double" w:sz="4" w:space="0" w:color="408ABB"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8ABB" w:themeColor="accent1"/>
          <w:right w:val="single" w:sz="4" w:space="0" w:color="408ABB" w:themeColor="accent1"/>
        </w:tcBorders>
      </w:tcPr>
    </w:tblStylePr>
    <w:tblStylePr w:type="band1Horz">
      <w:tblPr/>
      <w:tcPr>
        <w:tcBorders>
          <w:top w:val="single" w:sz="4" w:space="0" w:color="408ABB" w:themeColor="accent1"/>
          <w:bottom w:val="single" w:sz="4" w:space="0" w:color="408ABB"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8ABB" w:themeColor="accent1"/>
          <w:left w:val="nil"/>
        </w:tcBorders>
      </w:tcPr>
    </w:tblStylePr>
    <w:tblStylePr w:type="swCell">
      <w:tblPr/>
      <w:tcPr>
        <w:tcBorders>
          <w:top w:val="double" w:sz="4" w:space="0" w:color="408ABB"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1D2" w:themeColor="accent2"/>
        <w:left w:val="single" w:sz="4" w:space="0" w:color="80B1D2" w:themeColor="accent2"/>
        <w:bottom w:val="single" w:sz="4" w:space="0" w:color="80B1D2" w:themeColor="accent2"/>
        <w:right w:val="single" w:sz="4" w:space="0" w:color="80B1D2" w:themeColor="accent2"/>
      </w:tblBorders>
    </w:tblPr>
    <w:tblStylePr w:type="firstRow">
      <w:rPr>
        <w:b/>
        <w:bCs/>
        <w:color w:val="FFFFFF" w:themeColor="background1"/>
      </w:rPr>
      <w:tblPr/>
      <w:tcPr>
        <w:shd w:val="clear" w:color="auto" w:fill="80B1D2" w:themeFill="accent2"/>
      </w:tcPr>
    </w:tblStylePr>
    <w:tblStylePr w:type="lastRow">
      <w:rPr>
        <w:b/>
        <w:bCs/>
      </w:rPr>
      <w:tblPr/>
      <w:tcPr>
        <w:tcBorders>
          <w:top w:val="double" w:sz="4" w:space="0" w:color="80B1D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1D2" w:themeColor="accent2"/>
          <w:right w:val="single" w:sz="4" w:space="0" w:color="80B1D2" w:themeColor="accent2"/>
        </w:tcBorders>
      </w:tcPr>
    </w:tblStylePr>
    <w:tblStylePr w:type="band1Horz">
      <w:tblPr/>
      <w:tcPr>
        <w:tcBorders>
          <w:top w:val="single" w:sz="4" w:space="0" w:color="80B1D2" w:themeColor="accent2"/>
          <w:bottom w:val="single" w:sz="4" w:space="0" w:color="80B1D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1D2" w:themeColor="accent2"/>
          <w:left w:val="nil"/>
        </w:tcBorders>
      </w:tcPr>
    </w:tblStylePr>
    <w:tblStylePr w:type="swCell">
      <w:tblPr/>
      <w:tcPr>
        <w:tcBorders>
          <w:top w:val="double" w:sz="4" w:space="0" w:color="80B1D2"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8E8" w:themeColor="accent3"/>
        <w:left w:val="single" w:sz="4" w:space="0" w:color="BFD8E8" w:themeColor="accent3"/>
        <w:bottom w:val="single" w:sz="4" w:space="0" w:color="BFD8E8" w:themeColor="accent3"/>
        <w:right w:val="single" w:sz="4" w:space="0" w:color="BFD8E8" w:themeColor="accent3"/>
      </w:tblBorders>
    </w:tblPr>
    <w:tblStylePr w:type="firstRow">
      <w:rPr>
        <w:b/>
        <w:bCs/>
        <w:color w:val="FFFFFF" w:themeColor="background1"/>
      </w:rPr>
      <w:tblPr/>
      <w:tcPr>
        <w:shd w:val="clear" w:color="auto" w:fill="BFD8E8" w:themeFill="accent3"/>
      </w:tcPr>
    </w:tblStylePr>
    <w:tblStylePr w:type="lastRow">
      <w:rPr>
        <w:b/>
        <w:bCs/>
      </w:rPr>
      <w:tblPr/>
      <w:tcPr>
        <w:tcBorders>
          <w:top w:val="double" w:sz="4" w:space="0" w:color="BFD8E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8E8" w:themeColor="accent3"/>
          <w:right w:val="single" w:sz="4" w:space="0" w:color="BFD8E8" w:themeColor="accent3"/>
        </w:tcBorders>
      </w:tcPr>
    </w:tblStylePr>
    <w:tblStylePr w:type="band1Horz">
      <w:tblPr/>
      <w:tcPr>
        <w:tcBorders>
          <w:top w:val="single" w:sz="4" w:space="0" w:color="BFD8E8" w:themeColor="accent3"/>
          <w:bottom w:val="single" w:sz="4" w:space="0" w:color="BFD8E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8E8" w:themeColor="accent3"/>
          <w:left w:val="nil"/>
        </w:tcBorders>
      </w:tcPr>
    </w:tblStylePr>
    <w:tblStylePr w:type="swCell">
      <w:tblPr/>
      <w:tcPr>
        <w:tcBorders>
          <w:top w:val="double" w:sz="4" w:space="0" w:color="BFD8E8"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BB8D7" w:themeColor="accent1" w:themeTint="99"/>
        <w:left w:val="single" w:sz="4" w:space="0" w:color="8BB8D7" w:themeColor="accent1" w:themeTint="99"/>
        <w:bottom w:val="single" w:sz="4" w:space="0" w:color="8BB8D7" w:themeColor="accent1" w:themeTint="99"/>
        <w:right w:val="single" w:sz="4" w:space="0" w:color="8BB8D7" w:themeColor="accent1" w:themeTint="99"/>
        <w:insideH w:val="single" w:sz="4" w:space="0" w:color="8BB8D7" w:themeColor="accent1" w:themeTint="99"/>
      </w:tblBorders>
    </w:tblPr>
    <w:tblStylePr w:type="firstRow">
      <w:rPr>
        <w:b/>
        <w:bCs/>
        <w:color w:val="FFFFFF" w:themeColor="background1"/>
      </w:rPr>
      <w:tblPr/>
      <w:tcPr>
        <w:tcBorders>
          <w:top w:val="single" w:sz="4" w:space="0" w:color="408ABB" w:themeColor="accent1"/>
          <w:left w:val="single" w:sz="4" w:space="0" w:color="408ABB" w:themeColor="accent1"/>
          <w:bottom w:val="single" w:sz="4" w:space="0" w:color="408ABB" w:themeColor="accent1"/>
          <w:right w:val="single" w:sz="4" w:space="0" w:color="408ABB" w:themeColor="accent1"/>
          <w:insideH w:val="nil"/>
        </w:tcBorders>
        <w:shd w:val="clear" w:color="auto" w:fill="408ABB" w:themeFill="accent1"/>
      </w:tcPr>
    </w:tblStylePr>
    <w:tblStylePr w:type="lastRow">
      <w:rPr>
        <w:b/>
        <w:bCs/>
      </w:rPr>
      <w:tblPr/>
      <w:tcPr>
        <w:tcBorders>
          <w:top w:val="double" w:sz="4" w:space="0" w:color="8BB8D7" w:themeColor="accent1" w:themeTint="99"/>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0E4" w:themeColor="accent2" w:themeTint="99"/>
        <w:left w:val="single" w:sz="4" w:space="0" w:color="B2D0E4" w:themeColor="accent2" w:themeTint="99"/>
        <w:bottom w:val="single" w:sz="4" w:space="0" w:color="B2D0E4" w:themeColor="accent2" w:themeTint="99"/>
        <w:right w:val="single" w:sz="4" w:space="0" w:color="B2D0E4" w:themeColor="accent2" w:themeTint="99"/>
        <w:insideH w:val="single" w:sz="4" w:space="0" w:color="B2D0E4" w:themeColor="accent2" w:themeTint="99"/>
      </w:tblBorders>
    </w:tblPr>
    <w:tblStylePr w:type="firstRow">
      <w:rPr>
        <w:b/>
        <w:bCs/>
        <w:color w:val="FFFFFF" w:themeColor="background1"/>
      </w:rPr>
      <w:tblPr/>
      <w:tcPr>
        <w:tcBorders>
          <w:top w:val="single" w:sz="4" w:space="0" w:color="80B1D2" w:themeColor="accent2"/>
          <w:left w:val="single" w:sz="4" w:space="0" w:color="80B1D2" w:themeColor="accent2"/>
          <w:bottom w:val="single" w:sz="4" w:space="0" w:color="80B1D2" w:themeColor="accent2"/>
          <w:right w:val="single" w:sz="4" w:space="0" w:color="80B1D2" w:themeColor="accent2"/>
          <w:insideH w:val="nil"/>
        </w:tcBorders>
        <w:shd w:val="clear" w:color="auto" w:fill="80B1D2" w:themeFill="accent2"/>
      </w:tcPr>
    </w:tblStylePr>
    <w:tblStylePr w:type="lastRow">
      <w:rPr>
        <w:b/>
        <w:bCs/>
      </w:rPr>
      <w:tblPr/>
      <w:tcPr>
        <w:tcBorders>
          <w:top w:val="double" w:sz="4" w:space="0" w:color="B2D0E4" w:themeColor="accent2" w:themeTint="99"/>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7F1" w:themeColor="accent3" w:themeTint="99"/>
        <w:left w:val="single" w:sz="4" w:space="0" w:color="D8E7F1" w:themeColor="accent3" w:themeTint="99"/>
        <w:bottom w:val="single" w:sz="4" w:space="0" w:color="D8E7F1" w:themeColor="accent3" w:themeTint="99"/>
        <w:right w:val="single" w:sz="4" w:space="0" w:color="D8E7F1" w:themeColor="accent3" w:themeTint="99"/>
        <w:insideH w:val="single" w:sz="4" w:space="0" w:color="D8E7F1" w:themeColor="accent3" w:themeTint="99"/>
      </w:tblBorders>
    </w:tblPr>
    <w:tblStylePr w:type="firstRow">
      <w:rPr>
        <w:b/>
        <w:bCs/>
        <w:color w:val="FFFFFF" w:themeColor="background1"/>
      </w:rPr>
      <w:tblPr/>
      <w:tcPr>
        <w:tcBorders>
          <w:top w:val="single" w:sz="4" w:space="0" w:color="BFD8E8" w:themeColor="accent3"/>
          <w:left w:val="single" w:sz="4" w:space="0" w:color="BFD8E8" w:themeColor="accent3"/>
          <w:bottom w:val="single" w:sz="4" w:space="0" w:color="BFD8E8" w:themeColor="accent3"/>
          <w:right w:val="single" w:sz="4" w:space="0" w:color="BFD8E8" w:themeColor="accent3"/>
          <w:insideH w:val="nil"/>
        </w:tcBorders>
        <w:shd w:val="clear" w:color="auto" w:fill="BFD8E8" w:themeFill="accent3"/>
      </w:tcPr>
    </w:tblStylePr>
    <w:tblStylePr w:type="lastRow">
      <w:rPr>
        <w:b/>
        <w:bCs/>
      </w:rPr>
      <w:tblPr/>
      <w:tcPr>
        <w:tcBorders>
          <w:top w:val="double" w:sz="4" w:space="0" w:color="D8E7F1" w:themeColor="accent3" w:themeTint="99"/>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8ABB" w:themeColor="accent1"/>
        <w:left w:val="single" w:sz="24" w:space="0" w:color="408ABB" w:themeColor="accent1"/>
        <w:bottom w:val="single" w:sz="24" w:space="0" w:color="408ABB" w:themeColor="accent1"/>
        <w:right w:val="single" w:sz="24" w:space="0" w:color="408ABB" w:themeColor="accent1"/>
      </w:tblBorders>
    </w:tblPr>
    <w:tcPr>
      <w:shd w:val="clear" w:color="auto" w:fill="408ABB"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1D2" w:themeColor="accent2"/>
        <w:left w:val="single" w:sz="24" w:space="0" w:color="80B1D2" w:themeColor="accent2"/>
        <w:bottom w:val="single" w:sz="24" w:space="0" w:color="80B1D2" w:themeColor="accent2"/>
        <w:right w:val="single" w:sz="24" w:space="0" w:color="80B1D2" w:themeColor="accent2"/>
      </w:tblBorders>
    </w:tblPr>
    <w:tcPr>
      <w:shd w:val="clear" w:color="auto" w:fill="80B1D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8E8" w:themeColor="accent3"/>
        <w:left w:val="single" w:sz="24" w:space="0" w:color="BFD8E8" w:themeColor="accent3"/>
        <w:bottom w:val="single" w:sz="24" w:space="0" w:color="BFD8E8" w:themeColor="accent3"/>
        <w:right w:val="single" w:sz="24" w:space="0" w:color="BFD8E8" w:themeColor="accent3"/>
      </w:tblBorders>
    </w:tblPr>
    <w:tcPr>
      <w:shd w:val="clear" w:color="auto" w:fill="BFD8E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678C" w:themeColor="accent1" w:themeShade="BF"/>
    </w:rPr>
    <w:tblPr>
      <w:tblStyleRowBandSize w:val="1"/>
      <w:tblStyleColBandSize w:val="1"/>
      <w:tblBorders>
        <w:top w:val="single" w:sz="4" w:space="0" w:color="408ABB" w:themeColor="accent1"/>
        <w:bottom w:val="single" w:sz="4" w:space="0" w:color="408ABB" w:themeColor="accent1"/>
      </w:tblBorders>
    </w:tblPr>
    <w:tblStylePr w:type="firstRow">
      <w:rPr>
        <w:b/>
        <w:bCs/>
      </w:rPr>
      <w:tblPr/>
      <w:tcPr>
        <w:tcBorders>
          <w:bottom w:val="single" w:sz="4" w:space="0" w:color="408ABB" w:themeColor="accent1"/>
        </w:tcBorders>
      </w:tcPr>
    </w:tblStylePr>
    <w:tblStylePr w:type="lastRow">
      <w:rPr>
        <w:b/>
        <w:bCs/>
      </w:rPr>
      <w:tblPr/>
      <w:tcPr>
        <w:tcBorders>
          <w:top w:val="double" w:sz="4" w:space="0" w:color="408ABB" w:themeColor="accent1"/>
        </w:tcBorders>
      </w:tcPr>
    </w:tblStylePr>
    <w:tblStylePr w:type="firstCol">
      <w:rPr>
        <w:b/>
        <w:bCs/>
      </w:rPr>
    </w:tblStylePr>
    <w:tblStylePr w:type="lastCol">
      <w:rPr>
        <w:b/>
        <w:bCs/>
      </w:rPr>
    </w:tblStylePr>
    <w:tblStylePr w:type="band1Vert">
      <w:tblPr/>
      <w:tcPr>
        <w:shd w:val="clear" w:color="auto" w:fill="D8E7F1" w:themeFill="accent1" w:themeFillTint="33"/>
      </w:tcPr>
    </w:tblStylePr>
    <w:tblStylePr w:type="band1Horz">
      <w:tblPr/>
      <w:tcPr>
        <w:shd w:val="clear" w:color="auto" w:fill="D8E7F1"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28ABA" w:themeColor="accent2" w:themeShade="BF"/>
    </w:rPr>
    <w:tblPr>
      <w:tblStyleRowBandSize w:val="1"/>
      <w:tblStyleColBandSize w:val="1"/>
      <w:tblBorders>
        <w:top w:val="single" w:sz="4" w:space="0" w:color="80B1D2" w:themeColor="accent2"/>
        <w:bottom w:val="single" w:sz="4" w:space="0" w:color="80B1D2" w:themeColor="accent2"/>
      </w:tblBorders>
    </w:tblPr>
    <w:tblStylePr w:type="firstRow">
      <w:rPr>
        <w:b/>
        <w:bCs/>
      </w:rPr>
      <w:tblPr/>
      <w:tcPr>
        <w:tcBorders>
          <w:bottom w:val="single" w:sz="4" w:space="0" w:color="80B1D2" w:themeColor="accent2"/>
        </w:tcBorders>
      </w:tcPr>
    </w:tblStylePr>
    <w:tblStylePr w:type="lastRow">
      <w:rPr>
        <w:b/>
        <w:bCs/>
      </w:rPr>
      <w:tblPr/>
      <w:tcPr>
        <w:tcBorders>
          <w:top w:val="double" w:sz="4" w:space="0" w:color="80B1D2" w:themeColor="accent2"/>
        </w:tcBorders>
      </w:tcPr>
    </w:tblStylePr>
    <w:tblStylePr w:type="firstCol">
      <w:rPr>
        <w:b/>
        <w:bCs/>
      </w:rPr>
    </w:tblStylePr>
    <w:tblStylePr w:type="lastCol">
      <w:rPr>
        <w:b/>
        <w:bCs/>
      </w:rPr>
    </w:tblStylePr>
    <w:tblStylePr w:type="band1Vert">
      <w:tblPr/>
      <w:tcPr>
        <w:shd w:val="clear" w:color="auto" w:fill="E5EFF6" w:themeFill="accent2" w:themeFillTint="33"/>
      </w:tcPr>
    </w:tblStylePr>
    <w:tblStylePr w:type="band1Horz">
      <w:tblPr/>
      <w:tcPr>
        <w:shd w:val="clear" w:color="auto" w:fill="E5EFF6"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0A8CC" w:themeColor="accent3" w:themeShade="BF"/>
    </w:rPr>
    <w:tblPr>
      <w:tblStyleRowBandSize w:val="1"/>
      <w:tblStyleColBandSize w:val="1"/>
      <w:tblBorders>
        <w:top w:val="single" w:sz="4" w:space="0" w:color="BFD8E8" w:themeColor="accent3"/>
        <w:bottom w:val="single" w:sz="4" w:space="0" w:color="BFD8E8" w:themeColor="accent3"/>
      </w:tblBorders>
    </w:tblPr>
    <w:tblStylePr w:type="firstRow">
      <w:rPr>
        <w:b/>
        <w:bCs/>
      </w:rPr>
      <w:tblPr/>
      <w:tcPr>
        <w:tcBorders>
          <w:bottom w:val="single" w:sz="4" w:space="0" w:color="BFD8E8" w:themeColor="accent3"/>
        </w:tcBorders>
      </w:tcPr>
    </w:tblStylePr>
    <w:tblStylePr w:type="lastRow">
      <w:rPr>
        <w:b/>
        <w:bCs/>
      </w:rPr>
      <w:tblPr/>
      <w:tcPr>
        <w:tcBorders>
          <w:top w:val="double" w:sz="4" w:space="0" w:color="BFD8E8" w:themeColor="accent3"/>
        </w:tcBorders>
      </w:tcPr>
    </w:tblStylePr>
    <w:tblStylePr w:type="firstCol">
      <w:rPr>
        <w:b/>
        <w:bCs/>
      </w:rPr>
    </w:tblStylePr>
    <w:tblStylePr w:type="lastCol">
      <w:rPr>
        <w:b/>
        <w:bCs/>
      </w:rPr>
    </w:tblStylePr>
    <w:tblStylePr w:type="band1Vert">
      <w:tblPr/>
      <w:tcPr>
        <w:shd w:val="clear" w:color="auto" w:fill="F2F7FA" w:themeFill="accent3" w:themeFillTint="33"/>
      </w:tcPr>
    </w:tblStylePr>
    <w:tblStylePr w:type="band1Horz">
      <w:tblPr/>
      <w:tcPr>
        <w:shd w:val="clear" w:color="auto" w:fill="F2F7FA"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67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8ABB"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8ABB"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8ABB"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8ABB" w:themeColor="accent1"/>
        </w:tcBorders>
        <w:shd w:val="clear" w:color="auto" w:fill="FFFFFF" w:themeFill="background1"/>
      </w:tcPr>
    </w:tblStylePr>
    <w:tblStylePr w:type="band1Vert">
      <w:tblPr/>
      <w:tcPr>
        <w:shd w:val="clear" w:color="auto" w:fill="D8E7F1" w:themeFill="accent1" w:themeFillTint="33"/>
      </w:tcPr>
    </w:tblStylePr>
    <w:tblStylePr w:type="band1Horz">
      <w:tblPr/>
      <w:tcPr>
        <w:shd w:val="clear" w:color="auto" w:fill="D8E7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28A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1D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1D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1D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1D2" w:themeColor="accent2"/>
        </w:tcBorders>
        <w:shd w:val="clear" w:color="auto" w:fill="FFFFFF" w:themeFill="background1"/>
      </w:tcPr>
    </w:tblStylePr>
    <w:tblStylePr w:type="band1Vert">
      <w:tblPr/>
      <w:tcPr>
        <w:shd w:val="clear" w:color="auto" w:fill="E5EFF6" w:themeFill="accent2" w:themeFillTint="33"/>
      </w:tcPr>
    </w:tblStylePr>
    <w:tblStylePr w:type="band1Horz">
      <w:tblPr/>
      <w:tcPr>
        <w:shd w:val="clear" w:color="auto" w:fill="E5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0A8C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8E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8E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8E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8E8" w:themeColor="accent3"/>
        </w:tcBorders>
        <w:shd w:val="clear" w:color="auto" w:fill="FFFFFF" w:themeFill="background1"/>
      </w:tcPr>
    </w:tblStylePr>
    <w:tblStylePr w:type="band1Vert">
      <w:tblPr/>
      <w:tcPr>
        <w:shd w:val="clear" w:color="auto" w:fill="F2F7FA" w:themeFill="accent3" w:themeFillTint="33"/>
      </w:tcPr>
    </w:tblStylePr>
    <w:tblStylePr w:type="band1Horz">
      <w:tblPr/>
      <w:tcPr>
        <w:shd w:val="clear" w:color="auto" w:fill="F2F7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insideV w:val="single" w:sz="8" w:space="0" w:color="6EA7CD" w:themeColor="accent1" w:themeTint="BF"/>
      </w:tblBorders>
    </w:tblPr>
    <w:tcPr>
      <w:shd w:val="clear" w:color="auto" w:fill="CFE2EE" w:themeFill="accent1" w:themeFillTint="3F"/>
    </w:tcPr>
    <w:tblStylePr w:type="firstRow">
      <w:rPr>
        <w:b/>
        <w:bCs/>
      </w:rPr>
    </w:tblStylePr>
    <w:tblStylePr w:type="lastRow">
      <w:rPr>
        <w:b/>
        <w:bCs/>
      </w:rPr>
      <w:tblPr/>
      <w:tcPr>
        <w:tcBorders>
          <w:top w:val="single" w:sz="18" w:space="0" w:color="6EA7CD" w:themeColor="accent1" w:themeTint="BF"/>
        </w:tcBorders>
      </w:tcPr>
    </w:tblStylePr>
    <w:tblStylePr w:type="firstCol">
      <w:rPr>
        <w:b/>
        <w:bCs/>
      </w:rPr>
    </w:tblStylePr>
    <w:tblStylePr w:type="lastCol">
      <w:rPr>
        <w:b/>
        <w:bCs/>
      </w:rPr>
    </w:tblStylePr>
    <w:tblStylePr w:type="band1Vert">
      <w:tblPr/>
      <w:tcPr>
        <w:shd w:val="clear" w:color="auto" w:fill="9EC4DE" w:themeFill="accent1" w:themeFillTint="7F"/>
      </w:tcPr>
    </w:tblStylePr>
    <w:tblStylePr w:type="band1Horz">
      <w:tblPr/>
      <w:tcPr>
        <w:shd w:val="clear" w:color="auto" w:fill="9EC4DE"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insideV w:val="single" w:sz="8" w:space="0" w:color="9FC4DD" w:themeColor="accent2" w:themeTint="BF"/>
      </w:tblBorders>
    </w:tblPr>
    <w:tcPr>
      <w:shd w:val="clear" w:color="auto" w:fill="DFEBF3" w:themeFill="accent2" w:themeFillTint="3F"/>
    </w:tcPr>
    <w:tblStylePr w:type="firstRow">
      <w:rPr>
        <w:b/>
        <w:bCs/>
      </w:rPr>
    </w:tblStylePr>
    <w:tblStylePr w:type="lastRow">
      <w:rPr>
        <w:b/>
        <w:bCs/>
      </w:rPr>
      <w:tblPr/>
      <w:tcPr>
        <w:tcBorders>
          <w:top w:val="single" w:sz="18" w:space="0" w:color="9FC4DD" w:themeColor="accent2" w:themeTint="BF"/>
        </w:tcBorders>
      </w:tcPr>
    </w:tblStylePr>
    <w:tblStylePr w:type="firstCol">
      <w:rPr>
        <w:b/>
        <w:bCs/>
      </w:rPr>
    </w:tblStylePr>
    <w:tblStylePr w:type="lastCol">
      <w:rPr>
        <w:b/>
        <w:bCs/>
      </w:rPr>
    </w:tblStylePr>
    <w:tblStylePr w:type="band1Vert">
      <w:tblPr/>
      <w:tcPr>
        <w:shd w:val="clear" w:color="auto" w:fill="BFD8E8" w:themeFill="accent2" w:themeFillTint="7F"/>
      </w:tcPr>
    </w:tblStylePr>
    <w:tblStylePr w:type="band1Horz">
      <w:tblPr/>
      <w:tcPr>
        <w:shd w:val="clear" w:color="auto" w:fill="BFD8E8"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insideV w:val="single" w:sz="8" w:space="0" w:color="CEE1ED" w:themeColor="accent3" w:themeTint="BF"/>
      </w:tblBorders>
    </w:tblPr>
    <w:tcPr>
      <w:shd w:val="clear" w:color="auto" w:fill="EFF5F9" w:themeFill="accent3" w:themeFillTint="3F"/>
    </w:tcPr>
    <w:tblStylePr w:type="firstRow">
      <w:rPr>
        <w:b/>
        <w:bCs/>
      </w:rPr>
    </w:tblStylePr>
    <w:tblStylePr w:type="lastRow">
      <w:rPr>
        <w:b/>
        <w:bCs/>
      </w:rPr>
      <w:tblPr/>
      <w:tcPr>
        <w:tcBorders>
          <w:top w:val="single" w:sz="18" w:space="0" w:color="CEE1ED" w:themeColor="accent3" w:themeTint="BF"/>
        </w:tcBorders>
      </w:tcPr>
    </w:tblStylePr>
    <w:tblStylePr w:type="firstCol">
      <w:rPr>
        <w:b/>
        <w:bCs/>
      </w:rPr>
    </w:tblStylePr>
    <w:tblStylePr w:type="lastCol">
      <w:rPr>
        <w:b/>
        <w:bCs/>
      </w:rPr>
    </w:tblStylePr>
    <w:tblStylePr w:type="band1Vert">
      <w:tblPr/>
      <w:tcPr>
        <w:shd w:val="clear" w:color="auto" w:fill="DFEBF3" w:themeFill="accent3" w:themeFillTint="7F"/>
      </w:tcPr>
    </w:tblStylePr>
    <w:tblStylePr w:type="band1Horz">
      <w:tblPr/>
      <w:tcPr>
        <w:shd w:val="clear" w:color="auto" w:fill="DFEBF3"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insideH w:val="single" w:sz="8" w:space="0" w:color="408ABB" w:themeColor="accent1"/>
        <w:insideV w:val="single" w:sz="8" w:space="0" w:color="408ABB" w:themeColor="accent1"/>
      </w:tblBorders>
    </w:tblPr>
    <w:tcPr>
      <w:shd w:val="clear" w:color="auto" w:fill="CFE2EE" w:themeFill="accent1" w:themeFillTint="3F"/>
    </w:tcPr>
    <w:tblStylePr w:type="firstRow">
      <w:rPr>
        <w:b/>
        <w:bCs/>
        <w:color w:val="000000" w:themeColor="text1"/>
      </w:rPr>
      <w:tblPr/>
      <w:tcPr>
        <w:shd w:val="clear" w:color="auto" w:fill="EBF3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7F1" w:themeFill="accent1" w:themeFillTint="33"/>
      </w:tcPr>
    </w:tblStylePr>
    <w:tblStylePr w:type="band1Vert">
      <w:tblPr/>
      <w:tcPr>
        <w:shd w:val="clear" w:color="auto" w:fill="9EC4DE" w:themeFill="accent1" w:themeFillTint="7F"/>
      </w:tcPr>
    </w:tblStylePr>
    <w:tblStylePr w:type="band1Horz">
      <w:tblPr/>
      <w:tcPr>
        <w:tcBorders>
          <w:insideH w:val="single" w:sz="6" w:space="0" w:color="408ABB" w:themeColor="accent1"/>
          <w:insideV w:val="single" w:sz="6" w:space="0" w:color="408ABB" w:themeColor="accent1"/>
        </w:tcBorders>
        <w:shd w:val="clear" w:color="auto" w:fill="9EC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insideH w:val="single" w:sz="8" w:space="0" w:color="80B1D2" w:themeColor="accent2"/>
        <w:insideV w:val="single" w:sz="8" w:space="0" w:color="80B1D2" w:themeColor="accent2"/>
      </w:tblBorders>
    </w:tblPr>
    <w:tcPr>
      <w:shd w:val="clear" w:color="auto" w:fill="DFEBF3" w:themeFill="accent2" w:themeFillTint="3F"/>
    </w:tcPr>
    <w:tblStylePr w:type="firstRow">
      <w:rPr>
        <w:b/>
        <w:bCs/>
        <w:color w:val="000000" w:themeColor="text1"/>
      </w:rPr>
      <w:tblPr/>
      <w:tcPr>
        <w:shd w:val="clear" w:color="auto" w:fill="F2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FF6" w:themeFill="accent2" w:themeFillTint="33"/>
      </w:tcPr>
    </w:tblStylePr>
    <w:tblStylePr w:type="band1Vert">
      <w:tblPr/>
      <w:tcPr>
        <w:shd w:val="clear" w:color="auto" w:fill="BFD8E8" w:themeFill="accent2" w:themeFillTint="7F"/>
      </w:tcPr>
    </w:tblStylePr>
    <w:tblStylePr w:type="band1Horz">
      <w:tblPr/>
      <w:tcPr>
        <w:tcBorders>
          <w:insideH w:val="single" w:sz="6" w:space="0" w:color="80B1D2" w:themeColor="accent2"/>
          <w:insideV w:val="single" w:sz="6" w:space="0" w:color="80B1D2" w:themeColor="accent2"/>
        </w:tcBorders>
        <w:shd w:val="clear" w:color="auto" w:fill="BFD8E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insideH w:val="single" w:sz="8" w:space="0" w:color="BFD8E8" w:themeColor="accent3"/>
        <w:insideV w:val="single" w:sz="8" w:space="0" w:color="BFD8E8" w:themeColor="accent3"/>
      </w:tblBorders>
    </w:tblPr>
    <w:tcPr>
      <w:shd w:val="clear" w:color="auto" w:fill="EFF5F9"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7FA" w:themeFill="accent3" w:themeFillTint="33"/>
      </w:tcPr>
    </w:tblStylePr>
    <w:tblStylePr w:type="band1Vert">
      <w:tblPr/>
      <w:tcPr>
        <w:shd w:val="clear" w:color="auto" w:fill="DFEBF3" w:themeFill="accent3" w:themeFillTint="7F"/>
      </w:tcPr>
    </w:tblStylePr>
    <w:tblStylePr w:type="band1Horz">
      <w:tblPr/>
      <w:tcPr>
        <w:tcBorders>
          <w:insideH w:val="single" w:sz="6" w:space="0" w:color="BFD8E8" w:themeColor="accent3"/>
          <w:insideV w:val="single" w:sz="6" w:space="0" w:color="BFD8E8" w:themeColor="accent3"/>
        </w:tcBorders>
        <w:shd w:val="clear" w:color="auto" w:fill="DFEBF3"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E2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8AB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8AB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8AB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C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C4DE"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BF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1D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1D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1D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8E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8E8"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5F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8E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8E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8E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BF3"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BF3"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63A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8ABB" w:themeColor="accent1"/>
        <w:bottom w:val="single" w:sz="8" w:space="0" w:color="408ABB" w:themeColor="accent1"/>
      </w:tblBorders>
    </w:tblPr>
    <w:tblStylePr w:type="firstRow">
      <w:rPr>
        <w:rFonts w:asciiTheme="majorHAnsi" w:eastAsiaTheme="majorEastAsia" w:hAnsiTheme="majorHAnsi" w:cstheme="majorBidi"/>
      </w:rPr>
      <w:tblPr/>
      <w:tcPr>
        <w:tcBorders>
          <w:top w:val="nil"/>
          <w:bottom w:val="single" w:sz="8" w:space="0" w:color="408ABB" w:themeColor="accent1"/>
        </w:tcBorders>
      </w:tcPr>
    </w:tblStylePr>
    <w:tblStylePr w:type="lastRow">
      <w:rPr>
        <w:b/>
        <w:bCs/>
        <w:color w:val="0063A5" w:themeColor="text2"/>
      </w:rPr>
      <w:tblPr/>
      <w:tcPr>
        <w:tcBorders>
          <w:top w:val="single" w:sz="8" w:space="0" w:color="408ABB" w:themeColor="accent1"/>
          <w:bottom w:val="single" w:sz="8" w:space="0" w:color="408ABB" w:themeColor="accent1"/>
        </w:tcBorders>
      </w:tcPr>
    </w:tblStylePr>
    <w:tblStylePr w:type="firstCol">
      <w:rPr>
        <w:b/>
        <w:bCs/>
      </w:rPr>
    </w:tblStylePr>
    <w:tblStylePr w:type="lastCol">
      <w:rPr>
        <w:b/>
        <w:bCs/>
      </w:rPr>
      <w:tblPr/>
      <w:tcPr>
        <w:tcBorders>
          <w:top w:val="single" w:sz="8" w:space="0" w:color="408ABB" w:themeColor="accent1"/>
          <w:bottom w:val="single" w:sz="8" w:space="0" w:color="408ABB" w:themeColor="accent1"/>
        </w:tcBorders>
      </w:tcPr>
    </w:tblStylePr>
    <w:tblStylePr w:type="band1Vert">
      <w:tblPr/>
      <w:tcPr>
        <w:shd w:val="clear" w:color="auto" w:fill="CFE2EE" w:themeFill="accent1" w:themeFillTint="3F"/>
      </w:tcPr>
    </w:tblStylePr>
    <w:tblStylePr w:type="band1Horz">
      <w:tblPr/>
      <w:tcPr>
        <w:shd w:val="clear" w:color="auto" w:fill="CFE2EE"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1D2" w:themeColor="accent2"/>
        <w:bottom w:val="single" w:sz="8" w:space="0" w:color="80B1D2" w:themeColor="accent2"/>
      </w:tblBorders>
    </w:tblPr>
    <w:tblStylePr w:type="firstRow">
      <w:rPr>
        <w:rFonts w:asciiTheme="majorHAnsi" w:eastAsiaTheme="majorEastAsia" w:hAnsiTheme="majorHAnsi" w:cstheme="majorBidi"/>
      </w:rPr>
      <w:tblPr/>
      <w:tcPr>
        <w:tcBorders>
          <w:top w:val="nil"/>
          <w:bottom w:val="single" w:sz="8" w:space="0" w:color="80B1D2" w:themeColor="accent2"/>
        </w:tcBorders>
      </w:tcPr>
    </w:tblStylePr>
    <w:tblStylePr w:type="lastRow">
      <w:rPr>
        <w:b/>
        <w:bCs/>
        <w:color w:val="0063A5" w:themeColor="text2"/>
      </w:rPr>
      <w:tblPr/>
      <w:tcPr>
        <w:tcBorders>
          <w:top w:val="single" w:sz="8" w:space="0" w:color="80B1D2" w:themeColor="accent2"/>
          <w:bottom w:val="single" w:sz="8" w:space="0" w:color="80B1D2" w:themeColor="accent2"/>
        </w:tcBorders>
      </w:tcPr>
    </w:tblStylePr>
    <w:tblStylePr w:type="firstCol">
      <w:rPr>
        <w:b/>
        <w:bCs/>
      </w:rPr>
    </w:tblStylePr>
    <w:tblStylePr w:type="lastCol">
      <w:rPr>
        <w:b/>
        <w:bCs/>
      </w:rPr>
      <w:tblPr/>
      <w:tcPr>
        <w:tcBorders>
          <w:top w:val="single" w:sz="8" w:space="0" w:color="80B1D2" w:themeColor="accent2"/>
          <w:bottom w:val="single" w:sz="8" w:space="0" w:color="80B1D2" w:themeColor="accent2"/>
        </w:tcBorders>
      </w:tcPr>
    </w:tblStylePr>
    <w:tblStylePr w:type="band1Vert">
      <w:tblPr/>
      <w:tcPr>
        <w:shd w:val="clear" w:color="auto" w:fill="DFEBF3" w:themeFill="accent2" w:themeFillTint="3F"/>
      </w:tcPr>
    </w:tblStylePr>
    <w:tblStylePr w:type="band1Horz">
      <w:tblPr/>
      <w:tcPr>
        <w:shd w:val="clear" w:color="auto" w:fill="DFEBF3"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8E8" w:themeColor="accent3"/>
        <w:bottom w:val="single" w:sz="8" w:space="0" w:color="BFD8E8" w:themeColor="accent3"/>
      </w:tblBorders>
    </w:tblPr>
    <w:tblStylePr w:type="firstRow">
      <w:rPr>
        <w:rFonts w:asciiTheme="majorHAnsi" w:eastAsiaTheme="majorEastAsia" w:hAnsiTheme="majorHAnsi" w:cstheme="majorBidi"/>
      </w:rPr>
      <w:tblPr/>
      <w:tcPr>
        <w:tcBorders>
          <w:top w:val="nil"/>
          <w:bottom w:val="single" w:sz="8" w:space="0" w:color="BFD8E8" w:themeColor="accent3"/>
        </w:tcBorders>
      </w:tcPr>
    </w:tblStylePr>
    <w:tblStylePr w:type="lastRow">
      <w:rPr>
        <w:b/>
        <w:bCs/>
        <w:color w:val="0063A5" w:themeColor="text2"/>
      </w:rPr>
      <w:tblPr/>
      <w:tcPr>
        <w:tcBorders>
          <w:top w:val="single" w:sz="8" w:space="0" w:color="BFD8E8" w:themeColor="accent3"/>
          <w:bottom w:val="single" w:sz="8" w:space="0" w:color="BFD8E8" w:themeColor="accent3"/>
        </w:tcBorders>
      </w:tcPr>
    </w:tblStylePr>
    <w:tblStylePr w:type="firstCol">
      <w:rPr>
        <w:b/>
        <w:bCs/>
      </w:rPr>
    </w:tblStylePr>
    <w:tblStylePr w:type="lastCol">
      <w:rPr>
        <w:b/>
        <w:bCs/>
      </w:rPr>
      <w:tblPr/>
      <w:tcPr>
        <w:tcBorders>
          <w:top w:val="single" w:sz="8" w:space="0" w:color="BFD8E8" w:themeColor="accent3"/>
          <w:bottom w:val="single" w:sz="8" w:space="0" w:color="BFD8E8" w:themeColor="accent3"/>
        </w:tcBorders>
      </w:tcPr>
    </w:tblStylePr>
    <w:tblStylePr w:type="band1Vert">
      <w:tblPr/>
      <w:tcPr>
        <w:shd w:val="clear" w:color="auto" w:fill="EFF5F9" w:themeFill="accent3" w:themeFillTint="3F"/>
      </w:tcPr>
    </w:tblStylePr>
    <w:tblStylePr w:type="band1Horz">
      <w:tblPr/>
      <w:tcPr>
        <w:shd w:val="clear" w:color="auto" w:fill="EFF5F9"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63A5"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63A5"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63A5"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8ABB" w:themeColor="accent1"/>
        <w:left w:val="single" w:sz="8" w:space="0" w:color="408ABB" w:themeColor="accent1"/>
        <w:bottom w:val="single" w:sz="8" w:space="0" w:color="408ABB" w:themeColor="accent1"/>
        <w:right w:val="single" w:sz="8" w:space="0" w:color="408ABB" w:themeColor="accent1"/>
      </w:tblBorders>
    </w:tblPr>
    <w:tblStylePr w:type="firstRow">
      <w:rPr>
        <w:sz w:val="24"/>
        <w:szCs w:val="24"/>
      </w:rPr>
      <w:tblPr/>
      <w:tcPr>
        <w:tcBorders>
          <w:top w:val="nil"/>
          <w:left w:val="nil"/>
          <w:bottom w:val="single" w:sz="24" w:space="0" w:color="408ABB" w:themeColor="accent1"/>
          <w:right w:val="nil"/>
          <w:insideH w:val="nil"/>
          <w:insideV w:val="nil"/>
        </w:tcBorders>
        <w:shd w:val="clear" w:color="auto" w:fill="FFFFFF" w:themeFill="background1"/>
      </w:tcPr>
    </w:tblStylePr>
    <w:tblStylePr w:type="lastRow">
      <w:tblPr/>
      <w:tcPr>
        <w:tcBorders>
          <w:top w:val="single" w:sz="8" w:space="0" w:color="408AB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8ABB" w:themeColor="accent1"/>
          <w:insideH w:val="nil"/>
          <w:insideV w:val="nil"/>
        </w:tcBorders>
        <w:shd w:val="clear" w:color="auto" w:fill="FFFFFF" w:themeFill="background1"/>
      </w:tcPr>
    </w:tblStylePr>
    <w:tblStylePr w:type="lastCol">
      <w:tblPr/>
      <w:tcPr>
        <w:tcBorders>
          <w:top w:val="nil"/>
          <w:left w:val="single" w:sz="8" w:space="0" w:color="408AB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E2EE" w:themeFill="accent1" w:themeFillTint="3F"/>
      </w:tcPr>
    </w:tblStylePr>
    <w:tblStylePr w:type="band1Horz">
      <w:tblPr/>
      <w:tcPr>
        <w:tcBorders>
          <w:top w:val="nil"/>
          <w:bottom w:val="nil"/>
          <w:insideH w:val="nil"/>
          <w:insideV w:val="nil"/>
        </w:tcBorders>
        <w:shd w:val="clear" w:color="auto" w:fill="CFE2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1D2" w:themeColor="accent2"/>
        <w:left w:val="single" w:sz="8" w:space="0" w:color="80B1D2" w:themeColor="accent2"/>
        <w:bottom w:val="single" w:sz="8" w:space="0" w:color="80B1D2" w:themeColor="accent2"/>
        <w:right w:val="single" w:sz="8" w:space="0" w:color="80B1D2" w:themeColor="accent2"/>
      </w:tblBorders>
    </w:tblPr>
    <w:tblStylePr w:type="firstRow">
      <w:rPr>
        <w:sz w:val="24"/>
        <w:szCs w:val="24"/>
      </w:rPr>
      <w:tblPr/>
      <w:tcPr>
        <w:tcBorders>
          <w:top w:val="nil"/>
          <w:left w:val="nil"/>
          <w:bottom w:val="single" w:sz="24" w:space="0" w:color="80B1D2" w:themeColor="accent2"/>
          <w:right w:val="nil"/>
          <w:insideH w:val="nil"/>
          <w:insideV w:val="nil"/>
        </w:tcBorders>
        <w:shd w:val="clear" w:color="auto" w:fill="FFFFFF" w:themeFill="background1"/>
      </w:tcPr>
    </w:tblStylePr>
    <w:tblStylePr w:type="lastRow">
      <w:tblPr/>
      <w:tcPr>
        <w:tcBorders>
          <w:top w:val="single" w:sz="8" w:space="0" w:color="80B1D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1D2" w:themeColor="accent2"/>
          <w:insideH w:val="nil"/>
          <w:insideV w:val="nil"/>
        </w:tcBorders>
        <w:shd w:val="clear" w:color="auto" w:fill="FFFFFF" w:themeFill="background1"/>
      </w:tcPr>
    </w:tblStylePr>
    <w:tblStylePr w:type="lastCol">
      <w:tblPr/>
      <w:tcPr>
        <w:tcBorders>
          <w:top w:val="nil"/>
          <w:left w:val="single" w:sz="8" w:space="0" w:color="80B1D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BF3" w:themeFill="accent2" w:themeFillTint="3F"/>
      </w:tcPr>
    </w:tblStylePr>
    <w:tblStylePr w:type="band1Horz">
      <w:tblPr/>
      <w:tcPr>
        <w:tcBorders>
          <w:top w:val="nil"/>
          <w:bottom w:val="nil"/>
          <w:insideH w:val="nil"/>
          <w:insideV w:val="nil"/>
        </w:tcBorders>
        <w:shd w:val="clear" w:color="auto" w:fill="DFEB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8E8" w:themeColor="accent3"/>
        <w:left w:val="single" w:sz="8" w:space="0" w:color="BFD8E8" w:themeColor="accent3"/>
        <w:bottom w:val="single" w:sz="8" w:space="0" w:color="BFD8E8" w:themeColor="accent3"/>
        <w:right w:val="single" w:sz="8" w:space="0" w:color="BFD8E8" w:themeColor="accent3"/>
      </w:tblBorders>
    </w:tblPr>
    <w:tblStylePr w:type="firstRow">
      <w:rPr>
        <w:sz w:val="24"/>
        <w:szCs w:val="24"/>
      </w:rPr>
      <w:tblPr/>
      <w:tcPr>
        <w:tcBorders>
          <w:top w:val="nil"/>
          <w:left w:val="nil"/>
          <w:bottom w:val="single" w:sz="24" w:space="0" w:color="BFD8E8" w:themeColor="accent3"/>
          <w:right w:val="nil"/>
          <w:insideH w:val="nil"/>
          <w:insideV w:val="nil"/>
        </w:tcBorders>
        <w:shd w:val="clear" w:color="auto" w:fill="FFFFFF" w:themeFill="background1"/>
      </w:tcPr>
    </w:tblStylePr>
    <w:tblStylePr w:type="lastRow">
      <w:tblPr/>
      <w:tcPr>
        <w:tcBorders>
          <w:top w:val="single" w:sz="8" w:space="0" w:color="BFD8E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8E8" w:themeColor="accent3"/>
          <w:insideH w:val="nil"/>
          <w:insideV w:val="nil"/>
        </w:tcBorders>
        <w:shd w:val="clear" w:color="auto" w:fill="FFFFFF" w:themeFill="background1"/>
      </w:tcPr>
    </w:tblStylePr>
    <w:tblStylePr w:type="lastCol">
      <w:tblPr/>
      <w:tcPr>
        <w:tcBorders>
          <w:top w:val="nil"/>
          <w:left w:val="single" w:sz="8" w:space="0" w:color="BFD8E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5F9" w:themeFill="accent3" w:themeFillTint="3F"/>
      </w:tcPr>
    </w:tblStylePr>
    <w:tblStylePr w:type="band1Horz">
      <w:tblPr/>
      <w:tcPr>
        <w:tcBorders>
          <w:top w:val="nil"/>
          <w:bottom w:val="nil"/>
          <w:insideH w:val="nil"/>
          <w:insideV w:val="nil"/>
        </w:tcBorders>
        <w:shd w:val="clear" w:color="auto" w:fill="EFF5F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single" w:sz="8" w:space="0" w:color="6EA7CD" w:themeColor="accent1" w:themeTint="BF"/>
      </w:tblBorders>
    </w:tblPr>
    <w:tblStylePr w:type="firstRow">
      <w:pPr>
        <w:spacing w:before="0" w:after="0" w:line="240" w:lineRule="auto"/>
      </w:pPr>
      <w:rPr>
        <w:b/>
        <w:bCs/>
        <w:color w:val="FFFFFF" w:themeColor="background1"/>
      </w:rPr>
      <w:tblPr/>
      <w:tcPr>
        <w:tcBorders>
          <w:top w:val="single" w:sz="8"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shd w:val="clear" w:color="auto" w:fill="408ABB" w:themeFill="accent1"/>
      </w:tcPr>
    </w:tblStylePr>
    <w:tblStylePr w:type="lastRow">
      <w:pPr>
        <w:spacing w:before="0" w:after="0" w:line="240" w:lineRule="auto"/>
      </w:pPr>
      <w:rPr>
        <w:b/>
        <w:bCs/>
      </w:rPr>
      <w:tblPr/>
      <w:tcPr>
        <w:tcBorders>
          <w:top w:val="double" w:sz="6" w:space="0" w:color="6EA7CD" w:themeColor="accent1" w:themeTint="BF"/>
          <w:left w:val="single" w:sz="8" w:space="0" w:color="6EA7CD" w:themeColor="accent1" w:themeTint="BF"/>
          <w:bottom w:val="single" w:sz="8" w:space="0" w:color="6EA7CD" w:themeColor="accent1" w:themeTint="BF"/>
          <w:right w:val="single" w:sz="8" w:space="0" w:color="6EA7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E2EE" w:themeFill="accent1" w:themeFillTint="3F"/>
      </w:tcPr>
    </w:tblStylePr>
    <w:tblStylePr w:type="band1Horz">
      <w:tblPr/>
      <w:tcPr>
        <w:tcBorders>
          <w:insideH w:val="nil"/>
          <w:insideV w:val="nil"/>
        </w:tcBorders>
        <w:shd w:val="clear" w:color="auto" w:fill="CFE2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single" w:sz="8" w:space="0" w:color="9FC4DD" w:themeColor="accent2" w:themeTint="BF"/>
      </w:tblBorders>
    </w:tblPr>
    <w:tblStylePr w:type="firstRow">
      <w:pPr>
        <w:spacing w:before="0" w:after="0" w:line="240" w:lineRule="auto"/>
      </w:pPr>
      <w:rPr>
        <w:b/>
        <w:bCs/>
        <w:color w:val="FFFFFF" w:themeColor="background1"/>
      </w:rPr>
      <w:tblPr/>
      <w:tcPr>
        <w:tcBorders>
          <w:top w:val="single" w:sz="8"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shd w:val="clear" w:color="auto" w:fill="80B1D2" w:themeFill="accent2"/>
      </w:tcPr>
    </w:tblStylePr>
    <w:tblStylePr w:type="lastRow">
      <w:pPr>
        <w:spacing w:before="0" w:after="0" w:line="240" w:lineRule="auto"/>
      </w:pPr>
      <w:rPr>
        <w:b/>
        <w:bCs/>
      </w:rPr>
      <w:tblPr/>
      <w:tcPr>
        <w:tcBorders>
          <w:top w:val="double" w:sz="6" w:space="0" w:color="9FC4DD" w:themeColor="accent2" w:themeTint="BF"/>
          <w:left w:val="single" w:sz="8" w:space="0" w:color="9FC4DD" w:themeColor="accent2" w:themeTint="BF"/>
          <w:bottom w:val="single" w:sz="8" w:space="0" w:color="9FC4DD" w:themeColor="accent2" w:themeTint="BF"/>
          <w:right w:val="single" w:sz="8" w:space="0" w:color="9FC4D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BF3" w:themeFill="accent2" w:themeFillTint="3F"/>
      </w:tcPr>
    </w:tblStylePr>
    <w:tblStylePr w:type="band1Horz">
      <w:tblPr/>
      <w:tcPr>
        <w:tcBorders>
          <w:insideH w:val="nil"/>
          <w:insideV w:val="nil"/>
        </w:tcBorders>
        <w:shd w:val="clear" w:color="auto" w:fill="DFEBF3"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single" w:sz="8" w:space="0" w:color="CEE1ED" w:themeColor="accent3" w:themeTint="BF"/>
      </w:tblBorders>
    </w:tblPr>
    <w:tblStylePr w:type="firstRow">
      <w:pPr>
        <w:spacing w:before="0" w:after="0" w:line="240" w:lineRule="auto"/>
      </w:pPr>
      <w:rPr>
        <w:b/>
        <w:bCs/>
        <w:color w:val="FFFFFF" w:themeColor="background1"/>
      </w:rPr>
      <w:tblPr/>
      <w:tcPr>
        <w:tcBorders>
          <w:top w:val="single" w:sz="8"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shd w:val="clear" w:color="auto" w:fill="BFD8E8" w:themeFill="accent3"/>
      </w:tcPr>
    </w:tblStylePr>
    <w:tblStylePr w:type="lastRow">
      <w:pPr>
        <w:spacing w:before="0" w:after="0" w:line="240" w:lineRule="auto"/>
      </w:pPr>
      <w:rPr>
        <w:b/>
        <w:bCs/>
      </w:rPr>
      <w:tblPr/>
      <w:tcPr>
        <w:tcBorders>
          <w:top w:val="double" w:sz="6" w:space="0" w:color="CEE1ED" w:themeColor="accent3" w:themeTint="BF"/>
          <w:left w:val="single" w:sz="8" w:space="0" w:color="CEE1ED" w:themeColor="accent3" w:themeTint="BF"/>
          <w:bottom w:val="single" w:sz="8" w:space="0" w:color="CEE1ED" w:themeColor="accent3" w:themeTint="BF"/>
          <w:right w:val="single" w:sz="8" w:space="0" w:color="CEE1ED"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5F9" w:themeFill="accent3" w:themeFillTint="3F"/>
      </w:tcPr>
    </w:tblStylePr>
    <w:tblStylePr w:type="band1Horz">
      <w:tblPr/>
      <w:tcPr>
        <w:tcBorders>
          <w:insideH w:val="nil"/>
          <w:insideV w:val="nil"/>
        </w:tcBorders>
        <w:shd w:val="clear" w:color="auto" w:fill="EFF5F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8AB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8ABB" w:themeFill="accent1"/>
      </w:tcPr>
    </w:tblStylePr>
    <w:tblStylePr w:type="lastCol">
      <w:rPr>
        <w:b/>
        <w:bCs/>
        <w:color w:val="FFFFFF" w:themeColor="background1"/>
      </w:rPr>
      <w:tblPr/>
      <w:tcPr>
        <w:tcBorders>
          <w:left w:val="nil"/>
          <w:right w:val="nil"/>
          <w:insideH w:val="nil"/>
          <w:insideV w:val="nil"/>
        </w:tcBorders>
        <w:shd w:val="clear" w:color="auto" w:fill="408AB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1D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1D2" w:themeFill="accent2"/>
      </w:tcPr>
    </w:tblStylePr>
    <w:tblStylePr w:type="lastCol">
      <w:rPr>
        <w:b/>
        <w:bCs/>
        <w:color w:val="FFFFFF" w:themeColor="background1"/>
      </w:rPr>
      <w:tblPr/>
      <w:tcPr>
        <w:tcBorders>
          <w:left w:val="nil"/>
          <w:right w:val="nil"/>
          <w:insideH w:val="nil"/>
          <w:insideV w:val="nil"/>
        </w:tcBorders>
        <w:shd w:val="clear" w:color="auto" w:fill="80B1D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8E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8E8" w:themeFill="accent3"/>
      </w:tcPr>
    </w:tblStylePr>
    <w:tblStylePr w:type="lastCol">
      <w:rPr>
        <w:b/>
        <w:bCs/>
        <w:color w:val="FFFFFF" w:themeColor="background1"/>
      </w:rPr>
      <w:tblPr/>
      <w:tcPr>
        <w:tcBorders>
          <w:left w:val="nil"/>
          <w:right w:val="nil"/>
          <w:insideH w:val="nil"/>
          <w:insideV w:val="nil"/>
        </w:tcBorders>
        <w:shd w:val="clear" w:color="auto" w:fill="BFD8E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D76AD4"/>
    <w:pPr>
      <w:spacing w:before="100" w:after="100"/>
    </w:pPr>
  </w:style>
  <w:style w:type="paragraph" w:customStyle="1" w:styleId="PulloutHeading">
    <w:name w:val="Pullout Heading"/>
    <w:basedOn w:val="PulloutText"/>
    <w:next w:val="PulloutText"/>
    <w:uiPriority w:val="1"/>
    <w:qFormat/>
    <w:rsid w:val="00D76AD4"/>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911408"/>
    <w:rPr>
      <w:color w:val="605E5C"/>
      <w:shd w:val="clear" w:color="auto" w:fill="E1DFDD"/>
    </w:rPr>
  </w:style>
  <w:style w:type="character" w:styleId="CommentReference">
    <w:name w:val="annotation reference"/>
    <w:basedOn w:val="DefaultParagraphFont"/>
    <w:uiPriority w:val="1"/>
    <w:semiHidden/>
    <w:unhideWhenUsed/>
    <w:rsid w:val="00273139"/>
    <w:rPr>
      <w:sz w:val="16"/>
      <w:szCs w:val="16"/>
    </w:rPr>
  </w:style>
  <w:style w:type="paragraph" w:styleId="CommentText">
    <w:name w:val="annotation text"/>
    <w:basedOn w:val="Normal"/>
    <w:link w:val="CommentTextChar"/>
    <w:uiPriority w:val="1"/>
    <w:semiHidden/>
    <w:unhideWhenUsed/>
    <w:rsid w:val="00273139"/>
    <w:pPr>
      <w:spacing w:line="240" w:lineRule="auto"/>
    </w:pPr>
  </w:style>
  <w:style w:type="character" w:customStyle="1" w:styleId="CommentTextChar">
    <w:name w:val="Comment Text Char"/>
    <w:basedOn w:val="DefaultParagraphFont"/>
    <w:link w:val="CommentText"/>
    <w:uiPriority w:val="1"/>
    <w:semiHidden/>
    <w:rsid w:val="00273139"/>
  </w:style>
  <w:style w:type="paragraph" w:styleId="CommentSubject">
    <w:name w:val="annotation subject"/>
    <w:basedOn w:val="CommentText"/>
    <w:next w:val="CommentText"/>
    <w:link w:val="CommentSubjectChar"/>
    <w:uiPriority w:val="1"/>
    <w:semiHidden/>
    <w:unhideWhenUsed/>
    <w:rsid w:val="00273139"/>
    <w:rPr>
      <w:b/>
      <w:bCs/>
    </w:rPr>
  </w:style>
  <w:style w:type="character" w:customStyle="1" w:styleId="CommentSubjectChar">
    <w:name w:val="Comment Subject Char"/>
    <w:basedOn w:val="CommentTextChar"/>
    <w:link w:val="CommentSubject"/>
    <w:uiPriority w:val="1"/>
    <w:semiHidden/>
    <w:rsid w:val="00273139"/>
    <w:rPr>
      <w:b/>
      <w:bCs/>
    </w:rPr>
  </w:style>
  <w:style w:type="paragraph" w:customStyle="1" w:styleId="DHHSbody">
    <w:name w:val="DHHS body"/>
    <w:link w:val="DHHSbodyChar"/>
    <w:qFormat/>
    <w:rsid w:val="00262C17"/>
    <w:pPr>
      <w:spacing w:before="0" w:after="120" w:line="270" w:lineRule="atLeast"/>
    </w:pPr>
    <w:rPr>
      <w:rFonts w:ascii="Arial" w:eastAsia="Times" w:hAnsi="Arial" w:cs="Times New Roman"/>
      <w:lang w:eastAsia="en-US"/>
    </w:rPr>
  </w:style>
  <w:style w:type="character" w:customStyle="1" w:styleId="DHHSbodyChar">
    <w:name w:val="DHHS body Char"/>
    <w:link w:val="DHHSbody"/>
    <w:rsid w:val="00262C17"/>
    <w:rPr>
      <w:rFonts w:ascii="Arial" w:eastAsia="Times"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safercare.vic.gov.au" TargetMode="External"/><Relationship Id="rId1" Type="http://schemas.openxmlformats.org/officeDocument/2006/relationships/hyperlink" Target="mailto:info@safercare.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01490554421439"/>
          <c:y val="0.20859324119754741"/>
          <c:w val="0.83201548880464016"/>
          <c:h val="0.6279082127182235"/>
        </c:manualLayout>
      </c:layout>
      <c:barChart>
        <c:barDir val="col"/>
        <c:grouping val="clustered"/>
        <c:varyColors val="0"/>
        <c:ser>
          <c:idx val="0"/>
          <c:order val="0"/>
          <c:tx>
            <c:strRef>
              <c:f>Waitlist!$B$50</c:f>
              <c:strCache>
                <c:ptCount val="1"/>
                <c:pt idx="0">
                  <c:v>Surgical hysteroscopy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Waitlist!$A$51:$A$53</c:f>
              <c:strCache>
                <c:ptCount val="3"/>
                <c:pt idx="0">
                  <c:v>Total LOS</c:v>
                </c:pt>
                <c:pt idx="1">
                  <c:v>Total procedure time</c:v>
                </c:pt>
                <c:pt idx="2">
                  <c:v>Average recovery time</c:v>
                </c:pt>
              </c:strCache>
            </c:strRef>
          </c:cat>
          <c:val>
            <c:numRef>
              <c:f>Waitlist!$B$51:$B$53</c:f>
              <c:numCache>
                <c:formatCode>h:mm</c:formatCode>
                <c:ptCount val="3"/>
                <c:pt idx="0">
                  <c:v>0.29791666666666666</c:v>
                </c:pt>
                <c:pt idx="1">
                  <c:v>1.3888888888888888E-2</c:v>
                </c:pt>
                <c:pt idx="2">
                  <c:v>0.11180555555555556</c:v>
                </c:pt>
              </c:numCache>
            </c:numRef>
          </c:val>
          <c:extLst>
            <c:ext xmlns:c16="http://schemas.microsoft.com/office/drawing/2014/chart" uri="{C3380CC4-5D6E-409C-BE32-E72D297353CC}">
              <c16:uniqueId val="{00000000-CD88-4289-85C7-5F7A5A20D5CB}"/>
            </c:ext>
          </c:extLst>
        </c:ser>
        <c:ser>
          <c:idx val="1"/>
          <c:order val="1"/>
          <c:tx>
            <c:strRef>
              <c:f>Waitlist!$C$50</c:f>
              <c:strCache>
                <c:ptCount val="1"/>
                <c:pt idx="0">
                  <c:v>Ambulatory hysteroscopy</c:v>
                </c:pt>
              </c:strCache>
            </c:strRef>
          </c:tx>
          <c:spPr>
            <a:solidFill>
              <a:srgbClr val="FAB157"/>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Waitlist!$A$51:$A$53</c:f>
              <c:strCache>
                <c:ptCount val="3"/>
                <c:pt idx="0">
                  <c:v>Total LOS</c:v>
                </c:pt>
                <c:pt idx="1">
                  <c:v>Total procedure time</c:v>
                </c:pt>
                <c:pt idx="2">
                  <c:v>Average recovery time</c:v>
                </c:pt>
              </c:strCache>
            </c:strRef>
          </c:cat>
          <c:val>
            <c:numRef>
              <c:f>Waitlist!$C$51:$C$53</c:f>
              <c:numCache>
                <c:formatCode>h:mm</c:formatCode>
                <c:ptCount val="3"/>
                <c:pt idx="0">
                  <c:v>9.4444444444444442E-2</c:v>
                </c:pt>
                <c:pt idx="1">
                  <c:v>2.2222222222222223E-2</c:v>
                </c:pt>
                <c:pt idx="2">
                  <c:v>2.2222222222222223E-2</c:v>
                </c:pt>
              </c:numCache>
            </c:numRef>
          </c:val>
          <c:extLst>
            <c:ext xmlns:c16="http://schemas.microsoft.com/office/drawing/2014/chart" uri="{C3380CC4-5D6E-409C-BE32-E72D297353CC}">
              <c16:uniqueId val="{00000001-CD88-4289-85C7-5F7A5A20D5CB}"/>
            </c:ext>
          </c:extLst>
        </c:ser>
        <c:dLbls>
          <c:showLegendKey val="0"/>
          <c:showVal val="0"/>
          <c:showCatName val="0"/>
          <c:showSerName val="0"/>
          <c:showPercent val="0"/>
          <c:showBubbleSize val="0"/>
        </c:dLbls>
        <c:gapWidth val="150"/>
        <c:axId val="173039616"/>
        <c:axId val="173041152"/>
      </c:barChart>
      <c:catAx>
        <c:axId val="173039616"/>
        <c:scaling>
          <c:orientation val="minMax"/>
        </c:scaling>
        <c:delete val="0"/>
        <c:axPos val="b"/>
        <c:numFmt formatCode="General" sourceLinked="0"/>
        <c:majorTickMark val="out"/>
        <c:minorTickMark val="none"/>
        <c:tickLblPos val="nextTo"/>
        <c:crossAx val="173041152"/>
        <c:crosses val="autoZero"/>
        <c:auto val="1"/>
        <c:lblAlgn val="ctr"/>
        <c:lblOffset val="100"/>
        <c:noMultiLvlLbl val="0"/>
      </c:catAx>
      <c:valAx>
        <c:axId val="173041152"/>
        <c:scaling>
          <c:orientation val="minMax"/>
        </c:scaling>
        <c:delete val="0"/>
        <c:axPos val="l"/>
        <c:majorGridlines>
          <c:spPr>
            <a:ln>
              <a:noFill/>
            </a:ln>
          </c:spPr>
        </c:majorGridlines>
        <c:numFmt formatCode="h:mm" sourceLinked="1"/>
        <c:majorTickMark val="out"/>
        <c:minorTickMark val="none"/>
        <c:tickLblPos val="nextTo"/>
        <c:crossAx val="173039616"/>
        <c:crosses val="autoZero"/>
        <c:crossBetween val="between"/>
      </c:valAx>
    </c:plotArea>
    <c:legend>
      <c:legendPos val="t"/>
      <c:layout>
        <c:manualLayout>
          <c:xMode val="edge"/>
          <c:yMode val="edge"/>
          <c:x val="0.24264898614580807"/>
          <c:y val="4.0190906807334843E-2"/>
          <c:w val="0.47466932374193965"/>
          <c:h val="0.11090534844970107"/>
        </c:manualLayout>
      </c:layout>
      <c:overlay val="0"/>
    </c:legend>
    <c:plotVisOnly val="1"/>
    <c:dispBlanksAs val="gap"/>
    <c:showDLblsOverMax val="0"/>
  </c:chart>
  <c:txPr>
    <a:bodyPr/>
    <a:lstStyle/>
    <a:p>
      <a:pPr>
        <a:defRPr sz="900"/>
      </a:pPr>
      <a:endParaRPr lang="en-US"/>
    </a:p>
  </c:txPr>
  <c:externalData r:id="rId1">
    <c:autoUpdate val="0"/>
  </c:externalData>
</c:chartSpace>
</file>

<file path=word/theme/theme1.xml><?xml version="1.0" encoding="utf-8"?>
<a:theme xmlns:a="http://schemas.openxmlformats.org/drawingml/2006/main" name="SCV BCV">
  <a:themeElements>
    <a:clrScheme name="SCV BCV">
      <a:dk1>
        <a:srgbClr val="000000"/>
      </a:dk1>
      <a:lt1>
        <a:srgbClr val="FFFFFF"/>
      </a:lt1>
      <a:dk2>
        <a:srgbClr val="0063A5"/>
      </a:dk2>
      <a:lt2>
        <a:srgbClr val="E6EFF6"/>
      </a:lt2>
      <a:accent1>
        <a:srgbClr val="408ABB"/>
      </a:accent1>
      <a:accent2>
        <a:srgbClr val="80B1D2"/>
      </a:accent2>
      <a:accent3>
        <a:srgbClr val="BFD8E8"/>
      </a:accent3>
      <a:accent4>
        <a:srgbClr val="404050"/>
      </a:accent4>
      <a:accent5>
        <a:srgbClr val="80808B"/>
      </a:accent5>
      <a:accent6>
        <a:srgbClr val="CCCCD0"/>
      </a:accent6>
      <a:hlink>
        <a:srgbClr val="000000"/>
      </a:hlink>
      <a:folHlink>
        <a:srgbClr val="0063A5"/>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Vic Gov Blue 100%">
      <a:srgbClr val="0063A5"/>
    </a:custClr>
    <a:custClr name="vic Gov Blue 70%">
      <a:srgbClr val="4D92C0"/>
    </a:custClr>
    <a:custClr name="Vic Gov Blue 20%">
      <a:srgbClr val="CCE0ED"/>
    </a:custClr>
    <a:custClr name="Yellow 100%">
      <a:srgbClr val="FAB662"/>
    </a:custClr>
    <a:custClr name="Yellow 75%">
      <a:srgbClr val="FAB157"/>
    </a:custClr>
    <a:custClr name="Yellow 50%">
      <a:srgbClr val="FBCB8F"/>
    </a:custClr>
    <a:custClr name="Yellow 20%">
      <a:srgbClr val="FEEAD2"/>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FF764-4D95-4B78-B7C6-4D03B43D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SUMMARY Developing ambulatory care services for women in Peninsula Health</dc:title>
  <dc:subject/>
  <dc:creator>Safer Care Victoria</dc:creator>
  <cp:keywords>Safer Care Victoria, Better Care Victoria Innovation Fund, Better Care Victoria, Innovation Fund, BCV, SCV, innovation project, healthcare innovation, healthcare, innovation</cp:keywords>
  <cp:lastModifiedBy/>
  <cp:revision>1</cp:revision>
  <dcterms:created xsi:type="dcterms:W3CDTF">2020-12-18T09:28:00Z</dcterms:created>
  <dcterms:modified xsi:type="dcterms:W3CDTF">2020-12-18T09:28:00Z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2020-12-18T09:28:46Z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67053b07-14df-4907-8b30-fd79dd956f31</vt:lpwstr>
  </property>
  <property fmtid="{D5CDD505-2E9C-101B-9397-08002B2CF9AE}" pid="8" name="MSIP_Label_efdf5488-3066-4b6c-8fea-9472b8a1f34c_ContentBits">
    <vt:lpwstr>0</vt:lpwstr>
  </property>
</Properties>
</file>