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58B40209" w:rsidR="00A46288" w:rsidRPr="00DA3F36" w:rsidRDefault="00FA25BB" w:rsidP="007A4444">
      <w:pPr>
        <w:pStyle w:val="Title"/>
      </w:pPr>
      <w:r>
        <w:t>Challenging antibiotic allergies to enable effective treatment</w:t>
      </w:r>
    </w:p>
    <w:p w14:paraId="6800B4C5" w14:textId="22C7A009" w:rsidR="00897157" w:rsidRDefault="00046CD7" w:rsidP="00E03F35">
      <w:pPr>
        <w:pStyle w:val="IntroductoryText"/>
      </w:pPr>
      <w:r>
        <w:t>Austin Health and partner organisation Peter MacCallum Cancer Centre</w:t>
      </w:r>
      <w:r w:rsidR="00FB57C0">
        <w:t xml:space="preserve"> </w:t>
      </w:r>
      <w:r w:rsidR="003F52D0">
        <w:t xml:space="preserve">are trialling a program </w:t>
      </w:r>
      <w:r w:rsidR="002E2035">
        <w:t>that identifies</w:t>
      </w:r>
      <w:r w:rsidR="00A3511F">
        <w:t xml:space="preserve"> and test</w:t>
      </w:r>
      <w:r w:rsidR="002E2035">
        <w:t>s</w:t>
      </w:r>
      <w:r w:rsidR="00A3511F">
        <w:t xml:space="preserve"> patients with antibiotic allergies to ensure their allergy ‘label’ is accurate. By ‘de-labelling’ </w:t>
      </w:r>
      <w:r w:rsidR="002E2035">
        <w:t xml:space="preserve">those </w:t>
      </w:r>
      <w:r w:rsidR="00A3511F">
        <w:t xml:space="preserve">with false antibiotic allergies, they can ensure </w:t>
      </w:r>
      <w:r w:rsidR="002E2035">
        <w:t xml:space="preserve">patients </w:t>
      </w:r>
      <w:r w:rsidR="00A3511F">
        <w:t xml:space="preserve">are being treated with the most effective and appropriate antibiotic therapies.  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6D8B4896" w:rsidR="00911408" w:rsidRDefault="000C515F" w:rsidP="00911408">
      <w:pPr>
        <w:pStyle w:val="Heading2"/>
      </w:pPr>
      <w:r>
        <w:t>Background</w:t>
      </w:r>
    </w:p>
    <w:p w14:paraId="2E6CCD58" w14:textId="69397174" w:rsidR="00742A00" w:rsidRDefault="00742A00" w:rsidP="00847FD6">
      <w:pPr>
        <w:pStyle w:val="Normalfollowingheading"/>
      </w:pPr>
      <w:r w:rsidRPr="00742A00">
        <w:t>More than two million Australians report an antibiotic allergy</w:t>
      </w:r>
      <w:r w:rsidR="009260DC">
        <w:t xml:space="preserve">, but studies have shown that 85 per cent </w:t>
      </w:r>
      <w:r w:rsidR="007778A3">
        <w:t xml:space="preserve">of these allergy ‘labels’ </w:t>
      </w:r>
      <w:r w:rsidR="009260DC">
        <w:t>are false or can be removed</w:t>
      </w:r>
      <w:r w:rsidR="007778A3">
        <w:t xml:space="preserve"> through </w:t>
      </w:r>
      <w:r w:rsidR="009260DC">
        <w:t>testing</w:t>
      </w:r>
      <w:r w:rsidR="00713778">
        <w:t xml:space="preserve">, with this group of </w:t>
      </w:r>
      <w:r w:rsidR="00713778">
        <w:t>people subsequently ‘de-labelled’</w:t>
      </w:r>
      <w:r w:rsidR="009260DC">
        <w:t>.</w:t>
      </w:r>
      <w:r w:rsidR="0036307C">
        <w:t xml:space="preserve"> </w:t>
      </w:r>
      <w:r w:rsidR="007778A3">
        <w:t xml:space="preserve">False labels can arise from </w:t>
      </w:r>
      <w:r w:rsidR="0036307C">
        <w:t xml:space="preserve">an incorrect diagnosis or because the individual has grown out of the allergy over time. </w:t>
      </w:r>
    </w:p>
    <w:p w14:paraId="786E25C1" w14:textId="0A6E26DC" w:rsidR="009260DC" w:rsidRDefault="00016D64" w:rsidP="009260DC">
      <w:r>
        <w:t>F</w:t>
      </w:r>
      <w:r w:rsidR="009260DC" w:rsidRPr="009260DC">
        <w:t xml:space="preserve">alse antibiotic </w:t>
      </w:r>
      <w:r w:rsidR="009C4BAA">
        <w:t xml:space="preserve">allergy labels </w:t>
      </w:r>
      <w:r w:rsidR="009260DC" w:rsidRPr="009260DC">
        <w:t>ca</w:t>
      </w:r>
      <w:bookmarkStart w:id="0" w:name="_GoBack"/>
      <w:bookmarkEnd w:id="0"/>
      <w:r w:rsidR="009260DC" w:rsidRPr="009260DC">
        <w:t xml:space="preserve">n </w:t>
      </w:r>
      <w:r w:rsidR="0036307C">
        <w:t xml:space="preserve">result in </w:t>
      </w:r>
      <w:r w:rsidR="009260DC" w:rsidRPr="009260DC">
        <w:t>patient</w:t>
      </w:r>
      <w:r w:rsidR="0036307C">
        <w:t>s</w:t>
      </w:r>
      <w:r w:rsidR="009260DC" w:rsidRPr="009260DC">
        <w:t xml:space="preserve"> receiving </w:t>
      </w:r>
      <w:r w:rsidR="0036307C">
        <w:t xml:space="preserve">inappropriate or less effective </w:t>
      </w:r>
      <w:r w:rsidR="009260DC" w:rsidRPr="009260DC">
        <w:t>antibiotic therapies</w:t>
      </w:r>
      <w:r w:rsidR="001553D4">
        <w:t>,</w:t>
      </w:r>
      <w:r>
        <w:t xml:space="preserve"> </w:t>
      </w:r>
      <w:r w:rsidR="007778A3">
        <w:t xml:space="preserve">potentially leading to </w:t>
      </w:r>
      <w:r w:rsidR="009260DC" w:rsidRPr="009260DC">
        <w:t>poor health outcomes</w:t>
      </w:r>
      <w:r w:rsidR="0036307C">
        <w:t xml:space="preserve">, </w:t>
      </w:r>
      <w:r w:rsidR="007A6159">
        <w:t>extended</w:t>
      </w:r>
      <w:r w:rsidR="0036307C">
        <w:t xml:space="preserve"> hospital stays</w:t>
      </w:r>
      <w:r w:rsidR="000675A6">
        <w:t xml:space="preserve"> and </w:t>
      </w:r>
      <w:r w:rsidR="0036307C">
        <w:t>complications</w:t>
      </w:r>
      <w:r w:rsidR="001553D4">
        <w:t>,</w:t>
      </w:r>
      <w:r w:rsidR="0036307C">
        <w:t xml:space="preserve"> increased antimicrobial resistance, higher hospital readmission rates, </w:t>
      </w:r>
      <w:r w:rsidR="009260DC" w:rsidRPr="009260DC">
        <w:t xml:space="preserve">and </w:t>
      </w:r>
      <w:r w:rsidR="00452D36">
        <w:t xml:space="preserve">sometimes </w:t>
      </w:r>
      <w:r w:rsidR="009260DC" w:rsidRPr="009260DC">
        <w:t>even death.</w:t>
      </w:r>
    </w:p>
    <w:p w14:paraId="00A61EB4" w14:textId="6E8A6DAA" w:rsidR="00006D66" w:rsidRDefault="003A55CF" w:rsidP="00346308">
      <w:r w:rsidRPr="003A55CF">
        <w:t xml:space="preserve">Many </w:t>
      </w:r>
      <w:r>
        <w:t xml:space="preserve">health services </w:t>
      </w:r>
      <w:r w:rsidRPr="003A55CF">
        <w:t>fail to identify the 50</w:t>
      </w:r>
      <w:r w:rsidR="006B1940">
        <w:t xml:space="preserve"> per cent </w:t>
      </w:r>
      <w:r w:rsidRPr="003A55CF">
        <w:t>of patient</w:t>
      </w:r>
      <w:r w:rsidR="006B1940">
        <w:t xml:space="preserve">s with </w:t>
      </w:r>
      <w:r w:rsidR="009E0FD8">
        <w:t xml:space="preserve">low-risk </w:t>
      </w:r>
      <w:r w:rsidRPr="003A55CF">
        <w:t xml:space="preserve">antibiotic allergies </w:t>
      </w:r>
      <w:r w:rsidR="007A6159">
        <w:t xml:space="preserve">who </w:t>
      </w:r>
      <w:r w:rsidRPr="003A55CF">
        <w:t xml:space="preserve">could </w:t>
      </w:r>
      <w:r w:rsidR="004F47C8">
        <w:t xml:space="preserve">potentially </w:t>
      </w:r>
      <w:r w:rsidRPr="003A55CF">
        <w:t>be de-labelled</w:t>
      </w:r>
      <w:r w:rsidR="007778A3">
        <w:t>.</w:t>
      </w:r>
      <w:r w:rsidR="00006D66">
        <w:t xml:space="preserve"> </w:t>
      </w:r>
      <w:r w:rsidR="009C4BAA">
        <w:t xml:space="preserve">Furthermore, </w:t>
      </w:r>
      <w:r>
        <w:t xml:space="preserve">only 48 per cent of Australian </w:t>
      </w:r>
      <w:r w:rsidR="009C4BAA">
        <w:t xml:space="preserve">clinicians </w:t>
      </w:r>
      <w:r>
        <w:t xml:space="preserve">have </w:t>
      </w:r>
      <w:r w:rsidR="009C4BAA">
        <w:t xml:space="preserve">access to </w:t>
      </w:r>
      <w:r w:rsidR="007A6159">
        <w:t xml:space="preserve">the </w:t>
      </w:r>
      <w:r w:rsidR="00AC16E7">
        <w:t>specialised</w:t>
      </w:r>
      <w:r w:rsidR="00713778">
        <w:t xml:space="preserve"> </w:t>
      </w:r>
      <w:r w:rsidR="007A6159">
        <w:t>tes</w:t>
      </w:r>
      <w:r w:rsidR="00AC16E7">
        <w:t>ting</w:t>
      </w:r>
      <w:r w:rsidR="007A6159">
        <w:t xml:space="preserve"> </w:t>
      </w:r>
      <w:r w:rsidR="00AC16E7">
        <w:t xml:space="preserve">required to </w:t>
      </w:r>
      <w:r w:rsidR="00346308">
        <w:t xml:space="preserve">verify </w:t>
      </w:r>
      <w:r w:rsidR="007A6159">
        <w:t xml:space="preserve">a </w:t>
      </w:r>
      <w:r w:rsidR="00346308">
        <w:t xml:space="preserve">patient’s </w:t>
      </w:r>
      <w:r w:rsidR="007A6159">
        <w:t xml:space="preserve">allergy </w:t>
      </w:r>
      <w:r w:rsidR="00346308">
        <w:t>label</w:t>
      </w:r>
      <w:r w:rsidR="00AC16E7">
        <w:t>.</w:t>
      </w:r>
      <w:r w:rsidR="00BA52D2">
        <w:t xml:space="preserve"> </w:t>
      </w:r>
    </w:p>
    <w:p w14:paraId="07588501" w14:textId="2BCAE495" w:rsidR="00713778" w:rsidRDefault="00BA52D2" w:rsidP="00346308">
      <w:r>
        <w:t>Austin Health piloted three</w:t>
      </w:r>
      <w:r w:rsidR="008E4A0C">
        <w:t xml:space="preserve"> </w:t>
      </w:r>
      <w:r>
        <w:t>initiatives that succeeded in discovering, assessing and de-labelling patients with antibiotic allergies</w:t>
      </w:r>
      <w:r w:rsidR="00713778">
        <w:t>:</w:t>
      </w:r>
      <w:r>
        <w:t xml:space="preserve"> </w:t>
      </w:r>
    </w:p>
    <w:p w14:paraId="5CBE66C2" w14:textId="769EEBE7" w:rsidR="00713778" w:rsidRDefault="00713778" w:rsidP="000A4C74">
      <w:pPr>
        <w:pStyle w:val="Bullet1"/>
      </w:pPr>
      <w:r>
        <w:t xml:space="preserve">an </w:t>
      </w:r>
      <w:r w:rsidR="00BA52D2">
        <w:t>antimicrobial stewardship-led antibiotic allergy ward round</w:t>
      </w:r>
      <w:r w:rsidR="009A18D1">
        <w:t xml:space="preserve"> protocol</w:t>
      </w:r>
      <w:r>
        <w:t>, which</w:t>
      </w:r>
      <w:r w:rsidR="009A18D1">
        <w:t xml:space="preserve"> identified over 200 patients with an </w:t>
      </w:r>
      <w:r w:rsidR="008E4A0C">
        <w:t xml:space="preserve">antibiotic </w:t>
      </w:r>
      <w:r w:rsidR="009A18D1">
        <w:t>allergy that would have otherwise remained undiscovered</w:t>
      </w:r>
    </w:p>
    <w:p w14:paraId="28359F11" w14:textId="78C1F2CE" w:rsidR="00713778" w:rsidRDefault="00713778" w:rsidP="000A4C74">
      <w:pPr>
        <w:pStyle w:val="Bullet1"/>
      </w:pPr>
      <w:r>
        <w:t>a</w:t>
      </w:r>
      <w:r>
        <w:t xml:space="preserve">n </w:t>
      </w:r>
      <w:r w:rsidR="003E75F8">
        <w:t>antibiotic allergy assessment tool</w:t>
      </w:r>
      <w:r>
        <w:t>, which</w:t>
      </w:r>
      <w:r w:rsidR="00452D36">
        <w:t xml:space="preserve"> </w:t>
      </w:r>
      <w:r w:rsidR="009A18D1">
        <w:t>correctly assess</w:t>
      </w:r>
      <w:r w:rsidR="00452D36">
        <w:t>ed</w:t>
      </w:r>
      <w:r w:rsidR="009A18D1">
        <w:t xml:space="preserve"> patients with a penicillin allergy</w:t>
      </w:r>
      <w:r w:rsidR="000675A6">
        <w:t>,</w:t>
      </w:r>
      <w:r w:rsidR="009A18D1">
        <w:t xml:space="preserve"> with high sensitivity and specificity rates of 97.8 per cent and 96.6 per cent, respectively</w:t>
      </w:r>
    </w:p>
    <w:p w14:paraId="38BD83B4" w14:textId="3DCFE3ED" w:rsidR="00BA52D2" w:rsidRDefault="00713778" w:rsidP="0006492C">
      <w:pPr>
        <w:pStyle w:val="Bullet1"/>
      </w:pPr>
      <w:r>
        <w:t xml:space="preserve">an oral penicillin challenge test, which </w:t>
      </w:r>
      <w:r w:rsidR="008E4A0C">
        <w:t xml:space="preserve">de-labelled 100 per cent of penicillin </w:t>
      </w:r>
      <w:r w:rsidR="00452D36">
        <w:t xml:space="preserve">allergy labels </w:t>
      </w:r>
      <w:r w:rsidR="004B30B6">
        <w:t xml:space="preserve">and reduced hospital length of stay </w:t>
      </w:r>
      <w:r w:rsidR="00AC16E7">
        <w:t xml:space="preserve">amongst </w:t>
      </w:r>
      <w:r w:rsidR="00452D36">
        <w:t xml:space="preserve">the </w:t>
      </w:r>
      <w:r w:rsidR="009A18D1">
        <w:t xml:space="preserve">46 low-risk patients </w:t>
      </w:r>
      <w:r w:rsidR="00452D36">
        <w:t xml:space="preserve">who received </w:t>
      </w:r>
      <w:r>
        <w:t>the</w:t>
      </w:r>
      <w:r w:rsidR="009A18D1">
        <w:t xml:space="preserve"> </w:t>
      </w:r>
      <w:r w:rsidR="00452D36">
        <w:t>test</w:t>
      </w:r>
      <w:r w:rsidR="009A18D1">
        <w:t xml:space="preserve">. </w:t>
      </w:r>
    </w:p>
    <w:p w14:paraId="723AAF50" w14:textId="3CA5B738" w:rsidR="000152C4" w:rsidRDefault="00797ABA" w:rsidP="00847FD6">
      <w:r>
        <w:t>Austin Health aims to</w:t>
      </w:r>
      <w:r w:rsidR="00713778">
        <w:t xml:space="preserve"> integrate</w:t>
      </w:r>
      <w:r>
        <w:t xml:space="preserve"> all three solutions in</w:t>
      </w:r>
      <w:r w:rsidR="004B30B6">
        <w:t>to</w:t>
      </w:r>
      <w:r>
        <w:t xml:space="preserve"> a program that can be rapidly scaled across other health services, providing more appropriate</w:t>
      </w:r>
      <w:r w:rsidR="00024B04">
        <w:t xml:space="preserve"> and</w:t>
      </w:r>
      <w:r>
        <w:t xml:space="preserve"> </w:t>
      </w:r>
      <w:r w:rsidR="000152C4">
        <w:t xml:space="preserve">effective </w:t>
      </w:r>
      <w:r>
        <w:t>care.</w:t>
      </w:r>
    </w:p>
    <w:p w14:paraId="66F0D17A" w14:textId="0CC1648A" w:rsidR="00797ABA" w:rsidRPr="00847FD6" w:rsidRDefault="000152C4" w:rsidP="00847FD6">
      <w:r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25C0DBC0" wp14:editId="7F6B27EF">
                <wp:extent cx="3314700" cy="4724400"/>
                <wp:effectExtent l="0" t="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724400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8D38" w14:textId="77777777" w:rsidR="000152C4" w:rsidRPr="004D6898" w:rsidRDefault="000152C4" w:rsidP="000152C4">
                            <w:pPr>
                              <w:pStyle w:val="PulloutHeading"/>
                            </w:pPr>
                            <w:r>
                              <w:t>Antibiotic allergy de-labelling program</w:t>
                            </w:r>
                          </w:p>
                          <w:p w14:paraId="03174A74" w14:textId="77777777" w:rsidR="000152C4" w:rsidRDefault="000152C4" w:rsidP="000152C4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Austin Health</w:t>
                            </w:r>
                          </w:p>
                          <w:p w14:paraId="2F9004F4" w14:textId="77777777" w:rsidR="000152C4" w:rsidRDefault="000152C4" w:rsidP="000152C4">
                            <w:pPr>
                              <w:pStyle w:val="PulloutText"/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53848">
                              <w:t>Peter MacCallum Cancer Centre</w:t>
                            </w:r>
                          </w:p>
                          <w:p w14:paraId="431AE30E" w14:textId="77777777" w:rsidR="000152C4" w:rsidRDefault="000152C4" w:rsidP="000152C4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Funding round </w:t>
                            </w:r>
                            <w:r>
                              <w:t>2018–19</w:t>
                            </w:r>
                          </w:p>
                          <w:p w14:paraId="79855577" w14:textId="77777777" w:rsidR="000152C4" w:rsidRDefault="000152C4" w:rsidP="000152C4">
                            <w:pPr>
                              <w:pStyle w:val="PulloutText"/>
                            </w:pPr>
                            <w:r w:rsidRPr="00F951B6">
                              <w:rPr>
                                <w:b/>
                                <w:bCs/>
                              </w:rPr>
                              <w:t xml:space="preserve">Status </w:t>
                            </w:r>
                            <w:r w:rsidRPr="00F951B6">
                              <w:t>In progress</w:t>
                            </w:r>
                          </w:p>
                          <w:p w14:paraId="0B2CBE14" w14:textId="77777777" w:rsidR="000152C4" w:rsidRDefault="000152C4" w:rsidP="000152C4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2663C2">
                              <w:rPr>
                                <w:b/>
                                <w:bCs/>
                              </w:rPr>
                              <w:t>Objectives</w:t>
                            </w:r>
                          </w:p>
                          <w:p w14:paraId="4E84C4E1" w14:textId="5D59F4ED" w:rsidR="000152C4" w:rsidRDefault="005C73B4" w:rsidP="000152C4">
                            <w:pPr>
                              <w:pStyle w:val="Bullet1"/>
                            </w:pPr>
                            <w:r>
                              <w:t xml:space="preserve">Identify all </w:t>
                            </w:r>
                            <w:r w:rsidR="004B30B6">
                              <w:t xml:space="preserve">patients admitted to </w:t>
                            </w:r>
                            <w:r>
                              <w:t xml:space="preserve">Austin Health and </w:t>
                            </w:r>
                            <w:r w:rsidR="001826C2" w:rsidRPr="001826C2">
                              <w:t>Peter MacCallum Cancer Centre</w:t>
                            </w:r>
                            <w:r>
                              <w:t xml:space="preserve"> </w:t>
                            </w:r>
                            <w:r w:rsidR="000152C4">
                              <w:t xml:space="preserve">with </w:t>
                            </w:r>
                            <w:r w:rsidR="004B30B6">
                              <w:t xml:space="preserve">a documented </w:t>
                            </w:r>
                            <w:r w:rsidR="000152C4">
                              <w:t>antibiotic allerg</w:t>
                            </w:r>
                            <w:r w:rsidR="004B30B6">
                              <w:t>y</w:t>
                            </w:r>
                            <w:r w:rsidR="00594DF3">
                              <w:t xml:space="preserve"> </w:t>
                            </w:r>
                          </w:p>
                          <w:p w14:paraId="5681CDBE" w14:textId="0B6DE26C" w:rsidR="000152C4" w:rsidRDefault="0047644A" w:rsidP="000152C4">
                            <w:pPr>
                              <w:pStyle w:val="Bullet1"/>
                            </w:pPr>
                            <w:r>
                              <w:t>Standardise</w:t>
                            </w:r>
                            <w:r w:rsidR="00713778">
                              <w:t xml:space="preserve"> </w:t>
                            </w:r>
                            <w:r w:rsidR="004B30B6">
                              <w:t>antibiotic allergy a</w:t>
                            </w:r>
                            <w:r w:rsidR="000675A6">
                              <w:t xml:space="preserve">ssessment </w:t>
                            </w:r>
                            <w:r w:rsidR="004B30B6">
                              <w:t xml:space="preserve">and improve </w:t>
                            </w:r>
                            <w:r w:rsidR="00024B04">
                              <w:t xml:space="preserve">the </w:t>
                            </w:r>
                            <w:r w:rsidR="004B30B6">
                              <w:t xml:space="preserve">accuracy of </w:t>
                            </w:r>
                            <w:r>
                              <w:t xml:space="preserve">medical record </w:t>
                            </w:r>
                            <w:r w:rsidR="004B30B6">
                              <w:t>antibiotic allergy documentation</w:t>
                            </w:r>
                          </w:p>
                          <w:p w14:paraId="4CBEE257" w14:textId="02A274FF" w:rsidR="000152C4" w:rsidRDefault="00594DF3" w:rsidP="004B30B6">
                            <w:pPr>
                              <w:pStyle w:val="Bullet1"/>
                            </w:pPr>
                            <w:r>
                              <w:t xml:space="preserve">Implement an </w:t>
                            </w:r>
                            <w:r w:rsidR="004B30B6">
                              <w:t xml:space="preserve">inpatient </w:t>
                            </w:r>
                            <w:r w:rsidR="000152C4">
                              <w:t>oral penicillin challenge program</w:t>
                            </w:r>
                            <w:r>
                              <w:t xml:space="preserve"> </w:t>
                            </w:r>
                            <w:r w:rsidR="004B30B6">
                              <w:t>that successfully de-labels 85 per cent of patients tested, improves patient care</w:t>
                            </w:r>
                            <w:r w:rsidR="00024B04">
                              <w:t>,</w:t>
                            </w:r>
                            <w:r w:rsidR="004B30B6">
                              <w:t xml:space="preserve"> and </w:t>
                            </w:r>
                            <w:r w:rsidR="00044EFB">
                              <w:t>reduc</w:t>
                            </w:r>
                            <w:r w:rsidR="004B30B6">
                              <w:t>es</w:t>
                            </w:r>
                            <w:r w:rsidR="00024B04">
                              <w:t xml:space="preserve"> </w:t>
                            </w:r>
                            <w:r w:rsidR="0044403B">
                              <w:t>the financial and resource burden</w:t>
                            </w:r>
                            <w:r w:rsidR="004B30B6">
                              <w:t>s</w:t>
                            </w:r>
                            <w:r w:rsidR="0044403B">
                              <w:t xml:space="preserve"> </w:t>
                            </w:r>
                            <w:r w:rsidR="00044EFB">
                              <w:t xml:space="preserve">antibiotic allergies </w:t>
                            </w:r>
                            <w:r w:rsidR="0047644A">
                              <w:t xml:space="preserve">place </w:t>
                            </w:r>
                            <w:r w:rsidR="0044403B">
                              <w:t>on the healthcare system</w:t>
                            </w:r>
                          </w:p>
                          <w:p w14:paraId="395180EA" w14:textId="2D6F0B1E" w:rsidR="00594DF3" w:rsidRPr="002663C2" w:rsidRDefault="000152C4" w:rsidP="0047644A">
                            <w:pPr>
                              <w:pStyle w:val="Bullet1"/>
                            </w:pPr>
                            <w:r>
                              <w:t xml:space="preserve">Increase the use of </w:t>
                            </w:r>
                            <w:r w:rsidR="000675A6">
                              <w:t>preferred</w:t>
                            </w:r>
                            <w:r w:rsidR="003D0A4D">
                              <w:t xml:space="preserve"> and</w:t>
                            </w:r>
                            <w:r w:rsidR="000675A6">
                              <w:t xml:space="preserve"> appropriate </w:t>
                            </w:r>
                            <w:r>
                              <w:t xml:space="preserve">antibiotics in de-labelled patients </w:t>
                            </w:r>
                            <w:r w:rsidR="005C73B4">
                              <w:t xml:space="preserve">by 30 per cent </w:t>
                            </w:r>
                            <w:r>
                              <w:t>to enhance their health outcomes and reduce their hospital length of stay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C0D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61pt;height:3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rKIgIAAEgEAAAOAAAAZHJzL2Uyb0RvYy54bWysVNtu2zAMfR+wfxD0vti5LC2MOEWWyzCg&#10;6wa0/QBZlmNhkqhJSuzs60fJadpub0X9IIgSdXh4SHpx02tFjsJ5Caak41FOiTAcamn2JX182H26&#10;psQHZmqmwIiSnoSnN8uPHxadLcQEWlC1cARBjC86W9I2BFtkmeet0MyPwAqDlw04zQKabp/VjnWI&#10;rlU2yfN51oGrrQMuvMfTzXBJlwm/aQQPP5rGi0BUSZFbSKtLaxXXbLlgxd4x20p+psHewEIzaTDo&#10;BWrDAiMHJ/+D0pI78NCEEQedQdNILlIOmM04/yeb+5ZZkXJBcby9yOTfD5bfHX86IuuSzigxTGOJ&#10;HkQfyBfoySSq01lfoNO9RbfQ4zFWOWXq7S3wX54YWLfM7MXKOehawWpkN44vsxdPBxwfQaruO9QY&#10;hh0CJKC+cTpKh2IQRMcqnS6ViVQ4Hk6n49lVjlcc72ZXk9kMjRiDFU/PrfPhqwBN4qakDkuf4Nnx&#10;1ofB9cklRvOgZL2TSiXD7au1cuTIsE122+1qk3JH9FduypCupPPp53xQ4A0QWgbsdyV1Sa/z+A0d&#10;GHXbmhppsiIwqYY9xlfmLGTUblAx9FWPjlHdCuoTSupg6GucQ9y04P5Q0mFPl9T/PjAnKFHfTCxL&#10;ColT8MpygxUlRYGrZE3nyWCGI1pJAyXDdh3S7ESaBlZYwUYmbZ/JnOliu6bqnEcrzsNLO3k9/wCW&#10;fwEAAP//AwBQSwMEFAAGAAgAAAAhAOzLQ3vdAAAABQEAAA8AAABkcnMvZG93bnJldi54bWxMj0FL&#10;w0AQhe+C/2EZwZvdGFpbYjZFAoqCYG09tLdtdprE7M6G7LaN/97Ri14ePN7w3jf5cnRWnHAIrScF&#10;t5MEBFLlTUu1go/N480CRIiajLaeUMEXBlgWlxe5zow/0zue1rEWXEIh0wqaGPtMylA16HSY+B6J&#10;s4MfnI5sh1qaQZ+53FmZJsmddLolXmh0j2WDVbc+OgUL81a+vjxtu8+V3Mzt82FXdmam1PXV+HAP&#10;IuIY/47hB5/RoWCmvT+SCcIq4Efir3I2S1O2ewXz6TQBWeTyP33xDQAA//8DAFBLAQItABQABgAI&#10;AAAAIQC2gziS/gAAAOEBAAATAAAAAAAAAAAAAAAAAAAAAABbQ29udGVudF9UeXBlc10ueG1sUEsB&#10;Ai0AFAAGAAgAAAAhADj9If/WAAAAlAEAAAsAAAAAAAAAAAAAAAAALwEAAF9yZWxzLy5yZWxzUEsB&#10;Ai0AFAAGAAgAAAAhABhBSsoiAgAASAQAAA4AAAAAAAAAAAAAAAAALgIAAGRycy9lMm9Eb2MueG1s&#10;UEsBAi0AFAAGAAgAAAAhAOzLQ3vdAAAABQEAAA8AAAAAAAAAAAAAAAAAfAQAAGRycy9kb3ducmV2&#10;LnhtbFBLBQYAAAAABAAEAPMAAACGBQAAAAA=&#10;" fillcolor="#feead2" strokecolor="#feead2" strokeweight=".5pt">
                <v:textbox inset="5mm,5mm,4mm,1mm">
                  <w:txbxContent>
                    <w:p w14:paraId="0E558D38" w14:textId="77777777" w:rsidR="000152C4" w:rsidRPr="004D6898" w:rsidRDefault="000152C4" w:rsidP="000152C4">
                      <w:pPr>
                        <w:pStyle w:val="PulloutHeading"/>
                      </w:pPr>
                      <w:r>
                        <w:t>Antibiotic allergy de-labelling program</w:t>
                      </w:r>
                    </w:p>
                    <w:p w14:paraId="03174A74" w14:textId="77777777" w:rsidR="000152C4" w:rsidRDefault="000152C4" w:rsidP="000152C4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Austin Health</w:t>
                      </w:r>
                    </w:p>
                    <w:p w14:paraId="2F9004F4" w14:textId="77777777" w:rsidR="000152C4" w:rsidRDefault="000152C4" w:rsidP="000152C4">
                      <w:pPr>
                        <w:pStyle w:val="PulloutText"/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53848">
                        <w:t>Peter MacCallum Cancer Centre</w:t>
                      </w:r>
                    </w:p>
                    <w:p w14:paraId="431AE30E" w14:textId="77777777" w:rsidR="000152C4" w:rsidRDefault="000152C4" w:rsidP="000152C4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 xml:space="preserve">Funding round </w:t>
                      </w:r>
                      <w:r>
                        <w:t>2018–19</w:t>
                      </w:r>
                    </w:p>
                    <w:p w14:paraId="79855577" w14:textId="77777777" w:rsidR="000152C4" w:rsidRDefault="000152C4" w:rsidP="000152C4">
                      <w:pPr>
                        <w:pStyle w:val="PulloutText"/>
                      </w:pPr>
                      <w:r w:rsidRPr="00F951B6">
                        <w:rPr>
                          <w:b/>
                          <w:bCs/>
                        </w:rPr>
                        <w:t xml:space="preserve">Status </w:t>
                      </w:r>
                      <w:r w:rsidRPr="00F951B6">
                        <w:t>In progress</w:t>
                      </w:r>
                    </w:p>
                    <w:p w14:paraId="0B2CBE14" w14:textId="77777777" w:rsidR="000152C4" w:rsidRDefault="000152C4" w:rsidP="000152C4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2663C2">
                        <w:rPr>
                          <w:b/>
                          <w:bCs/>
                        </w:rPr>
                        <w:t>Objectives</w:t>
                      </w:r>
                    </w:p>
                    <w:p w14:paraId="4E84C4E1" w14:textId="5D59F4ED" w:rsidR="000152C4" w:rsidRDefault="005C73B4" w:rsidP="000152C4">
                      <w:pPr>
                        <w:pStyle w:val="Bullet1"/>
                      </w:pPr>
                      <w:r>
                        <w:t xml:space="preserve">Identify all </w:t>
                      </w:r>
                      <w:r w:rsidR="004B30B6">
                        <w:t xml:space="preserve">patients admitted to </w:t>
                      </w:r>
                      <w:r>
                        <w:t xml:space="preserve">Austin Health and </w:t>
                      </w:r>
                      <w:r w:rsidR="001826C2" w:rsidRPr="001826C2">
                        <w:t>Peter MacCallum Cancer Centre</w:t>
                      </w:r>
                      <w:r>
                        <w:t xml:space="preserve"> </w:t>
                      </w:r>
                      <w:r w:rsidR="000152C4">
                        <w:t xml:space="preserve">with </w:t>
                      </w:r>
                      <w:r w:rsidR="004B30B6">
                        <w:t xml:space="preserve">a documented </w:t>
                      </w:r>
                      <w:r w:rsidR="000152C4">
                        <w:t>antibiotic allerg</w:t>
                      </w:r>
                      <w:r w:rsidR="004B30B6">
                        <w:t>y</w:t>
                      </w:r>
                      <w:r w:rsidR="00594DF3">
                        <w:t xml:space="preserve"> </w:t>
                      </w:r>
                    </w:p>
                    <w:p w14:paraId="5681CDBE" w14:textId="0B6DE26C" w:rsidR="000152C4" w:rsidRDefault="0047644A" w:rsidP="000152C4">
                      <w:pPr>
                        <w:pStyle w:val="Bullet1"/>
                      </w:pPr>
                      <w:r>
                        <w:t>Standardise</w:t>
                      </w:r>
                      <w:r w:rsidR="00713778">
                        <w:t xml:space="preserve"> </w:t>
                      </w:r>
                      <w:r w:rsidR="004B30B6">
                        <w:t>antibiotic allergy a</w:t>
                      </w:r>
                      <w:r w:rsidR="000675A6">
                        <w:t xml:space="preserve">ssessment </w:t>
                      </w:r>
                      <w:r w:rsidR="004B30B6">
                        <w:t xml:space="preserve">and improve </w:t>
                      </w:r>
                      <w:r w:rsidR="00024B04">
                        <w:t xml:space="preserve">the </w:t>
                      </w:r>
                      <w:r w:rsidR="004B30B6">
                        <w:t xml:space="preserve">accuracy of </w:t>
                      </w:r>
                      <w:r>
                        <w:t xml:space="preserve">medical record </w:t>
                      </w:r>
                      <w:r w:rsidR="004B30B6">
                        <w:t>antibiotic allergy documentation</w:t>
                      </w:r>
                    </w:p>
                    <w:p w14:paraId="4CBEE257" w14:textId="02A274FF" w:rsidR="000152C4" w:rsidRDefault="00594DF3" w:rsidP="004B30B6">
                      <w:pPr>
                        <w:pStyle w:val="Bullet1"/>
                      </w:pPr>
                      <w:r>
                        <w:t xml:space="preserve">Implement an </w:t>
                      </w:r>
                      <w:r w:rsidR="004B30B6">
                        <w:t xml:space="preserve">inpatient </w:t>
                      </w:r>
                      <w:r w:rsidR="000152C4">
                        <w:t>oral penicillin challenge program</w:t>
                      </w:r>
                      <w:r>
                        <w:t xml:space="preserve"> </w:t>
                      </w:r>
                      <w:r w:rsidR="004B30B6">
                        <w:t>that successfully de-labels 85 per cent of patients tested, improves patient care</w:t>
                      </w:r>
                      <w:r w:rsidR="00024B04">
                        <w:t>,</w:t>
                      </w:r>
                      <w:r w:rsidR="004B30B6">
                        <w:t xml:space="preserve"> and </w:t>
                      </w:r>
                      <w:r w:rsidR="00044EFB">
                        <w:t>reduc</w:t>
                      </w:r>
                      <w:r w:rsidR="004B30B6">
                        <w:t>es</w:t>
                      </w:r>
                      <w:r w:rsidR="00024B04">
                        <w:t xml:space="preserve"> </w:t>
                      </w:r>
                      <w:r w:rsidR="0044403B">
                        <w:t>the financial and resource burden</w:t>
                      </w:r>
                      <w:r w:rsidR="004B30B6">
                        <w:t>s</w:t>
                      </w:r>
                      <w:r w:rsidR="0044403B">
                        <w:t xml:space="preserve"> </w:t>
                      </w:r>
                      <w:r w:rsidR="00044EFB">
                        <w:t xml:space="preserve">antibiotic allergies </w:t>
                      </w:r>
                      <w:r w:rsidR="0047644A">
                        <w:t xml:space="preserve">place </w:t>
                      </w:r>
                      <w:r w:rsidR="0044403B">
                        <w:t>on the healthcare system</w:t>
                      </w:r>
                    </w:p>
                    <w:p w14:paraId="395180EA" w14:textId="2D6F0B1E" w:rsidR="00594DF3" w:rsidRPr="002663C2" w:rsidRDefault="000152C4" w:rsidP="0047644A">
                      <w:pPr>
                        <w:pStyle w:val="Bullet1"/>
                      </w:pPr>
                      <w:r>
                        <w:t xml:space="preserve">Increase the use of </w:t>
                      </w:r>
                      <w:r w:rsidR="000675A6">
                        <w:t>preferred</w:t>
                      </w:r>
                      <w:r w:rsidR="003D0A4D">
                        <w:t xml:space="preserve"> and</w:t>
                      </w:r>
                      <w:r w:rsidR="000675A6">
                        <w:t xml:space="preserve"> appropriate </w:t>
                      </w:r>
                      <w:r>
                        <w:t xml:space="preserve">antibiotics in de-labelled patients </w:t>
                      </w:r>
                      <w:r w:rsidR="005C73B4">
                        <w:t xml:space="preserve">by 30 per cent </w:t>
                      </w:r>
                      <w:r>
                        <w:t>to enhance their health outcomes and reduce their hospital length of stay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A60E98" w14:textId="161713B8" w:rsidR="00794CB7" w:rsidRDefault="00452D36" w:rsidP="004A4ED0">
      <w:pPr>
        <w:pStyle w:val="Heading2"/>
      </w:pPr>
      <w:r>
        <w:lastRenderedPageBreak/>
        <w:t>Key activity</w:t>
      </w:r>
    </w:p>
    <w:p w14:paraId="31815A13" w14:textId="1D2869DA" w:rsidR="00FB57C0" w:rsidRPr="00FB57C0" w:rsidRDefault="00FB57C0" w:rsidP="00FB57C0">
      <w:pPr>
        <w:pStyle w:val="Normalfollowingheading"/>
      </w:pPr>
      <w:r>
        <w:t>Austin Health’s project activities are divided into three main focus areas:</w:t>
      </w:r>
    </w:p>
    <w:p w14:paraId="061D555A" w14:textId="0E96BAF6" w:rsidR="00FB57C0" w:rsidRDefault="00024B04" w:rsidP="00DE5ED7">
      <w:pPr>
        <w:pStyle w:val="Bullet1"/>
      </w:pPr>
      <w:r>
        <w:t>T</w:t>
      </w:r>
      <w:r w:rsidR="00FB57C0">
        <w:t xml:space="preserve">o promote </w:t>
      </w:r>
      <w:r w:rsidR="00FB57C0" w:rsidRPr="00FB57C0">
        <w:rPr>
          <w:b/>
          <w:bCs/>
        </w:rPr>
        <w:t xml:space="preserve">discovery </w:t>
      </w:r>
      <w:r w:rsidR="00FB57C0" w:rsidRPr="00FB57C0">
        <w:t>of</w:t>
      </w:r>
      <w:r w:rsidR="00FB57C0" w:rsidRPr="00FB57C0">
        <w:rPr>
          <w:b/>
          <w:bCs/>
        </w:rPr>
        <w:t xml:space="preserve"> </w:t>
      </w:r>
      <w:r w:rsidR="00FB57C0" w:rsidRPr="00FB57C0">
        <w:t>antibiotic</w:t>
      </w:r>
      <w:r w:rsidR="00FB57C0" w:rsidRPr="00FB57C0">
        <w:rPr>
          <w:b/>
          <w:bCs/>
        </w:rPr>
        <w:t xml:space="preserve"> </w:t>
      </w:r>
      <w:r w:rsidR="00FB57C0">
        <w:t xml:space="preserve">allergies, Austin Health and </w:t>
      </w:r>
      <w:r w:rsidR="00326BE9">
        <w:t xml:space="preserve">Peter MacCallum Cancer Centre </w:t>
      </w:r>
      <w:r w:rsidR="00FB57C0">
        <w:t>will increase awareness in all healthcare workers, i</w:t>
      </w:r>
      <w:r w:rsidR="00D23799">
        <w:t xml:space="preserve">ncorporate </w:t>
      </w:r>
      <w:r w:rsidR="00FB57C0">
        <w:t xml:space="preserve">weekly </w:t>
      </w:r>
      <w:r w:rsidR="00FB57C0" w:rsidRPr="00FB57C0">
        <w:t>antimicrobial stewardship-led antibiotic allergy ward round</w:t>
      </w:r>
      <w:r w:rsidR="00FB57C0">
        <w:t xml:space="preserve">s at both health services, and </w:t>
      </w:r>
      <w:r w:rsidR="0047644A">
        <w:t xml:space="preserve">develop an </w:t>
      </w:r>
      <w:r w:rsidR="00FB57C0">
        <w:t xml:space="preserve">electronic </w:t>
      </w:r>
      <w:r w:rsidR="0047644A">
        <w:t xml:space="preserve">report to </w:t>
      </w:r>
      <w:r>
        <w:t xml:space="preserve">help </w:t>
      </w:r>
      <w:r w:rsidR="00FB57C0">
        <w:t>the project team</w:t>
      </w:r>
      <w:r w:rsidR="0047644A">
        <w:t xml:space="preserve"> to</w:t>
      </w:r>
      <w:r w:rsidR="00FB57C0">
        <w:t xml:space="preserve"> </w:t>
      </w:r>
      <w:r w:rsidR="0047644A">
        <w:t>identify patients admitted with a documented antibiotic</w:t>
      </w:r>
      <w:r w:rsidR="00FB57C0">
        <w:t xml:space="preserve"> allergy label</w:t>
      </w:r>
      <w:r>
        <w:t>.</w:t>
      </w:r>
    </w:p>
    <w:p w14:paraId="6A6364EC" w14:textId="64CAC808" w:rsidR="00FB57C0" w:rsidRDefault="00024B04" w:rsidP="005406BC">
      <w:pPr>
        <w:pStyle w:val="Bullet1"/>
      </w:pPr>
      <w:r>
        <w:t>T</w:t>
      </w:r>
      <w:r w:rsidR="00FB57C0">
        <w:t xml:space="preserve">o improve </w:t>
      </w:r>
      <w:r w:rsidR="00FB57C0" w:rsidRPr="00FB57C0">
        <w:rPr>
          <w:b/>
          <w:bCs/>
        </w:rPr>
        <w:t>assessment</w:t>
      </w:r>
      <w:r w:rsidR="00FB57C0">
        <w:t>, the two health services will use a validated antibiotic allergy assessment tool to categorise patients</w:t>
      </w:r>
      <w:r w:rsidR="00624303">
        <w:t xml:space="preserve">’ allergies as being no risk (i.e. no allergy), </w:t>
      </w:r>
      <w:r w:rsidR="00FB57C0">
        <w:t>low</w:t>
      </w:r>
      <w:r w:rsidR="008E4921">
        <w:t>-</w:t>
      </w:r>
      <w:r w:rsidR="00FB57C0">
        <w:t>risk</w:t>
      </w:r>
      <w:r w:rsidR="008E4921">
        <w:t xml:space="preserve"> </w:t>
      </w:r>
      <w:r w:rsidR="00FB57C0">
        <w:t>or high</w:t>
      </w:r>
      <w:r w:rsidR="008E4921">
        <w:t>-</w:t>
      </w:r>
      <w:r w:rsidR="00FB57C0">
        <w:t>risk</w:t>
      </w:r>
      <w:r w:rsidR="001D3768">
        <w:t xml:space="preserve">. </w:t>
      </w:r>
    </w:p>
    <w:p w14:paraId="30DC2D10" w14:textId="188E56AB" w:rsidR="00FB57C0" w:rsidRDefault="00024B04" w:rsidP="005406BC">
      <w:pPr>
        <w:pStyle w:val="Bullet1"/>
      </w:pPr>
      <w:r>
        <w:t>A</w:t>
      </w:r>
      <w:r w:rsidR="001D3768">
        <w:t xml:space="preserve">s part of a </w:t>
      </w:r>
      <w:r w:rsidR="00FB57C0">
        <w:rPr>
          <w:b/>
          <w:bCs/>
        </w:rPr>
        <w:t>de-label</w:t>
      </w:r>
      <w:r w:rsidR="001D3768">
        <w:rPr>
          <w:b/>
          <w:bCs/>
        </w:rPr>
        <w:t xml:space="preserve">ling </w:t>
      </w:r>
      <w:r w:rsidR="001D3768" w:rsidRPr="001D3768">
        <w:t>program</w:t>
      </w:r>
      <w:r w:rsidR="001D3768">
        <w:t>, no-risk patients will have their label directly removed</w:t>
      </w:r>
      <w:r w:rsidR="00311552">
        <w:t xml:space="preserve"> from their medical record</w:t>
      </w:r>
      <w:r w:rsidR="001826C2">
        <w:t>;</w:t>
      </w:r>
      <w:r w:rsidR="001D3768">
        <w:t xml:space="preserve"> </w:t>
      </w:r>
      <w:r w:rsidR="001826C2">
        <w:t>l</w:t>
      </w:r>
      <w:r w:rsidR="001D3768">
        <w:t xml:space="preserve">ow-risk </w:t>
      </w:r>
      <w:r w:rsidR="0047644A">
        <w:t xml:space="preserve">penicillin allergy </w:t>
      </w:r>
      <w:r w:rsidR="001D3768">
        <w:t xml:space="preserve">patients will </w:t>
      </w:r>
      <w:r w:rsidR="00311552">
        <w:t xml:space="preserve">be offered </w:t>
      </w:r>
      <w:r w:rsidR="001D3768">
        <w:t xml:space="preserve">a </w:t>
      </w:r>
      <w:r w:rsidR="00FB57C0">
        <w:t>safe oral penicillin challenge test</w:t>
      </w:r>
      <w:r w:rsidR="001D3768">
        <w:t xml:space="preserve"> and </w:t>
      </w:r>
      <w:r w:rsidR="001826C2">
        <w:t xml:space="preserve">will be de-labelled </w:t>
      </w:r>
      <w:r w:rsidR="001D3768">
        <w:t>if they have no reaction</w:t>
      </w:r>
      <w:r w:rsidR="001826C2">
        <w:t>;</w:t>
      </w:r>
      <w:r w:rsidR="001D3768">
        <w:t xml:space="preserve"> </w:t>
      </w:r>
      <w:r w:rsidR="001826C2">
        <w:t>and h</w:t>
      </w:r>
      <w:r w:rsidR="001D3768">
        <w:t>igh-risk patients</w:t>
      </w:r>
      <w:r w:rsidR="0047644A">
        <w:t xml:space="preserve"> with a frequent need for antibiotics</w:t>
      </w:r>
      <w:r w:rsidR="001D3768">
        <w:t xml:space="preserve"> will be referred for specialist </w:t>
      </w:r>
      <w:r w:rsidR="00311552">
        <w:t xml:space="preserve">assessment and </w:t>
      </w:r>
      <w:r w:rsidR="001D3768">
        <w:t xml:space="preserve">testing. </w:t>
      </w:r>
    </w:p>
    <w:p w14:paraId="48F54D54" w14:textId="7C124D8B" w:rsidR="00A104CA" w:rsidRDefault="00311552" w:rsidP="00597D77">
      <w:r>
        <w:br w:type="column"/>
      </w:r>
      <w:r>
        <w:rPr>
          <w:noProof/>
        </w:rPr>
        <w:drawing>
          <wp:inline distT="0" distB="0" distL="0" distR="0" wp14:anchorId="20C3B0D6" wp14:editId="1E969135">
            <wp:extent cx="3230245" cy="2421250"/>
            <wp:effectExtent l="0" t="0" r="8255" b="0"/>
            <wp:docPr id="14" name="Picture 14" descr="A nurse handing a man in a hospital bed an oral penicillin challenge t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Fact Sheet.jpg"/>
                    <pic:cNvPicPr/>
                  </pic:nvPicPr>
                  <pic:blipFill>
                    <a:blip r:embed="rId1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790" cy="243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580B" w14:textId="264E9727" w:rsidR="00EE7F28" w:rsidRDefault="00D930E4" w:rsidP="00EE7F28">
      <w:pPr>
        <w:pStyle w:val="Heading2"/>
      </w:pPr>
      <w:r>
        <w:t>S</w:t>
      </w:r>
      <w:r w:rsidR="00EE7F28">
        <w:t>tatus</w:t>
      </w:r>
    </w:p>
    <w:p w14:paraId="31FC4A14" w14:textId="77777777" w:rsidR="00F07954" w:rsidRDefault="00311552" w:rsidP="00311552">
      <w:pPr>
        <w:pStyle w:val="Normalfollowingheading"/>
      </w:pPr>
      <w:r>
        <w:t xml:space="preserve">While this innovation project is still in the process of being finalised, early results have been positive. </w:t>
      </w:r>
    </w:p>
    <w:p w14:paraId="17FFBD2E" w14:textId="1646B78D" w:rsidR="00311552" w:rsidRPr="00311552" w:rsidRDefault="00311552" w:rsidP="00311552">
      <w:pPr>
        <w:pStyle w:val="Normalfollowingheading"/>
      </w:pPr>
      <w:r>
        <w:t xml:space="preserve">Of the patients who received an oral penicillin challenge, 97 per cent had a false allergy label. The subsequent de-labelling of these patients led to a 10-fold increase in penicillin use. </w:t>
      </w:r>
    </w:p>
    <w:p w14:paraId="1BB1538C" w14:textId="2371FE97" w:rsidR="00311552" w:rsidRPr="00311552" w:rsidRDefault="00311552" w:rsidP="00311552">
      <w:r>
        <w:t xml:space="preserve">Certain aspects of the project were published in </w:t>
      </w:r>
      <w:hyperlink r:id="rId12" w:history="1">
        <w:r w:rsidRPr="00311552">
          <w:rPr>
            <w:rStyle w:val="Hyperlink"/>
            <w:i/>
            <w:iCs/>
            <w:color w:val="408ABB" w:themeColor="accent1"/>
          </w:rPr>
          <w:t>Cli</w:t>
        </w:r>
        <w:r w:rsidRPr="00311552">
          <w:rPr>
            <w:rStyle w:val="Hyperlink"/>
            <w:i/>
            <w:iCs/>
            <w:color w:val="408ABB" w:themeColor="accent1"/>
          </w:rPr>
          <w:t>n</w:t>
        </w:r>
        <w:r w:rsidRPr="00311552">
          <w:rPr>
            <w:rStyle w:val="Hyperlink"/>
            <w:i/>
            <w:iCs/>
            <w:color w:val="408ABB" w:themeColor="accent1"/>
          </w:rPr>
          <w:t>ical Infectious Diseases</w:t>
        </w:r>
      </w:hyperlink>
      <w:r>
        <w:rPr>
          <w:i/>
          <w:iCs/>
        </w:rPr>
        <w:t xml:space="preserve"> </w:t>
      </w:r>
      <w:r w:rsidRPr="00311552">
        <w:t>in August 2020</w:t>
      </w:r>
      <w:r>
        <w:t xml:space="preserve">. </w:t>
      </w:r>
    </w:p>
    <w:sectPr w:rsidR="00311552" w:rsidRPr="00311552" w:rsidSect="005F5D20">
      <w:footerReference w:type="default" r:id="rId13"/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D8A4" w16cex:dateUtc="2020-12-07T05:36:00Z"/>
  <w16cex:commentExtensible w16cex:durableId="2378DACD" w16cex:dateUtc="2020-12-07T05:46:00Z"/>
  <w16cex:commentExtensible w16cex:durableId="2378DC89" w16cex:dateUtc="2020-12-07T0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5F14" w14:textId="77777777" w:rsidR="00060D97" w:rsidRDefault="00060D97" w:rsidP="002D711A">
      <w:pPr>
        <w:spacing w:after="0" w:line="240" w:lineRule="auto"/>
      </w:pPr>
      <w:r>
        <w:separator/>
      </w:r>
    </w:p>
  </w:endnote>
  <w:endnote w:type="continuationSeparator" w:id="0">
    <w:p w14:paraId="1B12F49B" w14:textId="77777777" w:rsidR="00060D97" w:rsidRDefault="00060D9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C821CE" w:rsidRPr="00736C0C" w14:paraId="600019E9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6ABDDD2C" w14:textId="77777777" w:rsidR="00C821CE" w:rsidRPr="00911408" w:rsidRDefault="00C821CE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10DACBD6" w14:textId="77777777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34CA84F8" w14:textId="279FAE25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6714EF">
            <w:rPr>
              <w:sz w:val="18"/>
              <w:szCs w:val="18"/>
            </w:rPr>
            <w:t xml:space="preserve">November </w:t>
          </w:r>
          <w:r>
            <w:rPr>
              <w:sz w:val="18"/>
              <w:szCs w:val="18"/>
            </w:rPr>
            <w:t>2020</w:t>
          </w:r>
        </w:p>
        <w:p w14:paraId="585BE8B9" w14:textId="33E89AFB" w:rsidR="00C821CE" w:rsidRPr="0006492C" w:rsidRDefault="006714EF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06492C">
            <w:rPr>
              <w:color w:val="000000" w:themeColor="text1"/>
              <w:sz w:val="18"/>
              <w:szCs w:val="18"/>
            </w:rPr>
            <w:t>ISBN 978-1-76096-278-4 (pdf/online/MS word)</w:t>
          </w:r>
        </w:p>
        <w:p w14:paraId="58FBD7BF" w14:textId="77777777" w:rsidR="00C821CE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5090B2B9" w14:textId="77777777" w:rsidR="00C821CE" w:rsidRPr="007A4444" w:rsidRDefault="00C821CE" w:rsidP="0043317F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5A25321B" w14:textId="77777777" w:rsidR="00C821CE" w:rsidRPr="00736C0C" w:rsidRDefault="00C821CE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2FF70F3B" wp14:editId="341025C6">
                <wp:extent cx="1967488" cy="510541"/>
                <wp:effectExtent l="0" t="0" r="0" b="3810"/>
                <wp:docPr id="6" name="Picture 6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EEF341" w14:textId="77777777" w:rsidR="00C821CE" w:rsidRDefault="00C8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782C" w14:textId="77777777" w:rsidR="00060D97" w:rsidRDefault="00060D97" w:rsidP="00E33E08">
      <w:pPr>
        <w:spacing w:before="0" w:after="0" w:line="240" w:lineRule="auto"/>
      </w:pPr>
    </w:p>
  </w:footnote>
  <w:footnote w:type="continuationSeparator" w:id="0">
    <w:p w14:paraId="25E775FD" w14:textId="77777777" w:rsidR="00060D97" w:rsidRDefault="00060D97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025D9F68">
          <wp:simplePos x="0" y="0"/>
          <wp:positionH relativeFrom="page">
            <wp:posOffset>23495</wp:posOffset>
          </wp:positionH>
          <wp:positionV relativeFrom="page">
            <wp:posOffset>19050</wp:posOffset>
          </wp:positionV>
          <wp:extent cx="2127600" cy="1202400"/>
          <wp:effectExtent l="0" t="0" r="0" b="0"/>
          <wp:wrapNone/>
          <wp:docPr id="3" name="Picture 3" descr="Better Care Victoria 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92427C56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Theme="minorHAnsi" w:hAnsiTheme="minorHAnsi" w:cstheme="minorHAns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06D66"/>
    <w:rsid w:val="00012F6F"/>
    <w:rsid w:val="00014213"/>
    <w:rsid w:val="00014B55"/>
    <w:rsid w:val="000152C4"/>
    <w:rsid w:val="00016D64"/>
    <w:rsid w:val="00020E3E"/>
    <w:rsid w:val="00023457"/>
    <w:rsid w:val="00023BF3"/>
    <w:rsid w:val="00024B04"/>
    <w:rsid w:val="00026811"/>
    <w:rsid w:val="0002714E"/>
    <w:rsid w:val="0004185E"/>
    <w:rsid w:val="00044EFB"/>
    <w:rsid w:val="00046CD7"/>
    <w:rsid w:val="00047D56"/>
    <w:rsid w:val="00053181"/>
    <w:rsid w:val="00056988"/>
    <w:rsid w:val="00060D97"/>
    <w:rsid w:val="0006492C"/>
    <w:rsid w:val="000675A6"/>
    <w:rsid w:val="00071F51"/>
    <w:rsid w:val="00072279"/>
    <w:rsid w:val="00073407"/>
    <w:rsid w:val="00075E6C"/>
    <w:rsid w:val="00081C12"/>
    <w:rsid w:val="00087D42"/>
    <w:rsid w:val="000905F7"/>
    <w:rsid w:val="000A4C74"/>
    <w:rsid w:val="000B29AD"/>
    <w:rsid w:val="000C515F"/>
    <w:rsid w:val="000C598A"/>
    <w:rsid w:val="000C6372"/>
    <w:rsid w:val="000D7841"/>
    <w:rsid w:val="000E392D"/>
    <w:rsid w:val="000E39B6"/>
    <w:rsid w:val="000E3D05"/>
    <w:rsid w:val="000F2A2C"/>
    <w:rsid w:val="000F4288"/>
    <w:rsid w:val="000F7165"/>
    <w:rsid w:val="00102379"/>
    <w:rsid w:val="00103722"/>
    <w:rsid w:val="001065D6"/>
    <w:rsid w:val="001068D5"/>
    <w:rsid w:val="00121252"/>
    <w:rsid w:val="00121488"/>
    <w:rsid w:val="00124609"/>
    <w:rsid w:val="001254CE"/>
    <w:rsid w:val="0013637A"/>
    <w:rsid w:val="001422CC"/>
    <w:rsid w:val="00143E45"/>
    <w:rsid w:val="00145346"/>
    <w:rsid w:val="0015433A"/>
    <w:rsid w:val="001553D4"/>
    <w:rsid w:val="001617B6"/>
    <w:rsid w:val="00165E66"/>
    <w:rsid w:val="001761F2"/>
    <w:rsid w:val="001826C2"/>
    <w:rsid w:val="00186B39"/>
    <w:rsid w:val="00196143"/>
    <w:rsid w:val="001A24FC"/>
    <w:rsid w:val="001A68EC"/>
    <w:rsid w:val="001B7A9A"/>
    <w:rsid w:val="001C60B2"/>
    <w:rsid w:val="001C6993"/>
    <w:rsid w:val="001C7BAE"/>
    <w:rsid w:val="001D3768"/>
    <w:rsid w:val="001E31FA"/>
    <w:rsid w:val="001E48F9"/>
    <w:rsid w:val="001E564D"/>
    <w:rsid w:val="001E64F6"/>
    <w:rsid w:val="001E7AEB"/>
    <w:rsid w:val="00204B82"/>
    <w:rsid w:val="00222BEB"/>
    <w:rsid w:val="00225E60"/>
    <w:rsid w:val="00227DC4"/>
    <w:rsid w:val="00230BBB"/>
    <w:rsid w:val="0023202C"/>
    <w:rsid w:val="00232F43"/>
    <w:rsid w:val="00234619"/>
    <w:rsid w:val="00235BE2"/>
    <w:rsid w:val="00245043"/>
    <w:rsid w:val="002505DC"/>
    <w:rsid w:val="0026028E"/>
    <w:rsid w:val="002663C2"/>
    <w:rsid w:val="00273AF5"/>
    <w:rsid w:val="00284FA2"/>
    <w:rsid w:val="00292D36"/>
    <w:rsid w:val="00294A5A"/>
    <w:rsid w:val="00297281"/>
    <w:rsid w:val="00297953"/>
    <w:rsid w:val="00297A47"/>
    <w:rsid w:val="002A05AD"/>
    <w:rsid w:val="002A5891"/>
    <w:rsid w:val="002A5F50"/>
    <w:rsid w:val="002B03F1"/>
    <w:rsid w:val="002B5C34"/>
    <w:rsid w:val="002B5E2B"/>
    <w:rsid w:val="002B6DAA"/>
    <w:rsid w:val="002C338A"/>
    <w:rsid w:val="002D432E"/>
    <w:rsid w:val="002D70F7"/>
    <w:rsid w:val="002D711A"/>
    <w:rsid w:val="002D7336"/>
    <w:rsid w:val="002E2035"/>
    <w:rsid w:val="002E3396"/>
    <w:rsid w:val="002E6454"/>
    <w:rsid w:val="002F2953"/>
    <w:rsid w:val="002F4E84"/>
    <w:rsid w:val="003044C3"/>
    <w:rsid w:val="00307241"/>
    <w:rsid w:val="0031149C"/>
    <w:rsid w:val="00311552"/>
    <w:rsid w:val="00326BE9"/>
    <w:rsid w:val="00332D4F"/>
    <w:rsid w:val="00333A0C"/>
    <w:rsid w:val="003347B2"/>
    <w:rsid w:val="0034408A"/>
    <w:rsid w:val="00346308"/>
    <w:rsid w:val="0036307C"/>
    <w:rsid w:val="0036778F"/>
    <w:rsid w:val="00377AF2"/>
    <w:rsid w:val="0038771C"/>
    <w:rsid w:val="00391A48"/>
    <w:rsid w:val="00396B15"/>
    <w:rsid w:val="003A430B"/>
    <w:rsid w:val="003A541A"/>
    <w:rsid w:val="003A55CF"/>
    <w:rsid w:val="003A6923"/>
    <w:rsid w:val="003C2C67"/>
    <w:rsid w:val="003C2D4C"/>
    <w:rsid w:val="003C3B3A"/>
    <w:rsid w:val="003C5BA4"/>
    <w:rsid w:val="003D0A4D"/>
    <w:rsid w:val="003E3E26"/>
    <w:rsid w:val="003E75F8"/>
    <w:rsid w:val="003F1295"/>
    <w:rsid w:val="003F5102"/>
    <w:rsid w:val="003F52D0"/>
    <w:rsid w:val="003F76FC"/>
    <w:rsid w:val="004002EB"/>
    <w:rsid w:val="00407A79"/>
    <w:rsid w:val="00422DDC"/>
    <w:rsid w:val="004231B5"/>
    <w:rsid w:val="004236C8"/>
    <w:rsid w:val="00427681"/>
    <w:rsid w:val="0043317F"/>
    <w:rsid w:val="00433DB7"/>
    <w:rsid w:val="00435805"/>
    <w:rsid w:val="00442182"/>
    <w:rsid w:val="0044403B"/>
    <w:rsid w:val="00452D36"/>
    <w:rsid w:val="0045347E"/>
    <w:rsid w:val="00453750"/>
    <w:rsid w:val="00453848"/>
    <w:rsid w:val="00453C23"/>
    <w:rsid w:val="00456941"/>
    <w:rsid w:val="00460BD5"/>
    <w:rsid w:val="004702EA"/>
    <w:rsid w:val="0047644A"/>
    <w:rsid w:val="0048259C"/>
    <w:rsid w:val="00482D02"/>
    <w:rsid w:val="00484326"/>
    <w:rsid w:val="00490369"/>
    <w:rsid w:val="004A4ED0"/>
    <w:rsid w:val="004A7519"/>
    <w:rsid w:val="004B30B6"/>
    <w:rsid w:val="004B64B1"/>
    <w:rsid w:val="004C1881"/>
    <w:rsid w:val="004D01AC"/>
    <w:rsid w:val="004D3518"/>
    <w:rsid w:val="004D62D6"/>
    <w:rsid w:val="004D6898"/>
    <w:rsid w:val="004E480E"/>
    <w:rsid w:val="004F3F4E"/>
    <w:rsid w:val="004F47C8"/>
    <w:rsid w:val="00510167"/>
    <w:rsid w:val="00510F7A"/>
    <w:rsid w:val="00513E86"/>
    <w:rsid w:val="00513F71"/>
    <w:rsid w:val="005306A2"/>
    <w:rsid w:val="00532BA6"/>
    <w:rsid w:val="0053416C"/>
    <w:rsid w:val="0053692B"/>
    <w:rsid w:val="005406BC"/>
    <w:rsid w:val="00541C2F"/>
    <w:rsid w:val="00544BDB"/>
    <w:rsid w:val="00552DE4"/>
    <w:rsid w:val="00555D37"/>
    <w:rsid w:val="005611C2"/>
    <w:rsid w:val="00563527"/>
    <w:rsid w:val="005716D7"/>
    <w:rsid w:val="0057407A"/>
    <w:rsid w:val="0058124E"/>
    <w:rsid w:val="005875A3"/>
    <w:rsid w:val="00594DF3"/>
    <w:rsid w:val="005953EA"/>
    <w:rsid w:val="00597D77"/>
    <w:rsid w:val="005A3416"/>
    <w:rsid w:val="005B061F"/>
    <w:rsid w:val="005B27FE"/>
    <w:rsid w:val="005B327A"/>
    <w:rsid w:val="005B5F0B"/>
    <w:rsid w:val="005B76DF"/>
    <w:rsid w:val="005B79CB"/>
    <w:rsid w:val="005C73B4"/>
    <w:rsid w:val="005E08D7"/>
    <w:rsid w:val="005E2EDE"/>
    <w:rsid w:val="005E4C16"/>
    <w:rsid w:val="005E5947"/>
    <w:rsid w:val="005F565E"/>
    <w:rsid w:val="005F5D20"/>
    <w:rsid w:val="005F61DF"/>
    <w:rsid w:val="0060163A"/>
    <w:rsid w:val="006023F9"/>
    <w:rsid w:val="00610559"/>
    <w:rsid w:val="00614076"/>
    <w:rsid w:val="00614F35"/>
    <w:rsid w:val="00615B76"/>
    <w:rsid w:val="00624303"/>
    <w:rsid w:val="00632F2E"/>
    <w:rsid w:val="006332F6"/>
    <w:rsid w:val="006413F2"/>
    <w:rsid w:val="0064598D"/>
    <w:rsid w:val="006534B2"/>
    <w:rsid w:val="0065615D"/>
    <w:rsid w:val="00657011"/>
    <w:rsid w:val="006650B5"/>
    <w:rsid w:val="006651B1"/>
    <w:rsid w:val="00665778"/>
    <w:rsid w:val="00665D04"/>
    <w:rsid w:val="006714EF"/>
    <w:rsid w:val="00676E5F"/>
    <w:rsid w:val="006772B4"/>
    <w:rsid w:val="00680577"/>
    <w:rsid w:val="006870A2"/>
    <w:rsid w:val="006945CA"/>
    <w:rsid w:val="006A3309"/>
    <w:rsid w:val="006A3A5A"/>
    <w:rsid w:val="006A5B34"/>
    <w:rsid w:val="006B1940"/>
    <w:rsid w:val="006B2A76"/>
    <w:rsid w:val="006C22D2"/>
    <w:rsid w:val="006C77A9"/>
    <w:rsid w:val="006D2F37"/>
    <w:rsid w:val="006D4720"/>
    <w:rsid w:val="006E6CDF"/>
    <w:rsid w:val="006F37F2"/>
    <w:rsid w:val="006F6693"/>
    <w:rsid w:val="00701062"/>
    <w:rsid w:val="00707FE8"/>
    <w:rsid w:val="007108AA"/>
    <w:rsid w:val="00713778"/>
    <w:rsid w:val="00714AAE"/>
    <w:rsid w:val="0072269C"/>
    <w:rsid w:val="00724962"/>
    <w:rsid w:val="00724A0F"/>
    <w:rsid w:val="00726D2F"/>
    <w:rsid w:val="007352D2"/>
    <w:rsid w:val="00736732"/>
    <w:rsid w:val="00740019"/>
    <w:rsid w:val="00741785"/>
    <w:rsid w:val="00742A00"/>
    <w:rsid w:val="007435DF"/>
    <w:rsid w:val="00746426"/>
    <w:rsid w:val="00750BF9"/>
    <w:rsid w:val="00750CBE"/>
    <w:rsid w:val="0075129C"/>
    <w:rsid w:val="007650D2"/>
    <w:rsid w:val="00765961"/>
    <w:rsid w:val="00766B5A"/>
    <w:rsid w:val="00770055"/>
    <w:rsid w:val="00772209"/>
    <w:rsid w:val="007766A2"/>
    <w:rsid w:val="007770A5"/>
    <w:rsid w:val="007778A3"/>
    <w:rsid w:val="007834F2"/>
    <w:rsid w:val="00791020"/>
    <w:rsid w:val="00794CB7"/>
    <w:rsid w:val="00797ABA"/>
    <w:rsid w:val="007A04D2"/>
    <w:rsid w:val="007A4444"/>
    <w:rsid w:val="007A5F82"/>
    <w:rsid w:val="007A6159"/>
    <w:rsid w:val="007D4A1E"/>
    <w:rsid w:val="007D5F9E"/>
    <w:rsid w:val="007D6E63"/>
    <w:rsid w:val="007D7586"/>
    <w:rsid w:val="007E098F"/>
    <w:rsid w:val="007E3BA2"/>
    <w:rsid w:val="007F1A4C"/>
    <w:rsid w:val="007F723F"/>
    <w:rsid w:val="008022C3"/>
    <w:rsid w:val="008041E6"/>
    <w:rsid w:val="008065D2"/>
    <w:rsid w:val="00815A8A"/>
    <w:rsid w:val="0082003C"/>
    <w:rsid w:val="0082194C"/>
    <w:rsid w:val="008222FF"/>
    <w:rsid w:val="008241FF"/>
    <w:rsid w:val="00836EEF"/>
    <w:rsid w:val="008411E9"/>
    <w:rsid w:val="00841617"/>
    <w:rsid w:val="0084200F"/>
    <w:rsid w:val="00843B2C"/>
    <w:rsid w:val="00844F16"/>
    <w:rsid w:val="00847BE1"/>
    <w:rsid w:val="00847FD6"/>
    <w:rsid w:val="0085512F"/>
    <w:rsid w:val="00855FF9"/>
    <w:rsid w:val="0086277A"/>
    <w:rsid w:val="00863AFA"/>
    <w:rsid w:val="008668A8"/>
    <w:rsid w:val="008703D8"/>
    <w:rsid w:val="008755C2"/>
    <w:rsid w:val="008768AD"/>
    <w:rsid w:val="00880AC4"/>
    <w:rsid w:val="00893E52"/>
    <w:rsid w:val="0089453D"/>
    <w:rsid w:val="00897157"/>
    <w:rsid w:val="00897447"/>
    <w:rsid w:val="008A001A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E4921"/>
    <w:rsid w:val="008E4A0C"/>
    <w:rsid w:val="008F6D45"/>
    <w:rsid w:val="00911408"/>
    <w:rsid w:val="009155CE"/>
    <w:rsid w:val="00916AD5"/>
    <w:rsid w:val="00922944"/>
    <w:rsid w:val="00922CA6"/>
    <w:rsid w:val="0092497B"/>
    <w:rsid w:val="009260DC"/>
    <w:rsid w:val="0093448A"/>
    <w:rsid w:val="00936479"/>
    <w:rsid w:val="00937A10"/>
    <w:rsid w:val="00940685"/>
    <w:rsid w:val="009424C8"/>
    <w:rsid w:val="00953A2C"/>
    <w:rsid w:val="00960E80"/>
    <w:rsid w:val="00961C62"/>
    <w:rsid w:val="00966115"/>
    <w:rsid w:val="0097606F"/>
    <w:rsid w:val="009834C0"/>
    <w:rsid w:val="00986AAC"/>
    <w:rsid w:val="00991C00"/>
    <w:rsid w:val="00995526"/>
    <w:rsid w:val="00996E62"/>
    <w:rsid w:val="009A18D1"/>
    <w:rsid w:val="009A1DA2"/>
    <w:rsid w:val="009A3704"/>
    <w:rsid w:val="009A4739"/>
    <w:rsid w:val="009A674F"/>
    <w:rsid w:val="009A6D22"/>
    <w:rsid w:val="009B199C"/>
    <w:rsid w:val="009B1BBA"/>
    <w:rsid w:val="009B61F1"/>
    <w:rsid w:val="009B62E0"/>
    <w:rsid w:val="009C3D88"/>
    <w:rsid w:val="009C4BAA"/>
    <w:rsid w:val="009C5B10"/>
    <w:rsid w:val="009E0D59"/>
    <w:rsid w:val="009E0FD8"/>
    <w:rsid w:val="009E1651"/>
    <w:rsid w:val="009E3858"/>
    <w:rsid w:val="009E467D"/>
    <w:rsid w:val="009E4C6B"/>
    <w:rsid w:val="009E5E60"/>
    <w:rsid w:val="009E70DD"/>
    <w:rsid w:val="009F2ED9"/>
    <w:rsid w:val="009F3231"/>
    <w:rsid w:val="009F4433"/>
    <w:rsid w:val="009F5C58"/>
    <w:rsid w:val="00A023A0"/>
    <w:rsid w:val="00A05EBC"/>
    <w:rsid w:val="00A104CA"/>
    <w:rsid w:val="00A131B1"/>
    <w:rsid w:val="00A1562B"/>
    <w:rsid w:val="00A170F4"/>
    <w:rsid w:val="00A178A4"/>
    <w:rsid w:val="00A21408"/>
    <w:rsid w:val="00A2160F"/>
    <w:rsid w:val="00A21CFD"/>
    <w:rsid w:val="00A25B78"/>
    <w:rsid w:val="00A312E7"/>
    <w:rsid w:val="00A31EC7"/>
    <w:rsid w:val="00A3511F"/>
    <w:rsid w:val="00A41E3C"/>
    <w:rsid w:val="00A46288"/>
    <w:rsid w:val="00A46BA8"/>
    <w:rsid w:val="00A47634"/>
    <w:rsid w:val="00A51756"/>
    <w:rsid w:val="00A612FE"/>
    <w:rsid w:val="00A70B49"/>
    <w:rsid w:val="00A8295D"/>
    <w:rsid w:val="00A85BA6"/>
    <w:rsid w:val="00A92D94"/>
    <w:rsid w:val="00A97E8F"/>
    <w:rsid w:val="00AA26B8"/>
    <w:rsid w:val="00AC0B87"/>
    <w:rsid w:val="00AC16E7"/>
    <w:rsid w:val="00AC2624"/>
    <w:rsid w:val="00AC32A8"/>
    <w:rsid w:val="00AD2766"/>
    <w:rsid w:val="00AD7E4E"/>
    <w:rsid w:val="00AF4D58"/>
    <w:rsid w:val="00AF6666"/>
    <w:rsid w:val="00AF7BC5"/>
    <w:rsid w:val="00B218E6"/>
    <w:rsid w:val="00B25D32"/>
    <w:rsid w:val="00B32C3F"/>
    <w:rsid w:val="00B81B44"/>
    <w:rsid w:val="00B9053B"/>
    <w:rsid w:val="00BA0C37"/>
    <w:rsid w:val="00BA2AB6"/>
    <w:rsid w:val="00BA3782"/>
    <w:rsid w:val="00BA52D2"/>
    <w:rsid w:val="00BB4D98"/>
    <w:rsid w:val="00BB4EBF"/>
    <w:rsid w:val="00BB59E0"/>
    <w:rsid w:val="00BB7655"/>
    <w:rsid w:val="00BC07DF"/>
    <w:rsid w:val="00BC3422"/>
    <w:rsid w:val="00BC5A90"/>
    <w:rsid w:val="00BC6E19"/>
    <w:rsid w:val="00BD11C2"/>
    <w:rsid w:val="00BD5018"/>
    <w:rsid w:val="00BE5ADC"/>
    <w:rsid w:val="00BE7951"/>
    <w:rsid w:val="00BF4F96"/>
    <w:rsid w:val="00BF69F9"/>
    <w:rsid w:val="00C015B9"/>
    <w:rsid w:val="00C022F9"/>
    <w:rsid w:val="00C032EA"/>
    <w:rsid w:val="00C06EB5"/>
    <w:rsid w:val="00C1145F"/>
    <w:rsid w:val="00C11CD1"/>
    <w:rsid w:val="00C22BAE"/>
    <w:rsid w:val="00C32D49"/>
    <w:rsid w:val="00C33AD3"/>
    <w:rsid w:val="00C343E0"/>
    <w:rsid w:val="00C35D53"/>
    <w:rsid w:val="00C41B3C"/>
    <w:rsid w:val="00C43F06"/>
    <w:rsid w:val="00C452BF"/>
    <w:rsid w:val="00C51C01"/>
    <w:rsid w:val="00C637E1"/>
    <w:rsid w:val="00C67EAC"/>
    <w:rsid w:val="00C7098C"/>
    <w:rsid w:val="00C70D50"/>
    <w:rsid w:val="00C72252"/>
    <w:rsid w:val="00C821CE"/>
    <w:rsid w:val="00C82E03"/>
    <w:rsid w:val="00C907D7"/>
    <w:rsid w:val="00C92338"/>
    <w:rsid w:val="00C96F62"/>
    <w:rsid w:val="00CA05DC"/>
    <w:rsid w:val="00CA7B47"/>
    <w:rsid w:val="00CB1E66"/>
    <w:rsid w:val="00CB3976"/>
    <w:rsid w:val="00CC0347"/>
    <w:rsid w:val="00CD0307"/>
    <w:rsid w:val="00CD3C79"/>
    <w:rsid w:val="00CD3D1B"/>
    <w:rsid w:val="00CD728E"/>
    <w:rsid w:val="00CE590E"/>
    <w:rsid w:val="00CE61C3"/>
    <w:rsid w:val="00D02663"/>
    <w:rsid w:val="00D059DF"/>
    <w:rsid w:val="00D0633E"/>
    <w:rsid w:val="00D1273A"/>
    <w:rsid w:val="00D12E74"/>
    <w:rsid w:val="00D21D71"/>
    <w:rsid w:val="00D2312F"/>
    <w:rsid w:val="00D23799"/>
    <w:rsid w:val="00D23B04"/>
    <w:rsid w:val="00D269C1"/>
    <w:rsid w:val="00D41230"/>
    <w:rsid w:val="00D41948"/>
    <w:rsid w:val="00D41B2F"/>
    <w:rsid w:val="00D44953"/>
    <w:rsid w:val="00D542F3"/>
    <w:rsid w:val="00D54513"/>
    <w:rsid w:val="00D54AAE"/>
    <w:rsid w:val="00D5644B"/>
    <w:rsid w:val="00D5679F"/>
    <w:rsid w:val="00D56E25"/>
    <w:rsid w:val="00D57E89"/>
    <w:rsid w:val="00D622F8"/>
    <w:rsid w:val="00D6560D"/>
    <w:rsid w:val="00D65D77"/>
    <w:rsid w:val="00D718D7"/>
    <w:rsid w:val="00D76AD4"/>
    <w:rsid w:val="00D814B7"/>
    <w:rsid w:val="00D82B43"/>
    <w:rsid w:val="00D858A3"/>
    <w:rsid w:val="00D90688"/>
    <w:rsid w:val="00D930E4"/>
    <w:rsid w:val="00DA3AAD"/>
    <w:rsid w:val="00DA3F36"/>
    <w:rsid w:val="00DB312B"/>
    <w:rsid w:val="00DC5654"/>
    <w:rsid w:val="00DC658F"/>
    <w:rsid w:val="00DC674A"/>
    <w:rsid w:val="00DE60CC"/>
    <w:rsid w:val="00E03F35"/>
    <w:rsid w:val="00E26B32"/>
    <w:rsid w:val="00E31CD4"/>
    <w:rsid w:val="00E31E60"/>
    <w:rsid w:val="00E33E08"/>
    <w:rsid w:val="00E407B6"/>
    <w:rsid w:val="00E41D82"/>
    <w:rsid w:val="00E41EF1"/>
    <w:rsid w:val="00E42942"/>
    <w:rsid w:val="00E46FE9"/>
    <w:rsid w:val="00E47BAA"/>
    <w:rsid w:val="00E5123D"/>
    <w:rsid w:val="00E6148E"/>
    <w:rsid w:val="00E65A0A"/>
    <w:rsid w:val="00E71BDF"/>
    <w:rsid w:val="00E75CCB"/>
    <w:rsid w:val="00E81DF6"/>
    <w:rsid w:val="00E8245B"/>
    <w:rsid w:val="00E82C21"/>
    <w:rsid w:val="00E82F59"/>
    <w:rsid w:val="00E83CA7"/>
    <w:rsid w:val="00E84C1B"/>
    <w:rsid w:val="00E92192"/>
    <w:rsid w:val="00E95A71"/>
    <w:rsid w:val="00EB7014"/>
    <w:rsid w:val="00EC3899"/>
    <w:rsid w:val="00EC5CDE"/>
    <w:rsid w:val="00EC7F2A"/>
    <w:rsid w:val="00ED3077"/>
    <w:rsid w:val="00ED487E"/>
    <w:rsid w:val="00ED64F1"/>
    <w:rsid w:val="00EE33A1"/>
    <w:rsid w:val="00EE7A0D"/>
    <w:rsid w:val="00EE7F28"/>
    <w:rsid w:val="00F0222C"/>
    <w:rsid w:val="00F06647"/>
    <w:rsid w:val="00F07954"/>
    <w:rsid w:val="00F12312"/>
    <w:rsid w:val="00F12BCD"/>
    <w:rsid w:val="00F13239"/>
    <w:rsid w:val="00F17CE1"/>
    <w:rsid w:val="00F2115C"/>
    <w:rsid w:val="00F22ABA"/>
    <w:rsid w:val="00F25919"/>
    <w:rsid w:val="00F25F4B"/>
    <w:rsid w:val="00F36B12"/>
    <w:rsid w:val="00F47E65"/>
    <w:rsid w:val="00F512A8"/>
    <w:rsid w:val="00F60F9F"/>
    <w:rsid w:val="00F61246"/>
    <w:rsid w:val="00F64F08"/>
    <w:rsid w:val="00F70055"/>
    <w:rsid w:val="00F734F5"/>
    <w:rsid w:val="00F73B5B"/>
    <w:rsid w:val="00F80476"/>
    <w:rsid w:val="00F80A39"/>
    <w:rsid w:val="00F8536E"/>
    <w:rsid w:val="00F90EA5"/>
    <w:rsid w:val="00F91F5A"/>
    <w:rsid w:val="00F9441A"/>
    <w:rsid w:val="00F951B6"/>
    <w:rsid w:val="00F966B1"/>
    <w:rsid w:val="00F97D48"/>
    <w:rsid w:val="00FA0311"/>
    <w:rsid w:val="00FA1489"/>
    <w:rsid w:val="00FA25BB"/>
    <w:rsid w:val="00FB0ADD"/>
    <w:rsid w:val="00FB15BD"/>
    <w:rsid w:val="00FB57C0"/>
    <w:rsid w:val="00FC6EC1"/>
    <w:rsid w:val="00FD50F0"/>
    <w:rsid w:val="00FD640F"/>
    <w:rsid w:val="00FD6B4C"/>
    <w:rsid w:val="00FE04C6"/>
    <w:rsid w:val="00FE0553"/>
    <w:rsid w:val="00FE25D0"/>
    <w:rsid w:val="00FE6CB3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1"/>
    <w:semiHidden/>
    <w:unhideWhenUsed/>
    <w:rsid w:val="00027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0271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02714E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027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02714E"/>
    <w:rPr>
      <w:b/>
      <w:bCs/>
    </w:rPr>
  </w:style>
  <w:style w:type="character" w:styleId="FollowedHyperlink">
    <w:name w:val="FollowedHyperlink"/>
    <w:basedOn w:val="DefaultParagraphFont"/>
    <w:uiPriority w:val="1"/>
    <w:semiHidden/>
    <w:unhideWhenUsed/>
    <w:rsid w:val="00C82E03"/>
    <w:rPr>
      <w:color w:val="0063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ademic.oup.com/cid/advance-article-abstract/doi/10.1093/cid/ciaa653/5879938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553B-AAE3-4848-A2DD-2B21EEE3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Antibiotic allergy de-labelling program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2020-12-17T06:39:00Z</dcterms:created>
  <dcterms:modified xsi:type="dcterms:W3CDTF">2020-12-17T06:39:00Z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2020-12-17T06:39:53Z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fd570735-fcb1-423c-8e57-6a6103bdeb95</vt:lpwstr>
  </property>
  <property fmtid="{D5CDD505-2E9C-101B-9397-08002B2CF9AE}" pid="8" name="MSIP_Label_efdf5488-3066-4b6c-8fea-9472b8a1f34c_ContentBits">
    <vt:lpwstr>0</vt:lpwstr>
  </property>
</Properties>
</file>