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9D13" w14:textId="50365B86" w:rsidR="00A46288" w:rsidRPr="00DA3F36" w:rsidRDefault="00615B76" w:rsidP="007A4444">
      <w:pPr>
        <w:pStyle w:val="Title"/>
      </w:pPr>
      <w:bookmarkStart w:id="0" w:name="_GoBack"/>
      <w:bookmarkEnd w:id="0"/>
      <w:r>
        <w:t xml:space="preserve">iNCREASING ACCESS TO YOUNG ONSET DEMENTIA </w:t>
      </w:r>
      <w:r w:rsidR="009424C8">
        <w:t xml:space="preserve">services with </w:t>
      </w:r>
      <w:r>
        <w:t>TELEHEALTH</w:t>
      </w:r>
    </w:p>
    <w:p w14:paraId="6800B4C5" w14:textId="1417EA23" w:rsidR="00897157" w:rsidRDefault="00940685" w:rsidP="00E03F35">
      <w:pPr>
        <w:pStyle w:val="IntroductoryText"/>
      </w:pPr>
      <w:r>
        <w:t>Young onset dementia</w:t>
      </w:r>
      <w:r w:rsidR="007766A2">
        <w:t xml:space="preserve"> </w:t>
      </w:r>
      <w:r>
        <w:t xml:space="preserve">affects more than 25,000 Australians but accessing specialist services to manage the condition can be </w:t>
      </w:r>
      <w:r w:rsidR="007D7586">
        <w:t xml:space="preserve">challenging </w:t>
      </w:r>
      <w:r>
        <w:t xml:space="preserve">due to the </w:t>
      </w:r>
      <w:r w:rsidR="00E81DF6">
        <w:t xml:space="preserve">distance, cost </w:t>
      </w:r>
      <w:r w:rsidR="007766A2">
        <w:t xml:space="preserve">and time off work </w:t>
      </w:r>
      <w:r w:rsidR="00E81DF6">
        <w:t>required</w:t>
      </w:r>
      <w:r w:rsidR="009424C8">
        <w:t xml:space="preserve">. Melbourne Health </w:t>
      </w:r>
      <w:r w:rsidR="00AC3F2C">
        <w:t xml:space="preserve">harnessed </w:t>
      </w:r>
      <w:r w:rsidR="009424C8">
        <w:t xml:space="preserve">telehealth </w:t>
      </w:r>
      <w:r w:rsidR="00333A0C">
        <w:t xml:space="preserve">technology to </w:t>
      </w:r>
      <w:r w:rsidR="007766A2">
        <w:t xml:space="preserve">give more patients access to its </w:t>
      </w:r>
      <w:r w:rsidR="00A51756">
        <w:t>tailored</w:t>
      </w:r>
      <w:r w:rsidR="007766A2">
        <w:t>, specialist</w:t>
      </w:r>
      <w:r w:rsidR="00A51756">
        <w:t xml:space="preserve"> </w:t>
      </w:r>
      <w:r w:rsidR="00AC3F2C">
        <w:t xml:space="preserve">young onset dementia </w:t>
      </w:r>
      <w:r w:rsidR="009424C8">
        <w:t>services</w:t>
      </w:r>
      <w:r w:rsidR="00FE230E">
        <w:t xml:space="preserve"> and </w:t>
      </w:r>
      <w:r w:rsidR="00FE230E" w:rsidRPr="00FE230E">
        <w:t xml:space="preserve">reduce the personal and economic costs </w:t>
      </w:r>
      <w:r w:rsidR="00FE230E">
        <w:t>for those requiring care in rural and regional Victoria</w:t>
      </w:r>
      <w:r w:rsidR="009424C8">
        <w:t>.</w:t>
      </w:r>
    </w:p>
    <w:p w14:paraId="7E23E5B8" w14:textId="77777777" w:rsidR="007A4444" w:rsidRDefault="007A4444" w:rsidP="007A4444">
      <w:pPr>
        <w:pStyle w:val="NoSpacing"/>
      </w:pPr>
    </w:p>
    <w:p w14:paraId="4230C339" w14:textId="77777777" w:rsidR="007A4444" w:rsidRDefault="007A4444" w:rsidP="00794CB7">
      <w:pPr>
        <w:sectPr w:rsidR="007A4444" w:rsidSect="001A50C5">
          <w:footerReference w:type="default" r:id="rId8"/>
          <w:headerReference w:type="first" r:id="rId9"/>
          <w:type w:val="continuous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14:paraId="08B76A1A" w14:textId="30D2B9DC" w:rsidR="00911408" w:rsidRDefault="000C515F" w:rsidP="00911408">
      <w:pPr>
        <w:pStyle w:val="Heading2"/>
      </w:pPr>
      <w:r>
        <w:t>Background</w:t>
      </w:r>
    </w:p>
    <w:p w14:paraId="204AA380" w14:textId="1C204D1A" w:rsidR="005E2EDE" w:rsidRPr="008F2060" w:rsidRDefault="00AC3F2C" w:rsidP="008F2060">
      <w:pPr>
        <w:pStyle w:val="Normalfollowingheading"/>
      </w:pPr>
      <w:r w:rsidRPr="008F2060">
        <w:t>Young onset dementia (YOD)</w:t>
      </w:r>
      <w:r w:rsidR="00BF69F9" w:rsidRPr="008F2060">
        <w:t xml:space="preserve">, </w:t>
      </w:r>
      <w:r w:rsidR="00C96F62" w:rsidRPr="008F2060">
        <w:t xml:space="preserve">dementia </w:t>
      </w:r>
      <w:r w:rsidR="007766A2" w:rsidRPr="008F2060">
        <w:t xml:space="preserve">that </w:t>
      </w:r>
      <w:r w:rsidR="00C96F62" w:rsidRPr="008F2060">
        <w:t>occurs</w:t>
      </w:r>
      <w:r w:rsidR="00297953" w:rsidRPr="008F2060">
        <w:t xml:space="preserve"> in people under 65 years of age, makes up 10 per cent of all dementia cases. It is a life-limiting illness </w:t>
      </w:r>
      <w:r w:rsidR="00391A48" w:rsidRPr="008F2060">
        <w:t xml:space="preserve">that </w:t>
      </w:r>
      <w:r w:rsidR="00297953" w:rsidRPr="008F2060">
        <w:t xml:space="preserve">can cause </w:t>
      </w:r>
      <w:r w:rsidR="00391A48" w:rsidRPr="008F2060">
        <w:t xml:space="preserve">those </w:t>
      </w:r>
      <w:r w:rsidR="00297953" w:rsidRPr="008F2060">
        <w:t>affected to lose up to 20 years of their life</w:t>
      </w:r>
      <w:r w:rsidR="00391A48" w:rsidRPr="008F2060">
        <w:t xml:space="preserve">. They </w:t>
      </w:r>
      <w:r w:rsidR="00C96F62" w:rsidRPr="008F2060">
        <w:t xml:space="preserve">can </w:t>
      </w:r>
      <w:r w:rsidR="00391A48" w:rsidRPr="008F2060">
        <w:t xml:space="preserve">also </w:t>
      </w:r>
      <w:r w:rsidR="00297953" w:rsidRPr="008F2060">
        <w:t xml:space="preserve">experience multiple, complex </w:t>
      </w:r>
      <w:r w:rsidR="007435DF" w:rsidRPr="008F2060">
        <w:t xml:space="preserve">symptoms </w:t>
      </w:r>
      <w:r w:rsidR="00391A48" w:rsidRPr="008F2060">
        <w:t xml:space="preserve">that require </w:t>
      </w:r>
      <w:r w:rsidR="00297953" w:rsidRPr="008F2060">
        <w:t>specific expertise for diagnosis and care</w:t>
      </w:r>
      <w:r w:rsidR="00391A48" w:rsidRPr="008F2060">
        <w:t>.</w:t>
      </w:r>
      <w:r w:rsidR="00765961" w:rsidRPr="008F2060">
        <w:t xml:space="preserve"> </w:t>
      </w:r>
    </w:p>
    <w:p w14:paraId="4753505F" w14:textId="5E2F5E75" w:rsidR="005E2EDE" w:rsidRPr="008F2060" w:rsidRDefault="005E2EDE" w:rsidP="008F2060">
      <w:pPr>
        <w:pStyle w:val="Normalfollowingheading"/>
      </w:pPr>
      <w:r w:rsidRPr="008F2060">
        <w:t>Delayed diagnosis is a significant issue for these patients</w:t>
      </w:r>
      <w:r w:rsidR="00665D04" w:rsidRPr="008F2060">
        <w:t>;</w:t>
      </w:r>
      <w:r w:rsidRPr="008F2060">
        <w:t xml:space="preserve"> 304 </w:t>
      </w:r>
      <w:r w:rsidR="00665D04" w:rsidRPr="008F2060">
        <w:t xml:space="preserve">audited </w:t>
      </w:r>
      <w:r w:rsidR="00D622F8" w:rsidRPr="008F2060">
        <w:t xml:space="preserve">Melbourne Young Onset Dementia Service (MYOD) </w:t>
      </w:r>
      <w:r w:rsidRPr="008F2060">
        <w:t>patient</w:t>
      </w:r>
      <w:r w:rsidR="007435DF" w:rsidRPr="008F2060">
        <w:t>s</w:t>
      </w:r>
      <w:r w:rsidRPr="008F2060">
        <w:t xml:space="preserve"> from 2014–17 </w:t>
      </w:r>
      <w:r w:rsidR="00665D04" w:rsidRPr="008F2060">
        <w:t xml:space="preserve">had </w:t>
      </w:r>
      <w:r w:rsidRPr="008F2060">
        <w:t xml:space="preserve">an average of </w:t>
      </w:r>
      <w:r w:rsidR="008F2060">
        <w:t xml:space="preserve">five </w:t>
      </w:r>
      <w:r w:rsidRPr="008F2060">
        <w:t xml:space="preserve">specialist assessments prior to receiving </w:t>
      </w:r>
      <w:r w:rsidR="00922CA6" w:rsidRPr="008F2060">
        <w:t xml:space="preserve">a </w:t>
      </w:r>
      <w:r w:rsidRPr="008F2060">
        <w:t>dementia diagnosis</w:t>
      </w:r>
      <w:r w:rsidR="00232F43" w:rsidRPr="008F2060">
        <w:t xml:space="preserve">, with </w:t>
      </w:r>
      <w:r w:rsidR="005611C2" w:rsidRPr="008F2060">
        <w:t xml:space="preserve">a mean </w:t>
      </w:r>
      <w:r w:rsidR="00232F43" w:rsidRPr="008F2060">
        <w:t xml:space="preserve">diagnostic delay </w:t>
      </w:r>
      <w:r w:rsidR="005611C2" w:rsidRPr="008F2060">
        <w:t xml:space="preserve">of </w:t>
      </w:r>
      <w:r w:rsidR="00232F43" w:rsidRPr="008F2060">
        <w:t>2.9 years</w:t>
      </w:r>
      <w:r w:rsidRPr="008F2060">
        <w:t>. The average life expectancy from onset of YOD symptoms is 1.3–7.9 years, s</w:t>
      </w:r>
      <w:r w:rsidR="007435DF" w:rsidRPr="008F2060">
        <w:t>o</w:t>
      </w:r>
      <w:r w:rsidRPr="008F2060">
        <w:t xml:space="preserve"> early intervention and treatment </w:t>
      </w:r>
      <w:r w:rsidR="00922CA6" w:rsidRPr="008F2060">
        <w:t xml:space="preserve">is </w:t>
      </w:r>
      <w:r w:rsidR="007435DF" w:rsidRPr="008F2060">
        <w:t xml:space="preserve">critical </w:t>
      </w:r>
      <w:r w:rsidRPr="008F2060">
        <w:t>to maximis</w:t>
      </w:r>
      <w:r w:rsidR="007435DF" w:rsidRPr="008F2060">
        <w:t>ing</w:t>
      </w:r>
      <w:r w:rsidRPr="008F2060">
        <w:t xml:space="preserve"> </w:t>
      </w:r>
      <w:r w:rsidR="00922CA6" w:rsidRPr="008F2060">
        <w:t xml:space="preserve">patient </w:t>
      </w:r>
      <w:r w:rsidRPr="008F2060">
        <w:t xml:space="preserve">quality of life. </w:t>
      </w:r>
    </w:p>
    <w:p w14:paraId="65C36E54" w14:textId="5E1DD0FD" w:rsidR="00471720" w:rsidRPr="008F2060" w:rsidRDefault="005E2EDE" w:rsidP="008F2060">
      <w:pPr>
        <w:pStyle w:val="Normalfollowingheading"/>
      </w:pPr>
      <w:r w:rsidRPr="008F2060">
        <w:t>Unfortunately, the needs of these patients often fall between clinical service gaps, as they are considered too young for some services, too old for others, and too complex for most</w:t>
      </w:r>
      <w:r w:rsidR="007435DF" w:rsidRPr="008F2060">
        <w:t>. The</w:t>
      </w:r>
      <w:r w:rsidR="0053692B" w:rsidRPr="008F2060">
        <w:t xml:space="preserve">se </w:t>
      </w:r>
      <w:r w:rsidR="007435DF" w:rsidRPr="008F2060">
        <w:t xml:space="preserve">patients also </w:t>
      </w:r>
      <w:r w:rsidR="00FB0ADD" w:rsidRPr="008F2060">
        <w:t xml:space="preserve">have </w:t>
      </w:r>
      <w:r w:rsidR="0053692B" w:rsidRPr="008F2060">
        <w:t xml:space="preserve">markedly </w:t>
      </w:r>
      <w:r w:rsidR="00FB0ADD" w:rsidRPr="008F2060">
        <w:t>high rates of anxiety and depression</w:t>
      </w:r>
      <w:r w:rsidR="00922CA6" w:rsidRPr="008F2060">
        <w:t xml:space="preserve">, </w:t>
      </w:r>
      <w:r w:rsidR="0053692B" w:rsidRPr="008F2060">
        <w:t xml:space="preserve">a feature </w:t>
      </w:r>
      <w:r w:rsidR="007435DF" w:rsidRPr="008F2060">
        <w:t xml:space="preserve">shared by </w:t>
      </w:r>
      <w:r w:rsidR="00922CA6" w:rsidRPr="008F2060">
        <w:t xml:space="preserve">their </w:t>
      </w:r>
      <w:proofErr w:type="spellStart"/>
      <w:r w:rsidR="007435DF" w:rsidRPr="008F2060">
        <w:t>carers</w:t>
      </w:r>
      <w:proofErr w:type="spellEnd"/>
      <w:r w:rsidR="00922CA6" w:rsidRPr="008F2060">
        <w:t xml:space="preserve">. </w:t>
      </w:r>
      <w:r w:rsidR="00C22BAE" w:rsidRPr="008F2060">
        <w:t xml:space="preserve">The </w:t>
      </w:r>
      <w:r w:rsidR="007435DF" w:rsidRPr="008F2060">
        <w:t>lack of appropriate YOD specialist support and respite options</w:t>
      </w:r>
      <w:r w:rsidR="00C22BAE" w:rsidRPr="008F2060">
        <w:t xml:space="preserve"> can have a negative impact on carer quality of life, and </w:t>
      </w:r>
      <w:r w:rsidR="007435DF" w:rsidRPr="008F2060">
        <w:t xml:space="preserve">high levels of carer burden can lead to </w:t>
      </w:r>
      <w:r w:rsidR="00471720" w:rsidRPr="008F2060">
        <w:t xml:space="preserve">YOD patients being admitted </w:t>
      </w:r>
      <w:r w:rsidR="00075FA1" w:rsidRPr="008F2060">
        <w:t>in</w:t>
      </w:r>
      <w:r w:rsidR="00471720" w:rsidRPr="008F2060">
        <w:t xml:space="preserve">to </w:t>
      </w:r>
      <w:r w:rsidR="009E4C6B" w:rsidRPr="008F2060">
        <w:t xml:space="preserve">crisis </w:t>
      </w:r>
      <w:r w:rsidR="007435DF" w:rsidRPr="008F2060">
        <w:t>hospital</w:t>
      </w:r>
      <w:r w:rsidR="00471720" w:rsidRPr="008F2060">
        <w:t xml:space="preserve">s and </w:t>
      </w:r>
      <w:r w:rsidR="009E4C6B" w:rsidRPr="008F2060">
        <w:t>residential car</w:t>
      </w:r>
      <w:r w:rsidR="00471720" w:rsidRPr="008F2060">
        <w:t>e</w:t>
      </w:r>
      <w:r w:rsidR="007435DF" w:rsidRPr="008F2060">
        <w:t>.</w:t>
      </w:r>
    </w:p>
    <w:p w14:paraId="144EBA35" w14:textId="4BC470FF" w:rsidR="00FB15BD" w:rsidRPr="008F2060" w:rsidRDefault="00C96F62" w:rsidP="008F2060">
      <w:pPr>
        <w:pStyle w:val="Normalfollowingheading"/>
      </w:pPr>
      <w:r w:rsidRPr="008F2060">
        <w:t xml:space="preserve">MYOD is part of </w:t>
      </w:r>
      <w:proofErr w:type="spellStart"/>
      <w:r w:rsidRPr="008F2060">
        <w:t>NorthWestern</w:t>
      </w:r>
      <w:proofErr w:type="spellEnd"/>
      <w:r w:rsidRPr="008F2060">
        <w:t xml:space="preserve"> Mental Health’s Neuropsychiatry Unit</w:t>
      </w:r>
      <w:r w:rsidR="00E5123D" w:rsidRPr="008F2060">
        <w:t>, which is</w:t>
      </w:r>
      <w:r w:rsidRPr="008F2060">
        <w:t xml:space="preserve"> located at The Royal Melbourne Hospital</w:t>
      </w:r>
      <w:r w:rsidR="00765961" w:rsidRPr="008F2060">
        <w:t>. It</w:t>
      </w:r>
      <w:r w:rsidR="00C22BAE" w:rsidRPr="008F2060">
        <w:t xml:space="preserve"> is</w:t>
      </w:r>
      <w:r w:rsidR="00765961" w:rsidRPr="008F2060">
        <w:t xml:space="preserve"> </w:t>
      </w:r>
      <w:r w:rsidR="0072269C" w:rsidRPr="008F2060">
        <w:t xml:space="preserve">one of the only services in Australia that provides tailored, flexible and </w:t>
      </w:r>
      <w:r w:rsidR="00E5123D" w:rsidRPr="008F2060">
        <w:t xml:space="preserve">integrated multidisciplinary specialist </w:t>
      </w:r>
      <w:r w:rsidR="00C22BAE" w:rsidRPr="008F2060">
        <w:t xml:space="preserve">YOD </w:t>
      </w:r>
      <w:r w:rsidR="0072269C" w:rsidRPr="008F2060">
        <w:t>services throughout the patient</w:t>
      </w:r>
      <w:r w:rsidR="00075FA1" w:rsidRPr="008F2060">
        <w:t xml:space="preserve"> and </w:t>
      </w:r>
      <w:r w:rsidR="0072269C" w:rsidRPr="008F2060">
        <w:t>carer journey</w:t>
      </w:r>
      <w:r w:rsidR="00765961" w:rsidRPr="008F2060">
        <w:t>.</w:t>
      </w:r>
      <w:r w:rsidR="00FB15BD" w:rsidRPr="008F2060">
        <w:t xml:space="preserve"> </w:t>
      </w:r>
    </w:p>
    <w:p w14:paraId="0B87A270" w14:textId="4A2326F6" w:rsidR="00471720" w:rsidRPr="008F2060" w:rsidRDefault="00733EA1" w:rsidP="008F2060">
      <w:pPr>
        <w:pStyle w:val="Normalfollowingheading"/>
      </w:pPr>
      <w:r>
        <w:t xml:space="preserve">Through the </w:t>
      </w:r>
      <w:r w:rsidRPr="00733EA1">
        <w:t>BRIGHT-YOD</w:t>
      </w:r>
      <w:r>
        <w:t xml:space="preserve"> project, </w:t>
      </w:r>
      <w:r w:rsidR="00FC6EC1" w:rsidRPr="008F2060">
        <w:t>Melbourne Health</w:t>
      </w:r>
      <w:r w:rsidR="00D21D71" w:rsidRPr="008F2060">
        <w:t xml:space="preserve"> </w:t>
      </w:r>
      <w:r>
        <w:t xml:space="preserve">sought </w:t>
      </w:r>
      <w:r w:rsidR="00FC6EC1" w:rsidRPr="008F2060">
        <w:t xml:space="preserve">to use </w:t>
      </w:r>
      <w:r w:rsidR="00C96F62" w:rsidRPr="008F2060">
        <w:t>telehealth technology to</w:t>
      </w:r>
      <w:r w:rsidR="00471720" w:rsidRPr="008F2060">
        <w:t xml:space="preserve"> enhance its ability to deliver the </w:t>
      </w:r>
      <w:r w:rsidR="00C343E0" w:rsidRPr="008F2060">
        <w:t>MYOD model</w:t>
      </w:r>
      <w:r w:rsidR="00471720" w:rsidRPr="008F2060">
        <w:t xml:space="preserve"> across </w:t>
      </w:r>
      <w:r w:rsidR="00C343E0" w:rsidRPr="008F2060">
        <w:t>Victoria</w:t>
      </w:r>
      <w:r w:rsidR="00471720" w:rsidRPr="008F2060">
        <w:t xml:space="preserve"> –</w:t>
      </w:r>
      <w:r w:rsidR="007D7586" w:rsidRPr="008F2060">
        <w:t xml:space="preserve"> including in the state’s rural and regional areas</w:t>
      </w:r>
      <w:r w:rsidR="00471720" w:rsidRPr="008F2060">
        <w:t xml:space="preserve"> – and provide more YOD patients with access to timely, specialist care</w:t>
      </w:r>
      <w:r w:rsidR="005F565E" w:rsidRPr="008F2060">
        <w:t xml:space="preserve">. </w:t>
      </w:r>
    </w:p>
    <w:p w14:paraId="17AC57C9" w14:textId="7F0F5D9F" w:rsidR="00E41D82" w:rsidRDefault="005F565E">
      <w:pPr>
        <w:rPr>
          <w:rFonts w:asciiTheme="majorHAnsi" w:eastAsiaTheme="majorEastAsia" w:hAnsiTheme="majorHAnsi" w:cstheme="majorBidi"/>
          <w:b/>
          <w:bCs/>
          <w:caps/>
          <w:color w:val="0063A5" w:themeColor="text2"/>
          <w:sz w:val="24"/>
          <w:szCs w:val="26"/>
        </w:rPr>
      </w:pPr>
      <w:r w:rsidRPr="00C821CE">
        <w:rPr>
          <w:i/>
          <w:iCs/>
          <w:noProof/>
        </w:rPr>
        <mc:AlternateContent>
          <mc:Choice Requires="wps">
            <w:drawing>
              <wp:inline distT="0" distB="0" distL="0" distR="0" wp14:anchorId="0D097402" wp14:editId="7660BA65">
                <wp:extent cx="3230245" cy="5105400"/>
                <wp:effectExtent l="0" t="0" r="27305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5105400"/>
                        </a:xfrm>
                        <a:prstGeom prst="rect">
                          <a:avLst/>
                        </a:prstGeom>
                        <a:solidFill>
                          <a:srgbClr val="FEEAD2"/>
                        </a:solidFill>
                        <a:ln w="6350">
                          <a:solidFill>
                            <a:srgbClr val="FEEA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FC310" w14:textId="1B26ECBC" w:rsidR="00C12EF1" w:rsidRDefault="00C12EF1" w:rsidP="005F565E">
                            <w:pPr>
                              <w:pStyle w:val="PulloutText"/>
                              <w:rPr>
                                <w:b/>
                                <w:sz w:val="24"/>
                              </w:rPr>
                            </w:pPr>
                            <w:r w:rsidRPr="00C12EF1">
                              <w:rPr>
                                <w:b/>
                                <w:sz w:val="24"/>
                              </w:rPr>
                              <w:t xml:space="preserve">Bridging the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</w:t>
                            </w:r>
                            <w:r w:rsidRPr="00C12EF1">
                              <w:rPr>
                                <w:b/>
                                <w:sz w:val="24"/>
                              </w:rPr>
                              <w:t xml:space="preserve">aps in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</w:t>
                            </w:r>
                            <w:r w:rsidRPr="00C12EF1">
                              <w:rPr>
                                <w:b/>
                                <w:sz w:val="24"/>
                              </w:rPr>
                              <w:t xml:space="preserve">ealth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</w:t>
                            </w:r>
                            <w:r w:rsidRPr="00C12EF1">
                              <w:rPr>
                                <w:b/>
                                <w:sz w:val="24"/>
                              </w:rPr>
                              <w:t xml:space="preserve">sing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</w:t>
                            </w:r>
                            <w:r w:rsidRPr="00C12EF1">
                              <w:rPr>
                                <w:b/>
                                <w:sz w:val="24"/>
                              </w:rPr>
                              <w:t xml:space="preserve">elehealth for people with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</w:t>
                            </w:r>
                            <w:r w:rsidRPr="00C12EF1">
                              <w:rPr>
                                <w:b/>
                                <w:sz w:val="24"/>
                              </w:rPr>
                              <w:t xml:space="preserve">oung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 w:rsidRPr="00C12EF1">
                              <w:rPr>
                                <w:b/>
                                <w:sz w:val="24"/>
                              </w:rPr>
                              <w:t xml:space="preserve">nset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</w:t>
                            </w:r>
                            <w:r w:rsidRPr="00C12EF1">
                              <w:rPr>
                                <w:b/>
                                <w:sz w:val="24"/>
                              </w:rPr>
                              <w:t>ementia (BRIGHT-YOD)</w:t>
                            </w:r>
                          </w:p>
                          <w:p w14:paraId="5651B9D7" w14:textId="5E2ACAF4" w:rsidR="005F565E" w:rsidRDefault="005F565E" w:rsidP="005F565E">
                            <w:pPr>
                              <w:pStyle w:val="PulloutText"/>
                            </w:pPr>
                            <w:r w:rsidRPr="00186B39">
                              <w:rPr>
                                <w:b/>
                                <w:bCs/>
                              </w:rPr>
                              <w:t>Lead</w:t>
                            </w:r>
                            <w:r>
                              <w:t xml:space="preserve"> Melbourne Health</w:t>
                            </w:r>
                            <w:r w:rsidR="00C12EF1">
                              <w:t xml:space="preserve"> (</w:t>
                            </w:r>
                            <w:proofErr w:type="spellStart"/>
                            <w:r w:rsidR="00C12EF1" w:rsidRPr="00C12EF1">
                              <w:t>NorthWestern</w:t>
                            </w:r>
                            <w:proofErr w:type="spellEnd"/>
                            <w:r w:rsidR="00C12EF1" w:rsidRPr="00C12EF1">
                              <w:t xml:space="preserve"> Mental Health Neuropsychiatry Unit</w:t>
                            </w:r>
                            <w:r w:rsidR="00C12EF1">
                              <w:t xml:space="preserve"> at</w:t>
                            </w:r>
                            <w:r w:rsidR="00C12EF1" w:rsidRPr="00C12EF1">
                              <w:t xml:space="preserve"> The Royal Melbourne Hospital</w:t>
                            </w:r>
                            <w:r w:rsidR="00C12EF1">
                              <w:t>)</w:t>
                            </w:r>
                          </w:p>
                          <w:p w14:paraId="1853490C" w14:textId="1EDE2785" w:rsidR="005F565E" w:rsidRPr="004E480E" w:rsidRDefault="005F565E" w:rsidP="00273498">
                            <w:pPr>
                              <w:pStyle w:val="PulloutText"/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>Partner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 </w:t>
                            </w:r>
                            <w:r w:rsidR="00273498">
                              <w:t>Albury Wodonga Health</w:t>
                            </w:r>
                            <w:r w:rsidR="002A6AB4">
                              <w:t>,</w:t>
                            </w:r>
                            <w:r w:rsidR="00273498">
                              <w:t xml:space="preserve"> Royal Park Cognitive Dementia and Memory Service</w:t>
                            </w:r>
                            <w:r w:rsidR="002A6AB4">
                              <w:t xml:space="preserve">, </w:t>
                            </w:r>
                            <w:r w:rsidR="00273498">
                              <w:t>Ballarat Health Service</w:t>
                            </w:r>
                            <w:r w:rsidR="002A6AB4">
                              <w:t>,</w:t>
                            </w:r>
                            <w:r w:rsidR="00273498">
                              <w:t xml:space="preserve"> Goulburn Valley Health</w:t>
                            </w:r>
                            <w:r w:rsidR="002A6AB4">
                              <w:t>,</w:t>
                            </w:r>
                            <w:r w:rsidR="00273498">
                              <w:t xml:space="preserve"> Dementia Australia</w:t>
                            </w:r>
                            <w:r w:rsidR="002A6AB4">
                              <w:t>,</w:t>
                            </w:r>
                            <w:r w:rsidR="00273498">
                              <w:t xml:space="preserve"> Huntington’s Victoria</w:t>
                            </w:r>
                          </w:p>
                          <w:p w14:paraId="4E25FFF7" w14:textId="3F27E613" w:rsidR="005F565E" w:rsidRDefault="00F23488" w:rsidP="005F565E">
                            <w:pPr>
                              <w:pStyle w:val="PulloutTex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Duration </w:t>
                            </w:r>
                            <w:r>
                              <w:t>December 2018 – July 2020</w:t>
                            </w:r>
                          </w:p>
                          <w:p w14:paraId="786EA719" w14:textId="77777777" w:rsidR="00F23488" w:rsidRDefault="00F23488" w:rsidP="00F23488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Key outcomes</w:t>
                            </w:r>
                          </w:p>
                          <w:p w14:paraId="496DF918" w14:textId="3802CDEE" w:rsidR="003517C4" w:rsidRDefault="003517C4" w:rsidP="003517C4">
                            <w:pPr>
                              <w:pStyle w:val="Bullet1"/>
                            </w:pPr>
                            <w:r>
                              <w:t xml:space="preserve">Assessed 72 individuals </w:t>
                            </w:r>
                            <w:r w:rsidR="00215F84">
                              <w:t>through</w:t>
                            </w:r>
                            <w:r>
                              <w:t xml:space="preserve"> 186 appointments, </w:t>
                            </w:r>
                            <w:r w:rsidR="00215F84">
                              <w:t xml:space="preserve">with </w:t>
                            </w:r>
                            <w:r>
                              <w:t>more than half receiv</w:t>
                            </w:r>
                            <w:r w:rsidR="00215F84">
                              <w:t>ing</w:t>
                            </w:r>
                            <w:r>
                              <w:t xml:space="preserve"> </w:t>
                            </w:r>
                            <w:r w:rsidR="00AC43CE">
                              <w:t xml:space="preserve">a </w:t>
                            </w:r>
                            <w:r>
                              <w:t>neuropsychological assessment</w:t>
                            </w:r>
                          </w:p>
                          <w:p w14:paraId="697B9319" w14:textId="0A1DEA52" w:rsidR="00AC43CE" w:rsidRPr="00471720" w:rsidRDefault="00AC43CE" w:rsidP="00AC43CE">
                            <w:pPr>
                              <w:pStyle w:val="Bullet1"/>
                            </w:pPr>
                            <w:r>
                              <w:t>Significantly increased access for rural and regional Victorians</w:t>
                            </w:r>
                          </w:p>
                          <w:p w14:paraId="264E2E9A" w14:textId="4BAFC1AE" w:rsidR="00AC43CE" w:rsidRDefault="00AC43CE" w:rsidP="00AC43CE">
                            <w:pPr>
                              <w:pStyle w:val="Bullet1"/>
                            </w:pPr>
                            <w:r>
                              <w:t xml:space="preserve">Reduced the average number of specialists a patient saw prior to receiving their diagnosis from </w:t>
                            </w:r>
                            <w:r w:rsidR="00FE230E">
                              <w:t xml:space="preserve">five </w:t>
                            </w:r>
                            <w:r>
                              <w:t xml:space="preserve">to </w:t>
                            </w:r>
                            <w:r w:rsidR="008F2060">
                              <w:t>two</w:t>
                            </w:r>
                          </w:p>
                          <w:p w14:paraId="2C0A6840" w14:textId="205E8B23" w:rsidR="00AC43CE" w:rsidRDefault="00AC43CE" w:rsidP="00AC43CE">
                            <w:pPr>
                              <w:pStyle w:val="Bullet1"/>
                            </w:pPr>
                            <w:r>
                              <w:t>More than halved the delay to diagnosis, from 64 months to 30 months</w:t>
                            </w:r>
                          </w:p>
                          <w:p w14:paraId="517F42E8" w14:textId="1C3F0A5A" w:rsidR="003517C4" w:rsidRDefault="003517C4" w:rsidP="00AC43CE">
                            <w:pPr>
                              <w:pStyle w:val="Bullet1"/>
                            </w:pPr>
                            <w:r>
                              <w:t xml:space="preserve">Saved more than 100,000km in travel and </w:t>
                            </w:r>
                            <w:r w:rsidR="00AC43CE">
                              <w:t xml:space="preserve">up to </w:t>
                            </w:r>
                            <w:r>
                              <w:t xml:space="preserve">30 tonnes of </w:t>
                            </w:r>
                            <w:r w:rsidR="00AC43CE">
                              <w:t xml:space="preserve">carbon dioxide </w:t>
                            </w:r>
                            <w:r>
                              <w:t>emissions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0974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4.35pt;height:4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" fillcolor="#feead2" strokecolor="#feead2" strokeweight=".5pt">
                <v:textbox inset="5mm,5mm,4mm,1mm">
                  <w:txbxContent>
                    <w:p w14:paraId="144FC310" w14:textId="1B26ECBC" w:rsidR="00C12EF1" w:rsidRDefault="00C12EF1" w:rsidP="005F565E">
                      <w:pPr>
                        <w:pStyle w:val="PulloutText"/>
                        <w:rPr>
                          <w:b/>
                          <w:sz w:val="24"/>
                        </w:rPr>
                      </w:pPr>
                      <w:r w:rsidRPr="00C12EF1">
                        <w:rPr>
                          <w:b/>
                          <w:sz w:val="24"/>
                        </w:rPr>
                        <w:t xml:space="preserve">Bridging the </w:t>
                      </w:r>
                      <w:r>
                        <w:rPr>
                          <w:b/>
                          <w:sz w:val="24"/>
                        </w:rPr>
                        <w:t>g</w:t>
                      </w:r>
                      <w:r w:rsidRPr="00C12EF1">
                        <w:rPr>
                          <w:b/>
                          <w:sz w:val="24"/>
                        </w:rPr>
                        <w:t xml:space="preserve">aps in </w:t>
                      </w:r>
                      <w:r>
                        <w:rPr>
                          <w:b/>
                          <w:sz w:val="24"/>
                        </w:rPr>
                        <w:t>h</w:t>
                      </w:r>
                      <w:r w:rsidRPr="00C12EF1">
                        <w:rPr>
                          <w:b/>
                          <w:sz w:val="24"/>
                        </w:rPr>
                        <w:t xml:space="preserve">ealth </w:t>
                      </w:r>
                      <w:r>
                        <w:rPr>
                          <w:b/>
                          <w:sz w:val="24"/>
                        </w:rPr>
                        <w:t>u</w:t>
                      </w:r>
                      <w:r w:rsidRPr="00C12EF1">
                        <w:rPr>
                          <w:b/>
                          <w:sz w:val="24"/>
                        </w:rPr>
                        <w:t xml:space="preserve">sing </w:t>
                      </w:r>
                      <w:r>
                        <w:rPr>
                          <w:b/>
                          <w:sz w:val="24"/>
                        </w:rPr>
                        <w:t>t</w:t>
                      </w:r>
                      <w:r w:rsidRPr="00C12EF1">
                        <w:rPr>
                          <w:b/>
                          <w:sz w:val="24"/>
                        </w:rPr>
                        <w:t xml:space="preserve">elehealth for people with </w:t>
                      </w:r>
                      <w:r>
                        <w:rPr>
                          <w:b/>
                          <w:sz w:val="24"/>
                        </w:rPr>
                        <w:t>y</w:t>
                      </w:r>
                      <w:r w:rsidRPr="00C12EF1">
                        <w:rPr>
                          <w:b/>
                          <w:sz w:val="24"/>
                        </w:rPr>
                        <w:t xml:space="preserve">oung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 w:rsidRPr="00C12EF1">
                        <w:rPr>
                          <w:b/>
                          <w:sz w:val="24"/>
                        </w:rPr>
                        <w:t xml:space="preserve">nset </w:t>
                      </w:r>
                      <w:r>
                        <w:rPr>
                          <w:b/>
                          <w:sz w:val="24"/>
                        </w:rPr>
                        <w:t>d</w:t>
                      </w:r>
                      <w:r w:rsidRPr="00C12EF1">
                        <w:rPr>
                          <w:b/>
                          <w:sz w:val="24"/>
                        </w:rPr>
                        <w:t>ementia (BRIGHT-YOD)</w:t>
                      </w:r>
                    </w:p>
                    <w:p w14:paraId="5651B9D7" w14:textId="5E2ACAF4" w:rsidR="005F565E" w:rsidRDefault="005F565E" w:rsidP="005F565E">
                      <w:pPr>
                        <w:pStyle w:val="PulloutText"/>
                      </w:pPr>
                      <w:r w:rsidRPr="00186B39">
                        <w:rPr>
                          <w:b/>
                          <w:bCs/>
                        </w:rPr>
                        <w:t>Lead</w:t>
                      </w:r>
                      <w:r>
                        <w:t xml:space="preserve"> Melbourne Health</w:t>
                      </w:r>
                      <w:r w:rsidR="00C12EF1">
                        <w:t xml:space="preserve"> (</w:t>
                      </w:r>
                      <w:proofErr w:type="spellStart"/>
                      <w:r w:rsidR="00C12EF1" w:rsidRPr="00C12EF1">
                        <w:t>NorthWestern</w:t>
                      </w:r>
                      <w:proofErr w:type="spellEnd"/>
                      <w:r w:rsidR="00C12EF1" w:rsidRPr="00C12EF1">
                        <w:t xml:space="preserve"> Mental Health Neuropsychiatry Unit</w:t>
                      </w:r>
                      <w:r w:rsidR="00C12EF1">
                        <w:t xml:space="preserve"> at</w:t>
                      </w:r>
                      <w:r w:rsidR="00C12EF1" w:rsidRPr="00C12EF1">
                        <w:t xml:space="preserve"> The Royal Melbourne Hospital</w:t>
                      </w:r>
                      <w:r w:rsidR="00C12EF1">
                        <w:t>)</w:t>
                      </w:r>
                    </w:p>
                    <w:p w14:paraId="1853490C" w14:textId="1EDE2785" w:rsidR="005F565E" w:rsidRPr="004E480E" w:rsidRDefault="005F565E" w:rsidP="00273498">
                      <w:pPr>
                        <w:pStyle w:val="PulloutText"/>
                      </w:pPr>
                      <w:r w:rsidRPr="00911408">
                        <w:rPr>
                          <w:b/>
                          <w:bCs/>
                        </w:rPr>
                        <w:t>Partner</w:t>
                      </w:r>
                      <w:r>
                        <w:rPr>
                          <w:b/>
                          <w:bCs/>
                        </w:rPr>
                        <w:t xml:space="preserve">s </w:t>
                      </w:r>
                      <w:r w:rsidR="00273498">
                        <w:t>Albury Wodonga Health</w:t>
                      </w:r>
                      <w:r w:rsidR="002A6AB4">
                        <w:t>,</w:t>
                      </w:r>
                      <w:r w:rsidR="00273498">
                        <w:t xml:space="preserve"> Royal Park Cognitive Dementia and Memory Service</w:t>
                      </w:r>
                      <w:r w:rsidR="002A6AB4">
                        <w:t xml:space="preserve">, </w:t>
                      </w:r>
                      <w:r w:rsidR="00273498">
                        <w:t>Ballarat Health Service</w:t>
                      </w:r>
                      <w:r w:rsidR="002A6AB4">
                        <w:t>,</w:t>
                      </w:r>
                      <w:r w:rsidR="00273498">
                        <w:t xml:space="preserve"> Goulburn Valley Health</w:t>
                      </w:r>
                      <w:r w:rsidR="002A6AB4">
                        <w:t>,</w:t>
                      </w:r>
                      <w:r w:rsidR="00273498">
                        <w:t xml:space="preserve"> Dementia Australia</w:t>
                      </w:r>
                      <w:r w:rsidR="002A6AB4">
                        <w:t>,</w:t>
                      </w:r>
                      <w:r w:rsidR="00273498">
                        <w:t xml:space="preserve"> Huntington’s Victoria</w:t>
                      </w:r>
                    </w:p>
                    <w:p w14:paraId="4E25FFF7" w14:textId="3F27E613" w:rsidR="005F565E" w:rsidRDefault="00F23488" w:rsidP="005F565E">
                      <w:pPr>
                        <w:pStyle w:val="PulloutText"/>
                      </w:pPr>
                      <w:r>
                        <w:rPr>
                          <w:b/>
                          <w:bCs/>
                        </w:rPr>
                        <w:t xml:space="preserve">Duration </w:t>
                      </w:r>
                      <w:r>
                        <w:t>December 2018 – July 2020</w:t>
                      </w:r>
                    </w:p>
                    <w:p w14:paraId="786EA719" w14:textId="77777777" w:rsidR="00F23488" w:rsidRDefault="00F23488" w:rsidP="00F23488">
                      <w:pPr>
                        <w:pStyle w:val="PulloutTex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Key outcomes</w:t>
                      </w:r>
                    </w:p>
                    <w:p w14:paraId="496DF918" w14:textId="3802CDEE" w:rsidR="003517C4" w:rsidRDefault="003517C4" w:rsidP="003517C4">
                      <w:pPr>
                        <w:pStyle w:val="Bullet1"/>
                      </w:pPr>
                      <w:r>
                        <w:t xml:space="preserve">Assessed 72 individuals </w:t>
                      </w:r>
                      <w:r w:rsidR="00215F84">
                        <w:t>through</w:t>
                      </w:r>
                      <w:r>
                        <w:t xml:space="preserve"> 186 appointments, </w:t>
                      </w:r>
                      <w:r w:rsidR="00215F84">
                        <w:t xml:space="preserve">with </w:t>
                      </w:r>
                      <w:r>
                        <w:t>more than half receiv</w:t>
                      </w:r>
                      <w:r w:rsidR="00215F84">
                        <w:t>ing</w:t>
                      </w:r>
                      <w:r>
                        <w:t xml:space="preserve"> </w:t>
                      </w:r>
                      <w:r w:rsidR="00AC43CE">
                        <w:t xml:space="preserve">a </w:t>
                      </w:r>
                      <w:r>
                        <w:t>neuropsychological assessment</w:t>
                      </w:r>
                    </w:p>
                    <w:p w14:paraId="697B9319" w14:textId="0A1DEA52" w:rsidR="00AC43CE" w:rsidRPr="00471720" w:rsidRDefault="00AC43CE" w:rsidP="00AC43CE">
                      <w:pPr>
                        <w:pStyle w:val="Bullet1"/>
                      </w:pPr>
                      <w:r>
                        <w:t>Significantly i</w:t>
                      </w:r>
                      <w:r>
                        <w:t>ncreased access for rural and regional Victorians</w:t>
                      </w:r>
                    </w:p>
                    <w:p w14:paraId="264E2E9A" w14:textId="4BAFC1AE" w:rsidR="00AC43CE" w:rsidRDefault="00AC43CE" w:rsidP="00AC43CE">
                      <w:pPr>
                        <w:pStyle w:val="Bullet1"/>
                      </w:pPr>
                      <w:r>
                        <w:t xml:space="preserve">Reduced the average number of specialists a patient saw prior </w:t>
                      </w:r>
                      <w:r>
                        <w:t xml:space="preserve">to receiving their diagnosis from </w:t>
                      </w:r>
                      <w:r w:rsidR="00FE230E">
                        <w:t xml:space="preserve">five </w:t>
                      </w:r>
                      <w:r>
                        <w:t xml:space="preserve">to </w:t>
                      </w:r>
                      <w:r w:rsidR="008F2060">
                        <w:t>two</w:t>
                      </w:r>
                    </w:p>
                    <w:p w14:paraId="2C0A6840" w14:textId="205E8B23" w:rsidR="00AC43CE" w:rsidRDefault="00AC43CE" w:rsidP="00AC43CE">
                      <w:pPr>
                        <w:pStyle w:val="Bullet1"/>
                      </w:pPr>
                      <w:r>
                        <w:t>More than halved the delay to diagnosis, from 64 months to 30 months</w:t>
                      </w:r>
                    </w:p>
                    <w:p w14:paraId="517F42E8" w14:textId="1C3F0A5A" w:rsidR="003517C4" w:rsidRDefault="003517C4" w:rsidP="00AC43CE">
                      <w:pPr>
                        <w:pStyle w:val="Bullet1"/>
                      </w:pPr>
                      <w:r>
                        <w:t xml:space="preserve">Saved more than 100,000km in travel and </w:t>
                      </w:r>
                      <w:r w:rsidR="00AC43CE">
                        <w:t xml:space="preserve">up to </w:t>
                      </w:r>
                      <w:r>
                        <w:t xml:space="preserve">30 tonnes of </w:t>
                      </w:r>
                      <w:r w:rsidR="00AC43CE">
                        <w:t xml:space="preserve">carbon dioxide </w:t>
                      </w:r>
                      <w:r>
                        <w:t>emissions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41D82">
        <w:br w:type="page"/>
      </w:r>
    </w:p>
    <w:p w14:paraId="3DA60E98" w14:textId="544007FB" w:rsidR="00794CB7" w:rsidRDefault="00DE7408" w:rsidP="004A4ED0">
      <w:pPr>
        <w:pStyle w:val="Heading2"/>
      </w:pPr>
      <w:r>
        <w:lastRenderedPageBreak/>
        <w:t>Key activity</w:t>
      </w:r>
    </w:p>
    <w:p w14:paraId="3FA7AFB6" w14:textId="77777777" w:rsidR="00215F84" w:rsidRDefault="00AC3F2C" w:rsidP="00960E80">
      <w:pPr>
        <w:pStyle w:val="Bullet1"/>
      </w:pPr>
      <w:r>
        <w:t xml:space="preserve">Melbourne Health partnered with six organisations to plan and implement </w:t>
      </w:r>
      <w:r w:rsidR="00961C62">
        <w:t xml:space="preserve">a </w:t>
      </w:r>
      <w:r w:rsidR="008755C2" w:rsidRPr="008755C2">
        <w:t>telehealth pathway and model of care</w:t>
      </w:r>
      <w:r w:rsidR="00961C62">
        <w:t xml:space="preserve"> for suitable patients and carers</w:t>
      </w:r>
      <w:r>
        <w:t xml:space="preserve"> at MYOD</w:t>
      </w:r>
      <w:r w:rsidR="00961C62">
        <w:t>.</w:t>
      </w:r>
      <w:r w:rsidR="00231818">
        <w:t xml:space="preserve"> </w:t>
      </w:r>
    </w:p>
    <w:p w14:paraId="5306FAC8" w14:textId="77B5218F" w:rsidR="00897157" w:rsidRDefault="00231818" w:rsidP="00960E80">
      <w:pPr>
        <w:pStyle w:val="Bullet1"/>
      </w:pPr>
      <w:r>
        <w:t xml:space="preserve">The </w:t>
      </w:r>
      <w:r w:rsidR="00215F84">
        <w:t xml:space="preserve">trial of the </w:t>
      </w:r>
      <w:r w:rsidR="00797D66">
        <w:t xml:space="preserve">BRIGHT-YOD </w:t>
      </w:r>
      <w:r w:rsidR="004C5C28">
        <w:t xml:space="preserve">model </w:t>
      </w:r>
      <w:r>
        <w:t>ran for 12 months</w:t>
      </w:r>
      <w:r w:rsidR="00215F84">
        <w:t xml:space="preserve">, with </w:t>
      </w:r>
      <w:r w:rsidR="00797D66">
        <w:t xml:space="preserve">telehealth </w:t>
      </w:r>
      <w:r w:rsidR="00AC3F2C">
        <w:t xml:space="preserve">used </w:t>
      </w:r>
      <w:r w:rsidR="00961C62">
        <w:t xml:space="preserve">to </w:t>
      </w:r>
      <w:r w:rsidR="00EE7F28">
        <w:t>conduct</w:t>
      </w:r>
      <w:r w:rsidR="00961C62">
        <w:t>:</w:t>
      </w:r>
    </w:p>
    <w:p w14:paraId="49B8FFA8" w14:textId="596E96F9" w:rsidR="002D432E" w:rsidRPr="002D432E" w:rsidRDefault="00960E80" w:rsidP="00961C62">
      <w:pPr>
        <w:pStyle w:val="Bullet2"/>
      </w:pPr>
      <w:r w:rsidRPr="00961C62">
        <w:rPr>
          <w:b/>
          <w:bCs/>
        </w:rPr>
        <w:t>diagnostic assessment</w:t>
      </w:r>
      <w:r w:rsidR="00961C62" w:rsidRPr="00961C62">
        <w:rPr>
          <w:b/>
          <w:bCs/>
        </w:rPr>
        <w:t>s</w:t>
      </w:r>
      <w:r w:rsidR="002D432E" w:rsidRPr="002D432E">
        <w:t xml:space="preserve"> </w:t>
      </w:r>
      <w:r w:rsidR="002D432E">
        <w:t xml:space="preserve">for patients where travel </w:t>
      </w:r>
      <w:r w:rsidR="00FF5CE1">
        <w:t xml:space="preserve">was </w:t>
      </w:r>
      <w:r w:rsidR="002D432E">
        <w:t xml:space="preserve">not feasible and investigations </w:t>
      </w:r>
      <w:r w:rsidR="00FF5CE1">
        <w:t xml:space="preserve">could </w:t>
      </w:r>
      <w:r w:rsidR="002D432E">
        <w:t>be undertaken locally</w:t>
      </w:r>
      <w:r w:rsidR="00FF5CE1">
        <w:t>,</w:t>
      </w:r>
      <w:r w:rsidR="002D432E">
        <w:t xml:space="preserve"> recognising that face-to-face assessment remains the ‘gold standard’ for diagnosis</w:t>
      </w:r>
    </w:p>
    <w:p w14:paraId="76DB6D8A" w14:textId="3AE3E0FB" w:rsidR="00597D77" w:rsidRDefault="00377AF2" w:rsidP="00A8295D">
      <w:pPr>
        <w:pStyle w:val="Bullet2"/>
      </w:pPr>
      <w:r w:rsidRPr="00597D77">
        <w:rPr>
          <w:b/>
          <w:bCs/>
        </w:rPr>
        <w:t>review appointments</w:t>
      </w:r>
      <w:r w:rsidR="002D432E" w:rsidRPr="00597D77">
        <w:rPr>
          <w:b/>
          <w:bCs/>
        </w:rPr>
        <w:t xml:space="preserve"> </w:t>
      </w:r>
      <w:r w:rsidR="002D432E" w:rsidRPr="002D432E">
        <w:t>to provide</w:t>
      </w:r>
      <w:r w:rsidR="002D432E" w:rsidRPr="00597D77">
        <w:rPr>
          <w:b/>
          <w:bCs/>
        </w:rPr>
        <w:t xml:space="preserve"> </w:t>
      </w:r>
      <w:r w:rsidR="00961C62">
        <w:t xml:space="preserve">ongoing follow-up services and support to </w:t>
      </w:r>
      <w:r w:rsidR="002D432E">
        <w:t xml:space="preserve">help </w:t>
      </w:r>
      <w:r w:rsidR="00961C62">
        <w:t>p</w:t>
      </w:r>
      <w:r w:rsidRPr="00377AF2">
        <w:t xml:space="preserve">atients </w:t>
      </w:r>
      <w:r w:rsidR="00961C62" w:rsidRPr="00377AF2">
        <w:t xml:space="preserve">with YOD </w:t>
      </w:r>
      <w:r w:rsidRPr="00377AF2">
        <w:t xml:space="preserve">and </w:t>
      </w:r>
      <w:r w:rsidR="00961C62">
        <w:t xml:space="preserve">their </w:t>
      </w:r>
      <w:r w:rsidR="00F9441A">
        <w:t>carers</w:t>
      </w:r>
      <w:r w:rsidRPr="00377AF2">
        <w:t xml:space="preserve"> manage the challenging medical, cognitive, behavioural and psychiatric issues associated with progressive illness</w:t>
      </w:r>
    </w:p>
    <w:p w14:paraId="68936FC1" w14:textId="7C3C95C7" w:rsidR="00A8295D" w:rsidRPr="00A8295D" w:rsidRDefault="00961C62" w:rsidP="00A8295D">
      <w:pPr>
        <w:pStyle w:val="Bullet2"/>
      </w:pPr>
      <w:r w:rsidRPr="00597D77">
        <w:rPr>
          <w:b/>
          <w:bCs/>
        </w:rPr>
        <w:t>c</w:t>
      </w:r>
      <w:r w:rsidR="00A8295D" w:rsidRPr="00597D77">
        <w:rPr>
          <w:b/>
          <w:bCs/>
        </w:rPr>
        <w:t>arer interviews</w:t>
      </w:r>
      <w:r w:rsidR="002D432E">
        <w:t xml:space="preserve">, providing them with </w:t>
      </w:r>
      <w:r>
        <w:t>advice, support</w:t>
      </w:r>
      <w:r w:rsidR="001A68EC">
        <w:t xml:space="preserve"> and </w:t>
      </w:r>
      <w:r w:rsidR="00A8295D" w:rsidRPr="00A8295D">
        <w:t xml:space="preserve">education </w:t>
      </w:r>
      <w:r w:rsidR="002D432E">
        <w:t>(</w:t>
      </w:r>
      <w:r w:rsidR="00A8295D" w:rsidRPr="00A8295D">
        <w:t xml:space="preserve">and </w:t>
      </w:r>
      <w:r w:rsidR="002D432E">
        <w:t xml:space="preserve">referrals </w:t>
      </w:r>
      <w:r w:rsidR="001A68EC">
        <w:t xml:space="preserve">to appropriate services </w:t>
      </w:r>
      <w:r w:rsidR="002D432E">
        <w:t>whe</w:t>
      </w:r>
      <w:r w:rsidR="00F9441A">
        <w:t>re</w:t>
      </w:r>
      <w:r w:rsidR="002D432E">
        <w:t xml:space="preserve"> necessary) </w:t>
      </w:r>
      <w:r w:rsidR="00A8295D" w:rsidRPr="00A8295D">
        <w:t xml:space="preserve">to </w:t>
      </w:r>
      <w:r w:rsidR="001A68EC">
        <w:t>help them cope with the</w:t>
      </w:r>
      <w:r w:rsidRPr="00961C62">
        <w:t xml:space="preserve"> high levels of anxiety, depression</w:t>
      </w:r>
      <w:r w:rsidR="001A68EC">
        <w:t xml:space="preserve">, </w:t>
      </w:r>
      <w:r w:rsidRPr="00961C62">
        <w:t xml:space="preserve">stress </w:t>
      </w:r>
      <w:r w:rsidR="001A68EC">
        <w:t xml:space="preserve">and other </w:t>
      </w:r>
      <w:r w:rsidR="002D432E">
        <w:t xml:space="preserve">health </w:t>
      </w:r>
      <w:r w:rsidR="001A68EC">
        <w:t>impacts associated with caring for a patient with YOD</w:t>
      </w:r>
      <w:r w:rsidRPr="00961C62">
        <w:t>.</w:t>
      </w:r>
      <w:r w:rsidR="001A68EC">
        <w:t xml:space="preserve"> Enhancing the general </w:t>
      </w:r>
      <w:r w:rsidR="001A68EC" w:rsidRPr="001A68EC">
        <w:t xml:space="preserve">wellbeing and quality of life </w:t>
      </w:r>
      <w:r w:rsidR="001A68EC">
        <w:t xml:space="preserve">of carers </w:t>
      </w:r>
      <w:r w:rsidR="00FF5CE1">
        <w:t xml:space="preserve">aimed </w:t>
      </w:r>
      <w:r w:rsidR="001A68EC">
        <w:t xml:space="preserve">to reduce burnout and have flow-on benefits </w:t>
      </w:r>
      <w:r w:rsidR="00F9441A">
        <w:t xml:space="preserve">for </w:t>
      </w:r>
      <w:r w:rsidR="001A68EC">
        <w:t xml:space="preserve">YOD patients, including reducing </w:t>
      </w:r>
      <w:r w:rsidR="00A8295D" w:rsidRPr="00A8295D">
        <w:t>crisis hospital/respite admissions and delay</w:t>
      </w:r>
      <w:r w:rsidR="001A68EC">
        <w:t>ing</w:t>
      </w:r>
      <w:r w:rsidR="00A8295D" w:rsidRPr="00A8295D">
        <w:t xml:space="preserve"> entry into residential care</w:t>
      </w:r>
    </w:p>
    <w:p w14:paraId="654B4038" w14:textId="1C34B96F" w:rsidR="00A8295D" w:rsidRDefault="00396B15" w:rsidP="00A8295D">
      <w:pPr>
        <w:pStyle w:val="Bullet2"/>
      </w:pPr>
      <w:r>
        <w:rPr>
          <w:b/>
          <w:bCs/>
        </w:rPr>
        <w:t>s</w:t>
      </w:r>
      <w:r w:rsidR="00A8295D" w:rsidRPr="00396B15">
        <w:rPr>
          <w:b/>
          <w:bCs/>
        </w:rPr>
        <w:t>econdary consultations</w:t>
      </w:r>
      <w:r w:rsidR="002D432E">
        <w:t xml:space="preserve"> </w:t>
      </w:r>
      <w:r>
        <w:t xml:space="preserve">with partner organisations and/or mental health services </w:t>
      </w:r>
      <w:r w:rsidR="00D5679F">
        <w:t xml:space="preserve">to discuss </w:t>
      </w:r>
      <w:r w:rsidR="00EE7F28">
        <w:t xml:space="preserve">issues such as </w:t>
      </w:r>
      <w:r w:rsidR="00A8295D" w:rsidRPr="00A8295D">
        <w:t xml:space="preserve">diagnostic assessments, behavioural management, </w:t>
      </w:r>
      <w:r w:rsidR="00D5679F">
        <w:t xml:space="preserve">the management of </w:t>
      </w:r>
      <w:r w:rsidR="00A8295D" w:rsidRPr="00A8295D">
        <w:t>complex family</w:t>
      </w:r>
      <w:r w:rsidR="00D5679F">
        <w:t xml:space="preserve"> and </w:t>
      </w:r>
      <w:r w:rsidR="00A8295D" w:rsidRPr="00A8295D">
        <w:t>psychosocial stressors</w:t>
      </w:r>
      <w:r w:rsidR="00D5679F">
        <w:t xml:space="preserve">, </w:t>
      </w:r>
      <w:r w:rsidR="006772B4">
        <w:t>and/</w:t>
      </w:r>
      <w:r w:rsidR="00EE7F28">
        <w:t xml:space="preserve">or to facilitate a </w:t>
      </w:r>
      <w:r w:rsidR="00A8295D" w:rsidRPr="00A8295D">
        <w:t xml:space="preserve">second opinion </w:t>
      </w:r>
      <w:r w:rsidR="00EE7F28">
        <w:t xml:space="preserve">as </w:t>
      </w:r>
      <w:r w:rsidR="00A8295D" w:rsidRPr="00A8295D">
        <w:t>required</w:t>
      </w:r>
    </w:p>
    <w:p w14:paraId="1AD1A13B" w14:textId="5EC9EE09" w:rsidR="00597D77" w:rsidRDefault="00EE7F28" w:rsidP="00EE7F28">
      <w:pPr>
        <w:pStyle w:val="Bullet2"/>
      </w:pPr>
      <w:r w:rsidRPr="00EE7F28">
        <w:rPr>
          <w:b/>
          <w:bCs/>
        </w:rPr>
        <w:t xml:space="preserve">specialist YOD education and training </w:t>
      </w:r>
      <w:r w:rsidRPr="00EE7F28">
        <w:t xml:space="preserve">to build capability for </w:t>
      </w:r>
      <w:r w:rsidR="00A8295D" w:rsidRPr="00EE7F28">
        <w:t>staff in partner organisations</w:t>
      </w:r>
      <w:r w:rsidRPr="00EE7F28">
        <w:t xml:space="preserve"> and </w:t>
      </w:r>
      <w:r w:rsidR="00A8295D" w:rsidRPr="00EE7F28">
        <w:t>facilitate earlier diagnosis and specialist treatment of YOD.</w:t>
      </w:r>
      <w:r w:rsidR="00597D77" w:rsidRPr="00597D77">
        <w:rPr>
          <w:noProof/>
        </w:rPr>
        <w:t xml:space="preserve"> </w:t>
      </w:r>
    </w:p>
    <w:p w14:paraId="6672EB96" w14:textId="77777777" w:rsidR="00BB4B27" w:rsidRDefault="00070289" w:rsidP="00070289">
      <w:pPr>
        <w:pStyle w:val="Quote"/>
      </w:pPr>
      <w:r>
        <w:t>‘[Was] c</w:t>
      </w:r>
      <w:r w:rsidRPr="0062244A">
        <w:t>omfortable in own home</w:t>
      </w:r>
      <w:r>
        <w:t>. S</w:t>
      </w:r>
      <w:r w:rsidRPr="0062244A">
        <w:t xml:space="preserve">aved us over </w:t>
      </w:r>
      <w:r>
        <w:t xml:space="preserve">five </w:t>
      </w:r>
      <w:r w:rsidRPr="0062244A">
        <w:t>hours in travel time. Wife didn't have to take carer</w:t>
      </w:r>
      <w:r w:rsidR="00BB4B27">
        <w:t>'</w:t>
      </w:r>
      <w:r w:rsidRPr="0062244A">
        <w:t>s leave to attend with me.</w:t>
      </w:r>
      <w:r>
        <w:t>’</w:t>
      </w:r>
    </w:p>
    <w:p w14:paraId="7A69CFEE" w14:textId="47140790" w:rsidR="00070289" w:rsidRPr="0062244A" w:rsidRDefault="00070289" w:rsidP="00070289">
      <w:pPr>
        <w:pStyle w:val="Quote"/>
      </w:pPr>
      <w:r>
        <w:rPr>
          <w:b/>
          <w:bCs/>
        </w:rPr>
        <w:t>–</w:t>
      </w:r>
      <w:r w:rsidRPr="001A50C5">
        <w:rPr>
          <w:b/>
          <w:bCs/>
        </w:rPr>
        <w:t xml:space="preserve"> Patient</w:t>
      </w:r>
    </w:p>
    <w:p w14:paraId="1714481A" w14:textId="77777777" w:rsidR="00BB4B27" w:rsidRDefault="00070289" w:rsidP="00070289">
      <w:pPr>
        <w:pStyle w:val="Quote"/>
      </w:pPr>
      <w:r>
        <w:t xml:space="preserve"> ‘</w:t>
      </w:r>
      <w:r w:rsidRPr="0062244A">
        <w:t>Felt like I was in the room.</w:t>
      </w:r>
      <w:r>
        <w:t>’</w:t>
      </w:r>
    </w:p>
    <w:p w14:paraId="7C91A4BD" w14:textId="33F9F40C" w:rsidR="00070289" w:rsidRDefault="00070289" w:rsidP="00070289">
      <w:pPr>
        <w:pStyle w:val="Quote"/>
      </w:pPr>
      <w:r w:rsidRPr="00070289">
        <w:rPr>
          <w:b/>
          <w:bCs/>
        </w:rPr>
        <w:t>– Patient</w:t>
      </w:r>
    </w:p>
    <w:p w14:paraId="4E40933E" w14:textId="1E5DA2E4" w:rsidR="00070289" w:rsidRDefault="001A50C5" w:rsidP="00070289">
      <w:r>
        <w:br w:type="column"/>
      </w:r>
      <w:r w:rsidR="00070289">
        <w:rPr>
          <w:noProof/>
        </w:rPr>
        <w:drawing>
          <wp:inline distT="0" distB="0" distL="0" distR="0" wp14:anchorId="093ED7DA" wp14:editId="213BC4B2">
            <wp:extent cx="3221990" cy="2095500"/>
            <wp:effectExtent l="0" t="0" r="0" b="0"/>
            <wp:docPr id="14" name="Picture 14" descr="Two female clinicians in an office using telehealth to consult with two other female clinicians through a screen mounted on the w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Placeholder Fact Sheet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2199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00580B" w14:textId="77388483" w:rsidR="00EE7F28" w:rsidRDefault="00DE7408" w:rsidP="00EE7F28">
      <w:pPr>
        <w:pStyle w:val="Heading2"/>
      </w:pPr>
      <w:r>
        <w:t>Outcomes</w:t>
      </w:r>
    </w:p>
    <w:p w14:paraId="5C015EE3" w14:textId="1F209C5E" w:rsidR="00747EC6" w:rsidRDefault="00524ED1" w:rsidP="00747EC6">
      <w:pPr>
        <w:pStyle w:val="Bullet1"/>
      </w:pPr>
      <w:r>
        <w:t xml:space="preserve">The </w:t>
      </w:r>
      <w:r w:rsidR="00385EFA">
        <w:t>MYOD telehealth</w:t>
      </w:r>
      <w:r>
        <w:t xml:space="preserve"> service </w:t>
      </w:r>
      <w:r w:rsidR="00747EC6">
        <w:t xml:space="preserve">saw </w:t>
      </w:r>
      <w:r w:rsidR="002022C2">
        <w:t>72 patients over 186 appointments.</w:t>
      </w:r>
      <w:r w:rsidR="00747EC6" w:rsidRPr="00747EC6">
        <w:t xml:space="preserve"> </w:t>
      </w:r>
      <w:r w:rsidR="00747EC6">
        <w:t>Only three patients who were referred for telehealth declined the service.</w:t>
      </w:r>
    </w:p>
    <w:p w14:paraId="25798E1D" w14:textId="4ED3D48C" w:rsidR="002022C2" w:rsidRDefault="002022C2" w:rsidP="002022C2">
      <w:pPr>
        <w:pStyle w:val="Bullet1"/>
      </w:pPr>
      <w:r>
        <w:t xml:space="preserve">56 per cent of patients received a neuropsychology assessment, with </w:t>
      </w:r>
      <w:r w:rsidR="00385EFA">
        <w:t xml:space="preserve">a total of </w:t>
      </w:r>
      <w:r>
        <w:t>40 assessments completed.</w:t>
      </w:r>
    </w:p>
    <w:p w14:paraId="5C818750" w14:textId="4C45964A" w:rsidR="002022C2" w:rsidRDefault="00385EFA" w:rsidP="002022C2">
      <w:pPr>
        <w:pStyle w:val="Bullet1"/>
      </w:pPr>
      <w:r>
        <w:t xml:space="preserve">BRIGHT-YOD patients saw an </w:t>
      </w:r>
      <w:r w:rsidR="002022C2">
        <w:t xml:space="preserve">average of </w:t>
      </w:r>
      <w:r>
        <w:t xml:space="preserve">two </w:t>
      </w:r>
      <w:r w:rsidR="002022C2">
        <w:t>specialists before receiving a YOD diagnosis</w:t>
      </w:r>
      <w:r>
        <w:t>. Prior to the project, the average number of specialists seen was five</w:t>
      </w:r>
      <w:r w:rsidR="002022C2">
        <w:t>.</w:t>
      </w:r>
    </w:p>
    <w:p w14:paraId="793A3B92" w14:textId="478FD64E" w:rsidR="002022C2" w:rsidRDefault="002022C2" w:rsidP="002022C2">
      <w:pPr>
        <w:pStyle w:val="Bullet1"/>
      </w:pPr>
      <w:r>
        <w:t xml:space="preserve">The average time it took for a </w:t>
      </w:r>
      <w:r w:rsidR="0062244A">
        <w:t xml:space="preserve">BRIGHT-YOD </w:t>
      </w:r>
      <w:r>
        <w:t xml:space="preserve">patient to receive a YOD diagnosis was </w:t>
      </w:r>
      <w:r w:rsidR="00845E26">
        <w:t>two years</w:t>
      </w:r>
      <w:r w:rsidR="00FD2879">
        <w:t>,</w:t>
      </w:r>
      <w:r w:rsidR="00845E26">
        <w:t xml:space="preserve"> six months </w:t>
      </w:r>
      <w:r>
        <w:t xml:space="preserve">compared with </w:t>
      </w:r>
      <w:r w:rsidR="00FD2879">
        <w:t xml:space="preserve">five </w:t>
      </w:r>
      <w:r w:rsidR="00845E26">
        <w:t>years</w:t>
      </w:r>
      <w:r w:rsidR="00FD2879">
        <w:t>,</w:t>
      </w:r>
      <w:r w:rsidR="00845E26">
        <w:t xml:space="preserve"> four </w:t>
      </w:r>
      <w:r w:rsidR="00F86909">
        <w:t xml:space="preserve">months </w:t>
      </w:r>
      <w:r>
        <w:t xml:space="preserve">for </w:t>
      </w:r>
      <w:r w:rsidR="00FD2879">
        <w:t xml:space="preserve">patients in </w:t>
      </w:r>
      <w:r w:rsidR="00845E26">
        <w:t xml:space="preserve">a concurrent </w:t>
      </w:r>
      <w:r w:rsidR="0062244A">
        <w:t xml:space="preserve">MYOD </w:t>
      </w:r>
      <w:r>
        <w:t xml:space="preserve">control group. </w:t>
      </w:r>
    </w:p>
    <w:p w14:paraId="07BEED3F" w14:textId="741D37B0" w:rsidR="0069690B" w:rsidRDefault="0069690B" w:rsidP="002022C2">
      <w:pPr>
        <w:pStyle w:val="Bullet1"/>
      </w:pPr>
      <w:r>
        <w:t>The telehealth model significantly increased access for rural and regional Victorians, with the average distance of patients from the MYOD clinic increasing from 90km to 264km.</w:t>
      </w:r>
    </w:p>
    <w:p w14:paraId="423F72C0" w14:textId="1FEE5479" w:rsidR="00401B76" w:rsidRDefault="00401B76" w:rsidP="002022C2">
      <w:pPr>
        <w:pStyle w:val="Bullet1"/>
      </w:pPr>
      <w:r>
        <w:t xml:space="preserve">Introducing the telehealth model saved more than 100,000km in travel and up to 30 tonnes of </w:t>
      </w:r>
      <w:r w:rsidR="003F1BAE">
        <w:t xml:space="preserve">carbon dioxide </w:t>
      </w:r>
      <w:r>
        <w:t>emissions.</w:t>
      </w:r>
    </w:p>
    <w:p w14:paraId="4C1502FC" w14:textId="6CDD1F3D" w:rsidR="003F1BAE" w:rsidRDefault="004E6FA1" w:rsidP="002022C2">
      <w:pPr>
        <w:pStyle w:val="Bullet1"/>
      </w:pPr>
      <w:r>
        <w:t>The project helped build capability in clinicians through:</w:t>
      </w:r>
    </w:p>
    <w:p w14:paraId="54FC1031" w14:textId="6B11EC5A" w:rsidR="004E6FA1" w:rsidRDefault="004E6FA1" w:rsidP="004E6FA1">
      <w:pPr>
        <w:pStyle w:val="Bullet2"/>
      </w:pPr>
      <w:r>
        <w:t>six conference presentations</w:t>
      </w:r>
    </w:p>
    <w:p w14:paraId="29A53275" w14:textId="65FE3F41" w:rsidR="004E6FA1" w:rsidRDefault="004E6FA1" w:rsidP="004E6FA1">
      <w:pPr>
        <w:pStyle w:val="Bullet2"/>
      </w:pPr>
      <w:r>
        <w:t>20 education and training seminars</w:t>
      </w:r>
    </w:p>
    <w:p w14:paraId="65CDA010" w14:textId="0A4BEA21" w:rsidR="004E6FA1" w:rsidRDefault="004E6FA1" w:rsidP="004E6FA1">
      <w:pPr>
        <w:pStyle w:val="Bullet2"/>
      </w:pPr>
      <w:r>
        <w:t>six multidisciplinary case conferences</w:t>
      </w:r>
    </w:p>
    <w:p w14:paraId="34F225DA" w14:textId="1E3290A4" w:rsidR="004E6FA1" w:rsidRDefault="004E6FA1" w:rsidP="004E6FA1">
      <w:pPr>
        <w:pStyle w:val="Bullet2"/>
      </w:pPr>
      <w:r>
        <w:t>one telehealth client and carer support group</w:t>
      </w:r>
    </w:p>
    <w:p w14:paraId="14E3A4D8" w14:textId="6CF73A65" w:rsidR="004E6FA1" w:rsidRDefault="004E6FA1" w:rsidP="004E6FA1">
      <w:pPr>
        <w:pStyle w:val="Bullet2"/>
      </w:pPr>
      <w:r>
        <w:t>two ‘grand rounds’ events</w:t>
      </w:r>
      <w:r w:rsidR="00385EFA">
        <w:t>,</w:t>
      </w:r>
      <w:r>
        <w:t xml:space="preserve"> where clinicians presented and discussed patient case studies</w:t>
      </w:r>
    </w:p>
    <w:p w14:paraId="74FFD1A5" w14:textId="4E784694" w:rsidR="001A50C5" w:rsidRPr="00070289" w:rsidRDefault="004E6FA1" w:rsidP="0062244A">
      <w:pPr>
        <w:pStyle w:val="Bullet2"/>
        <w:rPr>
          <w:b/>
          <w:bCs/>
        </w:rPr>
        <w:sectPr w:rsidR="001A50C5" w:rsidRPr="00070289" w:rsidSect="001A50C5">
          <w:footerReference w:type="default" r:id="rId11"/>
          <w:type w:val="continuous"/>
          <w:pgSz w:w="11906" w:h="16838" w:code="9"/>
          <w:pgMar w:top="2438" w:right="737" w:bottom="680" w:left="737" w:header="539" w:footer="624" w:gutter="0"/>
          <w:cols w:num="2" w:space="284"/>
          <w:docGrid w:linePitch="360"/>
        </w:sectPr>
      </w:pPr>
      <w:r>
        <w:t>three international webinars.</w:t>
      </w:r>
    </w:p>
    <w:p w14:paraId="216070A6" w14:textId="76376D4B" w:rsidR="00DE7408" w:rsidRPr="00DE7408" w:rsidRDefault="00DE7408" w:rsidP="00DE7408">
      <w:pPr>
        <w:pStyle w:val="Heading2"/>
      </w:pPr>
      <w:r>
        <w:lastRenderedPageBreak/>
        <w:t>Key learnings</w:t>
      </w:r>
    </w:p>
    <w:p w14:paraId="599AC8F7" w14:textId="6AC41366" w:rsidR="004F3A33" w:rsidRPr="00076540" w:rsidRDefault="004F3A33" w:rsidP="004F3A33">
      <w:pPr>
        <w:pStyle w:val="Bullet1"/>
      </w:pPr>
      <w:r w:rsidRPr="004F3A33">
        <w:rPr>
          <w:b/>
          <w:bCs/>
        </w:rPr>
        <w:t xml:space="preserve">Engage </w:t>
      </w:r>
      <w:r w:rsidRPr="00076540">
        <w:rPr>
          <w:b/>
          <w:bCs/>
        </w:rPr>
        <w:t xml:space="preserve">all staff </w:t>
      </w:r>
      <w:r>
        <w:rPr>
          <w:b/>
          <w:bCs/>
        </w:rPr>
        <w:t>(</w:t>
      </w:r>
      <w:r w:rsidRPr="004F3A33">
        <w:rPr>
          <w:b/>
          <w:bCs/>
        </w:rPr>
        <w:t xml:space="preserve">both </w:t>
      </w:r>
      <w:r w:rsidRPr="00076540">
        <w:rPr>
          <w:b/>
          <w:bCs/>
        </w:rPr>
        <w:t>administrative and clinical</w:t>
      </w:r>
      <w:r>
        <w:rPr>
          <w:b/>
          <w:bCs/>
        </w:rPr>
        <w:t xml:space="preserve">) </w:t>
      </w:r>
      <w:r w:rsidRPr="00076540">
        <w:rPr>
          <w:b/>
          <w:bCs/>
        </w:rPr>
        <w:t xml:space="preserve">in planning and </w:t>
      </w:r>
      <w:r w:rsidRPr="004F3A33">
        <w:rPr>
          <w:b/>
          <w:bCs/>
        </w:rPr>
        <w:t xml:space="preserve">implementing the </w:t>
      </w:r>
      <w:r w:rsidRPr="00076540">
        <w:rPr>
          <w:b/>
          <w:bCs/>
        </w:rPr>
        <w:t>telehealth service</w:t>
      </w:r>
      <w:r w:rsidRPr="004F3A33">
        <w:rPr>
          <w:b/>
          <w:bCs/>
        </w:rPr>
        <w:t xml:space="preserve"> – </w:t>
      </w:r>
      <w:r>
        <w:t xml:space="preserve">Encouraging them to be part of the </w:t>
      </w:r>
      <w:r w:rsidRPr="00076540">
        <w:t>change process</w:t>
      </w:r>
      <w:r>
        <w:t xml:space="preserve"> helps to foster a team culture. Understanding their </w:t>
      </w:r>
      <w:r w:rsidRPr="00076540">
        <w:t>fears and biases</w:t>
      </w:r>
      <w:r>
        <w:t xml:space="preserve"> towards the use of telehealth can also be beneficial.</w:t>
      </w:r>
    </w:p>
    <w:p w14:paraId="2B5AEDB3" w14:textId="5B0285C2" w:rsidR="00B025F2" w:rsidRDefault="00B025F2" w:rsidP="00B025F2">
      <w:pPr>
        <w:pStyle w:val="Bullet1"/>
      </w:pPr>
      <w:r w:rsidRPr="00076540">
        <w:rPr>
          <w:b/>
          <w:bCs/>
        </w:rPr>
        <w:t xml:space="preserve">Ensure administrative processes are ready prior to </w:t>
      </w:r>
      <w:r w:rsidRPr="00D87EA1">
        <w:rPr>
          <w:b/>
          <w:bCs/>
        </w:rPr>
        <w:t xml:space="preserve">implementing a telehealth </w:t>
      </w:r>
      <w:r w:rsidRPr="00076540">
        <w:rPr>
          <w:b/>
          <w:bCs/>
        </w:rPr>
        <w:t>service</w:t>
      </w:r>
      <w:r w:rsidRPr="00D87EA1">
        <w:rPr>
          <w:b/>
          <w:bCs/>
        </w:rPr>
        <w:t xml:space="preserve"> –</w:t>
      </w:r>
      <w:r>
        <w:t xml:space="preserve"> </w:t>
      </w:r>
      <w:r w:rsidRPr="00076540">
        <w:t xml:space="preserve">The administration load is high </w:t>
      </w:r>
      <w:r w:rsidRPr="00D87EA1">
        <w:t>for telehealth</w:t>
      </w:r>
      <w:r>
        <w:t>, involving tasks such as</w:t>
      </w:r>
      <w:r w:rsidRPr="00D87EA1">
        <w:t xml:space="preserve"> booking appointments, telehealth setup protocols, troubleshooting, and record-keeping</w:t>
      </w:r>
      <w:r>
        <w:t xml:space="preserve">. As such, </w:t>
      </w:r>
      <w:r w:rsidR="004F69B8">
        <w:t xml:space="preserve">the administrative load </w:t>
      </w:r>
      <w:r>
        <w:t>needs to be to be factored into time and staff resourcing, and multi</w:t>
      </w:r>
      <w:r w:rsidRPr="00076540">
        <w:t xml:space="preserve">-site communication and coordination </w:t>
      </w:r>
      <w:r>
        <w:t xml:space="preserve">may be </w:t>
      </w:r>
      <w:r w:rsidRPr="00076540">
        <w:t>required.</w:t>
      </w:r>
      <w:r>
        <w:t xml:space="preserve"> Best practice is to develop </w:t>
      </w:r>
      <w:r w:rsidRPr="00076540">
        <w:t>a telehealth administration procedures manual</w:t>
      </w:r>
      <w:r>
        <w:t>.</w:t>
      </w:r>
      <w:r w:rsidRPr="00076540">
        <w:t xml:space="preserve"> </w:t>
      </w:r>
    </w:p>
    <w:p w14:paraId="168E4F6A" w14:textId="2A1EDB41" w:rsidR="00B025F2" w:rsidRPr="00404BEF" w:rsidRDefault="00B025F2" w:rsidP="00B025F2">
      <w:pPr>
        <w:pStyle w:val="Bullet1"/>
      </w:pPr>
      <w:r>
        <w:rPr>
          <w:b/>
          <w:bCs/>
        </w:rPr>
        <w:t>C</w:t>
      </w:r>
      <w:r w:rsidRPr="00404BEF">
        <w:rPr>
          <w:b/>
          <w:bCs/>
        </w:rPr>
        <w:t xml:space="preserve">learly define and communicate referral processes, expectations and documentation </w:t>
      </w:r>
      <w:r w:rsidRPr="00035BE4">
        <w:rPr>
          <w:b/>
          <w:bCs/>
        </w:rPr>
        <w:t>–</w:t>
      </w:r>
      <w:r>
        <w:t xml:space="preserve"> For example, </w:t>
      </w:r>
      <w:r w:rsidRPr="00404BEF">
        <w:t>what is the referral question? Are scans</w:t>
      </w:r>
      <w:r>
        <w:t xml:space="preserve"> and </w:t>
      </w:r>
      <w:r w:rsidRPr="00404BEF">
        <w:t>tests to be sent with the referral? Which service will follow up the patient? Which service will review the patient in 12 months?</w:t>
      </w:r>
      <w:r>
        <w:t xml:space="preserve"> Being clear in these matters at the outset will avoid confusion down the line, ensuring a smoother experience for both patient and clinician. </w:t>
      </w:r>
    </w:p>
    <w:p w14:paraId="2FC0E0FE" w14:textId="2CBB7B2F" w:rsidR="004F3A33" w:rsidRDefault="004F3A33" w:rsidP="004F3A33">
      <w:pPr>
        <w:pStyle w:val="Bullet1"/>
      </w:pPr>
      <w:r w:rsidRPr="00404BEF">
        <w:rPr>
          <w:b/>
          <w:bCs/>
        </w:rPr>
        <w:t>Geography is key –</w:t>
      </w:r>
      <w:r w:rsidRPr="00404BEF">
        <w:t xml:space="preserve"> </w:t>
      </w:r>
      <w:r>
        <w:t>P</w:t>
      </w:r>
      <w:r w:rsidRPr="00404BEF">
        <w:t>atients and carers who live</w:t>
      </w:r>
      <w:r>
        <w:t>d</w:t>
      </w:r>
      <w:r w:rsidRPr="00404BEF">
        <w:t xml:space="preserve"> </w:t>
      </w:r>
      <w:r>
        <w:t xml:space="preserve">more than three </w:t>
      </w:r>
      <w:r w:rsidRPr="00404BEF">
        <w:t xml:space="preserve">hours from </w:t>
      </w:r>
      <w:r>
        <w:t xml:space="preserve">the </w:t>
      </w:r>
      <w:r w:rsidRPr="00404BEF">
        <w:t xml:space="preserve">Melbourne CBD </w:t>
      </w:r>
      <w:r>
        <w:t xml:space="preserve">preferred </w:t>
      </w:r>
      <w:r w:rsidRPr="00404BEF">
        <w:t>the telehealth service option.</w:t>
      </w:r>
    </w:p>
    <w:p w14:paraId="2E9E3F39" w14:textId="77777777" w:rsidR="004F69B8" w:rsidRDefault="004F69B8" w:rsidP="004F69B8">
      <w:pPr>
        <w:pStyle w:val="Bullet1"/>
      </w:pPr>
      <w:r w:rsidRPr="00687344">
        <w:rPr>
          <w:b/>
          <w:bCs/>
        </w:rPr>
        <w:t xml:space="preserve">Where possible, use two cameras </w:t>
      </w:r>
      <w:r>
        <w:rPr>
          <w:b/>
          <w:bCs/>
        </w:rPr>
        <w:t xml:space="preserve">at the receiver end </w:t>
      </w:r>
      <w:r w:rsidRPr="00687344">
        <w:rPr>
          <w:b/>
          <w:bCs/>
        </w:rPr>
        <w:t>–</w:t>
      </w:r>
      <w:r>
        <w:t xml:space="preserve"> This is </w:t>
      </w:r>
      <w:r w:rsidRPr="00404BEF">
        <w:t xml:space="preserve">the gold standard in conducting a </w:t>
      </w:r>
      <w:r>
        <w:t xml:space="preserve">telehealth </w:t>
      </w:r>
      <w:r w:rsidRPr="00404BEF">
        <w:t>neuropsychological assessment.</w:t>
      </w:r>
    </w:p>
    <w:p w14:paraId="6EEEF484" w14:textId="5DB3B2B3" w:rsidR="004F3A33" w:rsidRDefault="004F3A33" w:rsidP="00076540">
      <w:pPr>
        <w:pStyle w:val="Bullet1"/>
      </w:pPr>
      <w:r w:rsidRPr="004F3A33">
        <w:rPr>
          <w:b/>
          <w:bCs/>
        </w:rPr>
        <w:t>N</w:t>
      </w:r>
      <w:r w:rsidRPr="00404BEF">
        <w:rPr>
          <w:b/>
          <w:bCs/>
        </w:rPr>
        <w:t xml:space="preserve">on-verbal cues </w:t>
      </w:r>
      <w:r w:rsidRPr="004F3A33">
        <w:rPr>
          <w:b/>
          <w:bCs/>
        </w:rPr>
        <w:t>are important –</w:t>
      </w:r>
      <w:r>
        <w:t xml:space="preserve"> These are key to</w:t>
      </w:r>
      <w:r w:rsidRPr="00404BEF">
        <w:t xml:space="preserve"> proactive neuropsychological and neuropsychiatric assessment of the patient.</w:t>
      </w:r>
      <w:r>
        <w:t xml:space="preserve"> </w:t>
      </w:r>
      <w:r w:rsidRPr="00076540">
        <w:t>Neuropsychologists can use the patient’s facial expressions, body language and eye movements as part of their telehealth assessment.</w:t>
      </w:r>
    </w:p>
    <w:p w14:paraId="5C922FED" w14:textId="0A00F091" w:rsidR="00E433E5" w:rsidRDefault="00350AD2" w:rsidP="00E433E5">
      <w:pPr>
        <w:pStyle w:val="Bullet1"/>
      </w:pPr>
      <w:r w:rsidRPr="00E433E5">
        <w:rPr>
          <w:b/>
          <w:bCs/>
        </w:rPr>
        <w:br w:type="column"/>
      </w:r>
      <w:r w:rsidR="00E046B3" w:rsidRPr="00E433E5">
        <w:rPr>
          <w:b/>
          <w:bCs/>
        </w:rPr>
        <w:t xml:space="preserve">Leverage the insight telehealth provides </w:t>
      </w:r>
      <w:r w:rsidR="00A30A56" w:rsidRPr="00E433E5">
        <w:rPr>
          <w:b/>
          <w:bCs/>
        </w:rPr>
        <w:t xml:space="preserve">into </w:t>
      </w:r>
      <w:r w:rsidR="00E046B3" w:rsidRPr="00E433E5">
        <w:rPr>
          <w:b/>
          <w:bCs/>
        </w:rPr>
        <w:t>the patient’s home</w:t>
      </w:r>
      <w:r w:rsidR="00A30A56" w:rsidRPr="00E433E5">
        <w:rPr>
          <w:b/>
          <w:bCs/>
        </w:rPr>
        <w:t xml:space="preserve"> life </w:t>
      </w:r>
      <w:r w:rsidR="00E046B3" w:rsidRPr="00E433E5">
        <w:rPr>
          <w:b/>
          <w:bCs/>
        </w:rPr>
        <w:t>–</w:t>
      </w:r>
      <w:r w:rsidR="00E046B3">
        <w:t xml:space="preserve"> </w:t>
      </w:r>
      <w:r w:rsidR="00404BEF" w:rsidRPr="00404BEF">
        <w:t xml:space="preserve">Telehealth </w:t>
      </w:r>
      <w:r w:rsidR="00E046B3">
        <w:t xml:space="preserve">allows clinicians to see patients in their real-life environment. This can be beneficial for providing </w:t>
      </w:r>
      <w:r w:rsidR="00404BEF" w:rsidRPr="00404BEF">
        <w:t>individually tailored</w:t>
      </w:r>
      <w:r w:rsidR="00E433E5">
        <w:t xml:space="preserve">, practical </w:t>
      </w:r>
      <w:r w:rsidR="00404BEF" w:rsidRPr="00404BEF">
        <w:t>psychological and behavioural interventions.</w:t>
      </w:r>
    </w:p>
    <w:p w14:paraId="497304F6" w14:textId="1F5BDC43" w:rsidR="00E433E5" w:rsidRDefault="00E433E5" w:rsidP="001C34AF">
      <w:pPr>
        <w:pStyle w:val="Bullet1"/>
      </w:pPr>
      <w:r w:rsidRPr="00035BE4">
        <w:rPr>
          <w:b/>
          <w:bCs/>
        </w:rPr>
        <w:t xml:space="preserve">Learn </w:t>
      </w:r>
      <w:r>
        <w:rPr>
          <w:b/>
          <w:bCs/>
        </w:rPr>
        <w:t xml:space="preserve">from </w:t>
      </w:r>
      <w:r w:rsidRPr="00035BE4">
        <w:rPr>
          <w:b/>
          <w:bCs/>
        </w:rPr>
        <w:t>others –</w:t>
      </w:r>
      <w:r>
        <w:t xml:space="preserve"> Ensuring </w:t>
      </w:r>
      <w:r w:rsidRPr="00404BEF">
        <w:t xml:space="preserve">ongoing collaboration with industry peers and networks </w:t>
      </w:r>
      <w:r>
        <w:t xml:space="preserve">that are </w:t>
      </w:r>
      <w:r w:rsidRPr="00404BEF">
        <w:t>also using telehealth</w:t>
      </w:r>
      <w:r>
        <w:t xml:space="preserve"> (both </w:t>
      </w:r>
      <w:r w:rsidRPr="00404BEF">
        <w:t>nationally and internationally</w:t>
      </w:r>
      <w:r>
        <w:t xml:space="preserve">) can </w:t>
      </w:r>
      <w:r w:rsidRPr="00404BEF">
        <w:t>inform practice.</w:t>
      </w:r>
      <w:r>
        <w:t xml:space="preserve"> It is also valuable to encourage </w:t>
      </w:r>
      <w:r w:rsidRPr="0004528D">
        <w:t>c</w:t>
      </w:r>
      <w:r w:rsidRPr="00404BEF">
        <w:t>ross-discipline feedback</w:t>
      </w:r>
      <w:r>
        <w:t xml:space="preserve"> between clinicians. This </w:t>
      </w:r>
      <w:r w:rsidRPr="00404BEF">
        <w:t xml:space="preserve">upskills clinicians </w:t>
      </w:r>
      <w:r>
        <w:t xml:space="preserve">from different disciplines while also being </w:t>
      </w:r>
      <w:r w:rsidRPr="00404BEF">
        <w:t xml:space="preserve">useful for the patient as they </w:t>
      </w:r>
      <w:r>
        <w:t xml:space="preserve">do not </w:t>
      </w:r>
      <w:r w:rsidRPr="00404BEF">
        <w:t>have to re-tell their story.</w:t>
      </w:r>
    </w:p>
    <w:p w14:paraId="50D33EB5" w14:textId="13C94ED8" w:rsidR="00D40148" w:rsidRDefault="00D40148" w:rsidP="00D40148">
      <w:pPr>
        <w:pStyle w:val="Heading3"/>
      </w:pPr>
      <w:r>
        <w:t xml:space="preserve">Consumer and carer </w:t>
      </w:r>
      <w:r w:rsidR="007D40D8">
        <w:t>insights</w:t>
      </w:r>
    </w:p>
    <w:p w14:paraId="3A8C3501" w14:textId="77777777" w:rsidR="00022761" w:rsidRDefault="0044109F" w:rsidP="0044109F">
      <w:pPr>
        <w:pStyle w:val="Normalfollowingheading"/>
      </w:pPr>
      <w:r>
        <w:t xml:space="preserve">Patients and carers were involved throughout the project to ensure their </w:t>
      </w:r>
      <w:r w:rsidRPr="0044109F">
        <w:t xml:space="preserve">needs and preferences were at the forefront of any decisions made around the service </w:t>
      </w:r>
      <w:r>
        <w:t xml:space="preserve">model. </w:t>
      </w:r>
    </w:p>
    <w:p w14:paraId="1564C07E" w14:textId="08FBF3C2" w:rsidR="0044109F" w:rsidRPr="0044109F" w:rsidRDefault="0044109F" w:rsidP="0044109F">
      <w:pPr>
        <w:pStyle w:val="Normalfollowingheading"/>
        <w:rPr>
          <w:rFonts w:eastAsia="Times New Roman" w:cs="Calibri"/>
          <w:spacing w:val="2"/>
        </w:rPr>
      </w:pPr>
      <w:r>
        <w:t xml:space="preserve">As part of this </w:t>
      </w:r>
      <w:r w:rsidR="00E433E5">
        <w:t>involvement</w:t>
      </w:r>
      <w:r>
        <w:t xml:space="preserve">, a focus group was held with consumers and carers, with the following </w:t>
      </w:r>
      <w:r w:rsidR="00022761">
        <w:t xml:space="preserve">key </w:t>
      </w:r>
      <w:r>
        <w:t>learnings:</w:t>
      </w:r>
    </w:p>
    <w:p w14:paraId="226DF463" w14:textId="14D3ECBA" w:rsidR="00D40148" w:rsidRPr="00D40148" w:rsidRDefault="00D40148" w:rsidP="00D40148">
      <w:pPr>
        <w:pStyle w:val="Bullet1"/>
      </w:pPr>
      <w:r w:rsidRPr="00D40148">
        <w:t xml:space="preserve">Consumers want and expect </w:t>
      </w:r>
      <w:r w:rsidR="00022761">
        <w:t xml:space="preserve">to be able to choose face-to-face or telehealth for their consultation. </w:t>
      </w:r>
      <w:r w:rsidRPr="00D40148">
        <w:t xml:space="preserve">Service providers should never assume that a rural-based patient would prefer a telehealth consult. </w:t>
      </w:r>
    </w:p>
    <w:p w14:paraId="4DFB220E" w14:textId="5D9CE51F" w:rsidR="00D40148" w:rsidRPr="00D40148" w:rsidRDefault="00022761" w:rsidP="00D40148">
      <w:pPr>
        <w:pStyle w:val="Bullet1"/>
      </w:pPr>
      <w:r>
        <w:t>T</w:t>
      </w:r>
      <w:r w:rsidR="00D40148" w:rsidRPr="00D40148">
        <w:t>imely access to specialist diagnosis and ongoing care</w:t>
      </w:r>
      <w:r>
        <w:t xml:space="preserve"> is the </w:t>
      </w:r>
      <w:r w:rsidRPr="00022761">
        <w:t>main driver for consumers</w:t>
      </w:r>
      <w:r w:rsidR="00D40148" w:rsidRPr="00D40148">
        <w:t>.</w:t>
      </w:r>
    </w:p>
    <w:p w14:paraId="365659AA" w14:textId="44EF7D60" w:rsidR="00D40148" w:rsidRPr="00D40148" w:rsidRDefault="00D40148" w:rsidP="00D40148">
      <w:pPr>
        <w:pStyle w:val="Bullet1"/>
      </w:pPr>
      <w:r w:rsidRPr="00D40148">
        <w:t>Consistency and continuity of care is of paramount importance to consumers</w:t>
      </w:r>
      <w:r w:rsidR="00022761">
        <w:t xml:space="preserve">, </w:t>
      </w:r>
      <w:r w:rsidRPr="00D40148">
        <w:t xml:space="preserve">with </w:t>
      </w:r>
      <w:r w:rsidR="00022761">
        <w:t xml:space="preserve">general practitioners </w:t>
      </w:r>
      <w:r w:rsidRPr="00D40148">
        <w:t>playing a central role.</w:t>
      </w:r>
    </w:p>
    <w:p w14:paraId="200807FF" w14:textId="07D51556" w:rsidR="0065596F" w:rsidRDefault="00022761" w:rsidP="00E433E5">
      <w:pPr>
        <w:pStyle w:val="Bullet1"/>
      </w:pPr>
      <w:r>
        <w:t>D</w:t>
      </w:r>
      <w:r w:rsidR="00D40148" w:rsidRPr="00D40148">
        <w:t xml:space="preserve">etailed </w:t>
      </w:r>
      <w:r>
        <w:t xml:space="preserve">post-diagnosis </w:t>
      </w:r>
      <w:r w:rsidR="00D40148" w:rsidRPr="00D40148">
        <w:t xml:space="preserve">information and ‘where to from here’ discussions </w:t>
      </w:r>
      <w:r>
        <w:t xml:space="preserve">should occur in </w:t>
      </w:r>
      <w:r w:rsidRPr="00D40148">
        <w:t xml:space="preserve">follow-up </w:t>
      </w:r>
      <w:r>
        <w:t xml:space="preserve">sessions instead of </w:t>
      </w:r>
      <w:r w:rsidR="00D40148" w:rsidRPr="00D40148">
        <w:t>at the time of diagnosis</w:t>
      </w:r>
      <w:r>
        <w:t xml:space="preserve">. Patients may be in shock and/or need time to process as a YOD diagnosis can be a lot take to in. </w:t>
      </w:r>
    </w:p>
    <w:p w14:paraId="14A03BEB" w14:textId="526ECF6D" w:rsidR="00E433E5" w:rsidRPr="00EE7F28" w:rsidRDefault="00E433E5" w:rsidP="00E433E5">
      <w:pPr>
        <w:pStyle w:val="Bullet1"/>
      </w:pPr>
      <w:r w:rsidRPr="00E433E5">
        <w:t>Carer burden</w:t>
      </w:r>
      <w:r>
        <w:t xml:space="preserve"> </w:t>
      </w:r>
      <w:r w:rsidRPr="00E433E5">
        <w:t xml:space="preserve">is vital to </w:t>
      </w:r>
      <w:r>
        <w:t xml:space="preserve">measure </w:t>
      </w:r>
      <w:r w:rsidRPr="00E433E5">
        <w:t xml:space="preserve">following a </w:t>
      </w:r>
      <w:r>
        <w:t xml:space="preserve">YOD </w:t>
      </w:r>
      <w:r w:rsidRPr="00E433E5">
        <w:t>diagnosis of a loved one/family member. There is a change in the role that occurs following a diagnosis of YOD which has a wide-ranging impact on lives.</w:t>
      </w:r>
    </w:p>
    <w:sectPr w:rsidR="00E433E5" w:rsidRPr="00EE7F28" w:rsidSect="00FD2879">
      <w:footerReference w:type="default" r:id="rId12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35F14" w14:textId="77777777" w:rsidR="00060D97" w:rsidRDefault="00060D97" w:rsidP="002D711A">
      <w:pPr>
        <w:spacing w:after="0" w:line="240" w:lineRule="auto"/>
      </w:pPr>
      <w:r>
        <w:separator/>
      </w:r>
    </w:p>
  </w:endnote>
  <w:endnote w:type="continuationSeparator" w:id="0">
    <w:p w14:paraId="1B12F49B" w14:textId="77777777" w:rsidR="00060D97" w:rsidRDefault="00060D97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442182" w:rsidRPr="00736C0C" w14:paraId="74FB32AF" w14:textId="77777777" w:rsidTr="000F2A2C">
      <w:trPr>
        <w:trHeight w:val="1531"/>
      </w:trPr>
      <w:tc>
        <w:tcPr>
          <w:tcW w:w="3515" w:type="dxa"/>
          <w:tcMar>
            <w:left w:w="113" w:type="dxa"/>
          </w:tcMar>
        </w:tcPr>
        <w:p w14:paraId="1C47117C" w14:textId="649393BA" w:rsidR="00442182" w:rsidRPr="00911408" w:rsidRDefault="00442182" w:rsidP="00442182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 w:rsidR="00911408">
            <w:rPr>
              <w:sz w:val="24"/>
              <w:szCs w:val="24"/>
            </w:rPr>
            <w:t xml:space="preserve"> (</w:t>
          </w:r>
          <w:r w:rsidR="00911408" w:rsidRPr="00911408">
            <w:rPr>
              <w:sz w:val="24"/>
              <w:szCs w:val="24"/>
            </w:rPr>
            <w:t>03</w:t>
          </w:r>
          <w:r w:rsidR="00911408">
            <w:rPr>
              <w:sz w:val="24"/>
              <w:szCs w:val="24"/>
            </w:rPr>
            <w:t>)</w:t>
          </w:r>
          <w:r w:rsidR="00911408" w:rsidRPr="00911408">
            <w:rPr>
              <w:sz w:val="24"/>
              <w:szCs w:val="24"/>
            </w:rPr>
            <w:t xml:space="preserve"> 9096</w:t>
          </w:r>
          <w:r w:rsidR="005B5F0B">
            <w:t xml:space="preserve"> </w:t>
          </w:r>
          <w:r w:rsidR="005B5F0B"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="005B5F0B"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6D7675E5" w14:textId="45EDE8C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7495C6B4" w14:textId="6E74D99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2A5F50">
            <w:rPr>
              <w:sz w:val="18"/>
              <w:szCs w:val="18"/>
            </w:rPr>
            <w:t>September</w:t>
          </w:r>
          <w:r w:rsidR="00911408">
            <w:rPr>
              <w:sz w:val="18"/>
              <w:szCs w:val="18"/>
            </w:rPr>
            <w:t xml:space="preserve"> 2020</w:t>
          </w:r>
        </w:p>
        <w:p w14:paraId="30F4D29D" w14:textId="77777777" w:rsidR="00442182" w:rsidRPr="00CE61C3" w:rsidRDefault="00442182" w:rsidP="00442182">
          <w:pPr>
            <w:spacing w:line="230" w:lineRule="auto"/>
            <w:rPr>
              <w:color w:val="FF0000"/>
              <w:sz w:val="18"/>
              <w:szCs w:val="18"/>
            </w:rPr>
          </w:pPr>
          <w:r w:rsidRPr="00CE61C3">
            <w:rPr>
              <w:color w:val="FF0000"/>
              <w:sz w:val="18"/>
              <w:szCs w:val="18"/>
              <w:highlight w:val="yellow"/>
            </w:rPr>
            <w:t>ISBN/ISSN number (online/print)</w:t>
          </w:r>
        </w:p>
        <w:p w14:paraId="06F94A07" w14:textId="1D4C6D41" w:rsidR="00442182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="00911408"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</w:p>
        <w:p w14:paraId="3B40A82D" w14:textId="5308783B" w:rsidR="00911408" w:rsidRPr="007A4444" w:rsidRDefault="00911408" w:rsidP="00442182">
          <w:pPr>
            <w:spacing w:line="230" w:lineRule="auto"/>
            <w:rPr>
              <w:sz w:val="13"/>
              <w:szCs w:val="13"/>
            </w:rPr>
          </w:pPr>
        </w:p>
      </w:tc>
      <w:tc>
        <w:tcPr>
          <w:tcW w:w="3515" w:type="dxa"/>
        </w:tcPr>
        <w:p w14:paraId="3A80A9B4" w14:textId="25DDFB9E" w:rsidR="00442182" w:rsidRPr="00736C0C" w:rsidRDefault="00442182" w:rsidP="000905F7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5CB2EA93" wp14:editId="41A59989">
                <wp:extent cx="1967488" cy="510541"/>
                <wp:effectExtent l="0" t="0" r="0" b="3810"/>
                <wp:docPr id="12" name="Picture 12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D44AAC" w14:textId="77777777" w:rsidR="000905F7" w:rsidRDefault="00090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716F0" w14:textId="77777777" w:rsidR="00FD2879" w:rsidRDefault="00FD28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1A50C5" w:rsidRPr="00736C0C" w14:paraId="4894451B" w14:textId="77777777" w:rsidTr="00B92A54">
      <w:trPr>
        <w:trHeight w:val="1531"/>
      </w:trPr>
      <w:tc>
        <w:tcPr>
          <w:tcW w:w="3515" w:type="dxa"/>
          <w:tcMar>
            <w:left w:w="113" w:type="dxa"/>
          </w:tcMar>
        </w:tcPr>
        <w:p w14:paraId="6BE0F808" w14:textId="77777777" w:rsidR="001A50C5" w:rsidRPr="00911408" w:rsidRDefault="001A50C5" w:rsidP="00FD2879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>
            <w:rPr>
              <w:sz w:val="24"/>
              <w:szCs w:val="24"/>
            </w:rPr>
            <w:t xml:space="preserve"> (</w:t>
          </w:r>
          <w:r w:rsidRPr="00911408">
            <w:rPr>
              <w:sz w:val="24"/>
              <w:szCs w:val="24"/>
            </w:rPr>
            <w:t>03</w:t>
          </w:r>
          <w:r>
            <w:rPr>
              <w:sz w:val="24"/>
              <w:szCs w:val="24"/>
            </w:rPr>
            <w:t>)</w:t>
          </w:r>
          <w:r w:rsidRPr="00911408">
            <w:rPr>
              <w:sz w:val="24"/>
              <w:szCs w:val="24"/>
            </w:rPr>
            <w:t xml:space="preserve"> 9096</w:t>
          </w:r>
          <w:r>
            <w:t xml:space="preserve"> </w:t>
          </w:r>
          <w:r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3098415F" w14:textId="77777777" w:rsidR="001A50C5" w:rsidRPr="00911408" w:rsidRDefault="001A50C5" w:rsidP="00FD2879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5C1093BB" w14:textId="26A33573" w:rsidR="001A50C5" w:rsidRPr="00911408" w:rsidRDefault="001A50C5" w:rsidP="00FD2879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D36E9D">
            <w:rPr>
              <w:sz w:val="18"/>
              <w:szCs w:val="18"/>
            </w:rPr>
            <w:t xml:space="preserve">November </w:t>
          </w:r>
          <w:r>
            <w:rPr>
              <w:sz w:val="18"/>
              <w:szCs w:val="18"/>
            </w:rPr>
            <w:t>2020</w:t>
          </w:r>
        </w:p>
        <w:p w14:paraId="03004BF2" w14:textId="5E463559" w:rsidR="001A50C5" w:rsidRPr="00D36E9D" w:rsidRDefault="00D36E9D" w:rsidP="00FD2879">
          <w:pPr>
            <w:spacing w:line="230" w:lineRule="auto"/>
            <w:rPr>
              <w:color w:val="000000" w:themeColor="text1"/>
              <w:sz w:val="18"/>
              <w:szCs w:val="18"/>
            </w:rPr>
          </w:pPr>
          <w:r w:rsidRPr="00D36E9D">
            <w:rPr>
              <w:color w:val="000000" w:themeColor="text1"/>
              <w:sz w:val="18"/>
              <w:szCs w:val="18"/>
            </w:rPr>
            <w:t>ISBN 978-1-76096-274-6 (pdf/online/MS word)</w:t>
          </w:r>
        </w:p>
        <w:p w14:paraId="4A00D6CB" w14:textId="022D63D0" w:rsidR="001A50C5" w:rsidRPr="007A4444" w:rsidRDefault="001A50C5" w:rsidP="00D36E9D">
          <w:pPr>
            <w:spacing w:line="230" w:lineRule="auto"/>
            <w:rPr>
              <w:sz w:val="13"/>
              <w:szCs w:val="13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  <w:r w:rsidR="00D36E9D">
            <w:rPr>
              <w:sz w:val="13"/>
              <w:szCs w:val="13"/>
            </w:rPr>
            <w:br/>
          </w:r>
        </w:p>
      </w:tc>
      <w:tc>
        <w:tcPr>
          <w:tcW w:w="3515" w:type="dxa"/>
        </w:tcPr>
        <w:p w14:paraId="1D3D0277" w14:textId="77777777" w:rsidR="001A50C5" w:rsidRPr="00736C0C" w:rsidRDefault="001A50C5" w:rsidP="00FD2879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5E54CA7D" wp14:editId="75E8F7B2">
                <wp:extent cx="1967488" cy="510541"/>
                <wp:effectExtent l="0" t="0" r="0" b="3810"/>
                <wp:docPr id="17" name="Picture 17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2BE749" w14:textId="77777777" w:rsidR="001A50C5" w:rsidRDefault="001A5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C782C" w14:textId="77777777" w:rsidR="00060D97" w:rsidRDefault="00060D97" w:rsidP="00E33E08">
      <w:pPr>
        <w:spacing w:before="0" w:after="0" w:line="240" w:lineRule="auto"/>
      </w:pPr>
    </w:p>
  </w:footnote>
  <w:footnote w:type="continuationSeparator" w:id="0">
    <w:p w14:paraId="25E775FD" w14:textId="77777777" w:rsidR="00060D97" w:rsidRDefault="00060D97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3DC0" w14:textId="77777777" w:rsidR="000905F7" w:rsidRDefault="00794C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65C5D" wp14:editId="2E33FF17">
          <wp:simplePos x="0" y="0"/>
          <wp:positionH relativeFrom="page">
            <wp:posOffset>23495</wp:posOffset>
          </wp:positionH>
          <wp:positionV relativeFrom="page">
            <wp:posOffset>0</wp:posOffset>
          </wp:positionV>
          <wp:extent cx="2127600" cy="1202400"/>
          <wp:effectExtent l="0" t="0" r="0" b="0"/>
          <wp:wrapNone/>
          <wp:docPr id="13" name="Picture 13" descr="Better Care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12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multilevel"/>
    <w:tmpl w:val="92427C56"/>
    <w:lvl w:ilvl="0">
      <w:start w:val="1"/>
      <w:numFmt w:val="bullet"/>
      <w:pStyle w:val="Bullet1"/>
      <w:lvlText w:val=""/>
      <w:lvlJc w:val="left"/>
      <w:pPr>
        <w:ind w:left="284" w:hanging="284"/>
      </w:pPr>
      <w:rPr>
        <w:rFonts w:ascii="Wingdings 2" w:hAnsi="Wingdings 2" w:hint="default"/>
        <w:color w:val="FAB662"/>
        <w:position w:val="0"/>
        <w:sz w:val="20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Theme="minorHAnsi" w:hAnsiTheme="minorHAnsi" w:cstheme="minorHAns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7"/>
    <w:rsid w:val="00012F6F"/>
    <w:rsid w:val="00014213"/>
    <w:rsid w:val="00014B55"/>
    <w:rsid w:val="00020E3E"/>
    <w:rsid w:val="00022761"/>
    <w:rsid w:val="00023457"/>
    <w:rsid w:val="00023BF3"/>
    <w:rsid w:val="00026811"/>
    <w:rsid w:val="0002714E"/>
    <w:rsid w:val="00035BE4"/>
    <w:rsid w:val="0004185E"/>
    <w:rsid w:val="0004528D"/>
    <w:rsid w:val="00047D56"/>
    <w:rsid w:val="00053181"/>
    <w:rsid w:val="00056988"/>
    <w:rsid w:val="00060D97"/>
    <w:rsid w:val="00070289"/>
    <w:rsid w:val="00071F51"/>
    <w:rsid w:val="00072279"/>
    <w:rsid w:val="00073407"/>
    <w:rsid w:val="00075E6C"/>
    <w:rsid w:val="00075FA1"/>
    <w:rsid w:val="00076540"/>
    <w:rsid w:val="00081C12"/>
    <w:rsid w:val="00087D42"/>
    <w:rsid w:val="000905F7"/>
    <w:rsid w:val="000B29AD"/>
    <w:rsid w:val="000C515F"/>
    <w:rsid w:val="000C598A"/>
    <w:rsid w:val="000C6372"/>
    <w:rsid w:val="000D7841"/>
    <w:rsid w:val="000E392D"/>
    <w:rsid w:val="000E39B6"/>
    <w:rsid w:val="000E3D05"/>
    <w:rsid w:val="000F2A2C"/>
    <w:rsid w:val="000F4288"/>
    <w:rsid w:val="000F7165"/>
    <w:rsid w:val="00102379"/>
    <w:rsid w:val="00103722"/>
    <w:rsid w:val="001065D6"/>
    <w:rsid w:val="001068D5"/>
    <w:rsid w:val="00121252"/>
    <w:rsid w:val="00121488"/>
    <w:rsid w:val="00124609"/>
    <w:rsid w:val="001254CE"/>
    <w:rsid w:val="0013637A"/>
    <w:rsid w:val="001422CC"/>
    <w:rsid w:val="00145346"/>
    <w:rsid w:val="0015433A"/>
    <w:rsid w:val="001617B6"/>
    <w:rsid w:val="00165E66"/>
    <w:rsid w:val="00186B39"/>
    <w:rsid w:val="00196143"/>
    <w:rsid w:val="001A19F8"/>
    <w:rsid w:val="001A24FC"/>
    <w:rsid w:val="001A50C5"/>
    <w:rsid w:val="001A68EC"/>
    <w:rsid w:val="001B7A9A"/>
    <w:rsid w:val="001C34AF"/>
    <w:rsid w:val="001C60B2"/>
    <w:rsid w:val="001C6993"/>
    <w:rsid w:val="001C7BAE"/>
    <w:rsid w:val="001E31FA"/>
    <w:rsid w:val="001E40DD"/>
    <w:rsid w:val="001E48F9"/>
    <w:rsid w:val="001E64F6"/>
    <w:rsid w:val="001E7AEB"/>
    <w:rsid w:val="002022C2"/>
    <w:rsid w:val="00204B82"/>
    <w:rsid w:val="00215F84"/>
    <w:rsid w:val="00222BEB"/>
    <w:rsid w:val="00225E60"/>
    <w:rsid w:val="00230BBB"/>
    <w:rsid w:val="00231818"/>
    <w:rsid w:val="0023202C"/>
    <w:rsid w:val="00232F43"/>
    <w:rsid w:val="00234619"/>
    <w:rsid w:val="00235BE2"/>
    <w:rsid w:val="00245043"/>
    <w:rsid w:val="002505DC"/>
    <w:rsid w:val="0026028E"/>
    <w:rsid w:val="0026664E"/>
    <w:rsid w:val="00273498"/>
    <w:rsid w:val="00273AF5"/>
    <w:rsid w:val="00284FA2"/>
    <w:rsid w:val="00292D36"/>
    <w:rsid w:val="00294A5A"/>
    <w:rsid w:val="00297281"/>
    <w:rsid w:val="00297953"/>
    <w:rsid w:val="00297A47"/>
    <w:rsid w:val="002A05AD"/>
    <w:rsid w:val="002A46A5"/>
    <w:rsid w:val="002A5891"/>
    <w:rsid w:val="002A5F50"/>
    <w:rsid w:val="002A6AB4"/>
    <w:rsid w:val="002B03F1"/>
    <w:rsid w:val="002B5C34"/>
    <w:rsid w:val="002B5E2B"/>
    <w:rsid w:val="002B6DAA"/>
    <w:rsid w:val="002C338A"/>
    <w:rsid w:val="002D432E"/>
    <w:rsid w:val="002D70F7"/>
    <w:rsid w:val="002D711A"/>
    <w:rsid w:val="002D7336"/>
    <w:rsid w:val="002E3396"/>
    <w:rsid w:val="002E38C3"/>
    <w:rsid w:val="002E6454"/>
    <w:rsid w:val="002F2953"/>
    <w:rsid w:val="002F4E84"/>
    <w:rsid w:val="00307241"/>
    <w:rsid w:val="0031149C"/>
    <w:rsid w:val="00332D4F"/>
    <w:rsid w:val="00333A0C"/>
    <w:rsid w:val="003347B2"/>
    <w:rsid w:val="0034408A"/>
    <w:rsid w:val="00350AD2"/>
    <w:rsid w:val="003517C4"/>
    <w:rsid w:val="0036778F"/>
    <w:rsid w:val="00377AF2"/>
    <w:rsid w:val="00385EFA"/>
    <w:rsid w:val="0038771C"/>
    <w:rsid w:val="00391A48"/>
    <w:rsid w:val="00396B15"/>
    <w:rsid w:val="003A430B"/>
    <w:rsid w:val="003A541A"/>
    <w:rsid w:val="003A6923"/>
    <w:rsid w:val="003A754E"/>
    <w:rsid w:val="003C2C67"/>
    <w:rsid w:val="003C2D4C"/>
    <w:rsid w:val="003C3B3A"/>
    <w:rsid w:val="003C5BA4"/>
    <w:rsid w:val="003E3E26"/>
    <w:rsid w:val="003F1295"/>
    <w:rsid w:val="003F1BAE"/>
    <w:rsid w:val="003F5102"/>
    <w:rsid w:val="003F76FC"/>
    <w:rsid w:val="004002EB"/>
    <w:rsid w:val="00401B76"/>
    <w:rsid w:val="00404BEF"/>
    <w:rsid w:val="00407A79"/>
    <w:rsid w:val="0041116F"/>
    <w:rsid w:val="00422DDC"/>
    <w:rsid w:val="004231B5"/>
    <w:rsid w:val="004236C8"/>
    <w:rsid w:val="00427681"/>
    <w:rsid w:val="0043317F"/>
    <w:rsid w:val="00433DB7"/>
    <w:rsid w:val="00435805"/>
    <w:rsid w:val="0044109F"/>
    <w:rsid w:val="00442182"/>
    <w:rsid w:val="0045347E"/>
    <w:rsid w:val="00453750"/>
    <w:rsid w:val="00456941"/>
    <w:rsid w:val="00460BD5"/>
    <w:rsid w:val="004702EA"/>
    <w:rsid w:val="00471720"/>
    <w:rsid w:val="0048259C"/>
    <w:rsid w:val="00482D02"/>
    <w:rsid w:val="00484326"/>
    <w:rsid w:val="00486515"/>
    <w:rsid w:val="00490369"/>
    <w:rsid w:val="004A4ED0"/>
    <w:rsid w:val="004A7519"/>
    <w:rsid w:val="004B64B1"/>
    <w:rsid w:val="004C5C28"/>
    <w:rsid w:val="004D01AC"/>
    <w:rsid w:val="004D3518"/>
    <w:rsid w:val="004D62D6"/>
    <w:rsid w:val="004D6898"/>
    <w:rsid w:val="004E480E"/>
    <w:rsid w:val="004E6FA1"/>
    <w:rsid w:val="004F3A33"/>
    <w:rsid w:val="004F3F4E"/>
    <w:rsid w:val="004F69B8"/>
    <w:rsid w:val="00510167"/>
    <w:rsid w:val="00510F7A"/>
    <w:rsid w:val="00513E86"/>
    <w:rsid w:val="00524ED1"/>
    <w:rsid w:val="005306A2"/>
    <w:rsid w:val="00532BA6"/>
    <w:rsid w:val="0053416C"/>
    <w:rsid w:val="0053692B"/>
    <w:rsid w:val="00541C2F"/>
    <w:rsid w:val="00544BDB"/>
    <w:rsid w:val="00552DE4"/>
    <w:rsid w:val="00555D37"/>
    <w:rsid w:val="005611C2"/>
    <w:rsid w:val="00563527"/>
    <w:rsid w:val="0057407A"/>
    <w:rsid w:val="0058124E"/>
    <w:rsid w:val="005875A3"/>
    <w:rsid w:val="005953EA"/>
    <w:rsid w:val="00596F21"/>
    <w:rsid w:val="00597D77"/>
    <w:rsid w:val="005A3416"/>
    <w:rsid w:val="005B061F"/>
    <w:rsid w:val="005B27FE"/>
    <w:rsid w:val="005B327A"/>
    <w:rsid w:val="005B5F0B"/>
    <w:rsid w:val="005B76DF"/>
    <w:rsid w:val="005B79CB"/>
    <w:rsid w:val="005E08D7"/>
    <w:rsid w:val="005E2EDE"/>
    <w:rsid w:val="005E4C16"/>
    <w:rsid w:val="005E5947"/>
    <w:rsid w:val="005F565E"/>
    <w:rsid w:val="005F5D20"/>
    <w:rsid w:val="005F61DF"/>
    <w:rsid w:val="0060163A"/>
    <w:rsid w:val="006023F9"/>
    <w:rsid w:val="00610559"/>
    <w:rsid w:val="00614076"/>
    <w:rsid w:val="00615B76"/>
    <w:rsid w:val="0062244A"/>
    <w:rsid w:val="00632F2E"/>
    <w:rsid w:val="006332F6"/>
    <w:rsid w:val="006413F2"/>
    <w:rsid w:val="0064598D"/>
    <w:rsid w:val="006534B2"/>
    <w:rsid w:val="0065596F"/>
    <w:rsid w:val="0065615D"/>
    <w:rsid w:val="00657011"/>
    <w:rsid w:val="006650B5"/>
    <w:rsid w:val="006651B1"/>
    <w:rsid w:val="00665778"/>
    <w:rsid w:val="00665D04"/>
    <w:rsid w:val="00676E5F"/>
    <w:rsid w:val="006772B4"/>
    <w:rsid w:val="00680577"/>
    <w:rsid w:val="00687344"/>
    <w:rsid w:val="006945CA"/>
    <w:rsid w:val="0069690B"/>
    <w:rsid w:val="006A3309"/>
    <w:rsid w:val="006A3A5A"/>
    <w:rsid w:val="006A5B34"/>
    <w:rsid w:val="006B2A76"/>
    <w:rsid w:val="006C77A9"/>
    <w:rsid w:val="006D2F37"/>
    <w:rsid w:val="006D4720"/>
    <w:rsid w:val="006E6CDF"/>
    <w:rsid w:val="006F37F2"/>
    <w:rsid w:val="006F6693"/>
    <w:rsid w:val="00707FE8"/>
    <w:rsid w:val="00714AAE"/>
    <w:rsid w:val="007214AB"/>
    <w:rsid w:val="0072269C"/>
    <w:rsid w:val="00724962"/>
    <w:rsid w:val="00724A0F"/>
    <w:rsid w:val="00726D2F"/>
    <w:rsid w:val="00733EA1"/>
    <w:rsid w:val="007352D2"/>
    <w:rsid w:val="00736732"/>
    <w:rsid w:val="00740019"/>
    <w:rsid w:val="007435DF"/>
    <w:rsid w:val="00746426"/>
    <w:rsid w:val="00747EC6"/>
    <w:rsid w:val="00750BF9"/>
    <w:rsid w:val="00750CBE"/>
    <w:rsid w:val="007650D2"/>
    <w:rsid w:val="00765961"/>
    <w:rsid w:val="00766B5A"/>
    <w:rsid w:val="00770055"/>
    <w:rsid w:val="00772209"/>
    <w:rsid w:val="007766A2"/>
    <w:rsid w:val="007770A5"/>
    <w:rsid w:val="007834F2"/>
    <w:rsid w:val="00791020"/>
    <w:rsid w:val="00791178"/>
    <w:rsid w:val="00794CB7"/>
    <w:rsid w:val="00797D66"/>
    <w:rsid w:val="007A04D2"/>
    <w:rsid w:val="007A4444"/>
    <w:rsid w:val="007A5F82"/>
    <w:rsid w:val="007D40D8"/>
    <w:rsid w:val="007D4A1E"/>
    <w:rsid w:val="007D5F9E"/>
    <w:rsid w:val="007D7586"/>
    <w:rsid w:val="007E098F"/>
    <w:rsid w:val="007E3BA2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45E26"/>
    <w:rsid w:val="00847BE1"/>
    <w:rsid w:val="0085512F"/>
    <w:rsid w:val="00855FF9"/>
    <w:rsid w:val="0086277A"/>
    <w:rsid w:val="00863AFA"/>
    <w:rsid w:val="008668A8"/>
    <w:rsid w:val="008703D8"/>
    <w:rsid w:val="008755C2"/>
    <w:rsid w:val="008768AD"/>
    <w:rsid w:val="00880AC4"/>
    <w:rsid w:val="00893E52"/>
    <w:rsid w:val="0089453D"/>
    <w:rsid w:val="00897157"/>
    <w:rsid w:val="00897447"/>
    <w:rsid w:val="008A4900"/>
    <w:rsid w:val="008A55FE"/>
    <w:rsid w:val="008A58D2"/>
    <w:rsid w:val="008B146D"/>
    <w:rsid w:val="008B42AD"/>
    <w:rsid w:val="008B5666"/>
    <w:rsid w:val="008C2C15"/>
    <w:rsid w:val="008D0281"/>
    <w:rsid w:val="008E2348"/>
    <w:rsid w:val="008F2060"/>
    <w:rsid w:val="008F6D45"/>
    <w:rsid w:val="00911408"/>
    <w:rsid w:val="00916AD5"/>
    <w:rsid w:val="00922944"/>
    <w:rsid w:val="00922CA6"/>
    <w:rsid w:val="0092497B"/>
    <w:rsid w:val="0093448A"/>
    <w:rsid w:val="00936479"/>
    <w:rsid w:val="00937A10"/>
    <w:rsid w:val="00940685"/>
    <w:rsid w:val="009424C8"/>
    <w:rsid w:val="00953A2C"/>
    <w:rsid w:val="00960E80"/>
    <w:rsid w:val="00961C62"/>
    <w:rsid w:val="00966115"/>
    <w:rsid w:val="009834C0"/>
    <w:rsid w:val="00986AAC"/>
    <w:rsid w:val="00991C00"/>
    <w:rsid w:val="00995526"/>
    <w:rsid w:val="00996E62"/>
    <w:rsid w:val="009A1DA2"/>
    <w:rsid w:val="009A3704"/>
    <w:rsid w:val="009A4739"/>
    <w:rsid w:val="009A674F"/>
    <w:rsid w:val="009A6D22"/>
    <w:rsid w:val="009B199C"/>
    <w:rsid w:val="009B1BBA"/>
    <w:rsid w:val="009B61F1"/>
    <w:rsid w:val="009B62E0"/>
    <w:rsid w:val="009C3D88"/>
    <w:rsid w:val="009C542A"/>
    <w:rsid w:val="009C5B10"/>
    <w:rsid w:val="009E0D59"/>
    <w:rsid w:val="009E1651"/>
    <w:rsid w:val="009E3858"/>
    <w:rsid w:val="009E467D"/>
    <w:rsid w:val="009E4C6B"/>
    <w:rsid w:val="009E5E60"/>
    <w:rsid w:val="009E70DD"/>
    <w:rsid w:val="009F2ED9"/>
    <w:rsid w:val="009F3231"/>
    <w:rsid w:val="009F4433"/>
    <w:rsid w:val="009F5C58"/>
    <w:rsid w:val="00A023A0"/>
    <w:rsid w:val="00A05EBC"/>
    <w:rsid w:val="00A104CA"/>
    <w:rsid w:val="00A131B1"/>
    <w:rsid w:val="00A1562B"/>
    <w:rsid w:val="00A170F4"/>
    <w:rsid w:val="00A20712"/>
    <w:rsid w:val="00A21408"/>
    <w:rsid w:val="00A2160F"/>
    <w:rsid w:val="00A21CFD"/>
    <w:rsid w:val="00A25B78"/>
    <w:rsid w:val="00A30A56"/>
    <w:rsid w:val="00A30EB2"/>
    <w:rsid w:val="00A31EC7"/>
    <w:rsid w:val="00A41E3C"/>
    <w:rsid w:val="00A46288"/>
    <w:rsid w:val="00A46BA8"/>
    <w:rsid w:val="00A47634"/>
    <w:rsid w:val="00A51756"/>
    <w:rsid w:val="00A612FE"/>
    <w:rsid w:val="00A70B49"/>
    <w:rsid w:val="00A8295D"/>
    <w:rsid w:val="00A92D94"/>
    <w:rsid w:val="00AA26B8"/>
    <w:rsid w:val="00AC0B87"/>
    <w:rsid w:val="00AC2624"/>
    <w:rsid w:val="00AC32A8"/>
    <w:rsid w:val="00AC3F2C"/>
    <w:rsid w:val="00AC43CE"/>
    <w:rsid w:val="00AD7E4E"/>
    <w:rsid w:val="00AF4D58"/>
    <w:rsid w:val="00AF6666"/>
    <w:rsid w:val="00AF7BC5"/>
    <w:rsid w:val="00B025F2"/>
    <w:rsid w:val="00B218E6"/>
    <w:rsid w:val="00B36E7B"/>
    <w:rsid w:val="00B80F0A"/>
    <w:rsid w:val="00B81B44"/>
    <w:rsid w:val="00B866C6"/>
    <w:rsid w:val="00B9053B"/>
    <w:rsid w:val="00BA0C37"/>
    <w:rsid w:val="00BA3782"/>
    <w:rsid w:val="00BB4B27"/>
    <w:rsid w:val="00BB4D98"/>
    <w:rsid w:val="00BB4EBF"/>
    <w:rsid w:val="00BB59E0"/>
    <w:rsid w:val="00BB7655"/>
    <w:rsid w:val="00BC07DF"/>
    <w:rsid w:val="00BC3422"/>
    <w:rsid w:val="00BC6E19"/>
    <w:rsid w:val="00BD11C2"/>
    <w:rsid w:val="00BD5018"/>
    <w:rsid w:val="00BE5ADC"/>
    <w:rsid w:val="00BE7951"/>
    <w:rsid w:val="00BF4F96"/>
    <w:rsid w:val="00BF69F9"/>
    <w:rsid w:val="00C015B9"/>
    <w:rsid w:val="00C022F9"/>
    <w:rsid w:val="00C032EA"/>
    <w:rsid w:val="00C06EB5"/>
    <w:rsid w:val="00C1145F"/>
    <w:rsid w:val="00C11CD1"/>
    <w:rsid w:val="00C12EF1"/>
    <w:rsid w:val="00C22BAE"/>
    <w:rsid w:val="00C32D49"/>
    <w:rsid w:val="00C33AD3"/>
    <w:rsid w:val="00C343E0"/>
    <w:rsid w:val="00C35D53"/>
    <w:rsid w:val="00C41B3C"/>
    <w:rsid w:val="00C43F06"/>
    <w:rsid w:val="00C51C01"/>
    <w:rsid w:val="00C637E1"/>
    <w:rsid w:val="00C67EAC"/>
    <w:rsid w:val="00C7098C"/>
    <w:rsid w:val="00C70D50"/>
    <w:rsid w:val="00C72252"/>
    <w:rsid w:val="00C821CE"/>
    <w:rsid w:val="00C907D7"/>
    <w:rsid w:val="00C92338"/>
    <w:rsid w:val="00C96F62"/>
    <w:rsid w:val="00CA05DC"/>
    <w:rsid w:val="00CA7B47"/>
    <w:rsid w:val="00CB1E66"/>
    <w:rsid w:val="00CB3976"/>
    <w:rsid w:val="00CC0347"/>
    <w:rsid w:val="00CD0307"/>
    <w:rsid w:val="00CD3C79"/>
    <w:rsid w:val="00CD3D1B"/>
    <w:rsid w:val="00CD728E"/>
    <w:rsid w:val="00CE590E"/>
    <w:rsid w:val="00CE61C3"/>
    <w:rsid w:val="00D02663"/>
    <w:rsid w:val="00D0633E"/>
    <w:rsid w:val="00D1273A"/>
    <w:rsid w:val="00D12E74"/>
    <w:rsid w:val="00D21D71"/>
    <w:rsid w:val="00D2312F"/>
    <w:rsid w:val="00D23B04"/>
    <w:rsid w:val="00D269C1"/>
    <w:rsid w:val="00D36E9D"/>
    <w:rsid w:val="00D40148"/>
    <w:rsid w:val="00D41230"/>
    <w:rsid w:val="00D41B2F"/>
    <w:rsid w:val="00D44953"/>
    <w:rsid w:val="00D542F3"/>
    <w:rsid w:val="00D54513"/>
    <w:rsid w:val="00D54AAE"/>
    <w:rsid w:val="00D5644B"/>
    <w:rsid w:val="00D5679F"/>
    <w:rsid w:val="00D56E25"/>
    <w:rsid w:val="00D57E89"/>
    <w:rsid w:val="00D622F8"/>
    <w:rsid w:val="00D6560D"/>
    <w:rsid w:val="00D65D77"/>
    <w:rsid w:val="00D718D7"/>
    <w:rsid w:val="00D76AD4"/>
    <w:rsid w:val="00D814B7"/>
    <w:rsid w:val="00D858A3"/>
    <w:rsid w:val="00D87EA1"/>
    <w:rsid w:val="00D90688"/>
    <w:rsid w:val="00D930E4"/>
    <w:rsid w:val="00DA3AAD"/>
    <w:rsid w:val="00DA3F36"/>
    <w:rsid w:val="00DB312B"/>
    <w:rsid w:val="00DC5654"/>
    <w:rsid w:val="00DC658F"/>
    <w:rsid w:val="00DC674A"/>
    <w:rsid w:val="00DE60CC"/>
    <w:rsid w:val="00DE7408"/>
    <w:rsid w:val="00E03F35"/>
    <w:rsid w:val="00E046B3"/>
    <w:rsid w:val="00E20C75"/>
    <w:rsid w:val="00E26B32"/>
    <w:rsid w:val="00E31CD4"/>
    <w:rsid w:val="00E31E60"/>
    <w:rsid w:val="00E33E08"/>
    <w:rsid w:val="00E407B6"/>
    <w:rsid w:val="00E41D82"/>
    <w:rsid w:val="00E41EF1"/>
    <w:rsid w:val="00E42942"/>
    <w:rsid w:val="00E433E5"/>
    <w:rsid w:val="00E5123D"/>
    <w:rsid w:val="00E6148E"/>
    <w:rsid w:val="00E65A0A"/>
    <w:rsid w:val="00E71BDF"/>
    <w:rsid w:val="00E75CCB"/>
    <w:rsid w:val="00E81DF6"/>
    <w:rsid w:val="00E8245B"/>
    <w:rsid w:val="00E82C21"/>
    <w:rsid w:val="00E82F59"/>
    <w:rsid w:val="00E83CA7"/>
    <w:rsid w:val="00E92192"/>
    <w:rsid w:val="00E95A71"/>
    <w:rsid w:val="00EB7014"/>
    <w:rsid w:val="00EC3899"/>
    <w:rsid w:val="00EC5CDE"/>
    <w:rsid w:val="00EC7F2A"/>
    <w:rsid w:val="00ED3077"/>
    <w:rsid w:val="00ED487E"/>
    <w:rsid w:val="00ED64F1"/>
    <w:rsid w:val="00EE33A1"/>
    <w:rsid w:val="00EE7A0D"/>
    <w:rsid w:val="00EE7F28"/>
    <w:rsid w:val="00EF28C6"/>
    <w:rsid w:val="00F0222C"/>
    <w:rsid w:val="00F06647"/>
    <w:rsid w:val="00F12312"/>
    <w:rsid w:val="00F12BCD"/>
    <w:rsid w:val="00F13239"/>
    <w:rsid w:val="00F17CE1"/>
    <w:rsid w:val="00F2115C"/>
    <w:rsid w:val="00F22ABA"/>
    <w:rsid w:val="00F23488"/>
    <w:rsid w:val="00F25919"/>
    <w:rsid w:val="00F25F4B"/>
    <w:rsid w:val="00F36B12"/>
    <w:rsid w:val="00F512A8"/>
    <w:rsid w:val="00F60F9F"/>
    <w:rsid w:val="00F61246"/>
    <w:rsid w:val="00F64F08"/>
    <w:rsid w:val="00F67F62"/>
    <w:rsid w:val="00F70055"/>
    <w:rsid w:val="00F734F5"/>
    <w:rsid w:val="00F73B5B"/>
    <w:rsid w:val="00F80A39"/>
    <w:rsid w:val="00F8536E"/>
    <w:rsid w:val="00F86909"/>
    <w:rsid w:val="00F90EA5"/>
    <w:rsid w:val="00F91F5A"/>
    <w:rsid w:val="00F9441A"/>
    <w:rsid w:val="00F951B6"/>
    <w:rsid w:val="00F966B1"/>
    <w:rsid w:val="00F97D48"/>
    <w:rsid w:val="00FA0311"/>
    <w:rsid w:val="00FA1489"/>
    <w:rsid w:val="00FB0ADD"/>
    <w:rsid w:val="00FB15BD"/>
    <w:rsid w:val="00FC6EC1"/>
    <w:rsid w:val="00FD2879"/>
    <w:rsid w:val="00FD50F0"/>
    <w:rsid w:val="00FD640F"/>
    <w:rsid w:val="00FD6B4C"/>
    <w:rsid w:val="00FE04C6"/>
    <w:rsid w:val="00FE0553"/>
    <w:rsid w:val="00FE230E"/>
    <w:rsid w:val="00FE25D0"/>
    <w:rsid w:val="00FE6CB3"/>
    <w:rsid w:val="00FF41A5"/>
    <w:rsid w:val="00FF4E99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B4B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55D37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4D92C0"/>
        <w:bottom w:val="single" w:sz="2" w:space="0" w:color="4D92C0"/>
        <w:insideH w:val="single" w:sz="2" w:space="0" w:color="4D92C0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63A5" w:themeColor="text2"/>
        <w:sz w:val="16"/>
      </w:rPr>
      <w:tblPr/>
      <w:tcPr>
        <w:tcBorders>
          <w:top w:val="single" w:sz="2" w:space="0" w:color="CCE0ED"/>
          <w:left w:val="nil"/>
          <w:bottom w:val="single" w:sz="24" w:space="0" w:color="CCE0ED"/>
          <w:right w:val="nil"/>
          <w:insideH w:val="nil"/>
          <w:insideV w:val="nil"/>
          <w:tl2br w:val="nil"/>
          <w:tr2bl w:val="nil"/>
        </w:tcBorders>
        <w:shd w:val="clear" w:color="auto" w:fill="E6EFF6" w:themeFill="background2"/>
        <w:tcMar>
          <w:top w:w="79" w:type="dxa"/>
          <w:left w:w="113" w:type="dxa"/>
          <w:bottom w:w="79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63A5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63A5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customStyle="1" w:styleId="Bullet1">
    <w:name w:val="Bullet 1"/>
    <w:uiPriority w:val="1"/>
    <w:qFormat/>
    <w:rsid w:val="00D76AD4"/>
    <w:pPr>
      <w:numPr>
        <w:numId w:val="12"/>
      </w:numPr>
      <w:spacing w:before="60" w:after="60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D76AD4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121488"/>
    <w:pPr>
      <w:ind w:left="567" w:right="567"/>
      <w:jc w:val="center"/>
    </w:pPr>
    <w:rPr>
      <w:i/>
      <w:iCs/>
      <w:color w:val="408ABB" w:themeColor="accen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94CB7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94CB7"/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121488"/>
    <w:rPr>
      <w:i/>
      <w:iCs/>
      <w:color w:val="408ABB" w:themeColor="accen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</w:rPr>
      <w:tblPr/>
      <w:tcPr>
        <w:shd w:val="clear" w:color="auto" w:fill="B1D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D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63A5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</w:rPr>
      <w:tblPr/>
      <w:tcPr>
        <w:shd w:val="clear" w:color="auto" w:fill="CCDF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F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</w:rPr>
      <w:tblPr/>
      <w:tcPr>
        <w:shd w:val="clear" w:color="auto" w:fill="E5EF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F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63A5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63A5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63A5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B1D1" w:themeFill="accent3" w:themeFillShade="CC"/>
      </w:tcPr>
    </w:tblStylePr>
    <w:tblStylePr w:type="lastRow">
      <w:rPr>
        <w:b/>
        <w:bCs/>
        <w:color w:val="80B1D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26F" w:themeColor="accent1" w:themeShade="99"/>
          <w:insideV w:val="nil"/>
        </w:tcBorders>
        <w:shd w:val="clear" w:color="auto" w:fill="265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26F" w:themeFill="accent1" w:themeFillShade="99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9EC4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E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E95" w:themeColor="accent2" w:themeShade="99"/>
          <w:insideV w:val="nil"/>
        </w:tcBorders>
        <w:shd w:val="clear" w:color="auto" w:fill="356E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E95" w:themeFill="accent2" w:themeFillShade="99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BFD8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BB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BBA" w:themeColor="accent3" w:themeShade="99"/>
          <w:insideV w:val="nil"/>
        </w:tcBorders>
        <w:shd w:val="clear" w:color="auto" w:fill="438BB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BBA" w:themeFill="accent3" w:themeFillShade="99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8E8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B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A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749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A8C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1D0E4" w:themeColor="accent1" w:themeTint="66"/>
        <w:left w:val="single" w:sz="4" w:space="0" w:color="B1D0E4" w:themeColor="accent1" w:themeTint="66"/>
        <w:bottom w:val="single" w:sz="4" w:space="0" w:color="B1D0E4" w:themeColor="accent1" w:themeTint="66"/>
        <w:right w:val="single" w:sz="4" w:space="0" w:color="B1D0E4" w:themeColor="accent1" w:themeTint="66"/>
        <w:insideH w:val="single" w:sz="4" w:space="0" w:color="B1D0E4" w:themeColor="accent1" w:themeTint="66"/>
        <w:insideV w:val="single" w:sz="4" w:space="0" w:color="B1D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DFED" w:themeColor="accent2" w:themeTint="66"/>
        <w:left w:val="single" w:sz="4" w:space="0" w:color="CCDFED" w:themeColor="accent2" w:themeTint="66"/>
        <w:bottom w:val="single" w:sz="4" w:space="0" w:color="CCDFED" w:themeColor="accent2" w:themeTint="66"/>
        <w:right w:val="single" w:sz="4" w:space="0" w:color="CCDFED" w:themeColor="accent2" w:themeTint="66"/>
        <w:insideH w:val="single" w:sz="4" w:space="0" w:color="CCDFED" w:themeColor="accent2" w:themeTint="66"/>
        <w:insideV w:val="single" w:sz="4" w:space="0" w:color="CCDF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EFF5" w:themeColor="accent3" w:themeTint="66"/>
        <w:left w:val="single" w:sz="4" w:space="0" w:color="E5EFF5" w:themeColor="accent3" w:themeTint="66"/>
        <w:bottom w:val="single" w:sz="4" w:space="0" w:color="E5EFF5" w:themeColor="accent3" w:themeTint="66"/>
        <w:right w:val="single" w:sz="4" w:space="0" w:color="E5EFF5" w:themeColor="accent3" w:themeTint="66"/>
        <w:insideH w:val="single" w:sz="4" w:space="0" w:color="E5EFF5" w:themeColor="accent3" w:themeTint="66"/>
        <w:insideV w:val="single" w:sz="4" w:space="0" w:color="E5EF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BB8D7" w:themeColor="accent1" w:themeTint="99"/>
        <w:bottom w:val="single" w:sz="2" w:space="0" w:color="8BB8D7" w:themeColor="accent1" w:themeTint="99"/>
        <w:insideH w:val="single" w:sz="2" w:space="0" w:color="8BB8D7" w:themeColor="accent1" w:themeTint="99"/>
        <w:insideV w:val="single" w:sz="2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8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0E4" w:themeColor="accent2" w:themeTint="99"/>
        <w:bottom w:val="single" w:sz="2" w:space="0" w:color="B2D0E4" w:themeColor="accent2" w:themeTint="99"/>
        <w:insideH w:val="single" w:sz="2" w:space="0" w:color="B2D0E4" w:themeColor="accent2" w:themeTint="99"/>
        <w:insideV w:val="single" w:sz="2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0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7F1" w:themeColor="accent3" w:themeTint="99"/>
        <w:bottom w:val="single" w:sz="2" w:space="0" w:color="D8E7F1" w:themeColor="accent3" w:themeTint="99"/>
        <w:insideH w:val="single" w:sz="2" w:space="0" w:color="D8E7F1" w:themeColor="accent3" w:themeTint="99"/>
        <w:insideV w:val="single" w:sz="2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7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B1D0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CCDF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E5EF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1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  <w:shd w:val="clear" w:color="auto" w:fill="CFE2EE" w:themeFill="accent1" w:themeFillTint="3F"/>
      </w:tcPr>
    </w:tblStylePr>
    <w:tblStylePr w:type="band2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1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  <w:shd w:val="clear" w:color="auto" w:fill="DFEBF3" w:themeFill="accent2" w:themeFillTint="3F"/>
      </w:tcPr>
    </w:tblStylePr>
    <w:tblStylePr w:type="band2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1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  <w:shd w:val="clear" w:color="auto" w:fill="EFF5F9" w:themeFill="accent3" w:themeFillTint="3F"/>
      </w:tcPr>
    </w:tblStylePr>
    <w:tblStylePr w:type="band2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bottom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bottom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bottom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8ABB" w:themeColor="accent1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8ABB" w:themeColor="accent1"/>
          <w:right w:val="single" w:sz="4" w:space="0" w:color="408ABB" w:themeColor="accent1"/>
        </w:tcBorders>
      </w:tcPr>
    </w:tblStylePr>
    <w:tblStylePr w:type="band1Horz">
      <w:tblPr/>
      <w:tcPr>
        <w:tcBorders>
          <w:top w:val="single" w:sz="4" w:space="0" w:color="408ABB" w:themeColor="accent1"/>
          <w:bottom w:val="single" w:sz="4" w:space="0" w:color="408A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8ABB" w:themeColor="accent1"/>
          <w:left w:val="nil"/>
        </w:tcBorders>
      </w:tcPr>
    </w:tblStylePr>
    <w:tblStylePr w:type="swCell">
      <w:tblPr/>
      <w:tcPr>
        <w:tcBorders>
          <w:top w:val="double" w:sz="4" w:space="0" w:color="408AB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1D2" w:themeColor="accent2"/>
          <w:right w:val="single" w:sz="4" w:space="0" w:color="80B1D2" w:themeColor="accent2"/>
        </w:tcBorders>
      </w:tcPr>
    </w:tblStylePr>
    <w:tblStylePr w:type="band1Horz">
      <w:tblPr/>
      <w:tcPr>
        <w:tcBorders>
          <w:top w:val="single" w:sz="4" w:space="0" w:color="80B1D2" w:themeColor="accent2"/>
          <w:bottom w:val="single" w:sz="4" w:space="0" w:color="80B1D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1D2" w:themeColor="accent2"/>
          <w:left w:val="nil"/>
        </w:tcBorders>
      </w:tcPr>
    </w:tblStylePr>
    <w:tblStylePr w:type="swCell">
      <w:tblPr/>
      <w:tcPr>
        <w:tcBorders>
          <w:top w:val="double" w:sz="4" w:space="0" w:color="80B1D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8E8" w:themeColor="accent3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8E8" w:themeColor="accent3"/>
          <w:right w:val="single" w:sz="4" w:space="0" w:color="BFD8E8" w:themeColor="accent3"/>
        </w:tcBorders>
      </w:tcPr>
    </w:tblStylePr>
    <w:tblStylePr w:type="band1Horz">
      <w:tblPr/>
      <w:tcPr>
        <w:tcBorders>
          <w:top w:val="single" w:sz="4" w:space="0" w:color="BFD8E8" w:themeColor="accent3"/>
          <w:bottom w:val="single" w:sz="4" w:space="0" w:color="BFD8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8E8" w:themeColor="accent3"/>
          <w:left w:val="nil"/>
        </w:tcBorders>
      </w:tcPr>
    </w:tblStylePr>
    <w:tblStylePr w:type="swCell">
      <w:tblPr/>
      <w:tcPr>
        <w:tcBorders>
          <w:top w:val="double" w:sz="4" w:space="0" w:color="BFD8E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8ABB" w:themeColor="accent1"/>
        <w:left w:val="single" w:sz="24" w:space="0" w:color="408ABB" w:themeColor="accent1"/>
        <w:bottom w:val="single" w:sz="24" w:space="0" w:color="408ABB" w:themeColor="accent1"/>
        <w:right w:val="single" w:sz="24" w:space="0" w:color="408ABB" w:themeColor="accent1"/>
      </w:tblBorders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1D2" w:themeColor="accent2"/>
        <w:left w:val="single" w:sz="24" w:space="0" w:color="80B1D2" w:themeColor="accent2"/>
        <w:bottom w:val="single" w:sz="24" w:space="0" w:color="80B1D2" w:themeColor="accent2"/>
        <w:right w:val="single" w:sz="24" w:space="0" w:color="80B1D2" w:themeColor="accent2"/>
      </w:tblBorders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8E8" w:themeColor="accent3"/>
        <w:left w:val="single" w:sz="24" w:space="0" w:color="BFD8E8" w:themeColor="accent3"/>
        <w:bottom w:val="single" w:sz="24" w:space="0" w:color="BFD8E8" w:themeColor="accent3"/>
        <w:right w:val="single" w:sz="24" w:space="0" w:color="BFD8E8" w:themeColor="accent3"/>
      </w:tblBorders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408ABB" w:themeColor="accent1"/>
        <w:bottom w:val="single" w:sz="4" w:space="0" w:color="408A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8A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80B1D2" w:themeColor="accent2"/>
        <w:bottom w:val="single" w:sz="4" w:space="0" w:color="80B1D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1D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BFD8E8" w:themeColor="accent3"/>
        <w:bottom w:val="single" w:sz="4" w:space="0" w:color="BFD8E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8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8A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8A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8A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8A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1D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1D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1D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1D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8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8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8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8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  <w:insideV w:val="single" w:sz="8" w:space="0" w:color="6EA7CD" w:themeColor="accent1" w:themeTint="BF"/>
      </w:tblBorders>
    </w:tblPr>
    <w:tcPr>
      <w:shd w:val="clear" w:color="auto" w:fill="CFE2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A7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  <w:insideV w:val="single" w:sz="8" w:space="0" w:color="9FC4DD" w:themeColor="accent2" w:themeTint="BF"/>
      </w:tblBorders>
    </w:tblPr>
    <w:tcPr>
      <w:shd w:val="clear" w:color="auto" w:fill="DFEB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4D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  <w:insideV w:val="single" w:sz="8" w:space="0" w:color="CEE1ED" w:themeColor="accent3" w:themeTint="BF"/>
      </w:tblBorders>
    </w:tblPr>
    <w:tcPr>
      <w:shd w:val="clear" w:color="auto" w:fill="EFF5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cPr>
      <w:shd w:val="clear" w:color="auto" w:fill="CFE2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F1" w:themeFill="accent1" w:themeFillTint="33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tcBorders>
          <w:insideH w:val="single" w:sz="6" w:space="0" w:color="408ABB" w:themeColor="accent1"/>
          <w:insideV w:val="single" w:sz="6" w:space="0" w:color="408ABB" w:themeColor="accent1"/>
        </w:tcBorders>
        <w:shd w:val="clear" w:color="auto" w:fill="9EC4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cPr>
      <w:shd w:val="clear" w:color="auto" w:fill="DFEB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F6" w:themeFill="accent2" w:themeFillTint="33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tcBorders>
          <w:insideH w:val="single" w:sz="6" w:space="0" w:color="80B1D2" w:themeColor="accent2"/>
          <w:insideV w:val="single" w:sz="6" w:space="0" w:color="80B1D2" w:themeColor="accent2"/>
        </w:tcBorders>
        <w:shd w:val="clear" w:color="auto" w:fill="BFD8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cPr>
      <w:shd w:val="clear" w:color="auto" w:fill="EFF5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FA" w:themeFill="accent3" w:themeFillTint="33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tcBorders>
          <w:insideH w:val="single" w:sz="6" w:space="0" w:color="BFD8E8" w:themeColor="accent3"/>
          <w:insideV w:val="single" w:sz="6" w:space="0" w:color="BFD8E8" w:themeColor="accent3"/>
        </w:tcBorders>
        <w:shd w:val="clear" w:color="auto" w:fill="DFEB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2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B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8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8ABB" w:themeColor="accen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shd w:val="clear" w:color="auto" w:fill="CFE2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1D2" w:themeColor="accent2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shd w:val="clear" w:color="auto" w:fill="DFEB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8E8" w:themeColor="accent3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shd w:val="clear" w:color="auto" w:fill="EFF5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8A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8A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8A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8A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2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1D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1D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1D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B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8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8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8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2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B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D76AD4"/>
    <w:pPr>
      <w:spacing w:before="100" w:after="100"/>
    </w:pPr>
  </w:style>
  <w:style w:type="paragraph" w:customStyle="1" w:styleId="PulloutHeading">
    <w:name w:val="Pullout Heading"/>
    <w:basedOn w:val="PulloutText"/>
    <w:next w:val="PulloutText"/>
    <w:uiPriority w:val="1"/>
    <w:qFormat/>
    <w:rsid w:val="00D76AD4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character" w:styleId="UnresolvedMention">
    <w:name w:val="Unresolved Mention"/>
    <w:basedOn w:val="DefaultParagraphFont"/>
    <w:uiPriority w:val="99"/>
    <w:semiHidden/>
    <w:unhideWhenUsed/>
    <w:rsid w:val="009114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1"/>
    <w:semiHidden/>
    <w:unhideWhenUsed/>
    <w:rsid w:val="00027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02714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02714E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027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027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CV BCV">
  <a:themeElements>
    <a:clrScheme name="SCV BCV">
      <a:dk1>
        <a:srgbClr val="000000"/>
      </a:dk1>
      <a:lt1>
        <a:srgbClr val="FFFFFF"/>
      </a:lt1>
      <a:dk2>
        <a:srgbClr val="0063A5"/>
      </a:dk2>
      <a:lt2>
        <a:srgbClr val="E6EFF6"/>
      </a:lt2>
      <a:accent1>
        <a:srgbClr val="408ABB"/>
      </a:accent1>
      <a:accent2>
        <a:srgbClr val="80B1D2"/>
      </a:accent2>
      <a:accent3>
        <a:srgbClr val="BFD8E8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63A5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Vic Gov Blue 100%">
      <a:srgbClr val="0063A5"/>
    </a:custClr>
    <a:custClr name="vic Gov Blue 70%">
      <a:srgbClr val="4D92C0"/>
    </a:custClr>
    <a:custClr name="Vic Gov Blue 20%">
      <a:srgbClr val="CCE0ED"/>
    </a:custClr>
    <a:custClr name="Yellow 100%">
      <a:srgbClr val="FAB662"/>
    </a:custClr>
    <a:custClr name="Yellow 75%">
      <a:srgbClr val="FAB157"/>
    </a:custClr>
    <a:custClr name="Yellow 50%">
      <a:srgbClr val="FBCB8F"/>
    </a:custClr>
    <a:custClr name="Yellow 20%">
      <a:srgbClr val="FEEAD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5D30-4C3C-4EFE-A33E-BA6D2B49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 Bridging the gaps in health using telehealth for people with young onset dementia</dc:title>
  <dc:subject/>
  <dc:creator>Safer Care Victoria</dc:creator>
  <cp:keywords>Safer Care Victoria, Better Care Victoria Innovation Fund, Better Care Victoria, Innovation Fund, BCV, SCV, innovation project, healthcare innovation, healthcare, innovation</cp:keywords>
  <cp:lastModifiedBy/>
  <cp:revision>1</cp:revision>
  <dcterms:created xsi:type="dcterms:W3CDTF">2020-12-18T06:48:00Z</dcterms:created>
  <dcterms:modified xsi:type="dcterms:W3CDTF">2020-12-18T06:49:00Z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2020-12-18T06:49:13Z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c6e23547-71fb-4c31-8e7a-3cd085c7752d</vt:lpwstr>
  </property>
  <property fmtid="{D5CDD505-2E9C-101B-9397-08002B2CF9AE}" pid="8" name="MSIP_Label_efdf5488-3066-4b6c-8fea-9472b8a1f34c_ContentBits">
    <vt:lpwstr>0</vt:lpwstr>
  </property>
</Properties>
</file>