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29D13" w14:textId="44903EE7" w:rsidR="00A46288" w:rsidRPr="00DA3F36" w:rsidRDefault="001D78CA" w:rsidP="00E31984">
      <w:pPr>
        <w:pStyle w:val="Title"/>
        <w:pageBreakBefore/>
      </w:pPr>
      <w:bookmarkStart w:id="0" w:name="_GoBack"/>
      <w:bookmarkEnd w:id="0"/>
      <w:r>
        <w:t xml:space="preserve">Improving communication and care for </w:t>
      </w:r>
      <w:r w:rsidR="00BD163B">
        <w:t xml:space="preserve">linguistically diverse </w:t>
      </w:r>
      <w:r w:rsidR="00D07F1B">
        <w:t>patients</w:t>
      </w:r>
    </w:p>
    <w:p w14:paraId="6800B4C5" w14:textId="1A6876A8" w:rsidR="00897157" w:rsidRDefault="00D07F1B" w:rsidP="00E03F35">
      <w:pPr>
        <w:pStyle w:val="IntroductoryText"/>
      </w:pPr>
      <w:r w:rsidRPr="00D07F1B">
        <w:t xml:space="preserve">Interpreters help ensure appropriate and timely care by </w:t>
      </w:r>
      <w:r w:rsidR="00794DD3">
        <w:t xml:space="preserve">facilitating clear communication </w:t>
      </w:r>
      <w:r w:rsidRPr="00D07F1B">
        <w:t>between clinicians and patients</w:t>
      </w:r>
      <w:r w:rsidR="00794DD3">
        <w:t xml:space="preserve"> </w:t>
      </w:r>
      <w:r w:rsidR="00BD163B">
        <w:t xml:space="preserve">who </w:t>
      </w:r>
      <w:r w:rsidR="00794DD3">
        <w:t xml:space="preserve">speak </w:t>
      </w:r>
      <w:r w:rsidR="00BD163B">
        <w:t xml:space="preserve">a different </w:t>
      </w:r>
      <w:r w:rsidR="00794DD3">
        <w:t>language</w:t>
      </w:r>
      <w:r w:rsidRPr="00D07F1B">
        <w:t xml:space="preserve">. </w:t>
      </w:r>
      <w:r w:rsidR="000E6FBB">
        <w:t xml:space="preserve">However, an interpreter </w:t>
      </w:r>
      <w:r w:rsidRPr="00D07F1B">
        <w:t xml:space="preserve">is not always </w:t>
      </w:r>
      <w:r w:rsidR="000E6FBB">
        <w:t xml:space="preserve">available </w:t>
      </w:r>
      <w:r w:rsidRPr="00D07F1B">
        <w:t xml:space="preserve">or appropriate </w:t>
      </w:r>
      <w:r w:rsidR="000E6FBB">
        <w:t xml:space="preserve">to use in </w:t>
      </w:r>
      <w:r w:rsidRPr="00D07F1B">
        <w:t xml:space="preserve">brief, daily care interactions. Western Health developed and implemented </w:t>
      </w:r>
      <w:r w:rsidR="000E6FBB">
        <w:t xml:space="preserve">a </w:t>
      </w:r>
      <w:r w:rsidR="00794DD3">
        <w:t xml:space="preserve">new </w:t>
      </w:r>
      <w:r w:rsidR="000E6FBB">
        <w:t xml:space="preserve">module </w:t>
      </w:r>
      <w:r w:rsidR="00794DD3">
        <w:t xml:space="preserve">for </w:t>
      </w:r>
      <w:r w:rsidR="000E6FBB">
        <w:t xml:space="preserve">its </w:t>
      </w:r>
      <w:r w:rsidRPr="00D07F1B">
        <w:t>CALD Assist</w:t>
      </w:r>
      <w:r w:rsidR="000E6FBB">
        <w:t xml:space="preserve"> app to improve communication </w:t>
      </w:r>
      <w:r w:rsidR="00794DD3">
        <w:t xml:space="preserve">with </w:t>
      </w:r>
      <w:r w:rsidR="00794DD3" w:rsidRPr="000E6FBB">
        <w:t xml:space="preserve">culturally and linguistically diverse </w:t>
      </w:r>
      <w:r w:rsidR="00794DD3" w:rsidRPr="00D07F1B">
        <w:t>patients</w:t>
      </w:r>
      <w:r w:rsidR="00794DD3">
        <w:t xml:space="preserve"> </w:t>
      </w:r>
      <w:r w:rsidR="000E6FBB">
        <w:t xml:space="preserve">during </w:t>
      </w:r>
      <w:r w:rsidRPr="00D07F1B">
        <w:t>common day-to-day nurse and patient interactions.</w:t>
      </w:r>
    </w:p>
    <w:p w14:paraId="7E23E5B8" w14:textId="77777777" w:rsidR="007A4444" w:rsidRDefault="007A4444" w:rsidP="007A4444">
      <w:pPr>
        <w:pStyle w:val="NoSpacing"/>
      </w:pPr>
    </w:p>
    <w:p w14:paraId="4230C339" w14:textId="77777777" w:rsidR="007A4444" w:rsidRDefault="007A4444" w:rsidP="00794CB7">
      <w:pPr>
        <w:sectPr w:rsidR="007A4444" w:rsidSect="00435805">
          <w:footerReference w:type="default" r:id="rId8"/>
          <w:headerReference w:type="first" r:id="rId9"/>
          <w:type w:val="continuous"/>
          <w:pgSz w:w="11906" w:h="16838" w:code="9"/>
          <w:pgMar w:top="2438" w:right="737" w:bottom="680" w:left="737" w:header="539" w:footer="624" w:gutter="0"/>
          <w:cols w:space="284"/>
          <w:titlePg/>
          <w:docGrid w:linePitch="360"/>
        </w:sectPr>
      </w:pPr>
    </w:p>
    <w:p w14:paraId="08B76A1A" w14:textId="30D2B9DC" w:rsidR="00911408" w:rsidRDefault="000C515F" w:rsidP="00911408">
      <w:pPr>
        <w:pStyle w:val="Heading2"/>
      </w:pPr>
      <w:r>
        <w:t>Background</w:t>
      </w:r>
    </w:p>
    <w:p w14:paraId="58B26408" w14:textId="02415025" w:rsidR="00A50C8C" w:rsidRPr="001D78CA" w:rsidRDefault="00A50C8C" w:rsidP="001D78CA">
      <w:pPr>
        <w:pStyle w:val="Normalfollowingheading"/>
      </w:pPr>
      <w:r w:rsidRPr="001D78CA">
        <w:t>The Victorian communities served by Western Health</w:t>
      </w:r>
      <w:r w:rsidR="00E87982" w:rsidRPr="001D78CA">
        <w:t xml:space="preserve"> (WH)</w:t>
      </w:r>
      <w:r w:rsidRPr="001D78CA">
        <w:t xml:space="preserve"> have some of the highest levels of socioeconomic and cultural diversity in Australia. As a result, interpreter services</w:t>
      </w:r>
      <w:r w:rsidR="003F4D46" w:rsidRPr="001D78CA">
        <w:t xml:space="preserve"> are in high demand at the health service – demand </w:t>
      </w:r>
      <w:r w:rsidR="00124C3C" w:rsidRPr="001D78CA">
        <w:t xml:space="preserve">that </w:t>
      </w:r>
      <w:r w:rsidR="003F4D46" w:rsidRPr="001D78CA">
        <w:t xml:space="preserve">sometimes exceeds the </w:t>
      </w:r>
      <w:r w:rsidR="00124C3C" w:rsidRPr="001D78CA">
        <w:t>number of available qualified interpreters</w:t>
      </w:r>
      <w:r w:rsidRPr="001D78CA">
        <w:t xml:space="preserve">. </w:t>
      </w:r>
    </w:p>
    <w:p w14:paraId="004B09B6" w14:textId="286D60FC" w:rsidR="00B120EA" w:rsidRPr="001D78CA" w:rsidRDefault="00B120EA" w:rsidP="001D78CA">
      <w:pPr>
        <w:pStyle w:val="Normalfollowingheading"/>
      </w:pPr>
      <w:r w:rsidRPr="001D78CA">
        <w:t>Nursing staff may use interpreters during patient assessment and to support consent and discharge</w:t>
      </w:r>
      <w:r w:rsidR="009255CF" w:rsidRPr="001D78CA">
        <w:t>. H</w:t>
      </w:r>
      <w:r w:rsidRPr="001D78CA">
        <w:t>owever</w:t>
      </w:r>
      <w:r w:rsidR="009255CF" w:rsidRPr="001D78CA">
        <w:t>,</w:t>
      </w:r>
      <w:r w:rsidRPr="001D78CA">
        <w:t xml:space="preserve"> </w:t>
      </w:r>
      <w:r w:rsidR="009255CF" w:rsidRPr="001D78CA">
        <w:t xml:space="preserve">interpreter </w:t>
      </w:r>
      <w:r w:rsidRPr="001D78CA">
        <w:t>services are not always possible or practical to use in other common nurse-patient interactions</w:t>
      </w:r>
      <w:r w:rsidR="009255CF" w:rsidRPr="001D78CA">
        <w:t>, such as for basic but essential daily care tasks</w:t>
      </w:r>
      <w:r w:rsidR="00BD163B" w:rsidRPr="001D78CA">
        <w:t xml:space="preserve">. These </w:t>
      </w:r>
      <w:r w:rsidR="009255CF" w:rsidRPr="001D78CA">
        <w:t>tend to be more frequent and shorter in duration</w:t>
      </w:r>
      <w:r w:rsidR="00BD163B" w:rsidRPr="001D78CA">
        <w:t xml:space="preserve">. Examples include </w:t>
      </w:r>
      <w:r w:rsidR="009255CF" w:rsidRPr="001D78CA">
        <w:t xml:space="preserve">providing </w:t>
      </w:r>
      <w:r w:rsidRPr="001D78CA">
        <w:t>support with eating and drinking, checking if the patient needs pain medication or to use the bathroom, and prompt</w:t>
      </w:r>
      <w:r w:rsidR="009255CF" w:rsidRPr="001D78CA">
        <w:t xml:space="preserve">ing them to </w:t>
      </w:r>
      <w:r w:rsidRPr="001D78CA">
        <w:t xml:space="preserve">change position in bed. </w:t>
      </w:r>
    </w:p>
    <w:p w14:paraId="57E606BC" w14:textId="2AC5E7AC" w:rsidR="00B120EA" w:rsidRPr="001D78CA" w:rsidRDefault="00124C3C" w:rsidP="001D78CA">
      <w:pPr>
        <w:pStyle w:val="Normalfollowingheading"/>
      </w:pPr>
      <w:r w:rsidRPr="001D78CA">
        <w:t xml:space="preserve">Being unable to communicate directly </w:t>
      </w:r>
      <w:r w:rsidR="00A50C8C" w:rsidRPr="001D78CA">
        <w:t xml:space="preserve">with </w:t>
      </w:r>
      <w:r w:rsidRPr="001D78CA">
        <w:t xml:space="preserve">a </w:t>
      </w:r>
      <w:r w:rsidR="00A50C8C" w:rsidRPr="001D78CA">
        <w:t>patient</w:t>
      </w:r>
      <w:r w:rsidRPr="001D78CA">
        <w:t xml:space="preserve"> can impact a clinician’s ability to </w:t>
      </w:r>
      <w:r w:rsidR="00A50C8C" w:rsidRPr="001D78CA">
        <w:t xml:space="preserve">assess and respond to </w:t>
      </w:r>
      <w:r w:rsidRPr="001D78CA">
        <w:t xml:space="preserve">that </w:t>
      </w:r>
      <w:r w:rsidR="00A50C8C" w:rsidRPr="001D78CA">
        <w:t>patient</w:t>
      </w:r>
      <w:r w:rsidRPr="001D78CA">
        <w:t>’s</w:t>
      </w:r>
      <w:r w:rsidR="00A50C8C" w:rsidRPr="001D78CA">
        <w:t xml:space="preserve"> needs</w:t>
      </w:r>
      <w:r w:rsidR="00B120EA" w:rsidRPr="001D78CA">
        <w:t>,</w:t>
      </w:r>
      <w:r w:rsidRPr="001D78CA">
        <w:t xml:space="preserve"> which</w:t>
      </w:r>
      <w:r w:rsidR="00B120EA" w:rsidRPr="001D78CA">
        <w:t xml:space="preserve"> can then</w:t>
      </w:r>
      <w:r w:rsidRPr="001D78CA">
        <w:t xml:space="preserve"> impact</w:t>
      </w:r>
      <w:r w:rsidR="00B120EA" w:rsidRPr="001D78CA">
        <w:t xml:space="preserve"> </w:t>
      </w:r>
      <w:r w:rsidRPr="001D78CA">
        <w:t xml:space="preserve">the </w:t>
      </w:r>
      <w:r w:rsidR="00A50C8C" w:rsidRPr="001D78CA">
        <w:t>patient</w:t>
      </w:r>
      <w:r w:rsidRPr="001D78CA">
        <w:t>’s</w:t>
      </w:r>
      <w:r w:rsidR="00A50C8C" w:rsidRPr="001D78CA">
        <w:t xml:space="preserve"> care and experience.</w:t>
      </w:r>
      <w:r w:rsidR="00B120EA" w:rsidRPr="001D78CA">
        <w:t xml:space="preserve"> </w:t>
      </w:r>
    </w:p>
    <w:p w14:paraId="578F43F4" w14:textId="74920AC0" w:rsidR="00851642" w:rsidRPr="001D78CA" w:rsidRDefault="00970F28" w:rsidP="001D78CA">
      <w:pPr>
        <w:pStyle w:val="Normalfollowingheading"/>
      </w:pPr>
      <w:r w:rsidRPr="001D78CA">
        <w:t xml:space="preserve">In 2014, </w:t>
      </w:r>
      <w:r w:rsidR="00C602DF" w:rsidRPr="001D78CA">
        <w:t xml:space="preserve">WH </w:t>
      </w:r>
      <w:r w:rsidRPr="001D78CA">
        <w:t>and the Commonwealth Scientific and Industrial Research Organisation (CSIRO) developed a mobile app known as CALD Assist to help with initial allied health assessments when interpreters were not present.</w:t>
      </w:r>
      <w:r w:rsidR="00C602DF" w:rsidRPr="001D78CA">
        <w:t xml:space="preserve"> WH </w:t>
      </w:r>
      <w:r w:rsidRPr="001D78CA">
        <w:t>aimed to create a new module for the app with nursing-specific content</w:t>
      </w:r>
      <w:r w:rsidR="00BD163B" w:rsidRPr="001D78CA">
        <w:t xml:space="preserve"> to </w:t>
      </w:r>
      <w:r w:rsidRPr="001D78CA">
        <w:t xml:space="preserve">enable staff to better meet the needs of their culturally and linguistically diverse (CALD) patients, reduce variance in practice, and provide a more positive experience by engaging patients in making decisions about their own care. </w:t>
      </w:r>
    </w:p>
    <w:p w14:paraId="444E5032" w14:textId="25A5753C" w:rsidR="00EC7F2A" w:rsidRPr="00C821CE" w:rsidRDefault="00C7098C" w:rsidP="00851642">
      <w:pPr>
        <w:pStyle w:val="Normalfollowingheading"/>
        <w:rPr>
          <w:i/>
          <w:iCs/>
        </w:rPr>
      </w:pPr>
      <w:r w:rsidRPr="00C821CE">
        <w:rPr>
          <w:i/>
          <w:iCs/>
          <w:noProof/>
        </w:rPr>
        <mc:AlternateContent>
          <mc:Choice Requires="wps">
            <w:drawing>
              <wp:inline distT="0" distB="0" distL="0" distR="0" wp14:anchorId="7E5AC192" wp14:editId="3180BC98">
                <wp:extent cx="3230245" cy="4543425"/>
                <wp:effectExtent l="0" t="0" r="27305"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4543425"/>
                        </a:xfrm>
                        <a:prstGeom prst="rect">
                          <a:avLst/>
                        </a:prstGeom>
                        <a:solidFill>
                          <a:srgbClr val="FEEAD2"/>
                        </a:solidFill>
                        <a:ln w="6350">
                          <a:solidFill>
                            <a:srgbClr val="FEEAD2"/>
                          </a:solidFill>
                          <a:miter lim="800000"/>
                          <a:headEnd/>
                          <a:tailEnd/>
                        </a:ln>
                      </wps:spPr>
                      <wps:txbx>
                        <w:txbxContent>
                          <w:p w14:paraId="14988FB7" w14:textId="69F7AE8D" w:rsidR="00C7098C" w:rsidRPr="004D6898" w:rsidRDefault="00A50C8C" w:rsidP="00C7098C">
                            <w:pPr>
                              <w:pStyle w:val="PulloutHeading"/>
                            </w:pPr>
                            <w:r w:rsidRPr="00A50C8C">
                              <w:t xml:space="preserve">CALD Assist: </w:t>
                            </w:r>
                            <w:r w:rsidR="00970F28">
                              <w:t>n</w:t>
                            </w:r>
                            <w:r w:rsidRPr="00A50C8C">
                              <w:t>ursing</w:t>
                            </w:r>
                          </w:p>
                          <w:p w14:paraId="3BCE2E88" w14:textId="376F377E" w:rsidR="00C7098C" w:rsidRDefault="00C7098C" w:rsidP="00C7098C">
                            <w:pPr>
                              <w:pStyle w:val="PulloutText"/>
                            </w:pPr>
                            <w:r w:rsidRPr="00186B39">
                              <w:rPr>
                                <w:b/>
                                <w:bCs/>
                              </w:rPr>
                              <w:t>Lead</w:t>
                            </w:r>
                            <w:r>
                              <w:t xml:space="preserve"> </w:t>
                            </w:r>
                            <w:r w:rsidR="00A50C8C">
                              <w:t xml:space="preserve">Western Health </w:t>
                            </w:r>
                          </w:p>
                          <w:p w14:paraId="6FDBE315" w14:textId="48639DF0" w:rsidR="00C7098C" w:rsidRPr="00A50C8C" w:rsidRDefault="00C7098C" w:rsidP="00C7098C">
                            <w:pPr>
                              <w:pStyle w:val="PulloutText"/>
                            </w:pPr>
                            <w:r w:rsidRPr="00911408">
                              <w:rPr>
                                <w:b/>
                                <w:bCs/>
                              </w:rPr>
                              <w:t>Partner</w:t>
                            </w:r>
                            <w:r w:rsidR="00A50C8C">
                              <w:rPr>
                                <w:b/>
                                <w:bCs/>
                              </w:rPr>
                              <w:t xml:space="preserve"> </w:t>
                            </w:r>
                            <w:r w:rsidR="00A50C8C">
                              <w:t>C</w:t>
                            </w:r>
                            <w:r w:rsidR="00A50C8C" w:rsidRPr="00A50C8C">
                              <w:t>ommonwealth Scientific and Industrial Research Organisation (CSIRO)</w:t>
                            </w:r>
                          </w:p>
                          <w:p w14:paraId="59A54D14" w14:textId="3B5B1428" w:rsidR="00C7098C" w:rsidRPr="00A50C8C" w:rsidRDefault="00186B39" w:rsidP="00C7098C">
                            <w:pPr>
                              <w:pStyle w:val="PulloutText"/>
                            </w:pPr>
                            <w:r>
                              <w:rPr>
                                <w:b/>
                                <w:bCs/>
                              </w:rPr>
                              <w:t>Duration</w:t>
                            </w:r>
                            <w:r w:rsidR="00A50C8C">
                              <w:rPr>
                                <w:b/>
                                <w:bCs/>
                              </w:rPr>
                              <w:t xml:space="preserve"> </w:t>
                            </w:r>
                            <w:r w:rsidR="00A50C8C">
                              <w:t>October 2016 – December 2017</w:t>
                            </w:r>
                          </w:p>
                          <w:p w14:paraId="29DC0549" w14:textId="2A2EBA53" w:rsidR="00C7098C" w:rsidRDefault="00C7098C" w:rsidP="00C7098C">
                            <w:pPr>
                              <w:pStyle w:val="PulloutText"/>
                              <w:rPr>
                                <w:b/>
                                <w:bCs/>
                              </w:rPr>
                            </w:pPr>
                            <w:r w:rsidRPr="00911408">
                              <w:rPr>
                                <w:b/>
                                <w:bCs/>
                              </w:rPr>
                              <w:t xml:space="preserve">Key </w:t>
                            </w:r>
                            <w:r w:rsidR="00BC07DF">
                              <w:rPr>
                                <w:b/>
                                <w:bCs/>
                              </w:rPr>
                              <w:t>outcomes</w:t>
                            </w:r>
                          </w:p>
                          <w:p w14:paraId="5DAEC25D" w14:textId="6EB957C4" w:rsidR="007A3A06" w:rsidRPr="001D78CA" w:rsidRDefault="007A3A06" w:rsidP="001D78CA">
                            <w:pPr>
                              <w:pStyle w:val="Bullet1"/>
                            </w:pPr>
                            <w:r>
                              <w:t xml:space="preserve">Developed a new nursing </w:t>
                            </w:r>
                            <w:r w:rsidRPr="001D78CA">
                              <w:t xml:space="preserve">module for the CALD Assist app </w:t>
                            </w:r>
                            <w:r w:rsidR="00BD163B" w:rsidRPr="001D78CA">
                              <w:t xml:space="preserve">with </w:t>
                            </w:r>
                            <w:r w:rsidRPr="001D78CA">
                              <w:t>143 phrases translated into 11 languages to assist daily nursing-patient interactions</w:t>
                            </w:r>
                          </w:p>
                          <w:p w14:paraId="0E36BC49" w14:textId="24E299F1" w:rsidR="007A3A06" w:rsidRPr="001D78CA" w:rsidRDefault="007A3A06" w:rsidP="001D78CA">
                            <w:pPr>
                              <w:pStyle w:val="Bullet1"/>
                            </w:pPr>
                            <w:r w:rsidRPr="001D78CA">
                              <w:t>Received feedback from staff</w:t>
                            </w:r>
                            <w:r w:rsidR="004D75A2" w:rsidRPr="001D78CA">
                              <w:t xml:space="preserve"> saying the app </w:t>
                            </w:r>
                            <w:r w:rsidR="00BD163B" w:rsidRPr="001D78CA">
                              <w:t xml:space="preserve">increased the success of their </w:t>
                            </w:r>
                            <w:r w:rsidR="004D75A2" w:rsidRPr="001D78CA">
                              <w:t>CALD patient</w:t>
                            </w:r>
                            <w:r w:rsidR="005071AB" w:rsidRPr="001D78CA">
                              <w:t xml:space="preserve"> interactions</w:t>
                            </w:r>
                            <w:r w:rsidRPr="001D78CA">
                              <w:t xml:space="preserve">, with 90 per cent </w:t>
                            </w:r>
                            <w:r w:rsidR="004D75A2" w:rsidRPr="001D78CA">
                              <w:t xml:space="preserve">saying </w:t>
                            </w:r>
                            <w:r w:rsidRPr="001D78CA">
                              <w:t xml:space="preserve">the app </w:t>
                            </w:r>
                            <w:r w:rsidR="004D75A2" w:rsidRPr="001D78CA">
                              <w:t xml:space="preserve">was </w:t>
                            </w:r>
                            <w:r w:rsidRPr="001D78CA">
                              <w:t xml:space="preserve">useful </w:t>
                            </w:r>
                            <w:r w:rsidR="00BD163B" w:rsidRPr="001D78CA">
                              <w:t>for communicating with this group</w:t>
                            </w:r>
                          </w:p>
                          <w:p w14:paraId="1BF225EA" w14:textId="282B2414" w:rsidR="007A3A06" w:rsidRPr="001D78CA" w:rsidRDefault="004D75A2" w:rsidP="001D78CA">
                            <w:pPr>
                              <w:pStyle w:val="Bullet1"/>
                            </w:pPr>
                            <w:r w:rsidRPr="001D78CA">
                              <w:t>Received positive feedback from patients and families, with s</w:t>
                            </w:r>
                            <w:r w:rsidR="007A3A06" w:rsidRPr="001D78CA">
                              <w:t xml:space="preserve">ix of seven CALD patients who provided feedback </w:t>
                            </w:r>
                            <w:r w:rsidRPr="001D78CA">
                              <w:t xml:space="preserve">saying it </w:t>
                            </w:r>
                            <w:r w:rsidR="007A3A06" w:rsidRPr="001D78CA">
                              <w:t>helped their nurse understand their needs</w:t>
                            </w:r>
                          </w:p>
                          <w:p w14:paraId="0BAECA43" w14:textId="10D41D10" w:rsidR="007A3A06" w:rsidRPr="001D78CA" w:rsidRDefault="00BD163B" w:rsidP="001D78CA">
                            <w:pPr>
                              <w:pStyle w:val="Bullet1"/>
                            </w:pPr>
                            <w:r w:rsidRPr="001D78CA">
                              <w:t xml:space="preserve">Released the </w:t>
                            </w:r>
                            <w:r w:rsidR="007A3A06" w:rsidRPr="001D78CA">
                              <w:t>CALD Assist app on the Apple App Store</w:t>
                            </w:r>
                            <w:r w:rsidRPr="001D78CA">
                              <w:t>, making it freely available</w:t>
                            </w:r>
                            <w:r w:rsidR="007A3A06" w:rsidRPr="001D78CA">
                              <w:t xml:space="preserve"> for other health services to </w:t>
                            </w:r>
                            <w:r w:rsidRPr="001D78CA">
                              <w:t xml:space="preserve">download and </w:t>
                            </w:r>
                            <w:r w:rsidR="007A3A06" w:rsidRPr="001D78CA">
                              <w:t>use</w:t>
                            </w:r>
                          </w:p>
                        </w:txbxContent>
                      </wps:txbx>
                      <wps:bodyPr rot="0" vert="horz" wrap="square" lIns="180000" tIns="180000" rIns="144000" bIns="36000" anchor="t" anchorCtr="0">
                        <a:noAutofit/>
                      </wps:bodyPr>
                    </wps:wsp>
                  </a:graphicData>
                </a:graphic>
              </wp:inline>
            </w:drawing>
          </mc:Choice>
          <mc:Fallback>
            <w:pict>
              <v:shapetype w14:anchorId="7E5AC192" id="_x0000_t202" coordsize="21600,21600" o:spt="202" path="m,l,21600r21600,l21600,xe">
                <v:stroke joinstyle="miter"/>
                <v:path gradientshapeok="t" o:connecttype="rect"/>
              </v:shapetype>
              <v:shape id="Text Box 2" o:spid="_x0000_s1026" type="#_x0000_t202" style="width:254.35pt;height:3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" fillcolor="#feead2" strokecolor="#feead2" strokeweight=".5pt">
                <v:textbox inset="5mm,5mm,4mm,1mm">
                  <w:txbxContent>
                    <w:p w14:paraId="14988FB7" w14:textId="69F7AE8D" w:rsidR="00C7098C" w:rsidRPr="004D6898" w:rsidRDefault="00A50C8C" w:rsidP="00C7098C">
                      <w:pPr>
                        <w:pStyle w:val="PulloutHeading"/>
                      </w:pPr>
                      <w:r w:rsidRPr="00A50C8C">
                        <w:t xml:space="preserve">CALD Assist: </w:t>
                      </w:r>
                      <w:r w:rsidR="00970F28">
                        <w:t>n</w:t>
                      </w:r>
                      <w:r w:rsidRPr="00A50C8C">
                        <w:t>ursing</w:t>
                      </w:r>
                    </w:p>
                    <w:p w14:paraId="3BCE2E88" w14:textId="376F377E" w:rsidR="00C7098C" w:rsidRDefault="00C7098C" w:rsidP="00C7098C">
                      <w:pPr>
                        <w:pStyle w:val="PulloutText"/>
                      </w:pPr>
                      <w:r w:rsidRPr="00186B39">
                        <w:rPr>
                          <w:b/>
                          <w:bCs/>
                        </w:rPr>
                        <w:t>Lead</w:t>
                      </w:r>
                      <w:r>
                        <w:t xml:space="preserve"> </w:t>
                      </w:r>
                      <w:r w:rsidR="00A50C8C">
                        <w:t xml:space="preserve">Western Health </w:t>
                      </w:r>
                    </w:p>
                    <w:p w14:paraId="6FDBE315" w14:textId="48639DF0" w:rsidR="00C7098C" w:rsidRPr="00A50C8C" w:rsidRDefault="00C7098C" w:rsidP="00C7098C">
                      <w:pPr>
                        <w:pStyle w:val="PulloutText"/>
                      </w:pPr>
                      <w:r w:rsidRPr="00911408">
                        <w:rPr>
                          <w:b/>
                          <w:bCs/>
                        </w:rPr>
                        <w:t>Partner</w:t>
                      </w:r>
                      <w:r w:rsidR="00A50C8C">
                        <w:rPr>
                          <w:b/>
                          <w:bCs/>
                        </w:rPr>
                        <w:t xml:space="preserve"> </w:t>
                      </w:r>
                      <w:r w:rsidR="00A50C8C">
                        <w:t>C</w:t>
                      </w:r>
                      <w:r w:rsidR="00A50C8C" w:rsidRPr="00A50C8C">
                        <w:t>ommonwealth Scientific and Industrial Research Organisation (CSIRO)</w:t>
                      </w:r>
                    </w:p>
                    <w:p w14:paraId="59A54D14" w14:textId="3B5B1428" w:rsidR="00C7098C" w:rsidRPr="00A50C8C" w:rsidRDefault="00186B39" w:rsidP="00C7098C">
                      <w:pPr>
                        <w:pStyle w:val="PulloutText"/>
                      </w:pPr>
                      <w:r>
                        <w:rPr>
                          <w:b/>
                          <w:bCs/>
                        </w:rPr>
                        <w:t>Duration</w:t>
                      </w:r>
                      <w:r w:rsidR="00A50C8C">
                        <w:rPr>
                          <w:b/>
                          <w:bCs/>
                        </w:rPr>
                        <w:t xml:space="preserve"> </w:t>
                      </w:r>
                      <w:r w:rsidR="00A50C8C">
                        <w:t>October 2016 – December 2017</w:t>
                      </w:r>
                    </w:p>
                    <w:p w14:paraId="29DC0549" w14:textId="2A2EBA53" w:rsidR="00C7098C" w:rsidRDefault="00C7098C" w:rsidP="00C7098C">
                      <w:pPr>
                        <w:pStyle w:val="PulloutText"/>
                        <w:rPr>
                          <w:b/>
                          <w:bCs/>
                        </w:rPr>
                      </w:pPr>
                      <w:r w:rsidRPr="00911408">
                        <w:rPr>
                          <w:b/>
                          <w:bCs/>
                        </w:rPr>
                        <w:t xml:space="preserve">Key </w:t>
                      </w:r>
                      <w:r w:rsidR="00BC07DF">
                        <w:rPr>
                          <w:b/>
                          <w:bCs/>
                        </w:rPr>
                        <w:t>outcomes</w:t>
                      </w:r>
                    </w:p>
                    <w:p w14:paraId="5DAEC25D" w14:textId="6EB957C4" w:rsidR="007A3A06" w:rsidRPr="001D78CA" w:rsidRDefault="007A3A06" w:rsidP="001D78CA">
                      <w:pPr>
                        <w:pStyle w:val="Bullet1"/>
                      </w:pPr>
                      <w:r>
                        <w:t xml:space="preserve">Developed a new nursing </w:t>
                      </w:r>
                      <w:r w:rsidRPr="001D78CA">
                        <w:t xml:space="preserve">module for the CALD Assist app </w:t>
                      </w:r>
                      <w:r w:rsidR="00BD163B" w:rsidRPr="001D78CA">
                        <w:t xml:space="preserve">with </w:t>
                      </w:r>
                      <w:r w:rsidRPr="001D78CA">
                        <w:t>143</w:t>
                      </w:r>
                      <w:r w:rsidRPr="001D78CA">
                        <w:t xml:space="preserve"> phrases translated into 11 languages to assist daily nursing-patient interactions</w:t>
                      </w:r>
                    </w:p>
                    <w:p w14:paraId="0E36BC49" w14:textId="24E299F1" w:rsidR="007A3A06" w:rsidRPr="001D78CA" w:rsidRDefault="007A3A06" w:rsidP="001D78CA">
                      <w:pPr>
                        <w:pStyle w:val="Bullet1"/>
                      </w:pPr>
                      <w:r w:rsidRPr="001D78CA">
                        <w:t>Received feedback from staff</w:t>
                      </w:r>
                      <w:r w:rsidR="004D75A2" w:rsidRPr="001D78CA">
                        <w:t xml:space="preserve"> saying the app </w:t>
                      </w:r>
                      <w:r w:rsidR="00BD163B" w:rsidRPr="001D78CA">
                        <w:t xml:space="preserve">increased the success of their </w:t>
                      </w:r>
                      <w:r w:rsidR="004D75A2" w:rsidRPr="001D78CA">
                        <w:t>CALD patient</w:t>
                      </w:r>
                      <w:r w:rsidR="005071AB" w:rsidRPr="001D78CA">
                        <w:t xml:space="preserve"> interactions</w:t>
                      </w:r>
                      <w:r w:rsidRPr="001D78CA">
                        <w:t xml:space="preserve">, with </w:t>
                      </w:r>
                      <w:r w:rsidRPr="001D78CA">
                        <w:t xml:space="preserve">90 per cent </w:t>
                      </w:r>
                      <w:r w:rsidR="004D75A2" w:rsidRPr="001D78CA">
                        <w:t xml:space="preserve">saying </w:t>
                      </w:r>
                      <w:r w:rsidRPr="001D78CA">
                        <w:t xml:space="preserve">the app </w:t>
                      </w:r>
                      <w:r w:rsidR="004D75A2" w:rsidRPr="001D78CA">
                        <w:t xml:space="preserve">was </w:t>
                      </w:r>
                      <w:r w:rsidRPr="001D78CA">
                        <w:t xml:space="preserve">useful </w:t>
                      </w:r>
                      <w:r w:rsidR="00BD163B" w:rsidRPr="001D78CA">
                        <w:t>for communicating with this group</w:t>
                      </w:r>
                    </w:p>
                    <w:p w14:paraId="1BF225EA" w14:textId="282B2414" w:rsidR="007A3A06" w:rsidRPr="001D78CA" w:rsidRDefault="004D75A2" w:rsidP="001D78CA">
                      <w:pPr>
                        <w:pStyle w:val="Bullet1"/>
                      </w:pPr>
                      <w:r w:rsidRPr="001D78CA">
                        <w:t>Received positive feedback from patients and families, with s</w:t>
                      </w:r>
                      <w:r w:rsidR="007A3A06" w:rsidRPr="001D78CA">
                        <w:t xml:space="preserve">ix of seven CALD patients who </w:t>
                      </w:r>
                      <w:r w:rsidR="007A3A06" w:rsidRPr="001D78CA">
                        <w:t xml:space="preserve">provided feedback </w:t>
                      </w:r>
                      <w:r w:rsidRPr="001D78CA">
                        <w:t xml:space="preserve">saying it </w:t>
                      </w:r>
                      <w:r w:rsidR="007A3A06" w:rsidRPr="001D78CA">
                        <w:t>helped their nurse understand their needs</w:t>
                      </w:r>
                    </w:p>
                    <w:p w14:paraId="0BAECA43" w14:textId="10D41D10" w:rsidR="007A3A06" w:rsidRPr="001D78CA" w:rsidRDefault="00BD163B" w:rsidP="001D78CA">
                      <w:pPr>
                        <w:pStyle w:val="Bullet1"/>
                      </w:pPr>
                      <w:r w:rsidRPr="001D78CA">
                        <w:t xml:space="preserve">Released the </w:t>
                      </w:r>
                      <w:r w:rsidR="007A3A06" w:rsidRPr="001D78CA">
                        <w:t>CALD Assist app on the Apple App Store</w:t>
                      </w:r>
                      <w:r w:rsidRPr="001D78CA">
                        <w:t>, making it freely available</w:t>
                      </w:r>
                      <w:r w:rsidR="007A3A06" w:rsidRPr="001D78CA">
                        <w:t xml:space="preserve"> for other health services to </w:t>
                      </w:r>
                      <w:r w:rsidRPr="001D78CA">
                        <w:t xml:space="preserve">download and </w:t>
                      </w:r>
                      <w:r w:rsidR="007A3A06" w:rsidRPr="001D78CA">
                        <w:t>use</w:t>
                      </w:r>
                    </w:p>
                  </w:txbxContent>
                </v:textbox>
                <w10:anchorlock/>
              </v:shape>
            </w:pict>
          </mc:Fallback>
        </mc:AlternateContent>
      </w:r>
    </w:p>
    <w:p w14:paraId="3984DB5D" w14:textId="0E79F0E4" w:rsidR="002D39F9" w:rsidRDefault="002D39F9" w:rsidP="002D39F9">
      <w:pPr>
        <w:pStyle w:val="Quote"/>
      </w:pPr>
      <w:r>
        <w:t>‘</w:t>
      </w:r>
      <w:r w:rsidRPr="00D64D58">
        <w:t xml:space="preserve">This </w:t>
      </w:r>
      <w:r>
        <w:t xml:space="preserve">[CALD Assist] </w:t>
      </w:r>
      <w:r w:rsidRPr="00D64D58">
        <w:t>is such a good idea. My mum can understand it. It is such a big help for her.</w:t>
      </w:r>
      <w:r>
        <w:t xml:space="preserve">’ </w:t>
      </w:r>
    </w:p>
    <w:p w14:paraId="38E04A3D" w14:textId="77777777" w:rsidR="002D39F9" w:rsidRDefault="002D39F9" w:rsidP="002D39F9">
      <w:pPr>
        <w:pStyle w:val="Quote"/>
        <w:rPr>
          <w:b/>
          <w:bCs/>
          <w:caps/>
        </w:rPr>
      </w:pPr>
      <w:r w:rsidRPr="008522C7">
        <w:rPr>
          <w:b/>
          <w:bCs/>
        </w:rPr>
        <w:t xml:space="preserve">– </w:t>
      </w:r>
      <w:r>
        <w:rPr>
          <w:b/>
          <w:bCs/>
        </w:rPr>
        <w:t>Family member</w:t>
      </w:r>
    </w:p>
    <w:p w14:paraId="0B67654F" w14:textId="77777777" w:rsidR="00EC7F2A" w:rsidRDefault="00EC7F2A" w:rsidP="00EC7F2A">
      <w:pPr>
        <w:spacing w:before="0" w:after="0"/>
      </w:pPr>
    </w:p>
    <w:p w14:paraId="17AC57C9" w14:textId="77777777" w:rsidR="00E41D82" w:rsidRDefault="00E41D82">
      <w:pPr>
        <w:rPr>
          <w:rFonts w:asciiTheme="majorHAnsi" w:eastAsiaTheme="majorEastAsia" w:hAnsiTheme="majorHAnsi" w:cstheme="majorBidi"/>
          <w:b/>
          <w:bCs/>
          <w:caps/>
          <w:color w:val="0063A5" w:themeColor="text2"/>
          <w:sz w:val="24"/>
          <w:szCs w:val="26"/>
        </w:rPr>
      </w:pPr>
      <w:r>
        <w:br w:type="page"/>
      </w:r>
    </w:p>
    <w:p w14:paraId="3DA60E98" w14:textId="68199D41" w:rsidR="00794CB7" w:rsidRDefault="006512FE" w:rsidP="004A4ED0">
      <w:pPr>
        <w:pStyle w:val="Heading2"/>
      </w:pPr>
      <w:r>
        <w:lastRenderedPageBreak/>
        <w:t>Key activity</w:t>
      </w:r>
    </w:p>
    <w:p w14:paraId="4987B772" w14:textId="3158C26A" w:rsidR="00247388" w:rsidRDefault="001E76A0" w:rsidP="001E76A0">
      <w:pPr>
        <w:pStyle w:val="Bullet1"/>
      </w:pPr>
      <w:r>
        <w:t xml:space="preserve">WH conducted </w:t>
      </w:r>
      <w:r w:rsidR="00247388">
        <w:t xml:space="preserve">four focus groups with 16 nursing staff participants and nine one-on-one patient interviews to inform the content and functionality of the new CALD Assist nursing module. </w:t>
      </w:r>
    </w:p>
    <w:p w14:paraId="7F8E7790" w14:textId="496F0144" w:rsidR="00247388" w:rsidRDefault="002D7560" w:rsidP="00247388">
      <w:pPr>
        <w:pStyle w:val="Bullet1"/>
      </w:pPr>
      <w:r>
        <w:t>M</w:t>
      </w:r>
      <w:r w:rsidR="00247388">
        <w:t xml:space="preserve">ore than </w:t>
      </w:r>
      <w:r w:rsidR="00B54E22">
        <w:t>285 phrases</w:t>
      </w:r>
      <w:r w:rsidR="00247388">
        <w:t xml:space="preserve"> </w:t>
      </w:r>
      <w:r>
        <w:t xml:space="preserve">were identified through this user needs analysis, </w:t>
      </w:r>
      <w:r w:rsidR="00247388">
        <w:t xml:space="preserve">including phrases relating to </w:t>
      </w:r>
      <w:r w:rsidR="00B54E22">
        <w:t>pain management, mobility, medication, hygiene, toileting</w:t>
      </w:r>
      <w:r w:rsidR="002D39F9">
        <w:t>,</w:t>
      </w:r>
      <w:r w:rsidR="00B54E22">
        <w:t xml:space="preserve"> and different procedures. </w:t>
      </w:r>
      <w:r w:rsidR="00247388">
        <w:t xml:space="preserve">Nursing </w:t>
      </w:r>
      <w:r w:rsidR="00B54E22">
        <w:t xml:space="preserve">staff </w:t>
      </w:r>
      <w:r w:rsidR="00247388">
        <w:t xml:space="preserve">also </w:t>
      </w:r>
      <w:r w:rsidR="00B54E22">
        <w:t xml:space="preserve">suggested phrases that would help them complete </w:t>
      </w:r>
      <w:r w:rsidR="00247388">
        <w:t xml:space="preserve">important </w:t>
      </w:r>
      <w:r w:rsidR="00B54E22">
        <w:t>paperwork</w:t>
      </w:r>
      <w:r w:rsidR="00247388">
        <w:t xml:space="preserve"> such as for patient admission and discharge and to plan for a patient’s daily care</w:t>
      </w:r>
      <w:r w:rsidR="00B54E22">
        <w:t xml:space="preserve">. </w:t>
      </w:r>
    </w:p>
    <w:p w14:paraId="0DB65F49" w14:textId="43898A40" w:rsidR="001E76A0" w:rsidRDefault="002D7560" w:rsidP="00247388">
      <w:pPr>
        <w:pStyle w:val="Bullet1"/>
      </w:pPr>
      <w:r>
        <w:t>This was refined to 143 phrases f</w:t>
      </w:r>
      <w:r w:rsidR="00247388">
        <w:t>ollowing consultation with key users and after ensuring legal, cultural and safety requirements were met</w:t>
      </w:r>
      <w:r w:rsidR="00B54E22">
        <w:t>.</w:t>
      </w:r>
    </w:p>
    <w:p w14:paraId="0E8997AA" w14:textId="71A9C000" w:rsidR="002D7560" w:rsidRDefault="002D7560" w:rsidP="00247388">
      <w:pPr>
        <w:pStyle w:val="Bullet1"/>
      </w:pPr>
      <w:r>
        <w:t xml:space="preserve">The </w:t>
      </w:r>
      <w:r w:rsidRPr="002D7560">
        <w:t xml:space="preserve">phrases </w:t>
      </w:r>
      <w:r>
        <w:t xml:space="preserve">were </w:t>
      </w:r>
      <w:r w:rsidRPr="002D7560">
        <w:t xml:space="preserve">translated and audio recorded </w:t>
      </w:r>
      <w:r>
        <w:t xml:space="preserve">in </w:t>
      </w:r>
      <w:r w:rsidRPr="002D7560">
        <w:t>11 languages</w:t>
      </w:r>
      <w:r>
        <w:t>. I</w:t>
      </w:r>
      <w:r w:rsidRPr="002D7560">
        <w:t>mages and videos</w:t>
      </w:r>
      <w:r>
        <w:t xml:space="preserve"> were also developed to accompany each phrase</w:t>
      </w:r>
      <w:r w:rsidRPr="002D7560">
        <w:t>.</w:t>
      </w:r>
    </w:p>
    <w:p w14:paraId="3F5B5845" w14:textId="7074A8AA" w:rsidR="00FD1E07" w:rsidRDefault="00FD1E07" w:rsidP="000E1802">
      <w:pPr>
        <w:pStyle w:val="Bullet1"/>
      </w:pPr>
      <w:r w:rsidRPr="00FD1E07">
        <w:t xml:space="preserve">119 nursing staff </w:t>
      </w:r>
      <w:r w:rsidR="002D7560">
        <w:t xml:space="preserve">were </w:t>
      </w:r>
      <w:r w:rsidRPr="00FD1E07">
        <w:t>trained to use CALD Assist</w:t>
      </w:r>
      <w:r w:rsidR="00735D95">
        <w:t xml:space="preserve"> as part of their daily patient interactions</w:t>
      </w:r>
      <w:r w:rsidRPr="00FD1E07">
        <w:t>.</w:t>
      </w:r>
    </w:p>
    <w:p w14:paraId="7B6AE98E" w14:textId="7D50144E" w:rsidR="006012D6" w:rsidRDefault="002D7560" w:rsidP="006012D6">
      <w:pPr>
        <w:pStyle w:val="Bullet1"/>
      </w:pPr>
      <w:r>
        <w:t xml:space="preserve">The new nursing module was implemented </w:t>
      </w:r>
      <w:r w:rsidR="006012D6">
        <w:t xml:space="preserve">on </w:t>
      </w:r>
      <w:r>
        <w:t xml:space="preserve">four </w:t>
      </w:r>
      <w:r w:rsidR="006012D6">
        <w:t>trial wards</w:t>
      </w:r>
      <w:r>
        <w:t xml:space="preserve"> – two medical, one surgical, and one subacute – </w:t>
      </w:r>
      <w:r w:rsidR="006012D6">
        <w:t>for 3.5 months</w:t>
      </w:r>
      <w:r w:rsidR="000A1353">
        <w:t xml:space="preserve">. The </w:t>
      </w:r>
      <w:r w:rsidR="002D39F9">
        <w:t xml:space="preserve">CALD Assist app was </w:t>
      </w:r>
      <w:r w:rsidR="000A1353">
        <w:t>used on iPads with infection control</w:t>
      </w:r>
      <w:r w:rsidR="002D39F9">
        <w:t>-</w:t>
      </w:r>
      <w:r w:rsidR="000A1353">
        <w:t>compliant cases and screen protectors.</w:t>
      </w:r>
    </w:p>
    <w:p w14:paraId="3C00F568" w14:textId="0D4BE2A5" w:rsidR="008522C7" w:rsidRPr="008522C7" w:rsidRDefault="002D39F9" w:rsidP="008522C7">
      <w:pPr>
        <w:pStyle w:val="Bullet1"/>
      </w:pPr>
      <w:r>
        <w:t>F</w:t>
      </w:r>
      <w:r w:rsidR="002D7560">
        <w:t xml:space="preserve">ollowing the trial, the project team prepared and submitted </w:t>
      </w:r>
      <w:r w:rsidR="00FD2B1B">
        <w:t xml:space="preserve">CALD Assist to the Apple </w:t>
      </w:r>
      <w:r w:rsidR="001048E0">
        <w:t>A</w:t>
      </w:r>
      <w:r w:rsidR="00FD2B1B">
        <w:t xml:space="preserve">pp </w:t>
      </w:r>
      <w:r w:rsidR="001048E0">
        <w:t>S</w:t>
      </w:r>
      <w:r w:rsidR="00FD2B1B">
        <w:t xml:space="preserve">tore </w:t>
      </w:r>
      <w:r w:rsidR="002D7560">
        <w:t xml:space="preserve">to allow </w:t>
      </w:r>
      <w:r w:rsidR="00FD2B1B">
        <w:t xml:space="preserve">other health </w:t>
      </w:r>
      <w:r w:rsidR="002D7560">
        <w:t>services to download and use the application</w:t>
      </w:r>
      <w:r w:rsidR="00FD2B1B">
        <w:t>.</w:t>
      </w:r>
    </w:p>
    <w:p w14:paraId="3EB6DDBC" w14:textId="77777777" w:rsidR="002D39F9" w:rsidRDefault="009D7C04" w:rsidP="002D39F9">
      <w:r>
        <w:rPr>
          <w:noProof/>
        </w:rPr>
        <w:drawing>
          <wp:inline distT="0" distB="0" distL="0" distR="0" wp14:anchorId="2350881C" wp14:editId="594C2036">
            <wp:extent cx="3213100" cy="2447925"/>
            <wp:effectExtent l="0" t="0" r="6350" b="9525"/>
            <wp:docPr id="14" name="Picture 14" descr="A close-up of a nurse using CALD Assist on an i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laceholder Fact Sheet.jpg"/>
                    <pic:cNvPicPr/>
                  </pic:nvPicPr>
                  <pic:blipFill rotWithShape="1">
                    <a:blip r:embed="rId10" cstate="print">
                      <a:extLst>
                        <a:ext uri="{28A0092B-C50C-407E-A947-70E740481C1C}">
                          <a14:useLocalDpi xmlns:a14="http://schemas.microsoft.com/office/drawing/2010/main" val="0"/>
                        </a:ext>
                      </a:extLst>
                    </a:blip>
                    <a:srcRect b="-391"/>
                    <a:stretch/>
                  </pic:blipFill>
                  <pic:spPr bwMode="auto">
                    <a:xfrm>
                      <a:off x="0" y="0"/>
                      <a:ext cx="3213811" cy="2448467"/>
                    </a:xfrm>
                    <a:prstGeom prst="rect">
                      <a:avLst/>
                    </a:prstGeom>
                    <a:ln>
                      <a:noFill/>
                    </a:ln>
                    <a:extLst>
                      <a:ext uri="{53640926-AAD7-44D8-BBD7-CCE9431645EC}">
                        <a14:shadowObscured xmlns:a14="http://schemas.microsoft.com/office/drawing/2010/main"/>
                      </a:ext>
                    </a:extLst>
                  </pic:spPr>
                </pic:pic>
              </a:graphicData>
            </a:graphic>
          </wp:inline>
        </w:drawing>
      </w:r>
    </w:p>
    <w:p w14:paraId="4DCFB341" w14:textId="587C96ED" w:rsidR="002B5C34" w:rsidRPr="00F80A39" w:rsidRDefault="009D7C04" w:rsidP="002D39F9">
      <w:pPr>
        <w:pStyle w:val="Heading2"/>
      </w:pPr>
      <w:r>
        <w:br w:type="column"/>
      </w:r>
      <w:r w:rsidR="00435805">
        <w:t>O</w:t>
      </w:r>
      <w:r w:rsidR="009B1BBA" w:rsidRPr="00F80A39">
        <w:t>utcomes</w:t>
      </w:r>
    </w:p>
    <w:p w14:paraId="459A99D8" w14:textId="7034F124" w:rsidR="008A469F" w:rsidRDefault="005849E2" w:rsidP="005849E2">
      <w:pPr>
        <w:pStyle w:val="Bullet1"/>
      </w:pPr>
      <w:r>
        <w:t xml:space="preserve">The app was used 396 times across all </w:t>
      </w:r>
      <w:r w:rsidR="002D39F9">
        <w:t xml:space="preserve">four </w:t>
      </w:r>
      <w:r>
        <w:t>wards over 15 weeks</w:t>
      </w:r>
      <w:r w:rsidR="008A469F">
        <w:t xml:space="preserve"> and interactions with </w:t>
      </w:r>
      <w:r>
        <w:t>55 CALD patients</w:t>
      </w:r>
      <w:r w:rsidR="008A469F">
        <w:t xml:space="preserve"> were observed.</w:t>
      </w:r>
    </w:p>
    <w:p w14:paraId="04091B42" w14:textId="7A326062" w:rsidR="00963F80" w:rsidRDefault="00963F80" w:rsidP="005849E2">
      <w:pPr>
        <w:pStyle w:val="Bullet1"/>
      </w:pPr>
      <w:r>
        <w:t>There was high utilisation of phrases from the ‘pain’, ‘general’, ‘continence’ and ‘hygiene’ categories</w:t>
      </w:r>
      <w:r w:rsidR="002D39F9">
        <w:t xml:space="preserve">, suggesting the app was useful for nurses providing </w:t>
      </w:r>
      <w:r>
        <w:t xml:space="preserve">basic care to patients. In addition to language, phrase and category selection, the </w:t>
      </w:r>
      <w:r w:rsidR="002D39F9">
        <w:t xml:space="preserve">app’s </w:t>
      </w:r>
      <w:r>
        <w:t xml:space="preserve">audio and image functionalities were also highly used. </w:t>
      </w:r>
    </w:p>
    <w:p w14:paraId="0F19AA96" w14:textId="14F614EE" w:rsidR="00963F80" w:rsidRDefault="00963F80" w:rsidP="00963F80">
      <w:pPr>
        <w:pStyle w:val="Bullet1"/>
      </w:pPr>
      <w:r>
        <w:t xml:space="preserve">Staff reported higher levels of confidence and success in interacting with CALD patients when using the CALD Assist app than without it. </w:t>
      </w:r>
    </w:p>
    <w:p w14:paraId="66B1E5C7" w14:textId="631103F3" w:rsidR="00963F80" w:rsidRDefault="00963F80" w:rsidP="00963F80">
      <w:pPr>
        <w:pStyle w:val="Bullet1"/>
      </w:pPr>
      <w:r>
        <w:t xml:space="preserve">90 per cent of staff who participated in the trial </w:t>
      </w:r>
      <w:r w:rsidR="00AC672C">
        <w:t>said</w:t>
      </w:r>
      <w:r w:rsidR="002D39F9">
        <w:t xml:space="preserve"> they </w:t>
      </w:r>
      <w:r>
        <w:t xml:space="preserve">found the app useful </w:t>
      </w:r>
      <w:r w:rsidR="002D39F9">
        <w:t xml:space="preserve">for </w:t>
      </w:r>
      <w:r>
        <w:t xml:space="preserve">communicating with CALD patients. </w:t>
      </w:r>
    </w:p>
    <w:p w14:paraId="3C510C07" w14:textId="454BE208" w:rsidR="00164714" w:rsidRDefault="00164714" w:rsidP="00EA6E1E">
      <w:pPr>
        <w:pStyle w:val="Bullet1"/>
      </w:pPr>
      <w:r>
        <w:t xml:space="preserve">Staff </w:t>
      </w:r>
      <w:r w:rsidR="00EA6E1E">
        <w:t xml:space="preserve">reported that when CALD Assist was being used, CALD </w:t>
      </w:r>
      <w:r>
        <w:t>patients</w:t>
      </w:r>
      <w:r w:rsidR="00EA6E1E">
        <w:t xml:space="preserve"> appeared to have a similar level of understanding of the interaction as their </w:t>
      </w:r>
      <w:r>
        <w:t>English-speaking peers</w:t>
      </w:r>
      <w:r w:rsidR="00EA6E1E">
        <w:t xml:space="preserve">, </w:t>
      </w:r>
      <w:r>
        <w:t xml:space="preserve">suggesting the app </w:t>
      </w:r>
      <w:r w:rsidR="00EA6E1E">
        <w:t xml:space="preserve">contributed </w:t>
      </w:r>
      <w:r>
        <w:t xml:space="preserve">towards equitable </w:t>
      </w:r>
      <w:r w:rsidR="00EA6E1E">
        <w:t xml:space="preserve">delivery of </w:t>
      </w:r>
      <w:r>
        <w:t xml:space="preserve">healthcare. </w:t>
      </w:r>
    </w:p>
    <w:p w14:paraId="5007402D" w14:textId="3266CD41" w:rsidR="00EA59CC" w:rsidRDefault="00EA6E1E" w:rsidP="005849E2">
      <w:pPr>
        <w:pStyle w:val="Bullet1"/>
      </w:pPr>
      <w:r>
        <w:t xml:space="preserve">It was harder than expected to recruit patients for project evaluation; some did not wish </w:t>
      </w:r>
      <w:r w:rsidR="00963F80">
        <w:t xml:space="preserve">to participate, </w:t>
      </w:r>
      <w:r>
        <w:t xml:space="preserve">some did not meet </w:t>
      </w:r>
      <w:r w:rsidR="00963F80">
        <w:t>the inclusion criteria</w:t>
      </w:r>
      <w:r>
        <w:t xml:space="preserve">, and some were unable to </w:t>
      </w:r>
      <w:r w:rsidR="00963F80">
        <w:t>provide informed consent. However, s</w:t>
      </w:r>
      <w:r w:rsidR="008A469F">
        <w:t xml:space="preserve">ix </w:t>
      </w:r>
      <w:r w:rsidR="00963F80">
        <w:t xml:space="preserve">(86 per cent) </w:t>
      </w:r>
      <w:r w:rsidR="008A469F">
        <w:t xml:space="preserve">of </w:t>
      </w:r>
      <w:r w:rsidR="00963F80">
        <w:t xml:space="preserve">the </w:t>
      </w:r>
      <w:r w:rsidR="008A469F">
        <w:t>seven</w:t>
      </w:r>
      <w:r w:rsidR="00963F80">
        <w:t xml:space="preserve"> </w:t>
      </w:r>
      <w:r w:rsidR="008A469F">
        <w:t xml:space="preserve">CALD patients who </w:t>
      </w:r>
      <w:r w:rsidR="00963F80">
        <w:t xml:space="preserve">did </w:t>
      </w:r>
      <w:r w:rsidR="008A469F">
        <w:t xml:space="preserve">provide feedback said </w:t>
      </w:r>
      <w:r>
        <w:t xml:space="preserve">the app </w:t>
      </w:r>
      <w:r w:rsidR="008A469F">
        <w:t>was useful, that it helped them understand their nurse, and that it helped their nurse understand their needs.</w:t>
      </w:r>
      <w:r>
        <w:t xml:space="preserve"> </w:t>
      </w:r>
      <w:r w:rsidR="00EA59CC">
        <w:t xml:space="preserve">Families </w:t>
      </w:r>
      <w:r>
        <w:t xml:space="preserve">were also positive about the use of the </w:t>
      </w:r>
      <w:r w:rsidR="00963F80">
        <w:t xml:space="preserve">app. </w:t>
      </w:r>
    </w:p>
    <w:p w14:paraId="7B5CD6BB" w14:textId="349446B0" w:rsidR="005849E2" w:rsidRDefault="002D39F9" w:rsidP="005849E2">
      <w:pPr>
        <w:pStyle w:val="Quote"/>
      </w:pPr>
      <w:r>
        <w:t xml:space="preserve"> </w:t>
      </w:r>
      <w:r w:rsidR="005849E2">
        <w:t xml:space="preserve">‘That was so good to be able to use </w:t>
      </w:r>
      <w:r w:rsidR="00EA6E1E">
        <w:t xml:space="preserve">[CALD Assist] </w:t>
      </w:r>
      <w:r w:rsidR="005849E2">
        <w:t xml:space="preserve">with my mum. It had appropriate questions in it for you to do a good assessment after she had a fall. </w:t>
      </w:r>
      <w:r w:rsidR="005849E2" w:rsidRPr="00D64D58">
        <w:t xml:space="preserve">I feel </w:t>
      </w:r>
      <w:r w:rsidR="005849E2">
        <w:t xml:space="preserve">more </w:t>
      </w:r>
      <w:r w:rsidR="005849E2" w:rsidRPr="00D64D58">
        <w:t>at ease knowing that the nurses will try to understand my mum when I am not here.</w:t>
      </w:r>
      <w:r w:rsidR="005849E2">
        <w:t xml:space="preserve">’ </w:t>
      </w:r>
    </w:p>
    <w:p w14:paraId="33A6BA3F" w14:textId="77777777" w:rsidR="005849E2" w:rsidRDefault="005849E2" w:rsidP="005849E2">
      <w:pPr>
        <w:pStyle w:val="Quote"/>
        <w:rPr>
          <w:b/>
          <w:bCs/>
        </w:rPr>
      </w:pPr>
      <w:r w:rsidRPr="008522C7">
        <w:rPr>
          <w:b/>
          <w:bCs/>
        </w:rPr>
        <w:t xml:space="preserve">– </w:t>
      </w:r>
      <w:r>
        <w:rPr>
          <w:b/>
          <w:bCs/>
        </w:rPr>
        <w:t>Family member</w:t>
      </w:r>
    </w:p>
    <w:p w14:paraId="1E43D589" w14:textId="3FEA6D13" w:rsidR="005849E2" w:rsidRDefault="005849E2" w:rsidP="005849E2">
      <w:pPr>
        <w:pStyle w:val="Quote"/>
      </w:pPr>
      <w:r>
        <w:t xml:space="preserve">‘I used the app with a Vietnamese patient and her face lit up when she first saw it. She appeared really excited and appreciative of us using it. We were able to ask if she had pain, in which she said </w:t>
      </w:r>
      <w:r w:rsidR="00963F80">
        <w:t>“</w:t>
      </w:r>
      <w:r>
        <w:t>yes</w:t>
      </w:r>
      <w:r w:rsidR="00963F80">
        <w:t>”</w:t>
      </w:r>
      <w:r>
        <w:t xml:space="preserve">, but she did [not] want any analgesia. It worked fantastically.’ </w:t>
      </w:r>
    </w:p>
    <w:p w14:paraId="2B63A9A9" w14:textId="77777777" w:rsidR="005849E2" w:rsidRPr="008522C7" w:rsidRDefault="005849E2" w:rsidP="005849E2">
      <w:pPr>
        <w:pStyle w:val="Quote"/>
      </w:pPr>
      <w:r w:rsidRPr="008522C7">
        <w:rPr>
          <w:b/>
          <w:bCs/>
        </w:rPr>
        <w:t>– Nursing staff</w:t>
      </w:r>
    </w:p>
    <w:p w14:paraId="6FFE6A87" w14:textId="057CEC65" w:rsidR="00F8536E" w:rsidRPr="00F8536E" w:rsidRDefault="00F8536E" w:rsidP="00F8536E">
      <w:pPr>
        <w:sectPr w:rsidR="00F8536E" w:rsidRPr="00F8536E" w:rsidSect="00CF70CC">
          <w:footerReference w:type="default" r:id="rId11"/>
          <w:type w:val="continuous"/>
          <w:pgSz w:w="11906" w:h="16838" w:code="9"/>
          <w:pgMar w:top="2438" w:right="737" w:bottom="680" w:left="737" w:header="539" w:footer="624" w:gutter="0"/>
          <w:cols w:num="2" w:space="284"/>
          <w:docGrid w:linePitch="360"/>
        </w:sectPr>
      </w:pPr>
    </w:p>
    <w:p w14:paraId="2485892E" w14:textId="77777777" w:rsidR="00435805" w:rsidRDefault="00435805" w:rsidP="00435805">
      <w:pPr>
        <w:pStyle w:val="Heading2"/>
      </w:pPr>
      <w:r>
        <w:lastRenderedPageBreak/>
        <w:t>Key learnings</w:t>
      </w:r>
    </w:p>
    <w:p w14:paraId="1869DC07" w14:textId="77777777" w:rsidR="00B701E8" w:rsidRDefault="00B701E8" w:rsidP="00B701E8">
      <w:pPr>
        <w:pStyle w:val="Bullet1"/>
      </w:pPr>
      <w:r>
        <w:t xml:space="preserve">The </w:t>
      </w:r>
      <w:r w:rsidRPr="00895D71">
        <w:t xml:space="preserve">quality of the </w:t>
      </w:r>
      <w:r>
        <w:t xml:space="preserve">app </w:t>
      </w:r>
      <w:r w:rsidRPr="00895D71">
        <w:t xml:space="preserve">translations </w:t>
      </w:r>
      <w:r>
        <w:t xml:space="preserve">can potentially </w:t>
      </w:r>
      <w:r w:rsidRPr="00895D71">
        <w:t xml:space="preserve">impact </w:t>
      </w:r>
      <w:r>
        <w:t xml:space="preserve">the </w:t>
      </w:r>
      <w:r w:rsidRPr="00895D71">
        <w:t>quality of patient care</w:t>
      </w:r>
      <w:r>
        <w:t xml:space="preserve">. </w:t>
      </w:r>
      <w:r w:rsidRPr="00060139">
        <w:t>WH</w:t>
      </w:r>
      <w:r>
        <w:rPr>
          <w:b/>
          <w:bCs/>
        </w:rPr>
        <w:t xml:space="preserve"> </w:t>
      </w:r>
      <w:r>
        <w:t>used accredited translators during development and organised an additional independent check of the written translations’ accuracy. WH interpreters also performed a quality check to ensure the phrases were appropriate in health and cultural contexts.</w:t>
      </w:r>
    </w:p>
    <w:p w14:paraId="7FBEED3F" w14:textId="77777777" w:rsidR="00B701E8" w:rsidRDefault="00B701E8" w:rsidP="00B701E8">
      <w:pPr>
        <w:pStyle w:val="Bullet1"/>
      </w:pPr>
      <w:r>
        <w:t>CALD Assist usage depends on iPad accessibility being optimised in the busy ward environment. It is essential to ensure the iPads are sufficiently charged and to have them in a convenient, easy to access location. For this project, WH chose to keep the iPads at the patient’s bedside.</w:t>
      </w:r>
    </w:p>
    <w:p w14:paraId="3C85DD88" w14:textId="0AFC36AE" w:rsidR="00060139" w:rsidRDefault="00060139" w:rsidP="001F07BC">
      <w:pPr>
        <w:pStyle w:val="Bullet1"/>
      </w:pPr>
      <w:r>
        <w:t xml:space="preserve">Staff </w:t>
      </w:r>
      <w:r w:rsidR="00895D71">
        <w:t>felt more comfortable with CALD Assist the more they used it</w:t>
      </w:r>
      <w:r w:rsidR="00517AE5">
        <w:t xml:space="preserve">, especially </w:t>
      </w:r>
      <w:r w:rsidR="00895D71">
        <w:t xml:space="preserve">as they became more </w:t>
      </w:r>
      <w:r>
        <w:t>familiar with the phrases, categories and functionality</w:t>
      </w:r>
      <w:r w:rsidR="00895D71">
        <w:t xml:space="preserve">. </w:t>
      </w:r>
      <w:r>
        <w:t xml:space="preserve">Providing staff with a printed copy of the categories and phrases could help them </w:t>
      </w:r>
      <w:r w:rsidR="00CF54CD">
        <w:t xml:space="preserve">familiarise themselves </w:t>
      </w:r>
      <w:r>
        <w:t>with the content</w:t>
      </w:r>
      <w:r w:rsidR="00CF54CD">
        <w:t xml:space="preserve"> faster</w:t>
      </w:r>
      <w:r>
        <w:t>.</w:t>
      </w:r>
    </w:p>
    <w:p w14:paraId="58A481C2" w14:textId="688B73B3" w:rsidR="001F1CAA" w:rsidRDefault="001F1CAA" w:rsidP="001F07BC">
      <w:pPr>
        <w:pStyle w:val="Bullet1"/>
      </w:pPr>
      <w:r>
        <w:t>Strategies that helped drive change and uptake of the app during the project included:</w:t>
      </w:r>
    </w:p>
    <w:p w14:paraId="09EF0BE5" w14:textId="77777777" w:rsidR="001F1CAA" w:rsidRDefault="001F1CAA" w:rsidP="001F1CAA">
      <w:pPr>
        <w:pStyle w:val="Bullet2"/>
      </w:pPr>
      <w:r>
        <w:t>s</w:t>
      </w:r>
      <w:r w:rsidR="009F55B1">
        <w:t xml:space="preserve">trong leadership and engagement of </w:t>
      </w:r>
      <w:r w:rsidR="00895D71">
        <w:t>n</w:t>
      </w:r>
      <w:r w:rsidR="009F55B1">
        <w:t xml:space="preserve">urse </w:t>
      </w:r>
      <w:r w:rsidR="00895D71">
        <w:t>u</w:t>
      </w:r>
      <w:r w:rsidR="009F55B1">
        <w:t xml:space="preserve">nit </w:t>
      </w:r>
      <w:r w:rsidR="00895D71">
        <w:t>m</w:t>
      </w:r>
      <w:r w:rsidR="009F55B1">
        <w:t>anagers</w:t>
      </w:r>
    </w:p>
    <w:p w14:paraId="1EA5E2BC" w14:textId="77777777" w:rsidR="001F1CAA" w:rsidRDefault="009F55B1" w:rsidP="001F1CAA">
      <w:pPr>
        <w:pStyle w:val="Bullet2"/>
      </w:pPr>
      <w:r>
        <w:t>visual reminders such as bedside signs and visual prompts on handover paperwork</w:t>
      </w:r>
    </w:p>
    <w:p w14:paraId="27BE0D5B" w14:textId="77777777" w:rsidR="001F1CAA" w:rsidRDefault="009F55B1" w:rsidP="001F1CAA">
      <w:pPr>
        <w:pStyle w:val="Bullet2"/>
      </w:pPr>
      <w:r>
        <w:t xml:space="preserve">systematic identification and communication of patients who </w:t>
      </w:r>
      <w:r w:rsidR="005133CA">
        <w:t xml:space="preserve">might </w:t>
      </w:r>
      <w:r>
        <w:t>benefit from CALD Assist</w:t>
      </w:r>
    </w:p>
    <w:p w14:paraId="66709996" w14:textId="20C97E03" w:rsidR="001F1CAA" w:rsidRDefault="005133CA" w:rsidP="001F1CAA">
      <w:pPr>
        <w:pStyle w:val="Bullet2"/>
      </w:pPr>
      <w:r>
        <w:t xml:space="preserve">making it easy to access the </w:t>
      </w:r>
      <w:r w:rsidR="009F55B1">
        <w:t xml:space="preserve">iPads </w:t>
      </w:r>
      <w:r>
        <w:t>in the wards</w:t>
      </w:r>
      <w:r w:rsidR="009F55B1">
        <w:t xml:space="preserve">. </w:t>
      </w:r>
    </w:p>
    <w:p w14:paraId="5932BB30" w14:textId="77777777" w:rsidR="005F1DC7" w:rsidRDefault="005F1DC7" w:rsidP="005F1DC7">
      <w:r>
        <w:rPr>
          <w:noProof/>
        </w:rPr>
        <w:drawing>
          <wp:inline distT="0" distB="0" distL="0" distR="0" wp14:anchorId="72495EC8" wp14:editId="7EF459B9">
            <wp:extent cx="3221990" cy="1793875"/>
            <wp:effectExtent l="0" t="0" r="0" b="0"/>
            <wp:docPr id="5" name="Picture 5" descr="A nurse holding an iPad out to a patient so he can use the CALD Assist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LD Assist2.png"/>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221990" cy="1793875"/>
                    </a:xfrm>
                    <a:prstGeom prst="rect">
                      <a:avLst/>
                    </a:prstGeom>
                  </pic:spPr>
                </pic:pic>
              </a:graphicData>
            </a:graphic>
          </wp:inline>
        </w:drawing>
      </w:r>
    </w:p>
    <w:p w14:paraId="659AF2F9" w14:textId="2197D77E" w:rsidR="001F1CAA" w:rsidRDefault="001F1CAA" w:rsidP="005F1DC7">
      <w:pPr>
        <w:pStyle w:val="Bullet1"/>
      </w:pPr>
      <w:r>
        <w:t xml:space="preserve">Additional strategies later identified by the project team through consultation with nursing leaders included: </w:t>
      </w:r>
    </w:p>
    <w:p w14:paraId="60A91FD6" w14:textId="77777777" w:rsidR="001F1CAA" w:rsidRDefault="00C455A7" w:rsidP="001F1CAA">
      <w:pPr>
        <w:pStyle w:val="Bullet2"/>
      </w:pPr>
      <w:r>
        <w:t xml:space="preserve">appointing </w:t>
      </w:r>
      <w:r w:rsidR="009F55B1">
        <w:t>‘ward champions’</w:t>
      </w:r>
    </w:p>
    <w:p w14:paraId="5B92EA85" w14:textId="49099AFB" w:rsidR="001F1CAA" w:rsidRDefault="00C455A7" w:rsidP="001F1CAA">
      <w:pPr>
        <w:pStyle w:val="Bullet2"/>
      </w:pPr>
      <w:r>
        <w:t xml:space="preserve">using </w:t>
      </w:r>
      <w:r w:rsidR="009F55B1">
        <w:t xml:space="preserve">the nursing education team to reinforce </w:t>
      </w:r>
      <w:r w:rsidR="001F1CAA">
        <w:t>the app’s use</w:t>
      </w:r>
    </w:p>
    <w:p w14:paraId="18CDA83D" w14:textId="2F365D90" w:rsidR="009F55B1" w:rsidRDefault="00C455A7" w:rsidP="001F1CAA">
      <w:pPr>
        <w:pStyle w:val="Bullet2"/>
      </w:pPr>
      <w:r>
        <w:t xml:space="preserve">developing </w:t>
      </w:r>
      <w:r w:rsidR="001F1CAA">
        <w:t xml:space="preserve">accessible </w:t>
      </w:r>
      <w:r>
        <w:t xml:space="preserve">resources such as a </w:t>
      </w:r>
      <w:r w:rsidR="009F55B1">
        <w:t>user guide.</w:t>
      </w:r>
    </w:p>
    <w:p w14:paraId="5998F422" w14:textId="26777338" w:rsidR="00D11946" w:rsidRPr="009F55B1" w:rsidRDefault="001F1CAA" w:rsidP="001F07BC">
      <w:pPr>
        <w:pStyle w:val="Bullet1"/>
      </w:pPr>
      <w:r>
        <w:t xml:space="preserve">WH recommends that other health services </w:t>
      </w:r>
      <w:r w:rsidR="00A56C3B">
        <w:t xml:space="preserve">seeking to implement CALD Assist consider </w:t>
      </w:r>
      <w:r w:rsidR="003B1E71">
        <w:t xml:space="preserve">who </w:t>
      </w:r>
      <w:r w:rsidR="00C00F11">
        <w:t>‘owns’ or</w:t>
      </w:r>
      <w:r w:rsidR="007423E3">
        <w:t xml:space="preserve"> </w:t>
      </w:r>
      <w:r w:rsidR="00C00F11">
        <w:t>‘manages’ the product at their health service</w:t>
      </w:r>
      <w:r w:rsidR="00A56C3B">
        <w:t xml:space="preserve"> to </w:t>
      </w:r>
      <w:r w:rsidR="00C00F11">
        <w:t>ensure consistent application and</w:t>
      </w:r>
      <w:r w:rsidR="007423E3">
        <w:t xml:space="preserve"> </w:t>
      </w:r>
      <w:r w:rsidR="00C00F11">
        <w:t>uptake</w:t>
      </w:r>
      <w:r w:rsidR="003B1E71">
        <w:t xml:space="preserve"> of the app</w:t>
      </w:r>
      <w:r w:rsidR="00A56C3B">
        <w:t>.</w:t>
      </w:r>
      <w:r w:rsidR="00CF54CD">
        <w:t xml:space="preserve"> </w:t>
      </w:r>
      <w:r w:rsidR="00B701E8">
        <w:t xml:space="preserve">Health services </w:t>
      </w:r>
      <w:r w:rsidR="00CF54CD">
        <w:t xml:space="preserve">should also consider creating </w:t>
      </w:r>
      <w:r w:rsidR="00B701E8">
        <w:t xml:space="preserve">local </w:t>
      </w:r>
      <w:r w:rsidR="00CF54CD">
        <w:t xml:space="preserve">guidelines for using </w:t>
      </w:r>
      <w:r w:rsidR="00D11946">
        <w:t>CALD Assist</w:t>
      </w:r>
      <w:r w:rsidR="00CF54CD">
        <w:t>,</w:t>
      </w:r>
      <w:r w:rsidR="00D11946">
        <w:t xml:space="preserve"> </w:t>
      </w:r>
      <w:r w:rsidR="00CF54CD">
        <w:t>and identify and establish a method of referring patients who may benefit from the app’s use such as through the</w:t>
      </w:r>
      <w:r w:rsidR="00B701E8">
        <w:t>ir</w:t>
      </w:r>
      <w:r w:rsidR="00CF54CD">
        <w:t xml:space="preserve"> electronic medical record</w:t>
      </w:r>
      <w:r w:rsidR="00D11946">
        <w:t>.</w:t>
      </w:r>
    </w:p>
    <w:p w14:paraId="64E00C04" w14:textId="176C9A05" w:rsidR="009D7C04" w:rsidRPr="00D64D58" w:rsidRDefault="009D7C04" w:rsidP="001F07BC"/>
    <w:sectPr w:rsidR="009D7C04" w:rsidRPr="00D64D58" w:rsidSect="00CF70CC">
      <w:footerReference w:type="default" r:id="rId14"/>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35F14" w14:textId="77777777" w:rsidR="00060D97" w:rsidRDefault="00060D97" w:rsidP="002D711A">
      <w:pPr>
        <w:spacing w:after="0" w:line="240" w:lineRule="auto"/>
      </w:pPr>
      <w:r>
        <w:separator/>
      </w:r>
    </w:p>
  </w:endnote>
  <w:endnote w:type="continuationSeparator" w:id="0">
    <w:p w14:paraId="1B12F49B" w14:textId="77777777" w:rsidR="00060D97" w:rsidRDefault="00060D97"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442182" w:rsidRPr="00736C0C" w14:paraId="74FB32AF" w14:textId="77777777" w:rsidTr="000F2A2C">
      <w:trPr>
        <w:trHeight w:val="1531"/>
      </w:trPr>
      <w:tc>
        <w:tcPr>
          <w:tcW w:w="3515" w:type="dxa"/>
          <w:tcMar>
            <w:left w:w="113" w:type="dxa"/>
          </w:tcMar>
        </w:tcPr>
        <w:p w14:paraId="1C47117C" w14:textId="649393BA" w:rsidR="00442182" w:rsidRPr="00911408" w:rsidRDefault="00442182" w:rsidP="00442182">
          <w:pPr>
            <w:spacing w:line="235" w:lineRule="auto"/>
            <w:rPr>
              <w:sz w:val="24"/>
              <w:szCs w:val="24"/>
            </w:rPr>
          </w:pPr>
          <w:r w:rsidRPr="00911408">
            <w:rPr>
              <w:sz w:val="24"/>
              <w:szCs w:val="24"/>
            </w:rPr>
            <w:t>To receive this publication in an accessible format phone</w:t>
          </w:r>
          <w:r w:rsidR="00911408">
            <w:rPr>
              <w:sz w:val="24"/>
              <w:szCs w:val="24"/>
            </w:rPr>
            <w:t xml:space="preserve"> (</w:t>
          </w:r>
          <w:r w:rsidR="00911408" w:rsidRPr="00911408">
            <w:rPr>
              <w:sz w:val="24"/>
              <w:szCs w:val="24"/>
            </w:rPr>
            <w:t>03</w:t>
          </w:r>
          <w:r w:rsidR="00911408">
            <w:rPr>
              <w:sz w:val="24"/>
              <w:szCs w:val="24"/>
            </w:rPr>
            <w:t>)</w:t>
          </w:r>
          <w:r w:rsidR="00911408" w:rsidRPr="00911408">
            <w:rPr>
              <w:sz w:val="24"/>
              <w:szCs w:val="24"/>
            </w:rPr>
            <w:t xml:space="preserve"> 9096</w:t>
          </w:r>
          <w:r w:rsidR="005B5F0B">
            <w:t xml:space="preserve"> </w:t>
          </w:r>
          <w:r w:rsidR="005B5F0B"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005B5F0B" w:rsidRPr="00A131B1">
              <w:rPr>
                <w:rStyle w:val="Hyperlink"/>
                <w:b/>
                <w:bCs/>
                <w:sz w:val="24"/>
                <w:szCs w:val="24"/>
              </w:rPr>
              <w:t>info</w:t>
            </w:r>
            <w:r w:rsidRPr="00A131B1">
              <w:rPr>
                <w:rStyle w:val="Hyperlink"/>
                <w:b/>
                <w:sz w:val="24"/>
                <w:szCs w:val="24"/>
              </w:rPr>
              <w:t>@safercare.vic.gov.au</w:t>
            </w:r>
          </w:hyperlink>
        </w:p>
      </w:tc>
      <w:tc>
        <w:tcPr>
          <w:tcW w:w="3402" w:type="dxa"/>
        </w:tcPr>
        <w:p w14:paraId="6D7675E5" w14:textId="45EDE8CA" w:rsidR="00442182" w:rsidRPr="00911408" w:rsidRDefault="00442182" w:rsidP="00442182">
          <w:pPr>
            <w:spacing w:line="230" w:lineRule="auto"/>
            <w:rPr>
              <w:sz w:val="18"/>
              <w:szCs w:val="18"/>
            </w:rPr>
          </w:pPr>
          <w:r w:rsidRPr="00911408">
            <w:rPr>
              <w:sz w:val="18"/>
              <w:szCs w:val="18"/>
            </w:rPr>
            <w:t>Authorised and published by the Victorian Government, 1 Treasury Place, Melbourne.</w:t>
          </w:r>
        </w:p>
        <w:p w14:paraId="7495C6B4" w14:textId="6E74D99A" w:rsidR="00442182" w:rsidRPr="00911408" w:rsidRDefault="00442182" w:rsidP="00442182">
          <w:pPr>
            <w:spacing w:line="230" w:lineRule="auto"/>
            <w:rPr>
              <w:sz w:val="18"/>
              <w:szCs w:val="18"/>
            </w:rPr>
          </w:pPr>
          <w:r w:rsidRPr="00911408">
            <w:rPr>
              <w:sz w:val="18"/>
              <w:szCs w:val="18"/>
            </w:rPr>
            <w:t xml:space="preserve">© State of Victoria, Australia, Safer Care Victoria, </w:t>
          </w:r>
          <w:r w:rsidR="002A5F50">
            <w:rPr>
              <w:sz w:val="18"/>
              <w:szCs w:val="18"/>
            </w:rPr>
            <w:t>September</w:t>
          </w:r>
          <w:r w:rsidR="00911408">
            <w:rPr>
              <w:sz w:val="18"/>
              <w:szCs w:val="18"/>
            </w:rPr>
            <w:t xml:space="preserve"> 2020</w:t>
          </w:r>
        </w:p>
        <w:p w14:paraId="30F4D29D" w14:textId="77777777" w:rsidR="00442182" w:rsidRPr="00CE61C3" w:rsidRDefault="00442182" w:rsidP="00442182">
          <w:pPr>
            <w:spacing w:line="230" w:lineRule="auto"/>
            <w:rPr>
              <w:color w:val="FF0000"/>
              <w:sz w:val="18"/>
              <w:szCs w:val="18"/>
            </w:rPr>
          </w:pPr>
          <w:r w:rsidRPr="00CE61C3">
            <w:rPr>
              <w:color w:val="FF0000"/>
              <w:sz w:val="18"/>
              <w:szCs w:val="18"/>
              <w:highlight w:val="yellow"/>
            </w:rPr>
            <w:t>ISBN/ISSN number (online/print)</w:t>
          </w:r>
        </w:p>
        <w:p w14:paraId="06F94A07" w14:textId="1D4C6D41" w:rsidR="00442182" w:rsidRDefault="00442182" w:rsidP="00442182">
          <w:pPr>
            <w:spacing w:line="230" w:lineRule="auto"/>
            <w:rPr>
              <w:sz w:val="18"/>
              <w:szCs w:val="18"/>
            </w:rPr>
          </w:pPr>
          <w:r w:rsidRPr="00911408">
            <w:rPr>
              <w:sz w:val="18"/>
              <w:szCs w:val="18"/>
            </w:rPr>
            <w:t xml:space="preserve">Available at </w:t>
          </w:r>
          <w:hyperlink r:id="rId2" w:history="1">
            <w:r w:rsidR="00911408" w:rsidRPr="00F52379">
              <w:rPr>
                <w:rStyle w:val="Hyperlink"/>
                <w:sz w:val="18"/>
                <w:szCs w:val="18"/>
              </w:rPr>
              <w:t>safercare.vic.gov.au</w:t>
            </w:r>
          </w:hyperlink>
        </w:p>
        <w:p w14:paraId="3B40A82D" w14:textId="5308783B" w:rsidR="00911408" w:rsidRPr="007A4444" w:rsidRDefault="00911408" w:rsidP="00442182">
          <w:pPr>
            <w:spacing w:line="230" w:lineRule="auto"/>
            <w:rPr>
              <w:sz w:val="13"/>
              <w:szCs w:val="13"/>
            </w:rPr>
          </w:pPr>
        </w:p>
      </w:tc>
      <w:tc>
        <w:tcPr>
          <w:tcW w:w="3515" w:type="dxa"/>
        </w:tcPr>
        <w:p w14:paraId="3A80A9B4" w14:textId="25DDFB9E" w:rsidR="00442182" w:rsidRPr="00736C0C" w:rsidRDefault="00442182" w:rsidP="000905F7">
          <w:pPr>
            <w:rPr>
              <w:szCs w:val="15"/>
            </w:rPr>
          </w:pPr>
          <w:r>
            <w:rPr>
              <w:noProof/>
              <w:szCs w:val="15"/>
            </w:rPr>
            <w:drawing>
              <wp:inline distT="0" distB="0" distL="0" distR="0" wp14:anchorId="5CB2EA93" wp14:editId="41A59989">
                <wp:extent cx="1967488" cy="510541"/>
                <wp:effectExtent l="0" t="0" r="0" b="3810"/>
                <wp:docPr id="1" name="Picture 1"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63D44AAC" w14:textId="77777777" w:rsidR="000905F7" w:rsidRDefault="0009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64426" w14:textId="77777777" w:rsidR="00F80A39" w:rsidRDefault="00F80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C821CE" w:rsidRPr="00736C0C" w14:paraId="600019E9" w14:textId="77777777" w:rsidTr="00126727">
      <w:trPr>
        <w:trHeight w:val="1531"/>
      </w:trPr>
      <w:tc>
        <w:tcPr>
          <w:tcW w:w="3515" w:type="dxa"/>
          <w:tcMar>
            <w:left w:w="113" w:type="dxa"/>
          </w:tcMar>
        </w:tcPr>
        <w:p w14:paraId="6ABDDD2C" w14:textId="77777777" w:rsidR="00C821CE" w:rsidRPr="00911408" w:rsidRDefault="00C821CE" w:rsidP="0043317F">
          <w:pPr>
            <w:spacing w:line="235" w:lineRule="auto"/>
            <w:rPr>
              <w:sz w:val="24"/>
              <w:szCs w:val="24"/>
            </w:rPr>
          </w:pPr>
          <w:r w:rsidRPr="00911408">
            <w:rPr>
              <w:sz w:val="24"/>
              <w:szCs w:val="24"/>
            </w:rPr>
            <w:t>To receive this publication in an accessible format phone</w:t>
          </w:r>
          <w:r>
            <w:rPr>
              <w:sz w:val="24"/>
              <w:szCs w:val="24"/>
            </w:rPr>
            <w:t xml:space="preserve"> (</w:t>
          </w:r>
          <w:r w:rsidRPr="00911408">
            <w:rPr>
              <w:sz w:val="24"/>
              <w:szCs w:val="24"/>
            </w:rPr>
            <w:t>03</w:t>
          </w:r>
          <w:r>
            <w:rPr>
              <w:sz w:val="24"/>
              <w:szCs w:val="24"/>
            </w:rPr>
            <w:t>)</w:t>
          </w:r>
          <w:r w:rsidRPr="00911408">
            <w:rPr>
              <w:sz w:val="24"/>
              <w:szCs w:val="24"/>
            </w:rPr>
            <w:t xml:space="preserve"> 9096</w:t>
          </w:r>
          <w:r>
            <w:t xml:space="preserve"> </w:t>
          </w:r>
          <w:r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Pr="00A131B1">
              <w:rPr>
                <w:rStyle w:val="Hyperlink"/>
                <w:b/>
                <w:bCs/>
                <w:sz w:val="24"/>
                <w:szCs w:val="24"/>
              </w:rPr>
              <w:t>info</w:t>
            </w:r>
            <w:r w:rsidRPr="00A131B1">
              <w:rPr>
                <w:rStyle w:val="Hyperlink"/>
                <w:b/>
                <w:sz w:val="24"/>
                <w:szCs w:val="24"/>
              </w:rPr>
              <w:t>@safercare.vic.gov.au</w:t>
            </w:r>
          </w:hyperlink>
        </w:p>
      </w:tc>
      <w:tc>
        <w:tcPr>
          <w:tcW w:w="3402" w:type="dxa"/>
        </w:tcPr>
        <w:p w14:paraId="10DACBD6" w14:textId="77777777" w:rsidR="00C821CE" w:rsidRPr="00911408" w:rsidRDefault="00C821CE" w:rsidP="0043317F">
          <w:pPr>
            <w:spacing w:line="230" w:lineRule="auto"/>
            <w:rPr>
              <w:sz w:val="18"/>
              <w:szCs w:val="18"/>
            </w:rPr>
          </w:pPr>
          <w:r w:rsidRPr="00911408">
            <w:rPr>
              <w:sz w:val="18"/>
              <w:szCs w:val="18"/>
            </w:rPr>
            <w:t>Authorised and published by the Victorian Government, 1 Treasury Place, Melbourne.</w:t>
          </w:r>
        </w:p>
        <w:p w14:paraId="34CA84F8" w14:textId="29C2CA9C" w:rsidR="00C821CE" w:rsidRPr="00911408" w:rsidRDefault="00C821CE" w:rsidP="0043317F">
          <w:pPr>
            <w:spacing w:line="230" w:lineRule="auto"/>
            <w:rPr>
              <w:sz w:val="18"/>
              <w:szCs w:val="18"/>
            </w:rPr>
          </w:pPr>
          <w:r w:rsidRPr="00911408">
            <w:rPr>
              <w:sz w:val="18"/>
              <w:szCs w:val="18"/>
            </w:rPr>
            <w:t xml:space="preserve">© State of Victoria, Australia, Safer Care Victoria, </w:t>
          </w:r>
          <w:r w:rsidR="00AC672C">
            <w:rPr>
              <w:sz w:val="18"/>
              <w:szCs w:val="18"/>
            </w:rPr>
            <w:t>November</w:t>
          </w:r>
          <w:r>
            <w:rPr>
              <w:sz w:val="18"/>
              <w:szCs w:val="18"/>
            </w:rPr>
            <w:t xml:space="preserve"> 2020</w:t>
          </w:r>
        </w:p>
        <w:p w14:paraId="585BE8B9" w14:textId="6ACDD903" w:rsidR="00C821CE" w:rsidRPr="00AC672C" w:rsidRDefault="00AC672C" w:rsidP="0043317F">
          <w:pPr>
            <w:spacing w:line="230" w:lineRule="auto"/>
            <w:rPr>
              <w:sz w:val="18"/>
              <w:szCs w:val="18"/>
            </w:rPr>
          </w:pPr>
          <w:r w:rsidRPr="00AC672C">
            <w:rPr>
              <w:sz w:val="18"/>
              <w:szCs w:val="18"/>
            </w:rPr>
            <w:t>ISBN 978-1-76096-255-5 (pdf/online/MS word)</w:t>
          </w:r>
        </w:p>
        <w:p w14:paraId="5090B2B9" w14:textId="567435A4" w:rsidR="00C821CE" w:rsidRPr="007A4444" w:rsidRDefault="00C821CE" w:rsidP="00AC672C">
          <w:pPr>
            <w:spacing w:line="230" w:lineRule="auto"/>
            <w:rPr>
              <w:sz w:val="13"/>
              <w:szCs w:val="13"/>
            </w:rPr>
          </w:pPr>
          <w:r w:rsidRPr="00911408">
            <w:rPr>
              <w:sz w:val="18"/>
              <w:szCs w:val="18"/>
            </w:rPr>
            <w:t xml:space="preserve">Available at </w:t>
          </w:r>
          <w:hyperlink r:id="rId2" w:history="1">
            <w:r w:rsidRPr="00F52379">
              <w:rPr>
                <w:rStyle w:val="Hyperlink"/>
                <w:sz w:val="18"/>
                <w:szCs w:val="18"/>
              </w:rPr>
              <w:t>safercare.vic.gov.au</w:t>
            </w:r>
          </w:hyperlink>
          <w:r w:rsidR="00AC672C">
            <w:rPr>
              <w:rStyle w:val="Hyperlink"/>
              <w:sz w:val="18"/>
              <w:szCs w:val="18"/>
            </w:rPr>
            <w:br/>
          </w:r>
        </w:p>
      </w:tc>
      <w:tc>
        <w:tcPr>
          <w:tcW w:w="3515" w:type="dxa"/>
        </w:tcPr>
        <w:p w14:paraId="5A25321B" w14:textId="77777777" w:rsidR="00C821CE" w:rsidRPr="00736C0C" w:rsidRDefault="00C821CE" w:rsidP="0043317F">
          <w:pPr>
            <w:rPr>
              <w:szCs w:val="15"/>
            </w:rPr>
          </w:pPr>
          <w:r>
            <w:rPr>
              <w:noProof/>
              <w:szCs w:val="15"/>
            </w:rPr>
            <w:drawing>
              <wp:inline distT="0" distB="0" distL="0" distR="0" wp14:anchorId="2FF70F3B" wp14:editId="341025C6">
                <wp:extent cx="1967488" cy="510541"/>
                <wp:effectExtent l="0" t="0" r="0" b="3810"/>
                <wp:docPr id="2" name="Picture 2"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7EEEF341" w14:textId="77777777" w:rsidR="00C821CE" w:rsidRDefault="00C82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C782C" w14:textId="77777777" w:rsidR="00060D97" w:rsidRDefault="00060D97" w:rsidP="00E33E08">
      <w:pPr>
        <w:spacing w:before="0" w:after="0" w:line="240" w:lineRule="auto"/>
      </w:pPr>
    </w:p>
  </w:footnote>
  <w:footnote w:type="continuationSeparator" w:id="0">
    <w:p w14:paraId="25E775FD" w14:textId="77777777" w:rsidR="00060D97" w:rsidRDefault="00060D97"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3DC0" w14:textId="77777777" w:rsidR="000905F7" w:rsidRDefault="00794CB7">
    <w:pPr>
      <w:pStyle w:val="Header"/>
    </w:pPr>
    <w:r>
      <w:rPr>
        <w:noProof/>
      </w:rPr>
      <w:drawing>
        <wp:anchor distT="0" distB="0" distL="114300" distR="114300" simplePos="0" relativeHeight="251659264" behindDoc="1" locked="0" layoutInCell="1" allowOverlap="1" wp14:anchorId="1E265C5D" wp14:editId="3C461603">
          <wp:simplePos x="0" y="0"/>
          <wp:positionH relativeFrom="page">
            <wp:posOffset>13970</wp:posOffset>
          </wp:positionH>
          <wp:positionV relativeFrom="page">
            <wp:posOffset>0</wp:posOffset>
          </wp:positionV>
          <wp:extent cx="2127600" cy="1202400"/>
          <wp:effectExtent l="0" t="0" r="0" b="0"/>
          <wp:wrapNone/>
          <wp:docPr id="3" name="Picture 3" descr="Better C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a:extLst>
                      <a:ext uri="{28A0092B-C50C-407E-A947-70E740481C1C}">
                        <a14:useLocalDpi xmlns:a14="http://schemas.microsoft.com/office/drawing/2010/main" val="0"/>
                      </a:ext>
                    </a:extLst>
                  </a:blip>
                  <a:stretch>
                    <a:fillRect/>
                  </a:stretch>
                </pic:blipFill>
                <pic:spPr>
                  <a:xfrm>
                    <a:off x="0" y="0"/>
                    <a:ext cx="21276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7"/>
    <w:rsid w:val="00012F6F"/>
    <w:rsid w:val="00014213"/>
    <w:rsid w:val="00014B55"/>
    <w:rsid w:val="00020E3E"/>
    <w:rsid w:val="00023457"/>
    <w:rsid w:val="00023BF3"/>
    <w:rsid w:val="00026811"/>
    <w:rsid w:val="0004185E"/>
    <w:rsid w:val="00053181"/>
    <w:rsid w:val="00056988"/>
    <w:rsid w:val="00060139"/>
    <w:rsid w:val="00060D97"/>
    <w:rsid w:val="00071F51"/>
    <w:rsid w:val="00072279"/>
    <w:rsid w:val="00073407"/>
    <w:rsid w:val="00075E6C"/>
    <w:rsid w:val="00081C12"/>
    <w:rsid w:val="00087D42"/>
    <w:rsid w:val="000905F7"/>
    <w:rsid w:val="000A1353"/>
    <w:rsid w:val="000B29AD"/>
    <w:rsid w:val="000C515F"/>
    <w:rsid w:val="000C6372"/>
    <w:rsid w:val="000D54D4"/>
    <w:rsid w:val="000D7841"/>
    <w:rsid w:val="000E1802"/>
    <w:rsid w:val="000E392D"/>
    <w:rsid w:val="000E39B6"/>
    <w:rsid w:val="000E3D05"/>
    <w:rsid w:val="000E6FBB"/>
    <w:rsid w:val="000F2A2C"/>
    <w:rsid w:val="000F4288"/>
    <w:rsid w:val="000F7165"/>
    <w:rsid w:val="00102379"/>
    <w:rsid w:val="00103722"/>
    <w:rsid w:val="001048E0"/>
    <w:rsid w:val="001065D6"/>
    <w:rsid w:val="001068D5"/>
    <w:rsid w:val="00121252"/>
    <w:rsid w:val="00121488"/>
    <w:rsid w:val="00124609"/>
    <w:rsid w:val="00124C3C"/>
    <w:rsid w:val="001254CE"/>
    <w:rsid w:val="0013637A"/>
    <w:rsid w:val="001422CC"/>
    <w:rsid w:val="00145346"/>
    <w:rsid w:val="001617B6"/>
    <w:rsid w:val="00164714"/>
    <w:rsid w:val="00165E66"/>
    <w:rsid w:val="00186B39"/>
    <w:rsid w:val="001950B1"/>
    <w:rsid w:val="00195AC9"/>
    <w:rsid w:val="00196143"/>
    <w:rsid w:val="001A24FC"/>
    <w:rsid w:val="001C60B2"/>
    <w:rsid w:val="001C6993"/>
    <w:rsid w:val="001C7BAE"/>
    <w:rsid w:val="001D78CA"/>
    <w:rsid w:val="001E31FA"/>
    <w:rsid w:val="001E48F9"/>
    <w:rsid w:val="001E64F6"/>
    <w:rsid w:val="001E76A0"/>
    <w:rsid w:val="001E7AEB"/>
    <w:rsid w:val="001F07BC"/>
    <w:rsid w:val="001F1CAA"/>
    <w:rsid w:val="00204B82"/>
    <w:rsid w:val="002060CE"/>
    <w:rsid w:val="00222BEB"/>
    <w:rsid w:val="00225E60"/>
    <w:rsid w:val="00230BBB"/>
    <w:rsid w:val="0023202C"/>
    <w:rsid w:val="00234619"/>
    <w:rsid w:val="00235BE2"/>
    <w:rsid w:val="00245043"/>
    <w:rsid w:val="00247388"/>
    <w:rsid w:val="0026028E"/>
    <w:rsid w:val="00264D60"/>
    <w:rsid w:val="00273AF5"/>
    <w:rsid w:val="00284FA2"/>
    <w:rsid w:val="00286580"/>
    <w:rsid w:val="00292D36"/>
    <w:rsid w:val="00294A5A"/>
    <w:rsid w:val="00297281"/>
    <w:rsid w:val="00297A47"/>
    <w:rsid w:val="002A2FF0"/>
    <w:rsid w:val="002A5891"/>
    <w:rsid w:val="002A5F50"/>
    <w:rsid w:val="002B03F1"/>
    <w:rsid w:val="002B5C34"/>
    <w:rsid w:val="002B5E2B"/>
    <w:rsid w:val="002B6DAA"/>
    <w:rsid w:val="002C338A"/>
    <w:rsid w:val="002D39F9"/>
    <w:rsid w:val="002D5A89"/>
    <w:rsid w:val="002D70F7"/>
    <w:rsid w:val="002D711A"/>
    <w:rsid w:val="002D7336"/>
    <w:rsid w:val="002D7560"/>
    <w:rsid w:val="002E3396"/>
    <w:rsid w:val="002E6454"/>
    <w:rsid w:val="002F2953"/>
    <w:rsid w:val="002F4E84"/>
    <w:rsid w:val="0030257D"/>
    <w:rsid w:val="0031149C"/>
    <w:rsid w:val="00332D4F"/>
    <w:rsid w:val="003347B2"/>
    <w:rsid w:val="0036778F"/>
    <w:rsid w:val="0038771C"/>
    <w:rsid w:val="003A430B"/>
    <w:rsid w:val="003A541A"/>
    <w:rsid w:val="003A6923"/>
    <w:rsid w:val="003B1E71"/>
    <w:rsid w:val="003C2C67"/>
    <w:rsid w:val="003C2D4C"/>
    <w:rsid w:val="003C3B3A"/>
    <w:rsid w:val="003C5BA4"/>
    <w:rsid w:val="003E3E26"/>
    <w:rsid w:val="003F1295"/>
    <w:rsid w:val="003F4D46"/>
    <w:rsid w:val="003F5102"/>
    <w:rsid w:val="003F76FC"/>
    <w:rsid w:val="004002EB"/>
    <w:rsid w:val="00407A79"/>
    <w:rsid w:val="00422DDC"/>
    <w:rsid w:val="004231B5"/>
    <w:rsid w:val="004236C8"/>
    <w:rsid w:val="00427681"/>
    <w:rsid w:val="0043317F"/>
    <w:rsid w:val="00433DB7"/>
    <w:rsid w:val="00435805"/>
    <w:rsid w:val="00442182"/>
    <w:rsid w:val="0045347E"/>
    <w:rsid w:val="00453750"/>
    <w:rsid w:val="00456941"/>
    <w:rsid w:val="00460BD5"/>
    <w:rsid w:val="004702EA"/>
    <w:rsid w:val="0048259C"/>
    <w:rsid w:val="00482D02"/>
    <w:rsid w:val="00484326"/>
    <w:rsid w:val="00490369"/>
    <w:rsid w:val="00490A0B"/>
    <w:rsid w:val="004A4ED0"/>
    <w:rsid w:val="004A7519"/>
    <w:rsid w:val="004B64B1"/>
    <w:rsid w:val="004D01AC"/>
    <w:rsid w:val="004D3518"/>
    <w:rsid w:val="004D62D6"/>
    <w:rsid w:val="004D6898"/>
    <w:rsid w:val="004D75A2"/>
    <w:rsid w:val="004F3F4E"/>
    <w:rsid w:val="005071AB"/>
    <w:rsid w:val="00510167"/>
    <w:rsid w:val="005133CA"/>
    <w:rsid w:val="00513E86"/>
    <w:rsid w:val="00517AE5"/>
    <w:rsid w:val="005306A2"/>
    <w:rsid w:val="0053416C"/>
    <w:rsid w:val="00541C2F"/>
    <w:rsid w:val="00552DE4"/>
    <w:rsid w:val="00555D37"/>
    <w:rsid w:val="00563527"/>
    <w:rsid w:val="0057407A"/>
    <w:rsid w:val="0058124E"/>
    <w:rsid w:val="005849E2"/>
    <w:rsid w:val="005875A3"/>
    <w:rsid w:val="005953EA"/>
    <w:rsid w:val="005A3416"/>
    <w:rsid w:val="005B061F"/>
    <w:rsid w:val="005B27FE"/>
    <w:rsid w:val="005B327A"/>
    <w:rsid w:val="005B5F0B"/>
    <w:rsid w:val="005B76DF"/>
    <w:rsid w:val="005B79CB"/>
    <w:rsid w:val="005E08D7"/>
    <w:rsid w:val="005E4C16"/>
    <w:rsid w:val="005E5947"/>
    <w:rsid w:val="005F1DC7"/>
    <w:rsid w:val="005F61DF"/>
    <w:rsid w:val="006012D6"/>
    <w:rsid w:val="0060163A"/>
    <w:rsid w:val="006023F9"/>
    <w:rsid w:val="00610559"/>
    <w:rsid w:val="00614076"/>
    <w:rsid w:val="00632F2E"/>
    <w:rsid w:val="006332F6"/>
    <w:rsid w:val="006413F2"/>
    <w:rsid w:val="0064598D"/>
    <w:rsid w:val="006512FE"/>
    <w:rsid w:val="006534B2"/>
    <w:rsid w:val="0065615D"/>
    <w:rsid w:val="00657011"/>
    <w:rsid w:val="006650B5"/>
    <w:rsid w:val="006651B1"/>
    <w:rsid w:val="00665778"/>
    <w:rsid w:val="00676E5F"/>
    <w:rsid w:val="00680577"/>
    <w:rsid w:val="006945CA"/>
    <w:rsid w:val="006A3309"/>
    <w:rsid w:val="006A3A5A"/>
    <w:rsid w:val="006A5B34"/>
    <w:rsid w:val="006A6C95"/>
    <w:rsid w:val="006B2A76"/>
    <w:rsid w:val="006C77A9"/>
    <w:rsid w:val="006D2F37"/>
    <w:rsid w:val="006D4720"/>
    <w:rsid w:val="006E6CDF"/>
    <w:rsid w:val="006F37F2"/>
    <w:rsid w:val="006F6693"/>
    <w:rsid w:val="00707FE8"/>
    <w:rsid w:val="00714AAE"/>
    <w:rsid w:val="00724962"/>
    <w:rsid w:val="00724A0F"/>
    <w:rsid w:val="00726D2F"/>
    <w:rsid w:val="007352D2"/>
    <w:rsid w:val="00735D95"/>
    <w:rsid w:val="00736732"/>
    <w:rsid w:val="00740019"/>
    <w:rsid w:val="007423E3"/>
    <w:rsid w:val="00746426"/>
    <w:rsid w:val="00750BF9"/>
    <w:rsid w:val="00750CBE"/>
    <w:rsid w:val="007650D2"/>
    <w:rsid w:val="00766B5A"/>
    <w:rsid w:val="00772209"/>
    <w:rsid w:val="007770A5"/>
    <w:rsid w:val="007834F2"/>
    <w:rsid w:val="00791020"/>
    <w:rsid w:val="00794CB7"/>
    <w:rsid w:val="00794DD3"/>
    <w:rsid w:val="007A04D2"/>
    <w:rsid w:val="007A3A06"/>
    <w:rsid w:val="007A4444"/>
    <w:rsid w:val="007A5F82"/>
    <w:rsid w:val="007D4A1E"/>
    <w:rsid w:val="007D5F9E"/>
    <w:rsid w:val="007E098F"/>
    <w:rsid w:val="007E3BA2"/>
    <w:rsid w:val="007F1A4C"/>
    <w:rsid w:val="007F723F"/>
    <w:rsid w:val="008022C3"/>
    <w:rsid w:val="008041E6"/>
    <w:rsid w:val="008051F0"/>
    <w:rsid w:val="008065D2"/>
    <w:rsid w:val="00815A8A"/>
    <w:rsid w:val="0082194C"/>
    <w:rsid w:val="008222FF"/>
    <w:rsid w:val="008241FF"/>
    <w:rsid w:val="008411E9"/>
    <w:rsid w:val="00841617"/>
    <w:rsid w:val="0084200F"/>
    <w:rsid w:val="00843B2C"/>
    <w:rsid w:val="00844F16"/>
    <w:rsid w:val="00846698"/>
    <w:rsid w:val="00847BE1"/>
    <w:rsid w:val="00851642"/>
    <w:rsid w:val="008522C7"/>
    <w:rsid w:val="00855FF9"/>
    <w:rsid w:val="0086277A"/>
    <w:rsid w:val="008668A8"/>
    <w:rsid w:val="008703D8"/>
    <w:rsid w:val="008734EE"/>
    <w:rsid w:val="008768AD"/>
    <w:rsid w:val="00880AC4"/>
    <w:rsid w:val="00893E52"/>
    <w:rsid w:val="00895D71"/>
    <w:rsid w:val="00897157"/>
    <w:rsid w:val="00897447"/>
    <w:rsid w:val="008A306C"/>
    <w:rsid w:val="008A469F"/>
    <w:rsid w:val="008A4900"/>
    <w:rsid w:val="008A55FE"/>
    <w:rsid w:val="008A58D2"/>
    <w:rsid w:val="008B146D"/>
    <w:rsid w:val="008B42AD"/>
    <w:rsid w:val="008B5666"/>
    <w:rsid w:val="008C2C15"/>
    <w:rsid w:val="008D0281"/>
    <w:rsid w:val="008E2348"/>
    <w:rsid w:val="008F6D45"/>
    <w:rsid w:val="00911408"/>
    <w:rsid w:val="00916AD5"/>
    <w:rsid w:val="00922944"/>
    <w:rsid w:val="009255CF"/>
    <w:rsid w:val="00936479"/>
    <w:rsid w:val="00937A10"/>
    <w:rsid w:val="00953A2C"/>
    <w:rsid w:val="00963F80"/>
    <w:rsid w:val="00966115"/>
    <w:rsid w:val="00970F28"/>
    <w:rsid w:val="009834C0"/>
    <w:rsid w:val="00986AAC"/>
    <w:rsid w:val="00991C00"/>
    <w:rsid w:val="00995526"/>
    <w:rsid w:val="00996E62"/>
    <w:rsid w:val="009A1DA2"/>
    <w:rsid w:val="009A3704"/>
    <w:rsid w:val="009A4739"/>
    <w:rsid w:val="009A674F"/>
    <w:rsid w:val="009A6D22"/>
    <w:rsid w:val="009B199C"/>
    <w:rsid w:val="009B1BBA"/>
    <w:rsid w:val="009B61F1"/>
    <w:rsid w:val="009B62E0"/>
    <w:rsid w:val="009C3D88"/>
    <w:rsid w:val="009D7C04"/>
    <w:rsid w:val="009E0D59"/>
    <w:rsid w:val="009E1651"/>
    <w:rsid w:val="009E3858"/>
    <w:rsid w:val="009E467D"/>
    <w:rsid w:val="009E5E60"/>
    <w:rsid w:val="009E70DD"/>
    <w:rsid w:val="009F2ED9"/>
    <w:rsid w:val="009F3231"/>
    <w:rsid w:val="009F55B1"/>
    <w:rsid w:val="009F5C58"/>
    <w:rsid w:val="00A023A0"/>
    <w:rsid w:val="00A05EBC"/>
    <w:rsid w:val="00A131B1"/>
    <w:rsid w:val="00A1562B"/>
    <w:rsid w:val="00A170F4"/>
    <w:rsid w:val="00A21408"/>
    <w:rsid w:val="00A2160F"/>
    <w:rsid w:val="00A21CFD"/>
    <w:rsid w:val="00A25B78"/>
    <w:rsid w:val="00A46288"/>
    <w:rsid w:val="00A46BA8"/>
    <w:rsid w:val="00A47634"/>
    <w:rsid w:val="00A50C8C"/>
    <w:rsid w:val="00A56C3B"/>
    <w:rsid w:val="00A612FE"/>
    <w:rsid w:val="00A70B49"/>
    <w:rsid w:val="00A92D94"/>
    <w:rsid w:val="00AA26B8"/>
    <w:rsid w:val="00AC0B87"/>
    <w:rsid w:val="00AC2624"/>
    <w:rsid w:val="00AC32A8"/>
    <w:rsid w:val="00AC672C"/>
    <w:rsid w:val="00AD7E4E"/>
    <w:rsid w:val="00AF4D58"/>
    <w:rsid w:val="00AF6666"/>
    <w:rsid w:val="00AF7BC5"/>
    <w:rsid w:val="00B120EA"/>
    <w:rsid w:val="00B54E22"/>
    <w:rsid w:val="00B701E8"/>
    <w:rsid w:val="00B81B44"/>
    <w:rsid w:val="00B9053B"/>
    <w:rsid w:val="00BA0C37"/>
    <w:rsid w:val="00BA3782"/>
    <w:rsid w:val="00BB4D98"/>
    <w:rsid w:val="00BB4EBF"/>
    <w:rsid w:val="00BB59E0"/>
    <w:rsid w:val="00BC07DF"/>
    <w:rsid w:val="00BC3422"/>
    <w:rsid w:val="00BC6E19"/>
    <w:rsid w:val="00BD11C2"/>
    <w:rsid w:val="00BD163B"/>
    <w:rsid w:val="00BD5018"/>
    <w:rsid w:val="00BE5ADC"/>
    <w:rsid w:val="00BF4F96"/>
    <w:rsid w:val="00C00F11"/>
    <w:rsid w:val="00C015B9"/>
    <w:rsid w:val="00C022F9"/>
    <w:rsid w:val="00C032EA"/>
    <w:rsid w:val="00C06EB5"/>
    <w:rsid w:val="00C11029"/>
    <w:rsid w:val="00C1145F"/>
    <w:rsid w:val="00C11CD1"/>
    <w:rsid w:val="00C32D49"/>
    <w:rsid w:val="00C33AD3"/>
    <w:rsid w:val="00C35D53"/>
    <w:rsid w:val="00C36582"/>
    <w:rsid w:val="00C40BDF"/>
    <w:rsid w:val="00C41B3C"/>
    <w:rsid w:val="00C43F06"/>
    <w:rsid w:val="00C455A7"/>
    <w:rsid w:val="00C51C01"/>
    <w:rsid w:val="00C602DF"/>
    <w:rsid w:val="00C637E1"/>
    <w:rsid w:val="00C67EAC"/>
    <w:rsid w:val="00C7098C"/>
    <w:rsid w:val="00C70D50"/>
    <w:rsid w:val="00C72252"/>
    <w:rsid w:val="00C821CE"/>
    <w:rsid w:val="00C907D7"/>
    <w:rsid w:val="00C92338"/>
    <w:rsid w:val="00CA05DC"/>
    <w:rsid w:val="00CA7B47"/>
    <w:rsid w:val="00CB3976"/>
    <w:rsid w:val="00CC0347"/>
    <w:rsid w:val="00CD0307"/>
    <w:rsid w:val="00CD3C79"/>
    <w:rsid w:val="00CD3D1B"/>
    <w:rsid w:val="00CE4203"/>
    <w:rsid w:val="00CE590E"/>
    <w:rsid w:val="00CE61C3"/>
    <w:rsid w:val="00CF54CD"/>
    <w:rsid w:val="00CF70CC"/>
    <w:rsid w:val="00D02663"/>
    <w:rsid w:val="00D0633E"/>
    <w:rsid w:val="00D07F1B"/>
    <w:rsid w:val="00D11946"/>
    <w:rsid w:val="00D12E74"/>
    <w:rsid w:val="00D2312F"/>
    <w:rsid w:val="00D238EE"/>
    <w:rsid w:val="00D23B04"/>
    <w:rsid w:val="00D269C1"/>
    <w:rsid w:val="00D41230"/>
    <w:rsid w:val="00D41B2F"/>
    <w:rsid w:val="00D44953"/>
    <w:rsid w:val="00D542F3"/>
    <w:rsid w:val="00D54513"/>
    <w:rsid w:val="00D54AAE"/>
    <w:rsid w:val="00D5644B"/>
    <w:rsid w:val="00D56E25"/>
    <w:rsid w:val="00D57E89"/>
    <w:rsid w:val="00D64D58"/>
    <w:rsid w:val="00D6560D"/>
    <w:rsid w:val="00D65D77"/>
    <w:rsid w:val="00D718D7"/>
    <w:rsid w:val="00D76AD4"/>
    <w:rsid w:val="00D814B7"/>
    <w:rsid w:val="00D858A3"/>
    <w:rsid w:val="00D90688"/>
    <w:rsid w:val="00DA3AAD"/>
    <w:rsid w:val="00DA3F36"/>
    <w:rsid w:val="00DB312B"/>
    <w:rsid w:val="00DC5654"/>
    <w:rsid w:val="00DC658F"/>
    <w:rsid w:val="00DC674A"/>
    <w:rsid w:val="00DE60CC"/>
    <w:rsid w:val="00E03F35"/>
    <w:rsid w:val="00E244BC"/>
    <w:rsid w:val="00E26B32"/>
    <w:rsid w:val="00E31984"/>
    <w:rsid w:val="00E31CD4"/>
    <w:rsid w:val="00E31E60"/>
    <w:rsid w:val="00E335F5"/>
    <w:rsid w:val="00E33E08"/>
    <w:rsid w:val="00E407B6"/>
    <w:rsid w:val="00E41D82"/>
    <w:rsid w:val="00E41EF1"/>
    <w:rsid w:val="00E42942"/>
    <w:rsid w:val="00E6148E"/>
    <w:rsid w:val="00E61691"/>
    <w:rsid w:val="00E65A0A"/>
    <w:rsid w:val="00E71BDF"/>
    <w:rsid w:val="00E75CCB"/>
    <w:rsid w:val="00E8245B"/>
    <w:rsid w:val="00E82C21"/>
    <w:rsid w:val="00E82F59"/>
    <w:rsid w:val="00E83CA7"/>
    <w:rsid w:val="00E87982"/>
    <w:rsid w:val="00E92192"/>
    <w:rsid w:val="00E95A71"/>
    <w:rsid w:val="00EA59CC"/>
    <w:rsid w:val="00EA6E1E"/>
    <w:rsid w:val="00EB7014"/>
    <w:rsid w:val="00EC5CDE"/>
    <w:rsid w:val="00EC7F2A"/>
    <w:rsid w:val="00ED3077"/>
    <w:rsid w:val="00ED487E"/>
    <w:rsid w:val="00ED64F1"/>
    <w:rsid w:val="00EE33A1"/>
    <w:rsid w:val="00EE7A0D"/>
    <w:rsid w:val="00F0222C"/>
    <w:rsid w:val="00F06647"/>
    <w:rsid w:val="00F12312"/>
    <w:rsid w:val="00F12BCD"/>
    <w:rsid w:val="00F13239"/>
    <w:rsid w:val="00F17CE1"/>
    <w:rsid w:val="00F2115C"/>
    <w:rsid w:val="00F22ABA"/>
    <w:rsid w:val="00F25919"/>
    <w:rsid w:val="00F25F4B"/>
    <w:rsid w:val="00F36B12"/>
    <w:rsid w:val="00F60F9F"/>
    <w:rsid w:val="00F61246"/>
    <w:rsid w:val="00F64F08"/>
    <w:rsid w:val="00F70055"/>
    <w:rsid w:val="00F734F5"/>
    <w:rsid w:val="00F73B5B"/>
    <w:rsid w:val="00F80A39"/>
    <w:rsid w:val="00F8536E"/>
    <w:rsid w:val="00F90EA5"/>
    <w:rsid w:val="00F91F5A"/>
    <w:rsid w:val="00F966B1"/>
    <w:rsid w:val="00F97D48"/>
    <w:rsid w:val="00FA0311"/>
    <w:rsid w:val="00FA1489"/>
    <w:rsid w:val="00FD1E07"/>
    <w:rsid w:val="00FD2B1B"/>
    <w:rsid w:val="00FD50F0"/>
    <w:rsid w:val="00FD640F"/>
    <w:rsid w:val="00FD6B4C"/>
    <w:rsid w:val="00FE04C6"/>
    <w:rsid w:val="00FE0553"/>
    <w:rsid w:val="00FE25D0"/>
    <w:rsid w:val="00FE6CB3"/>
    <w:rsid w:val="00FF41A5"/>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4B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121488"/>
    <w:pPr>
      <w:ind w:left="567" w:right="567"/>
      <w:jc w:val="center"/>
    </w:pPr>
    <w:rPr>
      <w:i/>
      <w:iCs/>
      <w:color w:val="408ABB" w:themeColor="accen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121488"/>
    <w:rPr>
      <w:i/>
      <w:iCs/>
      <w:color w:val="408ABB" w:themeColor="accen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911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3D35-4388-4BB5-AE44-F87676FE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SUMMARY CALD Assist: nursing</dc:title>
  <dc:subject/>
  <dc:creator>Safer Care Victoria</dc:creator>
  <cp:keywords>Safer Care Victoria, Better Care Victoria Innovation Fund, Better Care Victoria, Innovation Fund, BCV, SCV, innovation project, healthcare innovation, healthcare, innovation</cp:keywords>
  <cp:lastModifiedBy/>
  <cp:revision>1</cp:revision>
  <dcterms:created xsi:type="dcterms:W3CDTF">2020-12-16T23:59:00Z</dcterms:created>
  <dcterms:modified xsi:type="dcterms:W3CDTF">2020-12-17T00:00:00Z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2020-12-17T00:00:00Z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e8de05d3-ccb1-4456-852a-75d93c1dbd49</vt:lpwstr>
  </property>
  <property fmtid="{D5CDD505-2E9C-101B-9397-08002B2CF9AE}" pid="8" name="MSIP_Label_efdf5488-3066-4b6c-8fea-9472b8a1f34c_ContentBits">
    <vt:lpwstr>0</vt:lpwstr>
  </property>
</Properties>
</file>