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29D13" w14:textId="476884F9" w:rsidR="00A46288" w:rsidRPr="00DA3F36" w:rsidRDefault="00EC5E4E" w:rsidP="007A4444">
      <w:pPr>
        <w:pStyle w:val="Title"/>
      </w:pPr>
      <w:r>
        <w:t>collaborating to enhance regional medication management</w:t>
      </w:r>
    </w:p>
    <w:p w14:paraId="6800B4C5" w14:textId="3D8D07C9" w:rsidR="00897157" w:rsidRDefault="00257472" w:rsidP="00E03F35">
      <w:pPr>
        <w:pStyle w:val="IntroductoryText"/>
      </w:pPr>
      <w:r w:rsidRPr="00257472">
        <w:t xml:space="preserve">A clinical governance model was developed </w:t>
      </w:r>
      <w:r w:rsidR="003C6BAC">
        <w:t xml:space="preserve">for 12 health services </w:t>
      </w:r>
      <w:r w:rsidRPr="00257472">
        <w:t>to improve patient safety and quality of care</w:t>
      </w:r>
      <w:r w:rsidR="00FC0908">
        <w:t xml:space="preserve"> </w:t>
      </w:r>
      <w:r w:rsidRPr="00257472">
        <w:t>and increase access to pharmacy services in southwest Victoria.</w:t>
      </w:r>
    </w:p>
    <w:p w14:paraId="7E23E5B8" w14:textId="77777777" w:rsidR="007A4444" w:rsidRDefault="007A4444" w:rsidP="007A4444">
      <w:pPr>
        <w:pStyle w:val="NoSpacing"/>
      </w:pPr>
    </w:p>
    <w:p w14:paraId="4230C339" w14:textId="77777777" w:rsidR="007A4444" w:rsidRDefault="007A4444" w:rsidP="00794CB7">
      <w:pPr>
        <w:sectPr w:rsidR="007A4444" w:rsidSect="004358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2438" w:right="737" w:bottom="680" w:left="737" w:header="539" w:footer="624" w:gutter="0"/>
          <w:cols w:space="284"/>
          <w:titlePg/>
          <w:docGrid w:linePitch="360"/>
        </w:sectPr>
      </w:pPr>
    </w:p>
    <w:p w14:paraId="08B76A1A" w14:textId="30D2B9DC" w:rsidR="00911408" w:rsidRDefault="000C515F" w:rsidP="00911408">
      <w:pPr>
        <w:pStyle w:val="Heading2"/>
      </w:pPr>
      <w:r>
        <w:t>Background</w:t>
      </w:r>
    </w:p>
    <w:p w14:paraId="504E1B1F" w14:textId="38CBC178" w:rsidR="000705DC" w:rsidRDefault="000705DC" w:rsidP="000705DC">
      <w:pPr>
        <w:pStyle w:val="Normalfollowingheading"/>
      </w:pPr>
      <w:r>
        <w:t xml:space="preserve">Medication is the most common treatment used in healthcare. Although appropriate use of medication contributes to significant improvements in health, medication can also be associated with </w:t>
      </w:r>
      <w:r w:rsidR="00980D32">
        <w:t xml:space="preserve">patient </w:t>
      </w:r>
      <w:r>
        <w:t xml:space="preserve">harm. </w:t>
      </w:r>
    </w:p>
    <w:p w14:paraId="5FB743B0" w14:textId="77777777" w:rsidR="006501F7" w:rsidRDefault="000705DC" w:rsidP="00980D32">
      <w:pPr>
        <w:pStyle w:val="Normalfollowingheading"/>
      </w:pPr>
      <w:r>
        <w:t xml:space="preserve">Because it is so commonly used, medication is associated with a higher </w:t>
      </w:r>
      <w:r w:rsidR="00980D32">
        <w:t xml:space="preserve">likelihood </w:t>
      </w:r>
      <w:r>
        <w:t xml:space="preserve">of errors and </w:t>
      </w:r>
      <w:r w:rsidR="00980D32">
        <w:t xml:space="preserve">negative patient outcomes </w:t>
      </w:r>
      <w:r>
        <w:t xml:space="preserve">than other healthcare interventions. </w:t>
      </w:r>
    </w:p>
    <w:p w14:paraId="193DDC5D" w14:textId="35AC0062" w:rsidR="00A46F4E" w:rsidRDefault="00980D32" w:rsidP="00980D32">
      <w:pPr>
        <w:pStyle w:val="Normalfollowingheading"/>
      </w:pPr>
      <w:r>
        <w:t xml:space="preserve">Up to </w:t>
      </w:r>
      <w:r w:rsidR="000705DC">
        <w:t xml:space="preserve">50 per cent </w:t>
      </w:r>
      <w:r>
        <w:t xml:space="preserve">of these negative patient outcomes </w:t>
      </w:r>
      <w:r w:rsidR="000705DC">
        <w:t>are potentially avoidable.</w:t>
      </w:r>
      <w:r w:rsidR="006501F7">
        <w:t xml:space="preserve"> </w:t>
      </w:r>
      <w:r w:rsidR="000705DC">
        <w:t xml:space="preserve">Standardising and systemising processes can </w:t>
      </w:r>
      <w:r w:rsidR="006501F7">
        <w:t xml:space="preserve">help prevent </w:t>
      </w:r>
      <w:r w:rsidR="000705DC">
        <w:t>medication incidents</w:t>
      </w:r>
      <w:r w:rsidR="006501F7">
        <w:t xml:space="preserve"> and improve medication safety</w:t>
      </w:r>
      <w:r w:rsidR="000705DC">
        <w:t>.</w:t>
      </w:r>
      <w:r>
        <w:t xml:space="preserve"> </w:t>
      </w:r>
    </w:p>
    <w:p w14:paraId="5AC4D3DE" w14:textId="6DEFCFB6" w:rsidR="00416520" w:rsidRDefault="00980D32" w:rsidP="00A46F4E">
      <w:r>
        <w:t xml:space="preserve">The </w:t>
      </w:r>
      <w:r w:rsidR="00A9388D">
        <w:t xml:space="preserve">Central pharmacy </w:t>
      </w:r>
      <w:r>
        <w:t xml:space="preserve">project was led by </w:t>
      </w:r>
      <w:r w:rsidR="000705DC">
        <w:t>four health services – South West Healthcare</w:t>
      </w:r>
      <w:r w:rsidR="00422CB1">
        <w:t xml:space="preserve"> (SWH)</w:t>
      </w:r>
      <w:r w:rsidR="000705DC">
        <w:t xml:space="preserve">, Western District Health Service, Colac Area Health </w:t>
      </w:r>
      <w:r w:rsidR="00422CB1">
        <w:t xml:space="preserve">(CAH) </w:t>
      </w:r>
      <w:r w:rsidR="000705DC">
        <w:t>and Portland District Health</w:t>
      </w:r>
      <w:r w:rsidR="00FC0908">
        <w:t xml:space="preserve"> – </w:t>
      </w:r>
      <w:r w:rsidR="006501F7">
        <w:t xml:space="preserve">that had </w:t>
      </w:r>
      <w:r w:rsidR="000705DC">
        <w:t>hospitals with dedicate</w:t>
      </w:r>
      <w:r>
        <w:t>d</w:t>
      </w:r>
      <w:r w:rsidR="000705DC">
        <w:t xml:space="preserve"> on-site pharmacy departments. </w:t>
      </w:r>
    </w:p>
    <w:p w14:paraId="798E4A7F" w14:textId="7ADE1A60" w:rsidR="003C6BAC" w:rsidRDefault="000705DC" w:rsidP="003C6BAC">
      <w:r>
        <w:t xml:space="preserve">The project also involved eight </w:t>
      </w:r>
      <w:r w:rsidR="00FC0908">
        <w:t xml:space="preserve">smaller </w:t>
      </w:r>
      <w:r>
        <w:t>health services that had hospitals with no pharmacy resources</w:t>
      </w:r>
      <w:r w:rsidR="003C6BAC">
        <w:t xml:space="preserve">: </w:t>
      </w:r>
    </w:p>
    <w:p w14:paraId="62CCF367" w14:textId="35A6DF32" w:rsidR="003C6BAC" w:rsidRDefault="003C6BAC" w:rsidP="003C6BAC">
      <w:pPr>
        <w:pStyle w:val="Bullet1"/>
      </w:pPr>
      <w:r>
        <w:t>Lorne Community Health</w:t>
      </w:r>
    </w:p>
    <w:p w14:paraId="6BA2ADA0" w14:textId="5DCD40A0" w:rsidR="003C6BAC" w:rsidRDefault="003C6BAC" w:rsidP="003C6BAC">
      <w:pPr>
        <w:pStyle w:val="Bullet1"/>
      </w:pPr>
      <w:r>
        <w:t>Otway Health</w:t>
      </w:r>
    </w:p>
    <w:p w14:paraId="5AEBD2F4" w14:textId="2635348F" w:rsidR="003C6BAC" w:rsidRDefault="003C6BAC" w:rsidP="003C6BAC">
      <w:pPr>
        <w:pStyle w:val="Bullet1"/>
      </w:pPr>
      <w:r>
        <w:t>Hesse Rural Health Service</w:t>
      </w:r>
    </w:p>
    <w:p w14:paraId="2408AFFC" w14:textId="20A9F915" w:rsidR="003C6BAC" w:rsidRDefault="003C6BAC" w:rsidP="003C6BAC">
      <w:pPr>
        <w:pStyle w:val="Bullet1"/>
      </w:pPr>
      <w:r>
        <w:t>Timboon and District Healthcare Service</w:t>
      </w:r>
      <w:r w:rsidR="00EC5E4E">
        <w:t xml:space="preserve"> (TDHS)</w:t>
      </w:r>
    </w:p>
    <w:p w14:paraId="7C542C1D" w14:textId="1F2D8340" w:rsidR="003C6BAC" w:rsidRDefault="003C6BAC" w:rsidP="003C6BAC">
      <w:pPr>
        <w:pStyle w:val="Bullet1"/>
      </w:pPr>
      <w:r>
        <w:t>Terang and Mortlake Health Service</w:t>
      </w:r>
    </w:p>
    <w:p w14:paraId="442D3F02" w14:textId="20C67606" w:rsidR="003C6BAC" w:rsidRDefault="003C6BAC" w:rsidP="003C6BAC">
      <w:pPr>
        <w:pStyle w:val="Bullet1"/>
      </w:pPr>
      <w:r>
        <w:t>Moyne Health Service</w:t>
      </w:r>
      <w:r w:rsidR="00EC5E4E">
        <w:t>s</w:t>
      </w:r>
    </w:p>
    <w:p w14:paraId="16D70DEA" w14:textId="125FF1DE" w:rsidR="003C6BAC" w:rsidRDefault="003C6BAC" w:rsidP="003C6BAC">
      <w:pPr>
        <w:pStyle w:val="Bullet1"/>
      </w:pPr>
      <w:r>
        <w:t>Heywood Rural Health</w:t>
      </w:r>
    </w:p>
    <w:p w14:paraId="6FD9A3C1" w14:textId="05CE84FA" w:rsidR="003C6BAC" w:rsidRDefault="003C6BAC" w:rsidP="003C6BAC">
      <w:pPr>
        <w:pStyle w:val="Bullet1"/>
      </w:pPr>
      <w:r>
        <w:t>Casterton Memorial Hospital.</w:t>
      </w:r>
    </w:p>
    <w:p w14:paraId="6D0B4F18" w14:textId="7396DF37" w:rsidR="00980D32" w:rsidRDefault="000705DC" w:rsidP="00A46F4E">
      <w:r>
        <w:t xml:space="preserve">These services received varying levels of support from nearby hospital pharmacies and local community pharmacies. </w:t>
      </w:r>
    </w:p>
    <w:p w14:paraId="4E76590F" w14:textId="4A555C78" w:rsidR="006501F7" w:rsidRDefault="00A9388D" w:rsidP="00A9388D">
      <w:r>
        <w:t xml:space="preserve">The project </w:t>
      </w:r>
      <w:r w:rsidR="006501F7">
        <w:t xml:space="preserve">aimed to </w:t>
      </w:r>
      <w:r>
        <w:t xml:space="preserve">design </w:t>
      </w:r>
      <w:r w:rsidRPr="00980D32">
        <w:t xml:space="preserve">a regional pharmacy governance system </w:t>
      </w:r>
      <w:r w:rsidR="006501F7">
        <w:t xml:space="preserve">that could share and maximise the limited pharmacy resources available across southwest Victoria. </w:t>
      </w:r>
    </w:p>
    <w:p w14:paraId="6624816C" w14:textId="70AEAEF0" w:rsidR="00A9388D" w:rsidRDefault="006501F7" w:rsidP="00A9388D">
      <w:r>
        <w:t xml:space="preserve">The governance group would be </w:t>
      </w:r>
      <w:r w:rsidR="00A9388D">
        <w:t xml:space="preserve">responsible for identifying </w:t>
      </w:r>
      <w:r w:rsidR="00A9388D" w:rsidRPr="00980D32">
        <w:t>best practice in medication management and administration</w:t>
      </w:r>
      <w:r w:rsidR="00A9388D">
        <w:t xml:space="preserve"> to improve patient safety across the Barwon South West region.</w:t>
      </w:r>
    </w:p>
    <w:p w14:paraId="0B67654F" w14:textId="7249EDA1" w:rsidR="00EC7F2A" w:rsidRDefault="00C7098C" w:rsidP="003C6BAC">
      <w:r w:rsidRPr="00C821CE">
        <w:rPr>
          <w:i/>
          <w:iCs/>
          <w:noProof/>
        </w:rPr>
        <mc:AlternateContent>
          <mc:Choice Requires="wps">
            <w:drawing>
              <wp:inline distT="0" distB="0" distL="0" distR="0" wp14:anchorId="7E5AC192" wp14:editId="20584743">
                <wp:extent cx="3230245" cy="3971925"/>
                <wp:effectExtent l="0" t="0" r="27305" b="2857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245" cy="3971925"/>
                        </a:xfrm>
                        <a:prstGeom prst="rect">
                          <a:avLst/>
                        </a:prstGeom>
                        <a:solidFill>
                          <a:srgbClr val="FEEAD2"/>
                        </a:solidFill>
                        <a:ln w="6350">
                          <a:solidFill>
                            <a:srgbClr val="FEEAD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88FB7" w14:textId="7B58AF14" w:rsidR="00C7098C" w:rsidRPr="004D6898" w:rsidRDefault="00C7308F" w:rsidP="00C7098C">
                            <w:pPr>
                              <w:pStyle w:val="PulloutHeading"/>
                            </w:pPr>
                            <w:bookmarkStart w:id="0" w:name="_Hlk58443539"/>
                            <w:r>
                              <w:t>Central pharmacy</w:t>
                            </w:r>
                          </w:p>
                          <w:bookmarkEnd w:id="0"/>
                          <w:p w14:paraId="3BCE2E88" w14:textId="3BB37924" w:rsidR="00C7098C" w:rsidRDefault="00C7098C" w:rsidP="00C7098C">
                            <w:pPr>
                              <w:pStyle w:val="PulloutText"/>
                            </w:pPr>
                            <w:r w:rsidRPr="00186B39">
                              <w:rPr>
                                <w:b/>
                                <w:bCs/>
                              </w:rPr>
                              <w:t>Lead</w:t>
                            </w:r>
                            <w:r>
                              <w:t xml:space="preserve"> </w:t>
                            </w:r>
                            <w:r w:rsidR="005E6321" w:rsidRPr="005E6321">
                              <w:t>South West Healthcare</w:t>
                            </w:r>
                          </w:p>
                          <w:p w14:paraId="6FDBE315" w14:textId="24A971E9" w:rsidR="00C7098C" w:rsidRPr="005E6321" w:rsidRDefault="00C7098C" w:rsidP="005E6321">
                            <w:pPr>
                              <w:pStyle w:val="PulloutText"/>
                            </w:pPr>
                            <w:r w:rsidRPr="00911408">
                              <w:rPr>
                                <w:b/>
                                <w:bCs/>
                              </w:rPr>
                              <w:t>Partner</w:t>
                            </w:r>
                            <w:r w:rsidR="005E6321">
                              <w:rPr>
                                <w:b/>
                                <w:bCs/>
                              </w:rPr>
                              <w:t xml:space="preserve">s </w:t>
                            </w:r>
                            <w:r w:rsidR="005E6321" w:rsidRPr="005E6321">
                              <w:t>Western District Health Service</w:t>
                            </w:r>
                            <w:r w:rsidR="005E6321">
                              <w:t xml:space="preserve">, </w:t>
                            </w:r>
                            <w:r w:rsidR="005E6321" w:rsidRPr="005E6321">
                              <w:t>Colac Area Health</w:t>
                            </w:r>
                            <w:r w:rsidR="00257472">
                              <w:t xml:space="preserve">, </w:t>
                            </w:r>
                            <w:r w:rsidR="005E6321" w:rsidRPr="005E6321">
                              <w:t>Portland District Health</w:t>
                            </w:r>
                          </w:p>
                          <w:p w14:paraId="59A54D14" w14:textId="73915C92" w:rsidR="00C7098C" w:rsidRPr="002C1002" w:rsidRDefault="00186B39" w:rsidP="00C7098C">
                            <w:pPr>
                              <w:pStyle w:val="PulloutText"/>
                            </w:pPr>
                            <w:r>
                              <w:rPr>
                                <w:b/>
                                <w:bCs/>
                              </w:rPr>
                              <w:t>Duration</w:t>
                            </w:r>
                            <w:r w:rsidR="002C100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2C1002">
                              <w:t>December 2017 – December 2018</w:t>
                            </w:r>
                          </w:p>
                          <w:p w14:paraId="29DC0549" w14:textId="64AC5975" w:rsidR="00C7098C" w:rsidRDefault="00C7098C" w:rsidP="00C7098C">
                            <w:pPr>
                              <w:pStyle w:val="PulloutText"/>
                              <w:rPr>
                                <w:b/>
                                <w:bCs/>
                              </w:rPr>
                            </w:pPr>
                            <w:r w:rsidRPr="00911408">
                              <w:rPr>
                                <w:b/>
                                <w:bCs/>
                              </w:rPr>
                              <w:t xml:space="preserve">Key </w:t>
                            </w:r>
                            <w:r w:rsidR="00BC07DF">
                              <w:rPr>
                                <w:b/>
                                <w:bCs/>
                              </w:rPr>
                              <w:t>outcomes</w:t>
                            </w:r>
                          </w:p>
                          <w:p w14:paraId="6F41149D" w14:textId="51B82C67" w:rsidR="00CA6A44" w:rsidRDefault="00CA6A44" w:rsidP="00CA6A44">
                            <w:pPr>
                              <w:pStyle w:val="Bullet1"/>
                            </w:pPr>
                            <w:r>
                              <w:t xml:space="preserve">Designed a regional governance framework </w:t>
                            </w:r>
                            <w:r w:rsidR="00D00CBE">
                              <w:t>that was incorporated into a health agreement signed by the board chairs of all 12 health services</w:t>
                            </w:r>
                          </w:p>
                          <w:p w14:paraId="2EC0C0FA" w14:textId="77777777" w:rsidR="00CA6A44" w:rsidRDefault="00CA6A44" w:rsidP="00CA6A44">
                            <w:pPr>
                              <w:pStyle w:val="Bullet1"/>
                            </w:pPr>
                            <w:r>
                              <w:t>Identified medication safety gaps in participating health services</w:t>
                            </w:r>
                          </w:p>
                          <w:p w14:paraId="33B7FDA1" w14:textId="34465BA1" w:rsidR="00CA6A44" w:rsidRDefault="00D00CBE" w:rsidP="00CA6A44">
                            <w:pPr>
                              <w:pStyle w:val="Bullet1"/>
                            </w:pPr>
                            <w:r>
                              <w:t>P</w:t>
                            </w:r>
                            <w:r w:rsidR="00CA6A44">
                              <w:t xml:space="preserve">iloted a smart pump system that </w:t>
                            </w:r>
                            <w:r>
                              <w:t xml:space="preserve">was able to </w:t>
                            </w:r>
                            <w:r w:rsidR="00CA6A44">
                              <w:t>improve medication management and safety</w:t>
                            </w:r>
                          </w:p>
                          <w:p w14:paraId="32A24D52" w14:textId="5E8D73C5" w:rsidR="00C7308F" w:rsidRPr="00911408" w:rsidRDefault="00D00CBE" w:rsidP="00CA6A44">
                            <w:pPr>
                              <w:pStyle w:val="Bullet1"/>
                            </w:pPr>
                            <w:r>
                              <w:t xml:space="preserve">Trialled </w:t>
                            </w:r>
                            <w:r w:rsidR="00CA6A44">
                              <w:t xml:space="preserve">a ward box process that </w:t>
                            </w:r>
                            <w:r>
                              <w:t xml:space="preserve">demonstrated potential to reduce costs and streamline </w:t>
                            </w:r>
                            <w:r w:rsidR="00CA6A44">
                              <w:t>medication ordering for health service</w:t>
                            </w:r>
                            <w:r>
                              <w:t>s</w:t>
                            </w:r>
                            <w:r w:rsidR="00CA6A44">
                              <w:t xml:space="preserve"> with no pharmacy </w:t>
                            </w:r>
                            <w:r>
                              <w:t>resources</w:t>
                            </w:r>
                          </w:p>
                        </w:txbxContent>
                      </wps:txbx>
                      <wps:bodyPr rot="0" vert="horz" wrap="square" lIns="180000" tIns="180000" rIns="144000" bIns="36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5AC1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4.35pt;height:3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eQeJAIAAEgEAAAOAAAAZHJzL2Uyb0RvYy54bWysVNuO2yAQfa/Uf0C8N3au3bXirNJcqkrb&#10;i7TbD8AYx6jAUCCx06/vgLPpbvu2qh8QA8OZmXNmvLzrtSIn4bwEU9LxKKdEGA61NIeSfn/cv7uh&#10;xAdmaqbAiJKehad3q7dvlp0txARaULVwBEGMLzpb0jYEW2SZ563QzI/ACoOXDTjNAprukNWOdYiu&#10;VTbJ80XWgautAy68x9PtcElXCb9pBA9fm8aLQFRJMbeQVpfWKq7ZasmKg2O2lfySBntFFppJg0Gv&#10;UFsWGDk6+Q+UltyBhyaMOOgMmkZykWrAasb5X9U8tMyKVAuS4+2VJv//YPmX0zdHZF3SGSWGaZTo&#10;UfSBfICeTCI7nfUFOj1YdAs9HqPKqVJv74H/8MTApmXmINbOQdcKVmN24/gye/Z0wPERpOo+Q41h&#10;2DFAAuobpyN1SAZBdFTpfFUmpsLxcDqZ5pPZnBKOd9Pb9+PbyTzFYMXTc+t8+ChAk7gpqUPpEzw7&#10;3fsQ02HFk0uM5kHJei+VSoY7VBvlyIlhm+x3u/U21Y5PXrgpQ7qSLqbzfGDgFRBaBux3JXVJb/L4&#10;DR0YeduZOnVjYFINe4yvzIXIyN3AYuir/iJMBfUZKXUw9DXOIW5acL8o6bCnS+p/HpkTlKhPJsqS&#10;QuIUvLDcYM1mMRtSJWu6SAYzHNFKGigZtpuQZidyZmCNCjYycRulHpK5pIvtmii/jFach+d28vrz&#10;A1j9BgAA//8DAFBLAwQUAAYACAAAACEAv16g1d4AAAAFAQAADwAAAGRycy9kb3ducmV2LnhtbEyP&#10;QUvDQBCF74L/YRnBm91YSBtiNkUCioJgbT3obZudJjG7syG7beO/7+hFLwOP93jvm2I1OSuOOIbO&#10;k4LbWQICqfamo0bB+/bhJgMRoiajrSdU8I0BVuXlRaFz40/0hsdNbASXUMi1gjbGIZcy1C06HWZ+&#10;QGJv70enI8uxkWbUJy53Vs6TZCGd7ogXWj1g1WLdbw5OQWZeq5fnx4/+ay23S/u0/6x6kyp1fTXd&#10;34GIOMW/MPzgMzqUzLTzBzJBWAX8SPy97KVJtgSxU7CYpynIspD/6cszAAAA//8DAFBLAQItABQA&#10;BgAIAAAAIQC2gziS/gAAAOEBAAATAAAAAAAAAAAAAAAAAAAAAABbQ29udGVudF9UeXBlc10ueG1s&#10;UEsBAi0AFAAGAAgAAAAhADj9If/WAAAAlAEAAAsAAAAAAAAAAAAAAAAALwEAAF9yZWxzLy5yZWxz&#10;UEsBAi0AFAAGAAgAAAAhAFYJ5B4kAgAASAQAAA4AAAAAAAAAAAAAAAAALgIAAGRycy9lMm9Eb2Mu&#10;eG1sUEsBAi0AFAAGAAgAAAAhAL9eoNXeAAAABQEAAA8AAAAAAAAAAAAAAAAAfgQAAGRycy9kb3du&#10;cmV2LnhtbFBLBQYAAAAABAAEAPMAAACJBQAAAAA=&#10;" fillcolor="#feead2" strokecolor="#feead2" strokeweight=".5pt">
                <v:textbox inset="5mm,5mm,4mm,1mm">
                  <w:txbxContent>
                    <w:p w14:paraId="14988FB7" w14:textId="7B58AF14" w:rsidR="00C7098C" w:rsidRPr="004D6898" w:rsidRDefault="00C7308F" w:rsidP="00C7098C">
                      <w:pPr>
                        <w:pStyle w:val="PulloutHeading"/>
                      </w:pPr>
                      <w:bookmarkStart w:id="2" w:name="_Hlk58443539"/>
                      <w:r>
                        <w:t>Central pharmacy</w:t>
                      </w:r>
                    </w:p>
                    <w:bookmarkEnd w:id="2"/>
                    <w:p w14:paraId="3BCE2E88" w14:textId="3BB37924" w:rsidR="00C7098C" w:rsidRDefault="00C7098C" w:rsidP="00C7098C">
                      <w:pPr>
                        <w:pStyle w:val="PulloutText"/>
                      </w:pPr>
                      <w:r w:rsidRPr="00186B39">
                        <w:rPr>
                          <w:b/>
                          <w:bCs/>
                        </w:rPr>
                        <w:t>Lead</w:t>
                      </w:r>
                      <w:r>
                        <w:t xml:space="preserve"> </w:t>
                      </w:r>
                      <w:r w:rsidR="005E6321" w:rsidRPr="005E6321">
                        <w:t>South West Healthcare</w:t>
                      </w:r>
                    </w:p>
                    <w:p w14:paraId="6FDBE315" w14:textId="24A971E9" w:rsidR="00C7098C" w:rsidRPr="005E6321" w:rsidRDefault="00C7098C" w:rsidP="005E6321">
                      <w:pPr>
                        <w:pStyle w:val="PulloutText"/>
                      </w:pPr>
                      <w:r w:rsidRPr="00911408">
                        <w:rPr>
                          <w:b/>
                          <w:bCs/>
                        </w:rPr>
                        <w:t>Partner</w:t>
                      </w:r>
                      <w:r w:rsidR="005E6321">
                        <w:rPr>
                          <w:b/>
                          <w:bCs/>
                        </w:rPr>
                        <w:t xml:space="preserve">s </w:t>
                      </w:r>
                      <w:r w:rsidR="005E6321" w:rsidRPr="005E6321">
                        <w:t>Western District Health Service</w:t>
                      </w:r>
                      <w:r w:rsidR="005E6321">
                        <w:t xml:space="preserve">, </w:t>
                      </w:r>
                      <w:r w:rsidR="005E6321" w:rsidRPr="005E6321">
                        <w:t>Colac Area Health</w:t>
                      </w:r>
                      <w:r w:rsidR="00257472">
                        <w:t xml:space="preserve">, </w:t>
                      </w:r>
                      <w:r w:rsidR="005E6321" w:rsidRPr="005E6321">
                        <w:t>Portland District Health</w:t>
                      </w:r>
                    </w:p>
                    <w:p w14:paraId="59A54D14" w14:textId="73915C92" w:rsidR="00C7098C" w:rsidRPr="002C1002" w:rsidRDefault="00186B39" w:rsidP="00C7098C">
                      <w:pPr>
                        <w:pStyle w:val="PulloutText"/>
                      </w:pPr>
                      <w:r>
                        <w:rPr>
                          <w:b/>
                          <w:bCs/>
                        </w:rPr>
                        <w:t>Duration</w:t>
                      </w:r>
                      <w:r w:rsidR="002C1002">
                        <w:rPr>
                          <w:b/>
                          <w:bCs/>
                        </w:rPr>
                        <w:t xml:space="preserve"> </w:t>
                      </w:r>
                      <w:r w:rsidR="002C1002">
                        <w:t>December 2017 – December 2018</w:t>
                      </w:r>
                    </w:p>
                    <w:p w14:paraId="29DC0549" w14:textId="64AC5975" w:rsidR="00C7098C" w:rsidRDefault="00C7098C" w:rsidP="00C7098C">
                      <w:pPr>
                        <w:pStyle w:val="PulloutText"/>
                        <w:rPr>
                          <w:b/>
                          <w:bCs/>
                        </w:rPr>
                      </w:pPr>
                      <w:r w:rsidRPr="00911408">
                        <w:rPr>
                          <w:b/>
                          <w:bCs/>
                        </w:rPr>
                        <w:t xml:space="preserve">Key </w:t>
                      </w:r>
                      <w:r w:rsidR="00BC07DF">
                        <w:rPr>
                          <w:b/>
                          <w:bCs/>
                        </w:rPr>
                        <w:t>outcomes</w:t>
                      </w:r>
                    </w:p>
                    <w:p w14:paraId="6F41149D" w14:textId="51B82C67" w:rsidR="00CA6A44" w:rsidRDefault="00CA6A44" w:rsidP="00CA6A44">
                      <w:pPr>
                        <w:pStyle w:val="Bullet1"/>
                      </w:pPr>
                      <w:r>
                        <w:t xml:space="preserve">Designed a regional governance framework </w:t>
                      </w:r>
                      <w:r w:rsidR="00D00CBE">
                        <w:t>that was incorporated into a health agreement signed by the board chairs of all 12 health services</w:t>
                      </w:r>
                    </w:p>
                    <w:p w14:paraId="2EC0C0FA" w14:textId="77777777" w:rsidR="00CA6A44" w:rsidRDefault="00CA6A44" w:rsidP="00CA6A44">
                      <w:pPr>
                        <w:pStyle w:val="Bullet1"/>
                      </w:pPr>
                      <w:r>
                        <w:t>Identified medication safety gaps in participating health services</w:t>
                      </w:r>
                    </w:p>
                    <w:p w14:paraId="33B7FDA1" w14:textId="34465BA1" w:rsidR="00CA6A44" w:rsidRDefault="00D00CBE" w:rsidP="00CA6A44">
                      <w:pPr>
                        <w:pStyle w:val="Bullet1"/>
                      </w:pPr>
                      <w:r>
                        <w:t>P</w:t>
                      </w:r>
                      <w:r w:rsidR="00CA6A44">
                        <w:t xml:space="preserve">iloted a smart pump system that </w:t>
                      </w:r>
                      <w:r>
                        <w:t xml:space="preserve">was able to </w:t>
                      </w:r>
                      <w:r w:rsidR="00CA6A44">
                        <w:t>improve medication management and safety</w:t>
                      </w:r>
                    </w:p>
                    <w:p w14:paraId="32A24D52" w14:textId="5E8D73C5" w:rsidR="00C7308F" w:rsidRPr="00911408" w:rsidRDefault="00D00CBE" w:rsidP="00CA6A44">
                      <w:pPr>
                        <w:pStyle w:val="Bullet1"/>
                      </w:pPr>
                      <w:r>
                        <w:t xml:space="preserve">Trialled </w:t>
                      </w:r>
                      <w:r w:rsidR="00CA6A44">
                        <w:t xml:space="preserve">a ward box process that </w:t>
                      </w:r>
                      <w:r>
                        <w:t xml:space="preserve">demonstrated potential to reduce costs and streamline </w:t>
                      </w:r>
                      <w:r w:rsidR="00CA6A44">
                        <w:t>medication ordering for health service</w:t>
                      </w:r>
                      <w:r>
                        <w:t>s</w:t>
                      </w:r>
                      <w:r w:rsidR="00CA6A44">
                        <w:t xml:space="preserve"> with no pharmacy </w:t>
                      </w:r>
                      <w:r>
                        <w:t>resources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AC57C9" w14:textId="77777777" w:rsidR="00E41D82" w:rsidRDefault="00E41D82">
      <w:pPr>
        <w:rPr>
          <w:rFonts w:asciiTheme="majorHAnsi" w:eastAsiaTheme="majorEastAsia" w:hAnsiTheme="majorHAnsi" w:cstheme="majorBidi"/>
          <w:b/>
          <w:bCs/>
          <w:caps/>
          <w:color w:val="0063A5" w:themeColor="text2"/>
          <w:sz w:val="24"/>
          <w:szCs w:val="26"/>
        </w:rPr>
      </w:pPr>
      <w:r>
        <w:br w:type="page"/>
      </w:r>
    </w:p>
    <w:p w14:paraId="3DA60E98" w14:textId="49E0AD0B" w:rsidR="00794CB7" w:rsidRDefault="00B46BB2" w:rsidP="004A4ED0">
      <w:pPr>
        <w:pStyle w:val="Heading2"/>
      </w:pPr>
      <w:r>
        <w:lastRenderedPageBreak/>
        <w:t>K</w:t>
      </w:r>
      <w:r w:rsidR="00C7308F">
        <w:t>ey activity</w:t>
      </w:r>
    </w:p>
    <w:p w14:paraId="55EB4928" w14:textId="77777777" w:rsidR="005B3F59" w:rsidRPr="00F41CDA" w:rsidRDefault="001367C8" w:rsidP="00F41CDA">
      <w:pPr>
        <w:pStyle w:val="Normalfollowingheading"/>
      </w:pPr>
      <w:r w:rsidRPr="00F41CDA">
        <w:t xml:space="preserve">The initial phase of the </w:t>
      </w:r>
      <w:r w:rsidR="003C6BAC" w:rsidRPr="00F41CDA">
        <w:t xml:space="preserve">project involved the design of a regional governance framework. </w:t>
      </w:r>
    </w:p>
    <w:p w14:paraId="63525FD0" w14:textId="3F49C6FC" w:rsidR="006C7611" w:rsidRPr="00F41CDA" w:rsidRDefault="005B3F59" w:rsidP="00F41CDA">
      <w:pPr>
        <w:pStyle w:val="Normalfollowingheading"/>
      </w:pPr>
      <w:r w:rsidRPr="00F41CDA">
        <w:t>To support the development of this framework, a variety of activities were undertaken, including:</w:t>
      </w:r>
    </w:p>
    <w:p w14:paraId="2AA6AAAB" w14:textId="0C6388EB" w:rsidR="005B3F59" w:rsidRDefault="005B3F59" w:rsidP="001367C8">
      <w:pPr>
        <w:pStyle w:val="Bullet1"/>
      </w:pPr>
      <w:r>
        <w:t xml:space="preserve">a </w:t>
      </w:r>
      <w:r w:rsidR="00806ABA" w:rsidRPr="00806ABA">
        <w:rPr>
          <w:b/>
          <w:bCs/>
        </w:rPr>
        <w:t>medication safety</w:t>
      </w:r>
      <w:r w:rsidR="00806ABA">
        <w:t xml:space="preserve"> </w:t>
      </w:r>
      <w:r w:rsidRPr="005B3F59">
        <w:rPr>
          <w:b/>
          <w:bCs/>
        </w:rPr>
        <w:t>gap analysis</w:t>
      </w:r>
      <w:r w:rsidR="00D00CBE" w:rsidRPr="00D00CBE">
        <w:t>, which was</w:t>
      </w:r>
      <w:r w:rsidR="00D00CBE">
        <w:rPr>
          <w:b/>
          <w:bCs/>
        </w:rPr>
        <w:t xml:space="preserve"> </w:t>
      </w:r>
      <w:r w:rsidR="001348E2">
        <w:t>conducted at</w:t>
      </w:r>
      <w:r>
        <w:t xml:space="preserve"> the </w:t>
      </w:r>
      <w:r w:rsidR="00EE6231">
        <w:t xml:space="preserve">eight </w:t>
      </w:r>
      <w:r>
        <w:t>health services</w:t>
      </w:r>
      <w:r w:rsidR="00EE6231">
        <w:t xml:space="preserve"> </w:t>
      </w:r>
      <w:r w:rsidR="00D00CBE">
        <w:t xml:space="preserve">that had no </w:t>
      </w:r>
      <w:r w:rsidR="001D0F34">
        <w:t>dedicated pharmacy department</w:t>
      </w:r>
      <w:r w:rsidR="002268A3">
        <w:t>s</w:t>
      </w:r>
      <w:r w:rsidR="001348E2">
        <w:t xml:space="preserve">. A survey of </w:t>
      </w:r>
      <w:r w:rsidR="001348E2" w:rsidRPr="001348E2">
        <w:t xml:space="preserve">a wide variety of staff – including </w:t>
      </w:r>
      <w:r w:rsidR="00DD79DF">
        <w:t>chief executive officers (C</w:t>
      </w:r>
      <w:r w:rsidR="001348E2" w:rsidRPr="001348E2">
        <w:t>EOs</w:t>
      </w:r>
      <w:r w:rsidR="00DD79DF">
        <w:t>)</w:t>
      </w:r>
      <w:r w:rsidR="001348E2" w:rsidRPr="001348E2">
        <w:t xml:space="preserve"> and nurse unit managers – </w:t>
      </w:r>
      <w:r w:rsidR="001348E2">
        <w:t xml:space="preserve">from across all 12 sites was also conducted to understand </w:t>
      </w:r>
      <w:r w:rsidR="001348E2" w:rsidRPr="001348E2">
        <w:t xml:space="preserve">staff views </w:t>
      </w:r>
      <w:r w:rsidR="00D00CBE">
        <w:t xml:space="preserve">on </w:t>
      </w:r>
      <w:r w:rsidR="001348E2" w:rsidRPr="001348E2">
        <w:t>clinical governance for medication management and pharmacy services</w:t>
      </w:r>
    </w:p>
    <w:p w14:paraId="7472A580" w14:textId="3B6061B7" w:rsidR="005B3F59" w:rsidRDefault="005B3F59" w:rsidP="005B3F59">
      <w:pPr>
        <w:pStyle w:val="Bullet1"/>
      </w:pPr>
      <w:r>
        <w:t xml:space="preserve">the </w:t>
      </w:r>
      <w:r w:rsidRPr="005233A1">
        <w:rPr>
          <w:b/>
          <w:bCs/>
        </w:rPr>
        <w:t>pilot of a smart pump</w:t>
      </w:r>
      <w:r w:rsidRPr="005B3F59">
        <w:t xml:space="preserve">, an intravenous </w:t>
      </w:r>
      <w:r>
        <w:t xml:space="preserve">drip system with computer software that can alert </w:t>
      </w:r>
      <w:r w:rsidR="005233A1">
        <w:t xml:space="preserve">clinical staff </w:t>
      </w:r>
      <w:r>
        <w:t xml:space="preserve">to </w:t>
      </w:r>
      <w:r w:rsidR="00D00CBE">
        <w:t xml:space="preserve">the administration of </w:t>
      </w:r>
      <w:r>
        <w:t xml:space="preserve">unsafe </w:t>
      </w:r>
      <w:r w:rsidR="005233A1">
        <w:t xml:space="preserve">medication dosages </w:t>
      </w:r>
      <w:r>
        <w:t xml:space="preserve">and programming errors </w:t>
      </w:r>
      <w:r w:rsidR="005233A1">
        <w:t xml:space="preserve">once a dataset of </w:t>
      </w:r>
      <w:r>
        <w:t xml:space="preserve">standard concentrations and dose limits </w:t>
      </w:r>
      <w:r w:rsidR="005233A1">
        <w:t xml:space="preserve">has </w:t>
      </w:r>
      <w:r>
        <w:t xml:space="preserve">been programmed into </w:t>
      </w:r>
      <w:r w:rsidR="005233A1">
        <w:t>it</w:t>
      </w:r>
    </w:p>
    <w:p w14:paraId="6FE74EC2" w14:textId="6F964FDE" w:rsidR="005233A1" w:rsidRDefault="005233A1" w:rsidP="001367C8">
      <w:pPr>
        <w:pStyle w:val="Bullet1"/>
      </w:pPr>
      <w:r>
        <w:t xml:space="preserve">the </w:t>
      </w:r>
      <w:r w:rsidRPr="005233A1">
        <w:rPr>
          <w:b/>
          <w:bCs/>
        </w:rPr>
        <w:t>pilot of a ward box</w:t>
      </w:r>
      <w:r>
        <w:t xml:space="preserve"> </w:t>
      </w:r>
      <w:r w:rsidR="001367C8">
        <w:t xml:space="preserve">medication </w:t>
      </w:r>
      <w:r w:rsidR="00D00CBE">
        <w:t xml:space="preserve">ordering </w:t>
      </w:r>
      <w:r w:rsidR="001367C8">
        <w:t>and distribution system</w:t>
      </w:r>
      <w:r>
        <w:t xml:space="preserve"> that aimed to centralise the ordering of medications across the 12 sites and improve access to </w:t>
      </w:r>
      <w:r w:rsidR="00934B2D" w:rsidRPr="00934B2D">
        <w:t xml:space="preserve">competitive </w:t>
      </w:r>
      <w:r w:rsidR="00934B2D">
        <w:t xml:space="preserve">pricing </w:t>
      </w:r>
      <w:r w:rsidR="00D00CBE">
        <w:t>for smaller health services</w:t>
      </w:r>
    </w:p>
    <w:p w14:paraId="2498E307" w14:textId="17C0163B" w:rsidR="00F41CDA" w:rsidRDefault="005233A1" w:rsidP="00F41CDA">
      <w:pPr>
        <w:pStyle w:val="Bullet1"/>
      </w:pPr>
      <w:r>
        <w:t xml:space="preserve">a study on the feasibility of a </w:t>
      </w:r>
      <w:r w:rsidRPr="005233A1">
        <w:rPr>
          <w:b/>
          <w:bCs/>
        </w:rPr>
        <w:t>regional cytotoxic medication compounding service</w:t>
      </w:r>
      <w:r>
        <w:t xml:space="preserve"> where one health service prepares (or ‘compounds’) the medication before distributing it to the other 11 sites.</w:t>
      </w:r>
    </w:p>
    <w:p w14:paraId="3215FA55" w14:textId="77777777" w:rsidR="00AA7165" w:rsidRDefault="00AA7165" w:rsidP="00AA7165">
      <w:r>
        <w:rPr>
          <w:noProof/>
        </w:rPr>
        <w:drawing>
          <wp:inline distT="0" distB="0" distL="0" distR="0" wp14:anchorId="4C59D44D" wp14:editId="5F50C726">
            <wp:extent cx="3221990" cy="2752725"/>
            <wp:effectExtent l="0" t="0" r="0" b="9525"/>
            <wp:docPr id="14" name="Picture 14" descr="A pharmacist examining a bottle of medic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Placeholder Fact Sheet.jpg"/>
                    <pic:cNvPicPr/>
                  </pic:nvPicPr>
                  <pic:blipFill rotWithShape="1"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3244" b="29799"/>
                    <a:stretch/>
                  </pic:blipFill>
                  <pic:spPr bwMode="auto">
                    <a:xfrm>
                      <a:off x="0" y="0"/>
                      <a:ext cx="3221990" cy="2752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CFB341" w14:textId="0F1BA1AC" w:rsidR="002B5C34" w:rsidRPr="00F80A39" w:rsidRDefault="00435805" w:rsidP="004A4ED0">
      <w:pPr>
        <w:pStyle w:val="Heading2"/>
      </w:pPr>
      <w:r>
        <w:t>O</w:t>
      </w:r>
      <w:r w:rsidR="009B1BBA" w:rsidRPr="00F80A39">
        <w:t>utcomes</w:t>
      </w:r>
    </w:p>
    <w:p w14:paraId="7D52C39A" w14:textId="77777777" w:rsidR="00F41CDA" w:rsidRDefault="00F41CDA" w:rsidP="00F41CDA">
      <w:pPr>
        <w:pStyle w:val="Heading3"/>
      </w:pPr>
      <w:r>
        <w:t>Regional governance framework design</w:t>
      </w:r>
    </w:p>
    <w:p w14:paraId="6950FB8D" w14:textId="079027A5" w:rsidR="004E607A" w:rsidRDefault="004E607A" w:rsidP="00F41CDA">
      <w:pPr>
        <w:pStyle w:val="Bullet1"/>
      </w:pPr>
      <w:r>
        <w:t xml:space="preserve">Under the framework that was designed as part of the project, the </w:t>
      </w:r>
      <w:r w:rsidR="00F41CDA">
        <w:t xml:space="preserve">CEOs and governing bodies of the 12 health services </w:t>
      </w:r>
      <w:r>
        <w:t xml:space="preserve">would delegate authority </w:t>
      </w:r>
      <w:r w:rsidR="0028242D">
        <w:t xml:space="preserve">and appoint representatives </w:t>
      </w:r>
      <w:r w:rsidR="00F41CDA">
        <w:t>to a central regional ph</w:t>
      </w:r>
      <w:r>
        <w:t xml:space="preserve">armacy governance group (RPGG). </w:t>
      </w:r>
    </w:p>
    <w:p w14:paraId="2F8A797F" w14:textId="11F0360B" w:rsidR="004E607A" w:rsidRDefault="004E607A" w:rsidP="00F41CDA">
      <w:pPr>
        <w:pStyle w:val="Bullet1"/>
      </w:pPr>
      <w:r>
        <w:t xml:space="preserve">The RPGG </w:t>
      </w:r>
      <w:r w:rsidR="00FE7088">
        <w:t xml:space="preserve">would be responsible for </w:t>
      </w:r>
      <w:r w:rsidR="00FE7088" w:rsidRPr="00FE7088">
        <w:t xml:space="preserve">monitoring and providing advice, direction and recommendations </w:t>
      </w:r>
      <w:r w:rsidR="00FE7088">
        <w:t xml:space="preserve">on </w:t>
      </w:r>
      <w:r w:rsidR="00FE7088" w:rsidRPr="00FE7088">
        <w:t xml:space="preserve">the quality and safety of pharmacy services and medication management </w:t>
      </w:r>
      <w:r w:rsidR="00FE7088">
        <w:t>across the 12 health services.</w:t>
      </w:r>
      <w:r w:rsidR="0028242D">
        <w:t xml:space="preserve"> </w:t>
      </w:r>
      <w:r w:rsidR="00FE7088">
        <w:t xml:space="preserve">These recommendations </w:t>
      </w:r>
      <w:r>
        <w:t xml:space="preserve">would be presented to a clinical governance executive team for consideration and action. </w:t>
      </w:r>
    </w:p>
    <w:p w14:paraId="014F0E55" w14:textId="40CF3DFF" w:rsidR="00F41CDA" w:rsidRDefault="004E607A" w:rsidP="00F41CDA">
      <w:pPr>
        <w:pStyle w:val="Bullet1"/>
      </w:pPr>
      <w:r>
        <w:t xml:space="preserve">Once approved, any </w:t>
      </w:r>
      <w:r w:rsidR="00F41CDA">
        <w:t xml:space="preserve">RPGG decisions would be implemented </w:t>
      </w:r>
      <w:r>
        <w:t xml:space="preserve">across the 12 health services </w:t>
      </w:r>
      <w:r w:rsidR="00F41CDA">
        <w:t xml:space="preserve">via a federated structure, </w:t>
      </w:r>
      <w:r w:rsidR="0028242D">
        <w:t xml:space="preserve">with </w:t>
      </w:r>
      <w:r w:rsidR="00F41CDA">
        <w:t xml:space="preserve">health services independently </w:t>
      </w:r>
      <w:r>
        <w:t>manag</w:t>
      </w:r>
      <w:r w:rsidR="0028242D">
        <w:t>ing</w:t>
      </w:r>
      <w:r>
        <w:t xml:space="preserve"> implementation at their site but </w:t>
      </w:r>
      <w:r w:rsidR="0028242D">
        <w:t xml:space="preserve">in a </w:t>
      </w:r>
      <w:r w:rsidR="00F41CDA">
        <w:t xml:space="preserve">collaborative manner with other </w:t>
      </w:r>
      <w:r w:rsidR="0028242D">
        <w:t>sites</w:t>
      </w:r>
      <w:r w:rsidR="00F41CDA">
        <w:t xml:space="preserve">. </w:t>
      </w:r>
    </w:p>
    <w:p w14:paraId="4DA79090" w14:textId="6D31FC55" w:rsidR="004E607A" w:rsidRDefault="004E607A" w:rsidP="00F41CDA">
      <w:pPr>
        <w:pStyle w:val="Bullet1"/>
      </w:pPr>
      <w:r>
        <w:t xml:space="preserve">This </w:t>
      </w:r>
      <w:r w:rsidR="0028242D">
        <w:t xml:space="preserve">regional governance </w:t>
      </w:r>
      <w:r>
        <w:t xml:space="preserve">framework was incorporated into a health </w:t>
      </w:r>
      <w:r w:rsidR="00D00CBE">
        <w:t xml:space="preserve">agreement </w:t>
      </w:r>
      <w:r>
        <w:t xml:space="preserve">which was signed by the board chairs of all 12 health services. </w:t>
      </w:r>
    </w:p>
    <w:p w14:paraId="6088827E" w14:textId="18DB2282" w:rsidR="00EE6231" w:rsidRDefault="00806ABA" w:rsidP="00B72288">
      <w:pPr>
        <w:pStyle w:val="Heading3"/>
      </w:pPr>
      <w:r>
        <w:t>Medication safety g</w:t>
      </w:r>
      <w:r w:rsidR="00EE6231">
        <w:t>ap analysis</w:t>
      </w:r>
    </w:p>
    <w:p w14:paraId="19B81F80" w14:textId="68CE213F" w:rsidR="00B72288" w:rsidRDefault="00B72288" w:rsidP="00B72288">
      <w:pPr>
        <w:pStyle w:val="Normalfollowingheading"/>
      </w:pPr>
      <w:r>
        <w:t xml:space="preserve">The eight smaller health services self-identified gaps or </w:t>
      </w:r>
      <w:r w:rsidR="00EF61C2">
        <w:t xml:space="preserve">areas </w:t>
      </w:r>
      <w:r>
        <w:t xml:space="preserve">for improvement that </w:t>
      </w:r>
      <w:r w:rsidR="0028242D">
        <w:t xml:space="preserve">generally focussed on </w:t>
      </w:r>
      <w:r>
        <w:t xml:space="preserve">two distinct areas: </w:t>
      </w:r>
    </w:p>
    <w:p w14:paraId="762DBBE9" w14:textId="141EC462" w:rsidR="00B72288" w:rsidRPr="00AD72C6" w:rsidRDefault="00DD79DF" w:rsidP="00AD72C6">
      <w:pPr>
        <w:pStyle w:val="Bullet1"/>
      </w:pPr>
      <w:r w:rsidRPr="00AD72C6">
        <w:rPr>
          <w:b/>
          <w:bCs/>
        </w:rPr>
        <w:t xml:space="preserve">Pharmaceutical </w:t>
      </w:r>
      <w:r w:rsidR="00B72288" w:rsidRPr="00AD72C6">
        <w:rPr>
          <w:b/>
          <w:bCs/>
        </w:rPr>
        <w:t>assistance with transition of care</w:t>
      </w:r>
      <w:r w:rsidR="00EF61C2" w:rsidRPr="00AD72C6">
        <w:t xml:space="preserve"> – </w:t>
      </w:r>
      <w:r w:rsidRPr="00AD72C6">
        <w:t>W</w:t>
      </w:r>
      <w:r w:rsidR="00EF61C2" w:rsidRPr="00AD72C6">
        <w:t>hen moving patients between healthcare locations or providers, or to a different level of care within the same location, there can be an increased risk of medication-related incidents. Patient harm can be minimised through safe and effective medication management</w:t>
      </w:r>
      <w:r w:rsidR="00446734">
        <w:t>.</w:t>
      </w:r>
      <w:bookmarkStart w:id="1" w:name="_GoBack"/>
      <w:bookmarkEnd w:id="1"/>
    </w:p>
    <w:p w14:paraId="422688D9" w14:textId="33940F8F" w:rsidR="00B72288" w:rsidRPr="00AD72C6" w:rsidRDefault="00DD79DF" w:rsidP="00AD72C6">
      <w:pPr>
        <w:pStyle w:val="Bullet1"/>
      </w:pPr>
      <w:r w:rsidRPr="00AD72C6">
        <w:rPr>
          <w:b/>
          <w:bCs/>
        </w:rPr>
        <w:t>I</w:t>
      </w:r>
      <w:r w:rsidR="00B72288" w:rsidRPr="00AD72C6">
        <w:rPr>
          <w:b/>
          <w:bCs/>
        </w:rPr>
        <w:t>ssues with quality use of medicines</w:t>
      </w:r>
      <w:r w:rsidR="00EF61C2" w:rsidRPr="00AD72C6">
        <w:t xml:space="preserve"> – </w:t>
      </w:r>
      <w:r w:rsidRPr="00AD72C6">
        <w:t>T</w:t>
      </w:r>
      <w:r w:rsidR="00EF61C2" w:rsidRPr="00AD72C6">
        <w:t xml:space="preserve">he health services identified common difficulties in accessing regular, highly skilled and competent clinical pharmacy assistance to </w:t>
      </w:r>
      <w:r w:rsidR="0028242D" w:rsidRPr="00AD72C6">
        <w:t>help</w:t>
      </w:r>
      <w:r w:rsidR="00EF61C2" w:rsidRPr="00AD72C6">
        <w:t xml:space="preserve"> with accreditation and medication safety</w:t>
      </w:r>
      <w:r w:rsidR="00B72288" w:rsidRPr="00AD72C6">
        <w:t>.</w:t>
      </w:r>
    </w:p>
    <w:p w14:paraId="37612E2C" w14:textId="3A4511E6" w:rsidR="00AA7165" w:rsidRDefault="0028242D" w:rsidP="005D5BE6">
      <w:pPr>
        <w:sectPr w:rsidR="00AA7165" w:rsidSect="00700AAF">
          <w:footerReference w:type="default" r:id="rId15"/>
          <w:type w:val="continuous"/>
          <w:pgSz w:w="11906" w:h="16838" w:code="9"/>
          <w:pgMar w:top="2438" w:right="737" w:bottom="680" w:left="737" w:header="539" w:footer="624" w:gutter="0"/>
          <w:cols w:num="2" w:space="284"/>
          <w:docGrid w:linePitch="360"/>
        </w:sectPr>
      </w:pPr>
      <w:r>
        <w:t xml:space="preserve">Surveys </w:t>
      </w:r>
      <w:r w:rsidR="005D5BE6">
        <w:t xml:space="preserve">showed that more than </w:t>
      </w:r>
      <w:r w:rsidR="001348E2" w:rsidRPr="001348E2">
        <w:t xml:space="preserve">75 per </w:t>
      </w:r>
      <w:r w:rsidR="001348E2">
        <w:t xml:space="preserve">cent of </w:t>
      </w:r>
      <w:r w:rsidR="001348E2" w:rsidRPr="001348E2">
        <w:t xml:space="preserve">the 116 </w:t>
      </w:r>
      <w:r w:rsidR="001348E2">
        <w:t xml:space="preserve">respondents </w:t>
      </w:r>
      <w:r w:rsidR="005D5BE6">
        <w:t xml:space="preserve">felt </w:t>
      </w:r>
      <w:r w:rsidR="001348E2" w:rsidRPr="001348E2">
        <w:t xml:space="preserve">collaboration on shared </w:t>
      </w:r>
      <w:r w:rsidR="005D5BE6">
        <w:t xml:space="preserve">clinical governance for medication </w:t>
      </w:r>
      <w:r w:rsidR="001348E2" w:rsidRPr="001348E2">
        <w:t xml:space="preserve">management should definitely or probably be a priority for their health </w:t>
      </w:r>
      <w:r w:rsidR="005D5BE6">
        <w:t xml:space="preserve">service. </w:t>
      </w:r>
    </w:p>
    <w:p w14:paraId="3C8A64F4" w14:textId="0EF63AD5" w:rsidR="00806ABA" w:rsidRDefault="00697FC3" w:rsidP="00697FC3">
      <w:pPr>
        <w:pStyle w:val="Heading3"/>
      </w:pPr>
      <w:r>
        <w:lastRenderedPageBreak/>
        <w:t>Smart pump pilot</w:t>
      </w:r>
    </w:p>
    <w:p w14:paraId="173BBD25" w14:textId="52CFE3EF" w:rsidR="00697FC3" w:rsidRDefault="00B815B2" w:rsidP="00B46BB2">
      <w:pPr>
        <w:pStyle w:val="Normalfollowingheading"/>
      </w:pPr>
      <w:r>
        <w:t xml:space="preserve">A </w:t>
      </w:r>
      <w:r w:rsidR="00DA6C70">
        <w:t xml:space="preserve">proof of concept </w:t>
      </w:r>
      <w:r>
        <w:t xml:space="preserve">for </w:t>
      </w:r>
      <w:r w:rsidR="0028242D">
        <w:t xml:space="preserve">a </w:t>
      </w:r>
      <w:r>
        <w:t xml:space="preserve">smart pump </w:t>
      </w:r>
      <w:r w:rsidR="0028242D">
        <w:t xml:space="preserve">system </w:t>
      </w:r>
      <w:r>
        <w:t xml:space="preserve">was conducted at </w:t>
      </w:r>
      <w:r w:rsidR="00422CB1">
        <w:t xml:space="preserve">SWH </w:t>
      </w:r>
      <w:r>
        <w:t>and</w:t>
      </w:r>
      <w:r w:rsidRPr="00B815B2">
        <w:t xml:space="preserve"> Moyne Health Service</w:t>
      </w:r>
      <w:r w:rsidR="00EC5E4E">
        <w:t>s</w:t>
      </w:r>
      <w:r w:rsidR="00DA6C70">
        <w:t xml:space="preserve"> to demonstrate the use of clinical information and communications technology-based advances in medication safety</w:t>
      </w:r>
      <w:r w:rsidR="004D10A5">
        <w:t xml:space="preserve">. It </w:t>
      </w:r>
      <w:r w:rsidR="0028242D">
        <w:t xml:space="preserve">also provided </w:t>
      </w:r>
      <w:r w:rsidR="004D10A5">
        <w:t>a practical example of what could be achieved under the proposed regional governance framework</w:t>
      </w:r>
      <w:r>
        <w:t xml:space="preserve">. </w:t>
      </w:r>
    </w:p>
    <w:p w14:paraId="490D7EA1" w14:textId="600C3A90" w:rsidR="00AA7165" w:rsidRDefault="0016228A" w:rsidP="00B46BB2">
      <w:pPr>
        <w:pStyle w:val="Normalfollowingheading"/>
      </w:pPr>
      <w:r>
        <w:t xml:space="preserve">The smart pump pilot </w:t>
      </w:r>
      <w:r w:rsidR="008A0DE7">
        <w:t xml:space="preserve">succeeded in demonstrating that </w:t>
      </w:r>
      <w:r>
        <w:t xml:space="preserve">complex clinical pharmacy skills </w:t>
      </w:r>
      <w:r w:rsidR="008A0DE7">
        <w:t xml:space="preserve">available from one major health service </w:t>
      </w:r>
      <w:r w:rsidR="0028242D">
        <w:t xml:space="preserve">can </w:t>
      </w:r>
      <w:r>
        <w:t xml:space="preserve">be </w:t>
      </w:r>
      <w:r w:rsidR="0018504C">
        <w:t>extended across a region</w:t>
      </w:r>
      <w:r>
        <w:t>, significantly improving the management of risk and providing safer medication systems.</w:t>
      </w:r>
    </w:p>
    <w:p w14:paraId="635E09B9" w14:textId="5E499CB4" w:rsidR="00697FC3" w:rsidRDefault="00697FC3" w:rsidP="00AA7165">
      <w:pPr>
        <w:pStyle w:val="Heading3"/>
      </w:pPr>
      <w:r w:rsidRPr="00697FC3">
        <w:t>Ward box pilot</w:t>
      </w:r>
    </w:p>
    <w:p w14:paraId="1A922032" w14:textId="327652D9" w:rsidR="00873CA9" w:rsidRPr="00B46BB2" w:rsidRDefault="00D06B98" w:rsidP="00B46BB2">
      <w:pPr>
        <w:pStyle w:val="Normalfollowingheading"/>
      </w:pPr>
      <w:r w:rsidRPr="00B46BB2">
        <w:t xml:space="preserve">This proof of concept aimed to improve oversight of medication management for all 12 health services and streamline service provision by implementing a ‘ward box’ process at </w:t>
      </w:r>
      <w:r w:rsidR="00873CA9" w:rsidRPr="00B46BB2">
        <w:t>TDHS</w:t>
      </w:r>
      <w:r w:rsidR="008B7BCB" w:rsidRPr="00B46BB2">
        <w:t xml:space="preserve"> that was managed by CAH.</w:t>
      </w:r>
    </w:p>
    <w:p w14:paraId="7E8FA507" w14:textId="2D18BB59" w:rsidR="00D06B98" w:rsidRPr="00B46BB2" w:rsidRDefault="00722136" w:rsidP="00B46BB2">
      <w:pPr>
        <w:pStyle w:val="Normalfollowingheading"/>
      </w:pPr>
      <w:r w:rsidRPr="00B46BB2">
        <w:t xml:space="preserve">Under the new </w:t>
      </w:r>
      <w:r w:rsidR="00873CA9" w:rsidRPr="00B46BB2">
        <w:t>process</w:t>
      </w:r>
      <w:r w:rsidRPr="00B46BB2">
        <w:t xml:space="preserve">, </w:t>
      </w:r>
      <w:r w:rsidR="00873CA9" w:rsidRPr="00B46BB2">
        <w:t xml:space="preserve">TDHS </w:t>
      </w:r>
      <w:r w:rsidRPr="00B46BB2">
        <w:t xml:space="preserve">submitted </w:t>
      </w:r>
      <w:r w:rsidR="00873CA9" w:rsidRPr="00B46BB2">
        <w:t>its medication orders electronically to the hospital pharmacy at C</w:t>
      </w:r>
      <w:r w:rsidR="008B7BCB" w:rsidRPr="00B46BB2">
        <w:t>A</w:t>
      </w:r>
      <w:r w:rsidR="00873CA9" w:rsidRPr="00B46BB2">
        <w:t xml:space="preserve">H. The larger hospital would review the order, send it on to a wholesaler, and the order would be delivered directly to the ward via courier. </w:t>
      </w:r>
    </w:p>
    <w:p w14:paraId="5DEC3981" w14:textId="00551C76" w:rsidR="00722136" w:rsidRPr="00B46BB2" w:rsidRDefault="00722136" w:rsidP="00B46BB2">
      <w:pPr>
        <w:pStyle w:val="Normalfollowingheading"/>
      </w:pPr>
      <w:r w:rsidRPr="00B46BB2">
        <w:t>Previously, TDHS sourced some of its medications from the local community pharmacy, which would be at retail cost with additional mark</w:t>
      </w:r>
      <w:r w:rsidR="00DD79DF">
        <w:t>-</w:t>
      </w:r>
      <w:r w:rsidRPr="00B46BB2">
        <w:t>up. The ward box process allowed TDHS to order all medications at wholesale price</w:t>
      </w:r>
      <w:r w:rsidR="005A19C3" w:rsidRPr="00B46BB2">
        <w:t>s available to CAH through arrangements with Health Purchasing Victoria</w:t>
      </w:r>
      <w:r w:rsidRPr="00B46BB2">
        <w:t xml:space="preserve">. </w:t>
      </w:r>
    </w:p>
    <w:p w14:paraId="28398395" w14:textId="7A1F2592" w:rsidR="00D4084E" w:rsidRPr="00B46BB2" w:rsidRDefault="00422CB1" w:rsidP="00B46BB2">
      <w:pPr>
        <w:pStyle w:val="Normalfollowingheading"/>
      </w:pPr>
      <w:r w:rsidRPr="00B46BB2">
        <w:t xml:space="preserve">This pilot </w:t>
      </w:r>
      <w:r w:rsidR="00722136" w:rsidRPr="00B46BB2">
        <w:t xml:space="preserve">demonstrated </w:t>
      </w:r>
      <w:r w:rsidRPr="00B46BB2">
        <w:t xml:space="preserve">that the ward box process </w:t>
      </w:r>
      <w:r w:rsidR="00722136" w:rsidRPr="00B46BB2">
        <w:t xml:space="preserve">could </w:t>
      </w:r>
      <w:r w:rsidRPr="00B46BB2">
        <w:t xml:space="preserve">be successfully implemented at a </w:t>
      </w:r>
      <w:r w:rsidR="00722136" w:rsidRPr="00B46BB2">
        <w:t xml:space="preserve">site </w:t>
      </w:r>
      <w:r w:rsidRPr="00B46BB2">
        <w:t>while being managed by an external hospital pharmacy department, and that cooperation</w:t>
      </w:r>
      <w:r w:rsidR="00722136" w:rsidRPr="00B46BB2">
        <w:t xml:space="preserve"> </w:t>
      </w:r>
      <w:r w:rsidRPr="00B46BB2">
        <w:t xml:space="preserve">between larger and smaller services </w:t>
      </w:r>
      <w:r w:rsidR="00722136" w:rsidRPr="00B46BB2">
        <w:t xml:space="preserve">could </w:t>
      </w:r>
      <w:r w:rsidRPr="00B46BB2">
        <w:t>lead to positive outcomes.</w:t>
      </w:r>
      <w:r w:rsidR="00722136" w:rsidRPr="00B46BB2">
        <w:t xml:space="preserve"> </w:t>
      </w:r>
      <w:r w:rsidR="00D4084E" w:rsidRPr="00B46BB2">
        <w:t xml:space="preserve">Benefits included efficiency of delivery, decreased staff time spent on financial accounting duties, and </w:t>
      </w:r>
      <w:r w:rsidR="005A19C3" w:rsidRPr="00B46BB2">
        <w:t xml:space="preserve">improved </w:t>
      </w:r>
      <w:r w:rsidR="00D4084E" w:rsidRPr="00B46BB2">
        <w:t>cost-effectiveness.</w:t>
      </w:r>
    </w:p>
    <w:p w14:paraId="2F58CB0B" w14:textId="5D72B3AF" w:rsidR="002740AE" w:rsidRDefault="005A19C3" w:rsidP="00722136">
      <w:r>
        <w:t xml:space="preserve">The pilot </w:t>
      </w:r>
      <w:r w:rsidR="00722136">
        <w:t xml:space="preserve">also initiated the establishment of </w:t>
      </w:r>
      <w:r w:rsidR="00980C8E">
        <w:t xml:space="preserve">a </w:t>
      </w:r>
      <w:r w:rsidR="002740AE">
        <w:t xml:space="preserve">common regional list of approved medicines (a formulary) </w:t>
      </w:r>
      <w:r w:rsidR="00980C8E">
        <w:t xml:space="preserve">that could be overseen by the medication safety committee proposed </w:t>
      </w:r>
      <w:r w:rsidR="002740AE">
        <w:t xml:space="preserve">in the </w:t>
      </w:r>
      <w:r w:rsidR="00980C8E">
        <w:t xml:space="preserve">regional governance framework. </w:t>
      </w:r>
    </w:p>
    <w:p w14:paraId="1AEC0044" w14:textId="5818EAEC" w:rsidR="00D93497" w:rsidRDefault="00D93497" w:rsidP="00D93497">
      <w:pPr>
        <w:pStyle w:val="Heading3"/>
      </w:pPr>
      <w:r>
        <w:t>Regional c</w:t>
      </w:r>
      <w:r w:rsidRPr="00D93497">
        <w:t>ytotoxic compounding service</w:t>
      </w:r>
    </w:p>
    <w:p w14:paraId="4EF95346" w14:textId="3F857A23" w:rsidR="00D93497" w:rsidRPr="00B46BB2" w:rsidRDefault="00825BDA" w:rsidP="00B46BB2">
      <w:pPr>
        <w:pStyle w:val="Normalfollowingheading"/>
      </w:pPr>
      <w:r w:rsidRPr="00B46BB2">
        <w:t xml:space="preserve">A study was undertaken by the Monash Centre for Medicine Use and Safety to identify and evaluate the legal, operational and financial factors relevant to the </w:t>
      </w:r>
      <w:r w:rsidR="005A19C3" w:rsidRPr="00B46BB2">
        <w:t xml:space="preserve">preparation </w:t>
      </w:r>
      <w:r w:rsidRPr="00B46BB2">
        <w:t xml:space="preserve">and distribution of cytotoxic </w:t>
      </w:r>
      <w:r w:rsidR="00157E9A" w:rsidRPr="00B46BB2">
        <w:t xml:space="preserve">medication </w:t>
      </w:r>
      <w:r w:rsidRPr="00B46BB2">
        <w:t>within the region.</w:t>
      </w:r>
      <w:r w:rsidR="00C41A1B" w:rsidRPr="00B46BB2">
        <w:t xml:space="preserve"> This group of medicine</w:t>
      </w:r>
      <w:r w:rsidR="005A19C3" w:rsidRPr="00B46BB2">
        <w:t xml:space="preserve"> is </w:t>
      </w:r>
      <w:r w:rsidR="00C41A1B" w:rsidRPr="00B46BB2">
        <w:t xml:space="preserve">used to treat cancer. </w:t>
      </w:r>
    </w:p>
    <w:p w14:paraId="6BF9B45C" w14:textId="54FD90CA" w:rsidR="00825BDA" w:rsidRPr="00B46BB2" w:rsidRDefault="005A19C3" w:rsidP="00B46BB2">
      <w:pPr>
        <w:pStyle w:val="Normalfollowingheading"/>
      </w:pPr>
      <w:r w:rsidRPr="00B46BB2">
        <w:t>The study found that while the existing facility at SWH could legally compound c</w:t>
      </w:r>
      <w:r w:rsidR="00157E9A" w:rsidRPr="00B46BB2">
        <w:t>ytotoxic medication for all the health services in the region</w:t>
      </w:r>
      <w:r w:rsidRPr="00B46BB2">
        <w:t xml:space="preserve">, </w:t>
      </w:r>
      <w:r w:rsidR="00C41A1B" w:rsidRPr="00B46BB2">
        <w:t xml:space="preserve">significant challenges would first need to be addressed. These included inefficiencies and risk associated with variations in treatment protocols across the different health services, and the need for a secure, reliable and prompt way to transport the medications to each site. </w:t>
      </w:r>
    </w:p>
    <w:p w14:paraId="2485892E" w14:textId="77777777" w:rsidR="00435805" w:rsidRDefault="00435805" w:rsidP="00435805">
      <w:pPr>
        <w:pStyle w:val="Heading2"/>
      </w:pPr>
      <w:r>
        <w:t>Key learnings</w:t>
      </w:r>
    </w:p>
    <w:p w14:paraId="02325B7D" w14:textId="75370BBE" w:rsidR="00D4084E" w:rsidRPr="00D4084E" w:rsidRDefault="00D4084E" w:rsidP="00D4084E">
      <w:pPr>
        <w:pStyle w:val="Bullet1"/>
      </w:pPr>
      <w:r w:rsidRPr="00D4084E">
        <w:t xml:space="preserve">The </w:t>
      </w:r>
      <w:r>
        <w:t xml:space="preserve">proposed </w:t>
      </w:r>
      <w:r w:rsidRPr="00D4084E">
        <w:t xml:space="preserve">RPGG would be responsible for medication management matters that may be beyond the responsibility of pharmacy management but which pharmacy managers identify as potential problems. </w:t>
      </w:r>
      <w:r w:rsidR="009E0372">
        <w:t xml:space="preserve">As this </w:t>
      </w:r>
      <w:r w:rsidR="00811BAA">
        <w:t xml:space="preserve">would </w:t>
      </w:r>
      <w:r w:rsidR="009E0372">
        <w:t xml:space="preserve">likely </w:t>
      </w:r>
      <w:r w:rsidRPr="00D4084E">
        <w:t xml:space="preserve">include broader concepts of medication management and safety, groups other than pharmacists </w:t>
      </w:r>
      <w:r w:rsidR="00811BAA">
        <w:t xml:space="preserve">would </w:t>
      </w:r>
      <w:r w:rsidRPr="00D4084E">
        <w:t xml:space="preserve">need to be represented </w:t>
      </w:r>
      <w:r w:rsidR="009E0372">
        <w:t>in the RPGG</w:t>
      </w:r>
      <w:r w:rsidRPr="00D4084E">
        <w:t>.</w:t>
      </w:r>
    </w:p>
    <w:p w14:paraId="1974D8A4" w14:textId="7E767D37" w:rsidR="006940A4" w:rsidRDefault="009E0372" w:rsidP="009E0372">
      <w:pPr>
        <w:pStyle w:val="Bullet1"/>
      </w:pPr>
      <w:r>
        <w:t xml:space="preserve">Smart pumps can provide a great deal of data and help identify </w:t>
      </w:r>
      <w:r w:rsidR="00934B2D">
        <w:t>at-risk behaviours exhibited by practitioners that could compromise medication and patient safety</w:t>
      </w:r>
      <w:r w:rsidR="00811BAA">
        <w:t xml:space="preserve"> –</w:t>
      </w:r>
      <w:r w:rsidR="000D3F49">
        <w:t xml:space="preserve"> </w:t>
      </w:r>
      <w:r w:rsidR="00811BAA">
        <w:t>f</w:t>
      </w:r>
      <w:r w:rsidR="000D3F49">
        <w:t xml:space="preserve">or example, the number of times an </w:t>
      </w:r>
      <w:r>
        <w:t xml:space="preserve">alert </w:t>
      </w:r>
      <w:r w:rsidR="000D3F49">
        <w:t xml:space="preserve">comes up, or how many times an automatic stop </w:t>
      </w:r>
      <w:r>
        <w:t xml:space="preserve">due to dosage limitations </w:t>
      </w:r>
      <w:r w:rsidR="000D3F49">
        <w:t xml:space="preserve">is </w:t>
      </w:r>
      <w:r>
        <w:t>overridden</w:t>
      </w:r>
      <w:r w:rsidR="000D3F49">
        <w:t xml:space="preserve"> by a clinician</w:t>
      </w:r>
      <w:r w:rsidR="00934B2D">
        <w:t>.</w:t>
      </w:r>
      <w:r>
        <w:t xml:space="preserve"> It is recommended </w:t>
      </w:r>
      <w:r w:rsidR="000D3F49">
        <w:t xml:space="preserve">that </w:t>
      </w:r>
      <w:r>
        <w:t xml:space="preserve">health services use this information to enhance </w:t>
      </w:r>
      <w:r w:rsidR="000D3F49">
        <w:t xml:space="preserve">the safe </w:t>
      </w:r>
      <w:r>
        <w:t xml:space="preserve">use of medications and </w:t>
      </w:r>
      <w:r w:rsidR="000D3F49">
        <w:t xml:space="preserve">to </w:t>
      </w:r>
      <w:r>
        <w:t xml:space="preserve">correct problems. </w:t>
      </w:r>
    </w:p>
    <w:sectPr w:rsidR="006940A4" w:rsidSect="00D93497">
      <w:footerReference w:type="default" r:id="rId16"/>
      <w:pgSz w:w="11906" w:h="16838" w:code="9"/>
      <w:pgMar w:top="2438" w:right="737" w:bottom="680" w:left="737" w:header="539" w:footer="624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35F14" w14:textId="77777777" w:rsidR="00060D97" w:rsidRDefault="00060D97" w:rsidP="002D711A">
      <w:pPr>
        <w:spacing w:after="0" w:line="240" w:lineRule="auto"/>
      </w:pPr>
      <w:r>
        <w:separator/>
      </w:r>
    </w:p>
  </w:endnote>
  <w:endnote w:type="continuationSeparator" w:id="0">
    <w:p w14:paraId="1B12F49B" w14:textId="77777777" w:rsidR="00060D97" w:rsidRDefault="00060D97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043E5" w14:textId="77777777" w:rsidR="00446734" w:rsidRDefault="004467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CVInformationTable"/>
      <w:tblpPr w:leftFromText="181" w:rightFromText="181" w:vertAnchor="page" w:horzAnchor="page" w:tblpX="738" w:tblpY="14289"/>
      <w:tblW w:w="10432" w:type="dxa"/>
      <w:shd w:val="clear" w:color="auto" w:fill="F2F2F3"/>
      <w:tblLook w:val="0600" w:firstRow="0" w:lastRow="0" w:firstColumn="0" w:lastColumn="0" w:noHBand="1" w:noVBand="1"/>
    </w:tblPr>
    <w:tblGrid>
      <w:gridCol w:w="3515"/>
      <w:gridCol w:w="3402"/>
      <w:gridCol w:w="3515"/>
    </w:tblGrid>
    <w:tr w:rsidR="00442182" w:rsidRPr="00736C0C" w14:paraId="74FB32AF" w14:textId="77777777" w:rsidTr="000F2A2C">
      <w:trPr>
        <w:trHeight w:val="1531"/>
      </w:trPr>
      <w:tc>
        <w:tcPr>
          <w:tcW w:w="3515" w:type="dxa"/>
          <w:tcMar>
            <w:left w:w="113" w:type="dxa"/>
          </w:tcMar>
        </w:tcPr>
        <w:p w14:paraId="1C47117C" w14:textId="649393BA" w:rsidR="00442182" w:rsidRPr="00911408" w:rsidRDefault="00442182" w:rsidP="00442182">
          <w:pPr>
            <w:spacing w:line="235" w:lineRule="auto"/>
            <w:rPr>
              <w:sz w:val="24"/>
              <w:szCs w:val="24"/>
            </w:rPr>
          </w:pPr>
          <w:r w:rsidRPr="00911408">
            <w:rPr>
              <w:sz w:val="24"/>
              <w:szCs w:val="24"/>
            </w:rPr>
            <w:t>To receive this publication in an accessible format phone</w:t>
          </w:r>
          <w:r w:rsidR="00911408">
            <w:rPr>
              <w:sz w:val="24"/>
              <w:szCs w:val="24"/>
            </w:rPr>
            <w:t xml:space="preserve"> (</w:t>
          </w:r>
          <w:r w:rsidR="00911408" w:rsidRPr="00911408">
            <w:rPr>
              <w:sz w:val="24"/>
              <w:szCs w:val="24"/>
            </w:rPr>
            <w:t>03</w:t>
          </w:r>
          <w:r w:rsidR="00911408">
            <w:rPr>
              <w:sz w:val="24"/>
              <w:szCs w:val="24"/>
            </w:rPr>
            <w:t>)</w:t>
          </w:r>
          <w:r w:rsidR="00911408" w:rsidRPr="00911408">
            <w:rPr>
              <w:sz w:val="24"/>
              <w:szCs w:val="24"/>
            </w:rPr>
            <w:t xml:space="preserve"> 9096</w:t>
          </w:r>
          <w:r w:rsidR="005B5F0B">
            <w:t xml:space="preserve"> </w:t>
          </w:r>
          <w:r w:rsidR="005B5F0B" w:rsidRPr="005B5F0B">
            <w:rPr>
              <w:sz w:val="24"/>
              <w:szCs w:val="24"/>
            </w:rPr>
            <w:t>1384</w:t>
          </w:r>
          <w:r w:rsidRPr="00911408">
            <w:rPr>
              <w:sz w:val="24"/>
              <w:szCs w:val="24"/>
            </w:rPr>
            <w:t xml:space="preserve">, using the National Relay Service </w:t>
          </w:r>
          <w:r w:rsidRPr="00911408">
            <w:rPr>
              <w:sz w:val="24"/>
              <w:szCs w:val="24"/>
            </w:rPr>
            <w:br/>
            <w:t xml:space="preserve">13 36 77 if required, or email </w:t>
          </w:r>
          <w:hyperlink r:id="rId1" w:history="1">
            <w:r w:rsidR="005B5F0B" w:rsidRPr="00A131B1">
              <w:rPr>
                <w:rStyle w:val="Hyperlink"/>
                <w:b/>
                <w:bCs/>
                <w:sz w:val="24"/>
                <w:szCs w:val="24"/>
              </w:rPr>
              <w:t>info</w:t>
            </w:r>
            <w:r w:rsidRPr="00A131B1">
              <w:rPr>
                <w:rStyle w:val="Hyperlink"/>
                <w:b/>
                <w:sz w:val="24"/>
                <w:szCs w:val="24"/>
              </w:rPr>
              <w:t>@safercare.vic.gov.au</w:t>
            </w:r>
          </w:hyperlink>
        </w:p>
      </w:tc>
      <w:tc>
        <w:tcPr>
          <w:tcW w:w="3402" w:type="dxa"/>
        </w:tcPr>
        <w:p w14:paraId="6D7675E5" w14:textId="45EDE8CA" w:rsidR="00442182" w:rsidRPr="00911408" w:rsidRDefault="00442182" w:rsidP="00442182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>Authorised and published by the Victorian Government, 1 Treasury Place, Melbourne.</w:t>
          </w:r>
        </w:p>
        <w:p w14:paraId="7495C6B4" w14:textId="6E74D99A" w:rsidR="00442182" w:rsidRPr="00911408" w:rsidRDefault="00442182" w:rsidP="00442182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 xml:space="preserve">© State of Victoria, Australia, Safer Care Victoria, </w:t>
          </w:r>
          <w:r w:rsidR="002A5F50">
            <w:rPr>
              <w:sz w:val="18"/>
              <w:szCs w:val="18"/>
            </w:rPr>
            <w:t>September</w:t>
          </w:r>
          <w:r w:rsidR="00911408">
            <w:rPr>
              <w:sz w:val="18"/>
              <w:szCs w:val="18"/>
            </w:rPr>
            <w:t xml:space="preserve"> 2020</w:t>
          </w:r>
        </w:p>
        <w:p w14:paraId="30F4D29D" w14:textId="77777777" w:rsidR="00442182" w:rsidRPr="00CE61C3" w:rsidRDefault="00442182" w:rsidP="00442182">
          <w:pPr>
            <w:spacing w:line="230" w:lineRule="auto"/>
            <w:rPr>
              <w:color w:val="FF0000"/>
              <w:sz w:val="18"/>
              <w:szCs w:val="18"/>
            </w:rPr>
          </w:pPr>
          <w:r w:rsidRPr="00CE61C3">
            <w:rPr>
              <w:color w:val="FF0000"/>
              <w:sz w:val="18"/>
              <w:szCs w:val="18"/>
              <w:highlight w:val="yellow"/>
            </w:rPr>
            <w:t>ISBN/ISSN number (online/print)</w:t>
          </w:r>
        </w:p>
        <w:p w14:paraId="06F94A07" w14:textId="1D4C6D41" w:rsidR="00442182" w:rsidRDefault="00442182" w:rsidP="00442182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 xml:space="preserve">Available at </w:t>
          </w:r>
          <w:hyperlink r:id="rId2" w:history="1">
            <w:r w:rsidR="00911408" w:rsidRPr="00F52379">
              <w:rPr>
                <w:rStyle w:val="Hyperlink"/>
                <w:sz w:val="18"/>
                <w:szCs w:val="18"/>
              </w:rPr>
              <w:t>safercare.vic.gov.au</w:t>
            </w:r>
          </w:hyperlink>
        </w:p>
        <w:p w14:paraId="3B40A82D" w14:textId="5308783B" w:rsidR="00911408" w:rsidRPr="007A4444" w:rsidRDefault="00911408" w:rsidP="00442182">
          <w:pPr>
            <w:spacing w:line="230" w:lineRule="auto"/>
            <w:rPr>
              <w:sz w:val="13"/>
              <w:szCs w:val="13"/>
            </w:rPr>
          </w:pPr>
        </w:p>
      </w:tc>
      <w:tc>
        <w:tcPr>
          <w:tcW w:w="3515" w:type="dxa"/>
        </w:tcPr>
        <w:p w14:paraId="3A80A9B4" w14:textId="25DDFB9E" w:rsidR="00442182" w:rsidRPr="00736C0C" w:rsidRDefault="00442182" w:rsidP="000905F7">
          <w:pPr>
            <w:rPr>
              <w:szCs w:val="15"/>
            </w:rPr>
          </w:pPr>
          <w:r>
            <w:rPr>
              <w:noProof/>
              <w:szCs w:val="15"/>
            </w:rPr>
            <w:drawing>
              <wp:inline distT="0" distB="0" distL="0" distR="0" wp14:anchorId="5CB2EA93" wp14:editId="41A59989">
                <wp:extent cx="1967488" cy="510541"/>
                <wp:effectExtent l="0" t="0" r="0" b="3810"/>
                <wp:docPr id="1" name="Picture 1" descr="Safer Care Victoria and Victoria State Government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disclaimer logos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488" cy="510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3D44AAC" w14:textId="77777777" w:rsidR="000905F7" w:rsidRDefault="000905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FEDF5" w14:textId="77777777" w:rsidR="00446734" w:rsidRDefault="0044673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EF341" w14:textId="77777777" w:rsidR="00C821CE" w:rsidRDefault="00C821C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CVInformationTable"/>
      <w:tblpPr w:leftFromText="181" w:rightFromText="181" w:vertAnchor="page" w:horzAnchor="page" w:tblpX="738" w:tblpY="14289"/>
      <w:tblW w:w="10432" w:type="dxa"/>
      <w:shd w:val="clear" w:color="auto" w:fill="F2F2F3"/>
      <w:tblLook w:val="0600" w:firstRow="0" w:lastRow="0" w:firstColumn="0" w:lastColumn="0" w:noHBand="1" w:noVBand="1"/>
    </w:tblPr>
    <w:tblGrid>
      <w:gridCol w:w="3515"/>
      <w:gridCol w:w="3402"/>
      <w:gridCol w:w="3515"/>
    </w:tblGrid>
    <w:tr w:rsidR="00AA7165" w:rsidRPr="00736C0C" w14:paraId="18F1FACB" w14:textId="77777777" w:rsidTr="007B0A04">
      <w:trPr>
        <w:trHeight w:val="1531"/>
      </w:trPr>
      <w:tc>
        <w:tcPr>
          <w:tcW w:w="3515" w:type="dxa"/>
          <w:tcMar>
            <w:left w:w="113" w:type="dxa"/>
          </w:tcMar>
        </w:tcPr>
        <w:p w14:paraId="33A63C87" w14:textId="77777777" w:rsidR="00AA7165" w:rsidRPr="00911408" w:rsidRDefault="00AA7165" w:rsidP="00AA7165">
          <w:pPr>
            <w:spacing w:line="235" w:lineRule="auto"/>
            <w:rPr>
              <w:sz w:val="24"/>
              <w:szCs w:val="24"/>
            </w:rPr>
          </w:pPr>
          <w:r w:rsidRPr="00911408">
            <w:rPr>
              <w:sz w:val="24"/>
              <w:szCs w:val="24"/>
            </w:rPr>
            <w:t>To receive this publication in an accessible format phone</w:t>
          </w:r>
          <w:r>
            <w:rPr>
              <w:sz w:val="24"/>
              <w:szCs w:val="24"/>
            </w:rPr>
            <w:t xml:space="preserve"> (</w:t>
          </w:r>
          <w:r w:rsidRPr="00911408">
            <w:rPr>
              <w:sz w:val="24"/>
              <w:szCs w:val="24"/>
            </w:rPr>
            <w:t>03</w:t>
          </w:r>
          <w:r>
            <w:rPr>
              <w:sz w:val="24"/>
              <w:szCs w:val="24"/>
            </w:rPr>
            <w:t>)</w:t>
          </w:r>
          <w:r w:rsidRPr="00911408">
            <w:rPr>
              <w:sz w:val="24"/>
              <w:szCs w:val="24"/>
            </w:rPr>
            <w:t xml:space="preserve"> 9096</w:t>
          </w:r>
          <w:r>
            <w:t xml:space="preserve"> </w:t>
          </w:r>
          <w:r w:rsidRPr="005B5F0B">
            <w:rPr>
              <w:sz w:val="24"/>
              <w:szCs w:val="24"/>
            </w:rPr>
            <w:t>1384</w:t>
          </w:r>
          <w:r w:rsidRPr="00911408">
            <w:rPr>
              <w:sz w:val="24"/>
              <w:szCs w:val="24"/>
            </w:rPr>
            <w:t xml:space="preserve">, using the National Relay Service </w:t>
          </w:r>
          <w:r w:rsidRPr="00911408">
            <w:rPr>
              <w:sz w:val="24"/>
              <w:szCs w:val="24"/>
            </w:rPr>
            <w:br/>
            <w:t xml:space="preserve">13 36 77 if required, or email </w:t>
          </w:r>
          <w:hyperlink r:id="rId1" w:history="1">
            <w:r w:rsidRPr="00A131B1">
              <w:rPr>
                <w:rStyle w:val="Hyperlink"/>
                <w:b/>
                <w:bCs/>
                <w:sz w:val="24"/>
                <w:szCs w:val="24"/>
              </w:rPr>
              <w:t>info</w:t>
            </w:r>
            <w:r w:rsidRPr="00A131B1">
              <w:rPr>
                <w:rStyle w:val="Hyperlink"/>
                <w:b/>
                <w:sz w:val="24"/>
                <w:szCs w:val="24"/>
              </w:rPr>
              <w:t>@safercare.vic.gov.au</w:t>
            </w:r>
          </w:hyperlink>
        </w:p>
      </w:tc>
      <w:tc>
        <w:tcPr>
          <w:tcW w:w="3402" w:type="dxa"/>
        </w:tcPr>
        <w:p w14:paraId="0B6CCFA7" w14:textId="77777777" w:rsidR="00AA7165" w:rsidRPr="00911408" w:rsidRDefault="00AA7165" w:rsidP="00AA7165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>Authorised and published by the Victorian Government, 1 Treasury Place, Melbourne.</w:t>
          </w:r>
        </w:p>
        <w:p w14:paraId="6866ED84" w14:textId="77777777" w:rsidR="00AA7165" w:rsidRPr="00911408" w:rsidRDefault="00AA7165" w:rsidP="00AA7165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 xml:space="preserve">© State of Victoria, Australia, Safer Care Victoria, </w:t>
          </w:r>
          <w:r>
            <w:rPr>
              <w:sz w:val="18"/>
              <w:szCs w:val="18"/>
            </w:rPr>
            <w:t>November 2020</w:t>
          </w:r>
        </w:p>
        <w:p w14:paraId="4FB2D577" w14:textId="22AE9D5F" w:rsidR="00AA7165" w:rsidRPr="00AD72C6" w:rsidRDefault="00EC5E4E" w:rsidP="00AA7165">
          <w:pPr>
            <w:spacing w:line="230" w:lineRule="auto"/>
            <w:rPr>
              <w:color w:val="000000" w:themeColor="text1"/>
              <w:sz w:val="18"/>
              <w:szCs w:val="18"/>
            </w:rPr>
          </w:pPr>
          <w:r w:rsidRPr="00AD72C6">
            <w:rPr>
              <w:color w:val="000000" w:themeColor="text1"/>
              <w:sz w:val="18"/>
              <w:szCs w:val="18"/>
            </w:rPr>
            <w:t>ISBN 978-1-76096-281-4 (pdf/online/MS word)</w:t>
          </w:r>
        </w:p>
        <w:p w14:paraId="0B715657" w14:textId="45E32CF5" w:rsidR="00AA7165" w:rsidRPr="007A4444" w:rsidRDefault="00AA7165" w:rsidP="00AD72C6">
          <w:pPr>
            <w:spacing w:line="230" w:lineRule="auto"/>
            <w:rPr>
              <w:sz w:val="13"/>
              <w:szCs w:val="13"/>
            </w:rPr>
          </w:pPr>
          <w:r w:rsidRPr="00911408">
            <w:rPr>
              <w:sz w:val="18"/>
              <w:szCs w:val="18"/>
            </w:rPr>
            <w:t xml:space="preserve">Available at </w:t>
          </w:r>
          <w:hyperlink r:id="rId2" w:history="1">
            <w:r w:rsidRPr="00F52379">
              <w:rPr>
                <w:rStyle w:val="Hyperlink"/>
                <w:sz w:val="18"/>
                <w:szCs w:val="18"/>
              </w:rPr>
              <w:t>safercare.vic.gov.au</w:t>
            </w:r>
          </w:hyperlink>
          <w:r w:rsidR="00EC5E4E">
            <w:rPr>
              <w:sz w:val="13"/>
              <w:szCs w:val="13"/>
            </w:rPr>
            <w:br/>
          </w:r>
        </w:p>
      </w:tc>
      <w:tc>
        <w:tcPr>
          <w:tcW w:w="3515" w:type="dxa"/>
        </w:tcPr>
        <w:p w14:paraId="160A01C1" w14:textId="77777777" w:rsidR="00AA7165" w:rsidRPr="00736C0C" w:rsidRDefault="00AA7165" w:rsidP="00AA7165">
          <w:pPr>
            <w:rPr>
              <w:szCs w:val="15"/>
            </w:rPr>
          </w:pPr>
          <w:r>
            <w:rPr>
              <w:noProof/>
              <w:szCs w:val="15"/>
            </w:rPr>
            <w:drawing>
              <wp:inline distT="0" distB="0" distL="0" distR="0" wp14:anchorId="162F01A2" wp14:editId="245E6D0F">
                <wp:extent cx="1967488" cy="510541"/>
                <wp:effectExtent l="0" t="0" r="0" b="3810"/>
                <wp:docPr id="2" name="Picture 2" descr="Safer Care Victoria and Victoria State Government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disclaimer logos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488" cy="510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FB0908C" w14:textId="77777777" w:rsidR="00AA7165" w:rsidRDefault="00AA71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C782C" w14:textId="77777777" w:rsidR="00060D97" w:rsidRDefault="00060D97" w:rsidP="00E33E08">
      <w:pPr>
        <w:spacing w:before="0" w:after="0" w:line="240" w:lineRule="auto"/>
      </w:pPr>
    </w:p>
  </w:footnote>
  <w:footnote w:type="continuationSeparator" w:id="0">
    <w:p w14:paraId="25E775FD" w14:textId="77777777" w:rsidR="00060D97" w:rsidRDefault="00060D97" w:rsidP="00E33E0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E7E5C" w14:textId="77777777" w:rsidR="00446734" w:rsidRDefault="004467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39428" w14:textId="77777777" w:rsidR="00446734" w:rsidRDefault="004467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53DC0" w14:textId="77777777" w:rsidR="000905F7" w:rsidRDefault="00794CB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265C5D" wp14:editId="20BDAFD4">
          <wp:simplePos x="0" y="0"/>
          <wp:positionH relativeFrom="page">
            <wp:posOffset>23495</wp:posOffset>
          </wp:positionH>
          <wp:positionV relativeFrom="page">
            <wp:posOffset>0</wp:posOffset>
          </wp:positionV>
          <wp:extent cx="2127600" cy="1202400"/>
          <wp:effectExtent l="0" t="0" r="0" b="0"/>
          <wp:wrapNone/>
          <wp:docPr id="3" name="Picture 3" descr="Better Care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age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600" cy="12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56FFD"/>
    <w:multiLevelType w:val="multilevel"/>
    <w:tmpl w:val="47D41E60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>
      <w:start w:val="1"/>
      <w:numFmt w:val="bullet"/>
      <w:pStyle w:val="Tabledash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393615B0"/>
    <w:multiLevelType w:val="multilevel"/>
    <w:tmpl w:val="F27293EC"/>
    <w:name w:val="List num2"/>
    <w:lvl w:ilvl="0">
      <w:start w:val="1"/>
      <w:numFmt w:val="decimal"/>
      <w:pStyle w:val="Heading1numbered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93A12AA"/>
    <w:multiLevelType w:val="multilevel"/>
    <w:tmpl w:val="E962EC02"/>
    <w:lvl w:ilvl="0">
      <w:start w:val="1"/>
      <w:numFmt w:val="bullet"/>
      <w:pStyle w:val="Bullet1"/>
      <w:lvlText w:val=""/>
      <w:lvlJc w:val="left"/>
      <w:pPr>
        <w:ind w:left="284" w:hanging="284"/>
      </w:pPr>
      <w:rPr>
        <w:rFonts w:ascii="Wingdings 2" w:hAnsi="Wingdings 2" w:hint="default"/>
        <w:color w:val="FAB662"/>
        <w:position w:val="0"/>
        <w:sz w:val="20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 Black" w:hAnsi="Arial Black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3" w15:restartNumberingAfterBreak="0">
    <w:nsid w:val="43BF2BD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46D3A6A"/>
    <w:multiLevelType w:val="multilevel"/>
    <w:tmpl w:val="F58A4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5" w15:restartNumberingAfterBreak="0">
    <w:nsid w:val="7A7E12E5"/>
    <w:multiLevelType w:val="multilevel"/>
    <w:tmpl w:val="F74E2CE0"/>
    <w:lvl w:ilvl="0">
      <w:start w:val="1"/>
      <w:numFmt w:val="decimal"/>
      <w:pStyle w:val="Numpar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7FD44514"/>
    <w:multiLevelType w:val="multilevel"/>
    <w:tmpl w:val="457635A8"/>
    <w:name w:val="List num"/>
    <w:lvl w:ilvl="0">
      <w:start w:val="1"/>
      <w:numFmt w:val="lowerLetter"/>
      <w:pStyle w:val="Listnum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2"/>
  </w:num>
  <w:num w:numId="10">
    <w:abstractNumId w:val="1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47"/>
    <w:rsid w:val="00012F6F"/>
    <w:rsid w:val="00014213"/>
    <w:rsid w:val="00014B55"/>
    <w:rsid w:val="00020E3E"/>
    <w:rsid w:val="00023457"/>
    <w:rsid w:val="00023BF3"/>
    <w:rsid w:val="00026811"/>
    <w:rsid w:val="0004185E"/>
    <w:rsid w:val="00053181"/>
    <w:rsid w:val="00056988"/>
    <w:rsid w:val="00060D97"/>
    <w:rsid w:val="000705DC"/>
    <w:rsid w:val="00071F51"/>
    <w:rsid w:val="00072279"/>
    <w:rsid w:val="00073407"/>
    <w:rsid w:val="00075E6C"/>
    <w:rsid w:val="00081C12"/>
    <w:rsid w:val="00087D42"/>
    <w:rsid w:val="000905F7"/>
    <w:rsid w:val="000B29AD"/>
    <w:rsid w:val="000C515F"/>
    <w:rsid w:val="000C57EE"/>
    <w:rsid w:val="000C6372"/>
    <w:rsid w:val="000D3F49"/>
    <w:rsid w:val="000D7841"/>
    <w:rsid w:val="000E2F68"/>
    <w:rsid w:val="000E392D"/>
    <w:rsid w:val="000E39B6"/>
    <w:rsid w:val="000E3D05"/>
    <w:rsid w:val="000F2A2C"/>
    <w:rsid w:val="000F4288"/>
    <w:rsid w:val="000F7165"/>
    <w:rsid w:val="00102379"/>
    <w:rsid w:val="00103722"/>
    <w:rsid w:val="001065D6"/>
    <w:rsid w:val="001068D5"/>
    <w:rsid w:val="00121252"/>
    <w:rsid w:val="00121488"/>
    <w:rsid w:val="00124609"/>
    <w:rsid w:val="001254CE"/>
    <w:rsid w:val="001348E2"/>
    <w:rsid w:val="0013637A"/>
    <w:rsid w:val="001367C8"/>
    <w:rsid w:val="001422CC"/>
    <w:rsid w:val="00145346"/>
    <w:rsid w:val="001515FF"/>
    <w:rsid w:val="00157E9A"/>
    <w:rsid w:val="001617B6"/>
    <w:rsid w:val="0016228A"/>
    <w:rsid w:val="00165E66"/>
    <w:rsid w:val="001705CD"/>
    <w:rsid w:val="0018504C"/>
    <w:rsid w:val="00186B39"/>
    <w:rsid w:val="00196143"/>
    <w:rsid w:val="001A07A5"/>
    <w:rsid w:val="001A24FC"/>
    <w:rsid w:val="001C60B2"/>
    <w:rsid w:val="001C6993"/>
    <w:rsid w:val="001C7BAE"/>
    <w:rsid w:val="001D0F34"/>
    <w:rsid w:val="001D6B7D"/>
    <w:rsid w:val="001E31FA"/>
    <w:rsid w:val="001E48F9"/>
    <w:rsid w:val="001E64F6"/>
    <w:rsid w:val="001E7AEB"/>
    <w:rsid w:val="00204B82"/>
    <w:rsid w:val="00222BEB"/>
    <w:rsid w:val="00225E60"/>
    <w:rsid w:val="002268A3"/>
    <w:rsid w:val="00230BBB"/>
    <w:rsid w:val="0023202C"/>
    <w:rsid w:val="00234619"/>
    <w:rsid w:val="00235BE2"/>
    <w:rsid w:val="00245043"/>
    <w:rsid w:val="00257472"/>
    <w:rsid w:val="0026028E"/>
    <w:rsid w:val="00273AF5"/>
    <w:rsid w:val="002740AE"/>
    <w:rsid w:val="0028107D"/>
    <w:rsid w:val="0028242D"/>
    <w:rsid w:val="00284FA2"/>
    <w:rsid w:val="00292D36"/>
    <w:rsid w:val="00294A5A"/>
    <w:rsid w:val="00297281"/>
    <w:rsid w:val="00297A47"/>
    <w:rsid w:val="002A5891"/>
    <w:rsid w:val="002A5F50"/>
    <w:rsid w:val="002B03F1"/>
    <w:rsid w:val="002B5C34"/>
    <w:rsid w:val="002B5E2B"/>
    <w:rsid w:val="002B6DAA"/>
    <w:rsid w:val="002C1002"/>
    <w:rsid w:val="002C338A"/>
    <w:rsid w:val="002D70F7"/>
    <w:rsid w:val="002D711A"/>
    <w:rsid w:val="002D7336"/>
    <w:rsid w:val="002E3396"/>
    <w:rsid w:val="002E6454"/>
    <w:rsid w:val="002F2953"/>
    <w:rsid w:val="002F4E84"/>
    <w:rsid w:val="00303405"/>
    <w:rsid w:val="0031149C"/>
    <w:rsid w:val="00332D4F"/>
    <w:rsid w:val="003347B2"/>
    <w:rsid w:val="0036778F"/>
    <w:rsid w:val="0038771C"/>
    <w:rsid w:val="0038796C"/>
    <w:rsid w:val="003A430B"/>
    <w:rsid w:val="003A541A"/>
    <w:rsid w:val="003A6923"/>
    <w:rsid w:val="003B5C55"/>
    <w:rsid w:val="003C2C67"/>
    <w:rsid w:val="003C2D4C"/>
    <w:rsid w:val="003C3B3A"/>
    <w:rsid w:val="003C5BA4"/>
    <w:rsid w:val="003C6BAC"/>
    <w:rsid w:val="003D0717"/>
    <w:rsid w:val="003E32D6"/>
    <w:rsid w:val="003E3E26"/>
    <w:rsid w:val="003F1295"/>
    <w:rsid w:val="003F5102"/>
    <w:rsid w:val="003F76FC"/>
    <w:rsid w:val="004002EB"/>
    <w:rsid w:val="0040228E"/>
    <w:rsid w:val="00405AB2"/>
    <w:rsid w:val="00407A79"/>
    <w:rsid w:val="00416520"/>
    <w:rsid w:val="00422CB1"/>
    <w:rsid w:val="00422DDC"/>
    <w:rsid w:val="004231B5"/>
    <w:rsid w:val="004236C8"/>
    <w:rsid w:val="00427681"/>
    <w:rsid w:val="0043317F"/>
    <w:rsid w:val="00433DB7"/>
    <w:rsid w:val="00435805"/>
    <w:rsid w:val="00442182"/>
    <w:rsid w:val="004425B7"/>
    <w:rsid w:val="00446734"/>
    <w:rsid w:val="0045347E"/>
    <w:rsid w:val="00453750"/>
    <w:rsid w:val="00456941"/>
    <w:rsid w:val="00460BD5"/>
    <w:rsid w:val="004702EA"/>
    <w:rsid w:val="0048259C"/>
    <w:rsid w:val="00482D02"/>
    <w:rsid w:val="00484326"/>
    <w:rsid w:val="00490369"/>
    <w:rsid w:val="00497AB6"/>
    <w:rsid w:val="004A4ED0"/>
    <w:rsid w:val="004A7519"/>
    <w:rsid w:val="004B4BD4"/>
    <w:rsid w:val="004B64B1"/>
    <w:rsid w:val="004C1204"/>
    <w:rsid w:val="004D01AC"/>
    <w:rsid w:val="004D10A5"/>
    <w:rsid w:val="004D3518"/>
    <w:rsid w:val="004D62D6"/>
    <w:rsid w:val="004D6898"/>
    <w:rsid w:val="004E607A"/>
    <w:rsid w:val="004F3F4E"/>
    <w:rsid w:val="00510167"/>
    <w:rsid w:val="00513E86"/>
    <w:rsid w:val="005233A1"/>
    <w:rsid w:val="005306A2"/>
    <w:rsid w:val="0053416C"/>
    <w:rsid w:val="00541C2F"/>
    <w:rsid w:val="00552DE4"/>
    <w:rsid w:val="00555D37"/>
    <w:rsid w:val="00563527"/>
    <w:rsid w:val="0057407A"/>
    <w:rsid w:val="00580ECD"/>
    <w:rsid w:val="0058124E"/>
    <w:rsid w:val="005875A3"/>
    <w:rsid w:val="005953EA"/>
    <w:rsid w:val="005A19C3"/>
    <w:rsid w:val="005A3416"/>
    <w:rsid w:val="005B061F"/>
    <w:rsid w:val="005B27FE"/>
    <w:rsid w:val="005B327A"/>
    <w:rsid w:val="005B3F59"/>
    <w:rsid w:val="005B5F0B"/>
    <w:rsid w:val="005B76DF"/>
    <w:rsid w:val="005B79CB"/>
    <w:rsid w:val="005D5BE6"/>
    <w:rsid w:val="005E08D7"/>
    <w:rsid w:val="005E4C16"/>
    <w:rsid w:val="005E5947"/>
    <w:rsid w:val="005E6321"/>
    <w:rsid w:val="005F61DF"/>
    <w:rsid w:val="0060163A"/>
    <w:rsid w:val="006023F9"/>
    <w:rsid w:val="00610559"/>
    <w:rsid w:val="00614076"/>
    <w:rsid w:val="00632F2E"/>
    <w:rsid w:val="006332F6"/>
    <w:rsid w:val="006413F2"/>
    <w:rsid w:val="0064598D"/>
    <w:rsid w:val="006501F7"/>
    <w:rsid w:val="006534B2"/>
    <w:rsid w:val="00655CBF"/>
    <w:rsid w:val="0065615D"/>
    <w:rsid w:val="00657011"/>
    <w:rsid w:val="006650B5"/>
    <w:rsid w:val="006651B1"/>
    <w:rsid w:val="00665778"/>
    <w:rsid w:val="00676E5F"/>
    <w:rsid w:val="00680577"/>
    <w:rsid w:val="006940A4"/>
    <w:rsid w:val="006945CA"/>
    <w:rsid w:val="00697FC3"/>
    <w:rsid w:val="006A1EA3"/>
    <w:rsid w:val="006A3309"/>
    <w:rsid w:val="006A3A5A"/>
    <w:rsid w:val="006A5B34"/>
    <w:rsid w:val="006B2A76"/>
    <w:rsid w:val="006C7611"/>
    <w:rsid w:val="006C77A9"/>
    <w:rsid w:val="006D2F37"/>
    <w:rsid w:val="006D4720"/>
    <w:rsid w:val="006E6CDF"/>
    <w:rsid w:val="006F37F2"/>
    <w:rsid w:val="006F5B4B"/>
    <w:rsid w:val="006F6693"/>
    <w:rsid w:val="00700AAF"/>
    <w:rsid w:val="00703A01"/>
    <w:rsid w:val="00707FE8"/>
    <w:rsid w:val="00714AAE"/>
    <w:rsid w:val="00722136"/>
    <w:rsid w:val="00724962"/>
    <w:rsid w:val="00724A0F"/>
    <w:rsid w:val="00726D2F"/>
    <w:rsid w:val="007352D2"/>
    <w:rsid w:val="00736732"/>
    <w:rsid w:val="00740019"/>
    <w:rsid w:val="00746426"/>
    <w:rsid w:val="00750BF9"/>
    <w:rsid w:val="00750CBE"/>
    <w:rsid w:val="007650D2"/>
    <w:rsid w:val="00766B5A"/>
    <w:rsid w:val="00772209"/>
    <w:rsid w:val="007770A5"/>
    <w:rsid w:val="007834F2"/>
    <w:rsid w:val="00791020"/>
    <w:rsid w:val="00794CB7"/>
    <w:rsid w:val="007A04D2"/>
    <w:rsid w:val="007A4444"/>
    <w:rsid w:val="007A5F82"/>
    <w:rsid w:val="007D4A1E"/>
    <w:rsid w:val="007D5F9E"/>
    <w:rsid w:val="007E098F"/>
    <w:rsid w:val="007E3BA2"/>
    <w:rsid w:val="007F1A4C"/>
    <w:rsid w:val="007F723F"/>
    <w:rsid w:val="008022C3"/>
    <w:rsid w:val="008041E6"/>
    <w:rsid w:val="008065D2"/>
    <w:rsid w:val="00806ABA"/>
    <w:rsid w:val="00811BAA"/>
    <w:rsid w:val="00815A8A"/>
    <w:rsid w:val="0082194C"/>
    <w:rsid w:val="008222FF"/>
    <w:rsid w:val="008241FF"/>
    <w:rsid w:val="00825BDA"/>
    <w:rsid w:val="008411E9"/>
    <w:rsid w:val="00841617"/>
    <w:rsid w:val="0084200F"/>
    <w:rsid w:val="00843B2C"/>
    <w:rsid w:val="00844F16"/>
    <w:rsid w:val="00847BE1"/>
    <w:rsid w:val="00855FF9"/>
    <w:rsid w:val="008566D2"/>
    <w:rsid w:val="0086277A"/>
    <w:rsid w:val="008668A8"/>
    <w:rsid w:val="008703D8"/>
    <w:rsid w:val="00873CA9"/>
    <w:rsid w:val="008768AD"/>
    <w:rsid w:val="00880AC4"/>
    <w:rsid w:val="00893E52"/>
    <w:rsid w:val="00897157"/>
    <w:rsid w:val="00897447"/>
    <w:rsid w:val="008A0DE7"/>
    <w:rsid w:val="008A306C"/>
    <w:rsid w:val="008A4900"/>
    <w:rsid w:val="008A55FE"/>
    <w:rsid w:val="008A58D2"/>
    <w:rsid w:val="008B146D"/>
    <w:rsid w:val="008B42AD"/>
    <w:rsid w:val="008B5666"/>
    <w:rsid w:val="008B7BCB"/>
    <w:rsid w:val="008C2C15"/>
    <w:rsid w:val="008D0281"/>
    <w:rsid w:val="008E2348"/>
    <w:rsid w:val="008F6D45"/>
    <w:rsid w:val="00911408"/>
    <w:rsid w:val="00916AD5"/>
    <w:rsid w:val="00922944"/>
    <w:rsid w:val="00934B2D"/>
    <w:rsid w:val="00936479"/>
    <w:rsid w:val="00937A10"/>
    <w:rsid w:val="00944118"/>
    <w:rsid w:val="00953A2C"/>
    <w:rsid w:val="00966115"/>
    <w:rsid w:val="00980C8E"/>
    <w:rsid w:val="00980D32"/>
    <w:rsid w:val="009834C0"/>
    <w:rsid w:val="00986AAC"/>
    <w:rsid w:val="00991C00"/>
    <w:rsid w:val="00995526"/>
    <w:rsid w:val="00996E62"/>
    <w:rsid w:val="009A1DA2"/>
    <w:rsid w:val="009A3704"/>
    <w:rsid w:val="009A4739"/>
    <w:rsid w:val="009A674F"/>
    <w:rsid w:val="009A6D22"/>
    <w:rsid w:val="009B199C"/>
    <w:rsid w:val="009B1BBA"/>
    <w:rsid w:val="009B61F1"/>
    <w:rsid w:val="009B62E0"/>
    <w:rsid w:val="009C3D88"/>
    <w:rsid w:val="009E0372"/>
    <w:rsid w:val="009E0D59"/>
    <w:rsid w:val="009E1651"/>
    <w:rsid w:val="009E3858"/>
    <w:rsid w:val="009E467D"/>
    <w:rsid w:val="009E5E60"/>
    <w:rsid w:val="009E70DD"/>
    <w:rsid w:val="009F2ED9"/>
    <w:rsid w:val="009F3231"/>
    <w:rsid w:val="009F52C5"/>
    <w:rsid w:val="009F5C58"/>
    <w:rsid w:val="00A023A0"/>
    <w:rsid w:val="00A05EBC"/>
    <w:rsid w:val="00A131B1"/>
    <w:rsid w:val="00A1562B"/>
    <w:rsid w:val="00A170F4"/>
    <w:rsid w:val="00A21408"/>
    <w:rsid w:val="00A2160F"/>
    <w:rsid w:val="00A21CFD"/>
    <w:rsid w:val="00A25B78"/>
    <w:rsid w:val="00A46288"/>
    <w:rsid w:val="00A46BA8"/>
    <w:rsid w:val="00A46F4E"/>
    <w:rsid w:val="00A47634"/>
    <w:rsid w:val="00A612FE"/>
    <w:rsid w:val="00A70B49"/>
    <w:rsid w:val="00A92D94"/>
    <w:rsid w:val="00A9388D"/>
    <w:rsid w:val="00AA26B8"/>
    <w:rsid w:val="00AA7165"/>
    <w:rsid w:val="00AA7733"/>
    <w:rsid w:val="00AC0B87"/>
    <w:rsid w:val="00AC2624"/>
    <w:rsid w:val="00AC32A8"/>
    <w:rsid w:val="00AD72C6"/>
    <w:rsid w:val="00AD7E4E"/>
    <w:rsid w:val="00AF4D58"/>
    <w:rsid w:val="00AF6666"/>
    <w:rsid w:val="00AF7BC5"/>
    <w:rsid w:val="00B46BB2"/>
    <w:rsid w:val="00B661D5"/>
    <w:rsid w:val="00B72288"/>
    <w:rsid w:val="00B815B2"/>
    <w:rsid w:val="00B81B44"/>
    <w:rsid w:val="00B9053B"/>
    <w:rsid w:val="00BA0C37"/>
    <w:rsid w:val="00BA3782"/>
    <w:rsid w:val="00BB2793"/>
    <w:rsid w:val="00BB4D98"/>
    <w:rsid w:val="00BB4EBF"/>
    <w:rsid w:val="00BB59E0"/>
    <w:rsid w:val="00BC07DF"/>
    <w:rsid w:val="00BC3422"/>
    <w:rsid w:val="00BC6E19"/>
    <w:rsid w:val="00BD11C2"/>
    <w:rsid w:val="00BD5018"/>
    <w:rsid w:val="00BE5ADC"/>
    <w:rsid w:val="00BF4F96"/>
    <w:rsid w:val="00C015B9"/>
    <w:rsid w:val="00C022F9"/>
    <w:rsid w:val="00C032EA"/>
    <w:rsid w:val="00C06EB5"/>
    <w:rsid w:val="00C1145F"/>
    <w:rsid w:val="00C11CD1"/>
    <w:rsid w:val="00C210B7"/>
    <w:rsid w:val="00C32D49"/>
    <w:rsid w:val="00C33AD3"/>
    <w:rsid w:val="00C352B8"/>
    <w:rsid w:val="00C35D53"/>
    <w:rsid w:val="00C41A1B"/>
    <w:rsid w:val="00C41B3C"/>
    <w:rsid w:val="00C43F06"/>
    <w:rsid w:val="00C51C01"/>
    <w:rsid w:val="00C637E1"/>
    <w:rsid w:val="00C67EAC"/>
    <w:rsid w:val="00C7098C"/>
    <w:rsid w:val="00C70D50"/>
    <w:rsid w:val="00C72252"/>
    <w:rsid w:val="00C7308F"/>
    <w:rsid w:val="00C821CE"/>
    <w:rsid w:val="00C907D7"/>
    <w:rsid w:val="00C92338"/>
    <w:rsid w:val="00CA05DC"/>
    <w:rsid w:val="00CA6A44"/>
    <w:rsid w:val="00CA7B47"/>
    <w:rsid w:val="00CB3976"/>
    <w:rsid w:val="00CC0347"/>
    <w:rsid w:val="00CD0307"/>
    <w:rsid w:val="00CD3C79"/>
    <w:rsid w:val="00CD3D1B"/>
    <w:rsid w:val="00CE590E"/>
    <w:rsid w:val="00CE61C3"/>
    <w:rsid w:val="00D00CBE"/>
    <w:rsid w:val="00D02663"/>
    <w:rsid w:val="00D0633E"/>
    <w:rsid w:val="00D06B98"/>
    <w:rsid w:val="00D12E74"/>
    <w:rsid w:val="00D21C73"/>
    <w:rsid w:val="00D2312F"/>
    <w:rsid w:val="00D23B04"/>
    <w:rsid w:val="00D269C1"/>
    <w:rsid w:val="00D4084E"/>
    <w:rsid w:val="00D41230"/>
    <w:rsid w:val="00D41B2F"/>
    <w:rsid w:val="00D44953"/>
    <w:rsid w:val="00D542F3"/>
    <w:rsid w:val="00D54513"/>
    <w:rsid w:val="00D54AAE"/>
    <w:rsid w:val="00D5644B"/>
    <w:rsid w:val="00D56E25"/>
    <w:rsid w:val="00D57E89"/>
    <w:rsid w:val="00D6560D"/>
    <w:rsid w:val="00D65D77"/>
    <w:rsid w:val="00D718D7"/>
    <w:rsid w:val="00D76AD4"/>
    <w:rsid w:val="00D814B7"/>
    <w:rsid w:val="00D858A3"/>
    <w:rsid w:val="00D90688"/>
    <w:rsid w:val="00D93497"/>
    <w:rsid w:val="00DA3AAD"/>
    <w:rsid w:val="00DA3F36"/>
    <w:rsid w:val="00DA6C70"/>
    <w:rsid w:val="00DB312B"/>
    <w:rsid w:val="00DC5654"/>
    <w:rsid w:val="00DC658F"/>
    <w:rsid w:val="00DC674A"/>
    <w:rsid w:val="00DD1B9D"/>
    <w:rsid w:val="00DD79DF"/>
    <w:rsid w:val="00DE60CC"/>
    <w:rsid w:val="00E03F35"/>
    <w:rsid w:val="00E26B32"/>
    <w:rsid w:val="00E30273"/>
    <w:rsid w:val="00E31CD4"/>
    <w:rsid w:val="00E31E60"/>
    <w:rsid w:val="00E33E08"/>
    <w:rsid w:val="00E407B6"/>
    <w:rsid w:val="00E41D82"/>
    <w:rsid w:val="00E41EF1"/>
    <w:rsid w:val="00E42942"/>
    <w:rsid w:val="00E6148E"/>
    <w:rsid w:val="00E65A0A"/>
    <w:rsid w:val="00E71BDF"/>
    <w:rsid w:val="00E75CCB"/>
    <w:rsid w:val="00E8245B"/>
    <w:rsid w:val="00E82C21"/>
    <w:rsid w:val="00E82F59"/>
    <w:rsid w:val="00E83CA7"/>
    <w:rsid w:val="00E92192"/>
    <w:rsid w:val="00E95A71"/>
    <w:rsid w:val="00EB7014"/>
    <w:rsid w:val="00EC5CDE"/>
    <w:rsid w:val="00EC5E4E"/>
    <w:rsid w:val="00EC7F2A"/>
    <w:rsid w:val="00ED3077"/>
    <w:rsid w:val="00ED487E"/>
    <w:rsid w:val="00ED64F1"/>
    <w:rsid w:val="00EE33A1"/>
    <w:rsid w:val="00EE6231"/>
    <w:rsid w:val="00EE7A0D"/>
    <w:rsid w:val="00EF61C2"/>
    <w:rsid w:val="00F0222C"/>
    <w:rsid w:val="00F06647"/>
    <w:rsid w:val="00F07FAA"/>
    <w:rsid w:val="00F12312"/>
    <w:rsid w:val="00F12BCD"/>
    <w:rsid w:val="00F13239"/>
    <w:rsid w:val="00F17CE1"/>
    <w:rsid w:val="00F2115C"/>
    <w:rsid w:val="00F22ABA"/>
    <w:rsid w:val="00F25919"/>
    <w:rsid w:val="00F25F4B"/>
    <w:rsid w:val="00F34575"/>
    <w:rsid w:val="00F36B12"/>
    <w:rsid w:val="00F41CDA"/>
    <w:rsid w:val="00F60F9F"/>
    <w:rsid w:val="00F61246"/>
    <w:rsid w:val="00F64F08"/>
    <w:rsid w:val="00F6746D"/>
    <w:rsid w:val="00F70055"/>
    <w:rsid w:val="00F734F5"/>
    <w:rsid w:val="00F73B5B"/>
    <w:rsid w:val="00F80A39"/>
    <w:rsid w:val="00F8536E"/>
    <w:rsid w:val="00F87F92"/>
    <w:rsid w:val="00F90EA5"/>
    <w:rsid w:val="00F91F5A"/>
    <w:rsid w:val="00F966B1"/>
    <w:rsid w:val="00F97D48"/>
    <w:rsid w:val="00FA0311"/>
    <w:rsid w:val="00FA1489"/>
    <w:rsid w:val="00FC0908"/>
    <w:rsid w:val="00FD50F0"/>
    <w:rsid w:val="00FD640F"/>
    <w:rsid w:val="00FD6B4C"/>
    <w:rsid w:val="00FE04C6"/>
    <w:rsid w:val="00FE0553"/>
    <w:rsid w:val="00FE25D0"/>
    <w:rsid w:val="00FE6CB3"/>
    <w:rsid w:val="00FE7088"/>
    <w:rsid w:val="00FF41A5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B4B1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0" w:unhideWhenUsed="1" w:qFormat="1"/>
    <w:lsdException w:name="footnote text" w:semiHidden="1" w:uiPriority="99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A05EBC"/>
  </w:style>
  <w:style w:type="paragraph" w:styleId="Heading1">
    <w:name w:val="heading 1"/>
    <w:basedOn w:val="Normal"/>
    <w:next w:val="Normalfollowingheading"/>
    <w:link w:val="Heading1Char"/>
    <w:qFormat/>
    <w:rsid w:val="0026028E"/>
    <w:pPr>
      <w:keepNext/>
      <w:keepLines/>
      <w:framePr w:wrap="around" w:vAnchor="page" w:hAnchor="margin" w:y="1022"/>
      <w:spacing w:before="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63A5" w:themeColor="text2"/>
      <w:spacing w:val="-1"/>
      <w:sz w:val="48"/>
      <w:szCs w:val="28"/>
    </w:rPr>
  </w:style>
  <w:style w:type="paragraph" w:styleId="Heading2">
    <w:name w:val="heading 2"/>
    <w:basedOn w:val="Normal"/>
    <w:next w:val="Normalfollowingheading"/>
    <w:link w:val="Heading2Char"/>
    <w:qFormat/>
    <w:rsid w:val="0026028E"/>
    <w:pPr>
      <w:keepNext/>
      <w:keepLines/>
      <w:spacing w:before="280" w:after="6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0063A5" w:themeColor="text2"/>
      <w:sz w:val="24"/>
      <w:szCs w:val="26"/>
    </w:rPr>
  </w:style>
  <w:style w:type="paragraph" w:styleId="Heading3">
    <w:name w:val="heading 3"/>
    <w:basedOn w:val="Normal"/>
    <w:next w:val="Normalfollowingheading"/>
    <w:link w:val="Heading3Char"/>
    <w:qFormat/>
    <w:rsid w:val="0026028E"/>
    <w:pPr>
      <w:keepNext/>
      <w:keepLines/>
      <w:spacing w:before="240" w:after="5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Heading4">
    <w:name w:val="heading 4"/>
    <w:basedOn w:val="Normal"/>
    <w:next w:val="Normalfollowingheading"/>
    <w:link w:val="Heading4Char"/>
    <w:qFormat/>
    <w:rsid w:val="0026028E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555D37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4D92C0"/>
        <w:bottom w:val="single" w:sz="2" w:space="0" w:color="4D92C0"/>
        <w:insideH w:val="single" w:sz="2" w:space="0" w:color="4D92C0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63A5" w:themeColor="text2"/>
        <w:sz w:val="16"/>
      </w:rPr>
      <w:tblPr/>
      <w:tcPr>
        <w:tcBorders>
          <w:top w:val="single" w:sz="2" w:space="0" w:color="CCE0ED"/>
          <w:left w:val="nil"/>
          <w:bottom w:val="single" w:sz="24" w:space="0" w:color="CCE0ED"/>
          <w:right w:val="nil"/>
          <w:insideH w:val="nil"/>
          <w:insideV w:val="nil"/>
          <w:tl2br w:val="nil"/>
          <w:tr2bl w:val="nil"/>
        </w:tcBorders>
        <w:shd w:val="clear" w:color="auto" w:fill="E6EFF6" w:themeFill="background2"/>
        <w:tcMar>
          <w:top w:w="79" w:type="dxa"/>
          <w:left w:w="113" w:type="dxa"/>
          <w:bottom w:w="79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63A5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8AB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  <w:tblStylePr w:type="band1Horz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D64F1"/>
    <w:pPr>
      <w:pBdr>
        <w:bottom w:val="single" w:sz="2" w:space="4" w:color="000016"/>
        <w:between w:val="single" w:sz="2" w:space="1" w:color="000000" w:themeColor="text1"/>
      </w:pBdr>
      <w:tabs>
        <w:tab w:val="right" w:pos="10206"/>
      </w:tabs>
      <w:spacing w:before="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E1651"/>
    <w:pPr>
      <w:pBdr>
        <w:bottom w:val="single" w:sz="2" w:space="4" w:color="000000" w:themeColor="text1"/>
        <w:between w:val="single" w:sz="2" w:space="0" w:color="000000" w:themeColor="text1"/>
      </w:pBdr>
      <w:tabs>
        <w:tab w:val="left" w:pos="340"/>
        <w:tab w:val="right" w:pos="10206"/>
      </w:tabs>
      <w:spacing w:after="60" w:line="240" w:lineRule="auto"/>
      <w:ind w:right="57"/>
    </w:pPr>
    <w:rPr>
      <w:b/>
      <w:noProof/>
      <w:color w:val="0063A5" w:themeColor="text2"/>
    </w:rPr>
  </w:style>
  <w:style w:type="paragraph" w:styleId="TOC3">
    <w:name w:val="toc 3"/>
    <w:basedOn w:val="TOC2"/>
    <w:next w:val="Normal"/>
    <w:uiPriority w:val="39"/>
    <w:rsid w:val="009E1651"/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F966B1"/>
    <w:rPr>
      <w:color w:val="000000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A05EBC"/>
    <w:rPr>
      <w:rFonts w:asciiTheme="majorHAnsi" w:eastAsiaTheme="majorEastAsia" w:hAnsiTheme="majorHAnsi" w:cstheme="majorBidi"/>
      <w:b/>
      <w:bCs/>
      <w:color w:val="0063A5" w:themeColor="text2"/>
      <w:spacing w:val="-1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A05EBC"/>
    <w:rPr>
      <w:rFonts w:asciiTheme="majorHAnsi" w:eastAsiaTheme="majorEastAsia" w:hAnsiTheme="majorHAnsi" w:cstheme="majorBidi"/>
      <w:b/>
      <w:bCs/>
      <w:caps/>
      <w:color w:val="0063A5" w:themeColor="text2"/>
      <w:sz w:val="24"/>
      <w:szCs w:val="26"/>
    </w:rPr>
  </w:style>
  <w:style w:type="paragraph" w:customStyle="1" w:styleId="Bullet1">
    <w:name w:val="Bullet 1"/>
    <w:uiPriority w:val="1"/>
    <w:qFormat/>
    <w:rsid w:val="00D76AD4"/>
    <w:pPr>
      <w:numPr>
        <w:numId w:val="12"/>
      </w:numPr>
      <w:spacing w:before="60" w:after="60"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D76AD4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121488"/>
    <w:pPr>
      <w:ind w:left="567" w:right="567"/>
      <w:jc w:val="center"/>
    </w:pPr>
    <w:rPr>
      <w:i/>
      <w:iCs/>
      <w:color w:val="408ABB" w:themeColor="accent1"/>
    </w:rPr>
  </w:style>
  <w:style w:type="paragraph" w:customStyle="1" w:styleId="Heading1numbered">
    <w:name w:val="Heading 1 numbered"/>
    <w:basedOn w:val="Heading1"/>
    <w:next w:val="NormalIndent"/>
    <w:qFormat/>
    <w:rsid w:val="00BD5018"/>
    <w:pPr>
      <w:framePr w:wrap="around"/>
      <w:numPr>
        <w:numId w:val="10"/>
      </w:numPr>
    </w:pPr>
  </w:style>
  <w:style w:type="paragraph" w:customStyle="1" w:styleId="Heading2numbered">
    <w:name w:val="Heading 2 numbered"/>
    <w:basedOn w:val="Heading2"/>
    <w:next w:val="NormalIndent"/>
    <w:qFormat/>
    <w:rsid w:val="00BD5018"/>
    <w:pPr>
      <w:numPr>
        <w:ilvl w:val="1"/>
        <w:numId w:val="10"/>
      </w:numPr>
    </w:pPr>
  </w:style>
  <w:style w:type="paragraph" w:customStyle="1" w:styleId="Heading3numbered">
    <w:name w:val="Heading 3 numbered"/>
    <w:basedOn w:val="Heading3"/>
    <w:next w:val="NormalIndent"/>
    <w:qFormat/>
    <w:rsid w:val="00BD5018"/>
    <w:pPr>
      <w:numPr>
        <w:ilvl w:val="2"/>
        <w:numId w:val="10"/>
      </w:numPr>
    </w:pPr>
  </w:style>
  <w:style w:type="character" w:customStyle="1" w:styleId="Heading3Char">
    <w:name w:val="Heading 3 Char"/>
    <w:basedOn w:val="DefaultParagraphFont"/>
    <w:link w:val="Heading3"/>
    <w:rsid w:val="00A05EBC"/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customStyle="1" w:styleId="Heading4numbered">
    <w:name w:val="Heading 4 numbered"/>
    <w:basedOn w:val="Heading4"/>
    <w:next w:val="NormalIndent"/>
    <w:qFormat/>
    <w:rsid w:val="00BD5018"/>
    <w:pPr>
      <w:numPr>
        <w:ilvl w:val="3"/>
        <w:numId w:val="10"/>
      </w:numPr>
    </w:pPr>
  </w:style>
  <w:style w:type="character" w:customStyle="1" w:styleId="Heading4Char">
    <w:name w:val="Heading 4 Char"/>
    <w:basedOn w:val="DefaultParagraphFont"/>
    <w:link w:val="Heading4"/>
    <w:rsid w:val="00A05E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NormalIndent">
    <w:name w:val="Normal Indent"/>
    <w:basedOn w:val="Normal"/>
    <w:uiPriority w:val="1"/>
    <w:qFormat/>
    <w:rsid w:val="009B62E0"/>
    <w:pPr>
      <w:spacing w:line="252" w:lineRule="auto"/>
      <w:ind w:left="792"/>
    </w:pPr>
  </w:style>
  <w:style w:type="paragraph" w:customStyle="1" w:styleId="NoteNormal">
    <w:name w:val="Note Normal"/>
    <w:basedOn w:val="Normal"/>
    <w:next w:val="Normal"/>
    <w:uiPriority w:val="1"/>
    <w:rsid w:val="00DA3F36"/>
    <w:pPr>
      <w:spacing w:line="240" w:lineRule="atLeast"/>
      <w:contextualSpacing/>
    </w:pPr>
    <w:rPr>
      <w:sz w:val="16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05EBC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rsid w:val="00794CB7"/>
    <w:pPr>
      <w:pBdr>
        <w:top w:val="single" w:sz="24" w:space="6" w:color="CCCCD0" w:themeColor="accent6"/>
      </w:pBdr>
      <w:spacing w:before="0" w:after="1260" w:line="240" w:lineRule="auto"/>
      <w:contextualSpacing/>
    </w:pPr>
    <w:rPr>
      <w:rFonts w:asciiTheme="majorHAnsi" w:eastAsia="Times New Roman" w:hAnsiTheme="majorHAnsi" w:cstheme="majorHAnsi"/>
      <w:b/>
      <w:caps/>
      <w:color w:val="0063A5" w:themeColor="text2"/>
      <w:sz w:val="48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794CB7"/>
    <w:rPr>
      <w:rFonts w:asciiTheme="majorHAnsi" w:eastAsia="Times New Roman" w:hAnsiTheme="majorHAnsi" w:cstheme="majorHAnsi"/>
      <w:b/>
      <w:caps/>
      <w:color w:val="0063A5" w:themeColor="text2"/>
      <w:sz w:val="48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rsid w:val="00121488"/>
    <w:rPr>
      <w:i/>
      <w:iCs/>
      <w:color w:val="408ABB" w:themeColor="accen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89715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57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rsid w:val="0026028E"/>
    <w:pPr>
      <w:framePr w:vSpace="1418" w:wrap="around"/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7F1" w:themeFill="accent1" w:themeFillTint="33"/>
    </w:tcPr>
    <w:tblStylePr w:type="firstRow">
      <w:rPr>
        <w:b/>
        <w:bCs/>
      </w:rPr>
      <w:tblPr/>
      <w:tcPr>
        <w:shd w:val="clear" w:color="auto" w:fill="B1D0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D0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C" w:themeFill="accent1" w:themeFillShade="BF"/>
      </w:tcPr>
    </w:tblStylePr>
    <w:tblStylePr w:type="band1Vert">
      <w:tblPr/>
      <w:tcPr>
        <w:shd w:val="clear" w:color="auto" w:fill="9EC4DE" w:themeFill="accent1" w:themeFillTint="7F"/>
      </w:tcPr>
    </w:tblStylePr>
    <w:tblStylePr w:type="band1Horz">
      <w:tblPr/>
      <w:tcPr>
        <w:shd w:val="clear" w:color="auto" w:fill="9EC4DE" w:themeFill="accent1" w:themeFillTint="7F"/>
      </w:tcPr>
    </w:tblStylePr>
  </w:style>
  <w:style w:type="paragraph" w:customStyle="1" w:styleId="Tabletext">
    <w:name w:val="Table text"/>
    <w:basedOn w:val="Normal"/>
    <w:uiPriority w:val="2"/>
    <w:qFormat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</w:style>
  <w:style w:type="paragraph" w:customStyle="1" w:styleId="Tabletextright">
    <w:name w:val="Table text right"/>
    <w:basedOn w:val="Tabletext"/>
    <w:uiPriority w:val="2"/>
    <w:qFormat/>
    <w:rsid w:val="00B9053B"/>
    <w:pPr>
      <w:jc w:val="right"/>
    </w:pPr>
  </w:style>
  <w:style w:type="paragraph" w:customStyle="1" w:styleId="Listnum">
    <w:name w:val="List num"/>
    <w:basedOn w:val="Normal"/>
    <w:uiPriority w:val="1"/>
    <w:qFormat/>
    <w:rsid w:val="004A7519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4A7519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2"/>
    <w:qFormat/>
    <w:rsid w:val="00B9053B"/>
    <w:pPr>
      <w:jc w:val="center"/>
    </w:pPr>
  </w:style>
  <w:style w:type="paragraph" w:customStyle="1" w:styleId="Tableheader">
    <w:name w:val="Table header"/>
    <w:basedOn w:val="Normal"/>
    <w:uiPriority w:val="2"/>
    <w:qFormat/>
    <w:rsid w:val="009E1651"/>
    <w:pPr>
      <w:keepNext/>
      <w:keepLines/>
      <w:spacing w:before="0" w:after="0" w:line="260" w:lineRule="atLeast"/>
    </w:pPr>
    <w:rPr>
      <w:rFonts w:eastAsiaTheme="minorHAnsi"/>
      <w:b/>
      <w:color w:val="0063A5" w:themeColor="text2"/>
      <w:sz w:val="16"/>
      <w:szCs w:val="21"/>
      <w:lang w:eastAsia="en-US"/>
    </w:rPr>
  </w:style>
  <w:style w:type="paragraph" w:customStyle="1" w:styleId="Tablebullet">
    <w:name w:val="Table bullet"/>
    <w:basedOn w:val="Tabletext"/>
    <w:uiPriority w:val="2"/>
    <w:rsid w:val="00937A10"/>
    <w:pPr>
      <w:numPr>
        <w:numId w:val="5"/>
      </w:numPr>
    </w:pPr>
  </w:style>
  <w:style w:type="paragraph" w:customStyle="1" w:styleId="Tabledash">
    <w:name w:val="Table dash"/>
    <w:basedOn w:val="Tablebullet"/>
    <w:uiPriority w:val="2"/>
    <w:rsid w:val="00937A10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2"/>
    <w:qFormat/>
    <w:rsid w:val="00C11CD1"/>
    <w:pPr>
      <w:ind w:left="288"/>
    </w:pPr>
  </w:style>
  <w:style w:type="paragraph" w:styleId="ListParagraph">
    <w:name w:val="List Paragraph"/>
    <w:basedOn w:val="Normal"/>
    <w:uiPriority w:val="1"/>
    <w:semiHidden/>
    <w:qFormat/>
    <w:rsid w:val="004231B5"/>
    <w:pPr>
      <w:ind w:left="720"/>
      <w:contextualSpacing/>
    </w:pPr>
  </w:style>
  <w:style w:type="paragraph" w:customStyle="1" w:styleId="Numpara">
    <w:name w:val="Num para"/>
    <w:basedOn w:val="ListParagraph"/>
    <w:uiPriority w:val="1"/>
    <w:qFormat/>
    <w:rsid w:val="00C72252"/>
    <w:pPr>
      <w:numPr>
        <w:numId w:val="7"/>
      </w:numPr>
      <w:tabs>
        <w:tab w:val="left" w:pos="540"/>
      </w:tabs>
    </w:pPr>
  </w:style>
  <w:style w:type="paragraph" w:styleId="FootnoteText">
    <w:name w:val="footnote text"/>
    <w:basedOn w:val="Normal"/>
    <w:link w:val="FootnoteTextChar"/>
    <w:uiPriority w:val="99"/>
    <w:rsid w:val="006945CA"/>
    <w:pPr>
      <w:spacing w:before="57" w:after="0" w:line="160" w:lineRule="atLeas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EBC"/>
    <w:rPr>
      <w:sz w:val="13"/>
    </w:rPr>
  </w:style>
  <w:style w:type="character" w:styleId="FootnoteReference">
    <w:name w:val="footnote reference"/>
    <w:basedOn w:val="DefaultParagraphFont"/>
    <w:uiPriority w:val="99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FF6" w:themeFill="accent2" w:themeFillTint="33"/>
    </w:tcPr>
    <w:tblStylePr w:type="firstRow">
      <w:rPr>
        <w:b/>
        <w:bCs/>
      </w:rPr>
      <w:tblPr/>
      <w:tcPr>
        <w:shd w:val="clear" w:color="auto" w:fill="CCDF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F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28A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28ABA" w:themeFill="accent2" w:themeFillShade="BF"/>
      </w:tcPr>
    </w:tblStylePr>
    <w:tblStylePr w:type="band1Vert">
      <w:tblPr/>
      <w:tcPr>
        <w:shd w:val="clear" w:color="auto" w:fill="BFD8E8" w:themeFill="accent2" w:themeFillTint="7F"/>
      </w:tcPr>
    </w:tblStylePr>
    <w:tblStylePr w:type="band1Horz">
      <w:tblPr/>
      <w:tcPr>
        <w:shd w:val="clear" w:color="auto" w:fill="BFD8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7FA" w:themeFill="accent3" w:themeFillTint="33"/>
    </w:tcPr>
    <w:tblStylePr w:type="firstRow">
      <w:rPr>
        <w:b/>
        <w:bCs/>
      </w:rPr>
      <w:tblPr/>
      <w:tcPr>
        <w:shd w:val="clear" w:color="auto" w:fill="E5EFF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FF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A8C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A8CC" w:themeFill="accent3" w:themeFillShade="BF"/>
      </w:tcPr>
    </w:tblStylePr>
    <w:tblStylePr w:type="band1Vert">
      <w:tblPr/>
      <w:tcPr>
        <w:shd w:val="clear" w:color="auto" w:fill="DFEBF3" w:themeFill="accent3" w:themeFillTint="7F"/>
      </w:tcPr>
    </w:tblStylePr>
    <w:tblStylePr w:type="band1Horz">
      <w:tblPr/>
      <w:tcPr>
        <w:shd w:val="clear" w:color="auto" w:fill="DFEBF3" w:themeFill="accent3" w:themeFillTint="7F"/>
      </w:tcPr>
    </w:tblStylePr>
  </w:style>
  <w:style w:type="paragraph" w:customStyle="1" w:styleId="Tablenum1">
    <w:name w:val="Table num 1"/>
    <w:basedOn w:val="Normal"/>
    <w:uiPriority w:val="2"/>
    <w:rsid w:val="007F723F"/>
    <w:pPr>
      <w:numPr>
        <w:ilvl w:val="2"/>
        <w:numId w:val="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2"/>
    <w:rsid w:val="007F723F"/>
    <w:pPr>
      <w:numPr>
        <w:ilvl w:val="3"/>
        <w:numId w:val="5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1"/>
    <w:rsid w:val="00A92D94"/>
    <w:pPr>
      <w:spacing w:before="280" w:after="210" w:line="260" w:lineRule="atLeast"/>
    </w:pPr>
    <w:rPr>
      <w:b/>
      <w:bCs/>
      <w:color w:val="0063A5" w:themeColor="text2"/>
      <w:szCs w:val="18"/>
    </w:rPr>
  </w:style>
  <w:style w:type="paragraph" w:customStyle="1" w:styleId="Tablechartdiagramheading">
    <w:name w:val="Table/chart/diagram heading"/>
    <w:next w:val="Normal"/>
    <w:uiPriority w:val="2"/>
    <w:qFormat/>
    <w:rsid w:val="00897157"/>
    <w:pPr>
      <w:tabs>
        <w:tab w:val="left" w:pos="1080"/>
      </w:tabs>
      <w:spacing w:before="280" w:after="210" w:line="260" w:lineRule="atLeast"/>
    </w:pPr>
    <w:rPr>
      <w:b/>
      <w:bCs/>
      <w:color w:val="0063A5" w:themeColor="text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FooterOdd">
    <w:name w:val="Footer Odd"/>
    <w:basedOn w:val="Footer"/>
    <w:uiPriority w:val="99"/>
    <w:qFormat/>
    <w:rsid w:val="002A5891"/>
    <w:pPr>
      <w:framePr w:hSpace="17010" w:wrap="around" w:vAnchor="text" w:hAnchor="margin" w:xAlign="right" w:y="1"/>
      <w:pBdr>
        <w:top w:val="single" w:sz="8" w:space="6" w:color="CCCCD0" w:themeColor="accent6"/>
      </w:pBdr>
      <w:jc w:val="right"/>
    </w:pPr>
  </w:style>
  <w:style w:type="paragraph" w:customStyle="1" w:styleId="FooterEven">
    <w:name w:val="Footer Even"/>
    <w:basedOn w:val="Footer"/>
    <w:uiPriority w:val="99"/>
    <w:qFormat/>
    <w:rsid w:val="002A5891"/>
    <w:pPr>
      <w:framePr w:hSpace="17010" w:wrap="around" w:vAnchor="text" w:hAnchor="margin" w:y="1"/>
      <w:pBdr>
        <w:top w:val="single" w:sz="8" w:space="6" w:color="CCCCD0" w:themeColor="accent6"/>
      </w:pBdr>
    </w:pPr>
  </w:style>
  <w:style w:type="paragraph" w:customStyle="1" w:styleId="IntroductoryText">
    <w:name w:val="Introductory Text"/>
    <w:basedOn w:val="Normal"/>
    <w:uiPriority w:val="1"/>
    <w:qFormat/>
    <w:rsid w:val="00E03F35"/>
    <w:pPr>
      <w:spacing w:before="280" w:after="60"/>
    </w:pPr>
    <w:rPr>
      <w:b/>
      <w:color w:val="0063A5" w:themeColor="text2"/>
    </w:rPr>
  </w:style>
  <w:style w:type="paragraph" w:styleId="NoSpacing">
    <w:name w:val="No Spacing"/>
    <w:uiPriority w:val="1"/>
    <w:qFormat/>
    <w:rsid w:val="00294A5A"/>
    <w:pPr>
      <w:spacing w:before="0" w:after="0" w:line="240" w:lineRule="auto"/>
    </w:pPr>
  </w:style>
  <w:style w:type="paragraph" w:customStyle="1" w:styleId="Normalfollowingheading">
    <w:name w:val="Normal following heading"/>
    <w:basedOn w:val="Normal"/>
    <w:next w:val="Normal"/>
    <w:uiPriority w:val="1"/>
    <w:qFormat/>
    <w:rsid w:val="00294A5A"/>
    <w:pPr>
      <w:spacing w:before="0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</w:rPr>
      <w:tblPr/>
      <w:tcPr>
        <w:shd w:val="clear" w:color="auto" w:fill="ADAD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</w:rPr>
      <w:tblPr/>
      <w:tcPr>
        <w:shd w:val="clear" w:color="auto" w:fill="EAEA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92C0" w:themeFill="accent2" w:themeFillShade="CC"/>
      </w:tcPr>
    </w:tblStylePr>
    <w:tblStylePr w:type="lastRow">
      <w:rPr>
        <w:b/>
        <w:bCs/>
        <w:color w:val="4E92C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92C0" w:themeFill="accent2" w:themeFillShade="CC"/>
      </w:tcPr>
    </w:tblStylePr>
    <w:tblStylePr w:type="lastRow">
      <w:rPr>
        <w:b/>
        <w:bCs/>
        <w:color w:val="4E92C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92C0" w:themeFill="accent2" w:themeFillShade="CC"/>
      </w:tcPr>
    </w:tblStylePr>
    <w:tblStylePr w:type="lastRow">
      <w:rPr>
        <w:b/>
        <w:bCs/>
        <w:color w:val="4E92C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333F" w:themeFill="accent4" w:themeFillShade="CC"/>
      </w:tcPr>
    </w:tblStylePr>
    <w:tblStylePr w:type="lastRow">
      <w:rPr>
        <w:b/>
        <w:bCs/>
        <w:color w:val="3333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B1D1" w:themeFill="accent3" w:themeFillShade="CC"/>
      </w:tcPr>
    </w:tblStylePr>
    <w:tblStylePr w:type="lastRow">
      <w:rPr>
        <w:b/>
        <w:bCs/>
        <w:color w:val="80B1D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A1A8" w:themeFill="accent6" w:themeFillShade="CC"/>
      </w:tcPr>
    </w:tblStylePr>
    <w:tblStylePr w:type="lastRow">
      <w:rPr>
        <w:b/>
        <w:bCs/>
        <w:color w:val="A1A1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F" w:themeFill="accent5" w:themeFillShade="CC"/>
      </w:tcPr>
    </w:tblStylePr>
    <w:tblStylePr w:type="lastRow">
      <w:rPr>
        <w:b/>
        <w:bCs/>
        <w:color w:val="6666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1D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1D2" w:themeColor="accent2"/>
        <w:left w:val="single" w:sz="4" w:space="0" w:color="408ABB" w:themeColor="accent1"/>
        <w:bottom w:val="single" w:sz="4" w:space="0" w:color="408ABB" w:themeColor="accent1"/>
        <w:right w:val="single" w:sz="4" w:space="0" w:color="408AB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2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26F" w:themeColor="accent1" w:themeShade="99"/>
          <w:insideV w:val="nil"/>
        </w:tcBorders>
        <w:shd w:val="clear" w:color="auto" w:fill="2652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26F" w:themeFill="accent1" w:themeFillShade="99"/>
      </w:tcPr>
    </w:tblStylePr>
    <w:tblStylePr w:type="band1Vert">
      <w:tblPr/>
      <w:tcPr>
        <w:shd w:val="clear" w:color="auto" w:fill="B1D0E4" w:themeFill="accent1" w:themeFillTint="66"/>
      </w:tcPr>
    </w:tblStylePr>
    <w:tblStylePr w:type="band1Horz">
      <w:tblPr/>
      <w:tcPr>
        <w:shd w:val="clear" w:color="auto" w:fill="9EC4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1D2" w:themeColor="accent2"/>
        <w:left w:val="single" w:sz="4" w:space="0" w:color="80B1D2" w:themeColor="accent2"/>
        <w:bottom w:val="single" w:sz="4" w:space="0" w:color="80B1D2" w:themeColor="accent2"/>
        <w:right w:val="single" w:sz="4" w:space="0" w:color="80B1D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6E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6E95" w:themeColor="accent2" w:themeShade="99"/>
          <w:insideV w:val="nil"/>
        </w:tcBorders>
        <w:shd w:val="clear" w:color="auto" w:fill="356E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E95" w:themeFill="accent2" w:themeFillShade="99"/>
      </w:tcPr>
    </w:tblStylePr>
    <w:tblStylePr w:type="band1Vert">
      <w:tblPr/>
      <w:tcPr>
        <w:shd w:val="clear" w:color="auto" w:fill="CCDFED" w:themeFill="accent2" w:themeFillTint="66"/>
      </w:tcPr>
    </w:tblStylePr>
    <w:tblStylePr w:type="band1Horz">
      <w:tblPr/>
      <w:tcPr>
        <w:shd w:val="clear" w:color="auto" w:fill="BFD8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4050" w:themeColor="accent4"/>
        <w:left w:val="single" w:sz="4" w:space="0" w:color="BFD8E8" w:themeColor="accent3"/>
        <w:bottom w:val="single" w:sz="4" w:space="0" w:color="BFD8E8" w:themeColor="accent3"/>
        <w:right w:val="single" w:sz="4" w:space="0" w:color="BFD8E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BB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BBA" w:themeColor="accent3" w:themeShade="99"/>
          <w:insideV w:val="nil"/>
        </w:tcBorders>
        <w:shd w:val="clear" w:color="auto" w:fill="438BB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BBA" w:themeFill="accent3" w:themeFillShade="99"/>
      </w:tcPr>
    </w:tblStylePr>
    <w:tblStylePr w:type="band1Vert">
      <w:tblPr/>
      <w:tcPr>
        <w:shd w:val="clear" w:color="auto" w:fill="E5EFF5" w:themeFill="accent3" w:themeFillTint="66"/>
      </w:tcPr>
    </w:tblStylePr>
    <w:tblStylePr w:type="band1Horz">
      <w:tblPr/>
      <w:tcPr>
        <w:shd w:val="clear" w:color="auto" w:fill="DFEBF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D8E8" w:themeColor="accent3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8E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F" w:themeColor="accent4" w:themeShade="99"/>
          <w:insideV w:val="nil"/>
        </w:tcBorders>
        <w:shd w:val="clear" w:color="auto" w:fill="2626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F" w:themeFill="accent4" w:themeFillShade="99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9999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D0" w:themeColor="accent6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53" w:themeColor="accent5" w:themeShade="99"/>
          <w:insideV w:val="nil"/>
        </w:tcBorders>
        <w:shd w:val="clear" w:color="auto" w:fill="4C4C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53" w:themeFill="accent5" w:themeFillShade="99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BFB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B" w:themeColor="accent5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6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680" w:themeColor="accent6" w:themeShade="99"/>
          <w:insideV w:val="nil"/>
        </w:tcBorders>
        <w:shd w:val="clear" w:color="auto" w:fill="7676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80" w:themeFill="accent6" w:themeFillShade="99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5E5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8AB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B1D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5B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8A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8A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A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A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D8E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749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A8C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A8C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8C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8C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2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969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1D0E4" w:themeColor="accent1" w:themeTint="66"/>
        <w:left w:val="single" w:sz="4" w:space="0" w:color="B1D0E4" w:themeColor="accent1" w:themeTint="66"/>
        <w:bottom w:val="single" w:sz="4" w:space="0" w:color="B1D0E4" w:themeColor="accent1" w:themeTint="66"/>
        <w:right w:val="single" w:sz="4" w:space="0" w:color="B1D0E4" w:themeColor="accent1" w:themeTint="66"/>
        <w:insideH w:val="single" w:sz="4" w:space="0" w:color="B1D0E4" w:themeColor="accent1" w:themeTint="66"/>
        <w:insideV w:val="single" w:sz="4" w:space="0" w:color="B1D0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B8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DFED" w:themeColor="accent2" w:themeTint="66"/>
        <w:left w:val="single" w:sz="4" w:space="0" w:color="CCDFED" w:themeColor="accent2" w:themeTint="66"/>
        <w:bottom w:val="single" w:sz="4" w:space="0" w:color="CCDFED" w:themeColor="accent2" w:themeTint="66"/>
        <w:right w:val="single" w:sz="4" w:space="0" w:color="CCDFED" w:themeColor="accent2" w:themeTint="66"/>
        <w:insideH w:val="single" w:sz="4" w:space="0" w:color="CCDFED" w:themeColor="accent2" w:themeTint="66"/>
        <w:insideV w:val="single" w:sz="4" w:space="0" w:color="CCDF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D0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5EFF5" w:themeColor="accent3" w:themeTint="66"/>
        <w:left w:val="single" w:sz="4" w:space="0" w:color="E5EFF5" w:themeColor="accent3" w:themeTint="66"/>
        <w:bottom w:val="single" w:sz="4" w:space="0" w:color="E5EFF5" w:themeColor="accent3" w:themeTint="66"/>
        <w:right w:val="single" w:sz="4" w:space="0" w:color="E5EFF5" w:themeColor="accent3" w:themeTint="66"/>
        <w:insideH w:val="single" w:sz="4" w:space="0" w:color="E5EFF5" w:themeColor="accent3" w:themeTint="66"/>
        <w:insideV w:val="single" w:sz="4" w:space="0" w:color="E5EFF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7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ADBD" w:themeColor="accent4" w:themeTint="66"/>
        <w:left w:val="single" w:sz="4" w:space="0" w:color="ADADBD" w:themeColor="accent4" w:themeTint="66"/>
        <w:bottom w:val="single" w:sz="4" w:space="0" w:color="ADADBD" w:themeColor="accent4" w:themeTint="66"/>
        <w:right w:val="single" w:sz="4" w:space="0" w:color="ADADBD" w:themeColor="accent4" w:themeTint="66"/>
        <w:insideH w:val="single" w:sz="4" w:space="0" w:color="ADADBD" w:themeColor="accent4" w:themeTint="66"/>
        <w:insideV w:val="single" w:sz="4" w:space="0" w:color="ADAD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5" w:themeTint="66"/>
        <w:left w:val="single" w:sz="4" w:space="0" w:color="CCCCD0" w:themeColor="accent5" w:themeTint="66"/>
        <w:bottom w:val="single" w:sz="4" w:space="0" w:color="CCCCD0" w:themeColor="accent5" w:themeTint="66"/>
        <w:right w:val="single" w:sz="4" w:space="0" w:color="CCCCD0" w:themeColor="accent5" w:themeTint="66"/>
        <w:insideH w:val="single" w:sz="4" w:space="0" w:color="CCCCD0" w:themeColor="accent5" w:themeTint="66"/>
        <w:insideV w:val="single" w:sz="4" w:space="0" w:color="CCCC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AEAEC" w:themeColor="accent6" w:themeTint="66"/>
        <w:left w:val="single" w:sz="4" w:space="0" w:color="EAEAEC" w:themeColor="accent6" w:themeTint="66"/>
        <w:bottom w:val="single" w:sz="4" w:space="0" w:color="EAEAEC" w:themeColor="accent6" w:themeTint="66"/>
        <w:right w:val="single" w:sz="4" w:space="0" w:color="EAEAEC" w:themeColor="accent6" w:themeTint="66"/>
        <w:insideH w:val="single" w:sz="4" w:space="0" w:color="EAEAEC" w:themeColor="accent6" w:themeTint="66"/>
        <w:insideV w:val="single" w:sz="4" w:space="0" w:color="EAEA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BB8D7" w:themeColor="accent1" w:themeTint="99"/>
        <w:bottom w:val="single" w:sz="2" w:space="0" w:color="8BB8D7" w:themeColor="accent1" w:themeTint="99"/>
        <w:insideH w:val="single" w:sz="2" w:space="0" w:color="8BB8D7" w:themeColor="accent1" w:themeTint="99"/>
        <w:insideV w:val="single" w:sz="2" w:space="0" w:color="8BB8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B8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B8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D0E4" w:themeColor="accent2" w:themeTint="99"/>
        <w:bottom w:val="single" w:sz="2" w:space="0" w:color="B2D0E4" w:themeColor="accent2" w:themeTint="99"/>
        <w:insideH w:val="single" w:sz="2" w:space="0" w:color="B2D0E4" w:themeColor="accent2" w:themeTint="99"/>
        <w:insideV w:val="single" w:sz="2" w:space="0" w:color="B2D0E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0E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0E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D8E7F1" w:themeColor="accent3" w:themeTint="99"/>
        <w:bottom w:val="single" w:sz="2" w:space="0" w:color="D8E7F1" w:themeColor="accent3" w:themeTint="99"/>
        <w:insideH w:val="single" w:sz="2" w:space="0" w:color="D8E7F1" w:themeColor="accent3" w:themeTint="99"/>
        <w:insideV w:val="single" w:sz="2" w:space="0" w:color="D8E7F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7F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7F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4849D" w:themeColor="accent4" w:themeTint="99"/>
        <w:bottom w:val="single" w:sz="2" w:space="0" w:color="84849D" w:themeColor="accent4" w:themeTint="99"/>
        <w:insideH w:val="single" w:sz="2" w:space="0" w:color="84849D" w:themeColor="accent4" w:themeTint="99"/>
        <w:insideV w:val="single" w:sz="2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B2B9" w:themeColor="accent5" w:themeTint="99"/>
        <w:bottom w:val="single" w:sz="2" w:space="0" w:color="B2B2B9" w:themeColor="accent5" w:themeTint="99"/>
        <w:insideH w:val="single" w:sz="2" w:space="0" w:color="B2B2B9" w:themeColor="accent5" w:themeTint="99"/>
        <w:insideV w:val="single" w:sz="2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E0E0E2" w:themeColor="accent6" w:themeTint="99"/>
        <w:bottom w:val="single" w:sz="2" w:space="0" w:color="E0E0E2" w:themeColor="accent6" w:themeTint="99"/>
        <w:insideH w:val="single" w:sz="2" w:space="0" w:color="E0E0E2" w:themeColor="accent6" w:themeTint="99"/>
        <w:insideV w:val="single" w:sz="2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  <w:tblStylePr w:type="neCell">
      <w:tblPr/>
      <w:tcPr>
        <w:tcBorders>
          <w:bottom w:val="single" w:sz="4" w:space="0" w:color="8BB8D7" w:themeColor="accent1" w:themeTint="99"/>
        </w:tcBorders>
      </w:tcPr>
    </w:tblStylePr>
    <w:tblStylePr w:type="nwCell">
      <w:tblPr/>
      <w:tcPr>
        <w:tcBorders>
          <w:bottom w:val="single" w:sz="4" w:space="0" w:color="8BB8D7" w:themeColor="accent1" w:themeTint="99"/>
        </w:tcBorders>
      </w:tcPr>
    </w:tblStylePr>
    <w:tblStylePr w:type="seCell">
      <w:tblPr/>
      <w:tcPr>
        <w:tcBorders>
          <w:top w:val="single" w:sz="4" w:space="0" w:color="8BB8D7" w:themeColor="accent1" w:themeTint="99"/>
        </w:tcBorders>
      </w:tcPr>
    </w:tblStylePr>
    <w:tblStylePr w:type="swCell">
      <w:tblPr/>
      <w:tcPr>
        <w:tcBorders>
          <w:top w:val="single" w:sz="4" w:space="0" w:color="8BB8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  <w:tblStylePr w:type="neCell">
      <w:tblPr/>
      <w:tcPr>
        <w:tcBorders>
          <w:bottom w:val="single" w:sz="4" w:space="0" w:color="B2D0E4" w:themeColor="accent2" w:themeTint="99"/>
        </w:tcBorders>
      </w:tcPr>
    </w:tblStylePr>
    <w:tblStylePr w:type="nwCell">
      <w:tblPr/>
      <w:tcPr>
        <w:tcBorders>
          <w:bottom w:val="single" w:sz="4" w:space="0" w:color="B2D0E4" w:themeColor="accent2" w:themeTint="99"/>
        </w:tcBorders>
      </w:tcPr>
    </w:tblStylePr>
    <w:tblStylePr w:type="seCell">
      <w:tblPr/>
      <w:tcPr>
        <w:tcBorders>
          <w:top w:val="single" w:sz="4" w:space="0" w:color="B2D0E4" w:themeColor="accent2" w:themeTint="99"/>
        </w:tcBorders>
      </w:tcPr>
    </w:tblStylePr>
    <w:tblStylePr w:type="swCell">
      <w:tblPr/>
      <w:tcPr>
        <w:tcBorders>
          <w:top w:val="single" w:sz="4" w:space="0" w:color="B2D0E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  <w:tblStylePr w:type="neCell">
      <w:tblPr/>
      <w:tcPr>
        <w:tcBorders>
          <w:bottom w:val="single" w:sz="4" w:space="0" w:color="D8E7F1" w:themeColor="accent3" w:themeTint="99"/>
        </w:tcBorders>
      </w:tcPr>
    </w:tblStylePr>
    <w:tblStylePr w:type="nwCell">
      <w:tblPr/>
      <w:tcPr>
        <w:tcBorders>
          <w:bottom w:val="single" w:sz="4" w:space="0" w:color="D8E7F1" w:themeColor="accent3" w:themeTint="99"/>
        </w:tcBorders>
      </w:tcPr>
    </w:tblStylePr>
    <w:tblStylePr w:type="seCell">
      <w:tblPr/>
      <w:tcPr>
        <w:tcBorders>
          <w:top w:val="single" w:sz="4" w:space="0" w:color="D8E7F1" w:themeColor="accent3" w:themeTint="99"/>
        </w:tcBorders>
      </w:tcPr>
    </w:tblStylePr>
    <w:tblStylePr w:type="swCell">
      <w:tblPr/>
      <w:tcPr>
        <w:tcBorders>
          <w:top w:val="single" w:sz="4" w:space="0" w:color="D8E7F1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8ABB" w:themeColor="accent1"/>
          <w:left w:val="single" w:sz="4" w:space="0" w:color="408ABB" w:themeColor="accent1"/>
          <w:bottom w:val="single" w:sz="4" w:space="0" w:color="408ABB" w:themeColor="accent1"/>
          <w:right w:val="single" w:sz="4" w:space="0" w:color="408ABB" w:themeColor="accent1"/>
          <w:insideH w:val="nil"/>
          <w:insideV w:val="nil"/>
        </w:tcBorders>
        <w:shd w:val="clear" w:color="auto" w:fill="408ABB" w:themeFill="accent1"/>
      </w:tcPr>
    </w:tblStylePr>
    <w:tblStylePr w:type="lastRow">
      <w:rPr>
        <w:b/>
        <w:bCs/>
      </w:rPr>
      <w:tblPr/>
      <w:tcPr>
        <w:tcBorders>
          <w:top w:val="double" w:sz="4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1D2" w:themeColor="accent2"/>
          <w:left w:val="single" w:sz="4" w:space="0" w:color="80B1D2" w:themeColor="accent2"/>
          <w:bottom w:val="single" w:sz="4" w:space="0" w:color="80B1D2" w:themeColor="accent2"/>
          <w:right w:val="single" w:sz="4" w:space="0" w:color="80B1D2" w:themeColor="accent2"/>
          <w:insideH w:val="nil"/>
          <w:insideV w:val="nil"/>
        </w:tcBorders>
        <w:shd w:val="clear" w:color="auto" w:fill="80B1D2" w:themeFill="accent2"/>
      </w:tcPr>
    </w:tblStylePr>
    <w:tblStylePr w:type="lastRow">
      <w:rPr>
        <w:b/>
        <w:bCs/>
      </w:rPr>
      <w:tblPr/>
      <w:tcPr>
        <w:tcBorders>
          <w:top w:val="double" w:sz="4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8E8" w:themeColor="accent3"/>
          <w:left w:val="single" w:sz="4" w:space="0" w:color="BFD8E8" w:themeColor="accent3"/>
          <w:bottom w:val="single" w:sz="4" w:space="0" w:color="BFD8E8" w:themeColor="accent3"/>
          <w:right w:val="single" w:sz="4" w:space="0" w:color="BFD8E8" w:themeColor="accent3"/>
          <w:insideH w:val="nil"/>
          <w:insideV w:val="nil"/>
        </w:tcBorders>
        <w:shd w:val="clear" w:color="auto" w:fill="BFD8E8" w:themeFill="accent3"/>
      </w:tcPr>
    </w:tblStylePr>
    <w:tblStylePr w:type="lastRow">
      <w:rPr>
        <w:b/>
        <w:bCs/>
      </w:rPr>
      <w:tblPr/>
      <w:tcPr>
        <w:tcBorders>
          <w:top w:val="double" w:sz="4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7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8AB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8AB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8AB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8ABB" w:themeFill="accent1"/>
      </w:tcPr>
    </w:tblStylePr>
    <w:tblStylePr w:type="band1Vert">
      <w:tblPr/>
      <w:tcPr>
        <w:shd w:val="clear" w:color="auto" w:fill="B1D0E4" w:themeFill="accent1" w:themeFillTint="66"/>
      </w:tcPr>
    </w:tblStylePr>
    <w:tblStylePr w:type="band1Horz">
      <w:tblPr/>
      <w:tcPr>
        <w:shd w:val="clear" w:color="auto" w:fill="B1D0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1D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1D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B1D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B1D2" w:themeFill="accent2"/>
      </w:tcPr>
    </w:tblStylePr>
    <w:tblStylePr w:type="band1Vert">
      <w:tblPr/>
      <w:tcPr>
        <w:shd w:val="clear" w:color="auto" w:fill="CCDFED" w:themeFill="accent2" w:themeFillTint="66"/>
      </w:tcPr>
    </w:tblStylePr>
    <w:tblStylePr w:type="band1Horz">
      <w:tblPr/>
      <w:tcPr>
        <w:shd w:val="clear" w:color="auto" w:fill="CCDF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8E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8E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8E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8E8" w:themeFill="accent3"/>
      </w:tcPr>
    </w:tblStylePr>
    <w:tblStylePr w:type="band1Vert">
      <w:tblPr/>
      <w:tcPr>
        <w:shd w:val="clear" w:color="auto" w:fill="E5EFF5" w:themeFill="accent3" w:themeFillTint="66"/>
      </w:tcPr>
    </w:tblStylePr>
    <w:tblStylePr w:type="band1Horz">
      <w:tblPr/>
      <w:tcPr>
        <w:shd w:val="clear" w:color="auto" w:fill="E5EFF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ADADB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CCCCD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AEAEC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BB8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D0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E7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  <w:tblStylePr w:type="neCell">
      <w:tblPr/>
      <w:tcPr>
        <w:tcBorders>
          <w:bottom w:val="single" w:sz="4" w:space="0" w:color="8BB8D7" w:themeColor="accent1" w:themeTint="99"/>
        </w:tcBorders>
      </w:tcPr>
    </w:tblStylePr>
    <w:tblStylePr w:type="nwCell">
      <w:tblPr/>
      <w:tcPr>
        <w:tcBorders>
          <w:bottom w:val="single" w:sz="4" w:space="0" w:color="8BB8D7" w:themeColor="accent1" w:themeTint="99"/>
        </w:tcBorders>
      </w:tcPr>
    </w:tblStylePr>
    <w:tblStylePr w:type="seCell">
      <w:tblPr/>
      <w:tcPr>
        <w:tcBorders>
          <w:top w:val="single" w:sz="4" w:space="0" w:color="8BB8D7" w:themeColor="accent1" w:themeTint="99"/>
        </w:tcBorders>
      </w:tcPr>
    </w:tblStylePr>
    <w:tblStylePr w:type="swCell">
      <w:tblPr/>
      <w:tcPr>
        <w:tcBorders>
          <w:top w:val="single" w:sz="4" w:space="0" w:color="8BB8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  <w:tblStylePr w:type="neCell">
      <w:tblPr/>
      <w:tcPr>
        <w:tcBorders>
          <w:bottom w:val="single" w:sz="4" w:space="0" w:color="B2D0E4" w:themeColor="accent2" w:themeTint="99"/>
        </w:tcBorders>
      </w:tcPr>
    </w:tblStylePr>
    <w:tblStylePr w:type="nwCell">
      <w:tblPr/>
      <w:tcPr>
        <w:tcBorders>
          <w:bottom w:val="single" w:sz="4" w:space="0" w:color="B2D0E4" w:themeColor="accent2" w:themeTint="99"/>
        </w:tcBorders>
      </w:tcPr>
    </w:tblStylePr>
    <w:tblStylePr w:type="seCell">
      <w:tblPr/>
      <w:tcPr>
        <w:tcBorders>
          <w:top w:val="single" w:sz="4" w:space="0" w:color="B2D0E4" w:themeColor="accent2" w:themeTint="99"/>
        </w:tcBorders>
      </w:tcPr>
    </w:tblStylePr>
    <w:tblStylePr w:type="swCell">
      <w:tblPr/>
      <w:tcPr>
        <w:tcBorders>
          <w:top w:val="single" w:sz="4" w:space="0" w:color="B2D0E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  <w:tblStylePr w:type="neCell">
      <w:tblPr/>
      <w:tcPr>
        <w:tcBorders>
          <w:bottom w:val="single" w:sz="4" w:space="0" w:color="D8E7F1" w:themeColor="accent3" w:themeTint="99"/>
        </w:tcBorders>
      </w:tcPr>
    </w:tblStylePr>
    <w:tblStylePr w:type="nwCell">
      <w:tblPr/>
      <w:tcPr>
        <w:tcBorders>
          <w:bottom w:val="single" w:sz="4" w:space="0" w:color="D8E7F1" w:themeColor="accent3" w:themeTint="99"/>
        </w:tcBorders>
      </w:tcPr>
    </w:tblStylePr>
    <w:tblStylePr w:type="seCell">
      <w:tblPr/>
      <w:tcPr>
        <w:tcBorders>
          <w:top w:val="single" w:sz="4" w:space="0" w:color="D8E7F1" w:themeColor="accent3" w:themeTint="99"/>
        </w:tcBorders>
      </w:tcPr>
    </w:tblStylePr>
    <w:tblStylePr w:type="swCell">
      <w:tblPr/>
      <w:tcPr>
        <w:tcBorders>
          <w:top w:val="single" w:sz="4" w:space="0" w:color="D8E7F1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  <w:insideH w:val="single" w:sz="8" w:space="0" w:color="408ABB" w:themeColor="accent1"/>
        <w:insideV w:val="single" w:sz="8" w:space="0" w:color="408AB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18" w:space="0" w:color="408ABB" w:themeColor="accent1"/>
          <w:right w:val="single" w:sz="8" w:space="0" w:color="408ABB" w:themeColor="accent1"/>
          <w:insideH w:val="nil"/>
          <w:insideV w:val="single" w:sz="8" w:space="0" w:color="408AB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  <w:insideH w:val="nil"/>
          <w:insideV w:val="single" w:sz="8" w:space="0" w:color="408AB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  <w:tblStylePr w:type="band1Vert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  <w:shd w:val="clear" w:color="auto" w:fill="CFE2EE" w:themeFill="accent1" w:themeFillTint="3F"/>
      </w:tcPr>
    </w:tblStylePr>
    <w:tblStylePr w:type="band1Horz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  <w:insideV w:val="single" w:sz="8" w:space="0" w:color="408ABB" w:themeColor="accent1"/>
        </w:tcBorders>
        <w:shd w:val="clear" w:color="auto" w:fill="CFE2EE" w:themeFill="accent1" w:themeFillTint="3F"/>
      </w:tcPr>
    </w:tblStylePr>
    <w:tblStylePr w:type="band2Horz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  <w:insideV w:val="single" w:sz="8" w:space="0" w:color="408AB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  <w:insideH w:val="single" w:sz="8" w:space="0" w:color="80B1D2" w:themeColor="accent2"/>
        <w:insideV w:val="single" w:sz="8" w:space="0" w:color="80B1D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18" w:space="0" w:color="80B1D2" w:themeColor="accent2"/>
          <w:right w:val="single" w:sz="8" w:space="0" w:color="80B1D2" w:themeColor="accent2"/>
          <w:insideH w:val="nil"/>
          <w:insideV w:val="single" w:sz="8" w:space="0" w:color="80B1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  <w:insideH w:val="nil"/>
          <w:insideV w:val="single" w:sz="8" w:space="0" w:color="80B1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  <w:tblStylePr w:type="band1Vert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  <w:shd w:val="clear" w:color="auto" w:fill="DFEBF3" w:themeFill="accent2" w:themeFillTint="3F"/>
      </w:tcPr>
    </w:tblStylePr>
    <w:tblStylePr w:type="band1Horz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  <w:insideV w:val="single" w:sz="8" w:space="0" w:color="80B1D2" w:themeColor="accent2"/>
        </w:tcBorders>
        <w:shd w:val="clear" w:color="auto" w:fill="DFEBF3" w:themeFill="accent2" w:themeFillTint="3F"/>
      </w:tcPr>
    </w:tblStylePr>
    <w:tblStylePr w:type="band2Horz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  <w:insideV w:val="single" w:sz="8" w:space="0" w:color="80B1D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  <w:insideH w:val="single" w:sz="8" w:space="0" w:color="BFD8E8" w:themeColor="accent3"/>
        <w:insideV w:val="single" w:sz="8" w:space="0" w:color="BFD8E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18" w:space="0" w:color="BFD8E8" w:themeColor="accent3"/>
          <w:right w:val="single" w:sz="8" w:space="0" w:color="BFD8E8" w:themeColor="accent3"/>
          <w:insideH w:val="nil"/>
          <w:insideV w:val="single" w:sz="8" w:space="0" w:color="BFD8E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  <w:insideH w:val="nil"/>
          <w:insideV w:val="single" w:sz="8" w:space="0" w:color="BFD8E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  <w:tblStylePr w:type="band1Vert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  <w:shd w:val="clear" w:color="auto" w:fill="EFF5F9" w:themeFill="accent3" w:themeFillTint="3F"/>
      </w:tcPr>
    </w:tblStylePr>
    <w:tblStylePr w:type="band1Horz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  <w:insideV w:val="single" w:sz="8" w:space="0" w:color="BFD8E8" w:themeColor="accent3"/>
        </w:tcBorders>
        <w:shd w:val="clear" w:color="auto" w:fill="EFF5F9" w:themeFill="accent3" w:themeFillTint="3F"/>
      </w:tcPr>
    </w:tblStylePr>
    <w:tblStylePr w:type="band2Horz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  <w:insideV w:val="single" w:sz="8" w:space="0" w:color="BFD8E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1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  <w:shd w:val="clear" w:color="auto" w:fill="CCCCD6" w:themeFill="accent4" w:themeFillTint="3F"/>
      </w:tcPr>
    </w:tblStylePr>
    <w:tblStylePr w:type="band2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1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  <w:shd w:val="clear" w:color="auto" w:fill="DFDFE2" w:themeFill="accent5" w:themeFillTint="3F"/>
      </w:tcPr>
    </w:tblStylePr>
    <w:tblStylePr w:type="band2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1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  <w:shd w:val="clear" w:color="auto" w:fill="F2F2F3" w:themeFill="accent6" w:themeFillTint="3F"/>
      </w:tcPr>
    </w:tblStylePr>
    <w:tblStylePr w:type="band2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B1D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  <w:tblStylePr w:type="band1Horz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8E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  <w:tblStylePr w:type="band1Horz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8" w:space="0" w:color="408ABB" w:themeColor="accent1"/>
        <w:bottom w:val="single" w:sz="8" w:space="0" w:color="408AB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8ABB" w:themeColor="accent1"/>
          <w:left w:val="nil"/>
          <w:bottom w:val="single" w:sz="8" w:space="0" w:color="408AB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8ABB" w:themeColor="accent1"/>
          <w:left w:val="nil"/>
          <w:bottom w:val="single" w:sz="8" w:space="0" w:color="408AB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8" w:space="0" w:color="80B1D2" w:themeColor="accent2"/>
        <w:bottom w:val="single" w:sz="8" w:space="0" w:color="80B1D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1D2" w:themeColor="accent2"/>
          <w:left w:val="nil"/>
          <w:bottom w:val="single" w:sz="8" w:space="0" w:color="80B1D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1D2" w:themeColor="accent2"/>
          <w:left w:val="nil"/>
          <w:bottom w:val="single" w:sz="8" w:space="0" w:color="80B1D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8" w:space="0" w:color="BFD8E8" w:themeColor="accent3"/>
        <w:bottom w:val="single" w:sz="8" w:space="0" w:color="BFD8E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8E8" w:themeColor="accent3"/>
          <w:left w:val="nil"/>
          <w:bottom w:val="single" w:sz="8" w:space="0" w:color="BFD8E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8E8" w:themeColor="accent3"/>
          <w:left w:val="nil"/>
          <w:bottom w:val="single" w:sz="8" w:space="0" w:color="BFD8E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B8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D0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7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bottom w:val="single" w:sz="4" w:space="0" w:color="8BB8D7" w:themeColor="accent1" w:themeTint="99"/>
        <w:insideH w:val="single" w:sz="4" w:space="0" w:color="8BB8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bottom w:val="single" w:sz="4" w:space="0" w:color="B2D0E4" w:themeColor="accent2" w:themeTint="99"/>
        <w:insideH w:val="single" w:sz="4" w:space="0" w:color="B2D0E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bottom w:val="single" w:sz="4" w:space="0" w:color="D8E7F1" w:themeColor="accent3" w:themeTint="99"/>
        <w:insideH w:val="single" w:sz="4" w:space="0" w:color="D8E7F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bottom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bottom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bottom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8ABB" w:themeColor="accent1"/>
        <w:left w:val="single" w:sz="4" w:space="0" w:color="408ABB" w:themeColor="accent1"/>
        <w:bottom w:val="single" w:sz="4" w:space="0" w:color="408ABB" w:themeColor="accent1"/>
        <w:right w:val="single" w:sz="4" w:space="0" w:color="408AB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8ABB" w:themeFill="accent1"/>
      </w:tcPr>
    </w:tblStylePr>
    <w:tblStylePr w:type="lastRow">
      <w:rPr>
        <w:b/>
        <w:bCs/>
      </w:rPr>
      <w:tblPr/>
      <w:tcPr>
        <w:tcBorders>
          <w:top w:val="double" w:sz="4" w:space="0" w:color="408AB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8ABB" w:themeColor="accent1"/>
          <w:right w:val="single" w:sz="4" w:space="0" w:color="408ABB" w:themeColor="accent1"/>
        </w:tcBorders>
      </w:tcPr>
    </w:tblStylePr>
    <w:tblStylePr w:type="band1Horz">
      <w:tblPr/>
      <w:tcPr>
        <w:tcBorders>
          <w:top w:val="single" w:sz="4" w:space="0" w:color="408ABB" w:themeColor="accent1"/>
          <w:bottom w:val="single" w:sz="4" w:space="0" w:color="408AB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8ABB" w:themeColor="accent1"/>
          <w:left w:val="nil"/>
        </w:tcBorders>
      </w:tcPr>
    </w:tblStylePr>
    <w:tblStylePr w:type="swCell">
      <w:tblPr/>
      <w:tcPr>
        <w:tcBorders>
          <w:top w:val="double" w:sz="4" w:space="0" w:color="408AB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B1D2" w:themeColor="accent2"/>
        <w:left w:val="single" w:sz="4" w:space="0" w:color="80B1D2" w:themeColor="accent2"/>
        <w:bottom w:val="single" w:sz="4" w:space="0" w:color="80B1D2" w:themeColor="accent2"/>
        <w:right w:val="single" w:sz="4" w:space="0" w:color="80B1D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B1D2" w:themeFill="accent2"/>
      </w:tcPr>
    </w:tblStylePr>
    <w:tblStylePr w:type="lastRow">
      <w:rPr>
        <w:b/>
        <w:bCs/>
      </w:rPr>
      <w:tblPr/>
      <w:tcPr>
        <w:tcBorders>
          <w:top w:val="double" w:sz="4" w:space="0" w:color="80B1D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B1D2" w:themeColor="accent2"/>
          <w:right w:val="single" w:sz="4" w:space="0" w:color="80B1D2" w:themeColor="accent2"/>
        </w:tcBorders>
      </w:tcPr>
    </w:tblStylePr>
    <w:tblStylePr w:type="band1Horz">
      <w:tblPr/>
      <w:tcPr>
        <w:tcBorders>
          <w:top w:val="single" w:sz="4" w:space="0" w:color="80B1D2" w:themeColor="accent2"/>
          <w:bottom w:val="single" w:sz="4" w:space="0" w:color="80B1D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B1D2" w:themeColor="accent2"/>
          <w:left w:val="nil"/>
        </w:tcBorders>
      </w:tcPr>
    </w:tblStylePr>
    <w:tblStylePr w:type="swCell">
      <w:tblPr/>
      <w:tcPr>
        <w:tcBorders>
          <w:top w:val="double" w:sz="4" w:space="0" w:color="80B1D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D8E8" w:themeColor="accent3"/>
        <w:left w:val="single" w:sz="4" w:space="0" w:color="BFD8E8" w:themeColor="accent3"/>
        <w:bottom w:val="single" w:sz="4" w:space="0" w:color="BFD8E8" w:themeColor="accent3"/>
        <w:right w:val="single" w:sz="4" w:space="0" w:color="BFD8E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8E8" w:themeFill="accent3"/>
      </w:tcPr>
    </w:tblStylePr>
    <w:tblStylePr w:type="lastRow">
      <w:rPr>
        <w:b/>
        <w:bCs/>
      </w:rPr>
      <w:tblPr/>
      <w:tcPr>
        <w:tcBorders>
          <w:top w:val="double" w:sz="4" w:space="0" w:color="BFD8E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8E8" w:themeColor="accent3"/>
          <w:right w:val="single" w:sz="4" w:space="0" w:color="BFD8E8" w:themeColor="accent3"/>
        </w:tcBorders>
      </w:tcPr>
    </w:tblStylePr>
    <w:tblStylePr w:type="band1Horz">
      <w:tblPr/>
      <w:tcPr>
        <w:tcBorders>
          <w:top w:val="single" w:sz="4" w:space="0" w:color="BFD8E8" w:themeColor="accent3"/>
          <w:bottom w:val="single" w:sz="4" w:space="0" w:color="BFD8E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8E8" w:themeColor="accent3"/>
          <w:left w:val="nil"/>
        </w:tcBorders>
      </w:tcPr>
    </w:tblStylePr>
    <w:tblStylePr w:type="swCell">
      <w:tblPr/>
      <w:tcPr>
        <w:tcBorders>
          <w:top w:val="double" w:sz="4" w:space="0" w:color="BFD8E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4050" w:themeColor="accent4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50" w:themeColor="accent4"/>
          <w:right w:val="single" w:sz="4" w:space="0" w:color="404050" w:themeColor="accent4"/>
        </w:tcBorders>
      </w:tcPr>
    </w:tblStylePr>
    <w:tblStylePr w:type="band1Horz">
      <w:tblPr/>
      <w:tcPr>
        <w:tcBorders>
          <w:top w:val="single" w:sz="4" w:space="0" w:color="404050" w:themeColor="accent4"/>
          <w:bottom w:val="single" w:sz="4" w:space="0" w:color="404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50" w:themeColor="accent4"/>
          <w:left w:val="nil"/>
        </w:tcBorders>
      </w:tcPr>
    </w:tblStylePr>
    <w:tblStylePr w:type="swCell">
      <w:tblPr/>
      <w:tcPr>
        <w:tcBorders>
          <w:top w:val="double" w:sz="4" w:space="0" w:color="404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808B" w:themeColor="accent5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B" w:themeColor="accent5"/>
          <w:right w:val="single" w:sz="4" w:space="0" w:color="80808B" w:themeColor="accent5"/>
        </w:tcBorders>
      </w:tcPr>
    </w:tblStylePr>
    <w:tblStylePr w:type="band1Horz">
      <w:tblPr/>
      <w:tcPr>
        <w:tcBorders>
          <w:top w:val="single" w:sz="4" w:space="0" w:color="80808B" w:themeColor="accent5"/>
          <w:bottom w:val="single" w:sz="4" w:space="0" w:color="8080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B" w:themeColor="accent5"/>
          <w:left w:val="nil"/>
        </w:tcBorders>
      </w:tcPr>
    </w:tblStylePr>
    <w:tblStylePr w:type="swCell">
      <w:tblPr/>
      <w:tcPr>
        <w:tcBorders>
          <w:top w:val="double" w:sz="4" w:space="0" w:color="80808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6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D0" w:themeColor="accent6"/>
          <w:right w:val="single" w:sz="4" w:space="0" w:color="CCCCD0" w:themeColor="accent6"/>
        </w:tcBorders>
      </w:tcPr>
    </w:tblStylePr>
    <w:tblStylePr w:type="band1Horz">
      <w:tblPr/>
      <w:tcPr>
        <w:tcBorders>
          <w:top w:val="single" w:sz="4" w:space="0" w:color="CCCCD0" w:themeColor="accent6"/>
          <w:bottom w:val="single" w:sz="4" w:space="0" w:color="CCCC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D0" w:themeColor="accent6"/>
          <w:left w:val="nil"/>
        </w:tcBorders>
      </w:tcPr>
    </w:tblStylePr>
    <w:tblStylePr w:type="swCell">
      <w:tblPr/>
      <w:tcPr>
        <w:tcBorders>
          <w:top w:val="double" w:sz="4" w:space="0" w:color="CCCCD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8ABB" w:themeColor="accent1"/>
          <w:left w:val="single" w:sz="4" w:space="0" w:color="408ABB" w:themeColor="accent1"/>
          <w:bottom w:val="single" w:sz="4" w:space="0" w:color="408ABB" w:themeColor="accent1"/>
          <w:right w:val="single" w:sz="4" w:space="0" w:color="408ABB" w:themeColor="accent1"/>
          <w:insideH w:val="nil"/>
        </w:tcBorders>
        <w:shd w:val="clear" w:color="auto" w:fill="408ABB" w:themeFill="accent1"/>
      </w:tcPr>
    </w:tblStylePr>
    <w:tblStylePr w:type="lastRow">
      <w:rPr>
        <w:b/>
        <w:bCs/>
      </w:rPr>
      <w:tblPr/>
      <w:tcPr>
        <w:tcBorders>
          <w:top w:val="double" w:sz="4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1D2" w:themeColor="accent2"/>
          <w:left w:val="single" w:sz="4" w:space="0" w:color="80B1D2" w:themeColor="accent2"/>
          <w:bottom w:val="single" w:sz="4" w:space="0" w:color="80B1D2" w:themeColor="accent2"/>
          <w:right w:val="single" w:sz="4" w:space="0" w:color="80B1D2" w:themeColor="accent2"/>
          <w:insideH w:val="nil"/>
        </w:tcBorders>
        <w:shd w:val="clear" w:color="auto" w:fill="80B1D2" w:themeFill="accent2"/>
      </w:tcPr>
    </w:tblStylePr>
    <w:tblStylePr w:type="lastRow">
      <w:rPr>
        <w:b/>
        <w:bCs/>
      </w:rPr>
      <w:tblPr/>
      <w:tcPr>
        <w:tcBorders>
          <w:top w:val="double" w:sz="4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8E8" w:themeColor="accent3"/>
          <w:left w:val="single" w:sz="4" w:space="0" w:color="BFD8E8" w:themeColor="accent3"/>
          <w:bottom w:val="single" w:sz="4" w:space="0" w:color="BFD8E8" w:themeColor="accent3"/>
          <w:right w:val="single" w:sz="4" w:space="0" w:color="BFD8E8" w:themeColor="accent3"/>
          <w:insideH w:val="nil"/>
        </w:tcBorders>
        <w:shd w:val="clear" w:color="auto" w:fill="BFD8E8" w:themeFill="accent3"/>
      </w:tcPr>
    </w:tblStylePr>
    <w:tblStylePr w:type="lastRow">
      <w:rPr>
        <w:b/>
        <w:bCs/>
      </w:rPr>
      <w:tblPr/>
      <w:tcPr>
        <w:tcBorders>
          <w:top w:val="double" w:sz="4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8ABB" w:themeColor="accent1"/>
        <w:left w:val="single" w:sz="24" w:space="0" w:color="408ABB" w:themeColor="accent1"/>
        <w:bottom w:val="single" w:sz="24" w:space="0" w:color="408ABB" w:themeColor="accent1"/>
        <w:right w:val="single" w:sz="24" w:space="0" w:color="408ABB" w:themeColor="accent1"/>
      </w:tblBorders>
    </w:tblPr>
    <w:tcPr>
      <w:shd w:val="clear" w:color="auto" w:fill="408AB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B1D2" w:themeColor="accent2"/>
        <w:left w:val="single" w:sz="24" w:space="0" w:color="80B1D2" w:themeColor="accent2"/>
        <w:bottom w:val="single" w:sz="24" w:space="0" w:color="80B1D2" w:themeColor="accent2"/>
        <w:right w:val="single" w:sz="24" w:space="0" w:color="80B1D2" w:themeColor="accent2"/>
      </w:tblBorders>
    </w:tblPr>
    <w:tcPr>
      <w:shd w:val="clear" w:color="auto" w:fill="80B1D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8E8" w:themeColor="accent3"/>
        <w:left w:val="single" w:sz="24" w:space="0" w:color="BFD8E8" w:themeColor="accent3"/>
        <w:bottom w:val="single" w:sz="24" w:space="0" w:color="BFD8E8" w:themeColor="accent3"/>
        <w:right w:val="single" w:sz="24" w:space="0" w:color="BFD8E8" w:themeColor="accent3"/>
      </w:tblBorders>
    </w:tblPr>
    <w:tcPr>
      <w:shd w:val="clear" w:color="auto" w:fill="BFD8E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50" w:themeColor="accent4"/>
        <w:left w:val="single" w:sz="24" w:space="0" w:color="404050" w:themeColor="accent4"/>
        <w:bottom w:val="single" w:sz="24" w:space="0" w:color="404050" w:themeColor="accent4"/>
        <w:right w:val="single" w:sz="24" w:space="0" w:color="404050" w:themeColor="accent4"/>
      </w:tblBorders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B" w:themeColor="accent5"/>
        <w:left w:val="single" w:sz="24" w:space="0" w:color="80808B" w:themeColor="accent5"/>
        <w:bottom w:val="single" w:sz="24" w:space="0" w:color="80808B" w:themeColor="accent5"/>
        <w:right w:val="single" w:sz="24" w:space="0" w:color="80808B" w:themeColor="accent5"/>
      </w:tblBorders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D0" w:themeColor="accent6"/>
        <w:left w:val="single" w:sz="24" w:space="0" w:color="CCCCD0" w:themeColor="accent6"/>
        <w:bottom w:val="single" w:sz="24" w:space="0" w:color="CCCCD0" w:themeColor="accent6"/>
        <w:right w:val="single" w:sz="24" w:space="0" w:color="CCCCD0" w:themeColor="accent6"/>
      </w:tblBorders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4" w:space="0" w:color="408ABB" w:themeColor="accent1"/>
        <w:bottom w:val="single" w:sz="4" w:space="0" w:color="408AB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08AB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4" w:space="0" w:color="80B1D2" w:themeColor="accent2"/>
        <w:bottom w:val="single" w:sz="4" w:space="0" w:color="80B1D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B1D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4" w:space="0" w:color="BFD8E8" w:themeColor="accent3"/>
        <w:bottom w:val="single" w:sz="4" w:space="0" w:color="BFD8E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D8E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404050" w:themeColor="accent4"/>
        <w:bottom w:val="single" w:sz="4" w:space="0" w:color="404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04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80808B" w:themeColor="accent5"/>
        <w:bottom w:val="single" w:sz="4" w:space="0" w:color="8080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CCCCD0" w:themeColor="accent6"/>
        <w:bottom w:val="single" w:sz="4" w:space="0" w:color="CCCC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8AB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8AB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8AB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8AB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B1D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B1D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B1D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B1D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8E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8E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8E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8E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A7CD" w:themeColor="accent1" w:themeTint="BF"/>
        <w:left w:val="single" w:sz="8" w:space="0" w:color="6EA7CD" w:themeColor="accent1" w:themeTint="BF"/>
        <w:bottom w:val="single" w:sz="8" w:space="0" w:color="6EA7CD" w:themeColor="accent1" w:themeTint="BF"/>
        <w:right w:val="single" w:sz="8" w:space="0" w:color="6EA7CD" w:themeColor="accent1" w:themeTint="BF"/>
        <w:insideH w:val="single" w:sz="8" w:space="0" w:color="6EA7CD" w:themeColor="accent1" w:themeTint="BF"/>
        <w:insideV w:val="single" w:sz="8" w:space="0" w:color="6EA7CD" w:themeColor="accent1" w:themeTint="BF"/>
      </w:tblBorders>
    </w:tblPr>
    <w:tcPr>
      <w:shd w:val="clear" w:color="auto" w:fill="CFE2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A7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C4DE" w:themeFill="accent1" w:themeFillTint="7F"/>
      </w:tcPr>
    </w:tblStylePr>
    <w:tblStylePr w:type="band1Horz">
      <w:tblPr/>
      <w:tcPr>
        <w:shd w:val="clear" w:color="auto" w:fill="9EC4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4DD" w:themeColor="accent2" w:themeTint="BF"/>
        <w:left w:val="single" w:sz="8" w:space="0" w:color="9FC4DD" w:themeColor="accent2" w:themeTint="BF"/>
        <w:bottom w:val="single" w:sz="8" w:space="0" w:color="9FC4DD" w:themeColor="accent2" w:themeTint="BF"/>
        <w:right w:val="single" w:sz="8" w:space="0" w:color="9FC4DD" w:themeColor="accent2" w:themeTint="BF"/>
        <w:insideH w:val="single" w:sz="8" w:space="0" w:color="9FC4DD" w:themeColor="accent2" w:themeTint="BF"/>
        <w:insideV w:val="single" w:sz="8" w:space="0" w:color="9FC4DD" w:themeColor="accent2" w:themeTint="BF"/>
      </w:tblBorders>
    </w:tblPr>
    <w:tcPr>
      <w:shd w:val="clear" w:color="auto" w:fill="DFEB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C4D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8E8" w:themeFill="accent2" w:themeFillTint="7F"/>
      </w:tcPr>
    </w:tblStylePr>
    <w:tblStylePr w:type="band1Horz">
      <w:tblPr/>
      <w:tcPr>
        <w:shd w:val="clear" w:color="auto" w:fill="BFD8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1ED" w:themeColor="accent3" w:themeTint="BF"/>
        <w:left w:val="single" w:sz="8" w:space="0" w:color="CEE1ED" w:themeColor="accent3" w:themeTint="BF"/>
        <w:bottom w:val="single" w:sz="8" w:space="0" w:color="CEE1ED" w:themeColor="accent3" w:themeTint="BF"/>
        <w:right w:val="single" w:sz="8" w:space="0" w:color="CEE1ED" w:themeColor="accent3" w:themeTint="BF"/>
        <w:insideH w:val="single" w:sz="8" w:space="0" w:color="CEE1ED" w:themeColor="accent3" w:themeTint="BF"/>
        <w:insideV w:val="single" w:sz="8" w:space="0" w:color="CEE1ED" w:themeColor="accent3" w:themeTint="BF"/>
      </w:tblBorders>
    </w:tblPr>
    <w:tcPr>
      <w:shd w:val="clear" w:color="auto" w:fill="EFF5F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E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3" w:themeFill="accent3" w:themeFillTint="7F"/>
      </w:tcPr>
    </w:tblStylePr>
    <w:tblStylePr w:type="band1Horz">
      <w:tblPr/>
      <w:tcPr>
        <w:shd w:val="clear" w:color="auto" w:fill="DFEBF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  <w:insideV w:val="single" w:sz="8" w:space="0" w:color="686882" w:themeColor="accent4" w:themeTint="BF"/>
      </w:tblBorders>
    </w:tblPr>
    <w:tcPr>
      <w:shd w:val="clear" w:color="auto" w:fill="CCC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  <w:insideV w:val="single" w:sz="8" w:space="0" w:color="9F9FA8" w:themeColor="accent5" w:themeTint="BF"/>
      </w:tblBorders>
    </w:tblPr>
    <w:tcPr>
      <w:shd w:val="clear" w:color="auto" w:fill="DFD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  <w:insideV w:val="single" w:sz="8" w:space="0" w:color="D8D8DB" w:themeColor="accent6" w:themeTint="BF"/>
      </w:tblBorders>
    </w:tblPr>
    <w:tcPr>
      <w:shd w:val="clear" w:color="auto" w:fill="F2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  <w:insideH w:val="single" w:sz="8" w:space="0" w:color="408ABB" w:themeColor="accent1"/>
        <w:insideV w:val="single" w:sz="8" w:space="0" w:color="408ABB" w:themeColor="accent1"/>
      </w:tblBorders>
    </w:tblPr>
    <w:tcPr>
      <w:shd w:val="clear" w:color="auto" w:fill="CFE2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7F1" w:themeFill="accent1" w:themeFillTint="33"/>
      </w:tcPr>
    </w:tblStylePr>
    <w:tblStylePr w:type="band1Vert">
      <w:tblPr/>
      <w:tcPr>
        <w:shd w:val="clear" w:color="auto" w:fill="9EC4DE" w:themeFill="accent1" w:themeFillTint="7F"/>
      </w:tcPr>
    </w:tblStylePr>
    <w:tblStylePr w:type="band1Horz">
      <w:tblPr/>
      <w:tcPr>
        <w:tcBorders>
          <w:insideH w:val="single" w:sz="6" w:space="0" w:color="408ABB" w:themeColor="accent1"/>
          <w:insideV w:val="single" w:sz="6" w:space="0" w:color="408ABB" w:themeColor="accent1"/>
        </w:tcBorders>
        <w:shd w:val="clear" w:color="auto" w:fill="9EC4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  <w:insideH w:val="single" w:sz="8" w:space="0" w:color="80B1D2" w:themeColor="accent2"/>
        <w:insideV w:val="single" w:sz="8" w:space="0" w:color="80B1D2" w:themeColor="accent2"/>
      </w:tblBorders>
    </w:tblPr>
    <w:tcPr>
      <w:shd w:val="clear" w:color="auto" w:fill="DFEB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7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FF6" w:themeFill="accent2" w:themeFillTint="33"/>
      </w:tcPr>
    </w:tblStylePr>
    <w:tblStylePr w:type="band1Vert">
      <w:tblPr/>
      <w:tcPr>
        <w:shd w:val="clear" w:color="auto" w:fill="BFD8E8" w:themeFill="accent2" w:themeFillTint="7F"/>
      </w:tcPr>
    </w:tblStylePr>
    <w:tblStylePr w:type="band1Horz">
      <w:tblPr/>
      <w:tcPr>
        <w:tcBorders>
          <w:insideH w:val="single" w:sz="6" w:space="0" w:color="80B1D2" w:themeColor="accent2"/>
          <w:insideV w:val="single" w:sz="6" w:space="0" w:color="80B1D2" w:themeColor="accent2"/>
        </w:tcBorders>
        <w:shd w:val="clear" w:color="auto" w:fill="BFD8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  <w:insideH w:val="single" w:sz="8" w:space="0" w:color="BFD8E8" w:themeColor="accent3"/>
        <w:insideV w:val="single" w:sz="8" w:space="0" w:color="BFD8E8" w:themeColor="accent3"/>
      </w:tblBorders>
    </w:tblPr>
    <w:tcPr>
      <w:shd w:val="clear" w:color="auto" w:fill="EFF5F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7FA" w:themeFill="accent3" w:themeFillTint="33"/>
      </w:tcPr>
    </w:tblStylePr>
    <w:tblStylePr w:type="band1Vert">
      <w:tblPr/>
      <w:tcPr>
        <w:shd w:val="clear" w:color="auto" w:fill="DFEBF3" w:themeFill="accent3" w:themeFillTint="7F"/>
      </w:tcPr>
    </w:tblStylePr>
    <w:tblStylePr w:type="band1Horz">
      <w:tblPr/>
      <w:tcPr>
        <w:tcBorders>
          <w:insideH w:val="single" w:sz="6" w:space="0" w:color="BFD8E8" w:themeColor="accent3"/>
          <w:insideV w:val="single" w:sz="6" w:space="0" w:color="BFD8E8" w:themeColor="accent3"/>
        </w:tcBorders>
        <w:shd w:val="clear" w:color="auto" w:fill="DFEB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cPr>
      <w:shd w:val="clear" w:color="auto" w:fill="CCC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E" w:themeFill="accent4" w:themeFillTint="33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tcBorders>
          <w:insideH w:val="single" w:sz="6" w:space="0" w:color="404050" w:themeColor="accent4"/>
          <w:insideV w:val="single" w:sz="6" w:space="0" w:color="404050" w:themeColor="accent4"/>
        </w:tcBorders>
        <w:shd w:val="clear" w:color="auto" w:fill="9999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cPr>
      <w:shd w:val="clear" w:color="auto" w:fill="DFDF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tcBorders>
          <w:insideH w:val="single" w:sz="6" w:space="0" w:color="80808B" w:themeColor="accent5"/>
          <w:insideV w:val="single" w:sz="6" w:space="0" w:color="80808B" w:themeColor="accent5"/>
        </w:tcBorders>
        <w:shd w:val="clear" w:color="auto" w:fill="BFB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cPr>
      <w:shd w:val="clear" w:color="auto" w:fill="F2F2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5" w:themeFill="accent6" w:themeFillTint="33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tcBorders>
          <w:insideH w:val="single" w:sz="6" w:space="0" w:color="CCCCD0" w:themeColor="accent6"/>
          <w:insideV w:val="single" w:sz="6" w:space="0" w:color="CCCCD0" w:themeColor="accent6"/>
        </w:tcBorders>
        <w:shd w:val="clear" w:color="auto" w:fill="E5E5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2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8AB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8AB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8AB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8AB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C4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C4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B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1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1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B1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B1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8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5F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8E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8E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8E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8E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B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BF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8ABB" w:themeColor="accent1"/>
        <w:bottom w:val="single" w:sz="8" w:space="0" w:color="408AB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8ABB" w:themeColor="accent1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408ABB" w:themeColor="accent1"/>
          <w:bottom w:val="single" w:sz="8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8ABB" w:themeColor="accent1"/>
          <w:bottom w:val="single" w:sz="8" w:space="0" w:color="408ABB" w:themeColor="accent1"/>
        </w:tcBorders>
      </w:tcPr>
    </w:tblStylePr>
    <w:tblStylePr w:type="band1Vert">
      <w:tblPr/>
      <w:tcPr>
        <w:shd w:val="clear" w:color="auto" w:fill="CFE2EE" w:themeFill="accent1" w:themeFillTint="3F"/>
      </w:tcPr>
    </w:tblStylePr>
    <w:tblStylePr w:type="band1Horz">
      <w:tblPr/>
      <w:tcPr>
        <w:shd w:val="clear" w:color="auto" w:fill="CFE2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1D2" w:themeColor="accent2"/>
        <w:bottom w:val="single" w:sz="8" w:space="0" w:color="80B1D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B1D2" w:themeColor="accent2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80B1D2" w:themeColor="accent2"/>
          <w:bottom w:val="single" w:sz="8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B1D2" w:themeColor="accent2"/>
          <w:bottom w:val="single" w:sz="8" w:space="0" w:color="80B1D2" w:themeColor="accent2"/>
        </w:tcBorders>
      </w:tcPr>
    </w:tblStylePr>
    <w:tblStylePr w:type="band1Vert">
      <w:tblPr/>
      <w:tcPr>
        <w:shd w:val="clear" w:color="auto" w:fill="DFEBF3" w:themeFill="accent2" w:themeFillTint="3F"/>
      </w:tcPr>
    </w:tblStylePr>
    <w:tblStylePr w:type="band1Horz">
      <w:tblPr/>
      <w:tcPr>
        <w:shd w:val="clear" w:color="auto" w:fill="DFEB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D8E8" w:themeColor="accent3"/>
        <w:bottom w:val="single" w:sz="8" w:space="0" w:color="BFD8E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8E8" w:themeColor="accent3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BFD8E8" w:themeColor="accent3"/>
          <w:bottom w:val="single" w:sz="8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8E8" w:themeColor="accent3"/>
          <w:bottom w:val="single" w:sz="8" w:space="0" w:color="BFD8E8" w:themeColor="accent3"/>
        </w:tcBorders>
      </w:tcPr>
    </w:tblStylePr>
    <w:tblStylePr w:type="band1Vert">
      <w:tblPr/>
      <w:tcPr>
        <w:shd w:val="clear" w:color="auto" w:fill="EFF5F9" w:themeFill="accent3" w:themeFillTint="3F"/>
      </w:tcPr>
    </w:tblStylePr>
    <w:tblStylePr w:type="band1Horz">
      <w:tblPr/>
      <w:tcPr>
        <w:shd w:val="clear" w:color="auto" w:fill="EFF5F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50" w:themeColor="accent4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shd w:val="clear" w:color="auto" w:fill="CCC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B" w:themeColor="accent5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shd w:val="clear" w:color="auto" w:fill="DFDF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D0" w:themeColor="accent6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shd w:val="clear" w:color="auto" w:fill="F2F2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8AB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8AB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8AB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8AB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2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B1D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B1D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B1D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B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8E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D8E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8E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8E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5F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A7CD" w:themeColor="accent1" w:themeTint="BF"/>
        <w:left w:val="single" w:sz="8" w:space="0" w:color="6EA7CD" w:themeColor="accent1" w:themeTint="BF"/>
        <w:bottom w:val="single" w:sz="8" w:space="0" w:color="6EA7CD" w:themeColor="accent1" w:themeTint="BF"/>
        <w:right w:val="single" w:sz="8" w:space="0" w:color="6EA7CD" w:themeColor="accent1" w:themeTint="BF"/>
        <w:insideH w:val="single" w:sz="8" w:space="0" w:color="6EA7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A7CD" w:themeColor="accent1" w:themeTint="BF"/>
          <w:left w:val="single" w:sz="8" w:space="0" w:color="6EA7CD" w:themeColor="accent1" w:themeTint="BF"/>
          <w:bottom w:val="single" w:sz="8" w:space="0" w:color="6EA7CD" w:themeColor="accent1" w:themeTint="BF"/>
          <w:right w:val="single" w:sz="8" w:space="0" w:color="6EA7CD" w:themeColor="accent1" w:themeTint="BF"/>
          <w:insideH w:val="nil"/>
          <w:insideV w:val="nil"/>
        </w:tcBorders>
        <w:shd w:val="clear" w:color="auto" w:fill="408AB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A7CD" w:themeColor="accent1" w:themeTint="BF"/>
          <w:left w:val="single" w:sz="8" w:space="0" w:color="6EA7CD" w:themeColor="accent1" w:themeTint="BF"/>
          <w:bottom w:val="single" w:sz="8" w:space="0" w:color="6EA7CD" w:themeColor="accent1" w:themeTint="BF"/>
          <w:right w:val="single" w:sz="8" w:space="0" w:color="6EA7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2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2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4DD" w:themeColor="accent2" w:themeTint="BF"/>
        <w:left w:val="single" w:sz="8" w:space="0" w:color="9FC4DD" w:themeColor="accent2" w:themeTint="BF"/>
        <w:bottom w:val="single" w:sz="8" w:space="0" w:color="9FC4DD" w:themeColor="accent2" w:themeTint="BF"/>
        <w:right w:val="single" w:sz="8" w:space="0" w:color="9FC4DD" w:themeColor="accent2" w:themeTint="BF"/>
        <w:insideH w:val="single" w:sz="8" w:space="0" w:color="9FC4D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C4DD" w:themeColor="accent2" w:themeTint="BF"/>
          <w:left w:val="single" w:sz="8" w:space="0" w:color="9FC4DD" w:themeColor="accent2" w:themeTint="BF"/>
          <w:bottom w:val="single" w:sz="8" w:space="0" w:color="9FC4DD" w:themeColor="accent2" w:themeTint="BF"/>
          <w:right w:val="single" w:sz="8" w:space="0" w:color="9FC4DD" w:themeColor="accent2" w:themeTint="BF"/>
          <w:insideH w:val="nil"/>
          <w:insideV w:val="nil"/>
        </w:tcBorders>
        <w:shd w:val="clear" w:color="auto" w:fill="80B1D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4DD" w:themeColor="accent2" w:themeTint="BF"/>
          <w:left w:val="single" w:sz="8" w:space="0" w:color="9FC4DD" w:themeColor="accent2" w:themeTint="BF"/>
          <w:bottom w:val="single" w:sz="8" w:space="0" w:color="9FC4DD" w:themeColor="accent2" w:themeTint="BF"/>
          <w:right w:val="single" w:sz="8" w:space="0" w:color="9FC4D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B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1ED" w:themeColor="accent3" w:themeTint="BF"/>
        <w:left w:val="single" w:sz="8" w:space="0" w:color="CEE1ED" w:themeColor="accent3" w:themeTint="BF"/>
        <w:bottom w:val="single" w:sz="8" w:space="0" w:color="CEE1ED" w:themeColor="accent3" w:themeTint="BF"/>
        <w:right w:val="single" w:sz="8" w:space="0" w:color="CEE1ED" w:themeColor="accent3" w:themeTint="BF"/>
        <w:insideH w:val="single" w:sz="8" w:space="0" w:color="CEE1E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ED" w:themeColor="accent3" w:themeTint="BF"/>
          <w:left w:val="single" w:sz="8" w:space="0" w:color="CEE1ED" w:themeColor="accent3" w:themeTint="BF"/>
          <w:bottom w:val="single" w:sz="8" w:space="0" w:color="CEE1ED" w:themeColor="accent3" w:themeTint="BF"/>
          <w:right w:val="single" w:sz="8" w:space="0" w:color="CEE1ED" w:themeColor="accent3" w:themeTint="BF"/>
          <w:insideH w:val="nil"/>
          <w:insideV w:val="nil"/>
        </w:tcBorders>
        <w:shd w:val="clear" w:color="auto" w:fill="BFD8E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ED" w:themeColor="accent3" w:themeTint="BF"/>
          <w:left w:val="single" w:sz="8" w:space="0" w:color="CEE1ED" w:themeColor="accent3" w:themeTint="BF"/>
          <w:bottom w:val="single" w:sz="8" w:space="0" w:color="CEE1ED" w:themeColor="accent3" w:themeTint="BF"/>
          <w:right w:val="single" w:sz="8" w:space="0" w:color="CEE1E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5F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8AB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8AB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8AB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1D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1D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B1D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8E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8E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8E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lloutText">
    <w:name w:val="Pullout Text"/>
    <w:basedOn w:val="Normal"/>
    <w:uiPriority w:val="1"/>
    <w:qFormat/>
    <w:rsid w:val="00D76AD4"/>
    <w:pPr>
      <w:spacing w:before="100" w:after="100"/>
    </w:pPr>
  </w:style>
  <w:style w:type="paragraph" w:customStyle="1" w:styleId="PulloutHeading">
    <w:name w:val="Pullout Heading"/>
    <w:basedOn w:val="PulloutText"/>
    <w:next w:val="PulloutText"/>
    <w:uiPriority w:val="1"/>
    <w:qFormat/>
    <w:rsid w:val="00D76AD4"/>
    <w:pPr>
      <w:spacing w:before="0" w:line="216" w:lineRule="auto"/>
    </w:pPr>
    <w:rPr>
      <w:b/>
      <w:sz w:val="24"/>
    </w:rPr>
  </w:style>
  <w:style w:type="table" w:customStyle="1" w:styleId="SCVInformationTable">
    <w:name w:val="SCV Information Table"/>
    <w:basedOn w:val="TableNormal"/>
    <w:uiPriority w:val="99"/>
    <w:rsid w:val="0086277A"/>
    <w:pPr>
      <w:spacing w:before="0" w:after="80" w:line="240" w:lineRule="auto"/>
      <w:ind w:left="170"/>
    </w:pPr>
    <w:rPr>
      <w:sz w:val="15"/>
    </w:rPr>
    <w:tblPr>
      <w:tblCellMar>
        <w:top w:w="323" w:type="dxa"/>
        <w:left w:w="0" w:type="dxa"/>
        <w:right w:w="0" w:type="dxa"/>
      </w:tblCellMar>
    </w:tblPr>
    <w:tcPr>
      <w:shd w:val="clear" w:color="auto" w:fill="F2F2F3"/>
    </w:tcPr>
  </w:style>
  <w:style w:type="character" w:styleId="UnresolvedMention">
    <w:name w:val="Unresolved Mention"/>
    <w:basedOn w:val="DefaultParagraphFont"/>
    <w:uiPriority w:val="99"/>
    <w:semiHidden/>
    <w:unhideWhenUsed/>
    <w:rsid w:val="00911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safercare.vic.gov.au" TargetMode="External"/><Relationship Id="rId1" Type="http://schemas.openxmlformats.org/officeDocument/2006/relationships/hyperlink" Target="mailto:info@safercare.vic.gov.au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safercare.vic.gov.au" TargetMode="External"/><Relationship Id="rId1" Type="http://schemas.openxmlformats.org/officeDocument/2006/relationships/hyperlink" Target="mailto:info@safercare.vic.gov.a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CV BCV">
  <a:themeElements>
    <a:clrScheme name="SCV BCV">
      <a:dk1>
        <a:srgbClr val="000000"/>
      </a:dk1>
      <a:lt1>
        <a:srgbClr val="FFFFFF"/>
      </a:lt1>
      <a:dk2>
        <a:srgbClr val="0063A5"/>
      </a:dk2>
      <a:lt2>
        <a:srgbClr val="E6EFF6"/>
      </a:lt2>
      <a:accent1>
        <a:srgbClr val="408ABB"/>
      </a:accent1>
      <a:accent2>
        <a:srgbClr val="80B1D2"/>
      </a:accent2>
      <a:accent3>
        <a:srgbClr val="BFD8E8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63A5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Vic Gov Blue 100%">
      <a:srgbClr val="0063A5"/>
    </a:custClr>
    <a:custClr name="vic Gov Blue 70%">
      <a:srgbClr val="4D92C0"/>
    </a:custClr>
    <a:custClr name="Vic Gov Blue 20%">
      <a:srgbClr val="CCE0ED"/>
    </a:custClr>
    <a:custClr name="Yellow 100%">
      <a:srgbClr val="FAB662"/>
    </a:custClr>
    <a:custClr name="Yellow 75%">
      <a:srgbClr val="FAB157"/>
    </a:custClr>
    <a:custClr name="Yellow 50%">
      <a:srgbClr val="FBCB8F"/>
    </a:custClr>
    <a:custClr name="Yellow 20%">
      <a:srgbClr val="FEEAD2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D21FE-5138-4378-967A-54CCCC03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SUMMARY Central pharmacy</dc:title>
  <dc:subject/>
  <dc:creator>Safer Care Victoria</dc:creator>
  <cp:keywords>Safer Care Victoria, Better Care Victoria Innovation Fund, Better Care Victoria, Innovation Fund, BCV, SCV, innovation project, healthcare innovation, healthcare, innovation</cp:keywords>
  <cp:lastModifiedBy/>
  <cp:revision>1</cp:revision>
  <dcterms:created xsi:type="dcterms:W3CDTF">2020-12-17T23:09:00Z</dcterms:created>
  <dcterms:modified xsi:type="dcterms:W3CDTF">2020-12-17T23:26:00Z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2020-12-17T23:10:47Z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5bff6d12-d496-4f72-b8b3-19efc2b17c5a</vt:lpwstr>
  </property>
  <property fmtid="{D5CDD505-2E9C-101B-9397-08002B2CF9AE}" pid="8" name="MSIP_Label_efdf5488-3066-4b6c-8fea-9472b8a1f34c_ContentBits">
    <vt:lpwstr>0</vt:lpwstr>
  </property>
</Properties>
</file>