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29D13" w14:textId="2CBD7B35" w:rsidR="00A46288" w:rsidRPr="00DA3F36" w:rsidRDefault="002F60AF" w:rsidP="007A4444">
      <w:pPr>
        <w:pStyle w:val="Title"/>
      </w:pPr>
      <w:r>
        <w:t>enhancing critical care for rural patients through telehealth</w:t>
      </w:r>
    </w:p>
    <w:p w14:paraId="6800B4C5" w14:textId="3BFFE424" w:rsidR="00897157" w:rsidRDefault="00F57692" w:rsidP="00F57692">
      <w:pPr>
        <w:pStyle w:val="IntroductoryText"/>
      </w:pPr>
      <w:bookmarkStart w:id="0" w:name="_Hlk57382274"/>
      <w:r>
        <w:t xml:space="preserve">Limited </w:t>
      </w:r>
      <w:r w:rsidR="00ED04D0">
        <w:t xml:space="preserve">capacity and </w:t>
      </w:r>
      <w:r>
        <w:t xml:space="preserve">access to intensivists in rural Victoria meant </w:t>
      </w:r>
      <w:r w:rsidR="002F60AF" w:rsidRPr="002F60AF">
        <w:t xml:space="preserve">Mildura Base Hospital </w:t>
      </w:r>
      <w:r w:rsidR="007A2D73">
        <w:t xml:space="preserve">was </w:t>
      </w:r>
      <w:r>
        <w:t>transfer</w:t>
      </w:r>
      <w:r w:rsidR="007A2D73">
        <w:t>ring</w:t>
      </w:r>
      <w:r>
        <w:t xml:space="preserve"> more than 100 patients to tertiary health services </w:t>
      </w:r>
      <w:r w:rsidR="0077008F">
        <w:t xml:space="preserve">each year for </w:t>
      </w:r>
      <w:r>
        <w:t xml:space="preserve">critical care. Seeking to avoid unnecessary hospital transfers </w:t>
      </w:r>
      <w:r w:rsidR="00ED04D0">
        <w:t xml:space="preserve">and allow </w:t>
      </w:r>
      <w:r>
        <w:t xml:space="preserve">patients </w:t>
      </w:r>
      <w:r w:rsidR="00ED04D0">
        <w:t xml:space="preserve">to </w:t>
      </w:r>
      <w:r>
        <w:t xml:space="preserve">stay close to family </w:t>
      </w:r>
      <w:r w:rsidR="0077008F">
        <w:t xml:space="preserve">and local </w:t>
      </w:r>
      <w:r>
        <w:t xml:space="preserve">support, the health service established a telehealth model of care that brought metropolitan specialist expertise into the intensive care unit via video. </w:t>
      </w:r>
    </w:p>
    <w:bookmarkEnd w:id="0"/>
    <w:p w14:paraId="7E23E5B8" w14:textId="77777777" w:rsidR="007A4444" w:rsidRDefault="007A4444" w:rsidP="007A4444">
      <w:pPr>
        <w:pStyle w:val="NoSpacing"/>
      </w:pPr>
    </w:p>
    <w:p w14:paraId="4230C339" w14:textId="77777777" w:rsidR="007A4444" w:rsidRDefault="007A4444" w:rsidP="00794CB7">
      <w:pPr>
        <w:sectPr w:rsidR="007A4444" w:rsidSect="00435805">
          <w:footerReference w:type="default" r:id="rId8"/>
          <w:headerReference w:type="first" r:id="rId9"/>
          <w:type w:val="continuous"/>
          <w:pgSz w:w="11906" w:h="16838" w:code="9"/>
          <w:pgMar w:top="2438" w:right="737" w:bottom="680" w:left="737" w:header="539" w:footer="624" w:gutter="0"/>
          <w:cols w:space="284"/>
          <w:titlePg/>
          <w:docGrid w:linePitch="360"/>
        </w:sectPr>
      </w:pPr>
    </w:p>
    <w:p w14:paraId="08B76A1A" w14:textId="30D2B9DC" w:rsidR="00911408" w:rsidRDefault="000C515F" w:rsidP="00911408">
      <w:pPr>
        <w:pStyle w:val="Heading2"/>
      </w:pPr>
      <w:r>
        <w:t>Background</w:t>
      </w:r>
    </w:p>
    <w:p w14:paraId="561F36E4" w14:textId="1D801A61" w:rsidR="00C21C5F" w:rsidRPr="003F30A9" w:rsidRDefault="006B4E10" w:rsidP="003F30A9">
      <w:pPr>
        <w:pStyle w:val="Normalfollowingheading"/>
      </w:pPr>
      <w:bookmarkStart w:id="1" w:name="_Hlk57382257"/>
      <w:r w:rsidRPr="006B4E10">
        <w:t xml:space="preserve">Mildura </w:t>
      </w:r>
      <w:r w:rsidRPr="003F30A9">
        <w:t>Base Hospital (MBH)</w:t>
      </w:r>
      <w:r w:rsidR="00777E1C" w:rsidRPr="003F30A9">
        <w:t xml:space="preserve"> is </w:t>
      </w:r>
      <w:r w:rsidR="00C21C5F" w:rsidRPr="003F30A9">
        <w:t xml:space="preserve">a rural health service </w:t>
      </w:r>
      <w:r w:rsidRPr="003F30A9">
        <w:t>located in northern Victoria</w:t>
      </w:r>
      <w:r w:rsidR="00777E1C" w:rsidRPr="003F30A9">
        <w:t xml:space="preserve">. </w:t>
      </w:r>
      <w:proofErr w:type="gramStart"/>
      <w:r w:rsidR="00777E1C" w:rsidRPr="003F30A9">
        <w:t>It</w:t>
      </w:r>
      <w:proofErr w:type="gramEnd"/>
      <w:r w:rsidR="00777E1C" w:rsidRPr="003F30A9">
        <w:t xml:space="preserve"> </w:t>
      </w:r>
      <w:r w:rsidR="00C21C5F" w:rsidRPr="003F30A9">
        <w:t>services approximately 80,000 people in Mildura and the surrounding regions</w:t>
      </w:r>
      <w:r w:rsidR="00E03DFF" w:rsidRPr="003F30A9">
        <w:t xml:space="preserve"> and has the one of the highest Aboriginal populations in </w:t>
      </w:r>
      <w:r w:rsidR="00777E1C" w:rsidRPr="003F30A9">
        <w:t>the state</w:t>
      </w:r>
      <w:r w:rsidR="00C21C5F" w:rsidRPr="003F30A9">
        <w:t xml:space="preserve">. </w:t>
      </w:r>
      <w:bookmarkStart w:id="2" w:name="_GoBack"/>
      <w:bookmarkEnd w:id="2"/>
    </w:p>
    <w:p w14:paraId="08051442" w14:textId="77777777" w:rsidR="009D7388" w:rsidRPr="003F30A9" w:rsidRDefault="006B4E10" w:rsidP="003F30A9">
      <w:pPr>
        <w:pStyle w:val="Normalfollowingheading"/>
      </w:pPr>
      <w:bookmarkStart w:id="3" w:name="_Hlk57382249"/>
      <w:bookmarkEnd w:id="1"/>
      <w:r w:rsidRPr="003F30A9">
        <w:t xml:space="preserve">In 2016, approximately 600 patients </w:t>
      </w:r>
      <w:r w:rsidR="00C21C5F" w:rsidRPr="003F30A9">
        <w:t xml:space="preserve">were being admitted to MBH’s </w:t>
      </w:r>
      <w:r w:rsidRPr="003F30A9">
        <w:t>five-bed intensive care unit (ICU)</w:t>
      </w:r>
      <w:r w:rsidR="00E07063" w:rsidRPr="003F30A9">
        <w:t xml:space="preserve"> each year</w:t>
      </w:r>
      <w:r w:rsidR="00C21C5F" w:rsidRPr="003F30A9">
        <w:t xml:space="preserve">, with many of these patients having chronic complex conditions. </w:t>
      </w:r>
    </w:p>
    <w:bookmarkEnd w:id="3"/>
    <w:p w14:paraId="49E25FBE" w14:textId="59AEFFAC" w:rsidR="009D7388" w:rsidRPr="003F30A9" w:rsidRDefault="00C21C5F" w:rsidP="003F30A9">
      <w:pPr>
        <w:pStyle w:val="Normalfollowingheading"/>
      </w:pPr>
      <w:r w:rsidRPr="003F30A9">
        <w:t xml:space="preserve">Meeting the needs of these patients was challenging due to </w:t>
      </w:r>
      <w:r w:rsidR="007A497A" w:rsidRPr="003F30A9">
        <w:t xml:space="preserve">the </w:t>
      </w:r>
      <w:r w:rsidRPr="003F30A9">
        <w:t xml:space="preserve">MBH ICU’s limited capacity and minimal intensivist coverage, and </w:t>
      </w:r>
      <w:r w:rsidR="007A497A" w:rsidRPr="003F30A9">
        <w:t>the next nearest I</w:t>
      </w:r>
      <w:r w:rsidRPr="003F30A9">
        <w:t>CU</w:t>
      </w:r>
      <w:r w:rsidR="007A497A" w:rsidRPr="003F30A9">
        <w:t xml:space="preserve"> wa</w:t>
      </w:r>
      <w:r w:rsidR="00E03DFF" w:rsidRPr="003F30A9">
        <w:t>s</w:t>
      </w:r>
      <w:r w:rsidRPr="003F30A9">
        <w:t xml:space="preserve"> 400km</w:t>
      </w:r>
      <w:r w:rsidR="007A497A" w:rsidRPr="003F30A9">
        <w:t xml:space="preserve"> away</w:t>
      </w:r>
      <w:r w:rsidRPr="003F30A9">
        <w:t xml:space="preserve">. </w:t>
      </w:r>
      <w:r w:rsidR="009D7388" w:rsidRPr="003F30A9">
        <w:t xml:space="preserve">These constraints led to the transfer of </w:t>
      </w:r>
      <w:r w:rsidRPr="003F30A9">
        <w:t xml:space="preserve">approximately </w:t>
      </w:r>
      <w:r w:rsidR="00E07063" w:rsidRPr="003F30A9">
        <w:t xml:space="preserve">120 </w:t>
      </w:r>
      <w:r w:rsidRPr="003F30A9">
        <w:t xml:space="preserve">critical care patients </w:t>
      </w:r>
      <w:r w:rsidR="009D7388" w:rsidRPr="003F30A9">
        <w:t xml:space="preserve">from </w:t>
      </w:r>
      <w:r w:rsidR="007A497A" w:rsidRPr="003F30A9">
        <w:t xml:space="preserve">the </w:t>
      </w:r>
      <w:r w:rsidR="009D7388" w:rsidRPr="003F30A9">
        <w:t xml:space="preserve">MBH ICU </w:t>
      </w:r>
      <w:r w:rsidR="00E07063" w:rsidRPr="003F30A9">
        <w:t>to tertiary hospital</w:t>
      </w:r>
      <w:r w:rsidRPr="003F30A9">
        <w:t>s</w:t>
      </w:r>
      <w:r w:rsidR="00E07063" w:rsidRPr="003F30A9">
        <w:t xml:space="preserve"> annually</w:t>
      </w:r>
      <w:r w:rsidR="006B4E10" w:rsidRPr="003F30A9">
        <w:t>.</w:t>
      </w:r>
      <w:r w:rsidR="009D7388" w:rsidRPr="003F30A9">
        <w:t xml:space="preserve"> </w:t>
      </w:r>
    </w:p>
    <w:p w14:paraId="2DD567F8" w14:textId="28A16B77" w:rsidR="00E07063" w:rsidRPr="003F30A9" w:rsidRDefault="00E03DFF" w:rsidP="003F30A9">
      <w:pPr>
        <w:pStyle w:val="Normalfollowingheading"/>
      </w:pPr>
      <w:bookmarkStart w:id="4" w:name="_Hlk57382309"/>
      <w:r w:rsidRPr="003F30A9">
        <w:t xml:space="preserve">Patient transfers are particularly difficult for Aboriginal patients as the travel required </w:t>
      </w:r>
      <w:r w:rsidR="001C5723" w:rsidRPr="003F30A9">
        <w:t>has significant negative cultural connotations</w:t>
      </w:r>
      <w:r w:rsidR="009D7388" w:rsidRPr="003F30A9">
        <w:t xml:space="preserve">. </w:t>
      </w:r>
    </w:p>
    <w:bookmarkEnd w:id="4"/>
    <w:p w14:paraId="1FA9016B" w14:textId="4180CB6E" w:rsidR="00C83A07" w:rsidRPr="003F30A9" w:rsidRDefault="00C83A07" w:rsidP="003F30A9">
      <w:pPr>
        <w:pStyle w:val="Normalfollowingheading"/>
      </w:pPr>
      <w:r w:rsidRPr="003F30A9">
        <w:t>MBH decided that instead of moving patient</w:t>
      </w:r>
      <w:r w:rsidR="003C1E70" w:rsidRPr="003F30A9">
        <w:t>s</w:t>
      </w:r>
      <w:r w:rsidRPr="003F30A9">
        <w:t xml:space="preserve"> to the medical expertise they required, </w:t>
      </w:r>
      <w:r w:rsidR="003C1E70" w:rsidRPr="003F30A9">
        <w:t xml:space="preserve">the health service </w:t>
      </w:r>
      <w:r w:rsidRPr="003F30A9">
        <w:t xml:space="preserve">would </w:t>
      </w:r>
      <w:r w:rsidR="003C1E70" w:rsidRPr="003F30A9">
        <w:t xml:space="preserve">bring </w:t>
      </w:r>
      <w:r w:rsidRPr="003F30A9">
        <w:t xml:space="preserve">the expertise to </w:t>
      </w:r>
      <w:r w:rsidR="00AC15B9" w:rsidRPr="003F30A9">
        <w:t xml:space="preserve">them </w:t>
      </w:r>
      <w:r w:rsidRPr="003F30A9">
        <w:t xml:space="preserve">using telehealth technology. </w:t>
      </w:r>
    </w:p>
    <w:p w14:paraId="5CD71DE3" w14:textId="257D40EC" w:rsidR="005F0A56" w:rsidRDefault="005F0A56" w:rsidP="003F30A9">
      <w:pPr>
        <w:pStyle w:val="Normalfollowingheading"/>
      </w:pPr>
      <w:r w:rsidRPr="003F30A9">
        <w:t>By connect</w:t>
      </w:r>
      <w:r w:rsidR="003C1E70" w:rsidRPr="003F30A9">
        <w:t>ing</w:t>
      </w:r>
      <w:r w:rsidRPr="003F30A9">
        <w:t xml:space="preserve"> with intensivists and specialists at tertiary sites in metropolitan Melbourne</w:t>
      </w:r>
      <w:r w:rsidR="003C1E70" w:rsidRPr="003F30A9">
        <w:t xml:space="preserve"> through </w:t>
      </w:r>
      <w:r w:rsidR="00AC15B9" w:rsidRPr="003F30A9">
        <w:t>video technology</w:t>
      </w:r>
      <w:r w:rsidRPr="003F30A9">
        <w:t xml:space="preserve">, MBH aimed to </w:t>
      </w:r>
      <w:r w:rsidR="003C1E70" w:rsidRPr="003F30A9">
        <w:t xml:space="preserve">reduce </w:t>
      </w:r>
      <w:r w:rsidR="0079248C" w:rsidRPr="003F30A9">
        <w:t xml:space="preserve">avoidable </w:t>
      </w:r>
      <w:r w:rsidR="006C7FA4" w:rsidRPr="003F30A9">
        <w:t xml:space="preserve">hospital </w:t>
      </w:r>
      <w:r w:rsidRPr="003F30A9">
        <w:t>transfers</w:t>
      </w:r>
      <w:r w:rsidR="0079248C" w:rsidRPr="003F30A9">
        <w:t xml:space="preserve"> </w:t>
      </w:r>
      <w:r w:rsidR="003C1E70" w:rsidRPr="003F30A9">
        <w:t>and improve the patient experience</w:t>
      </w:r>
      <w:r>
        <w:t xml:space="preserve">. </w:t>
      </w:r>
    </w:p>
    <w:p w14:paraId="71B46E0A" w14:textId="77777777" w:rsidR="0089722E" w:rsidRDefault="00C7098C" w:rsidP="002F60AF">
      <w:r w:rsidRPr="00C821CE">
        <w:rPr>
          <w:i/>
          <w:iCs/>
          <w:noProof/>
        </w:rPr>
        <mc:AlternateContent>
          <mc:Choice Requires="wps">
            <w:drawing>
              <wp:inline distT="0" distB="0" distL="0" distR="0" wp14:anchorId="7E5AC192" wp14:editId="2BD20C85">
                <wp:extent cx="3230245" cy="4524375"/>
                <wp:effectExtent l="0" t="0" r="27305" b="28575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4524375"/>
                        </a:xfrm>
                        <a:prstGeom prst="rect">
                          <a:avLst/>
                        </a:prstGeom>
                        <a:solidFill>
                          <a:srgbClr val="FEEAD2"/>
                        </a:solidFill>
                        <a:ln w="6350">
                          <a:solidFill>
                            <a:srgbClr val="FEEAD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88FB7" w14:textId="15012735" w:rsidR="00C7098C" w:rsidRPr="004D6898" w:rsidRDefault="002F60AF" w:rsidP="00C7098C">
                            <w:pPr>
                              <w:pStyle w:val="PulloutHeading"/>
                            </w:pPr>
                            <w:r w:rsidRPr="002F60AF">
                              <w:t xml:space="preserve">Critical </w:t>
                            </w:r>
                            <w:r>
                              <w:t>c</w:t>
                            </w:r>
                            <w:r w:rsidRPr="002F60AF">
                              <w:t xml:space="preserve">are </w:t>
                            </w:r>
                            <w:r>
                              <w:t>t</w:t>
                            </w:r>
                            <w:r w:rsidRPr="002F60AF">
                              <w:t>elehealth</w:t>
                            </w:r>
                          </w:p>
                          <w:p w14:paraId="3BCE2E88" w14:textId="65A6A1EA" w:rsidR="00C7098C" w:rsidRDefault="00C7098C" w:rsidP="00C7098C">
                            <w:pPr>
                              <w:pStyle w:val="PulloutText"/>
                            </w:pPr>
                            <w:r w:rsidRPr="00186B39">
                              <w:rPr>
                                <w:b/>
                                <w:bCs/>
                              </w:rPr>
                              <w:t>Lead</w:t>
                            </w:r>
                            <w:r>
                              <w:t xml:space="preserve"> </w:t>
                            </w:r>
                            <w:r w:rsidR="002F60AF" w:rsidRPr="002F60AF">
                              <w:t>Mildura Base Hospital</w:t>
                            </w:r>
                          </w:p>
                          <w:p w14:paraId="6FDBE315" w14:textId="755B9DD2" w:rsidR="00C7098C" w:rsidRPr="002F60AF" w:rsidRDefault="00C7098C" w:rsidP="002F60AF">
                            <w:pPr>
                              <w:pStyle w:val="PulloutText"/>
                            </w:pPr>
                            <w:r w:rsidRPr="00911408">
                              <w:rPr>
                                <w:b/>
                                <w:bCs/>
                              </w:rPr>
                              <w:t>Partner</w:t>
                            </w:r>
                            <w:r w:rsidR="002F60AF">
                              <w:rPr>
                                <w:b/>
                                <w:bCs/>
                              </w:rPr>
                              <w:t xml:space="preserve">s </w:t>
                            </w:r>
                            <w:r w:rsidR="002F60AF" w:rsidRPr="002F60AF">
                              <w:t>Alfred Hospital</w:t>
                            </w:r>
                            <w:r w:rsidR="002F60AF">
                              <w:t xml:space="preserve">, </w:t>
                            </w:r>
                            <w:r w:rsidR="002F60AF" w:rsidRPr="002F60AF">
                              <w:t>Royal Melbourne Hospital</w:t>
                            </w:r>
                            <w:r w:rsidR="002F60AF">
                              <w:t xml:space="preserve">, </w:t>
                            </w:r>
                            <w:r w:rsidR="002F60AF" w:rsidRPr="002F60AF">
                              <w:t>Paediatric Infant Perinatal Emergency Retrieval</w:t>
                            </w:r>
                          </w:p>
                          <w:p w14:paraId="59A54D14" w14:textId="235C3AD1" w:rsidR="00C7098C" w:rsidRPr="00911408" w:rsidRDefault="00186B39" w:rsidP="00C7098C">
                            <w:pPr>
                              <w:pStyle w:val="PulloutTex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Duration</w:t>
                            </w:r>
                            <w:r w:rsidR="002F60A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F60AF" w:rsidRPr="002F60AF">
                              <w:t>October 2016 – October 2018</w:t>
                            </w:r>
                          </w:p>
                          <w:p w14:paraId="29DC0549" w14:textId="21B42719" w:rsidR="00C7098C" w:rsidRDefault="00C7098C" w:rsidP="00C7098C">
                            <w:pPr>
                              <w:pStyle w:val="PulloutText"/>
                              <w:rPr>
                                <w:b/>
                                <w:bCs/>
                              </w:rPr>
                            </w:pPr>
                            <w:r w:rsidRPr="00911408">
                              <w:rPr>
                                <w:b/>
                                <w:bCs/>
                              </w:rPr>
                              <w:t xml:space="preserve">Key </w:t>
                            </w:r>
                            <w:r w:rsidR="00BC07DF">
                              <w:rPr>
                                <w:b/>
                                <w:bCs/>
                              </w:rPr>
                              <w:t>outcomes</w:t>
                            </w:r>
                          </w:p>
                          <w:p w14:paraId="5CFEE5B1" w14:textId="71D900D8" w:rsidR="0064303F" w:rsidRDefault="0064303F" w:rsidP="009D0C46">
                            <w:pPr>
                              <w:pStyle w:val="Bullet1"/>
                            </w:pPr>
                            <w:r>
                              <w:t>Averted 34 critical care patient transfers in 12 months, including 23 ICU transfers and 11 renal transfers. This allowed more patients to stay at MBH ICU</w:t>
                            </w:r>
                            <w:r w:rsidR="003F30A9">
                              <w:t>,</w:t>
                            </w:r>
                            <w:r>
                              <w:t xml:space="preserve"> close to family and supports</w:t>
                            </w:r>
                            <w:r w:rsidR="003F30A9">
                              <w:t>,</w:t>
                            </w:r>
                            <w:r>
                              <w:t xml:space="preserve"> and reduced bed demand at tertiary sites</w:t>
                            </w:r>
                          </w:p>
                          <w:p w14:paraId="1FC1211C" w14:textId="58BF31D5" w:rsidR="0064303F" w:rsidRDefault="0064303F" w:rsidP="0064303F">
                            <w:pPr>
                              <w:pStyle w:val="Bullet1"/>
                            </w:pPr>
                            <w:r>
                              <w:t>Ensured the care provided at MBH ICU was comparable to that of a tertiary centre through a collaborative approach</w:t>
                            </w:r>
                          </w:p>
                          <w:p w14:paraId="0642A49A" w14:textId="77777777" w:rsidR="003F30A9" w:rsidRDefault="003F30A9" w:rsidP="003F30A9">
                            <w:pPr>
                              <w:pStyle w:val="Bullet1"/>
                            </w:pPr>
                            <w:r>
                              <w:t>Saved more than $287,000 in ambulance retrieval costs</w:t>
                            </w:r>
                          </w:p>
                          <w:p w14:paraId="50A865BF" w14:textId="3C2F211C" w:rsidR="0064303F" w:rsidRDefault="003F30A9" w:rsidP="0064303F">
                            <w:pPr>
                              <w:pStyle w:val="Bullet1"/>
                            </w:pPr>
                            <w:r>
                              <w:t xml:space="preserve">Achieved </w:t>
                            </w:r>
                            <w:r w:rsidR="0064303F">
                              <w:t>100 per cent staff satisfaction with the support received from telehealth</w:t>
                            </w:r>
                          </w:p>
                          <w:p w14:paraId="42627D2F" w14:textId="4C75BAFF" w:rsidR="0064303F" w:rsidRDefault="0064303F" w:rsidP="0064303F">
                            <w:pPr>
                              <w:pStyle w:val="Bullet1"/>
                            </w:pPr>
                            <w:r>
                              <w:t>Buil</w:t>
                            </w:r>
                            <w:r w:rsidR="003F30A9">
                              <w:t>t</w:t>
                            </w:r>
                            <w:r>
                              <w:t xml:space="preserve"> strong interprofessional relationships and support networks across participating sites</w:t>
                            </w:r>
                          </w:p>
                        </w:txbxContent>
                      </wps:txbx>
                      <wps:bodyPr rot="0" vert="horz" wrap="square" lIns="180000" tIns="180000" rIns="144000" bIns="360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E5AC1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54.35pt;height:3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" fillcolor="#feead2" strokecolor="#feead2" strokeweight=".5pt">
                <v:textbox inset="5mm,5mm,4mm,1mm">
                  <w:txbxContent>
                    <w:p w14:paraId="14988FB7" w14:textId="15012735" w:rsidR="00C7098C" w:rsidRPr="004D6898" w:rsidRDefault="002F60AF" w:rsidP="00C7098C">
                      <w:pPr>
                        <w:pStyle w:val="PulloutHeading"/>
                      </w:pPr>
                      <w:r w:rsidRPr="002F60AF">
                        <w:t xml:space="preserve">Critical </w:t>
                      </w:r>
                      <w:r>
                        <w:t>c</w:t>
                      </w:r>
                      <w:r w:rsidRPr="002F60AF">
                        <w:t xml:space="preserve">are </w:t>
                      </w:r>
                      <w:r>
                        <w:t>t</w:t>
                      </w:r>
                      <w:r w:rsidRPr="002F60AF">
                        <w:t>elehealth</w:t>
                      </w:r>
                    </w:p>
                    <w:p w14:paraId="3BCE2E88" w14:textId="65A6A1EA" w:rsidR="00C7098C" w:rsidRDefault="00C7098C" w:rsidP="00C7098C">
                      <w:pPr>
                        <w:pStyle w:val="PulloutText"/>
                      </w:pPr>
                      <w:r w:rsidRPr="00186B39">
                        <w:rPr>
                          <w:b/>
                          <w:bCs/>
                        </w:rPr>
                        <w:t>Lead</w:t>
                      </w:r>
                      <w:r>
                        <w:t xml:space="preserve"> </w:t>
                      </w:r>
                      <w:r w:rsidR="002F60AF" w:rsidRPr="002F60AF">
                        <w:t>Mildura Base Hospital</w:t>
                      </w:r>
                    </w:p>
                    <w:p w14:paraId="6FDBE315" w14:textId="755B9DD2" w:rsidR="00C7098C" w:rsidRPr="002F60AF" w:rsidRDefault="00C7098C" w:rsidP="002F60AF">
                      <w:pPr>
                        <w:pStyle w:val="PulloutText"/>
                      </w:pPr>
                      <w:r w:rsidRPr="00911408">
                        <w:rPr>
                          <w:b/>
                          <w:bCs/>
                        </w:rPr>
                        <w:t>Partner</w:t>
                      </w:r>
                      <w:r w:rsidR="002F60AF">
                        <w:rPr>
                          <w:b/>
                          <w:bCs/>
                        </w:rPr>
                        <w:t xml:space="preserve">s </w:t>
                      </w:r>
                      <w:r w:rsidR="002F60AF" w:rsidRPr="002F60AF">
                        <w:t>Alfred Hospital</w:t>
                      </w:r>
                      <w:r w:rsidR="002F60AF">
                        <w:t xml:space="preserve">, </w:t>
                      </w:r>
                      <w:r w:rsidR="002F60AF" w:rsidRPr="002F60AF">
                        <w:t>Royal Melbourne Hospital</w:t>
                      </w:r>
                      <w:r w:rsidR="002F60AF">
                        <w:t xml:space="preserve">, </w:t>
                      </w:r>
                      <w:r w:rsidR="002F60AF" w:rsidRPr="002F60AF">
                        <w:t>Paediatric Infant Perinatal Emergency Retrieval</w:t>
                      </w:r>
                    </w:p>
                    <w:p w14:paraId="59A54D14" w14:textId="235C3AD1" w:rsidR="00C7098C" w:rsidRPr="00911408" w:rsidRDefault="00186B39" w:rsidP="00C7098C">
                      <w:pPr>
                        <w:pStyle w:val="PulloutTex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Duration</w:t>
                      </w:r>
                      <w:r w:rsidR="002F60AF">
                        <w:rPr>
                          <w:b/>
                          <w:bCs/>
                        </w:rPr>
                        <w:t xml:space="preserve"> </w:t>
                      </w:r>
                      <w:r w:rsidR="002F60AF" w:rsidRPr="002F60AF">
                        <w:t>October 2016 – October 2018</w:t>
                      </w:r>
                    </w:p>
                    <w:p w14:paraId="29DC0549" w14:textId="21B42719" w:rsidR="00C7098C" w:rsidRDefault="00C7098C" w:rsidP="00C7098C">
                      <w:pPr>
                        <w:pStyle w:val="PulloutText"/>
                        <w:rPr>
                          <w:b/>
                          <w:bCs/>
                        </w:rPr>
                      </w:pPr>
                      <w:r w:rsidRPr="00911408">
                        <w:rPr>
                          <w:b/>
                          <w:bCs/>
                        </w:rPr>
                        <w:t xml:space="preserve">Key </w:t>
                      </w:r>
                      <w:r w:rsidR="00BC07DF">
                        <w:rPr>
                          <w:b/>
                          <w:bCs/>
                        </w:rPr>
                        <w:t>outcomes</w:t>
                      </w:r>
                    </w:p>
                    <w:p w14:paraId="5CFEE5B1" w14:textId="71D900D8" w:rsidR="0064303F" w:rsidRDefault="0064303F" w:rsidP="009D0C46">
                      <w:pPr>
                        <w:pStyle w:val="Bullet1"/>
                      </w:pPr>
                      <w:r>
                        <w:t>Averted 34 critical care patient transfers in 12 months, including 23 ICU transfers and 11 renal transfers. This allowed more p</w:t>
                      </w:r>
                      <w:r>
                        <w:t xml:space="preserve">atients </w:t>
                      </w:r>
                      <w:r>
                        <w:t xml:space="preserve">to stay </w:t>
                      </w:r>
                      <w:r>
                        <w:t>at MBH ICU</w:t>
                      </w:r>
                      <w:r w:rsidR="003F30A9">
                        <w:t>,</w:t>
                      </w:r>
                      <w:r>
                        <w:t xml:space="preserve"> </w:t>
                      </w:r>
                      <w:r>
                        <w:t>close to family and supports</w:t>
                      </w:r>
                      <w:r w:rsidR="003F30A9">
                        <w:t>,</w:t>
                      </w:r>
                      <w:r>
                        <w:t xml:space="preserve"> and reduced bed demand at tertiary sites</w:t>
                      </w:r>
                    </w:p>
                    <w:p w14:paraId="1FC1211C" w14:textId="58BF31D5" w:rsidR="0064303F" w:rsidRDefault="0064303F" w:rsidP="0064303F">
                      <w:pPr>
                        <w:pStyle w:val="Bullet1"/>
                      </w:pPr>
                      <w:r>
                        <w:t xml:space="preserve">Ensured the care provided at MBH ICU was </w:t>
                      </w:r>
                      <w:r>
                        <w:t xml:space="preserve">comparable to </w:t>
                      </w:r>
                      <w:r>
                        <w:t xml:space="preserve">that of </w:t>
                      </w:r>
                      <w:r>
                        <w:t>a tertiary centre</w:t>
                      </w:r>
                      <w:r>
                        <w:t xml:space="preserve"> through a collaborative approach</w:t>
                      </w:r>
                    </w:p>
                    <w:p w14:paraId="0642A49A" w14:textId="77777777" w:rsidR="003F30A9" w:rsidRDefault="003F30A9" w:rsidP="003F30A9">
                      <w:pPr>
                        <w:pStyle w:val="Bullet1"/>
                      </w:pPr>
                      <w:r>
                        <w:t>Saved more than $287,000 in ambulance retrieval costs</w:t>
                      </w:r>
                    </w:p>
                    <w:p w14:paraId="50A865BF" w14:textId="3C2F211C" w:rsidR="0064303F" w:rsidRDefault="003F30A9" w:rsidP="0064303F">
                      <w:pPr>
                        <w:pStyle w:val="Bullet1"/>
                      </w:pPr>
                      <w:r>
                        <w:t xml:space="preserve">Achieved </w:t>
                      </w:r>
                      <w:r w:rsidR="0064303F">
                        <w:t>100 per cent staff satisfaction with the support received from telehealth</w:t>
                      </w:r>
                    </w:p>
                    <w:p w14:paraId="42627D2F" w14:textId="4C75BAFF" w:rsidR="0064303F" w:rsidRDefault="0064303F" w:rsidP="0064303F">
                      <w:pPr>
                        <w:pStyle w:val="Bullet1"/>
                      </w:pPr>
                      <w:r>
                        <w:t>Buil</w:t>
                      </w:r>
                      <w:r w:rsidR="003F30A9">
                        <w:t>t</w:t>
                      </w:r>
                      <w:r>
                        <w:t xml:space="preserve"> strong interprofessional relationships and support networks across participating sites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EE5791" w14:textId="77777777" w:rsidR="0089722E" w:rsidRDefault="0089722E" w:rsidP="0089722E">
      <w:pPr>
        <w:pStyle w:val="Quote"/>
      </w:pPr>
      <w:r>
        <w:t>‘T</w:t>
      </w:r>
      <w:r w:rsidRPr="00322C3E">
        <w:t>he input from the intensivist through telehealth was invaluable in painting a complete clinical picture for our critically ill patients</w:t>
      </w:r>
      <w:r>
        <w:t xml:space="preserve"> </w:t>
      </w:r>
      <w:r w:rsidRPr="00322C3E">
        <w:t>and ensured that all aspects of management were addressed thoroughly.</w:t>
      </w:r>
      <w:r>
        <w:t xml:space="preserve">’ </w:t>
      </w:r>
    </w:p>
    <w:p w14:paraId="17AC57C9" w14:textId="289BD3F1" w:rsidR="00E41D82" w:rsidRDefault="0089722E" w:rsidP="0089722E">
      <w:pPr>
        <w:pStyle w:val="Quote"/>
        <w:rPr>
          <w:rFonts w:asciiTheme="majorHAnsi" w:eastAsiaTheme="majorEastAsia" w:hAnsiTheme="majorHAnsi" w:cstheme="majorBidi"/>
          <w:b/>
          <w:bCs/>
          <w:caps/>
          <w:color w:val="0063A5" w:themeColor="text2"/>
          <w:sz w:val="24"/>
          <w:szCs w:val="26"/>
        </w:rPr>
      </w:pPr>
      <w:r w:rsidRPr="00322C3E">
        <w:rPr>
          <w:b/>
          <w:bCs/>
        </w:rPr>
        <w:t xml:space="preserve">– </w:t>
      </w:r>
      <w:r>
        <w:rPr>
          <w:b/>
          <w:bCs/>
        </w:rPr>
        <w:t>Doctor</w:t>
      </w:r>
      <w:r w:rsidR="00E41D82">
        <w:br w:type="page"/>
      </w:r>
    </w:p>
    <w:p w14:paraId="3DA60E98" w14:textId="68199D41" w:rsidR="00794CB7" w:rsidRDefault="006512FE" w:rsidP="004A4ED0">
      <w:pPr>
        <w:pStyle w:val="Heading2"/>
      </w:pPr>
      <w:r>
        <w:lastRenderedPageBreak/>
        <w:t>Key activity</w:t>
      </w:r>
    </w:p>
    <w:p w14:paraId="30136D7C" w14:textId="2B18A192" w:rsidR="004E1077" w:rsidRDefault="005C73F1" w:rsidP="003F30A9">
      <w:pPr>
        <w:pStyle w:val="Normalfollowingheading"/>
      </w:pPr>
      <w:r w:rsidRPr="005C73F1">
        <w:t xml:space="preserve">MBH </w:t>
      </w:r>
      <w:r w:rsidR="004E1077">
        <w:t xml:space="preserve">installed a high-definition camera and </w:t>
      </w:r>
      <w:r w:rsidR="004E1077" w:rsidRPr="004E1077">
        <w:t xml:space="preserve">plasma </w:t>
      </w:r>
      <w:r w:rsidR="004E1077">
        <w:t xml:space="preserve">television screen in its ICU that was remotely connected to participating tertiary </w:t>
      </w:r>
      <w:r w:rsidR="002A4018">
        <w:t>health services</w:t>
      </w:r>
      <w:r w:rsidR="004E1077">
        <w:t xml:space="preserve">. </w:t>
      </w:r>
    </w:p>
    <w:p w14:paraId="26F81F4B" w14:textId="07D8465C" w:rsidR="004E1077" w:rsidRDefault="004E1077" w:rsidP="003F30A9">
      <w:pPr>
        <w:pStyle w:val="Normalfollowingheading"/>
      </w:pPr>
      <w:r>
        <w:t>Using telehealth</w:t>
      </w:r>
      <w:r w:rsidR="00071BE7">
        <w:t xml:space="preserve"> technology</w:t>
      </w:r>
      <w:r>
        <w:t>, the MBH ICU receive</w:t>
      </w:r>
      <w:r w:rsidR="00071BE7">
        <w:t>d</w:t>
      </w:r>
      <w:r>
        <w:t xml:space="preserve"> remote, 24/7 support from:</w:t>
      </w:r>
    </w:p>
    <w:p w14:paraId="17AA281F" w14:textId="488F27B6" w:rsidR="004E1077" w:rsidRDefault="00BD6ACA" w:rsidP="004E1077">
      <w:pPr>
        <w:pStyle w:val="Bullet1"/>
        <w:rPr>
          <w:rFonts w:eastAsiaTheme="minorEastAsia"/>
        </w:rPr>
      </w:pPr>
      <w:r w:rsidRPr="00BD6ACA">
        <w:rPr>
          <w:rFonts w:eastAsiaTheme="minorEastAsia"/>
        </w:rPr>
        <w:t xml:space="preserve">adult </w:t>
      </w:r>
      <w:r w:rsidR="00501E01">
        <w:rPr>
          <w:rFonts w:eastAsiaTheme="minorEastAsia"/>
        </w:rPr>
        <w:t>i</w:t>
      </w:r>
      <w:r w:rsidRPr="00BD6ACA">
        <w:rPr>
          <w:rFonts w:eastAsiaTheme="minorEastAsia"/>
        </w:rPr>
        <w:t>ntensivists at the Alfred</w:t>
      </w:r>
      <w:r w:rsidR="004E1077">
        <w:rPr>
          <w:rFonts w:eastAsiaTheme="minorEastAsia"/>
        </w:rPr>
        <w:t xml:space="preserve"> Hospital</w:t>
      </w:r>
    </w:p>
    <w:p w14:paraId="0377769C" w14:textId="77777777" w:rsidR="004E1077" w:rsidRDefault="004E1077" w:rsidP="004E1077">
      <w:pPr>
        <w:pStyle w:val="Bullet1"/>
        <w:rPr>
          <w:rFonts w:eastAsiaTheme="minorEastAsia"/>
        </w:rPr>
      </w:pPr>
      <w:r>
        <w:rPr>
          <w:rFonts w:eastAsiaTheme="minorEastAsia"/>
        </w:rPr>
        <w:t>n</w:t>
      </w:r>
      <w:r w:rsidR="00BD6ACA" w:rsidRPr="00BD6ACA">
        <w:rPr>
          <w:rFonts w:eastAsiaTheme="minorEastAsia"/>
        </w:rPr>
        <w:t>ephrologists at the Royal Melbourne Hospital</w:t>
      </w:r>
    </w:p>
    <w:p w14:paraId="45E5AEFB" w14:textId="7BB51565" w:rsidR="004E1077" w:rsidRDefault="004E1077" w:rsidP="004E1077">
      <w:pPr>
        <w:pStyle w:val="Bullet1"/>
        <w:rPr>
          <w:rFonts w:eastAsiaTheme="minorEastAsia"/>
        </w:rPr>
      </w:pPr>
      <w:r>
        <w:rPr>
          <w:rFonts w:eastAsiaTheme="minorEastAsia"/>
        </w:rPr>
        <w:t xml:space="preserve">paediatric intensivists through the </w:t>
      </w:r>
      <w:r w:rsidRPr="004E1077">
        <w:rPr>
          <w:rFonts w:eastAsiaTheme="minorEastAsia"/>
        </w:rPr>
        <w:t>Paediatric Infant Perinatal Emergency Retrieval</w:t>
      </w:r>
      <w:r>
        <w:rPr>
          <w:rFonts w:eastAsiaTheme="minorEastAsia"/>
        </w:rPr>
        <w:t xml:space="preserve"> service (PIPER).</w:t>
      </w:r>
    </w:p>
    <w:p w14:paraId="470F083C" w14:textId="7458B994" w:rsidR="00BD6ACA" w:rsidRDefault="004E1077" w:rsidP="004E1077">
      <w:r>
        <w:t>The technology enabled remote specialists to see patients and their environment clearly and in real time, allowing them to assist the MBH ICU team with</w:t>
      </w:r>
      <w:r w:rsidR="003F30A9">
        <w:t xml:space="preserve"> </w:t>
      </w:r>
      <w:r>
        <w:t xml:space="preserve">assessment and </w:t>
      </w:r>
      <w:r w:rsidR="00501E01">
        <w:t xml:space="preserve">advise them on </w:t>
      </w:r>
      <w:r>
        <w:t>other important aspects of care</w:t>
      </w:r>
      <w:r w:rsidR="00501E01">
        <w:t>,</w:t>
      </w:r>
      <w:r>
        <w:t xml:space="preserve"> such </w:t>
      </w:r>
      <w:r w:rsidR="00501E01">
        <w:t xml:space="preserve">as </w:t>
      </w:r>
      <w:r w:rsidR="0053240A">
        <w:t>blood circulation</w:t>
      </w:r>
      <w:r w:rsidR="00501E01">
        <w:t>, monitoring,</w:t>
      </w:r>
      <w:r>
        <w:t xml:space="preserve"> and </w:t>
      </w:r>
      <w:r w:rsidR="00BD6ACA" w:rsidRPr="00BD6ACA">
        <w:t>ventilator settings.</w:t>
      </w:r>
    </w:p>
    <w:p w14:paraId="2DC7F019" w14:textId="3AC1D70C" w:rsidR="00BA24AF" w:rsidRDefault="00BA24AF" w:rsidP="00DC1325">
      <w:pPr>
        <w:pStyle w:val="Normalfollowingheading"/>
      </w:pPr>
      <w:r>
        <w:t xml:space="preserve">In addition to providing MBH patients with access to tertiary specialist care without requiring transfer, </w:t>
      </w:r>
      <w:r w:rsidR="00071BE7">
        <w:t xml:space="preserve">the telehealth model </w:t>
      </w:r>
      <w:r>
        <w:t xml:space="preserve">provided valuable educational and learning opportunities for </w:t>
      </w:r>
      <w:r w:rsidR="00BB4613">
        <w:t xml:space="preserve">regional </w:t>
      </w:r>
      <w:r>
        <w:t xml:space="preserve">medical and nursing staff. </w:t>
      </w:r>
    </w:p>
    <w:p w14:paraId="5B724755" w14:textId="32D7C1C7" w:rsidR="002F60AF" w:rsidRPr="002A4018" w:rsidRDefault="009E6F11" w:rsidP="00DC1325">
      <w:pPr>
        <w:pStyle w:val="Normalfollowingheading"/>
      </w:pPr>
      <w:r>
        <w:t>A staff education package was developed, ensuring all medical and nursing staff were familiar with the telehealth model, and education sessions were held fortnightly where staff would discuss case presentations.</w:t>
      </w:r>
      <w:r w:rsidR="002A4018">
        <w:t xml:space="preserve"> </w:t>
      </w:r>
      <w:r w:rsidR="00BD3B97">
        <w:t xml:space="preserve">Clinical champions </w:t>
      </w:r>
      <w:r w:rsidR="00FF7373">
        <w:t xml:space="preserve">were also appointed </w:t>
      </w:r>
      <w:r w:rsidR="00BA4369">
        <w:t xml:space="preserve">to </w:t>
      </w:r>
      <w:r w:rsidR="002A4018">
        <w:t xml:space="preserve">promote the telehealth model and reinforce education. </w:t>
      </w:r>
    </w:p>
    <w:p w14:paraId="4DCFB341" w14:textId="41FE7F9B" w:rsidR="002B5C34" w:rsidRPr="00F80A39" w:rsidRDefault="00435805" w:rsidP="002F60AF">
      <w:pPr>
        <w:pStyle w:val="Heading2"/>
      </w:pPr>
      <w:r>
        <w:t>O</w:t>
      </w:r>
      <w:r w:rsidR="009B1BBA" w:rsidRPr="00F80A39">
        <w:t>utcomes</w:t>
      </w:r>
    </w:p>
    <w:p w14:paraId="0D75FD6B" w14:textId="77777777" w:rsidR="003F30A9" w:rsidRDefault="00362194" w:rsidP="00B906E6">
      <w:pPr>
        <w:pStyle w:val="Bullet1"/>
      </w:pPr>
      <w:r>
        <w:t xml:space="preserve">170 telehealth consultations </w:t>
      </w:r>
      <w:r w:rsidR="00071BE7">
        <w:t xml:space="preserve">were </w:t>
      </w:r>
      <w:r w:rsidR="00534453">
        <w:t xml:space="preserve">completed in </w:t>
      </w:r>
      <w:r>
        <w:t>12 months</w:t>
      </w:r>
      <w:r w:rsidR="00D7199B">
        <w:t xml:space="preserve">. </w:t>
      </w:r>
    </w:p>
    <w:p w14:paraId="6CAA5E38" w14:textId="1D95C476" w:rsidR="00534453" w:rsidRDefault="00D7199B" w:rsidP="00B906E6">
      <w:pPr>
        <w:pStyle w:val="Bullet1"/>
      </w:pPr>
      <w:r w:rsidRPr="002F60AF">
        <w:t xml:space="preserve">34 patient transfers </w:t>
      </w:r>
      <w:r w:rsidR="003D5926">
        <w:t>were averted</w:t>
      </w:r>
      <w:r w:rsidR="003F30A9">
        <w:t xml:space="preserve"> –</w:t>
      </w:r>
      <w:r w:rsidR="003D5926">
        <w:t xml:space="preserve"> a </w:t>
      </w:r>
      <w:r>
        <w:t>21</w:t>
      </w:r>
      <w:r w:rsidR="00534453">
        <w:t> </w:t>
      </w:r>
      <w:r>
        <w:t>per</w:t>
      </w:r>
      <w:r w:rsidR="00534453">
        <w:t> </w:t>
      </w:r>
      <w:r>
        <w:t>cent decrease</w:t>
      </w:r>
      <w:r w:rsidR="003D5926">
        <w:t xml:space="preserve"> compared with the previous year. </w:t>
      </w:r>
    </w:p>
    <w:p w14:paraId="0140B56C" w14:textId="47E30E5A" w:rsidR="00D7199B" w:rsidRDefault="00771A80" w:rsidP="00B906E6">
      <w:pPr>
        <w:pStyle w:val="Bullet1"/>
      </w:pPr>
      <w:r>
        <w:t>S</w:t>
      </w:r>
      <w:r w:rsidRPr="002F60AF">
        <w:t>uccessfully manag</w:t>
      </w:r>
      <w:r>
        <w:t xml:space="preserve">ing these patients at </w:t>
      </w:r>
      <w:r w:rsidRPr="002F60AF">
        <w:t>MBH</w:t>
      </w:r>
      <w:r>
        <w:t xml:space="preserve"> ICU reduced bed demand </w:t>
      </w:r>
      <w:r w:rsidR="00534453">
        <w:t xml:space="preserve">at </w:t>
      </w:r>
      <w:r>
        <w:t xml:space="preserve">tertiary sites where they would have </w:t>
      </w:r>
      <w:r w:rsidR="00534453">
        <w:t xml:space="preserve">otherwise </w:t>
      </w:r>
      <w:r>
        <w:t>been transferred.</w:t>
      </w:r>
    </w:p>
    <w:p w14:paraId="4DDE3BA1" w14:textId="31BFED3B" w:rsidR="00D7199B" w:rsidRDefault="00534453" w:rsidP="004B4BAD">
      <w:pPr>
        <w:pStyle w:val="Bullet1"/>
      </w:pPr>
      <w:r>
        <w:t xml:space="preserve">Eleven </w:t>
      </w:r>
      <w:r w:rsidR="00D7199B">
        <w:t xml:space="preserve">renal patient transfers </w:t>
      </w:r>
      <w:r w:rsidR="005C2E5F">
        <w:t>were avoided</w:t>
      </w:r>
      <w:r>
        <w:t xml:space="preserve">, including four who received </w:t>
      </w:r>
      <w:r w:rsidR="005C2E5F">
        <w:t xml:space="preserve">acute kidney </w:t>
      </w:r>
      <w:r w:rsidR="00D7199B">
        <w:t xml:space="preserve">injury treatment </w:t>
      </w:r>
      <w:r w:rsidR="005C2E5F">
        <w:t>at MBH ICU</w:t>
      </w:r>
      <w:r>
        <w:t xml:space="preserve">. Previously, this intervention would have required patient </w:t>
      </w:r>
      <w:r w:rsidR="00D7199B">
        <w:t xml:space="preserve">transfer to a tertiary </w:t>
      </w:r>
      <w:r w:rsidR="005C2E5F">
        <w:t xml:space="preserve">site. </w:t>
      </w:r>
    </w:p>
    <w:p w14:paraId="77CCD9B1" w14:textId="50021513" w:rsidR="004C3616" w:rsidRDefault="00D04E1C" w:rsidP="004C3616">
      <w:pPr>
        <w:pStyle w:val="Bullet1"/>
      </w:pPr>
      <w:r>
        <w:t xml:space="preserve">More than $287,000 in ambulance transfer costs were saved by </w:t>
      </w:r>
      <w:r w:rsidR="00534453">
        <w:t>managing patients at the MBH ICU via telehealth</w:t>
      </w:r>
      <w:r>
        <w:t xml:space="preserve">. </w:t>
      </w:r>
      <w:r w:rsidR="00BB4613">
        <w:t xml:space="preserve">This also helped families avoid costs such as </w:t>
      </w:r>
      <w:r w:rsidR="004C3616">
        <w:t>transport</w:t>
      </w:r>
      <w:r w:rsidR="003F30A9">
        <w:t xml:space="preserve">, </w:t>
      </w:r>
      <w:r w:rsidR="004C3616">
        <w:t>accommodation</w:t>
      </w:r>
      <w:r w:rsidR="003F30A9">
        <w:t xml:space="preserve"> and lost wages</w:t>
      </w:r>
      <w:r w:rsidR="00BB4613">
        <w:t>.</w:t>
      </w:r>
    </w:p>
    <w:p w14:paraId="52B31D55" w14:textId="77777777" w:rsidR="00123C4D" w:rsidRDefault="00123C4D" w:rsidP="00DC1325">
      <w:r>
        <w:rPr>
          <w:noProof/>
        </w:rPr>
        <w:drawing>
          <wp:inline distT="0" distB="0" distL="0" distR="0" wp14:anchorId="0DAA9D88" wp14:editId="140FE2BE">
            <wp:extent cx="3229610" cy="1869743"/>
            <wp:effectExtent l="0" t="0" r="8890" b="0"/>
            <wp:docPr id="14" name="Picture 14" descr="A clinician setting up telehealth technology in the ICU while another staff member watches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Placeholder Fact Sheet.jpg"/>
                    <pic:cNvPicPr/>
                  </pic:nvPicPr>
                  <pic:blipFill rotWithShape="1"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99" b="9399"/>
                    <a:stretch/>
                  </pic:blipFill>
                  <pic:spPr>
                    <a:xfrm>
                      <a:off x="0" y="0"/>
                      <a:ext cx="3249719" cy="188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705DA" w14:textId="326B1FE3" w:rsidR="00A17547" w:rsidRDefault="00A17547" w:rsidP="00A17547">
      <w:pPr>
        <w:pStyle w:val="Heading3"/>
      </w:pPr>
      <w:r>
        <w:t>Staff and consumer experience</w:t>
      </w:r>
    </w:p>
    <w:p w14:paraId="0A3C9C9F" w14:textId="65A8FA58" w:rsidR="00BB4613" w:rsidRPr="002F60AF" w:rsidRDefault="00BB4613" w:rsidP="00BB4613">
      <w:pPr>
        <w:pStyle w:val="Bullet1"/>
      </w:pPr>
      <w:r>
        <w:t xml:space="preserve">The experience for patients and families improved, with 100 per cent </w:t>
      </w:r>
      <w:r w:rsidR="00353497">
        <w:t xml:space="preserve">of survey respondents </w:t>
      </w:r>
      <w:r>
        <w:t xml:space="preserve">speaking positively </w:t>
      </w:r>
      <w:r w:rsidR="00353497">
        <w:t xml:space="preserve">about </w:t>
      </w:r>
      <w:r>
        <w:t xml:space="preserve">the telehealth model. </w:t>
      </w:r>
      <w:r w:rsidRPr="002F60AF">
        <w:t xml:space="preserve">Patients </w:t>
      </w:r>
      <w:r>
        <w:t xml:space="preserve">appreciated being able to stay </w:t>
      </w:r>
      <w:r w:rsidRPr="002F60AF">
        <w:t>close to family</w:t>
      </w:r>
      <w:r w:rsidR="00353497">
        <w:t xml:space="preserve"> and families were reassured that their loved ones were receiving tertiary hospital-</w:t>
      </w:r>
      <w:r w:rsidR="00E44F89">
        <w:t xml:space="preserve">level </w:t>
      </w:r>
      <w:r w:rsidR="00353497">
        <w:t>care</w:t>
      </w:r>
      <w:r w:rsidRPr="002F60AF">
        <w:t>.</w:t>
      </w:r>
    </w:p>
    <w:p w14:paraId="4BDA67AB" w14:textId="49E6618C" w:rsidR="00484C23" w:rsidRDefault="00D04E1C" w:rsidP="004C3616">
      <w:pPr>
        <w:pStyle w:val="Bullet1"/>
      </w:pPr>
      <w:r>
        <w:t>The initiative improved MBH ICU clinicians’ capability in assessment, treatment</w:t>
      </w:r>
      <w:r w:rsidR="007177C3">
        <w:t>, and end of life planning</w:t>
      </w:r>
      <w:r w:rsidR="00534453">
        <w:t xml:space="preserve">. It also </w:t>
      </w:r>
      <w:r w:rsidR="004C3616">
        <w:t xml:space="preserve">decreased variation in practice. </w:t>
      </w:r>
    </w:p>
    <w:p w14:paraId="725528D9" w14:textId="4957E726" w:rsidR="004C3616" w:rsidRDefault="004C3616" w:rsidP="00E91096">
      <w:pPr>
        <w:pStyle w:val="Bullet1"/>
      </w:pPr>
      <w:r>
        <w:t>90 per cent of staff surveyed said they felt adequately supported post-telehealth compared with 40 per cent pre-telehealth</w:t>
      </w:r>
      <w:r w:rsidR="00E606AF">
        <w:t xml:space="preserve">. </w:t>
      </w:r>
      <w:r>
        <w:t xml:space="preserve">100 per cent </w:t>
      </w:r>
      <w:r w:rsidR="00E606AF">
        <w:t xml:space="preserve">of staff were </w:t>
      </w:r>
      <w:r>
        <w:t xml:space="preserve">satisfied with the learning and development. </w:t>
      </w:r>
    </w:p>
    <w:p w14:paraId="7D0EA8C6" w14:textId="235AFCE7" w:rsidR="002F60AF" w:rsidRPr="002F60AF" w:rsidRDefault="00BE4084" w:rsidP="002F60AF">
      <w:pPr>
        <w:pStyle w:val="Bullet1"/>
      </w:pPr>
      <w:r>
        <w:t xml:space="preserve">The project </w:t>
      </w:r>
      <w:r w:rsidR="00390D5A">
        <w:t xml:space="preserve">also </w:t>
      </w:r>
      <w:r>
        <w:t xml:space="preserve">helped build strong, collaborative relationships between </w:t>
      </w:r>
      <w:r w:rsidR="002F60AF" w:rsidRPr="002F60AF">
        <w:t xml:space="preserve">metropolitan </w:t>
      </w:r>
      <w:r>
        <w:t xml:space="preserve">and </w:t>
      </w:r>
      <w:r w:rsidR="002F60AF" w:rsidRPr="002F60AF">
        <w:t>regional health services.</w:t>
      </w:r>
    </w:p>
    <w:p w14:paraId="29019E1A" w14:textId="3C914F67" w:rsidR="00C5179C" w:rsidRDefault="00C5179C" w:rsidP="00C5179C">
      <w:pPr>
        <w:pStyle w:val="Quote"/>
      </w:pPr>
      <w:r>
        <w:t>‘</w:t>
      </w:r>
      <w:r w:rsidRPr="00C5179C">
        <w:t>Tele</w:t>
      </w:r>
      <w:r>
        <w:t>h</w:t>
      </w:r>
      <w:r w:rsidRPr="00C5179C">
        <w:t>ealth is an excellent way for staff, patients and family to be involved in care and be able to ask questions</w:t>
      </w:r>
      <w:r w:rsidR="00EF789D">
        <w:t>.’</w:t>
      </w:r>
      <w:r>
        <w:t xml:space="preserve"> </w:t>
      </w:r>
    </w:p>
    <w:p w14:paraId="3E1B21DF" w14:textId="0CBD248B" w:rsidR="00C5179C" w:rsidRDefault="00C5179C" w:rsidP="00C5179C">
      <w:pPr>
        <w:pStyle w:val="Quote"/>
        <w:rPr>
          <w:b/>
          <w:bCs/>
        </w:rPr>
      </w:pPr>
      <w:r w:rsidRPr="00E525C3">
        <w:rPr>
          <w:b/>
          <w:bCs/>
        </w:rPr>
        <w:t xml:space="preserve">– </w:t>
      </w:r>
      <w:r>
        <w:rPr>
          <w:b/>
          <w:bCs/>
        </w:rPr>
        <w:t>Consumer</w:t>
      </w:r>
    </w:p>
    <w:p w14:paraId="72DDF5D7" w14:textId="77777777" w:rsidR="0089722E" w:rsidRDefault="0089722E" w:rsidP="0089722E">
      <w:pPr>
        <w:pStyle w:val="Quote"/>
      </w:pPr>
      <w:r>
        <w:t>‘</w:t>
      </w:r>
      <w:r w:rsidRPr="00B931D8">
        <w:t xml:space="preserve">I had a few occasions where I needed </w:t>
      </w:r>
      <w:r>
        <w:t>t</w:t>
      </w:r>
      <w:r w:rsidRPr="00B931D8">
        <w:t xml:space="preserve">elehealth to assist me with very difficult cases probably beyond my skill and knowledge. </w:t>
      </w:r>
      <w:r>
        <w:t>[Thanks to] t</w:t>
      </w:r>
      <w:r w:rsidRPr="00B931D8">
        <w:t>elehealth</w:t>
      </w:r>
      <w:r>
        <w:t>,</w:t>
      </w:r>
      <w:r w:rsidRPr="00B931D8">
        <w:t xml:space="preserve"> we got through very difficult situations and the patients benefit</w:t>
      </w:r>
      <w:r>
        <w:t>t</w:t>
      </w:r>
      <w:r w:rsidRPr="00B931D8">
        <w:t>ed from it</w:t>
      </w:r>
      <w:r>
        <w:t xml:space="preserve">.’ </w:t>
      </w:r>
    </w:p>
    <w:p w14:paraId="482D1F4F" w14:textId="77777777" w:rsidR="0089722E" w:rsidRDefault="0089722E" w:rsidP="0089722E">
      <w:pPr>
        <w:pStyle w:val="Quote"/>
        <w:rPr>
          <w:b/>
          <w:bCs/>
        </w:rPr>
      </w:pPr>
      <w:r w:rsidRPr="00B931D8">
        <w:rPr>
          <w:b/>
          <w:bCs/>
        </w:rPr>
        <w:t>– Anaesthetist</w:t>
      </w:r>
    </w:p>
    <w:p w14:paraId="3F923A71" w14:textId="52AD1B08" w:rsidR="00E525C3" w:rsidRDefault="00BB4613" w:rsidP="00E525C3">
      <w:pPr>
        <w:pStyle w:val="Quote"/>
      </w:pPr>
      <w:r>
        <w:t xml:space="preserve"> </w:t>
      </w:r>
      <w:r w:rsidR="00E525C3">
        <w:t xml:space="preserve">‘It was the best thing that I have experienced. You can get information </w:t>
      </w:r>
      <w:r w:rsidR="00DC1325">
        <w:br/>
      </w:r>
      <w:r w:rsidR="00E525C3">
        <w:t>from major hospitals and top doctors</w:t>
      </w:r>
      <w:r w:rsidR="008E6CAE">
        <w:t>’</w:t>
      </w:r>
      <w:r w:rsidR="00E525C3">
        <w:t xml:space="preserve"> treatment advice.’ </w:t>
      </w:r>
    </w:p>
    <w:p w14:paraId="1AB88267" w14:textId="7D41578E" w:rsidR="00E525C3" w:rsidRDefault="00E525C3" w:rsidP="00E525C3">
      <w:pPr>
        <w:pStyle w:val="Quote"/>
      </w:pPr>
      <w:r w:rsidRPr="00E525C3">
        <w:rPr>
          <w:b/>
          <w:bCs/>
        </w:rPr>
        <w:t xml:space="preserve">– </w:t>
      </w:r>
      <w:r w:rsidR="00B931D8">
        <w:rPr>
          <w:b/>
          <w:bCs/>
        </w:rPr>
        <w:t>Consumer</w:t>
      </w:r>
    </w:p>
    <w:p w14:paraId="040DADBE" w14:textId="420C75A5" w:rsidR="0089722E" w:rsidRPr="0089722E" w:rsidRDefault="0089722E" w:rsidP="0089722E">
      <w:pPr>
        <w:sectPr w:rsidR="0089722E" w:rsidRPr="0089722E" w:rsidSect="0007128A">
          <w:footerReference w:type="default" r:id="rId12"/>
          <w:type w:val="continuous"/>
          <w:pgSz w:w="11906" w:h="16838" w:code="9"/>
          <w:pgMar w:top="2438" w:right="737" w:bottom="680" w:left="737" w:header="539" w:footer="624" w:gutter="0"/>
          <w:cols w:num="2" w:space="284"/>
          <w:docGrid w:linePitch="360"/>
        </w:sectPr>
      </w:pPr>
    </w:p>
    <w:p w14:paraId="088E4991" w14:textId="77777777" w:rsidR="00237E38" w:rsidRDefault="00237E38" w:rsidP="00237E38">
      <w:r>
        <w:rPr>
          <w:noProof/>
        </w:rPr>
        <w:lastRenderedPageBreak/>
        <w:drawing>
          <wp:inline distT="0" distB="0" distL="0" distR="0" wp14:anchorId="2E38DF14" wp14:editId="3E25E78D">
            <wp:extent cx="6630126" cy="2505075"/>
            <wp:effectExtent l="0" t="0" r="0" b="0"/>
            <wp:docPr id="6" name="Picture 6" descr="A specialist communicating through a television screen and camera in the ICU with two staff members watching from the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ldura critical care telehealth_screen cap.png"/>
                    <pic:cNvPicPr/>
                  </pic:nvPicPr>
                  <pic:blipFill rotWithShape="1"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996" b="8697"/>
                    <a:stretch/>
                  </pic:blipFill>
                  <pic:spPr bwMode="auto">
                    <a:xfrm>
                      <a:off x="0" y="0"/>
                      <a:ext cx="6659202" cy="251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771F9" w14:textId="69449ED5" w:rsidR="00237E38" w:rsidRPr="00237E38" w:rsidRDefault="00237E38" w:rsidP="00237E38">
      <w:pPr>
        <w:pStyle w:val="Normalfollowingheading"/>
        <w:sectPr w:rsidR="00237E38" w:rsidRPr="00237E38" w:rsidSect="00237E38">
          <w:footerReference w:type="default" r:id="rId15"/>
          <w:pgSz w:w="11906" w:h="16838" w:code="9"/>
          <w:pgMar w:top="2438" w:right="737" w:bottom="680" w:left="737" w:header="539" w:footer="624" w:gutter="0"/>
          <w:cols w:space="284"/>
          <w:docGrid w:linePitch="360"/>
        </w:sectPr>
      </w:pPr>
    </w:p>
    <w:p w14:paraId="2485892E" w14:textId="0C720433" w:rsidR="00435805" w:rsidRDefault="00435805" w:rsidP="00435805">
      <w:pPr>
        <w:pStyle w:val="Heading2"/>
      </w:pPr>
      <w:r>
        <w:t>Key learnings</w:t>
      </w:r>
    </w:p>
    <w:p w14:paraId="65F7FF72" w14:textId="412FFFCA" w:rsidR="00A02BC5" w:rsidRDefault="00A02BC5" w:rsidP="00731C2A">
      <w:pPr>
        <w:pStyle w:val="Bullet1"/>
      </w:pPr>
      <w:r w:rsidRPr="00CB4284">
        <w:rPr>
          <w:b/>
          <w:bCs/>
        </w:rPr>
        <w:t xml:space="preserve">Local </w:t>
      </w:r>
      <w:r w:rsidR="00123C4D" w:rsidRPr="00CB4284">
        <w:rPr>
          <w:b/>
          <w:bCs/>
        </w:rPr>
        <w:t>e</w:t>
      </w:r>
      <w:r w:rsidRPr="00CB4284">
        <w:rPr>
          <w:b/>
          <w:bCs/>
        </w:rPr>
        <w:t xml:space="preserve">xecutive input </w:t>
      </w:r>
      <w:r w:rsidR="00CB4284" w:rsidRPr="00CB4284">
        <w:rPr>
          <w:b/>
          <w:bCs/>
        </w:rPr>
        <w:t xml:space="preserve">can be </w:t>
      </w:r>
      <w:r w:rsidRPr="00CB4284">
        <w:rPr>
          <w:b/>
          <w:bCs/>
        </w:rPr>
        <w:t xml:space="preserve">crucial for </w:t>
      </w:r>
      <w:r w:rsidR="00E606AF" w:rsidRPr="00CB4284">
        <w:rPr>
          <w:b/>
          <w:bCs/>
        </w:rPr>
        <w:t xml:space="preserve">escalating </w:t>
      </w:r>
      <w:r w:rsidR="00123C4D" w:rsidRPr="00CB4284">
        <w:rPr>
          <w:b/>
          <w:bCs/>
        </w:rPr>
        <w:t>information technology (</w:t>
      </w:r>
      <w:r w:rsidRPr="00CB4284">
        <w:rPr>
          <w:b/>
          <w:bCs/>
        </w:rPr>
        <w:t>IT</w:t>
      </w:r>
      <w:r w:rsidR="00123C4D" w:rsidRPr="00CB4284">
        <w:rPr>
          <w:b/>
          <w:bCs/>
        </w:rPr>
        <w:t>)</w:t>
      </w:r>
      <w:r w:rsidRPr="00CB4284">
        <w:rPr>
          <w:b/>
          <w:bCs/>
        </w:rPr>
        <w:t xml:space="preserve"> </w:t>
      </w:r>
      <w:r w:rsidR="00E606AF" w:rsidRPr="00CB4284">
        <w:rPr>
          <w:b/>
          <w:bCs/>
        </w:rPr>
        <w:t xml:space="preserve">issues </w:t>
      </w:r>
      <w:r w:rsidR="00123C4D" w:rsidRPr="00CB4284">
        <w:rPr>
          <w:b/>
          <w:bCs/>
        </w:rPr>
        <w:t>–</w:t>
      </w:r>
      <w:r w:rsidR="00E606AF" w:rsidRPr="00CB4284">
        <w:rPr>
          <w:b/>
          <w:bCs/>
        </w:rPr>
        <w:t xml:space="preserve"> </w:t>
      </w:r>
      <w:r w:rsidR="00CB4284" w:rsidRPr="00CB4284">
        <w:t xml:space="preserve">Despite </w:t>
      </w:r>
      <w:r w:rsidR="00CB4284">
        <w:t xml:space="preserve">extensive meetings and research to ensure the project was IT-ready, </w:t>
      </w:r>
      <w:r>
        <w:t>IT</w:t>
      </w:r>
      <w:r w:rsidR="00CB4284">
        <w:t xml:space="preserve"> </w:t>
      </w:r>
      <w:r w:rsidR="00530FE9">
        <w:t xml:space="preserve">support </w:t>
      </w:r>
      <w:r w:rsidR="00E606AF">
        <w:t xml:space="preserve">issues </w:t>
      </w:r>
      <w:r w:rsidR="00CB4284">
        <w:t xml:space="preserve">ended up causing unexpected </w:t>
      </w:r>
      <w:r w:rsidR="00E606AF">
        <w:t xml:space="preserve">delays and </w:t>
      </w:r>
      <w:r w:rsidR="00CB4284">
        <w:t xml:space="preserve">prevented </w:t>
      </w:r>
      <w:r w:rsidR="00E606AF">
        <w:t>project progression.</w:t>
      </w:r>
      <w:r>
        <w:t xml:space="preserve"> </w:t>
      </w:r>
      <w:r w:rsidR="00CB4284">
        <w:t>I</w:t>
      </w:r>
      <w:r w:rsidR="00E606AF">
        <w:t xml:space="preserve">nvolving the MBH chief executive officer </w:t>
      </w:r>
      <w:r>
        <w:t xml:space="preserve">in discussions with stakeholders </w:t>
      </w:r>
      <w:r w:rsidR="00CB4284">
        <w:t xml:space="preserve">eventually </w:t>
      </w:r>
      <w:r>
        <w:t xml:space="preserve">ensured </w:t>
      </w:r>
      <w:r w:rsidR="00E606AF">
        <w:t>the project receive</w:t>
      </w:r>
      <w:r w:rsidR="008A7B4C">
        <w:t>d</w:t>
      </w:r>
      <w:r w:rsidR="00E606AF">
        <w:t xml:space="preserve"> the </w:t>
      </w:r>
      <w:r>
        <w:t xml:space="preserve">help </w:t>
      </w:r>
      <w:r w:rsidR="008A7B4C">
        <w:t xml:space="preserve">it </w:t>
      </w:r>
      <w:r>
        <w:t xml:space="preserve">required and </w:t>
      </w:r>
      <w:r w:rsidR="00CB4284">
        <w:t xml:space="preserve">MBH was able to secure the most </w:t>
      </w:r>
      <w:r>
        <w:t xml:space="preserve">appropriate </w:t>
      </w:r>
      <w:r w:rsidR="00CB4284">
        <w:t xml:space="preserve">telehealth </w:t>
      </w:r>
      <w:r>
        <w:t xml:space="preserve">platform </w:t>
      </w:r>
      <w:r w:rsidR="00CB4284">
        <w:t>for its ICU</w:t>
      </w:r>
      <w:r>
        <w:t>.</w:t>
      </w:r>
    </w:p>
    <w:p w14:paraId="50A69F8C" w14:textId="2E9F32CF" w:rsidR="00A02BC5" w:rsidRDefault="00842E49" w:rsidP="00C91289">
      <w:pPr>
        <w:pStyle w:val="Bullet1"/>
      </w:pPr>
      <w:r w:rsidRPr="008F359A">
        <w:rPr>
          <w:b/>
          <w:bCs/>
        </w:rPr>
        <w:t>Strong s</w:t>
      </w:r>
      <w:r w:rsidR="00A02BC5" w:rsidRPr="008F359A">
        <w:rPr>
          <w:b/>
          <w:bCs/>
        </w:rPr>
        <w:t xml:space="preserve">takeholder engagement </w:t>
      </w:r>
      <w:r w:rsidRPr="008F359A">
        <w:rPr>
          <w:b/>
          <w:bCs/>
        </w:rPr>
        <w:t>is key to project success –</w:t>
      </w:r>
      <w:r w:rsidR="008F359A" w:rsidRPr="008F359A">
        <w:rPr>
          <w:b/>
          <w:bCs/>
        </w:rPr>
        <w:t xml:space="preserve"> </w:t>
      </w:r>
      <w:r w:rsidR="008F359A">
        <w:t xml:space="preserve">Involving all ICU staff </w:t>
      </w:r>
      <w:proofErr w:type="gramStart"/>
      <w:r w:rsidR="008F359A">
        <w:t>early on in the</w:t>
      </w:r>
      <w:proofErr w:type="gramEnd"/>
      <w:r w:rsidR="008F359A">
        <w:t xml:space="preserve"> project meant they experienced the initiative’s successes, failures and trials, which was beneficial during implementation. MBH appointed clinical champions and recruited a project officer to provide local support, maintained constant communication, and delivered ongoing education to keep staff engaged. </w:t>
      </w:r>
      <w:r w:rsidR="008F359A" w:rsidRPr="00842E49">
        <w:t>MBH</w:t>
      </w:r>
      <w:r w:rsidR="008F359A" w:rsidRPr="008F359A">
        <w:rPr>
          <w:b/>
          <w:bCs/>
        </w:rPr>
        <w:t xml:space="preserve"> </w:t>
      </w:r>
      <w:r w:rsidR="008F359A" w:rsidRPr="008F359A">
        <w:t>also</w:t>
      </w:r>
      <w:r w:rsidR="008F359A" w:rsidRPr="008F359A">
        <w:rPr>
          <w:b/>
          <w:bCs/>
        </w:rPr>
        <w:t xml:space="preserve"> </w:t>
      </w:r>
      <w:r w:rsidR="008F359A">
        <w:t>spoke with tertiary stakeholders regularly to discuss project improvements and processes.</w:t>
      </w:r>
    </w:p>
    <w:p w14:paraId="168C569F" w14:textId="76776A6A" w:rsidR="002F60AF" w:rsidRPr="002F60AF" w:rsidRDefault="00237E38" w:rsidP="0093780B">
      <w:pPr>
        <w:pStyle w:val="Bullet1"/>
      </w:pPr>
      <w:r>
        <w:rPr>
          <w:b/>
          <w:bCs/>
        </w:rPr>
        <w:br w:type="column"/>
      </w:r>
      <w:r w:rsidR="00EB070C" w:rsidRPr="00645206">
        <w:rPr>
          <w:b/>
          <w:bCs/>
        </w:rPr>
        <w:t xml:space="preserve">Tertiary sites may require </w:t>
      </w:r>
      <w:r w:rsidR="00A02BC5" w:rsidRPr="00645206">
        <w:rPr>
          <w:b/>
          <w:bCs/>
        </w:rPr>
        <w:t>different models for successful telehealth delivery</w:t>
      </w:r>
      <w:r w:rsidR="00EB070C" w:rsidRPr="00645206">
        <w:rPr>
          <w:b/>
          <w:bCs/>
        </w:rPr>
        <w:t xml:space="preserve"> – </w:t>
      </w:r>
      <w:r w:rsidR="004F5EA1" w:rsidRPr="004F5EA1">
        <w:t xml:space="preserve">During the </w:t>
      </w:r>
      <w:r w:rsidR="004F5EA1">
        <w:t xml:space="preserve">project planning phase, </w:t>
      </w:r>
      <w:r w:rsidR="004F5EA1" w:rsidRPr="004F5EA1">
        <w:t>MBH</w:t>
      </w:r>
      <w:r w:rsidR="004F5EA1" w:rsidRPr="00645206">
        <w:rPr>
          <w:b/>
          <w:bCs/>
        </w:rPr>
        <w:t xml:space="preserve"> </w:t>
      </w:r>
      <w:r w:rsidR="002043EB" w:rsidRPr="002043EB">
        <w:t>conducted site visits to</w:t>
      </w:r>
      <w:r w:rsidR="002043EB" w:rsidRPr="00645206">
        <w:rPr>
          <w:b/>
          <w:bCs/>
        </w:rPr>
        <w:t xml:space="preserve"> </w:t>
      </w:r>
      <w:r w:rsidR="00EB070C">
        <w:t>Barwon Health</w:t>
      </w:r>
      <w:r w:rsidR="004F5EA1">
        <w:t xml:space="preserve"> and </w:t>
      </w:r>
      <w:r w:rsidR="00DA2A6B">
        <w:t>other tertiary sites</w:t>
      </w:r>
      <w:r w:rsidR="002043EB">
        <w:t xml:space="preserve"> to learn from their telehealth experience</w:t>
      </w:r>
      <w:r w:rsidR="004F5EA1">
        <w:t xml:space="preserve">. </w:t>
      </w:r>
      <w:r w:rsidR="002043EB">
        <w:t xml:space="preserve">While this provided </w:t>
      </w:r>
      <w:r w:rsidR="002043EB" w:rsidRPr="004F5EA1">
        <w:t>valuable insight into different video consultation designs</w:t>
      </w:r>
      <w:r w:rsidR="002043EB">
        <w:t xml:space="preserve">, it was important for </w:t>
      </w:r>
      <w:r w:rsidR="00DA2A6B">
        <w:t xml:space="preserve">MBH </w:t>
      </w:r>
      <w:r w:rsidR="00A02BC5">
        <w:t xml:space="preserve">to identify a robust platform specific to </w:t>
      </w:r>
      <w:r w:rsidR="00DA2A6B">
        <w:t xml:space="preserve">its </w:t>
      </w:r>
      <w:r w:rsidR="00A02BC5">
        <w:t>local needs</w:t>
      </w:r>
      <w:r w:rsidR="002043EB">
        <w:t xml:space="preserve">. MBH also had to </w:t>
      </w:r>
      <w:r w:rsidR="004F5EA1">
        <w:t xml:space="preserve">cater to the </w:t>
      </w:r>
      <w:r w:rsidR="008F359A">
        <w:t>different</w:t>
      </w:r>
      <w:r w:rsidR="004F5EA1">
        <w:t xml:space="preserve"> </w:t>
      </w:r>
      <w:r w:rsidR="00A02BC5">
        <w:t xml:space="preserve">needs of </w:t>
      </w:r>
      <w:r w:rsidR="008F359A">
        <w:t xml:space="preserve">partner </w:t>
      </w:r>
      <w:r w:rsidR="00A02BC5">
        <w:t xml:space="preserve">hospitals. </w:t>
      </w:r>
      <w:r w:rsidR="004F5EA1">
        <w:t xml:space="preserve">For example, </w:t>
      </w:r>
      <w:r w:rsidR="002043EB">
        <w:t xml:space="preserve">by project close, strong processes and guidelines had been embedded for the </w:t>
      </w:r>
      <w:r w:rsidR="00A02BC5">
        <w:t xml:space="preserve">Alfred </w:t>
      </w:r>
      <w:r w:rsidR="004F5EA1">
        <w:t xml:space="preserve">Hospital </w:t>
      </w:r>
      <w:r w:rsidR="00A02BC5">
        <w:t xml:space="preserve">arm of the telehealth </w:t>
      </w:r>
      <w:r w:rsidR="00645206">
        <w:t xml:space="preserve">initiative, while processes were still being developed and improved with the </w:t>
      </w:r>
      <w:r w:rsidR="00645206" w:rsidRPr="00BD6ACA">
        <w:rPr>
          <w:rFonts w:eastAsiaTheme="minorEastAsia"/>
        </w:rPr>
        <w:t>Royal Melbourne Hospital</w:t>
      </w:r>
      <w:r w:rsidR="00645206">
        <w:t xml:space="preserve"> and PIPER.</w:t>
      </w:r>
    </w:p>
    <w:sectPr w:rsidR="002F60AF" w:rsidRPr="002F60AF" w:rsidSect="00237E38">
      <w:type w:val="continuous"/>
      <w:pgSz w:w="11906" w:h="16838" w:code="9"/>
      <w:pgMar w:top="2438" w:right="737" w:bottom="680" w:left="737" w:header="539" w:footer="624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EAB78" w14:textId="77777777" w:rsidR="00CC3B9C" w:rsidRDefault="00CC3B9C" w:rsidP="002D711A">
      <w:pPr>
        <w:spacing w:after="0" w:line="240" w:lineRule="auto"/>
      </w:pPr>
      <w:r>
        <w:separator/>
      </w:r>
    </w:p>
  </w:endnote>
  <w:endnote w:type="continuationSeparator" w:id="0">
    <w:p w14:paraId="4B4129A4" w14:textId="77777777" w:rsidR="00CC3B9C" w:rsidRDefault="00CC3B9C" w:rsidP="002D7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SCVInformationTable"/>
      <w:tblpPr w:leftFromText="181" w:rightFromText="181" w:vertAnchor="page" w:horzAnchor="page" w:tblpX="738" w:tblpY="14289"/>
      <w:tblW w:w="10432" w:type="dxa"/>
      <w:shd w:val="clear" w:color="auto" w:fill="F2F2F3"/>
      <w:tblLook w:val="0600" w:firstRow="0" w:lastRow="0" w:firstColumn="0" w:lastColumn="0" w:noHBand="1" w:noVBand="1"/>
    </w:tblPr>
    <w:tblGrid>
      <w:gridCol w:w="3515"/>
      <w:gridCol w:w="3402"/>
      <w:gridCol w:w="3515"/>
    </w:tblGrid>
    <w:tr w:rsidR="00442182" w:rsidRPr="00736C0C" w14:paraId="74FB32AF" w14:textId="77777777" w:rsidTr="000F2A2C">
      <w:trPr>
        <w:trHeight w:val="1531"/>
      </w:trPr>
      <w:tc>
        <w:tcPr>
          <w:tcW w:w="3515" w:type="dxa"/>
          <w:tcMar>
            <w:left w:w="113" w:type="dxa"/>
          </w:tcMar>
        </w:tcPr>
        <w:p w14:paraId="1C47117C" w14:textId="649393BA" w:rsidR="00442182" w:rsidRPr="00911408" w:rsidRDefault="00442182" w:rsidP="00442182">
          <w:pPr>
            <w:spacing w:line="235" w:lineRule="auto"/>
            <w:rPr>
              <w:sz w:val="24"/>
              <w:szCs w:val="24"/>
            </w:rPr>
          </w:pPr>
          <w:r w:rsidRPr="00911408">
            <w:rPr>
              <w:sz w:val="24"/>
              <w:szCs w:val="24"/>
            </w:rPr>
            <w:t>To receive this publication in an accessible format phone</w:t>
          </w:r>
          <w:r w:rsidR="00911408">
            <w:rPr>
              <w:sz w:val="24"/>
              <w:szCs w:val="24"/>
            </w:rPr>
            <w:t xml:space="preserve"> (</w:t>
          </w:r>
          <w:r w:rsidR="00911408" w:rsidRPr="00911408">
            <w:rPr>
              <w:sz w:val="24"/>
              <w:szCs w:val="24"/>
            </w:rPr>
            <w:t>03</w:t>
          </w:r>
          <w:r w:rsidR="00911408">
            <w:rPr>
              <w:sz w:val="24"/>
              <w:szCs w:val="24"/>
            </w:rPr>
            <w:t>)</w:t>
          </w:r>
          <w:r w:rsidR="00911408" w:rsidRPr="00911408">
            <w:rPr>
              <w:sz w:val="24"/>
              <w:szCs w:val="24"/>
            </w:rPr>
            <w:t xml:space="preserve"> 9096</w:t>
          </w:r>
          <w:r w:rsidR="005B5F0B">
            <w:t xml:space="preserve"> </w:t>
          </w:r>
          <w:r w:rsidR="005B5F0B" w:rsidRPr="005B5F0B">
            <w:rPr>
              <w:sz w:val="24"/>
              <w:szCs w:val="24"/>
            </w:rPr>
            <w:t>1384</w:t>
          </w:r>
          <w:r w:rsidRPr="00911408">
            <w:rPr>
              <w:sz w:val="24"/>
              <w:szCs w:val="24"/>
            </w:rPr>
            <w:t xml:space="preserve">, using the National Relay Service </w:t>
          </w:r>
          <w:r w:rsidRPr="00911408">
            <w:rPr>
              <w:sz w:val="24"/>
              <w:szCs w:val="24"/>
            </w:rPr>
            <w:br/>
            <w:t xml:space="preserve">13 36 77 if required, or email </w:t>
          </w:r>
          <w:hyperlink r:id="rId1" w:history="1">
            <w:r w:rsidR="005B5F0B" w:rsidRPr="00A131B1">
              <w:rPr>
                <w:rStyle w:val="Hyperlink"/>
                <w:b/>
                <w:bCs/>
                <w:sz w:val="24"/>
                <w:szCs w:val="24"/>
              </w:rPr>
              <w:t>info</w:t>
            </w:r>
            <w:r w:rsidRPr="00A131B1">
              <w:rPr>
                <w:rStyle w:val="Hyperlink"/>
                <w:b/>
                <w:sz w:val="24"/>
                <w:szCs w:val="24"/>
              </w:rPr>
              <w:t>@safercare.vic.gov.au</w:t>
            </w:r>
          </w:hyperlink>
        </w:p>
      </w:tc>
      <w:tc>
        <w:tcPr>
          <w:tcW w:w="3402" w:type="dxa"/>
        </w:tcPr>
        <w:p w14:paraId="6D7675E5" w14:textId="45EDE8CA" w:rsidR="00442182" w:rsidRPr="00911408" w:rsidRDefault="00442182" w:rsidP="00442182">
          <w:pPr>
            <w:spacing w:line="230" w:lineRule="auto"/>
            <w:rPr>
              <w:sz w:val="18"/>
              <w:szCs w:val="18"/>
            </w:rPr>
          </w:pPr>
          <w:r w:rsidRPr="00911408">
            <w:rPr>
              <w:sz w:val="18"/>
              <w:szCs w:val="18"/>
            </w:rPr>
            <w:t>Authorised and published by the Victorian Government, 1 Treasury Place, Melbourne.</w:t>
          </w:r>
        </w:p>
        <w:p w14:paraId="7495C6B4" w14:textId="6E74D99A" w:rsidR="00442182" w:rsidRPr="00911408" w:rsidRDefault="00442182" w:rsidP="00442182">
          <w:pPr>
            <w:spacing w:line="230" w:lineRule="auto"/>
            <w:rPr>
              <w:sz w:val="18"/>
              <w:szCs w:val="18"/>
            </w:rPr>
          </w:pPr>
          <w:r w:rsidRPr="00911408">
            <w:rPr>
              <w:sz w:val="18"/>
              <w:szCs w:val="18"/>
            </w:rPr>
            <w:t xml:space="preserve">© State of Victoria, Australia, Safer Care Victoria, </w:t>
          </w:r>
          <w:r w:rsidR="002A5F50">
            <w:rPr>
              <w:sz w:val="18"/>
              <w:szCs w:val="18"/>
            </w:rPr>
            <w:t>September</w:t>
          </w:r>
          <w:r w:rsidR="00911408">
            <w:rPr>
              <w:sz w:val="18"/>
              <w:szCs w:val="18"/>
            </w:rPr>
            <w:t xml:space="preserve"> 2020</w:t>
          </w:r>
        </w:p>
        <w:p w14:paraId="30F4D29D" w14:textId="77777777" w:rsidR="00442182" w:rsidRPr="00CE61C3" w:rsidRDefault="00442182" w:rsidP="00442182">
          <w:pPr>
            <w:spacing w:line="230" w:lineRule="auto"/>
            <w:rPr>
              <w:color w:val="FF0000"/>
              <w:sz w:val="18"/>
              <w:szCs w:val="18"/>
            </w:rPr>
          </w:pPr>
          <w:r w:rsidRPr="00CE61C3">
            <w:rPr>
              <w:color w:val="FF0000"/>
              <w:sz w:val="18"/>
              <w:szCs w:val="18"/>
              <w:highlight w:val="yellow"/>
            </w:rPr>
            <w:t>ISBN/ISSN number (online/print)</w:t>
          </w:r>
        </w:p>
        <w:p w14:paraId="06F94A07" w14:textId="1D4C6D41" w:rsidR="00442182" w:rsidRDefault="00442182" w:rsidP="00442182">
          <w:pPr>
            <w:spacing w:line="230" w:lineRule="auto"/>
            <w:rPr>
              <w:sz w:val="18"/>
              <w:szCs w:val="18"/>
            </w:rPr>
          </w:pPr>
          <w:r w:rsidRPr="00911408">
            <w:rPr>
              <w:sz w:val="18"/>
              <w:szCs w:val="18"/>
            </w:rPr>
            <w:t xml:space="preserve">Available at </w:t>
          </w:r>
          <w:hyperlink r:id="rId2" w:history="1">
            <w:r w:rsidR="00911408" w:rsidRPr="00F52379">
              <w:rPr>
                <w:rStyle w:val="Hyperlink"/>
                <w:sz w:val="18"/>
                <w:szCs w:val="18"/>
              </w:rPr>
              <w:t>safercare.vic.gov.au</w:t>
            </w:r>
          </w:hyperlink>
        </w:p>
        <w:p w14:paraId="3B40A82D" w14:textId="5308783B" w:rsidR="00911408" w:rsidRPr="007A4444" w:rsidRDefault="00911408" w:rsidP="00442182">
          <w:pPr>
            <w:spacing w:line="230" w:lineRule="auto"/>
            <w:rPr>
              <w:sz w:val="13"/>
              <w:szCs w:val="13"/>
            </w:rPr>
          </w:pPr>
        </w:p>
      </w:tc>
      <w:tc>
        <w:tcPr>
          <w:tcW w:w="3515" w:type="dxa"/>
        </w:tcPr>
        <w:p w14:paraId="3A80A9B4" w14:textId="25DDFB9E" w:rsidR="00442182" w:rsidRPr="00736C0C" w:rsidRDefault="00442182" w:rsidP="000905F7">
          <w:pPr>
            <w:rPr>
              <w:szCs w:val="15"/>
            </w:rPr>
          </w:pPr>
          <w:r>
            <w:rPr>
              <w:noProof/>
              <w:szCs w:val="15"/>
            </w:rPr>
            <w:drawing>
              <wp:inline distT="0" distB="0" distL="0" distR="0" wp14:anchorId="5CB2EA93" wp14:editId="41A59989">
                <wp:extent cx="1967488" cy="510541"/>
                <wp:effectExtent l="0" t="0" r="0" b="3810"/>
                <wp:docPr id="1" name="Picture 1" descr="Safer Care Victoria and Victoria State Government log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disclaimer logos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7488" cy="5105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D44AAC" w14:textId="77777777" w:rsidR="000905F7" w:rsidRDefault="000905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EF341" w14:textId="77777777" w:rsidR="00C821CE" w:rsidRDefault="00C821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SCVInformationTable"/>
      <w:tblpPr w:leftFromText="181" w:rightFromText="181" w:vertAnchor="page" w:horzAnchor="page" w:tblpX="738" w:tblpY="14289"/>
      <w:tblW w:w="10432" w:type="dxa"/>
      <w:shd w:val="clear" w:color="auto" w:fill="F2F2F3"/>
      <w:tblLook w:val="0600" w:firstRow="0" w:lastRow="0" w:firstColumn="0" w:lastColumn="0" w:noHBand="1" w:noVBand="1"/>
    </w:tblPr>
    <w:tblGrid>
      <w:gridCol w:w="3515"/>
      <w:gridCol w:w="3402"/>
      <w:gridCol w:w="3515"/>
    </w:tblGrid>
    <w:tr w:rsidR="0089722E" w:rsidRPr="00736C0C" w14:paraId="5174020E" w14:textId="77777777" w:rsidTr="00126727">
      <w:trPr>
        <w:trHeight w:val="1531"/>
      </w:trPr>
      <w:tc>
        <w:tcPr>
          <w:tcW w:w="3515" w:type="dxa"/>
          <w:tcMar>
            <w:left w:w="113" w:type="dxa"/>
          </w:tcMar>
        </w:tcPr>
        <w:p w14:paraId="335C8A05" w14:textId="77777777" w:rsidR="0089722E" w:rsidRPr="00911408" w:rsidRDefault="0089722E" w:rsidP="0043317F">
          <w:pPr>
            <w:spacing w:line="235" w:lineRule="auto"/>
            <w:rPr>
              <w:sz w:val="24"/>
              <w:szCs w:val="24"/>
            </w:rPr>
          </w:pPr>
          <w:r w:rsidRPr="00911408">
            <w:rPr>
              <w:sz w:val="24"/>
              <w:szCs w:val="24"/>
            </w:rPr>
            <w:t>To receive this publication in an accessible format phone</w:t>
          </w:r>
          <w:r>
            <w:rPr>
              <w:sz w:val="24"/>
              <w:szCs w:val="24"/>
            </w:rPr>
            <w:t xml:space="preserve"> (</w:t>
          </w:r>
          <w:r w:rsidRPr="00911408">
            <w:rPr>
              <w:sz w:val="24"/>
              <w:szCs w:val="24"/>
            </w:rPr>
            <w:t>03</w:t>
          </w:r>
          <w:r>
            <w:rPr>
              <w:sz w:val="24"/>
              <w:szCs w:val="24"/>
            </w:rPr>
            <w:t>)</w:t>
          </w:r>
          <w:r w:rsidRPr="00911408">
            <w:rPr>
              <w:sz w:val="24"/>
              <w:szCs w:val="24"/>
            </w:rPr>
            <w:t xml:space="preserve"> 9096</w:t>
          </w:r>
          <w:r>
            <w:t xml:space="preserve"> </w:t>
          </w:r>
          <w:r w:rsidRPr="005B5F0B">
            <w:rPr>
              <w:sz w:val="24"/>
              <w:szCs w:val="24"/>
            </w:rPr>
            <w:t>1384</w:t>
          </w:r>
          <w:r w:rsidRPr="00911408">
            <w:rPr>
              <w:sz w:val="24"/>
              <w:szCs w:val="24"/>
            </w:rPr>
            <w:t xml:space="preserve">, using the National Relay Service </w:t>
          </w:r>
          <w:r w:rsidRPr="00911408">
            <w:rPr>
              <w:sz w:val="24"/>
              <w:szCs w:val="24"/>
            </w:rPr>
            <w:br/>
            <w:t xml:space="preserve">13 36 77 if required, or email </w:t>
          </w:r>
          <w:hyperlink r:id="rId1" w:history="1">
            <w:r w:rsidRPr="00A131B1">
              <w:rPr>
                <w:rStyle w:val="Hyperlink"/>
                <w:b/>
                <w:bCs/>
                <w:sz w:val="24"/>
                <w:szCs w:val="24"/>
              </w:rPr>
              <w:t>info</w:t>
            </w:r>
            <w:r w:rsidRPr="00A131B1">
              <w:rPr>
                <w:rStyle w:val="Hyperlink"/>
                <w:b/>
                <w:sz w:val="24"/>
                <w:szCs w:val="24"/>
              </w:rPr>
              <w:t>@safercare.vic.gov.au</w:t>
            </w:r>
          </w:hyperlink>
        </w:p>
      </w:tc>
      <w:tc>
        <w:tcPr>
          <w:tcW w:w="3402" w:type="dxa"/>
        </w:tcPr>
        <w:p w14:paraId="0027A029" w14:textId="77777777" w:rsidR="0089722E" w:rsidRPr="00911408" w:rsidRDefault="0089722E" w:rsidP="0043317F">
          <w:pPr>
            <w:spacing w:line="230" w:lineRule="auto"/>
            <w:rPr>
              <w:sz w:val="18"/>
              <w:szCs w:val="18"/>
            </w:rPr>
          </w:pPr>
          <w:r w:rsidRPr="00911408">
            <w:rPr>
              <w:sz w:val="18"/>
              <w:szCs w:val="18"/>
            </w:rPr>
            <w:t>Authorised and published by the Victorian Government, 1 Treasury Place, Melbourne.</w:t>
          </w:r>
        </w:p>
        <w:p w14:paraId="0B37FD2B" w14:textId="77777777" w:rsidR="0089722E" w:rsidRPr="00911408" w:rsidRDefault="0089722E" w:rsidP="0043317F">
          <w:pPr>
            <w:spacing w:line="230" w:lineRule="auto"/>
            <w:rPr>
              <w:sz w:val="18"/>
              <w:szCs w:val="18"/>
            </w:rPr>
          </w:pPr>
          <w:r w:rsidRPr="00911408">
            <w:rPr>
              <w:sz w:val="18"/>
              <w:szCs w:val="18"/>
            </w:rPr>
            <w:t xml:space="preserve">© State of Victoria, Australia, Safer Care Victoria, </w:t>
          </w:r>
          <w:r>
            <w:rPr>
              <w:sz w:val="18"/>
              <w:szCs w:val="18"/>
            </w:rPr>
            <w:t>November 2020</w:t>
          </w:r>
        </w:p>
        <w:p w14:paraId="792F04BC" w14:textId="539CD2C7" w:rsidR="00340A31" w:rsidRPr="00340A31" w:rsidRDefault="00D84C4F" w:rsidP="0043317F">
          <w:pPr>
            <w:spacing w:line="230" w:lineRule="auto"/>
            <w:rPr>
              <w:sz w:val="18"/>
              <w:szCs w:val="18"/>
            </w:rPr>
          </w:pPr>
          <w:r w:rsidRPr="00D84C4F">
            <w:rPr>
              <w:sz w:val="18"/>
              <w:szCs w:val="18"/>
            </w:rPr>
            <w:t>ISBN 978-1-76096-260-9 (pdf/online/MS word)</w:t>
          </w:r>
          <w:r w:rsidR="00340A31" w:rsidRPr="00340A31">
            <w:rPr>
              <w:sz w:val="18"/>
              <w:szCs w:val="18"/>
            </w:rPr>
            <w:t xml:space="preserve"> </w:t>
          </w:r>
        </w:p>
        <w:p w14:paraId="47D7E5AA" w14:textId="6A67C678" w:rsidR="0089722E" w:rsidRPr="007A4444" w:rsidRDefault="0089722E" w:rsidP="00D84C4F">
          <w:pPr>
            <w:spacing w:line="230" w:lineRule="auto"/>
            <w:rPr>
              <w:sz w:val="13"/>
              <w:szCs w:val="13"/>
            </w:rPr>
          </w:pPr>
          <w:r w:rsidRPr="00911408">
            <w:rPr>
              <w:sz w:val="18"/>
              <w:szCs w:val="18"/>
            </w:rPr>
            <w:t xml:space="preserve">Available at </w:t>
          </w:r>
          <w:hyperlink r:id="rId2" w:history="1">
            <w:r w:rsidRPr="00F52379">
              <w:rPr>
                <w:rStyle w:val="Hyperlink"/>
                <w:sz w:val="18"/>
                <w:szCs w:val="18"/>
              </w:rPr>
              <w:t>safercare.vic.gov.au</w:t>
            </w:r>
          </w:hyperlink>
          <w:r w:rsidR="00D84C4F">
            <w:rPr>
              <w:rStyle w:val="Hyperlink"/>
              <w:sz w:val="18"/>
              <w:szCs w:val="18"/>
            </w:rPr>
            <w:br/>
          </w:r>
        </w:p>
      </w:tc>
      <w:tc>
        <w:tcPr>
          <w:tcW w:w="3515" w:type="dxa"/>
        </w:tcPr>
        <w:p w14:paraId="40928E90" w14:textId="77777777" w:rsidR="0089722E" w:rsidRPr="00736C0C" w:rsidRDefault="0089722E" w:rsidP="0043317F">
          <w:pPr>
            <w:rPr>
              <w:szCs w:val="15"/>
            </w:rPr>
          </w:pPr>
          <w:r>
            <w:rPr>
              <w:noProof/>
              <w:szCs w:val="15"/>
            </w:rPr>
            <w:drawing>
              <wp:inline distT="0" distB="0" distL="0" distR="0" wp14:anchorId="3D62058F" wp14:editId="747C02AE">
                <wp:extent cx="1967488" cy="510541"/>
                <wp:effectExtent l="0" t="0" r="0" b="3810"/>
                <wp:docPr id="9" name="Picture 9" descr="Safer Care Victoria and Victoria State Government log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disclaimer logos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7488" cy="5105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A7FA175" w14:textId="77777777" w:rsidR="0089722E" w:rsidRDefault="008972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B01A6" w14:textId="77777777" w:rsidR="00CC3B9C" w:rsidRDefault="00CC3B9C" w:rsidP="00E33E08">
      <w:pPr>
        <w:spacing w:before="0" w:after="0" w:line="240" w:lineRule="auto"/>
      </w:pPr>
    </w:p>
  </w:footnote>
  <w:footnote w:type="continuationSeparator" w:id="0">
    <w:p w14:paraId="0FDD92B3" w14:textId="77777777" w:rsidR="00CC3B9C" w:rsidRDefault="00CC3B9C" w:rsidP="00E33E0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53DC0" w14:textId="77777777" w:rsidR="000905F7" w:rsidRDefault="00794CB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265C5D" wp14:editId="4A452F1A">
          <wp:simplePos x="0" y="0"/>
          <wp:positionH relativeFrom="page">
            <wp:posOffset>13970</wp:posOffset>
          </wp:positionH>
          <wp:positionV relativeFrom="page">
            <wp:posOffset>0</wp:posOffset>
          </wp:positionV>
          <wp:extent cx="2127600" cy="1202400"/>
          <wp:effectExtent l="0" t="0" r="0" b="0"/>
          <wp:wrapNone/>
          <wp:docPr id="3" name="Picture 3" descr="Better Care Victor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age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7600" cy="120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456FFD"/>
    <w:multiLevelType w:val="multilevel"/>
    <w:tmpl w:val="47D41E60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  <w:color w:val="4D92C0"/>
      </w:rPr>
    </w:lvl>
    <w:lvl w:ilvl="1">
      <w:start w:val="1"/>
      <w:numFmt w:val="bullet"/>
      <w:pStyle w:val="Tabledash"/>
      <w:lvlText w:val="–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decimal"/>
      <w:pStyle w:val="Tablenum1"/>
      <w:lvlText w:val="%3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3">
      <w:start w:val="1"/>
      <w:numFmt w:val="lowerLetter"/>
      <w:pStyle w:val="Tablenum2"/>
      <w:lvlText w:val="(%4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" w15:restartNumberingAfterBreak="0">
    <w:nsid w:val="393615B0"/>
    <w:multiLevelType w:val="multilevel"/>
    <w:tmpl w:val="F27293EC"/>
    <w:name w:val="List num2"/>
    <w:lvl w:ilvl="0">
      <w:start w:val="1"/>
      <w:numFmt w:val="decimal"/>
      <w:pStyle w:val="Heading1numbered"/>
      <w:suff w:val="space"/>
      <w:lvlText w:val="Section %1.0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bere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bere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numbere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393A12AA"/>
    <w:multiLevelType w:val="multilevel"/>
    <w:tmpl w:val="E962EC02"/>
    <w:lvl w:ilvl="0">
      <w:start w:val="1"/>
      <w:numFmt w:val="bullet"/>
      <w:pStyle w:val="Bullet1"/>
      <w:lvlText w:val=""/>
      <w:lvlJc w:val="left"/>
      <w:pPr>
        <w:ind w:left="284" w:hanging="284"/>
      </w:pPr>
      <w:rPr>
        <w:rFonts w:ascii="Wingdings 2" w:hAnsi="Wingdings 2" w:hint="default"/>
        <w:color w:val="FAB662"/>
        <w:position w:val="0"/>
        <w:sz w:val="20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 Black" w:hAnsi="Arial Black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3" w15:restartNumberingAfterBreak="0">
    <w:nsid w:val="43BF2BD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46D3A6A"/>
    <w:multiLevelType w:val="multilevel"/>
    <w:tmpl w:val="F58A40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2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3">
      <w:start w:val="1"/>
      <w:numFmt w:val="bullet"/>
      <w:lvlText w:val="–"/>
      <w:lvlJc w:val="left"/>
      <w:pPr>
        <w:tabs>
          <w:tab w:val="num" w:pos="1512"/>
        </w:tabs>
        <w:ind w:left="1512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</w:abstractNum>
  <w:abstractNum w:abstractNumId="5" w15:restartNumberingAfterBreak="0">
    <w:nsid w:val="467D648C"/>
    <w:multiLevelType w:val="hybridMultilevel"/>
    <w:tmpl w:val="5C8AB41C"/>
    <w:lvl w:ilvl="0" w:tplc="3B20B6A4">
      <w:start w:val="10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A7E12E5"/>
    <w:multiLevelType w:val="multilevel"/>
    <w:tmpl w:val="F74E2CE0"/>
    <w:lvl w:ilvl="0">
      <w:start w:val="1"/>
      <w:numFmt w:val="decimal"/>
      <w:pStyle w:val="Numpara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7" w15:restartNumberingAfterBreak="0">
    <w:nsid w:val="7FD44514"/>
    <w:multiLevelType w:val="multilevel"/>
    <w:tmpl w:val="457635A8"/>
    <w:name w:val="List num"/>
    <w:lvl w:ilvl="0">
      <w:start w:val="1"/>
      <w:numFmt w:val="lowerLetter"/>
      <w:pStyle w:val="Listnum"/>
      <w:lvlText w:val="(%1)"/>
      <w:lvlJc w:val="left"/>
      <w:pPr>
        <w:ind w:left="397" w:hanging="397"/>
      </w:pPr>
      <w:rPr>
        <w:rFonts w:hint="default"/>
      </w:rPr>
    </w:lvl>
    <w:lvl w:ilvl="1">
      <w:start w:val="1"/>
      <w:numFmt w:val="lowerRoman"/>
      <w:pStyle w:val="Listnum2"/>
      <w:lvlText w:val="(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1191" w:hanging="397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588" w:hanging="397"/>
      </w:pPr>
      <w:rPr>
        <w:rFonts w:hint="default"/>
      </w:rPr>
    </w:lvl>
    <w:lvl w:ilvl="4">
      <w:start w:val="1"/>
      <w:numFmt w:val="upperRoman"/>
      <w:lvlRestart w:val="1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decimal"/>
      <w:lvlText w:val="%3.%4.%5.%6"/>
      <w:lvlJc w:val="left"/>
      <w:pPr>
        <w:tabs>
          <w:tab w:val="num" w:pos="2345"/>
        </w:tabs>
        <w:ind w:left="2382" w:hanging="397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742"/>
        </w:tabs>
        <w:ind w:left="2779" w:hanging="397"/>
      </w:pPr>
      <w:rPr>
        <w:rFonts w:hint="default"/>
      </w:rPr>
    </w:lvl>
    <w:lvl w:ilvl="7">
      <w:start w:val="1"/>
      <w:numFmt w:val="lowerRoman"/>
      <w:lvlText w:val="(%8)"/>
      <w:lvlJc w:val="left"/>
      <w:pPr>
        <w:tabs>
          <w:tab w:val="num" w:pos="3139"/>
        </w:tabs>
        <w:ind w:left="3176" w:hanging="39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536"/>
        </w:tabs>
        <w:ind w:left="3573" w:hanging="397"/>
      </w:pPr>
      <w:rPr>
        <w:rFonts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347"/>
    <w:rsid w:val="00012F6F"/>
    <w:rsid w:val="00014213"/>
    <w:rsid w:val="00014B55"/>
    <w:rsid w:val="00020E3E"/>
    <w:rsid w:val="00023457"/>
    <w:rsid w:val="00023BF3"/>
    <w:rsid w:val="00026811"/>
    <w:rsid w:val="0004185E"/>
    <w:rsid w:val="00053181"/>
    <w:rsid w:val="00056988"/>
    <w:rsid w:val="00060D97"/>
    <w:rsid w:val="0007128A"/>
    <w:rsid w:val="00071BE7"/>
    <w:rsid w:val="00071F51"/>
    <w:rsid w:val="00072279"/>
    <w:rsid w:val="00073407"/>
    <w:rsid w:val="00075E6C"/>
    <w:rsid w:val="00081C12"/>
    <w:rsid w:val="00087D42"/>
    <w:rsid w:val="000905F7"/>
    <w:rsid w:val="000B29AD"/>
    <w:rsid w:val="000C515F"/>
    <w:rsid w:val="000C6372"/>
    <w:rsid w:val="000D7841"/>
    <w:rsid w:val="000E392D"/>
    <w:rsid w:val="000E39B6"/>
    <w:rsid w:val="000E3D05"/>
    <w:rsid w:val="000F2A2C"/>
    <w:rsid w:val="000F4288"/>
    <w:rsid w:val="000F7165"/>
    <w:rsid w:val="00102379"/>
    <w:rsid w:val="00103722"/>
    <w:rsid w:val="001065D6"/>
    <w:rsid w:val="001068D5"/>
    <w:rsid w:val="00121252"/>
    <w:rsid w:val="00121488"/>
    <w:rsid w:val="00123C4D"/>
    <w:rsid w:val="00124609"/>
    <w:rsid w:val="001254CE"/>
    <w:rsid w:val="0013637A"/>
    <w:rsid w:val="001422CC"/>
    <w:rsid w:val="00145346"/>
    <w:rsid w:val="001617B6"/>
    <w:rsid w:val="00165E66"/>
    <w:rsid w:val="00186B39"/>
    <w:rsid w:val="00196143"/>
    <w:rsid w:val="001A24FC"/>
    <w:rsid w:val="001C5723"/>
    <w:rsid w:val="001C60B2"/>
    <w:rsid w:val="001C6993"/>
    <w:rsid w:val="001C7BAE"/>
    <w:rsid w:val="001E31FA"/>
    <w:rsid w:val="001E48F9"/>
    <w:rsid w:val="001E64F6"/>
    <w:rsid w:val="001E7AEB"/>
    <w:rsid w:val="002043EB"/>
    <w:rsid w:val="00204B82"/>
    <w:rsid w:val="00222BEB"/>
    <w:rsid w:val="00225E60"/>
    <w:rsid w:val="00230BBB"/>
    <w:rsid w:val="0023202C"/>
    <w:rsid w:val="00234619"/>
    <w:rsid w:val="00235BE2"/>
    <w:rsid w:val="00237E38"/>
    <w:rsid w:val="00245043"/>
    <w:rsid w:val="0026028E"/>
    <w:rsid w:val="00273AF5"/>
    <w:rsid w:val="00284FA2"/>
    <w:rsid w:val="00286580"/>
    <w:rsid w:val="00292D36"/>
    <w:rsid w:val="00294A5A"/>
    <w:rsid w:val="002962D7"/>
    <w:rsid w:val="00297281"/>
    <w:rsid w:val="00297A47"/>
    <w:rsid w:val="002A2FF0"/>
    <w:rsid w:val="002A4018"/>
    <w:rsid w:val="002A5891"/>
    <w:rsid w:val="002A5F50"/>
    <w:rsid w:val="002B03F1"/>
    <w:rsid w:val="002B5C34"/>
    <w:rsid w:val="002B5E2B"/>
    <w:rsid w:val="002B6DAA"/>
    <w:rsid w:val="002C338A"/>
    <w:rsid w:val="002D70F7"/>
    <w:rsid w:val="002D711A"/>
    <w:rsid w:val="002D7336"/>
    <w:rsid w:val="002E3396"/>
    <w:rsid w:val="002E6454"/>
    <w:rsid w:val="002F2953"/>
    <w:rsid w:val="002F4E84"/>
    <w:rsid w:val="002F60AF"/>
    <w:rsid w:val="0031149C"/>
    <w:rsid w:val="00315263"/>
    <w:rsid w:val="00322C3E"/>
    <w:rsid w:val="00332D4F"/>
    <w:rsid w:val="003347B2"/>
    <w:rsid w:val="00340A31"/>
    <w:rsid w:val="00353497"/>
    <w:rsid w:val="00361C9B"/>
    <w:rsid w:val="00362194"/>
    <w:rsid w:val="0036778F"/>
    <w:rsid w:val="0038771C"/>
    <w:rsid w:val="00390D5A"/>
    <w:rsid w:val="003A430B"/>
    <w:rsid w:val="003A541A"/>
    <w:rsid w:val="003A6923"/>
    <w:rsid w:val="003C1E70"/>
    <w:rsid w:val="003C2C67"/>
    <w:rsid w:val="003C2D4C"/>
    <w:rsid w:val="003C3B3A"/>
    <w:rsid w:val="003C5BA4"/>
    <w:rsid w:val="003D5926"/>
    <w:rsid w:val="003E3E26"/>
    <w:rsid w:val="003F1295"/>
    <w:rsid w:val="003F30A9"/>
    <w:rsid w:val="003F5102"/>
    <w:rsid w:val="003F76FC"/>
    <w:rsid w:val="004002EB"/>
    <w:rsid w:val="00407A79"/>
    <w:rsid w:val="00422DDC"/>
    <w:rsid w:val="004231B5"/>
    <w:rsid w:val="004236C8"/>
    <w:rsid w:val="00427681"/>
    <w:rsid w:val="0043317F"/>
    <w:rsid w:val="00433DB7"/>
    <w:rsid w:val="00435805"/>
    <w:rsid w:val="00442182"/>
    <w:rsid w:val="0044348D"/>
    <w:rsid w:val="0045347E"/>
    <w:rsid w:val="00453750"/>
    <w:rsid w:val="00456941"/>
    <w:rsid w:val="00460948"/>
    <w:rsid w:val="00460BD5"/>
    <w:rsid w:val="004702EA"/>
    <w:rsid w:val="0048259C"/>
    <w:rsid w:val="00482D02"/>
    <w:rsid w:val="00484326"/>
    <w:rsid w:val="00484C23"/>
    <w:rsid w:val="00490369"/>
    <w:rsid w:val="004A4ED0"/>
    <w:rsid w:val="004A7519"/>
    <w:rsid w:val="004B64B1"/>
    <w:rsid w:val="004C3616"/>
    <w:rsid w:val="004D01AC"/>
    <w:rsid w:val="004D3518"/>
    <w:rsid w:val="004D62D6"/>
    <w:rsid w:val="004D6898"/>
    <w:rsid w:val="004E1077"/>
    <w:rsid w:val="004F3F4E"/>
    <w:rsid w:val="004F5EA1"/>
    <w:rsid w:val="00501E01"/>
    <w:rsid w:val="00510167"/>
    <w:rsid w:val="00513E86"/>
    <w:rsid w:val="005306A2"/>
    <w:rsid w:val="00530FE9"/>
    <w:rsid w:val="0053240A"/>
    <w:rsid w:val="0053416C"/>
    <w:rsid w:val="00534453"/>
    <w:rsid w:val="00541C2F"/>
    <w:rsid w:val="00552DE4"/>
    <w:rsid w:val="00555D37"/>
    <w:rsid w:val="0056207C"/>
    <w:rsid w:val="00563527"/>
    <w:rsid w:val="0057407A"/>
    <w:rsid w:val="0058124E"/>
    <w:rsid w:val="005875A3"/>
    <w:rsid w:val="005953EA"/>
    <w:rsid w:val="00595AC3"/>
    <w:rsid w:val="005A3416"/>
    <w:rsid w:val="005B061F"/>
    <w:rsid w:val="005B27FE"/>
    <w:rsid w:val="005B327A"/>
    <w:rsid w:val="005B5F0B"/>
    <w:rsid w:val="005B76DF"/>
    <w:rsid w:val="005B79CB"/>
    <w:rsid w:val="005C2E5F"/>
    <w:rsid w:val="005C73F1"/>
    <w:rsid w:val="005E08D7"/>
    <w:rsid w:val="005E4C16"/>
    <w:rsid w:val="005E5947"/>
    <w:rsid w:val="005F0A56"/>
    <w:rsid w:val="005F16EC"/>
    <w:rsid w:val="005F61DF"/>
    <w:rsid w:val="0060163A"/>
    <w:rsid w:val="006023F9"/>
    <w:rsid w:val="00602D8F"/>
    <w:rsid w:val="0060727E"/>
    <w:rsid w:val="00610559"/>
    <w:rsid w:val="00614076"/>
    <w:rsid w:val="00632F2E"/>
    <w:rsid w:val="006332F6"/>
    <w:rsid w:val="006413F2"/>
    <w:rsid w:val="0064303F"/>
    <w:rsid w:val="00645206"/>
    <w:rsid w:val="0064598D"/>
    <w:rsid w:val="006512FE"/>
    <w:rsid w:val="006534B2"/>
    <w:rsid w:val="0065615D"/>
    <w:rsid w:val="00657011"/>
    <w:rsid w:val="006650B5"/>
    <w:rsid w:val="006651B1"/>
    <w:rsid w:val="00665778"/>
    <w:rsid w:val="00676E5F"/>
    <w:rsid w:val="00680577"/>
    <w:rsid w:val="006945CA"/>
    <w:rsid w:val="006A3309"/>
    <w:rsid w:val="006A3A5A"/>
    <w:rsid w:val="006A5B34"/>
    <w:rsid w:val="006B2A76"/>
    <w:rsid w:val="006B4E10"/>
    <w:rsid w:val="006C77A9"/>
    <w:rsid w:val="006C7FA4"/>
    <w:rsid w:val="006D2F37"/>
    <w:rsid w:val="006D4720"/>
    <w:rsid w:val="006E6CDF"/>
    <w:rsid w:val="006F37F2"/>
    <w:rsid w:val="006F6693"/>
    <w:rsid w:val="00707FE8"/>
    <w:rsid w:val="00714AAE"/>
    <w:rsid w:val="007177C3"/>
    <w:rsid w:val="00724962"/>
    <w:rsid w:val="00724A0F"/>
    <w:rsid w:val="00726D2F"/>
    <w:rsid w:val="007352D2"/>
    <w:rsid w:val="00736732"/>
    <w:rsid w:val="00740019"/>
    <w:rsid w:val="00746426"/>
    <w:rsid w:val="00750BF9"/>
    <w:rsid w:val="00750CBE"/>
    <w:rsid w:val="007650D2"/>
    <w:rsid w:val="00766B5A"/>
    <w:rsid w:val="0077008F"/>
    <w:rsid w:val="00771A80"/>
    <w:rsid w:val="00772209"/>
    <w:rsid w:val="007770A5"/>
    <w:rsid w:val="00777E1C"/>
    <w:rsid w:val="007834F2"/>
    <w:rsid w:val="00791020"/>
    <w:rsid w:val="0079248C"/>
    <w:rsid w:val="00794CB7"/>
    <w:rsid w:val="007A04D2"/>
    <w:rsid w:val="007A2D73"/>
    <w:rsid w:val="007A4444"/>
    <w:rsid w:val="007A497A"/>
    <w:rsid w:val="007A5709"/>
    <w:rsid w:val="007A5F82"/>
    <w:rsid w:val="007C3946"/>
    <w:rsid w:val="007D4A1E"/>
    <w:rsid w:val="007D5F9E"/>
    <w:rsid w:val="007E098F"/>
    <w:rsid w:val="007E3BA2"/>
    <w:rsid w:val="007F1A4C"/>
    <w:rsid w:val="007F723F"/>
    <w:rsid w:val="008022C3"/>
    <w:rsid w:val="008041E6"/>
    <w:rsid w:val="008065D2"/>
    <w:rsid w:val="00815A8A"/>
    <w:rsid w:val="0082194C"/>
    <w:rsid w:val="008222FF"/>
    <w:rsid w:val="008241FF"/>
    <w:rsid w:val="008411E9"/>
    <w:rsid w:val="00841617"/>
    <w:rsid w:val="0084200F"/>
    <w:rsid w:val="00842E49"/>
    <w:rsid w:val="00843B2C"/>
    <w:rsid w:val="00844F16"/>
    <w:rsid w:val="00847BE1"/>
    <w:rsid w:val="00855FF9"/>
    <w:rsid w:val="0086277A"/>
    <w:rsid w:val="008668A8"/>
    <w:rsid w:val="008703D8"/>
    <w:rsid w:val="008768AD"/>
    <w:rsid w:val="00880AC4"/>
    <w:rsid w:val="00893E52"/>
    <w:rsid w:val="00897157"/>
    <w:rsid w:val="0089722E"/>
    <w:rsid w:val="00897447"/>
    <w:rsid w:val="008A306C"/>
    <w:rsid w:val="008A4900"/>
    <w:rsid w:val="008A55FE"/>
    <w:rsid w:val="008A58D2"/>
    <w:rsid w:val="008A7B4C"/>
    <w:rsid w:val="008B146D"/>
    <w:rsid w:val="008B42AD"/>
    <w:rsid w:val="008B5666"/>
    <w:rsid w:val="008C2C15"/>
    <w:rsid w:val="008D0281"/>
    <w:rsid w:val="008E2348"/>
    <w:rsid w:val="008E6CAE"/>
    <w:rsid w:val="008F359A"/>
    <w:rsid w:val="008F6D45"/>
    <w:rsid w:val="00911408"/>
    <w:rsid w:val="00916AD5"/>
    <w:rsid w:val="00922944"/>
    <w:rsid w:val="00936479"/>
    <w:rsid w:val="00937A10"/>
    <w:rsid w:val="00953A2C"/>
    <w:rsid w:val="00966115"/>
    <w:rsid w:val="009834C0"/>
    <w:rsid w:val="00986AAC"/>
    <w:rsid w:val="00991C00"/>
    <w:rsid w:val="00995526"/>
    <w:rsid w:val="00996E62"/>
    <w:rsid w:val="009A1DA2"/>
    <w:rsid w:val="009A3704"/>
    <w:rsid w:val="009A4739"/>
    <w:rsid w:val="009A674F"/>
    <w:rsid w:val="009A6D22"/>
    <w:rsid w:val="009B199C"/>
    <w:rsid w:val="009B1BBA"/>
    <w:rsid w:val="009B61F1"/>
    <w:rsid w:val="009B62E0"/>
    <w:rsid w:val="009C3D88"/>
    <w:rsid w:val="009D7388"/>
    <w:rsid w:val="009E0D59"/>
    <w:rsid w:val="009E1651"/>
    <w:rsid w:val="009E3858"/>
    <w:rsid w:val="009E467D"/>
    <w:rsid w:val="009E5E60"/>
    <w:rsid w:val="009E6F11"/>
    <w:rsid w:val="009E70DD"/>
    <w:rsid w:val="009F2ED9"/>
    <w:rsid w:val="009F3231"/>
    <w:rsid w:val="009F3C43"/>
    <w:rsid w:val="009F5C58"/>
    <w:rsid w:val="00A023A0"/>
    <w:rsid w:val="00A02BC5"/>
    <w:rsid w:val="00A0416F"/>
    <w:rsid w:val="00A05EBC"/>
    <w:rsid w:val="00A131B1"/>
    <w:rsid w:val="00A1562B"/>
    <w:rsid w:val="00A170F4"/>
    <w:rsid w:val="00A17547"/>
    <w:rsid w:val="00A21408"/>
    <w:rsid w:val="00A2160F"/>
    <w:rsid w:val="00A21CFD"/>
    <w:rsid w:val="00A25B78"/>
    <w:rsid w:val="00A46288"/>
    <w:rsid w:val="00A46BA8"/>
    <w:rsid w:val="00A47634"/>
    <w:rsid w:val="00A612FE"/>
    <w:rsid w:val="00A70B49"/>
    <w:rsid w:val="00A92D94"/>
    <w:rsid w:val="00AA26B8"/>
    <w:rsid w:val="00AC0B87"/>
    <w:rsid w:val="00AC15B9"/>
    <w:rsid w:val="00AC2624"/>
    <w:rsid w:val="00AC32A8"/>
    <w:rsid w:val="00AD7E4E"/>
    <w:rsid w:val="00AF4D58"/>
    <w:rsid w:val="00AF6666"/>
    <w:rsid w:val="00AF7BC5"/>
    <w:rsid w:val="00B25B0A"/>
    <w:rsid w:val="00B419D4"/>
    <w:rsid w:val="00B81B44"/>
    <w:rsid w:val="00B9053B"/>
    <w:rsid w:val="00B931D8"/>
    <w:rsid w:val="00BA0C37"/>
    <w:rsid w:val="00BA24AF"/>
    <w:rsid w:val="00BA3782"/>
    <w:rsid w:val="00BA4369"/>
    <w:rsid w:val="00BB4613"/>
    <w:rsid w:val="00BB4D98"/>
    <w:rsid w:val="00BB4EBF"/>
    <w:rsid w:val="00BB59E0"/>
    <w:rsid w:val="00BC07DF"/>
    <w:rsid w:val="00BC3422"/>
    <w:rsid w:val="00BC6E19"/>
    <w:rsid w:val="00BD11C2"/>
    <w:rsid w:val="00BD3B97"/>
    <w:rsid w:val="00BD5018"/>
    <w:rsid w:val="00BD6ACA"/>
    <w:rsid w:val="00BE4084"/>
    <w:rsid w:val="00BE5ADC"/>
    <w:rsid w:val="00BF4F96"/>
    <w:rsid w:val="00C015B9"/>
    <w:rsid w:val="00C022F9"/>
    <w:rsid w:val="00C032EA"/>
    <w:rsid w:val="00C06EB5"/>
    <w:rsid w:val="00C1145F"/>
    <w:rsid w:val="00C11CD1"/>
    <w:rsid w:val="00C21C5F"/>
    <w:rsid w:val="00C32D49"/>
    <w:rsid w:val="00C33AD3"/>
    <w:rsid w:val="00C35D53"/>
    <w:rsid w:val="00C41B3C"/>
    <w:rsid w:val="00C43F06"/>
    <w:rsid w:val="00C5179C"/>
    <w:rsid w:val="00C51C01"/>
    <w:rsid w:val="00C637E1"/>
    <w:rsid w:val="00C67EAC"/>
    <w:rsid w:val="00C7098C"/>
    <w:rsid w:val="00C70D50"/>
    <w:rsid w:val="00C72252"/>
    <w:rsid w:val="00C821CE"/>
    <w:rsid w:val="00C83A07"/>
    <w:rsid w:val="00C907D7"/>
    <w:rsid w:val="00C92338"/>
    <w:rsid w:val="00CA05DC"/>
    <w:rsid w:val="00CA7B47"/>
    <w:rsid w:val="00CB3976"/>
    <w:rsid w:val="00CB4284"/>
    <w:rsid w:val="00CC0347"/>
    <w:rsid w:val="00CC3B9C"/>
    <w:rsid w:val="00CD0307"/>
    <w:rsid w:val="00CD3C79"/>
    <w:rsid w:val="00CD3D1B"/>
    <w:rsid w:val="00CE590E"/>
    <w:rsid w:val="00CE61C3"/>
    <w:rsid w:val="00D02663"/>
    <w:rsid w:val="00D04E1C"/>
    <w:rsid w:val="00D0633E"/>
    <w:rsid w:val="00D12E74"/>
    <w:rsid w:val="00D2312F"/>
    <w:rsid w:val="00D23B04"/>
    <w:rsid w:val="00D269C1"/>
    <w:rsid w:val="00D35B42"/>
    <w:rsid w:val="00D41230"/>
    <w:rsid w:val="00D41B2F"/>
    <w:rsid w:val="00D44953"/>
    <w:rsid w:val="00D542F3"/>
    <w:rsid w:val="00D54513"/>
    <w:rsid w:val="00D54AAE"/>
    <w:rsid w:val="00D5644B"/>
    <w:rsid w:val="00D56E25"/>
    <w:rsid w:val="00D57E89"/>
    <w:rsid w:val="00D6560D"/>
    <w:rsid w:val="00D65D77"/>
    <w:rsid w:val="00D718D7"/>
    <w:rsid w:val="00D7199B"/>
    <w:rsid w:val="00D76AD4"/>
    <w:rsid w:val="00D814B7"/>
    <w:rsid w:val="00D84C4F"/>
    <w:rsid w:val="00D858A3"/>
    <w:rsid w:val="00D90688"/>
    <w:rsid w:val="00DA2A6B"/>
    <w:rsid w:val="00DA3AAD"/>
    <w:rsid w:val="00DA3F36"/>
    <w:rsid w:val="00DB312B"/>
    <w:rsid w:val="00DC1325"/>
    <w:rsid w:val="00DC5654"/>
    <w:rsid w:val="00DC658F"/>
    <w:rsid w:val="00DC674A"/>
    <w:rsid w:val="00DD66DE"/>
    <w:rsid w:val="00DE60CC"/>
    <w:rsid w:val="00E03DFF"/>
    <w:rsid w:val="00E03F35"/>
    <w:rsid w:val="00E07063"/>
    <w:rsid w:val="00E26B32"/>
    <w:rsid w:val="00E31CD4"/>
    <w:rsid w:val="00E31E60"/>
    <w:rsid w:val="00E33E08"/>
    <w:rsid w:val="00E407B6"/>
    <w:rsid w:val="00E41D82"/>
    <w:rsid w:val="00E41EF1"/>
    <w:rsid w:val="00E42942"/>
    <w:rsid w:val="00E44F89"/>
    <w:rsid w:val="00E525C3"/>
    <w:rsid w:val="00E606AF"/>
    <w:rsid w:val="00E6148E"/>
    <w:rsid w:val="00E65A0A"/>
    <w:rsid w:val="00E66E74"/>
    <w:rsid w:val="00E71BDF"/>
    <w:rsid w:val="00E75CCB"/>
    <w:rsid w:val="00E8245B"/>
    <w:rsid w:val="00E82C21"/>
    <w:rsid w:val="00E82F59"/>
    <w:rsid w:val="00E83CA7"/>
    <w:rsid w:val="00E92192"/>
    <w:rsid w:val="00E92B45"/>
    <w:rsid w:val="00E95A71"/>
    <w:rsid w:val="00EB070C"/>
    <w:rsid w:val="00EB7014"/>
    <w:rsid w:val="00EC5CDE"/>
    <w:rsid w:val="00EC7F2A"/>
    <w:rsid w:val="00ED04D0"/>
    <w:rsid w:val="00ED3077"/>
    <w:rsid w:val="00ED487E"/>
    <w:rsid w:val="00ED64F1"/>
    <w:rsid w:val="00EE33A1"/>
    <w:rsid w:val="00EE7A0D"/>
    <w:rsid w:val="00EF789D"/>
    <w:rsid w:val="00F0222C"/>
    <w:rsid w:val="00F06647"/>
    <w:rsid w:val="00F12312"/>
    <w:rsid w:val="00F12BCD"/>
    <w:rsid w:val="00F13239"/>
    <w:rsid w:val="00F17CE1"/>
    <w:rsid w:val="00F2115C"/>
    <w:rsid w:val="00F22ABA"/>
    <w:rsid w:val="00F25919"/>
    <w:rsid w:val="00F25F4B"/>
    <w:rsid w:val="00F36B12"/>
    <w:rsid w:val="00F57692"/>
    <w:rsid w:val="00F60F9F"/>
    <w:rsid w:val="00F61246"/>
    <w:rsid w:val="00F64F08"/>
    <w:rsid w:val="00F70055"/>
    <w:rsid w:val="00F734F5"/>
    <w:rsid w:val="00F73B5B"/>
    <w:rsid w:val="00F80A39"/>
    <w:rsid w:val="00F8536E"/>
    <w:rsid w:val="00F90EA5"/>
    <w:rsid w:val="00F91F5A"/>
    <w:rsid w:val="00F966B1"/>
    <w:rsid w:val="00F97D48"/>
    <w:rsid w:val="00FA0311"/>
    <w:rsid w:val="00FA1489"/>
    <w:rsid w:val="00FD50F0"/>
    <w:rsid w:val="00FD640F"/>
    <w:rsid w:val="00FD6B4C"/>
    <w:rsid w:val="00FE04C6"/>
    <w:rsid w:val="00FE0553"/>
    <w:rsid w:val="00FE25D0"/>
    <w:rsid w:val="00FE6CB3"/>
    <w:rsid w:val="00FF41A5"/>
    <w:rsid w:val="00FF4E99"/>
    <w:rsid w:val="00FF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B4B13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AU" w:eastAsia="en-AU" w:bidi="ar-SA"/>
      </w:rPr>
    </w:rPrDefault>
    <w:pPrDefault>
      <w:pPr>
        <w:spacing w:before="160" w:after="160" w:line="280" w:lineRule="atLeast"/>
      </w:pPr>
    </w:pPrDefault>
  </w:docDefaults>
  <w:latentStyles w:defLockedState="0" w:defUIPriority="1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 w:unhideWhenUsed="1"/>
    <w:lsdException w:name="index 2" w:uiPriority="9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/>
    <w:lsdException w:name="toc 5" w:semiHidden="1"/>
    <w:lsdException w:name="toc 6" w:semiHidden="1"/>
    <w:lsdException w:name="toc 7" w:semiHidden="1" w:unhideWhenUsed="1"/>
    <w:lsdException w:name="toc 8" w:semiHidden="1" w:unhideWhenUsed="1"/>
    <w:lsdException w:name="toc 9" w:semiHidden="1" w:unhideWhenUsed="1"/>
    <w:lsdException w:name="Normal Indent" w:uiPriority="0" w:unhideWhenUsed="1" w:qFormat="1"/>
    <w:lsdException w:name="footnote text" w:semiHidden="1" w:uiPriority="99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uiPriority="99" w:unhideWhenUsed="1"/>
    <w:lsdException w:name="caption" w:uiPriority="35" w:unhideWhenUsed="1"/>
    <w:lsdException w:name="table of figures" w:semiHidden="1" w:uiPriority="2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uiPriority="49" w:unhideWhenUsed="1"/>
    <w:lsdException w:name="endnote reference" w:semiHidden="1" w:unhideWhenUsed="1"/>
    <w:lsdException w:name="endnote text" w:semiHidden="1" w:unhideWhenUsed="1"/>
    <w:lsdException w:name="table of authorities" w:semiHidden="1" w:uiPriority="2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4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/>
    <w:lsdException w:name="No Spacing" w:semiHidden="1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/>
    <w:lsdException w:name="Subtle Reference" w:semiHidden="1" w:qFormat="1"/>
    <w:lsdException w:name="Intense Reference" w:semiHidden="1"/>
    <w:lsdException w:name="Book Title" w:semiHidden="1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sid w:val="00A05EBC"/>
  </w:style>
  <w:style w:type="paragraph" w:styleId="Heading1">
    <w:name w:val="heading 1"/>
    <w:basedOn w:val="Normal"/>
    <w:next w:val="Normalfollowingheading"/>
    <w:link w:val="Heading1Char"/>
    <w:qFormat/>
    <w:rsid w:val="0026028E"/>
    <w:pPr>
      <w:keepNext/>
      <w:keepLines/>
      <w:framePr w:wrap="around" w:vAnchor="page" w:hAnchor="margin" w:y="1022"/>
      <w:spacing w:before="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63A5" w:themeColor="text2"/>
      <w:spacing w:val="-1"/>
      <w:sz w:val="48"/>
      <w:szCs w:val="28"/>
    </w:rPr>
  </w:style>
  <w:style w:type="paragraph" w:styleId="Heading2">
    <w:name w:val="heading 2"/>
    <w:basedOn w:val="Normal"/>
    <w:next w:val="Normalfollowingheading"/>
    <w:link w:val="Heading2Char"/>
    <w:qFormat/>
    <w:rsid w:val="0026028E"/>
    <w:pPr>
      <w:keepNext/>
      <w:keepLines/>
      <w:spacing w:before="280" w:after="60" w:line="240" w:lineRule="auto"/>
      <w:outlineLvl w:val="1"/>
    </w:pPr>
    <w:rPr>
      <w:rFonts w:asciiTheme="majorHAnsi" w:eastAsiaTheme="majorEastAsia" w:hAnsiTheme="majorHAnsi" w:cstheme="majorBidi"/>
      <w:b/>
      <w:bCs/>
      <w:caps/>
      <w:color w:val="0063A5" w:themeColor="text2"/>
      <w:sz w:val="24"/>
      <w:szCs w:val="26"/>
    </w:rPr>
  </w:style>
  <w:style w:type="paragraph" w:styleId="Heading3">
    <w:name w:val="heading 3"/>
    <w:basedOn w:val="Normal"/>
    <w:next w:val="Normalfollowingheading"/>
    <w:link w:val="Heading3Char"/>
    <w:qFormat/>
    <w:rsid w:val="0026028E"/>
    <w:pPr>
      <w:keepNext/>
      <w:keepLines/>
      <w:spacing w:before="240" w:after="50"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2"/>
    </w:rPr>
  </w:style>
  <w:style w:type="paragraph" w:styleId="Heading4">
    <w:name w:val="heading 4"/>
    <w:basedOn w:val="Normal"/>
    <w:next w:val="Normalfollowingheading"/>
    <w:link w:val="Heading4Char"/>
    <w:qFormat/>
    <w:rsid w:val="0026028E"/>
    <w:pPr>
      <w:keepNext/>
      <w:keepLines/>
      <w:spacing w:before="320" w:after="7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semiHidden/>
    <w:rsid w:val="008219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555D37"/>
    <w:pPr>
      <w:spacing w:before="60" w:after="60" w:line="192" w:lineRule="atLeast"/>
    </w:pPr>
    <w:rPr>
      <w:rFonts w:eastAsiaTheme="minorHAnsi"/>
      <w:sz w:val="16"/>
      <w:szCs w:val="21"/>
      <w:lang w:eastAsia="en-US"/>
    </w:rPr>
    <w:tblPr>
      <w:tblStyleColBandSize w:val="1"/>
      <w:tblBorders>
        <w:top w:val="single" w:sz="2" w:space="0" w:color="4D92C0"/>
        <w:bottom w:val="single" w:sz="2" w:space="0" w:color="4D92C0"/>
        <w:insideH w:val="single" w:sz="2" w:space="0" w:color="4D92C0"/>
      </w:tblBorders>
      <w:tblCellMar>
        <w:left w:w="113" w:type="dxa"/>
        <w:right w:w="113" w:type="dxa"/>
      </w:tblCellMar>
    </w:tblPr>
    <w:tblStylePr w:type="firstRow">
      <w:pPr>
        <w:keepNext/>
        <w:keepLines/>
        <w:widowControl/>
        <w:wordWrap/>
        <w:spacing w:beforeLines="0" w:before="0" w:beforeAutospacing="0" w:afterLines="0" w:after="0" w:afterAutospacing="0" w:line="260" w:lineRule="atLeast"/>
        <w:ind w:leftChars="0" w:left="0"/>
        <w:jc w:val="left"/>
      </w:pPr>
      <w:rPr>
        <w:b/>
        <w:i w:val="0"/>
        <w:color w:val="0063A5" w:themeColor="text2"/>
        <w:sz w:val="16"/>
      </w:rPr>
      <w:tblPr/>
      <w:tcPr>
        <w:tcBorders>
          <w:top w:val="single" w:sz="2" w:space="0" w:color="CCE0ED"/>
          <w:left w:val="nil"/>
          <w:bottom w:val="single" w:sz="24" w:space="0" w:color="CCE0ED"/>
          <w:right w:val="nil"/>
          <w:insideH w:val="nil"/>
          <w:insideV w:val="nil"/>
          <w:tl2br w:val="nil"/>
          <w:tr2bl w:val="nil"/>
        </w:tcBorders>
        <w:shd w:val="clear" w:color="auto" w:fill="E6EFF6" w:themeFill="background2"/>
        <w:tcMar>
          <w:top w:w="79" w:type="dxa"/>
          <w:left w:w="113" w:type="dxa"/>
          <w:bottom w:w="79" w:type="dxa"/>
          <w:right w:w="113" w:type="dxa"/>
        </w:tcMar>
      </w:tcPr>
    </w:tblStylePr>
    <w:tblStylePr w:type="lastRow">
      <w:rPr>
        <w:b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beforeLines="0" w:before="50" w:beforeAutospacing="0" w:line="260" w:lineRule="atLeast"/>
        <w:ind w:leftChars="0" w:left="0"/>
        <w:jc w:val="left"/>
      </w:pPr>
      <w:rPr>
        <w:b/>
        <w:color w:val="0063A5" w:themeColor="text2"/>
        <w:sz w:val="16"/>
      </w:rPr>
    </w:tblStylePr>
    <w:tblStylePr w:type="band1Vert">
      <w:pPr>
        <w:jc w:val="right"/>
      </w:pPr>
    </w:tblStylePr>
    <w:tblStylePr w:type="band2Vert">
      <w:pPr>
        <w:jc w:val="right"/>
      </w:pPr>
    </w:tblStylePr>
  </w:style>
  <w:style w:type="table" w:styleId="LightList-Accent4">
    <w:name w:val="Light List Accent 4"/>
    <w:basedOn w:val="TableNormal"/>
    <w:uiPriority w:val="61"/>
    <w:semiHidden/>
    <w:rsid w:val="009A674F"/>
    <w:pPr>
      <w:spacing w:after="0" w:line="240" w:lineRule="auto"/>
    </w:pPr>
    <w:tblPr>
      <w:tblStyleRowBandSize w:val="1"/>
      <w:tblStyleColBandSize w:val="1"/>
      <w:tblBorders>
        <w:top w:val="single" w:sz="8" w:space="0" w:color="404050" w:themeColor="accent4"/>
        <w:left w:val="single" w:sz="8" w:space="0" w:color="404050" w:themeColor="accent4"/>
        <w:bottom w:val="single" w:sz="8" w:space="0" w:color="404050" w:themeColor="accent4"/>
        <w:right w:val="single" w:sz="8" w:space="0" w:color="404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4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</w:tcBorders>
      </w:tcPr>
    </w:tblStylePr>
    <w:tblStylePr w:type="band1Horz"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9A674F"/>
    <w:pPr>
      <w:spacing w:after="0" w:line="240" w:lineRule="auto"/>
    </w:pPr>
    <w:tblPr>
      <w:tblStyleRowBandSize w:val="1"/>
      <w:tblStyleColBandSize w:val="1"/>
      <w:tblBorders>
        <w:top w:val="single" w:sz="8" w:space="0" w:color="408ABB" w:themeColor="accent1"/>
        <w:left w:val="single" w:sz="8" w:space="0" w:color="408ABB" w:themeColor="accent1"/>
        <w:bottom w:val="single" w:sz="8" w:space="0" w:color="408ABB" w:themeColor="accent1"/>
        <w:right w:val="single" w:sz="8" w:space="0" w:color="408AB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8AB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8ABB" w:themeColor="accent1"/>
          <w:left w:val="single" w:sz="8" w:space="0" w:color="408ABB" w:themeColor="accent1"/>
          <w:bottom w:val="single" w:sz="8" w:space="0" w:color="408ABB" w:themeColor="accent1"/>
          <w:right w:val="single" w:sz="8" w:space="0" w:color="408A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8ABB" w:themeColor="accent1"/>
          <w:left w:val="single" w:sz="8" w:space="0" w:color="408ABB" w:themeColor="accent1"/>
          <w:bottom w:val="single" w:sz="8" w:space="0" w:color="408ABB" w:themeColor="accent1"/>
          <w:right w:val="single" w:sz="8" w:space="0" w:color="408ABB" w:themeColor="accent1"/>
        </w:tcBorders>
      </w:tcPr>
    </w:tblStylePr>
    <w:tblStylePr w:type="band1Horz">
      <w:tblPr/>
      <w:tcPr>
        <w:tcBorders>
          <w:top w:val="single" w:sz="8" w:space="0" w:color="408ABB" w:themeColor="accent1"/>
          <w:left w:val="single" w:sz="8" w:space="0" w:color="408ABB" w:themeColor="accent1"/>
          <w:bottom w:val="single" w:sz="8" w:space="0" w:color="408ABB" w:themeColor="accent1"/>
          <w:right w:val="single" w:sz="8" w:space="0" w:color="408ABB" w:themeColor="accent1"/>
        </w:tcBorders>
      </w:tcPr>
    </w:tblStylePr>
  </w:style>
  <w:style w:type="paragraph" w:styleId="TOC1">
    <w:name w:val="toc 1"/>
    <w:basedOn w:val="Normal"/>
    <w:next w:val="Normal"/>
    <w:uiPriority w:val="39"/>
    <w:rsid w:val="00ED64F1"/>
    <w:pPr>
      <w:pBdr>
        <w:bottom w:val="single" w:sz="2" w:space="4" w:color="000016"/>
        <w:between w:val="single" w:sz="2" w:space="1" w:color="000000" w:themeColor="text1"/>
      </w:pBdr>
      <w:tabs>
        <w:tab w:val="right" w:pos="10206"/>
      </w:tabs>
      <w:spacing w:before="0" w:after="0"/>
      <w:ind w:right="57"/>
    </w:pPr>
    <w:rPr>
      <w:b/>
      <w:noProof/>
      <w:lang w:eastAsia="en-US"/>
    </w:rPr>
  </w:style>
  <w:style w:type="paragraph" w:styleId="TOC2">
    <w:name w:val="toc 2"/>
    <w:basedOn w:val="Normal"/>
    <w:next w:val="Normal"/>
    <w:uiPriority w:val="39"/>
    <w:rsid w:val="009E1651"/>
    <w:pPr>
      <w:pBdr>
        <w:bottom w:val="single" w:sz="2" w:space="4" w:color="000000" w:themeColor="text1"/>
        <w:between w:val="single" w:sz="2" w:space="0" w:color="000000" w:themeColor="text1"/>
      </w:pBdr>
      <w:tabs>
        <w:tab w:val="left" w:pos="340"/>
        <w:tab w:val="right" w:pos="10206"/>
      </w:tabs>
      <w:spacing w:after="60" w:line="240" w:lineRule="auto"/>
      <w:ind w:right="57"/>
    </w:pPr>
    <w:rPr>
      <w:b/>
      <w:noProof/>
      <w:color w:val="0063A5" w:themeColor="text2"/>
    </w:rPr>
  </w:style>
  <w:style w:type="paragraph" w:styleId="TOC3">
    <w:name w:val="toc 3"/>
    <w:basedOn w:val="TOC2"/>
    <w:next w:val="Normal"/>
    <w:uiPriority w:val="39"/>
    <w:rsid w:val="009E1651"/>
  </w:style>
  <w:style w:type="paragraph" w:styleId="Index1">
    <w:name w:val="index 1"/>
    <w:basedOn w:val="Normal"/>
    <w:next w:val="Normal"/>
    <w:uiPriority w:val="1"/>
    <w:semiHidden/>
    <w:rsid w:val="00DA3AAD"/>
    <w:pPr>
      <w:spacing w:after="60" w:line="240" w:lineRule="auto"/>
    </w:pPr>
    <w:rPr>
      <w:sz w:val="16"/>
    </w:rPr>
  </w:style>
  <w:style w:type="paragraph" w:styleId="Index2">
    <w:name w:val="index 2"/>
    <w:basedOn w:val="Normal"/>
    <w:next w:val="Normal"/>
    <w:uiPriority w:val="1"/>
    <w:semiHidden/>
    <w:rsid w:val="00014B55"/>
    <w:pPr>
      <w:spacing w:after="0" w:line="240" w:lineRule="auto"/>
      <w:ind w:left="216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F966B1"/>
    <w:rPr>
      <w:color w:val="000000" w:themeColor="hyperlink"/>
      <w:u w:val="none"/>
    </w:rPr>
  </w:style>
  <w:style w:type="character" w:customStyle="1" w:styleId="Heading1Char">
    <w:name w:val="Heading 1 Char"/>
    <w:basedOn w:val="DefaultParagraphFont"/>
    <w:link w:val="Heading1"/>
    <w:rsid w:val="00A05EBC"/>
    <w:rPr>
      <w:rFonts w:asciiTheme="majorHAnsi" w:eastAsiaTheme="majorEastAsia" w:hAnsiTheme="majorHAnsi" w:cstheme="majorBidi"/>
      <w:b/>
      <w:bCs/>
      <w:color w:val="0063A5" w:themeColor="text2"/>
      <w:spacing w:val="-1"/>
      <w:sz w:val="48"/>
      <w:szCs w:val="28"/>
    </w:rPr>
  </w:style>
  <w:style w:type="character" w:customStyle="1" w:styleId="Heading2Char">
    <w:name w:val="Heading 2 Char"/>
    <w:basedOn w:val="DefaultParagraphFont"/>
    <w:link w:val="Heading2"/>
    <w:rsid w:val="00A05EBC"/>
    <w:rPr>
      <w:rFonts w:asciiTheme="majorHAnsi" w:eastAsiaTheme="majorEastAsia" w:hAnsiTheme="majorHAnsi" w:cstheme="majorBidi"/>
      <w:b/>
      <w:bCs/>
      <w:caps/>
      <w:color w:val="0063A5" w:themeColor="text2"/>
      <w:sz w:val="24"/>
      <w:szCs w:val="26"/>
    </w:rPr>
  </w:style>
  <w:style w:type="paragraph" w:customStyle="1" w:styleId="Bullet1">
    <w:name w:val="Bullet 1"/>
    <w:uiPriority w:val="1"/>
    <w:qFormat/>
    <w:rsid w:val="00D76AD4"/>
    <w:pPr>
      <w:numPr>
        <w:numId w:val="12"/>
      </w:numPr>
      <w:spacing w:before="60" w:after="60"/>
    </w:pPr>
    <w:rPr>
      <w:rFonts w:eastAsia="Times New Roman" w:cs="Calibri"/>
      <w:spacing w:val="2"/>
    </w:rPr>
  </w:style>
  <w:style w:type="paragraph" w:customStyle="1" w:styleId="Bullet2">
    <w:name w:val="Bullet 2"/>
    <w:basedOn w:val="Bullet1"/>
    <w:uiPriority w:val="1"/>
    <w:qFormat/>
    <w:rsid w:val="00D76AD4"/>
    <w:pPr>
      <w:numPr>
        <w:ilvl w:val="1"/>
      </w:numPr>
    </w:pPr>
  </w:style>
  <w:style w:type="paragraph" w:styleId="Quote">
    <w:name w:val="Quote"/>
    <w:basedOn w:val="Normal"/>
    <w:next w:val="Normal"/>
    <w:link w:val="QuoteChar"/>
    <w:uiPriority w:val="1"/>
    <w:qFormat/>
    <w:rsid w:val="00121488"/>
    <w:pPr>
      <w:ind w:left="567" w:right="567"/>
      <w:jc w:val="center"/>
    </w:pPr>
    <w:rPr>
      <w:i/>
      <w:iCs/>
      <w:color w:val="408ABB" w:themeColor="accent1"/>
    </w:rPr>
  </w:style>
  <w:style w:type="paragraph" w:customStyle="1" w:styleId="Heading1numbered">
    <w:name w:val="Heading 1 numbered"/>
    <w:basedOn w:val="Heading1"/>
    <w:next w:val="NormalIndent"/>
    <w:qFormat/>
    <w:rsid w:val="00BD5018"/>
    <w:pPr>
      <w:framePr w:wrap="around"/>
      <w:numPr>
        <w:numId w:val="10"/>
      </w:numPr>
    </w:pPr>
  </w:style>
  <w:style w:type="paragraph" w:customStyle="1" w:styleId="Heading2numbered">
    <w:name w:val="Heading 2 numbered"/>
    <w:basedOn w:val="Heading2"/>
    <w:next w:val="NormalIndent"/>
    <w:qFormat/>
    <w:rsid w:val="00BD5018"/>
    <w:pPr>
      <w:numPr>
        <w:ilvl w:val="1"/>
        <w:numId w:val="10"/>
      </w:numPr>
    </w:pPr>
  </w:style>
  <w:style w:type="paragraph" w:customStyle="1" w:styleId="Heading3numbered">
    <w:name w:val="Heading 3 numbered"/>
    <w:basedOn w:val="Heading3"/>
    <w:next w:val="NormalIndent"/>
    <w:qFormat/>
    <w:rsid w:val="00BD5018"/>
    <w:pPr>
      <w:numPr>
        <w:ilvl w:val="2"/>
        <w:numId w:val="10"/>
      </w:numPr>
    </w:pPr>
  </w:style>
  <w:style w:type="character" w:customStyle="1" w:styleId="Heading3Char">
    <w:name w:val="Heading 3 Char"/>
    <w:basedOn w:val="DefaultParagraphFont"/>
    <w:link w:val="Heading3"/>
    <w:rsid w:val="00A05EBC"/>
    <w:rPr>
      <w:rFonts w:asciiTheme="majorHAnsi" w:eastAsiaTheme="majorEastAsia" w:hAnsiTheme="majorHAnsi" w:cstheme="majorBidi"/>
      <w:b/>
      <w:bCs/>
      <w:color w:val="000000" w:themeColor="text1"/>
      <w:sz w:val="24"/>
      <w:szCs w:val="22"/>
    </w:rPr>
  </w:style>
  <w:style w:type="paragraph" w:customStyle="1" w:styleId="Heading4numbered">
    <w:name w:val="Heading 4 numbered"/>
    <w:basedOn w:val="Heading4"/>
    <w:next w:val="NormalIndent"/>
    <w:qFormat/>
    <w:rsid w:val="00BD5018"/>
    <w:pPr>
      <w:numPr>
        <w:ilvl w:val="3"/>
        <w:numId w:val="10"/>
      </w:numPr>
    </w:pPr>
  </w:style>
  <w:style w:type="character" w:customStyle="1" w:styleId="Heading4Char">
    <w:name w:val="Heading 4 Char"/>
    <w:basedOn w:val="DefaultParagraphFont"/>
    <w:link w:val="Heading4"/>
    <w:rsid w:val="00A05EBC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paragraph" w:styleId="NormalIndent">
    <w:name w:val="Normal Indent"/>
    <w:basedOn w:val="Normal"/>
    <w:uiPriority w:val="1"/>
    <w:qFormat/>
    <w:rsid w:val="009B62E0"/>
    <w:pPr>
      <w:spacing w:line="252" w:lineRule="auto"/>
      <w:ind w:left="792"/>
    </w:pPr>
  </w:style>
  <w:style w:type="paragraph" w:customStyle="1" w:styleId="NoteNormal">
    <w:name w:val="Note Normal"/>
    <w:basedOn w:val="Normal"/>
    <w:next w:val="Normal"/>
    <w:uiPriority w:val="1"/>
    <w:rsid w:val="00DA3F36"/>
    <w:pPr>
      <w:spacing w:line="240" w:lineRule="atLeast"/>
      <w:contextualSpacing/>
    </w:pPr>
    <w:rPr>
      <w:sz w:val="16"/>
    </w:rPr>
  </w:style>
  <w:style w:type="paragraph" w:customStyle="1" w:styleId="Spacer">
    <w:name w:val="Spacer"/>
    <w:basedOn w:val="Normal"/>
    <w:uiPriority w:val="1"/>
    <w:semiHidden/>
    <w:qFormat/>
    <w:rsid w:val="00165E66"/>
    <w:pPr>
      <w:spacing w:before="0" w:after="0" w:line="120" w:lineRule="atLeast"/>
    </w:pPr>
    <w:rPr>
      <w:rFonts w:eastAsia="Times New Roman" w:cs="Calibri"/>
      <w:sz w:val="10"/>
      <w:szCs w:val="22"/>
    </w:rPr>
  </w:style>
  <w:style w:type="paragraph" w:styleId="Subtitle">
    <w:name w:val="Subtitle"/>
    <w:next w:val="Normal"/>
    <w:link w:val="SubtitleChar"/>
    <w:uiPriority w:val="99"/>
    <w:rsid w:val="00A46288"/>
    <w:pPr>
      <w:framePr w:hSpace="181" w:wrap="around" w:vAnchor="page" w:hAnchor="margin" w:y="11965"/>
      <w:spacing w:before="0" w:after="0" w:line="240" w:lineRule="auto"/>
      <w:suppressOverlap/>
    </w:pPr>
    <w:rPr>
      <w:rFonts w:asciiTheme="majorHAnsi" w:eastAsia="Times New Roman" w:hAnsiTheme="majorHAnsi" w:cstheme="majorHAnsi"/>
      <w:color w:val="000000" w:themeColor="text1"/>
      <w:spacing w:val="-2"/>
      <w:sz w:val="50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05EBC"/>
    <w:rPr>
      <w:rFonts w:asciiTheme="majorHAnsi" w:eastAsia="Times New Roman" w:hAnsiTheme="majorHAnsi" w:cstheme="majorHAnsi"/>
      <w:color w:val="000000" w:themeColor="text1"/>
      <w:spacing w:val="-2"/>
      <w:sz w:val="50"/>
      <w:szCs w:val="24"/>
    </w:rPr>
  </w:style>
  <w:style w:type="paragraph" w:styleId="TOC4">
    <w:name w:val="toc 4"/>
    <w:basedOn w:val="Normal"/>
    <w:next w:val="Normal"/>
    <w:autoRedefine/>
    <w:uiPriority w:val="99"/>
    <w:rsid w:val="00ED64F1"/>
    <w:pPr>
      <w:spacing w:after="100"/>
      <w:ind w:left="600"/>
    </w:pPr>
  </w:style>
  <w:style w:type="paragraph" w:styleId="Title">
    <w:name w:val="Title"/>
    <w:next w:val="Subtitle"/>
    <w:link w:val="TitleChar"/>
    <w:uiPriority w:val="99"/>
    <w:rsid w:val="00794CB7"/>
    <w:pPr>
      <w:pBdr>
        <w:top w:val="single" w:sz="24" w:space="6" w:color="CCCCD0" w:themeColor="accent6"/>
      </w:pBdr>
      <w:spacing w:before="0" w:after="1260" w:line="240" w:lineRule="auto"/>
      <w:contextualSpacing/>
    </w:pPr>
    <w:rPr>
      <w:rFonts w:asciiTheme="majorHAnsi" w:eastAsia="Times New Roman" w:hAnsiTheme="majorHAnsi" w:cstheme="majorHAnsi"/>
      <w:b/>
      <w:caps/>
      <w:color w:val="0063A5" w:themeColor="text2"/>
      <w:sz w:val="48"/>
      <w:szCs w:val="22"/>
    </w:rPr>
  </w:style>
  <w:style w:type="character" w:customStyle="1" w:styleId="TitleChar">
    <w:name w:val="Title Char"/>
    <w:basedOn w:val="DefaultParagraphFont"/>
    <w:link w:val="Title"/>
    <w:uiPriority w:val="99"/>
    <w:rsid w:val="00794CB7"/>
    <w:rPr>
      <w:rFonts w:asciiTheme="majorHAnsi" w:eastAsia="Times New Roman" w:hAnsiTheme="majorHAnsi" w:cstheme="majorHAnsi"/>
      <w:b/>
      <w:caps/>
      <w:color w:val="0063A5" w:themeColor="text2"/>
      <w:sz w:val="48"/>
      <w:szCs w:val="22"/>
    </w:rPr>
  </w:style>
  <w:style w:type="paragraph" w:styleId="BalloonText">
    <w:name w:val="Balloon Text"/>
    <w:basedOn w:val="Normal"/>
    <w:link w:val="BalloonTextChar"/>
    <w:uiPriority w:val="1"/>
    <w:semiHidden/>
    <w:rsid w:val="0023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"/>
    <w:semiHidden/>
    <w:rsid w:val="00A05EBC"/>
    <w:rPr>
      <w:rFonts w:ascii="Tahoma" w:hAnsi="Tahoma" w:cs="Tahoma"/>
      <w:sz w:val="16"/>
      <w:szCs w:val="16"/>
    </w:rPr>
  </w:style>
  <w:style w:type="character" w:customStyle="1" w:styleId="QuoteChar">
    <w:name w:val="Quote Char"/>
    <w:basedOn w:val="DefaultParagraphFont"/>
    <w:link w:val="Quote"/>
    <w:uiPriority w:val="1"/>
    <w:rsid w:val="00121488"/>
    <w:rPr>
      <w:i/>
      <w:iCs/>
      <w:color w:val="408ABB" w:themeColor="accent1"/>
    </w:rPr>
  </w:style>
  <w:style w:type="paragraph" w:styleId="IndexHeading">
    <w:name w:val="index heading"/>
    <w:basedOn w:val="Normal"/>
    <w:next w:val="Index1"/>
    <w:uiPriority w:val="1"/>
    <w:semiHidden/>
    <w:rsid w:val="00014B55"/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rsid w:val="0089715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157"/>
  </w:style>
  <w:style w:type="paragraph" w:styleId="Footer">
    <w:name w:val="footer"/>
    <w:basedOn w:val="Normal"/>
    <w:link w:val="FooterChar"/>
    <w:uiPriority w:val="99"/>
    <w:rsid w:val="0026028E"/>
    <w:pPr>
      <w:tabs>
        <w:tab w:val="left" w:pos="1304"/>
      </w:tabs>
      <w:spacing w:before="0" w:after="0" w:line="156" w:lineRule="exact"/>
    </w:pPr>
    <w:rPr>
      <w:noProof/>
      <w:sz w:val="13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05EBC"/>
    <w:rPr>
      <w:noProof/>
      <w:sz w:val="13"/>
      <w:szCs w:val="18"/>
    </w:rPr>
  </w:style>
  <w:style w:type="character" w:styleId="PageNumber">
    <w:name w:val="page number"/>
    <w:uiPriority w:val="1"/>
    <w:semiHidden/>
    <w:rsid w:val="00BB59E0"/>
    <w:rPr>
      <w:rFonts w:asciiTheme="minorHAnsi" w:hAnsiTheme="minorHAnsi"/>
      <w:b w:val="0"/>
      <w:color w:val="000000" w:themeColor="text1"/>
    </w:rPr>
  </w:style>
  <w:style w:type="paragraph" w:styleId="TOCHeading">
    <w:name w:val="TOC Heading"/>
    <w:basedOn w:val="Heading1"/>
    <w:next w:val="Normal"/>
    <w:uiPriority w:val="99"/>
    <w:rsid w:val="0026028E"/>
    <w:pPr>
      <w:framePr w:vSpace="1418" w:wrap="around"/>
      <w:outlineLvl w:val="9"/>
    </w:pPr>
    <w:rPr>
      <w:spacing w:val="2"/>
    </w:rPr>
  </w:style>
  <w:style w:type="paragraph" w:customStyle="1" w:styleId="NormalTight">
    <w:name w:val="Normal Tight"/>
    <w:uiPriority w:val="1"/>
    <w:semiHidden/>
    <w:rsid w:val="008D0281"/>
    <w:pPr>
      <w:spacing w:after="0" w:line="240" w:lineRule="auto"/>
      <w:ind w:right="2366"/>
    </w:pPr>
    <w:rPr>
      <w:rFonts w:eastAsia="Times New Roman" w:cs="Calibri"/>
      <w:sz w:val="18"/>
      <w:szCs w:val="19"/>
      <w:lang w:eastAsia="en-US"/>
    </w:rPr>
  </w:style>
  <w:style w:type="paragraph" w:styleId="BodyText">
    <w:name w:val="Body Text"/>
    <w:basedOn w:val="Normal"/>
    <w:link w:val="BodyTextChar"/>
    <w:uiPriority w:val="1"/>
    <w:semiHidden/>
    <w:rsid w:val="00750CBE"/>
    <w:pPr>
      <w:spacing w:before="100" w:line="240" w:lineRule="auto"/>
      <w:ind w:left="794"/>
    </w:pPr>
    <w:rPr>
      <w:rFonts w:ascii="Calibri" w:eastAsia="Times New Roman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05EBC"/>
    <w:rPr>
      <w:rFonts w:ascii="Calibri" w:eastAsia="Times New Roman" w:hAnsi="Calibri" w:cs="Calibri"/>
      <w:sz w:val="22"/>
      <w:szCs w:val="22"/>
    </w:rPr>
  </w:style>
  <w:style w:type="paragraph" w:customStyle="1" w:styleId="Insidecoverspacer">
    <w:name w:val="Inside cover spacer"/>
    <w:basedOn w:val="NormalTight"/>
    <w:uiPriority w:val="1"/>
    <w:semiHidden/>
    <w:qFormat/>
    <w:rsid w:val="00E26B32"/>
    <w:pPr>
      <w:spacing w:before="5800"/>
      <w:ind w:right="1382"/>
    </w:pPr>
  </w:style>
  <w:style w:type="table" w:styleId="ColorfulGrid">
    <w:name w:val="Colorful Grid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E7F1" w:themeFill="accent1" w:themeFillTint="33"/>
    </w:tcPr>
    <w:tblStylePr w:type="firstRow">
      <w:rPr>
        <w:b/>
        <w:bCs/>
      </w:rPr>
      <w:tblPr/>
      <w:tcPr>
        <w:shd w:val="clear" w:color="auto" w:fill="B1D0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D0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78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78C" w:themeFill="accent1" w:themeFillShade="BF"/>
      </w:tcPr>
    </w:tblStylePr>
    <w:tblStylePr w:type="band1Vert">
      <w:tblPr/>
      <w:tcPr>
        <w:shd w:val="clear" w:color="auto" w:fill="9EC4DE" w:themeFill="accent1" w:themeFillTint="7F"/>
      </w:tcPr>
    </w:tblStylePr>
    <w:tblStylePr w:type="band1Horz">
      <w:tblPr/>
      <w:tcPr>
        <w:shd w:val="clear" w:color="auto" w:fill="9EC4DE" w:themeFill="accent1" w:themeFillTint="7F"/>
      </w:tcPr>
    </w:tblStylePr>
  </w:style>
  <w:style w:type="paragraph" w:customStyle="1" w:styleId="Tabletext">
    <w:name w:val="Table text"/>
    <w:basedOn w:val="Normal"/>
    <w:uiPriority w:val="2"/>
    <w:qFormat/>
    <w:rsid w:val="009E1651"/>
    <w:pPr>
      <w:spacing w:before="60" w:after="60" w:line="192" w:lineRule="atLeast"/>
    </w:pPr>
    <w:rPr>
      <w:rFonts w:eastAsiaTheme="minorHAnsi"/>
      <w:sz w:val="16"/>
      <w:szCs w:val="21"/>
      <w:lang w:eastAsia="en-US"/>
    </w:rPr>
  </w:style>
  <w:style w:type="paragraph" w:customStyle="1" w:styleId="Tabletextright">
    <w:name w:val="Table text right"/>
    <w:basedOn w:val="Tabletext"/>
    <w:uiPriority w:val="2"/>
    <w:qFormat/>
    <w:rsid w:val="00B9053B"/>
    <w:pPr>
      <w:jc w:val="right"/>
    </w:pPr>
  </w:style>
  <w:style w:type="paragraph" w:customStyle="1" w:styleId="Listnum">
    <w:name w:val="List num"/>
    <w:basedOn w:val="Normal"/>
    <w:uiPriority w:val="1"/>
    <w:qFormat/>
    <w:rsid w:val="004A7519"/>
    <w:pPr>
      <w:numPr>
        <w:numId w:val="4"/>
      </w:numPr>
    </w:pPr>
  </w:style>
  <w:style w:type="paragraph" w:customStyle="1" w:styleId="Listnum2">
    <w:name w:val="List num 2"/>
    <w:basedOn w:val="Normal"/>
    <w:uiPriority w:val="1"/>
    <w:qFormat/>
    <w:rsid w:val="004A7519"/>
    <w:pPr>
      <w:numPr>
        <w:ilvl w:val="1"/>
        <w:numId w:val="4"/>
      </w:numPr>
    </w:pPr>
  </w:style>
  <w:style w:type="paragraph" w:customStyle="1" w:styleId="Tabletextcentred">
    <w:name w:val="Table text centred"/>
    <w:basedOn w:val="Tabletext"/>
    <w:uiPriority w:val="2"/>
    <w:qFormat/>
    <w:rsid w:val="00B9053B"/>
    <w:pPr>
      <w:jc w:val="center"/>
    </w:pPr>
  </w:style>
  <w:style w:type="paragraph" w:customStyle="1" w:styleId="Tableheader">
    <w:name w:val="Table header"/>
    <w:basedOn w:val="Normal"/>
    <w:uiPriority w:val="2"/>
    <w:qFormat/>
    <w:rsid w:val="009E1651"/>
    <w:pPr>
      <w:keepNext/>
      <w:keepLines/>
      <w:spacing w:before="0" w:after="0" w:line="260" w:lineRule="atLeast"/>
    </w:pPr>
    <w:rPr>
      <w:rFonts w:eastAsiaTheme="minorHAnsi"/>
      <w:b/>
      <w:color w:val="0063A5" w:themeColor="text2"/>
      <w:sz w:val="16"/>
      <w:szCs w:val="21"/>
      <w:lang w:eastAsia="en-US"/>
    </w:rPr>
  </w:style>
  <w:style w:type="paragraph" w:customStyle="1" w:styleId="Tablebullet">
    <w:name w:val="Table bullet"/>
    <w:basedOn w:val="Tabletext"/>
    <w:uiPriority w:val="2"/>
    <w:rsid w:val="00937A10"/>
    <w:pPr>
      <w:numPr>
        <w:numId w:val="5"/>
      </w:numPr>
    </w:pPr>
  </w:style>
  <w:style w:type="paragraph" w:customStyle="1" w:styleId="Tabledash">
    <w:name w:val="Table dash"/>
    <w:basedOn w:val="Tablebullet"/>
    <w:uiPriority w:val="2"/>
    <w:rsid w:val="00937A10"/>
    <w:pPr>
      <w:numPr>
        <w:ilvl w:val="1"/>
      </w:numPr>
    </w:pPr>
  </w:style>
  <w:style w:type="paragraph" w:customStyle="1" w:styleId="Tabletextindent">
    <w:name w:val="Table text indent"/>
    <w:basedOn w:val="Tabletext"/>
    <w:uiPriority w:val="2"/>
    <w:qFormat/>
    <w:rsid w:val="00C11CD1"/>
    <w:pPr>
      <w:ind w:left="288"/>
    </w:pPr>
  </w:style>
  <w:style w:type="paragraph" w:styleId="ListParagraph">
    <w:name w:val="List Paragraph"/>
    <w:basedOn w:val="Normal"/>
    <w:uiPriority w:val="1"/>
    <w:semiHidden/>
    <w:qFormat/>
    <w:rsid w:val="004231B5"/>
    <w:pPr>
      <w:ind w:left="720"/>
      <w:contextualSpacing/>
    </w:pPr>
  </w:style>
  <w:style w:type="paragraph" w:customStyle="1" w:styleId="Numpara">
    <w:name w:val="Num para"/>
    <w:basedOn w:val="ListParagraph"/>
    <w:uiPriority w:val="1"/>
    <w:qFormat/>
    <w:rsid w:val="00C72252"/>
    <w:pPr>
      <w:numPr>
        <w:numId w:val="7"/>
      </w:numPr>
      <w:tabs>
        <w:tab w:val="left" w:pos="540"/>
      </w:tabs>
    </w:pPr>
  </w:style>
  <w:style w:type="paragraph" w:styleId="FootnoteText">
    <w:name w:val="footnote text"/>
    <w:basedOn w:val="Normal"/>
    <w:link w:val="FootnoteTextChar"/>
    <w:uiPriority w:val="99"/>
    <w:rsid w:val="006945CA"/>
    <w:pPr>
      <w:spacing w:before="57" w:after="0" w:line="160" w:lineRule="atLeast"/>
    </w:pPr>
    <w:rPr>
      <w:sz w:val="13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05EBC"/>
    <w:rPr>
      <w:sz w:val="13"/>
    </w:rPr>
  </w:style>
  <w:style w:type="character" w:styleId="FootnoteReference">
    <w:name w:val="footnote reference"/>
    <w:basedOn w:val="DefaultParagraphFont"/>
    <w:uiPriority w:val="99"/>
    <w:rsid w:val="00726D2F"/>
    <w:rPr>
      <w:vertAlign w:val="superscript"/>
    </w:rPr>
  </w:style>
  <w:style w:type="table" w:styleId="ColorfulGrid-Accent2">
    <w:name w:val="Colorful Grid Accent 2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FF6" w:themeFill="accent2" w:themeFillTint="33"/>
    </w:tcPr>
    <w:tblStylePr w:type="firstRow">
      <w:rPr>
        <w:b/>
        <w:bCs/>
      </w:rPr>
      <w:tblPr/>
      <w:tcPr>
        <w:shd w:val="clear" w:color="auto" w:fill="CCDF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F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28AB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28ABA" w:themeFill="accent2" w:themeFillShade="BF"/>
      </w:tcPr>
    </w:tblStylePr>
    <w:tblStylePr w:type="band1Vert">
      <w:tblPr/>
      <w:tcPr>
        <w:shd w:val="clear" w:color="auto" w:fill="BFD8E8" w:themeFill="accent2" w:themeFillTint="7F"/>
      </w:tcPr>
    </w:tblStylePr>
    <w:tblStylePr w:type="band1Horz">
      <w:tblPr/>
      <w:tcPr>
        <w:shd w:val="clear" w:color="auto" w:fill="BFD8E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A" w:themeFill="accent3" w:themeFillTint="33"/>
    </w:tcPr>
    <w:tblStylePr w:type="firstRow">
      <w:rPr>
        <w:b/>
        <w:bCs/>
      </w:rPr>
      <w:tblPr/>
      <w:tcPr>
        <w:shd w:val="clear" w:color="auto" w:fill="E5EFF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FF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A8C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A8CC" w:themeFill="accent3" w:themeFillShade="BF"/>
      </w:tcPr>
    </w:tblStylePr>
    <w:tblStylePr w:type="band1Vert">
      <w:tblPr/>
      <w:tcPr>
        <w:shd w:val="clear" w:color="auto" w:fill="DFEBF3" w:themeFill="accent3" w:themeFillTint="7F"/>
      </w:tcPr>
    </w:tblStylePr>
    <w:tblStylePr w:type="band1Horz">
      <w:tblPr/>
      <w:tcPr>
        <w:shd w:val="clear" w:color="auto" w:fill="DFEBF3" w:themeFill="accent3" w:themeFillTint="7F"/>
      </w:tcPr>
    </w:tblStylePr>
  </w:style>
  <w:style w:type="paragraph" w:customStyle="1" w:styleId="Tablenum1">
    <w:name w:val="Table num 1"/>
    <w:basedOn w:val="Normal"/>
    <w:uiPriority w:val="2"/>
    <w:rsid w:val="007F723F"/>
    <w:pPr>
      <w:numPr>
        <w:ilvl w:val="2"/>
        <w:numId w:val="5"/>
      </w:numPr>
      <w:spacing w:before="60" w:after="60"/>
    </w:pPr>
    <w:rPr>
      <w:sz w:val="17"/>
    </w:rPr>
  </w:style>
  <w:style w:type="paragraph" w:customStyle="1" w:styleId="Tablenum2">
    <w:name w:val="Table num 2"/>
    <w:basedOn w:val="Normal"/>
    <w:uiPriority w:val="2"/>
    <w:rsid w:val="007F723F"/>
    <w:pPr>
      <w:numPr>
        <w:ilvl w:val="3"/>
        <w:numId w:val="5"/>
      </w:numPr>
      <w:spacing w:before="60" w:after="60"/>
    </w:pPr>
    <w:rPr>
      <w:sz w:val="17"/>
    </w:rPr>
  </w:style>
  <w:style w:type="paragraph" w:styleId="Caption">
    <w:name w:val="caption"/>
    <w:basedOn w:val="Normal"/>
    <w:next w:val="Normal"/>
    <w:uiPriority w:val="1"/>
    <w:rsid w:val="00A92D94"/>
    <w:pPr>
      <w:spacing w:before="280" w:after="210" w:line="260" w:lineRule="atLeast"/>
    </w:pPr>
    <w:rPr>
      <w:b/>
      <w:bCs/>
      <w:color w:val="0063A5" w:themeColor="text2"/>
      <w:szCs w:val="18"/>
    </w:rPr>
  </w:style>
  <w:style w:type="paragraph" w:customStyle="1" w:styleId="Tablechartdiagramheading">
    <w:name w:val="Table/chart/diagram heading"/>
    <w:next w:val="Normal"/>
    <w:uiPriority w:val="2"/>
    <w:qFormat/>
    <w:rsid w:val="00897157"/>
    <w:pPr>
      <w:tabs>
        <w:tab w:val="left" w:pos="1080"/>
      </w:tabs>
      <w:spacing w:before="280" w:after="210" w:line="260" w:lineRule="atLeast"/>
    </w:pPr>
    <w:rPr>
      <w:b/>
      <w:bCs/>
      <w:color w:val="0063A5" w:themeColor="text2"/>
      <w:szCs w:val="18"/>
    </w:rPr>
  </w:style>
  <w:style w:type="character" w:styleId="PlaceholderText">
    <w:name w:val="Placeholder Text"/>
    <w:basedOn w:val="DefaultParagraphFont"/>
    <w:uiPriority w:val="1"/>
    <w:semiHidden/>
    <w:rsid w:val="00966115"/>
    <w:rPr>
      <w:color w:val="808080"/>
    </w:rPr>
  </w:style>
  <w:style w:type="paragraph" w:customStyle="1" w:styleId="FooterOdd">
    <w:name w:val="Footer Odd"/>
    <w:basedOn w:val="Footer"/>
    <w:uiPriority w:val="99"/>
    <w:qFormat/>
    <w:rsid w:val="002A5891"/>
    <w:pPr>
      <w:framePr w:hSpace="17010" w:wrap="around" w:vAnchor="text" w:hAnchor="margin" w:xAlign="right" w:y="1"/>
      <w:pBdr>
        <w:top w:val="single" w:sz="8" w:space="6" w:color="CCCCD0" w:themeColor="accent6"/>
      </w:pBdr>
      <w:jc w:val="right"/>
    </w:pPr>
  </w:style>
  <w:style w:type="paragraph" w:customStyle="1" w:styleId="FooterEven">
    <w:name w:val="Footer Even"/>
    <w:basedOn w:val="Footer"/>
    <w:uiPriority w:val="99"/>
    <w:qFormat/>
    <w:rsid w:val="002A5891"/>
    <w:pPr>
      <w:framePr w:hSpace="17010" w:wrap="around" w:vAnchor="text" w:hAnchor="margin" w:y="1"/>
      <w:pBdr>
        <w:top w:val="single" w:sz="8" w:space="6" w:color="CCCCD0" w:themeColor="accent6"/>
      </w:pBdr>
    </w:pPr>
  </w:style>
  <w:style w:type="paragraph" w:customStyle="1" w:styleId="IntroductoryText">
    <w:name w:val="Introductory Text"/>
    <w:basedOn w:val="Normal"/>
    <w:uiPriority w:val="1"/>
    <w:qFormat/>
    <w:rsid w:val="00E03F35"/>
    <w:pPr>
      <w:spacing w:before="280" w:after="60"/>
    </w:pPr>
    <w:rPr>
      <w:b/>
      <w:color w:val="0063A5" w:themeColor="text2"/>
    </w:rPr>
  </w:style>
  <w:style w:type="paragraph" w:styleId="NoSpacing">
    <w:name w:val="No Spacing"/>
    <w:uiPriority w:val="1"/>
    <w:qFormat/>
    <w:rsid w:val="00294A5A"/>
    <w:pPr>
      <w:spacing w:before="0" w:after="0" w:line="240" w:lineRule="auto"/>
    </w:pPr>
  </w:style>
  <w:style w:type="paragraph" w:customStyle="1" w:styleId="Normalfollowingheading">
    <w:name w:val="Normal following heading"/>
    <w:basedOn w:val="Normal"/>
    <w:next w:val="Normal"/>
    <w:uiPriority w:val="1"/>
    <w:qFormat/>
    <w:rsid w:val="00294A5A"/>
    <w:pPr>
      <w:spacing w:before="0"/>
    </w:pPr>
  </w:style>
  <w:style w:type="table" w:styleId="ColorfulGrid-Accent4">
    <w:name w:val="Colorful Grid Accent 4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D6DE" w:themeFill="accent4" w:themeFillTint="33"/>
    </w:tcPr>
    <w:tblStylePr w:type="firstRow">
      <w:rPr>
        <w:b/>
        <w:bCs/>
      </w:rPr>
      <w:tblPr/>
      <w:tcPr>
        <w:shd w:val="clear" w:color="auto" w:fill="ADAD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DAD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B" w:themeFill="accent4" w:themeFillShade="BF"/>
      </w:tcPr>
    </w:tblStylePr>
    <w:tblStylePr w:type="band1Vert">
      <w:tblPr/>
      <w:tcPr>
        <w:shd w:val="clear" w:color="auto" w:fill="9999AE" w:themeFill="accent4" w:themeFillTint="7F"/>
      </w:tcPr>
    </w:tblStylePr>
    <w:tblStylePr w:type="band1Horz">
      <w:tblPr/>
      <w:tcPr>
        <w:shd w:val="clear" w:color="auto" w:fill="9999A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7" w:themeFill="accent5" w:themeFillTint="33"/>
    </w:tcPr>
    <w:tblStylePr w:type="firstRow">
      <w:rPr>
        <w:b/>
        <w:bCs/>
      </w:rPr>
      <w:tblPr/>
      <w:tcPr>
        <w:shd w:val="clear" w:color="auto" w:fill="CCCC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F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F68" w:themeFill="accent5" w:themeFillShade="BF"/>
      </w:tcPr>
    </w:tblStylePr>
    <w:tblStylePr w:type="band1Vert">
      <w:tblPr/>
      <w:tcPr>
        <w:shd w:val="clear" w:color="auto" w:fill="BFBFC5" w:themeFill="accent5" w:themeFillTint="7F"/>
      </w:tcPr>
    </w:tblStylePr>
    <w:tblStylePr w:type="band1Horz">
      <w:tblPr/>
      <w:tcPr>
        <w:shd w:val="clear" w:color="auto" w:fill="BFBFC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4F5" w:themeFill="accent6" w:themeFillTint="33"/>
    </w:tcPr>
    <w:tblStylePr w:type="firstRow">
      <w:rPr>
        <w:b/>
        <w:bCs/>
      </w:rPr>
      <w:tblPr/>
      <w:tcPr>
        <w:shd w:val="clear" w:color="auto" w:fill="EAEA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EA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6969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6969E" w:themeFill="accent6" w:themeFillShade="BF"/>
      </w:tcPr>
    </w:tblStylePr>
    <w:tblStylePr w:type="band1Vert">
      <w:tblPr/>
      <w:tcPr>
        <w:shd w:val="clear" w:color="auto" w:fill="E5E5E7" w:themeFill="accent6" w:themeFillTint="7F"/>
      </w:tcPr>
    </w:tblStylePr>
    <w:tblStylePr w:type="band1Horz">
      <w:tblPr/>
      <w:tcPr>
        <w:shd w:val="clear" w:color="auto" w:fill="E5E5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92C0" w:themeFill="accent2" w:themeFillShade="CC"/>
      </w:tcPr>
    </w:tblStylePr>
    <w:tblStylePr w:type="lastRow">
      <w:rPr>
        <w:b/>
        <w:bCs/>
        <w:color w:val="4E92C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92C0" w:themeFill="accent2" w:themeFillShade="CC"/>
      </w:tcPr>
    </w:tblStylePr>
    <w:tblStylePr w:type="lastRow">
      <w:rPr>
        <w:b/>
        <w:bCs/>
        <w:color w:val="4E92C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2EE" w:themeFill="accent1" w:themeFillTint="3F"/>
      </w:tcPr>
    </w:tblStylePr>
    <w:tblStylePr w:type="band1Horz">
      <w:tblPr/>
      <w:tcPr>
        <w:shd w:val="clear" w:color="auto" w:fill="D8E7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92C0" w:themeFill="accent2" w:themeFillShade="CC"/>
      </w:tcPr>
    </w:tblStylePr>
    <w:tblStylePr w:type="lastRow">
      <w:rPr>
        <w:b/>
        <w:bCs/>
        <w:color w:val="4E92C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3" w:themeFill="accent2" w:themeFillTint="3F"/>
      </w:tcPr>
    </w:tblStylePr>
    <w:tblStylePr w:type="band1Horz">
      <w:tblPr/>
      <w:tcPr>
        <w:shd w:val="clear" w:color="auto" w:fill="E5EF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B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333F" w:themeFill="accent4" w:themeFillShade="CC"/>
      </w:tcPr>
    </w:tblStylePr>
    <w:tblStylePr w:type="lastRow">
      <w:rPr>
        <w:b/>
        <w:bCs/>
        <w:color w:val="33333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9" w:themeFill="accent3" w:themeFillTint="3F"/>
      </w:tcPr>
    </w:tblStylePr>
    <w:tblStylePr w:type="band1Horz">
      <w:tblPr/>
      <w:tcPr>
        <w:shd w:val="clear" w:color="auto" w:fill="F2F7F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EB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0B1D1" w:themeFill="accent3" w:themeFillShade="CC"/>
      </w:tcPr>
    </w:tblStylePr>
    <w:tblStylePr w:type="lastRow">
      <w:rPr>
        <w:b/>
        <w:bCs/>
        <w:color w:val="80B1D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D6" w:themeFill="accent4" w:themeFillTint="3F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1A1A8" w:themeFill="accent6" w:themeFillShade="CC"/>
      </w:tcPr>
    </w:tblStylePr>
    <w:tblStylePr w:type="lastRow">
      <w:rPr>
        <w:b/>
        <w:bCs/>
        <w:color w:val="A1A1A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2" w:themeFill="accent5" w:themeFillTint="3F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9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F" w:themeFill="accent5" w:themeFillShade="CC"/>
      </w:tcPr>
    </w:tblStylePr>
    <w:tblStylePr w:type="lastRow">
      <w:rPr>
        <w:b/>
        <w:bCs/>
        <w:color w:val="6666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3" w:themeFill="accent6" w:themeFillTint="3F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B1D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B1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B1D2" w:themeColor="accent2"/>
        <w:left w:val="single" w:sz="4" w:space="0" w:color="408ABB" w:themeColor="accent1"/>
        <w:bottom w:val="single" w:sz="4" w:space="0" w:color="408ABB" w:themeColor="accent1"/>
        <w:right w:val="single" w:sz="4" w:space="0" w:color="408AB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B1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52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526F" w:themeColor="accent1" w:themeShade="99"/>
          <w:insideV w:val="nil"/>
        </w:tcBorders>
        <w:shd w:val="clear" w:color="auto" w:fill="2652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526F" w:themeFill="accent1" w:themeFillShade="99"/>
      </w:tcPr>
    </w:tblStylePr>
    <w:tblStylePr w:type="band1Vert">
      <w:tblPr/>
      <w:tcPr>
        <w:shd w:val="clear" w:color="auto" w:fill="B1D0E4" w:themeFill="accent1" w:themeFillTint="66"/>
      </w:tcPr>
    </w:tblStylePr>
    <w:tblStylePr w:type="band1Horz">
      <w:tblPr/>
      <w:tcPr>
        <w:shd w:val="clear" w:color="auto" w:fill="9EC4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B1D2" w:themeColor="accent2"/>
        <w:left w:val="single" w:sz="4" w:space="0" w:color="80B1D2" w:themeColor="accent2"/>
        <w:bottom w:val="single" w:sz="4" w:space="0" w:color="80B1D2" w:themeColor="accent2"/>
        <w:right w:val="single" w:sz="4" w:space="0" w:color="80B1D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B1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6E9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6E95" w:themeColor="accent2" w:themeShade="99"/>
          <w:insideV w:val="nil"/>
        </w:tcBorders>
        <w:shd w:val="clear" w:color="auto" w:fill="356E9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6E95" w:themeFill="accent2" w:themeFillShade="99"/>
      </w:tcPr>
    </w:tblStylePr>
    <w:tblStylePr w:type="band1Vert">
      <w:tblPr/>
      <w:tcPr>
        <w:shd w:val="clear" w:color="auto" w:fill="CCDFED" w:themeFill="accent2" w:themeFillTint="66"/>
      </w:tcPr>
    </w:tblStylePr>
    <w:tblStylePr w:type="band1Horz">
      <w:tblPr/>
      <w:tcPr>
        <w:shd w:val="clear" w:color="auto" w:fill="BFD8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04050" w:themeColor="accent4"/>
        <w:left w:val="single" w:sz="4" w:space="0" w:color="BFD8E8" w:themeColor="accent3"/>
        <w:bottom w:val="single" w:sz="4" w:space="0" w:color="BFD8E8" w:themeColor="accent3"/>
        <w:right w:val="single" w:sz="4" w:space="0" w:color="BFD8E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4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8BB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BBA" w:themeColor="accent3" w:themeShade="99"/>
          <w:insideV w:val="nil"/>
        </w:tcBorders>
        <w:shd w:val="clear" w:color="auto" w:fill="438BB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BBA" w:themeFill="accent3" w:themeFillShade="99"/>
      </w:tcPr>
    </w:tblStylePr>
    <w:tblStylePr w:type="band1Vert">
      <w:tblPr/>
      <w:tcPr>
        <w:shd w:val="clear" w:color="auto" w:fill="E5EFF5" w:themeFill="accent3" w:themeFillTint="66"/>
      </w:tcPr>
    </w:tblStylePr>
    <w:tblStylePr w:type="band1Horz">
      <w:tblPr/>
      <w:tcPr>
        <w:shd w:val="clear" w:color="auto" w:fill="DFEBF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D8E8" w:themeColor="accent3"/>
        <w:left w:val="single" w:sz="4" w:space="0" w:color="404050" w:themeColor="accent4"/>
        <w:bottom w:val="single" w:sz="4" w:space="0" w:color="404050" w:themeColor="accent4"/>
        <w:right w:val="single" w:sz="4" w:space="0" w:color="404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D8E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262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262F" w:themeColor="accent4" w:themeShade="99"/>
          <w:insideV w:val="nil"/>
        </w:tcBorders>
        <w:shd w:val="clear" w:color="auto" w:fill="26262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F" w:themeFill="accent4" w:themeFillShade="99"/>
      </w:tcPr>
    </w:tblStylePr>
    <w:tblStylePr w:type="band1Vert">
      <w:tblPr/>
      <w:tcPr>
        <w:shd w:val="clear" w:color="auto" w:fill="ADADBD" w:themeFill="accent4" w:themeFillTint="66"/>
      </w:tcPr>
    </w:tblStylePr>
    <w:tblStylePr w:type="band1Horz">
      <w:tblPr/>
      <w:tcPr>
        <w:shd w:val="clear" w:color="auto" w:fill="9999A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CD0" w:themeColor="accent6"/>
        <w:left w:val="single" w:sz="4" w:space="0" w:color="80808B" w:themeColor="accent5"/>
        <w:bottom w:val="single" w:sz="4" w:space="0" w:color="80808B" w:themeColor="accent5"/>
        <w:right w:val="single" w:sz="4" w:space="0" w:color="8080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53" w:themeColor="accent5" w:themeShade="99"/>
          <w:insideV w:val="nil"/>
        </w:tcBorders>
        <w:shd w:val="clear" w:color="auto" w:fill="4C4C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53" w:themeFill="accent5" w:themeFillShade="99"/>
      </w:tcPr>
    </w:tblStylePr>
    <w:tblStylePr w:type="band1Vert">
      <w:tblPr/>
      <w:tcPr>
        <w:shd w:val="clear" w:color="auto" w:fill="CCCCD0" w:themeFill="accent5" w:themeFillTint="66"/>
      </w:tcPr>
    </w:tblStylePr>
    <w:tblStylePr w:type="band1Horz">
      <w:tblPr/>
      <w:tcPr>
        <w:shd w:val="clear" w:color="auto" w:fill="BFBF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B" w:themeColor="accent5"/>
        <w:left w:val="single" w:sz="4" w:space="0" w:color="CCCCD0" w:themeColor="accent6"/>
        <w:bottom w:val="single" w:sz="4" w:space="0" w:color="CCCCD0" w:themeColor="accent6"/>
        <w:right w:val="single" w:sz="4" w:space="0" w:color="CCCC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768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7680" w:themeColor="accent6" w:themeShade="99"/>
          <w:insideV w:val="nil"/>
        </w:tcBorders>
        <w:shd w:val="clear" w:color="auto" w:fill="76768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7680" w:themeFill="accent6" w:themeFillShade="99"/>
      </w:tcPr>
    </w:tblStylePr>
    <w:tblStylePr w:type="band1Vert">
      <w:tblPr/>
      <w:tcPr>
        <w:shd w:val="clear" w:color="auto" w:fill="EAEAEC" w:themeFill="accent6" w:themeFillTint="66"/>
      </w:tcPr>
    </w:tblStylePr>
    <w:tblStylePr w:type="band1Horz">
      <w:tblPr/>
      <w:tcPr>
        <w:shd w:val="clear" w:color="auto" w:fill="E5E5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8AB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45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78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78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B1D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5B7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8AB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8AB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8AB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8AB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D8E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749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A8C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A8C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8C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8C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4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6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CC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626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6969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6969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E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1D0E4" w:themeColor="accent1" w:themeTint="66"/>
        <w:left w:val="single" w:sz="4" w:space="0" w:color="B1D0E4" w:themeColor="accent1" w:themeTint="66"/>
        <w:bottom w:val="single" w:sz="4" w:space="0" w:color="B1D0E4" w:themeColor="accent1" w:themeTint="66"/>
        <w:right w:val="single" w:sz="4" w:space="0" w:color="B1D0E4" w:themeColor="accent1" w:themeTint="66"/>
        <w:insideH w:val="single" w:sz="4" w:space="0" w:color="B1D0E4" w:themeColor="accent1" w:themeTint="66"/>
        <w:insideV w:val="single" w:sz="4" w:space="0" w:color="B1D0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B8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B8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CCDFED" w:themeColor="accent2" w:themeTint="66"/>
        <w:left w:val="single" w:sz="4" w:space="0" w:color="CCDFED" w:themeColor="accent2" w:themeTint="66"/>
        <w:bottom w:val="single" w:sz="4" w:space="0" w:color="CCDFED" w:themeColor="accent2" w:themeTint="66"/>
        <w:right w:val="single" w:sz="4" w:space="0" w:color="CCDFED" w:themeColor="accent2" w:themeTint="66"/>
        <w:insideH w:val="single" w:sz="4" w:space="0" w:color="CCDFED" w:themeColor="accent2" w:themeTint="66"/>
        <w:insideV w:val="single" w:sz="4" w:space="0" w:color="CCDF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2D0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D0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E5EFF5" w:themeColor="accent3" w:themeTint="66"/>
        <w:left w:val="single" w:sz="4" w:space="0" w:color="E5EFF5" w:themeColor="accent3" w:themeTint="66"/>
        <w:bottom w:val="single" w:sz="4" w:space="0" w:color="E5EFF5" w:themeColor="accent3" w:themeTint="66"/>
        <w:right w:val="single" w:sz="4" w:space="0" w:color="E5EFF5" w:themeColor="accent3" w:themeTint="66"/>
        <w:insideH w:val="single" w:sz="4" w:space="0" w:color="E5EFF5" w:themeColor="accent3" w:themeTint="66"/>
        <w:insideV w:val="single" w:sz="4" w:space="0" w:color="E5EFF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E7F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E7F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ADADBD" w:themeColor="accent4" w:themeTint="66"/>
        <w:left w:val="single" w:sz="4" w:space="0" w:color="ADADBD" w:themeColor="accent4" w:themeTint="66"/>
        <w:bottom w:val="single" w:sz="4" w:space="0" w:color="ADADBD" w:themeColor="accent4" w:themeTint="66"/>
        <w:right w:val="single" w:sz="4" w:space="0" w:color="ADADBD" w:themeColor="accent4" w:themeTint="66"/>
        <w:insideH w:val="single" w:sz="4" w:space="0" w:color="ADADBD" w:themeColor="accent4" w:themeTint="66"/>
        <w:insideV w:val="single" w:sz="4" w:space="0" w:color="ADAD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484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84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CCCCD0" w:themeColor="accent5" w:themeTint="66"/>
        <w:left w:val="single" w:sz="4" w:space="0" w:color="CCCCD0" w:themeColor="accent5" w:themeTint="66"/>
        <w:bottom w:val="single" w:sz="4" w:space="0" w:color="CCCCD0" w:themeColor="accent5" w:themeTint="66"/>
        <w:right w:val="single" w:sz="4" w:space="0" w:color="CCCCD0" w:themeColor="accent5" w:themeTint="66"/>
        <w:insideH w:val="single" w:sz="4" w:space="0" w:color="CCCCD0" w:themeColor="accent5" w:themeTint="66"/>
        <w:insideV w:val="single" w:sz="4" w:space="0" w:color="CCCC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EAEAEC" w:themeColor="accent6" w:themeTint="66"/>
        <w:left w:val="single" w:sz="4" w:space="0" w:color="EAEAEC" w:themeColor="accent6" w:themeTint="66"/>
        <w:bottom w:val="single" w:sz="4" w:space="0" w:color="EAEAEC" w:themeColor="accent6" w:themeTint="66"/>
        <w:right w:val="single" w:sz="4" w:space="0" w:color="EAEAEC" w:themeColor="accent6" w:themeTint="66"/>
        <w:insideH w:val="single" w:sz="4" w:space="0" w:color="EAEAEC" w:themeColor="accent6" w:themeTint="66"/>
        <w:insideV w:val="single" w:sz="4" w:space="0" w:color="EAEA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0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0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8BB8D7" w:themeColor="accent1" w:themeTint="99"/>
        <w:bottom w:val="single" w:sz="2" w:space="0" w:color="8BB8D7" w:themeColor="accent1" w:themeTint="99"/>
        <w:insideH w:val="single" w:sz="2" w:space="0" w:color="8BB8D7" w:themeColor="accent1" w:themeTint="99"/>
        <w:insideV w:val="single" w:sz="2" w:space="0" w:color="8BB8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B8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B8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7F1" w:themeFill="accent1" w:themeFillTint="33"/>
      </w:tcPr>
    </w:tblStylePr>
    <w:tblStylePr w:type="band1Horz">
      <w:tblPr/>
      <w:tcPr>
        <w:shd w:val="clear" w:color="auto" w:fill="D8E7F1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B2D0E4" w:themeColor="accent2" w:themeTint="99"/>
        <w:bottom w:val="single" w:sz="2" w:space="0" w:color="B2D0E4" w:themeColor="accent2" w:themeTint="99"/>
        <w:insideH w:val="single" w:sz="2" w:space="0" w:color="B2D0E4" w:themeColor="accent2" w:themeTint="99"/>
        <w:insideV w:val="single" w:sz="2" w:space="0" w:color="B2D0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0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0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F6" w:themeFill="accent2" w:themeFillTint="33"/>
      </w:tcPr>
    </w:tblStylePr>
    <w:tblStylePr w:type="band1Horz">
      <w:tblPr/>
      <w:tcPr>
        <w:shd w:val="clear" w:color="auto" w:fill="E5EFF6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D8E7F1" w:themeColor="accent3" w:themeTint="99"/>
        <w:bottom w:val="single" w:sz="2" w:space="0" w:color="D8E7F1" w:themeColor="accent3" w:themeTint="99"/>
        <w:insideH w:val="single" w:sz="2" w:space="0" w:color="D8E7F1" w:themeColor="accent3" w:themeTint="99"/>
        <w:insideV w:val="single" w:sz="2" w:space="0" w:color="D8E7F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E7F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E7F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A" w:themeFill="accent3" w:themeFillTint="33"/>
      </w:tcPr>
    </w:tblStylePr>
    <w:tblStylePr w:type="band1Horz">
      <w:tblPr/>
      <w:tcPr>
        <w:shd w:val="clear" w:color="auto" w:fill="F2F7FA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84849D" w:themeColor="accent4" w:themeTint="99"/>
        <w:bottom w:val="single" w:sz="2" w:space="0" w:color="84849D" w:themeColor="accent4" w:themeTint="99"/>
        <w:insideH w:val="single" w:sz="2" w:space="0" w:color="84849D" w:themeColor="accent4" w:themeTint="99"/>
        <w:insideV w:val="single" w:sz="2" w:space="0" w:color="8484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84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84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B2B2B9" w:themeColor="accent5" w:themeTint="99"/>
        <w:bottom w:val="single" w:sz="2" w:space="0" w:color="B2B2B9" w:themeColor="accent5" w:themeTint="99"/>
        <w:insideH w:val="single" w:sz="2" w:space="0" w:color="B2B2B9" w:themeColor="accent5" w:themeTint="99"/>
        <w:insideV w:val="single" w:sz="2" w:space="0" w:color="B2B2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E0E0E2" w:themeColor="accent6" w:themeTint="99"/>
        <w:bottom w:val="single" w:sz="2" w:space="0" w:color="E0E0E2" w:themeColor="accent6" w:themeTint="99"/>
        <w:insideH w:val="single" w:sz="2" w:space="0" w:color="E0E0E2" w:themeColor="accent6" w:themeTint="99"/>
        <w:insideV w:val="single" w:sz="2" w:space="0" w:color="E0E0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E0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E0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BB8D7" w:themeColor="accent1" w:themeTint="99"/>
        <w:left w:val="single" w:sz="4" w:space="0" w:color="8BB8D7" w:themeColor="accent1" w:themeTint="99"/>
        <w:bottom w:val="single" w:sz="4" w:space="0" w:color="8BB8D7" w:themeColor="accent1" w:themeTint="99"/>
        <w:right w:val="single" w:sz="4" w:space="0" w:color="8BB8D7" w:themeColor="accent1" w:themeTint="99"/>
        <w:insideH w:val="single" w:sz="4" w:space="0" w:color="8BB8D7" w:themeColor="accent1" w:themeTint="99"/>
        <w:insideV w:val="single" w:sz="4" w:space="0" w:color="8BB8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7F1" w:themeFill="accent1" w:themeFillTint="33"/>
      </w:tcPr>
    </w:tblStylePr>
    <w:tblStylePr w:type="band1Horz">
      <w:tblPr/>
      <w:tcPr>
        <w:shd w:val="clear" w:color="auto" w:fill="D8E7F1" w:themeFill="accent1" w:themeFillTint="33"/>
      </w:tcPr>
    </w:tblStylePr>
    <w:tblStylePr w:type="neCell">
      <w:tblPr/>
      <w:tcPr>
        <w:tcBorders>
          <w:bottom w:val="single" w:sz="4" w:space="0" w:color="8BB8D7" w:themeColor="accent1" w:themeTint="99"/>
        </w:tcBorders>
      </w:tcPr>
    </w:tblStylePr>
    <w:tblStylePr w:type="nwCell">
      <w:tblPr/>
      <w:tcPr>
        <w:tcBorders>
          <w:bottom w:val="single" w:sz="4" w:space="0" w:color="8BB8D7" w:themeColor="accent1" w:themeTint="99"/>
        </w:tcBorders>
      </w:tcPr>
    </w:tblStylePr>
    <w:tblStylePr w:type="seCell">
      <w:tblPr/>
      <w:tcPr>
        <w:tcBorders>
          <w:top w:val="single" w:sz="4" w:space="0" w:color="8BB8D7" w:themeColor="accent1" w:themeTint="99"/>
        </w:tcBorders>
      </w:tcPr>
    </w:tblStylePr>
    <w:tblStylePr w:type="swCell">
      <w:tblPr/>
      <w:tcPr>
        <w:tcBorders>
          <w:top w:val="single" w:sz="4" w:space="0" w:color="8BB8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D0E4" w:themeColor="accent2" w:themeTint="99"/>
        <w:left w:val="single" w:sz="4" w:space="0" w:color="B2D0E4" w:themeColor="accent2" w:themeTint="99"/>
        <w:bottom w:val="single" w:sz="4" w:space="0" w:color="B2D0E4" w:themeColor="accent2" w:themeTint="99"/>
        <w:right w:val="single" w:sz="4" w:space="0" w:color="B2D0E4" w:themeColor="accent2" w:themeTint="99"/>
        <w:insideH w:val="single" w:sz="4" w:space="0" w:color="B2D0E4" w:themeColor="accent2" w:themeTint="99"/>
        <w:insideV w:val="single" w:sz="4" w:space="0" w:color="B2D0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FF6" w:themeFill="accent2" w:themeFillTint="33"/>
      </w:tcPr>
    </w:tblStylePr>
    <w:tblStylePr w:type="band1Horz">
      <w:tblPr/>
      <w:tcPr>
        <w:shd w:val="clear" w:color="auto" w:fill="E5EFF6" w:themeFill="accent2" w:themeFillTint="33"/>
      </w:tcPr>
    </w:tblStylePr>
    <w:tblStylePr w:type="neCell">
      <w:tblPr/>
      <w:tcPr>
        <w:tcBorders>
          <w:bottom w:val="single" w:sz="4" w:space="0" w:color="B2D0E4" w:themeColor="accent2" w:themeTint="99"/>
        </w:tcBorders>
      </w:tcPr>
    </w:tblStylePr>
    <w:tblStylePr w:type="nwCell">
      <w:tblPr/>
      <w:tcPr>
        <w:tcBorders>
          <w:bottom w:val="single" w:sz="4" w:space="0" w:color="B2D0E4" w:themeColor="accent2" w:themeTint="99"/>
        </w:tcBorders>
      </w:tcPr>
    </w:tblStylePr>
    <w:tblStylePr w:type="seCell">
      <w:tblPr/>
      <w:tcPr>
        <w:tcBorders>
          <w:top w:val="single" w:sz="4" w:space="0" w:color="B2D0E4" w:themeColor="accent2" w:themeTint="99"/>
        </w:tcBorders>
      </w:tcPr>
    </w:tblStylePr>
    <w:tblStylePr w:type="swCell">
      <w:tblPr/>
      <w:tcPr>
        <w:tcBorders>
          <w:top w:val="single" w:sz="4" w:space="0" w:color="B2D0E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D8E7F1" w:themeColor="accent3" w:themeTint="99"/>
        <w:left w:val="single" w:sz="4" w:space="0" w:color="D8E7F1" w:themeColor="accent3" w:themeTint="99"/>
        <w:bottom w:val="single" w:sz="4" w:space="0" w:color="D8E7F1" w:themeColor="accent3" w:themeTint="99"/>
        <w:right w:val="single" w:sz="4" w:space="0" w:color="D8E7F1" w:themeColor="accent3" w:themeTint="99"/>
        <w:insideH w:val="single" w:sz="4" w:space="0" w:color="D8E7F1" w:themeColor="accent3" w:themeTint="99"/>
        <w:insideV w:val="single" w:sz="4" w:space="0" w:color="D8E7F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A" w:themeFill="accent3" w:themeFillTint="33"/>
      </w:tcPr>
    </w:tblStylePr>
    <w:tblStylePr w:type="band1Horz">
      <w:tblPr/>
      <w:tcPr>
        <w:shd w:val="clear" w:color="auto" w:fill="F2F7FA" w:themeFill="accent3" w:themeFillTint="33"/>
      </w:tcPr>
    </w:tblStylePr>
    <w:tblStylePr w:type="neCell">
      <w:tblPr/>
      <w:tcPr>
        <w:tcBorders>
          <w:bottom w:val="single" w:sz="4" w:space="0" w:color="D8E7F1" w:themeColor="accent3" w:themeTint="99"/>
        </w:tcBorders>
      </w:tcPr>
    </w:tblStylePr>
    <w:tblStylePr w:type="nwCell">
      <w:tblPr/>
      <w:tcPr>
        <w:tcBorders>
          <w:bottom w:val="single" w:sz="4" w:space="0" w:color="D8E7F1" w:themeColor="accent3" w:themeTint="99"/>
        </w:tcBorders>
      </w:tcPr>
    </w:tblStylePr>
    <w:tblStylePr w:type="seCell">
      <w:tblPr/>
      <w:tcPr>
        <w:tcBorders>
          <w:top w:val="single" w:sz="4" w:space="0" w:color="D8E7F1" w:themeColor="accent3" w:themeTint="99"/>
        </w:tcBorders>
      </w:tcPr>
    </w:tblStylePr>
    <w:tblStylePr w:type="swCell">
      <w:tblPr/>
      <w:tcPr>
        <w:tcBorders>
          <w:top w:val="single" w:sz="4" w:space="0" w:color="D8E7F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4849D" w:themeColor="accent4" w:themeTint="99"/>
        <w:left w:val="single" w:sz="4" w:space="0" w:color="84849D" w:themeColor="accent4" w:themeTint="99"/>
        <w:bottom w:val="single" w:sz="4" w:space="0" w:color="84849D" w:themeColor="accent4" w:themeTint="99"/>
        <w:right w:val="single" w:sz="4" w:space="0" w:color="84849D" w:themeColor="accent4" w:themeTint="99"/>
        <w:insideH w:val="single" w:sz="4" w:space="0" w:color="84849D" w:themeColor="accent4" w:themeTint="99"/>
        <w:insideV w:val="single" w:sz="4" w:space="0" w:color="8484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  <w:tblStylePr w:type="neCell">
      <w:tblPr/>
      <w:tcPr>
        <w:tcBorders>
          <w:bottom w:val="single" w:sz="4" w:space="0" w:color="84849D" w:themeColor="accent4" w:themeTint="99"/>
        </w:tcBorders>
      </w:tcPr>
    </w:tblStylePr>
    <w:tblStylePr w:type="nwCell">
      <w:tblPr/>
      <w:tcPr>
        <w:tcBorders>
          <w:bottom w:val="single" w:sz="4" w:space="0" w:color="84849D" w:themeColor="accent4" w:themeTint="99"/>
        </w:tcBorders>
      </w:tcPr>
    </w:tblStylePr>
    <w:tblStylePr w:type="seCell">
      <w:tblPr/>
      <w:tcPr>
        <w:tcBorders>
          <w:top w:val="single" w:sz="4" w:space="0" w:color="84849D" w:themeColor="accent4" w:themeTint="99"/>
        </w:tcBorders>
      </w:tcPr>
    </w:tblStylePr>
    <w:tblStylePr w:type="swCell">
      <w:tblPr/>
      <w:tcPr>
        <w:tcBorders>
          <w:top w:val="single" w:sz="4" w:space="0" w:color="84849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B2B9" w:themeColor="accent5" w:themeTint="99"/>
        <w:left w:val="single" w:sz="4" w:space="0" w:color="B2B2B9" w:themeColor="accent5" w:themeTint="99"/>
        <w:bottom w:val="single" w:sz="4" w:space="0" w:color="B2B2B9" w:themeColor="accent5" w:themeTint="99"/>
        <w:right w:val="single" w:sz="4" w:space="0" w:color="B2B2B9" w:themeColor="accent5" w:themeTint="99"/>
        <w:insideH w:val="single" w:sz="4" w:space="0" w:color="B2B2B9" w:themeColor="accent5" w:themeTint="99"/>
        <w:insideV w:val="single" w:sz="4" w:space="0" w:color="B2B2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bottom w:val="single" w:sz="4" w:space="0" w:color="B2B2B9" w:themeColor="accent5" w:themeTint="99"/>
        </w:tcBorders>
      </w:tcPr>
    </w:tblStylePr>
    <w:tblStylePr w:type="nwCell">
      <w:tblPr/>
      <w:tcPr>
        <w:tcBorders>
          <w:bottom w:val="single" w:sz="4" w:space="0" w:color="B2B2B9" w:themeColor="accent5" w:themeTint="99"/>
        </w:tcBorders>
      </w:tcPr>
    </w:tblStylePr>
    <w:tblStylePr w:type="seCell">
      <w:tblPr/>
      <w:tcPr>
        <w:tcBorders>
          <w:top w:val="single" w:sz="4" w:space="0" w:color="B2B2B9" w:themeColor="accent5" w:themeTint="99"/>
        </w:tcBorders>
      </w:tcPr>
    </w:tblStylePr>
    <w:tblStylePr w:type="swCell">
      <w:tblPr/>
      <w:tcPr>
        <w:tcBorders>
          <w:top w:val="single" w:sz="4" w:space="0" w:color="B2B2B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E0E0E2" w:themeColor="accent6" w:themeTint="99"/>
        <w:left w:val="single" w:sz="4" w:space="0" w:color="E0E0E2" w:themeColor="accent6" w:themeTint="99"/>
        <w:bottom w:val="single" w:sz="4" w:space="0" w:color="E0E0E2" w:themeColor="accent6" w:themeTint="99"/>
        <w:right w:val="single" w:sz="4" w:space="0" w:color="E0E0E2" w:themeColor="accent6" w:themeTint="99"/>
        <w:insideH w:val="single" w:sz="4" w:space="0" w:color="E0E0E2" w:themeColor="accent6" w:themeTint="99"/>
        <w:insideV w:val="single" w:sz="4" w:space="0" w:color="E0E0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  <w:tblStylePr w:type="neCell">
      <w:tblPr/>
      <w:tcPr>
        <w:tcBorders>
          <w:bottom w:val="single" w:sz="4" w:space="0" w:color="E0E0E2" w:themeColor="accent6" w:themeTint="99"/>
        </w:tcBorders>
      </w:tcPr>
    </w:tblStylePr>
    <w:tblStylePr w:type="nwCell">
      <w:tblPr/>
      <w:tcPr>
        <w:tcBorders>
          <w:bottom w:val="single" w:sz="4" w:space="0" w:color="E0E0E2" w:themeColor="accent6" w:themeTint="99"/>
        </w:tcBorders>
      </w:tcPr>
    </w:tblStylePr>
    <w:tblStylePr w:type="seCell">
      <w:tblPr/>
      <w:tcPr>
        <w:tcBorders>
          <w:top w:val="single" w:sz="4" w:space="0" w:color="E0E0E2" w:themeColor="accent6" w:themeTint="99"/>
        </w:tcBorders>
      </w:tcPr>
    </w:tblStylePr>
    <w:tblStylePr w:type="swCell">
      <w:tblPr/>
      <w:tcPr>
        <w:tcBorders>
          <w:top w:val="single" w:sz="4" w:space="0" w:color="E0E0E2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BB8D7" w:themeColor="accent1" w:themeTint="99"/>
        <w:left w:val="single" w:sz="4" w:space="0" w:color="8BB8D7" w:themeColor="accent1" w:themeTint="99"/>
        <w:bottom w:val="single" w:sz="4" w:space="0" w:color="8BB8D7" w:themeColor="accent1" w:themeTint="99"/>
        <w:right w:val="single" w:sz="4" w:space="0" w:color="8BB8D7" w:themeColor="accent1" w:themeTint="99"/>
        <w:insideH w:val="single" w:sz="4" w:space="0" w:color="8BB8D7" w:themeColor="accent1" w:themeTint="99"/>
        <w:insideV w:val="single" w:sz="4" w:space="0" w:color="8BB8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8ABB" w:themeColor="accent1"/>
          <w:left w:val="single" w:sz="4" w:space="0" w:color="408ABB" w:themeColor="accent1"/>
          <w:bottom w:val="single" w:sz="4" w:space="0" w:color="408ABB" w:themeColor="accent1"/>
          <w:right w:val="single" w:sz="4" w:space="0" w:color="408ABB" w:themeColor="accent1"/>
          <w:insideH w:val="nil"/>
          <w:insideV w:val="nil"/>
        </w:tcBorders>
        <w:shd w:val="clear" w:color="auto" w:fill="408ABB" w:themeFill="accent1"/>
      </w:tcPr>
    </w:tblStylePr>
    <w:tblStylePr w:type="lastRow">
      <w:rPr>
        <w:b/>
        <w:bCs/>
      </w:rPr>
      <w:tblPr/>
      <w:tcPr>
        <w:tcBorders>
          <w:top w:val="double" w:sz="4" w:space="0" w:color="408A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7F1" w:themeFill="accent1" w:themeFillTint="33"/>
      </w:tcPr>
    </w:tblStylePr>
    <w:tblStylePr w:type="band1Horz">
      <w:tblPr/>
      <w:tcPr>
        <w:shd w:val="clear" w:color="auto" w:fill="D8E7F1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D0E4" w:themeColor="accent2" w:themeTint="99"/>
        <w:left w:val="single" w:sz="4" w:space="0" w:color="B2D0E4" w:themeColor="accent2" w:themeTint="99"/>
        <w:bottom w:val="single" w:sz="4" w:space="0" w:color="B2D0E4" w:themeColor="accent2" w:themeTint="99"/>
        <w:right w:val="single" w:sz="4" w:space="0" w:color="B2D0E4" w:themeColor="accent2" w:themeTint="99"/>
        <w:insideH w:val="single" w:sz="4" w:space="0" w:color="B2D0E4" w:themeColor="accent2" w:themeTint="99"/>
        <w:insideV w:val="single" w:sz="4" w:space="0" w:color="B2D0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1D2" w:themeColor="accent2"/>
          <w:left w:val="single" w:sz="4" w:space="0" w:color="80B1D2" w:themeColor="accent2"/>
          <w:bottom w:val="single" w:sz="4" w:space="0" w:color="80B1D2" w:themeColor="accent2"/>
          <w:right w:val="single" w:sz="4" w:space="0" w:color="80B1D2" w:themeColor="accent2"/>
          <w:insideH w:val="nil"/>
          <w:insideV w:val="nil"/>
        </w:tcBorders>
        <w:shd w:val="clear" w:color="auto" w:fill="80B1D2" w:themeFill="accent2"/>
      </w:tcPr>
    </w:tblStylePr>
    <w:tblStylePr w:type="lastRow">
      <w:rPr>
        <w:b/>
        <w:bCs/>
      </w:rPr>
      <w:tblPr/>
      <w:tcPr>
        <w:tcBorders>
          <w:top w:val="double" w:sz="4" w:space="0" w:color="80B1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F6" w:themeFill="accent2" w:themeFillTint="33"/>
      </w:tcPr>
    </w:tblStylePr>
    <w:tblStylePr w:type="band1Horz">
      <w:tblPr/>
      <w:tcPr>
        <w:shd w:val="clear" w:color="auto" w:fill="E5EFF6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D8E7F1" w:themeColor="accent3" w:themeTint="99"/>
        <w:left w:val="single" w:sz="4" w:space="0" w:color="D8E7F1" w:themeColor="accent3" w:themeTint="99"/>
        <w:bottom w:val="single" w:sz="4" w:space="0" w:color="D8E7F1" w:themeColor="accent3" w:themeTint="99"/>
        <w:right w:val="single" w:sz="4" w:space="0" w:color="D8E7F1" w:themeColor="accent3" w:themeTint="99"/>
        <w:insideH w:val="single" w:sz="4" w:space="0" w:color="D8E7F1" w:themeColor="accent3" w:themeTint="99"/>
        <w:insideV w:val="single" w:sz="4" w:space="0" w:color="D8E7F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D8E8" w:themeColor="accent3"/>
          <w:left w:val="single" w:sz="4" w:space="0" w:color="BFD8E8" w:themeColor="accent3"/>
          <w:bottom w:val="single" w:sz="4" w:space="0" w:color="BFD8E8" w:themeColor="accent3"/>
          <w:right w:val="single" w:sz="4" w:space="0" w:color="BFD8E8" w:themeColor="accent3"/>
          <w:insideH w:val="nil"/>
          <w:insideV w:val="nil"/>
        </w:tcBorders>
        <w:shd w:val="clear" w:color="auto" w:fill="BFD8E8" w:themeFill="accent3"/>
      </w:tcPr>
    </w:tblStylePr>
    <w:tblStylePr w:type="lastRow">
      <w:rPr>
        <w:b/>
        <w:bCs/>
      </w:rPr>
      <w:tblPr/>
      <w:tcPr>
        <w:tcBorders>
          <w:top w:val="double" w:sz="4" w:space="0" w:color="BFD8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A" w:themeFill="accent3" w:themeFillTint="33"/>
      </w:tcPr>
    </w:tblStylePr>
    <w:tblStylePr w:type="band1Horz">
      <w:tblPr/>
      <w:tcPr>
        <w:shd w:val="clear" w:color="auto" w:fill="F2F7FA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4849D" w:themeColor="accent4" w:themeTint="99"/>
        <w:left w:val="single" w:sz="4" w:space="0" w:color="84849D" w:themeColor="accent4" w:themeTint="99"/>
        <w:bottom w:val="single" w:sz="4" w:space="0" w:color="84849D" w:themeColor="accent4" w:themeTint="99"/>
        <w:right w:val="single" w:sz="4" w:space="0" w:color="84849D" w:themeColor="accent4" w:themeTint="99"/>
        <w:insideH w:val="single" w:sz="4" w:space="0" w:color="84849D" w:themeColor="accent4" w:themeTint="99"/>
        <w:insideV w:val="single" w:sz="4" w:space="0" w:color="8484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4050" w:themeColor="accent4"/>
          <w:left w:val="single" w:sz="4" w:space="0" w:color="404050" w:themeColor="accent4"/>
          <w:bottom w:val="single" w:sz="4" w:space="0" w:color="404050" w:themeColor="accent4"/>
          <w:right w:val="single" w:sz="4" w:space="0" w:color="404050" w:themeColor="accent4"/>
          <w:insideH w:val="nil"/>
          <w:insideV w:val="nil"/>
        </w:tcBorders>
        <w:shd w:val="clear" w:color="auto" w:fill="404050" w:themeFill="accent4"/>
      </w:tcPr>
    </w:tblStylePr>
    <w:tblStylePr w:type="lastRow">
      <w:rPr>
        <w:b/>
        <w:bCs/>
      </w:rPr>
      <w:tblPr/>
      <w:tcPr>
        <w:tcBorders>
          <w:top w:val="double" w:sz="4" w:space="0" w:color="404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B2B9" w:themeColor="accent5" w:themeTint="99"/>
        <w:left w:val="single" w:sz="4" w:space="0" w:color="B2B2B9" w:themeColor="accent5" w:themeTint="99"/>
        <w:bottom w:val="single" w:sz="4" w:space="0" w:color="B2B2B9" w:themeColor="accent5" w:themeTint="99"/>
        <w:right w:val="single" w:sz="4" w:space="0" w:color="B2B2B9" w:themeColor="accent5" w:themeTint="99"/>
        <w:insideH w:val="single" w:sz="4" w:space="0" w:color="B2B2B9" w:themeColor="accent5" w:themeTint="99"/>
        <w:insideV w:val="single" w:sz="4" w:space="0" w:color="B2B2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B" w:themeColor="accent5"/>
          <w:left w:val="single" w:sz="4" w:space="0" w:color="80808B" w:themeColor="accent5"/>
          <w:bottom w:val="single" w:sz="4" w:space="0" w:color="80808B" w:themeColor="accent5"/>
          <w:right w:val="single" w:sz="4" w:space="0" w:color="80808B" w:themeColor="accent5"/>
          <w:insideH w:val="nil"/>
          <w:insideV w:val="nil"/>
        </w:tcBorders>
        <w:shd w:val="clear" w:color="auto" w:fill="80808B" w:themeFill="accent5"/>
      </w:tcPr>
    </w:tblStylePr>
    <w:tblStylePr w:type="lastRow">
      <w:rPr>
        <w:b/>
        <w:bCs/>
      </w:rPr>
      <w:tblPr/>
      <w:tcPr>
        <w:tcBorders>
          <w:top w:val="double" w:sz="4" w:space="0" w:color="8080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E0E0E2" w:themeColor="accent6" w:themeTint="99"/>
        <w:left w:val="single" w:sz="4" w:space="0" w:color="E0E0E2" w:themeColor="accent6" w:themeTint="99"/>
        <w:bottom w:val="single" w:sz="4" w:space="0" w:color="E0E0E2" w:themeColor="accent6" w:themeTint="99"/>
        <w:right w:val="single" w:sz="4" w:space="0" w:color="E0E0E2" w:themeColor="accent6" w:themeTint="99"/>
        <w:insideH w:val="single" w:sz="4" w:space="0" w:color="E0E0E2" w:themeColor="accent6" w:themeTint="99"/>
        <w:insideV w:val="single" w:sz="4" w:space="0" w:color="E0E0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CD0" w:themeColor="accent6"/>
          <w:left w:val="single" w:sz="4" w:space="0" w:color="CCCCD0" w:themeColor="accent6"/>
          <w:bottom w:val="single" w:sz="4" w:space="0" w:color="CCCCD0" w:themeColor="accent6"/>
          <w:right w:val="single" w:sz="4" w:space="0" w:color="CCCCD0" w:themeColor="accent6"/>
          <w:insideH w:val="nil"/>
          <w:insideV w:val="nil"/>
        </w:tcBorders>
        <w:shd w:val="clear" w:color="auto" w:fill="CCCCD0" w:themeFill="accent6"/>
      </w:tcPr>
    </w:tblStylePr>
    <w:tblStylePr w:type="lastRow">
      <w:rPr>
        <w:b/>
        <w:bCs/>
      </w:rPr>
      <w:tblPr/>
      <w:tcPr>
        <w:tcBorders>
          <w:top w:val="double" w:sz="4" w:space="0" w:color="CCCC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7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8AB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8AB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8AB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8ABB" w:themeFill="accent1"/>
      </w:tcPr>
    </w:tblStylePr>
    <w:tblStylePr w:type="band1Vert">
      <w:tblPr/>
      <w:tcPr>
        <w:shd w:val="clear" w:color="auto" w:fill="B1D0E4" w:themeFill="accent1" w:themeFillTint="66"/>
      </w:tcPr>
    </w:tblStylePr>
    <w:tblStylePr w:type="band1Horz">
      <w:tblPr/>
      <w:tcPr>
        <w:shd w:val="clear" w:color="auto" w:fill="B1D0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F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B1D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B1D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B1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B1D2" w:themeFill="accent2"/>
      </w:tcPr>
    </w:tblStylePr>
    <w:tblStylePr w:type="band1Vert">
      <w:tblPr/>
      <w:tcPr>
        <w:shd w:val="clear" w:color="auto" w:fill="CCDFED" w:themeFill="accent2" w:themeFillTint="66"/>
      </w:tcPr>
    </w:tblStylePr>
    <w:tblStylePr w:type="band1Horz">
      <w:tblPr/>
      <w:tcPr>
        <w:shd w:val="clear" w:color="auto" w:fill="CCDFE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D8E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D8E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D8E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D8E8" w:themeFill="accent3"/>
      </w:tcPr>
    </w:tblStylePr>
    <w:tblStylePr w:type="band1Vert">
      <w:tblPr/>
      <w:tcPr>
        <w:shd w:val="clear" w:color="auto" w:fill="E5EFF5" w:themeFill="accent3" w:themeFillTint="66"/>
      </w:tcPr>
    </w:tblStylePr>
    <w:tblStylePr w:type="band1Horz">
      <w:tblPr/>
      <w:tcPr>
        <w:shd w:val="clear" w:color="auto" w:fill="E5EFF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6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4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4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4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4050" w:themeFill="accent4"/>
      </w:tcPr>
    </w:tblStylePr>
    <w:tblStylePr w:type="band1Vert">
      <w:tblPr/>
      <w:tcPr>
        <w:shd w:val="clear" w:color="auto" w:fill="ADADBD" w:themeFill="accent4" w:themeFillTint="66"/>
      </w:tcPr>
    </w:tblStylePr>
    <w:tblStylePr w:type="band1Horz">
      <w:tblPr/>
      <w:tcPr>
        <w:shd w:val="clear" w:color="auto" w:fill="ADADB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B" w:themeFill="accent5"/>
      </w:tcPr>
    </w:tblStylePr>
    <w:tblStylePr w:type="band1Vert">
      <w:tblPr/>
      <w:tcPr>
        <w:shd w:val="clear" w:color="auto" w:fill="CCCCD0" w:themeFill="accent5" w:themeFillTint="66"/>
      </w:tcPr>
    </w:tblStylePr>
    <w:tblStylePr w:type="band1Horz">
      <w:tblPr/>
      <w:tcPr>
        <w:shd w:val="clear" w:color="auto" w:fill="CCCCD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C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C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CC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CCD0" w:themeFill="accent6"/>
      </w:tcPr>
    </w:tblStylePr>
    <w:tblStylePr w:type="band1Vert">
      <w:tblPr/>
      <w:tcPr>
        <w:shd w:val="clear" w:color="auto" w:fill="EAEAEC" w:themeFill="accent6" w:themeFillTint="66"/>
      </w:tcPr>
    </w:tblStylePr>
    <w:tblStylePr w:type="band1Horz">
      <w:tblPr/>
      <w:tcPr>
        <w:shd w:val="clear" w:color="auto" w:fill="EAEAEC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294A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294A5A"/>
    <w:pPr>
      <w:spacing w:after="0" w:line="240" w:lineRule="auto"/>
    </w:pPr>
    <w:rPr>
      <w:color w:val="30678C" w:themeColor="accent1" w:themeShade="BF"/>
    </w:rPr>
    <w:tblPr>
      <w:tblStyleRowBandSize w:val="1"/>
      <w:tblStyleColBandSize w:val="1"/>
      <w:tblBorders>
        <w:top w:val="single" w:sz="4" w:space="0" w:color="8BB8D7" w:themeColor="accent1" w:themeTint="99"/>
        <w:left w:val="single" w:sz="4" w:space="0" w:color="8BB8D7" w:themeColor="accent1" w:themeTint="99"/>
        <w:bottom w:val="single" w:sz="4" w:space="0" w:color="8BB8D7" w:themeColor="accent1" w:themeTint="99"/>
        <w:right w:val="single" w:sz="4" w:space="0" w:color="8BB8D7" w:themeColor="accent1" w:themeTint="99"/>
        <w:insideH w:val="single" w:sz="4" w:space="0" w:color="8BB8D7" w:themeColor="accent1" w:themeTint="99"/>
        <w:insideV w:val="single" w:sz="4" w:space="0" w:color="8BB8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BB8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B8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7F1" w:themeFill="accent1" w:themeFillTint="33"/>
      </w:tcPr>
    </w:tblStylePr>
    <w:tblStylePr w:type="band1Horz">
      <w:tblPr/>
      <w:tcPr>
        <w:shd w:val="clear" w:color="auto" w:fill="D8E7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294A5A"/>
    <w:pPr>
      <w:spacing w:after="0" w:line="240" w:lineRule="auto"/>
    </w:pPr>
    <w:rPr>
      <w:color w:val="428ABA" w:themeColor="accent2" w:themeShade="BF"/>
    </w:rPr>
    <w:tblPr>
      <w:tblStyleRowBandSize w:val="1"/>
      <w:tblStyleColBandSize w:val="1"/>
      <w:tblBorders>
        <w:top w:val="single" w:sz="4" w:space="0" w:color="B2D0E4" w:themeColor="accent2" w:themeTint="99"/>
        <w:left w:val="single" w:sz="4" w:space="0" w:color="B2D0E4" w:themeColor="accent2" w:themeTint="99"/>
        <w:bottom w:val="single" w:sz="4" w:space="0" w:color="B2D0E4" w:themeColor="accent2" w:themeTint="99"/>
        <w:right w:val="single" w:sz="4" w:space="0" w:color="B2D0E4" w:themeColor="accent2" w:themeTint="99"/>
        <w:insideH w:val="single" w:sz="4" w:space="0" w:color="B2D0E4" w:themeColor="accent2" w:themeTint="99"/>
        <w:insideV w:val="single" w:sz="4" w:space="0" w:color="B2D0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2D0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D0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F6" w:themeFill="accent2" w:themeFillTint="33"/>
      </w:tcPr>
    </w:tblStylePr>
    <w:tblStylePr w:type="band1Horz">
      <w:tblPr/>
      <w:tcPr>
        <w:shd w:val="clear" w:color="auto" w:fill="E5EFF6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294A5A"/>
    <w:pPr>
      <w:spacing w:after="0" w:line="240" w:lineRule="auto"/>
    </w:pPr>
    <w:rPr>
      <w:color w:val="70A8CC" w:themeColor="accent3" w:themeShade="BF"/>
    </w:rPr>
    <w:tblPr>
      <w:tblStyleRowBandSize w:val="1"/>
      <w:tblStyleColBandSize w:val="1"/>
      <w:tblBorders>
        <w:top w:val="single" w:sz="4" w:space="0" w:color="D8E7F1" w:themeColor="accent3" w:themeTint="99"/>
        <w:left w:val="single" w:sz="4" w:space="0" w:color="D8E7F1" w:themeColor="accent3" w:themeTint="99"/>
        <w:bottom w:val="single" w:sz="4" w:space="0" w:color="D8E7F1" w:themeColor="accent3" w:themeTint="99"/>
        <w:right w:val="single" w:sz="4" w:space="0" w:color="D8E7F1" w:themeColor="accent3" w:themeTint="99"/>
        <w:insideH w:val="single" w:sz="4" w:space="0" w:color="D8E7F1" w:themeColor="accent3" w:themeTint="99"/>
        <w:insideV w:val="single" w:sz="4" w:space="0" w:color="D8E7F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E7F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E7F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A" w:themeFill="accent3" w:themeFillTint="33"/>
      </w:tcPr>
    </w:tblStylePr>
    <w:tblStylePr w:type="band1Horz">
      <w:tblPr/>
      <w:tcPr>
        <w:shd w:val="clear" w:color="auto" w:fill="F2F7F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294A5A"/>
    <w:pPr>
      <w:spacing w:after="0" w:line="240" w:lineRule="auto"/>
    </w:pPr>
    <w:rPr>
      <w:color w:val="30303B" w:themeColor="accent4" w:themeShade="BF"/>
    </w:rPr>
    <w:tblPr>
      <w:tblStyleRowBandSize w:val="1"/>
      <w:tblStyleColBandSize w:val="1"/>
      <w:tblBorders>
        <w:top w:val="single" w:sz="4" w:space="0" w:color="84849D" w:themeColor="accent4" w:themeTint="99"/>
        <w:left w:val="single" w:sz="4" w:space="0" w:color="84849D" w:themeColor="accent4" w:themeTint="99"/>
        <w:bottom w:val="single" w:sz="4" w:space="0" w:color="84849D" w:themeColor="accent4" w:themeTint="99"/>
        <w:right w:val="single" w:sz="4" w:space="0" w:color="84849D" w:themeColor="accent4" w:themeTint="99"/>
        <w:insideH w:val="single" w:sz="4" w:space="0" w:color="84849D" w:themeColor="accent4" w:themeTint="99"/>
        <w:insideV w:val="single" w:sz="4" w:space="0" w:color="8484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484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84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294A5A"/>
    <w:pPr>
      <w:spacing w:after="0" w:line="240" w:lineRule="auto"/>
    </w:pPr>
    <w:rPr>
      <w:color w:val="5F5F68" w:themeColor="accent5" w:themeShade="BF"/>
    </w:rPr>
    <w:tblPr>
      <w:tblStyleRowBandSize w:val="1"/>
      <w:tblStyleColBandSize w:val="1"/>
      <w:tblBorders>
        <w:top w:val="single" w:sz="4" w:space="0" w:color="B2B2B9" w:themeColor="accent5" w:themeTint="99"/>
        <w:left w:val="single" w:sz="4" w:space="0" w:color="B2B2B9" w:themeColor="accent5" w:themeTint="99"/>
        <w:bottom w:val="single" w:sz="4" w:space="0" w:color="B2B2B9" w:themeColor="accent5" w:themeTint="99"/>
        <w:right w:val="single" w:sz="4" w:space="0" w:color="B2B2B9" w:themeColor="accent5" w:themeTint="99"/>
        <w:insideH w:val="single" w:sz="4" w:space="0" w:color="B2B2B9" w:themeColor="accent5" w:themeTint="99"/>
        <w:insideV w:val="single" w:sz="4" w:space="0" w:color="B2B2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294A5A"/>
    <w:pPr>
      <w:spacing w:after="0" w:line="240" w:lineRule="auto"/>
    </w:pPr>
    <w:rPr>
      <w:color w:val="96969E" w:themeColor="accent6" w:themeShade="BF"/>
    </w:rPr>
    <w:tblPr>
      <w:tblStyleRowBandSize w:val="1"/>
      <w:tblStyleColBandSize w:val="1"/>
      <w:tblBorders>
        <w:top w:val="single" w:sz="4" w:space="0" w:color="E0E0E2" w:themeColor="accent6" w:themeTint="99"/>
        <w:left w:val="single" w:sz="4" w:space="0" w:color="E0E0E2" w:themeColor="accent6" w:themeTint="99"/>
        <w:bottom w:val="single" w:sz="4" w:space="0" w:color="E0E0E2" w:themeColor="accent6" w:themeTint="99"/>
        <w:right w:val="single" w:sz="4" w:space="0" w:color="E0E0E2" w:themeColor="accent6" w:themeTint="99"/>
        <w:insideH w:val="single" w:sz="4" w:space="0" w:color="E0E0E2" w:themeColor="accent6" w:themeTint="99"/>
        <w:insideV w:val="single" w:sz="4" w:space="0" w:color="E0E0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0E0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0E0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294A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294A5A"/>
    <w:pPr>
      <w:spacing w:after="0" w:line="240" w:lineRule="auto"/>
    </w:pPr>
    <w:rPr>
      <w:color w:val="30678C" w:themeColor="accent1" w:themeShade="BF"/>
    </w:rPr>
    <w:tblPr>
      <w:tblStyleRowBandSize w:val="1"/>
      <w:tblStyleColBandSize w:val="1"/>
      <w:tblBorders>
        <w:top w:val="single" w:sz="4" w:space="0" w:color="8BB8D7" w:themeColor="accent1" w:themeTint="99"/>
        <w:left w:val="single" w:sz="4" w:space="0" w:color="8BB8D7" w:themeColor="accent1" w:themeTint="99"/>
        <w:bottom w:val="single" w:sz="4" w:space="0" w:color="8BB8D7" w:themeColor="accent1" w:themeTint="99"/>
        <w:right w:val="single" w:sz="4" w:space="0" w:color="8BB8D7" w:themeColor="accent1" w:themeTint="99"/>
        <w:insideH w:val="single" w:sz="4" w:space="0" w:color="8BB8D7" w:themeColor="accent1" w:themeTint="99"/>
        <w:insideV w:val="single" w:sz="4" w:space="0" w:color="8BB8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7F1" w:themeFill="accent1" w:themeFillTint="33"/>
      </w:tcPr>
    </w:tblStylePr>
    <w:tblStylePr w:type="band1Horz">
      <w:tblPr/>
      <w:tcPr>
        <w:shd w:val="clear" w:color="auto" w:fill="D8E7F1" w:themeFill="accent1" w:themeFillTint="33"/>
      </w:tcPr>
    </w:tblStylePr>
    <w:tblStylePr w:type="neCell">
      <w:tblPr/>
      <w:tcPr>
        <w:tcBorders>
          <w:bottom w:val="single" w:sz="4" w:space="0" w:color="8BB8D7" w:themeColor="accent1" w:themeTint="99"/>
        </w:tcBorders>
      </w:tcPr>
    </w:tblStylePr>
    <w:tblStylePr w:type="nwCell">
      <w:tblPr/>
      <w:tcPr>
        <w:tcBorders>
          <w:bottom w:val="single" w:sz="4" w:space="0" w:color="8BB8D7" w:themeColor="accent1" w:themeTint="99"/>
        </w:tcBorders>
      </w:tcPr>
    </w:tblStylePr>
    <w:tblStylePr w:type="seCell">
      <w:tblPr/>
      <w:tcPr>
        <w:tcBorders>
          <w:top w:val="single" w:sz="4" w:space="0" w:color="8BB8D7" w:themeColor="accent1" w:themeTint="99"/>
        </w:tcBorders>
      </w:tcPr>
    </w:tblStylePr>
    <w:tblStylePr w:type="swCell">
      <w:tblPr/>
      <w:tcPr>
        <w:tcBorders>
          <w:top w:val="single" w:sz="4" w:space="0" w:color="8BB8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294A5A"/>
    <w:pPr>
      <w:spacing w:after="0" w:line="240" w:lineRule="auto"/>
    </w:pPr>
    <w:rPr>
      <w:color w:val="428ABA" w:themeColor="accent2" w:themeShade="BF"/>
    </w:rPr>
    <w:tblPr>
      <w:tblStyleRowBandSize w:val="1"/>
      <w:tblStyleColBandSize w:val="1"/>
      <w:tblBorders>
        <w:top w:val="single" w:sz="4" w:space="0" w:color="B2D0E4" w:themeColor="accent2" w:themeTint="99"/>
        <w:left w:val="single" w:sz="4" w:space="0" w:color="B2D0E4" w:themeColor="accent2" w:themeTint="99"/>
        <w:bottom w:val="single" w:sz="4" w:space="0" w:color="B2D0E4" w:themeColor="accent2" w:themeTint="99"/>
        <w:right w:val="single" w:sz="4" w:space="0" w:color="B2D0E4" w:themeColor="accent2" w:themeTint="99"/>
        <w:insideH w:val="single" w:sz="4" w:space="0" w:color="B2D0E4" w:themeColor="accent2" w:themeTint="99"/>
        <w:insideV w:val="single" w:sz="4" w:space="0" w:color="B2D0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FF6" w:themeFill="accent2" w:themeFillTint="33"/>
      </w:tcPr>
    </w:tblStylePr>
    <w:tblStylePr w:type="band1Horz">
      <w:tblPr/>
      <w:tcPr>
        <w:shd w:val="clear" w:color="auto" w:fill="E5EFF6" w:themeFill="accent2" w:themeFillTint="33"/>
      </w:tcPr>
    </w:tblStylePr>
    <w:tblStylePr w:type="neCell">
      <w:tblPr/>
      <w:tcPr>
        <w:tcBorders>
          <w:bottom w:val="single" w:sz="4" w:space="0" w:color="B2D0E4" w:themeColor="accent2" w:themeTint="99"/>
        </w:tcBorders>
      </w:tcPr>
    </w:tblStylePr>
    <w:tblStylePr w:type="nwCell">
      <w:tblPr/>
      <w:tcPr>
        <w:tcBorders>
          <w:bottom w:val="single" w:sz="4" w:space="0" w:color="B2D0E4" w:themeColor="accent2" w:themeTint="99"/>
        </w:tcBorders>
      </w:tcPr>
    </w:tblStylePr>
    <w:tblStylePr w:type="seCell">
      <w:tblPr/>
      <w:tcPr>
        <w:tcBorders>
          <w:top w:val="single" w:sz="4" w:space="0" w:color="B2D0E4" w:themeColor="accent2" w:themeTint="99"/>
        </w:tcBorders>
      </w:tcPr>
    </w:tblStylePr>
    <w:tblStylePr w:type="swCell">
      <w:tblPr/>
      <w:tcPr>
        <w:tcBorders>
          <w:top w:val="single" w:sz="4" w:space="0" w:color="B2D0E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294A5A"/>
    <w:pPr>
      <w:spacing w:after="0" w:line="240" w:lineRule="auto"/>
    </w:pPr>
    <w:rPr>
      <w:color w:val="70A8CC" w:themeColor="accent3" w:themeShade="BF"/>
    </w:rPr>
    <w:tblPr>
      <w:tblStyleRowBandSize w:val="1"/>
      <w:tblStyleColBandSize w:val="1"/>
      <w:tblBorders>
        <w:top w:val="single" w:sz="4" w:space="0" w:color="D8E7F1" w:themeColor="accent3" w:themeTint="99"/>
        <w:left w:val="single" w:sz="4" w:space="0" w:color="D8E7F1" w:themeColor="accent3" w:themeTint="99"/>
        <w:bottom w:val="single" w:sz="4" w:space="0" w:color="D8E7F1" w:themeColor="accent3" w:themeTint="99"/>
        <w:right w:val="single" w:sz="4" w:space="0" w:color="D8E7F1" w:themeColor="accent3" w:themeTint="99"/>
        <w:insideH w:val="single" w:sz="4" w:space="0" w:color="D8E7F1" w:themeColor="accent3" w:themeTint="99"/>
        <w:insideV w:val="single" w:sz="4" w:space="0" w:color="D8E7F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A" w:themeFill="accent3" w:themeFillTint="33"/>
      </w:tcPr>
    </w:tblStylePr>
    <w:tblStylePr w:type="band1Horz">
      <w:tblPr/>
      <w:tcPr>
        <w:shd w:val="clear" w:color="auto" w:fill="F2F7FA" w:themeFill="accent3" w:themeFillTint="33"/>
      </w:tcPr>
    </w:tblStylePr>
    <w:tblStylePr w:type="neCell">
      <w:tblPr/>
      <w:tcPr>
        <w:tcBorders>
          <w:bottom w:val="single" w:sz="4" w:space="0" w:color="D8E7F1" w:themeColor="accent3" w:themeTint="99"/>
        </w:tcBorders>
      </w:tcPr>
    </w:tblStylePr>
    <w:tblStylePr w:type="nwCell">
      <w:tblPr/>
      <w:tcPr>
        <w:tcBorders>
          <w:bottom w:val="single" w:sz="4" w:space="0" w:color="D8E7F1" w:themeColor="accent3" w:themeTint="99"/>
        </w:tcBorders>
      </w:tcPr>
    </w:tblStylePr>
    <w:tblStylePr w:type="seCell">
      <w:tblPr/>
      <w:tcPr>
        <w:tcBorders>
          <w:top w:val="single" w:sz="4" w:space="0" w:color="D8E7F1" w:themeColor="accent3" w:themeTint="99"/>
        </w:tcBorders>
      </w:tcPr>
    </w:tblStylePr>
    <w:tblStylePr w:type="swCell">
      <w:tblPr/>
      <w:tcPr>
        <w:tcBorders>
          <w:top w:val="single" w:sz="4" w:space="0" w:color="D8E7F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294A5A"/>
    <w:pPr>
      <w:spacing w:after="0" w:line="240" w:lineRule="auto"/>
    </w:pPr>
    <w:rPr>
      <w:color w:val="30303B" w:themeColor="accent4" w:themeShade="BF"/>
    </w:rPr>
    <w:tblPr>
      <w:tblStyleRowBandSize w:val="1"/>
      <w:tblStyleColBandSize w:val="1"/>
      <w:tblBorders>
        <w:top w:val="single" w:sz="4" w:space="0" w:color="84849D" w:themeColor="accent4" w:themeTint="99"/>
        <w:left w:val="single" w:sz="4" w:space="0" w:color="84849D" w:themeColor="accent4" w:themeTint="99"/>
        <w:bottom w:val="single" w:sz="4" w:space="0" w:color="84849D" w:themeColor="accent4" w:themeTint="99"/>
        <w:right w:val="single" w:sz="4" w:space="0" w:color="84849D" w:themeColor="accent4" w:themeTint="99"/>
        <w:insideH w:val="single" w:sz="4" w:space="0" w:color="84849D" w:themeColor="accent4" w:themeTint="99"/>
        <w:insideV w:val="single" w:sz="4" w:space="0" w:color="8484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  <w:tblStylePr w:type="neCell">
      <w:tblPr/>
      <w:tcPr>
        <w:tcBorders>
          <w:bottom w:val="single" w:sz="4" w:space="0" w:color="84849D" w:themeColor="accent4" w:themeTint="99"/>
        </w:tcBorders>
      </w:tcPr>
    </w:tblStylePr>
    <w:tblStylePr w:type="nwCell">
      <w:tblPr/>
      <w:tcPr>
        <w:tcBorders>
          <w:bottom w:val="single" w:sz="4" w:space="0" w:color="84849D" w:themeColor="accent4" w:themeTint="99"/>
        </w:tcBorders>
      </w:tcPr>
    </w:tblStylePr>
    <w:tblStylePr w:type="seCell">
      <w:tblPr/>
      <w:tcPr>
        <w:tcBorders>
          <w:top w:val="single" w:sz="4" w:space="0" w:color="84849D" w:themeColor="accent4" w:themeTint="99"/>
        </w:tcBorders>
      </w:tcPr>
    </w:tblStylePr>
    <w:tblStylePr w:type="swCell">
      <w:tblPr/>
      <w:tcPr>
        <w:tcBorders>
          <w:top w:val="single" w:sz="4" w:space="0" w:color="84849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294A5A"/>
    <w:pPr>
      <w:spacing w:after="0" w:line="240" w:lineRule="auto"/>
    </w:pPr>
    <w:rPr>
      <w:color w:val="5F5F68" w:themeColor="accent5" w:themeShade="BF"/>
    </w:rPr>
    <w:tblPr>
      <w:tblStyleRowBandSize w:val="1"/>
      <w:tblStyleColBandSize w:val="1"/>
      <w:tblBorders>
        <w:top w:val="single" w:sz="4" w:space="0" w:color="B2B2B9" w:themeColor="accent5" w:themeTint="99"/>
        <w:left w:val="single" w:sz="4" w:space="0" w:color="B2B2B9" w:themeColor="accent5" w:themeTint="99"/>
        <w:bottom w:val="single" w:sz="4" w:space="0" w:color="B2B2B9" w:themeColor="accent5" w:themeTint="99"/>
        <w:right w:val="single" w:sz="4" w:space="0" w:color="B2B2B9" w:themeColor="accent5" w:themeTint="99"/>
        <w:insideH w:val="single" w:sz="4" w:space="0" w:color="B2B2B9" w:themeColor="accent5" w:themeTint="99"/>
        <w:insideV w:val="single" w:sz="4" w:space="0" w:color="B2B2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bottom w:val="single" w:sz="4" w:space="0" w:color="B2B2B9" w:themeColor="accent5" w:themeTint="99"/>
        </w:tcBorders>
      </w:tcPr>
    </w:tblStylePr>
    <w:tblStylePr w:type="nwCell">
      <w:tblPr/>
      <w:tcPr>
        <w:tcBorders>
          <w:bottom w:val="single" w:sz="4" w:space="0" w:color="B2B2B9" w:themeColor="accent5" w:themeTint="99"/>
        </w:tcBorders>
      </w:tcPr>
    </w:tblStylePr>
    <w:tblStylePr w:type="seCell">
      <w:tblPr/>
      <w:tcPr>
        <w:tcBorders>
          <w:top w:val="single" w:sz="4" w:space="0" w:color="B2B2B9" w:themeColor="accent5" w:themeTint="99"/>
        </w:tcBorders>
      </w:tcPr>
    </w:tblStylePr>
    <w:tblStylePr w:type="swCell">
      <w:tblPr/>
      <w:tcPr>
        <w:tcBorders>
          <w:top w:val="single" w:sz="4" w:space="0" w:color="B2B2B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294A5A"/>
    <w:pPr>
      <w:spacing w:after="0" w:line="240" w:lineRule="auto"/>
    </w:pPr>
    <w:rPr>
      <w:color w:val="96969E" w:themeColor="accent6" w:themeShade="BF"/>
    </w:rPr>
    <w:tblPr>
      <w:tblStyleRowBandSize w:val="1"/>
      <w:tblStyleColBandSize w:val="1"/>
      <w:tblBorders>
        <w:top w:val="single" w:sz="4" w:space="0" w:color="E0E0E2" w:themeColor="accent6" w:themeTint="99"/>
        <w:left w:val="single" w:sz="4" w:space="0" w:color="E0E0E2" w:themeColor="accent6" w:themeTint="99"/>
        <w:bottom w:val="single" w:sz="4" w:space="0" w:color="E0E0E2" w:themeColor="accent6" w:themeTint="99"/>
        <w:right w:val="single" w:sz="4" w:space="0" w:color="E0E0E2" w:themeColor="accent6" w:themeTint="99"/>
        <w:insideH w:val="single" w:sz="4" w:space="0" w:color="E0E0E2" w:themeColor="accent6" w:themeTint="99"/>
        <w:insideV w:val="single" w:sz="4" w:space="0" w:color="E0E0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  <w:tblStylePr w:type="neCell">
      <w:tblPr/>
      <w:tcPr>
        <w:tcBorders>
          <w:bottom w:val="single" w:sz="4" w:space="0" w:color="E0E0E2" w:themeColor="accent6" w:themeTint="99"/>
        </w:tcBorders>
      </w:tcPr>
    </w:tblStylePr>
    <w:tblStylePr w:type="nwCell">
      <w:tblPr/>
      <w:tcPr>
        <w:tcBorders>
          <w:bottom w:val="single" w:sz="4" w:space="0" w:color="E0E0E2" w:themeColor="accent6" w:themeTint="99"/>
        </w:tcBorders>
      </w:tcPr>
    </w:tblStylePr>
    <w:tblStylePr w:type="seCell">
      <w:tblPr/>
      <w:tcPr>
        <w:tcBorders>
          <w:top w:val="single" w:sz="4" w:space="0" w:color="E0E0E2" w:themeColor="accent6" w:themeTint="99"/>
        </w:tcBorders>
      </w:tcPr>
    </w:tblStylePr>
    <w:tblStylePr w:type="swCell">
      <w:tblPr/>
      <w:tcPr>
        <w:tcBorders>
          <w:top w:val="single" w:sz="4" w:space="0" w:color="E0E0E2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8ABB" w:themeColor="accent1"/>
        <w:left w:val="single" w:sz="8" w:space="0" w:color="408ABB" w:themeColor="accent1"/>
        <w:bottom w:val="single" w:sz="8" w:space="0" w:color="408ABB" w:themeColor="accent1"/>
        <w:right w:val="single" w:sz="8" w:space="0" w:color="408ABB" w:themeColor="accent1"/>
        <w:insideH w:val="single" w:sz="8" w:space="0" w:color="408ABB" w:themeColor="accent1"/>
        <w:insideV w:val="single" w:sz="8" w:space="0" w:color="408AB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8ABB" w:themeColor="accent1"/>
          <w:left w:val="single" w:sz="8" w:space="0" w:color="408ABB" w:themeColor="accent1"/>
          <w:bottom w:val="single" w:sz="18" w:space="0" w:color="408ABB" w:themeColor="accent1"/>
          <w:right w:val="single" w:sz="8" w:space="0" w:color="408ABB" w:themeColor="accent1"/>
          <w:insideH w:val="nil"/>
          <w:insideV w:val="single" w:sz="8" w:space="0" w:color="408AB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8ABB" w:themeColor="accent1"/>
          <w:left w:val="single" w:sz="8" w:space="0" w:color="408ABB" w:themeColor="accent1"/>
          <w:bottom w:val="single" w:sz="8" w:space="0" w:color="408ABB" w:themeColor="accent1"/>
          <w:right w:val="single" w:sz="8" w:space="0" w:color="408ABB" w:themeColor="accent1"/>
          <w:insideH w:val="nil"/>
          <w:insideV w:val="single" w:sz="8" w:space="0" w:color="408AB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8ABB" w:themeColor="accent1"/>
          <w:left w:val="single" w:sz="8" w:space="0" w:color="408ABB" w:themeColor="accent1"/>
          <w:bottom w:val="single" w:sz="8" w:space="0" w:color="408ABB" w:themeColor="accent1"/>
          <w:right w:val="single" w:sz="8" w:space="0" w:color="408ABB" w:themeColor="accent1"/>
        </w:tcBorders>
      </w:tcPr>
    </w:tblStylePr>
    <w:tblStylePr w:type="band1Vert">
      <w:tblPr/>
      <w:tcPr>
        <w:tcBorders>
          <w:top w:val="single" w:sz="8" w:space="0" w:color="408ABB" w:themeColor="accent1"/>
          <w:left w:val="single" w:sz="8" w:space="0" w:color="408ABB" w:themeColor="accent1"/>
          <w:bottom w:val="single" w:sz="8" w:space="0" w:color="408ABB" w:themeColor="accent1"/>
          <w:right w:val="single" w:sz="8" w:space="0" w:color="408ABB" w:themeColor="accent1"/>
        </w:tcBorders>
        <w:shd w:val="clear" w:color="auto" w:fill="CFE2EE" w:themeFill="accent1" w:themeFillTint="3F"/>
      </w:tcPr>
    </w:tblStylePr>
    <w:tblStylePr w:type="band1Horz">
      <w:tblPr/>
      <w:tcPr>
        <w:tcBorders>
          <w:top w:val="single" w:sz="8" w:space="0" w:color="408ABB" w:themeColor="accent1"/>
          <w:left w:val="single" w:sz="8" w:space="0" w:color="408ABB" w:themeColor="accent1"/>
          <w:bottom w:val="single" w:sz="8" w:space="0" w:color="408ABB" w:themeColor="accent1"/>
          <w:right w:val="single" w:sz="8" w:space="0" w:color="408ABB" w:themeColor="accent1"/>
          <w:insideV w:val="single" w:sz="8" w:space="0" w:color="408ABB" w:themeColor="accent1"/>
        </w:tcBorders>
        <w:shd w:val="clear" w:color="auto" w:fill="CFE2EE" w:themeFill="accent1" w:themeFillTint="3F"/>
      </w:tcPr>
    </w:tblStylePr>
    <w:tblStylePr w:type="band2Horz">
      <w:tblPr/>
      <w:tcPr>
        <w:tcBorders>
          <w:top w:val="single" w:sz="8" w:space="0" w:color="408ABB" w:themeColor="accent1"/>
          <w:left w:val="single" w:sz="8" w:space="0" w:color="408ABB" w:themeColor="accent1"/>
          <w:bottom w:val="single" w:sz="8" w:space="0" w:color="408ABB" w:themeColor="accent1"/>
          <w:right w:val="single" w:sz="8" w:space="0" w:color="408ABB" w:themeColor="accent1"/>
          <w:insideV w:val="single" w:sz="8" w:space="0" w:color="408AB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0B1D2" w:themeColor="accent2"/>
        <w:left w:val="single" w:sz="8" w:space="0" w:color="80B1D2" w:themeColor="accent2"/>
        <w:bottom w:val="single" w:sz="8" w:space="0" w:color="80B1D2" w:themeColor="accent2"/>
        <w:right w:val="single" w:sz="8" w:space="0" w:color="80B1D2" w:themeColor="accent2"/>
        <w:insideH w:val="single" w:sz="8" w:space="0" w:color="80B1D2" w:themeColor="accent2"/>
        <w:insideV w:val="single" w:sz="8" w:space="0" w:color="80B1D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B1D2" w:themeColor="accent2"/>
          <w:left w:val="single" w:sz="8" w:space="0" w:color="80B1D2" w:themeColor="accent2"/>
          <w:bottom w:val="single" w:sz="18" w:space="0" w:color="80B1D2" w:themeColor="accent2"/>
          <w:right w:val="single" w:sz="8" w:space="0" w:color="80B1D2" w:themeColor="accent2"/>
          <w:insideH w:val="nil"/>
          <w:insideV w:val="single" w:sz="8" w:space="0" w:color="80B1D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B1D2" w:themeColor="accent2"/>
          <w:left w:val="single" w:sz="8" w:space="0" w:color="80B1D2" w:themeColor="accent2"/>
          <w:bottom w:val="single" w:sz="8" w:space="0" w:color="80B1D2" w:themeColor="accent2"/>
          <w:right w:val="single" w:sz="8" w:space="0" w:color="80B1D2" w:themeColor="accent2"/>
          <w:insideH w:val="nil"/>
          <w:insideV w:val="single" w:sz="8" w:space="0" w:color="80B1D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B1D2" w:themeColor="accent2"/>
          <w:left w:val="single" w:sz="8" w:space="0" w:color="80B1D2" w:themeColor="accent2"/>
          <w:bottom w:val="single" w:sz="8" w:space="0" w:color="80B1D2" w:themeColor="accent2"/>
          <w:right w:val="single" w:sz="8" w:space="0" w:color="80B1D2" w:themeColor="accent2"/>
        </w:tcBorders>
      </w:tcPr>
    </w:tblStylePr>
    <w:tblStylePr w:type="band1Vert">
      <w:tblPr/>
      <w:tcPr>
        <w:tcBorders>
          <w:top w:val="single" w:sz="8" w:space="0" w:color="80B1D2" w:themeColor="accent2"/>
          <w:left w:val="single" w:sz="8" w:space="0" w:color="80B1D2" w:themeColor="accent2"/>
          <w:bottom w:val="single" w:sz="8" w:space="0" w:color="80B1D2" w:themeColor="accent2"/>
          <w:right w:val="single" w:sz="8" w:space="0" w:color="80B1D2" w:themeColor="accent2"/>
        </w:tcBorders>
        <w:shd w:val="clear" w:color="auto" w:fill="DFEBF3" w:themeFill="accent2" w:themeFillTint="3F"/>
      </w:tcPr>
    </w:tblStylePr>
    <w:tblStylePr w:type="band1Horz">
      <w:tblPr/>
      <w:tcPr>
        <w:tcBorders>
          <w:top w:val="single" w:sz="8" w:space="0" w:color="80B1D2" w:themeColor="accent2"/>
          <w:left w:val="single" w:sz="8" w:space="0" w:color="80B1D2" w:themeColor="accent2"/>
          <w:bottom w:val="single" w:sz="8" w:space="0" w:color="80B1D2" w:themeColor="accent2"/>
          <w:right w:val="single" w:sz="8" w:space="0" w:color="80B1D2" w:themeColor="accent2"/>
          <w:insideV w:val="single" w:sz="8" w:space="0" w:color="80B1D2" w:themeColor="accent2"/>
        </w:tcBorders>
        <w:shd w:val="clear" w:color="auto" w:fill="DFEBF3" w:themeFill="accent2" w:themeFillTint="3F"/>
      </w:tcPr>
    </w:tblStylePr>
    <w:tblStylePr w:type="band2Horz">
      <w:tblPr/>
      <w:tcPr>
        <w:tcBorders>
          <w:top w:val="single" w:sz="8" w:space="0" w:color="80B1D2" w:themeColor="accent2"/>
          <w:left w:val="single" w:sz="8" w:space="0" w:color="80B1D2" w:themeColor="accent2"/>
          <w:bottom w:val="single" w:sz="8" w:space="0" w:color="80B1D2" w:themeColor="accent2"/>
          <w:right w:val="single" w:sz="8" w:space="0" w:color="80B1D2" w:themeColor="accent2"/>
          <w:insideV w:val="single" w:sz="8" w:space="0" w:color="80B1D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FD8E8" w:themeColor="accent3"/>
        <w:left w:val="single" w:sz="8" w:space="0" w:color="BFD8E8" w:themeColor="accent3"/>
        <w:bottom w:val="single" w:sz="8" w:space="0" w:color="BFD8E8" w:themeColor="accent3"/>
        <w:right w:val="single" w:sz="8" w:space="0" w:color="BFD8E8" w:themeColor="accent3"/>
        <w:insideH w:val="single" w:sz="8" w:space="0" w:color="BFD8E8" w:themeColor="accent3"/>
        <w:insideV w:val="single" w:sz="8" w:space="0" w:color="BFD8E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D8E8" w:themeColor="accent3"/>
          <w:left w:val="single" w:sz="8" w:space="0" w:color="BFD8E8" w:themeColor="accent3"/>
          <w:bottom w:val="single" w:sz="18" w:space="0" w:color="BFD8E8" w:themeColor="accent3"/>
          <w:right w:val="single" w:sz="8" w:space="0" w:color="BFD8E8" w:themeColor="accent3"/>
          <w:insideH w:val="nil"/>
          <w:insideV w:val="single" w:sz="8" w:space="0" w:color="BFD8E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D8E8" w:themeColor="accent3"/>
          <w:left w:val="single" w:sz="8" w:space="0" w:color="BFD8E8" w:themeColor="accent3"/>
          <w:bottom w:val="single" w:sz="8" w:space="0" w:color="BFD8E8" w:themeColor="accent3"/>
          <w:right w:val="single" w:sz="8" w:space="0" w:color="BFD8E8" w:themeColor="accent3"/>
          <w:insideH w:val="nil"/>
          <w:insideV w:val="single" w:sz="8" w:space="0" w:color="BFD8E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D8E8" w:themeColor="accent3"/>
          <w:left w:val="single" w:sz="8" w:space="0" w:color="BFD8E8" w:themeColor="accent3"/>
          <w:bottom w:val="single" w:sz="8" w:space="0" w:color="BFD8E8" w:themeColor="accent3"/>
          <w:right w:val="single" w:sz="8" w:space="0" w:color="BFD8E8" w:themeColor="accent3"/>
        </w:tcBorders>
      </w:tcPr>
    </w:tblStylePr>
    <w:tblStylePr w:type="band1Vert">
      <w:tblPr/>
      <w:tcPr>
        <w:tcBorders>
          <w:top w:val="single" w:sz="8" w:space="0" w:color="BFD8E8" w:themeColor="accent3"/>
          <w:left w:val="single" w:sz="8" w:space="0" w:color="BFD8E8" w:themeColor="accent3"/>
          <w:bottom w:val="single" w:sz="8" w:space="0" w:color="BFD8E8" w:themeColor="accent3"/>
          <w:right w:val="single" w:sz="8" w:space="0" w:color="BFD8E8" w:themeColor="accent3"/>
        </w:tcBorders>
        <w:shd w:val="clear" w:color="auto" w:fill="EFF5F9" w:themeFill="accent3" w:themeFillTint="3F"/>
      </w:tcPr>
    </w:tblStylePr>
    <w:tblStylePr w:type="band1Horz">
      <w:tblPr/>
      <w:tcPr>
        <w:tcBorders>
          <w:top w:val="single" w:sz="8" w:space="0" w:color="BFD8E8" w:themeColor="accent3"/>
          <w:left w:val="single" w:sz="8" w:space="0" w:color="BFD8E8" w:themeColor="accent3"/>
          <w:bottom w:val="single" w:sz="8" w:space="0" w:color="BFD8E8" w:themeColor="accent3"/>
          <w:right w:val="single" w:sz="8" w:space="0" w:color="BFD8E8" w:themeColor="accent3"/>
          <w:insideV w:val="single" w:sz="8" w:space="0" w:color="BFD8E8" w:themeColor="accent3"/>
        </w:tcBorders>
        <w:shd w:val="clear" w:color="auto" w:fill="EFF5F9" w:themeFill="accent3" w:themeFillTint="3F"/>
      </w:tcPr>
    </w:tblStylePr>
    <w:tblStylePr w:type="band2Horz">
      <w:tblPr/>
      <w:tcPr>
        <w:tcBorders>
          <w:top w:val="single" w:sz="8" w:space="0" w:color="BFD8E8" w:themeColor="accent3"/>
          <w:left w:val="single" w:sz="8" w:space="0" w:color="BFD8E8" w:themeColor="accent3"/>
          <w:bottom w:val="single" w:sz="8" w:space="0" w:color="BFD8E8" w:themeColor="accent3"/>
          <w:right w:val="single" w:sz="8" w:space="0" w:color="BFD8E8" w:themeColor="accent3"/>
          <w:insideV w:val="single" w:sz="8" w:space="0" w:color="BFD8E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50" w:themeColor="accent4"/>
        <w:left w:val="single" w:sz="8" w:space="0" w:color="404050" w:themeColor="accent4"/>
        <w:bottom w:val="single" w:sz="8" w:space="0" w:color="404050" w:themeColor="accent4"/>
        <w:right w:val="single" w:sz="8" w:space="0" w:color="404050" w:themeColor="accent4"/>
        <w:insideH w:val="single" w:sz="8" w:space="0" w:color="404050" w:themeColor="accent4"/>
        <w:insideV w:val="single" w:sz="8" w:space="0" w:color="404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18" w:space="0" w:color="404050" w:themeColor="accent4"/>
          <w:right w:val="single" w:sz="8" w:space="0" w:color="404050" w:themeColor="accent4"/>
          <w:insideH w:val="nil"/>
          <w:insideV w:val="single" w:sz="8" w:space="0" w:color="404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  <w:insideH w:val="nil"/>
          <w:insideV w:val="single" w:sz="8" w:space="0" w:color="404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</w:tcBorders>
      </w:tcPr>
    </w:tblStylePr>
    <w:tblStylePr w:type="band1Vert"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</w:tcBorders>
        <w:shd w:val="clear" w:color="auto" w:fill="CCCCD6" w:themeFill="accent4" w:themeFillTint="3F"/>
      </w:tcPr>
    </w:tblStylePr>
    <w:tblStylePr w:type="band1Horz"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  <w:insideV w:val="single" w:sz="8" w:space="0" w:color="404050" w:themeColor="accent4"/>
        </w:tcBorders>
        <w:shd w:val="clear" w:color="auto" w:fill="CCCCD6" w:themeFill="accent4" w:themeFillTint="3F"/>
      </w:tcPr>
    </w:tblStylePr>
    <w:tblStylePr w:type="band2Horz"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  <w:insideV w:val="single" w:sz="8" w:space="0" w:color="404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0808B" w:themeColor="accent5"/>
        <w:left w:val="single" w:sz="8" w:space="0" w:color="80808B" w:themeColor="accent5"/>
        <w:bottom w:val="single" w:sz="8" w:space="0" w:color="80808B" w:themeColor="accent5"/>
        <w:right w:val="single" w:sz="8" w:space="0" w:color="80808B" w:themeColor="accent5"/>
        <w:insideH w:val="single" w:sz="8" w:space="0" w:color="80808B" w:themeColor="accent5"/>
        <w:insideV w:val="single" w:sz="8" w:space="0" w:color="8080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18" w:space="0" w:color="80808B" w:themeColor="accent5"/>
          <w:right w:val="single" w:sz="8" w:space="0" w:color="80808B" w:themeColor="accent5"/>
          <w:insideH w:val="nil"/>
          <w:insideV w:val="single" w:sz="8" w:space="0" w:color="8080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  <w:insideH w:val="nil"/>
          <w:insideV w:val="single" w:sz="8" w:space="0" w:color="8080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</w:tcBorders>
      </w:tcPr>
    </w:tblStylePr>
    <w:tblStylePr w:type="band1Vert"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</w:tcBorders>
        <w:shd w:val="clear" w:color="auto" w:fill="DFDFE2" w:themeFill="accent5" w:themeFillTint="3F"/>
      </w:tcPr>
    </w:tblStylePr>
    <w:tblStylePr w:type="band1Horz"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  <w:insideV w:val="single" w:sz="8" w:space="0" w:color="80808B" w:themeColor="accent5"/>
        </w:tcBorders>
        <w:shd w:val="clear" w:color="auto" w:fill="DFDFE2" w:themeFill="accent5" w:themeFillTint="3F"/>
      </w:tcPr>
    </w:tblStylePr>
    <w:tblStylePr w:type="band2Horz"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  <w:insideV w:val="single" w:sz="8" w:space="0" w:color="80808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CCCD0" w:themeColor="accent6"/>
        <w:left w:val="single" w:sz="8" w:space="0" w:color="CCCCD0" w:themeColor="accent6"/>
        <w:bottom w:val="single" w:sz="8" w:space="0" w:color="CCCCD0" w:themeColor="accent6"/>
        <w:right w:val="single" w:sz="8" w:space="0" w:color="CCCCD0" w:themeColor="accent6"/>
        <w:insideH w:val="single" w:sz="8" w:space="0" w:color="CCCCD0" w:themeColor="accent6"/>
        <w:insideV w:val="single" w:sz="8" w:space="0" w:color="CCCC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18" w:space="0" w:color="CCCCD0" w:themeColor="accent6"/>
          <w:right w:val="single" w:sz="8" w:space="0" w:color="CCCCD0" w:themeColor="accent6"/>
          <w:insideH w:val="nil"/>
          <w:insideV w:val="single" w:sz="8" w:space="0" w:color="CCCC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  <w:insideH w:val="nil"/>
          <w:insideV w:val="single" w:sz="8" w:space="0" w:color="CCCC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</w:tcBorders>
      </w:tcPr>
    </w:tblStylePr>
    <w:tblStylePr w:type="band1Vert"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</w:tcBorders>
        <w:shd w:val="clear" w:color="auto" w:fill="F2F2F3" w:themeFill="accent6" w:themeFillTint="3F"/>
      </w:tcPr>
    </w:tblStylePr>
    <w:tblStylePr w:type="band1Horz"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  <w:insideV w:val="single" w:sz="8" w:space="0" w:color="CCCCD0" w:themeColor="accent6"/>
        </w:tcBorders>
        <w:shd w:val="clear" w:color="auto" w:fill="F2F2F3" w:themeFill="accent6" w:themeFillTint="3F"/>
      </w:tcPr>
    </w:tblStylePr>
    <w:tblStylePr w:type="band2Horz"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  <w:insideV w:val="single" w:sz="8" w:space="0" w:color="CCCCD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0B1D2" w:themeColor="accent2"/>
        <w:left w:val="single" w:sz="8" w:space="0" w:color="80B1D2" w:themeColor="accent2"/>
        <w:bottom w:val="single" w:sz="8" w:space="0" w:color="80B1D2" w:themeColor="accent2"/>
        <w:right w:val="single" w:sz="8" w:space="0" w:color="80B1D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B1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B1D2" w:themeColor="accent2"/>
          <w:left w:val="single" w:sz="8" w:space="0" w:color="80B1D2" w:themeColor="accent2"/>
          <w:bottom w:val="single" w:sz="8" w:space="0" w:color="80B1D2" w:themeColor="accent2"/>
          <w:right w:val="single" w:sz="8" w:space="0" w:color="80B1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B1D2" w:themeColor="accent2"/>
          <w:left w:val="single" w:sz="8" w:space="0" w:color="80B1D2" w:themeColor="accent2"/>
          <w:bottom w:val="single" w:sz="8" w:space="0" w:color="80B1D2" w:themeColor="accent2"/>
          <w:right w:val="single" w:sz="8" w:space="0" w:color="80B1D2" w:themeColor="accent2"/>
        </w:tcBorders>
      </w:tcPr>
    </w:tblStylePr>
    <w:tblStylePr w:type="band1Horz">
      <w:tblPr/>
      <w:tcPr>
        <w:tcBorders>
          <w:top w:val="single" w:sz="8" w:space="0" w:color="80B1D2" w:themeColor="accent2"/>
          <w:left w:val="single" w:sz="8" w:space="0" w:color="80B1D2" w:themeColor="accent2"/>
          <w:bottom w:val="single" w:sz="8" w:space="0" w:color="80B1D2" w:themeColor="accent2"/>
          <w:right w:val="single" w:sz="8" w:space="0" w:color="80B1D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FD8E8" w:themeColor="accent3"/>
        <w:left w:val="single" w:sz="8" w:space="0" w:color="BFD8E8" w:themeColor="accent3"/>
        <w:bottom w:val="single" w:sz="8" w:space="0" w:color="BFD8E8" w:themeColor="accent3"/>
        <w:right w:val="single" w:sz="8" w:space="0" w:color="BFD8E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D8E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D8E8" w:themeColor="accent3"/>
          <w:left w:val="single" w:sz="8" w:space="0" w:color="BFD8E8" w:themeColor="accent3"/>
          <w:bottom w:val="single" w:sz="8" w:space="0" w:color="BFD8E8" w:themeColor="accent3"/>
          <w:right w:val="single" w:sz="8" w:space="0" w:color="BFD8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D8E8" w:themeColor="accent3"/>
          <w:left w:val="single" w:sz="8" w:space="0" w:color="BFD8E8" w:themeColor="accent3"/>
          <w:bottom w:val="single" w:sz="8" w:space="0" w:color="BFD8E8" w:themeColor="accent3"/>
          <w:right w:val="single" w:sz="8" w:space="0" w:color="BFD8E8" w:themeColor="accent3"/>
        </w:tcBorders>
      </w:tcPr>
    </w:tblStylePr>
    <w:tblStylePr w:type="band1Horz">
      <w:tblPr/>
      <w:tcPr>
        <w:tcBorders>
          <w:top w:val="single" w:sz="8" w:space="0" w:color="BFD8E8" w:themeColor="accent3"/>
          <w:left w:val="single" w:sz="8" w:space="0" w:color="BFD8E8" w:themeColor="accent3"/>
          <w:bottom w:val="single" w:sz="8" w:space="0" w:color="BFD8E8" w:themeColor="accent3"/>
          <w:right w:val="single" w:sz="8" w:space="0" w:color="BFD8E8" w:themeColor="accent3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0808B" w:themeColor="accent5"/>
        <w:left w:val="single" w:sz="8" w:space="0" w:color="80808B" w:themeColor="accent5"/>
        <w:bottom w:val="single" w:sz="8" w:space="0" w:color="80808B" w:themeColor="accent5"/>
        <w:right w:val="single" w:sz="8" w:space="0" w:color="8080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</w:tcBorders>
      </w:tcPr>
    </w:tblStylePr>
    <w:tblStylePr w:type="band1Horz"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CCCD0" w:themeColor="accent6"/>
        <w:left w:val="single" w:sz="8" w:space="0" w:color="CCCCD0" w:themeColor="accent6"/>
        <w:bottom w:val="single" w:sz="8" w:space="0" w:color="CCCCD0" w:themeColor="accent6"/>
        <w:right w:val="single" w:sz="8" w:space="0" w:color="CCCC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CC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</w:tcBorders>
      </w:tcPr>
    </w:tblStylePr>
    <w:tblStylePr w:type="band1Horz"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</w:tcBorders>
      </w:tcPr>
    </w:tblStylePr>
  </w:style>
  <w:style w:type="table" w:styleId="LightShading-Accent1">
    <w:name w:val="Light Shading Accent 1"/>
    <w:basedOn w:val="TableNormal"/>
    <w:uiPriority w:val="60"/>
    <w:semiHidden/>
    <w:rsid w:val="00294A5A"/>
    <w:pPr>
      <w:spacing w:before="0" w:after="0" w:line="240" w:lineRule="auto"/>
    </w:pPr>
    <w:rPr>
      <w:color w:val="30678C" w:themeColor="accent1" w:themeShade="BF"/>
    </w:rPr>
    <w:tblPr>
      <w:tblStyleRowBandSize w:val="1"/>
      <w:tblStyleColBandSize w:val="1"/>
      <w:tblBorders>
        <w:top w:val="single" w:sz="8" w:space="0" w:color="408ABB" w:themeColor="accent1"/>
        <w:bottom w:val="single" w:sz="8" w:space="0" w:color="408AB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8ABB" w:themeColor="accent1"/>
          <w:left w:val="nil"/>
          <w:bottom w:val="single" w:sz="8" w:space="0" w:color="408AB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8ABB" w:themeColor="accent1"/>
          <w:left w:val="nil"/>
          <w:bottom w:val="single" w:sz="8" w:space="0" w:color="408AB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2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2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294A5A"/>
    <w:pPr>
      <w:spacing w:before="0" w:after="0" w:line="240" w:lineRule="auto"/>
    </w:pPr>
    <w:rPr>
      <w:color w:val="428ABA" w:themeColor="accent2" w:themeShade="BF"/>
    </w:rPr>
    <w:tblPr>
      <w:tblStyleRowBandSize w:val="1"/>
      <w:tblStyleColBandSize w:val="1"/>
      <w:tblBorders>
        <w:top w:val="single" w:sz="8" w:space="0" w:color="80B1D2" w:themeColor="accent2"/>
        <w:bottom w:val="single" w:sz="8" w:space="0" w:color="80B1D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1D2" w:themeColor="accent2"/>
          <w:left w:val="nil"/>
          <w:bottom w:val="single" w:sz="8" w:space="0" w:color="80B1D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1D2" w:themeColor="accent2"/>
          <w:left w:val="nil"/>
          <w:bottom w:val="single" w:sz="8" w:space="0" w:color="80B1D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B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BF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294A5A"/>
    <w:pPr>
      <w:spacing w:before="0" w:after="0" w:line="240" w:lineRule="auto"/>
    </w:pPr>
    <w:rPr>
      <w:color w:val="70A8CC" w:themeColor="accent3" w:themeShade="BF"/>
    </w:rPr>
    <w:tblPr>
      <w:tblStyleRowBandSize w:val="1"/>
      <w:tblStyleColBandSize w:val="1"/>
      <w:tblBorders>
        <w:top w:val="single" w:sz="8" w:space="0" w:color="BFD8E8" w:themeColor="accent3"/>
        <w:bottom w:val="single" w:sz="8" w:space="0" w:color="BFD8E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8E8" w:themeColor="accent3"/>
          <w:left w:val="nil"/>
          <w:bottom w:val="single" w:sz="8" w:space="0" w:color="BFD8E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8E8" w:themeColor="accent3"/>
          <w:left w:val="nil"/>
          <w:bottom w:val="single" w:sz="8" w:space="0" w:color="BFD8E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294A5A"/>
    <w:pPr>
      <w:spacing w:before="0" w:after="0" w:line="240" w:lineRule="auto"/>
    </w:pPr>
    <w:rPr>
      <w:color w:val="30303B" w:themeColor="accent4" w:themeShade="BF"/>
    </w:rPr>
    <w:tblPr>
      <w:tblStyleRowBandSize w:val="1"/>
      <w:tblStyleColBandSize w:val="1"/>
      <w:tblBorders>
        <w:top w:val="single" w:sz="8" w:space="0" w:color="404050" w:themeColor="accent4"/>
        <w:bottom w:val="single" w:sz="8" w:space="0" w:color="404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4050" w:themeColor="accent4"/>
          <w:left w:val="nil"/>
          <w:bottom w:val="single" w:sz="8" w:space="0" w:color="404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4050" w:themeColor="accent4"/>
          <w:left w:val="nil"/>
          <w:bottom w:val="single" w:sz="8" w:space="0" w:color="404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CD6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294A5A"/>
    <w:pPr>
      <w:spacing w:before="0" w:after="0" w:line="240" w:lineRule="auto"/>
    </w:pPr>
    <w:rPr>
      <w:color w:val="5F5F68" w:themeColor="accent5" w:themeShade="BF"/>
    </w:rPr>
    <w:tblPr>
      <w:tblStyleRowBandSize w:val="1"/>
      <w:tblStyleColBandSize w:val="1"/>
      <w:tblBorders>
        <w:top w:val="single" w:sz="8" w:space="0" w:color="80808B" w:themeColor="accent5"/>
        <w:bottom w:val="single" w:sz="8" w:space="0" w:color="8080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B" w:themeColor="accent5"/>
          <w:left w:val="nil"/>
          <w:bottom w:val="single" w:sz="8" w:space="0" w:color="8080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B" w:themeColor="accent5"/>
          <w:left w:val="nil"/>
          <w:bottom w:val="single" w:sz="8" w:space="0" w:color="8080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E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294A5A"/>
    <w:pPr>
      <w:spacing w:before="0" w:after="0" w:line="240" w:lineRule="auto"/>
    </w:pPr>
    <w:rPr>
      <w:color w:val="96969E" w:themeColor="accent6" w:themeShade="BF"/>
    </w:rPr>
    <w:tblPr>
      <w:tblStyleRowBandSize w:val="1"/>
      <w:tblStyleColBandSize w:val="1"/>
      <w:tblBorders>
        <w:top w:val="single" w:sz="8" w:space="0" w:color="CCCCD0" w:themeColor="accent6"/>
        <w:bottom w:val="single" w:sz="8" w:space="0" w:color="CCCC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D0" w:themeColor="accent6"/>
          <w:left w:val="nil"/>
          <w:bottom w:val="single" w:sz="8" w:space="0" w:color="CCCC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D0" w:themeColor="accent6"/>
          <w:left w:val="nil"/>
          <w:bottom w:val="single" w:sz="8" w:space="0" w:color="CCCC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2F3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B8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B8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7F1" w:themeFill="accent1" w:themeFillTint="33"/>
      </w:tcPr>
    </w:tblStylePr>
    <w:tblStylePr w:type="band1Horz">
      <w:tblPr/>
      <w:tcPr>
        <w:shd w:val="clear" w:color="auto" w:fill="D8E7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D0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D0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F6" w:themeFill="accent2" w:themeFillTint="33"/>
      </w:tcPr>
    </w:tblStylePr>
    <w:tblStylePr w:type="band1Horz">
      <w:tblPr/>
      <w:tcPr>
        <w:shd w:val="clear" w:color="auto" w:fill="E5EFF6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E7F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E7F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A" w:themeFill="accent3" w:themeFillTint="33"/>
      </w:tcPr>
    </w:tblStylePr>
    <w:tblStylePr w:type="band1Horz">
      <w:tblPr/>
      <w:tcPr>
        <w:shd w:val="clear" w:color="auto" w:fill="F2F7F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84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84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0E0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0E0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BB8D7" w:themeColor="accent1" w:themeTint="99"/>
        <w:bottom w:val="single" w:sz="4" w:space="0" w:color="8BB8D7" w:themeColor="accent1" w:themeTint="99"/>
        <w:insideH w:val="single" w:sz="4" w:space="0" w:color="8BB8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7F1" w:themeFill="accent1" w:themeFillTint="33"/>
      </w:tcPr>
    </w:tblStylePr>
    <w:tblStylePr w:type="band1Horz">
      <w:tblPr/>
      <w:tcPr>
        <w:shd w:val="clear" w:color="auto" w:fill="D8E7F1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D0E4" w:themeColor="accent2" w:themeTint="99"/>
        <w:bottom w:val="single" w:sz="4" w:space="0" w:color="B2D0E4" w:themeColor="accent2" w:themeTint="99"/>
        <w:insideH w:val="single" w:sz="4" w:space="0" w:color="B2D0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F6" w:themeFill="accent2" w:themeFillTint="33"/>
      </w:tcPr>
    </w:tblStylePr>
    <w:tblStylePr w:type="band1Horz">
      <w:tblPr/>
      <w:tcPr>
        <w:shd w:val="clear" w:color="auto" w:fill="E5EFF6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D8E7F1" w:themeColor="accent3" w:themeTint="99"/>
        <w:bottom w:val="single" w:sz="4" w:space="0" w:color="D8E7F1" w:themeColor="accent3" w:themeTint="99"/>
        <w:insideH w:val="single" w:sz="4" w:space="0" w:color="D8E7F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A" w:themeFill="accent3" w:themeFillTint="33"/>
      </w:tcPr>
    </w:tblStylePr>
    <w:tblStylePr w:type="band1Horz">
      <w:tblPr/>
      <w:tcPr>
        <w:shd w:val="clear" w:color="auto" w:fill="F2F7FA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4849D" w:themeColor="accent4" w:themeTint="99"/>
        <w:bottom w:val="single" w:sz="4" w:space="0" w:color="84849D" w:themeColor="accent4" w:themeTint="99"/>
        <w:insideH w:val="single" w:sz="4" w:space="0" w:color="8484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B2B9" w:themeColor="accent5" w:themeTint="99"/>
        <w:bottom w:val="single" w:sz="4" w:space="0" w:color="B2B2B9" w:themeColor="accent5" w:themeTint="99"/>
        <w:insideH w:val="single" w:sz="4" w:space="0" w:color="B2B2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E0E0E2" w:themeColor="accent6" w:themeTint="99"/>
        <w:bottom w:val="single" w:sz="4" w:space="0" w:color="E0E0E2" w:themeColor="accent6" w:themeTint="99"/>
        <w:insideH w:val="single" w:sz="4" w:space="0" w:color="E0E0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408ABB" w:themeColor="accent1"/>
        <w:left w:val="single" w:sz="4" w:space="0" w:color="408ABB" w:themeColor="accent1"/>
        <w:bottom w:val="single" w:sz="4" w:space="0" w:color="408ABB" w:themeColor="accent1"/>
        <w:right w:val="single" w:sz="4" w:space="0" w:color="408AB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8ABB" w:themeFill="accent1"/>
      </w:tcPr>
    </w:tblStylePr>
    <w:tblStylePr w:type="lastRow">
      <w:rPr>
        <w:b/>
        <w:bCs/>
      </w:rPr>
      <w:tblPr/>
      <w:tcPr>
        <w:tcBorders>
          <w:top w:val="double" w:sz="4" w:space="0" w:color="408AB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8ABB" w:themeColor="accent1"/>
          <w:right w:val="single" w:sz="4" w:space="0" w:color="408ABB" w:themeColor="accent1"/>
        </w:tcBorders>
      </w:tcPr>
    </w:tblStylePr>
    <w:tblStylePr w:type="band1Horz">
      <w:tblPr/>
      <w:tcPr>
        <w:tcBorders>
          <w:top w:val="single" w:sz="4" w:space="0" w:color="408ABB" w:themeColor="accent1"/>
          <w:bottom w:val="single" w:sz="4" w:space="0" w:color="408AB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8ABB" w:themeColor="accent1"/>
          <w:left w:val="nil"/>
        </w:tcBorders>
      </w:tcPr>
    </w:tblStylePr>
    <w:tblStylePr w:type="swCell">
      <w:tblPr/>
      <w:tcPr>
        <w:tcBorders>
          <w:top w:val="double" w:sz="4" w:space="0" w:color="408AB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0B1D2" w:themeColor="accent2"/>
        <w:left w:val="single" w:sz="4" w:space="0" w:color="80B1D2" w:themeColor="accent2"/>
        <w:bottom w:val="single" w:sz="4" w:space="0" w:color="80B1D2" w:themeColor="accent2"/>
        <w:right w:val="single" w:sz="4" w:space="0" w:color="80B1D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B1D2" w:themeFill="accent2"/>
      </w:tcPr>
    </w:tblStylePr>
    <w:tblStylePr w:type="lastRow">
      <w:rPr>
        <w:b/>
        <w:bCs/>
      </w:rPr>
      <w:tblPr/>
      <w:tcPr>
        <w:tcBorders>
          <w:top w:val="double" w:sz="4" w:space="0" w:color="80B1D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B1D2" w:themeColor="accent2"/>
          <w:right w:val="single" w:sz="4" w:space="0" w:color="80B1D2" w:themeColor="accent2"/>
        </w:tcBorders>
      </w:tcPr>
    </w:tblStylePr>
    <w:tblStylePr w:type="band1Horz">
      <w:tblPr/>
      <w:tcPr>
        <w:tcBorders>
          <w:top w:val="single" w:sz="4" w:space="0" w:color="80B1D2" w:themeColor="accent2"/>
          <w:bottom w:val="single" w:sz="4" w:space="0" w:color="80B1D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B1D2" w:themeColor="accent2"/>
          <w:left w:val="nil"/>
        </w:tcBorders>
      </w:tcPr>
    </w:tblStylePr>
    <w:tblStylePr w:type="swCell">
      <w:tblPr/>
      <w:tcPr>
        <w:tcBorders>
          <w:top w:val="double" w:sz="4" w:space="0" w:color="80B1D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FD8E8" w:themeColor="accent3"/>
        <w:left w:val="single" w:sz="4" w:space="0" w:color="BFD8E8" w:themeColor="accent3"/>
        <w:bottom w:val="single" w:sz="4" w:space="0" w:color="BFD8E8" w:themeColor="accent3"/>
        <w:right w:val="single" w:sz="4" w:space="0" w:color="BFD8E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D8E8" w:themeFill="accent3"/>
      </w:tcPr>
    </w:tblStylePr>
    <w:tblStylePr w:type="lastRow">
      <w:rPr>
        <w:b/>
        <w:bCs/>
      </w:rPr>
      <w:tblPr/>
      <w:tcPr>
        <w:tcBorders>
          <w:top w:val="double" w:sz="4" w:space="0" w:color="BFD8E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D8E8" w:themeColor="accent3"/>
          <w:right w:val="single" w:sz="4" w:space="0" w:color="BFD8E8" w:themeColor="accent3"/>
        </w:tcBorders>
      </w:tcPr>
    </w:tblStylePr>
    <w:tblStylePr w:type="band1Horz">
      <w:tblPr/>
      <w:tcPr>
        <w:tcBorders>
          <w:top w:val="single" w:sz="4" w:space="0" w:color="BFD8E8" w:themeColor="accent3"/>
          <w:bottom w:val="single" w:sz="4" w:space="0" w:color="BFD8E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D8E8" w:themeColor="accent3"/>
          <w:left w:val="nil"/>
        </w:tcBorders>
      </w:tcPr>
    </w:tblStylePr>
    <w:tblStylePr w:type="swCell">
      <w:tblPr/>
      <w:tcPr>
        <w:tcBorders>
          <w:top w:val="double" w:sz="4" w:space="0" w:color="BFD8E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404050" w:themeColor="accent4"/>
        <w:left w:val="single" w:sz="4" w:space="0" w:color="404050" w:themeColor="accent4"/>
        <w:bottom w:val="single" w:sz="4" w:space="0" w:color="404050" w:themeColor="accent4"/>
        <w:right w:val="single" w:sz="4" w:space="0" w:color="404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4050" w:themeFill="accent4"/>
      </w:tcPr>
    </w:tblStylePr>
    <w:tblStylePr w:type="lastRow">
      <w:rPr>
        <w:b/>
        <w:bCs/>
      </w:rPr>
      <w:tblPr/>
      <w:tcPr>
        <w:tcBorders>
          <w:top w:val="double" w:sz="4" w:space="0" w:color="404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4050" w:themeColor="accent4"/>
          <w:right w:val="single" w:sz="4" w:space="0" w:color="404050" w:themeColor="accent4"/>
        </w:tcBorders>
      </w:tcPr>
    </w:tblStylePr>
    <w:tblStylePr w:type="band1Horz">
      <w:tblPr/>
      <w:tcPr>
        <w:tcBorders>
          <w:top w:val="single" w:sz="4" w:space="0" w:color="404050" w:themeColor="accent4"/>
          <w:bottom w:val="single" w:sz="4" w:space="0" w:color="404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4050" w:themeColor="accent4"/>
          <w:left w:val="nil"/>
        </w:tcBorders>
      </w:tcPr>
    </w:tblStylePr>
    <w:tblStylePr w:type="swCell">
      <w:tblPr/>
      <w:tcPr>
        <w:tcBorders>
          <w:top w:val="double" w:sz="4" w:space="0" w:color="404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0808B" w:themeColor="accent5"/>
        <w:left w:val="single" w:sz="4" w:space="0" w:color="80808B" w:themeColor="accent5"/>
        <w:bottom w:val="single" w:sz="4" w:space="0" w:color="80808B" w:themeColor="accent5"/>
        <w:right w:val="single" w:sz="4" w:space="0" w:color="8080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B" w:themeFill="accent5"/>
      </w:tcPr>
    </w:tblStylePr>
    <w:tblStylePr w:type="lastRow">
      <w:rPr>
        <w:b/>
        <w:bCs/>
      </w:rPr>
      <w:tblPr/>
      <w:tcPr>
        <w:tcBorders>
          <w:top w:val="double" w:sz="4" w:space="0" w:color="8080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B" w:themeColor="accent5"/>
          <w:right w:val="single" w:sz="4" w:space="0" w:color="80808B" w:themeColor="accent5"/>
        </w:tcBorders>
      </w:tcPr>
    </w:tblStylePr>
    <w:tblStylePr w:type="band1Horz">
      <w:tblPr/>
      <w:tcPr>
        <w:tcBorders>
          <w:top w:val="single" w:sz="4" w:space="0" w:color="80808B" w:themeColor="accent5"/>
          <w:bottom w:val="single" w:sz="4" w:space="0" w:color="8080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B" w:themeColor="accent5"/>
          <w:left w:val="nil"/>
        </w:tcBorders>
      </w:tcPr>
    </w:tblStylePr>
    <w:tblStylePr w:type="swCell">
      <w:tblPr/>
      <w:tcPr>
        <w:tcBorders>
          <w:top w:val="double" w:sz="4" w:space="0" w:color="80808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CCCCD0" w:themeColor="accent6"/>
        <w:left w:val="single" w:sz="4" w:space="0" w:color="CCCCD0" w:themeColor="accent6"/>
        <w:bottom w:val="single" w:sz="4" w:space="0" w:color="CCCCD0" w:themeColor="accent6"/>
        <w:right w:val="single" w:sz="4" w:space="0" w:color="CCCC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CCD0" w:themeFill="accent6"/>
      </w:tcPr>
    </w:tblStylePr>
    <w:tblStylePr w:type="lastRow">
      <w:rPr>
        <w:b/>
        <w:bCs/>
      </w:rPr>
      <w:tblPr/>
      <w:tcPr>
        <w:tcBorders>
          <w:top w:val="double" w:sz="4" w:space="0" w:color="CCCC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CCD0" w:themeColor="accent6"/>
          <w:right w:val="single" w:sz="4" w:space="0" w:color="CCCCD0" w:themeColor="accent6"/>
        </w:tcBorders>
      </w:tcPr>
    </w:tblStylePr>
    <w:tblStylePr w:type="band1Horz">
      <w:tblPr/>
      <w:tcPr>
        <w:tcBorders>
          <w:top w:val="single" w:sz="4" w:space="0" w:color="CCCCD0" w:themeColor="accent6"/>
          <w:bottom w:val="single" w:sz="4" w:space="0" w:color="CCCC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CCD0" w:themeColor="accent6"/>
          <w:left w:val="nil"/>
        </w:tcBorders>
      </w:tcPr>
    </w:tblStylePr>
    <w:tblStylePr w:type="swCell">
      <w:tblPr/>
      <w:tcPr>
        <w:tcBorders>
          <w:top w:val="double" w:sz="4" w:space="0" w:color="CCCC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BB8D7" w:themeColor="accent1" w:themeTint="99"/>
        <w:left w:val="single" w:sz="4" w:space="0" w:color="8BB8D7" w:themeColor="accent1" w:themeTint="99"/>
        <w:bottom w:val="single" w:sz="4" w:space="0" w:color="8BB8D7" w:themeColor="accent1" w:themeTint="99"/>
        <w:right w:val="single" w:sz="4" w:space="0" w:color="8BB8D7" w:themeColor="accent1" w:themeTint="99"/>
        <w:insideH w:val="single" w:sz="4" w:space="0" w:color="8BB8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8ABB" w:themeColor="accent1"/>
          <w:left w:val="single" w:sz="4" w:space="0" w:color="408ABB" w:themeColor="accent1"/>
          <w:bottom w:val="single" w:sz="4" w:space="0" w:color="408ABB" w:themeColor="accent1"/>
          <w:right w:val="single" w:sz="4" w:space="0" w:color="408ABB" w:themeColor="accent1"/>
          <w:insideH w:val="nil"/>
        </w:tcBorders>
        <w:shd w:val="clear" w:color="auto" w:fill="408ABB" w:themeFill="accent1"/>
      </w:tcPr>
    </w:tblStylePr>
    <w:tblStylePr w:type="lastRow">
      <w:rPr>
        <w:b/>
        <w:bCs/>
      </w:rPr>
      <w:tblPr/>
      <w:tcPr>
        <w:tcBorders>
          <w:top w:val="double" w:sz="4" w:space="0" w:color="8BB8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7F1" w:themeFill="accent1" w:themeFillTint="33"/>
      </w:tcPr>
    </w:tblStylePr>
    <w:tblStylePr w:type="band1Horz">
      <w:tblPr/>
      <w:tcPr>
        <w:shd w:val="clear" w:color="auto" w:fill="D8E7F1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D0E4" w:themeColor="accent2" w:themeTint="99"/>
        <w:left w:val="single" w:sz="4" w:space="0" w:color="B2D0E4" w:themeColor="accent2" w:themeTint="99"/>
        <w:bottom w:val="single" w:sz="4" w:space="0" w:color="B2D0E4" w:themeColor="accent2" w:themeTint="99"/>
        <w:right w:val="single" w:sz="4" w:space="0" w:color="B2D0E4" w:themeColor="accent2" w:themeTint="99"/>
        <w:insideH w:val="single" w:sz="4" w:space="0" w:color="B2D0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1D2" w:themeColor="accent2"/>
          <w:left w:val="single" w:sz="4" w:space="0" w:color="80B1D2" w:themeColor="accent2"/>
          <w:bottom w:val="single" w:sz="4" w:space="0" w:color="80B1D2" w:themeColor="accent2"/>
          <w:right w:val="single" w:sz="4" w:space="0" w:color="80B1D2" w:themeColor="accent2"/>
          <w:insideH w:val="nil"/>
        </w:tcBorders>
        <w:shd w:val="clear" w:color="auto" w:fill="80B1D2" w:themeFill="accent2"/>
      </w:tcPr>
    </w:tblStylePr>
    <w:tblStylePr w:type="lastRow">
      <w:rPr>
        <w:b/>
        <w:bCs/>
      </w:rPr>
      <w:tblPr/>
      <w:tcPr>
        <w:tcBorders>
          <w:top w:val="double" w:sz="4" w:space="0" w:color="B2D0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F6" w:themeFill="accent2" w:themeFillTint="33"/>
      </w:tcPr>
    </w:tblStylePr>
    <w:tblStylePr w:type="band1Horz">
      <w:tblPr/>
      <w:tcPr>
        <w:shd w:val="clear" w:color="auto" w:fill="E5EFF6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D8E7F1" w:themeColor="accent3" w:themeTint="99"/>
        <w:left w:val="single" w:sz="4" w:space="0" w:color="D8E7F1" w:themeColor="accent3" w:themeTint="99"/>
        <w:bottom w:val="single" w:sz="4" w:space="0" w:color="D8E7F1" w:themeColor="accent3" w:themeTint="99"/>
        <w:right w:val="single" w:sz="4" w:space="0" w:color="D8E7F1" w:themeColor="accent3" w:themeTint="99"/>
        <w:insideH w:val="single" w:sz="4" w:space="0" w:color="D8E7F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D8E8" w:themeColor="accent3"/>
          <w:left w:val="single" w:sz="4" w:space="0" w:color="BFD8E8" w:themeColor="accent3"/>
          <w:bottom w:val="single" w:sz="4" w:space="0" w:color="BFD8E8" w:themeColor="accent3"/>
          <w:right w:val="single" w:sz="4" w:space="0" w:color="BFD8E8" w:themeColor="accent3"/>
          <w:insideH w:val="nil"/>
        </w:tcBorders>
        <w:shd w:val="clear" w:color="auto" w:fill="BFD8E8" w:themeFill="accent3"/>
      </w:tcPr>
    </w:tblStylePr>
    <w:tblStylePr w:type="lastRow">
      <w:rPr>
        <w:b/>
        <w:bCs/>
      </w:rPr>
      <w:tblPr/>
      <w:tcPr>
        <w:tcBorders>
          <w:top w:val="double" w:sz="4" w:space="0" w:color="D8E7F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A" w:themeFill="accent3" w:themeFillTint="33"/>
      </w:tcPr>
    </w:tblStylePr>
    <w:tblStylePr w:type="band1Horz">
      <w:tblPr/>
      <w:tcPr>
        <w:shd w:val="clear" w:color="auto" w:fill="F2F7FA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4849D" w:themeColor="accent4" w:themeTint="99"/>
        <w:left w:val="single" w:sz="4" w:space="0" w:color="84849D" w:themeColor="accent4" w:themeTint="99"/>
        <w:bottom w:val="single" w:sz="4" w:space="0" w:color="84849D" w:themeColor="accent4" w:themeTint="99"/>
        <w:right w:val="single" w:sz="4" w:space="0" w:color="84849D" w:themeColor="accent4" w:themeTint="99"/>
        <w:insideH w:val="single" w:sz="4" w:space="0" w:color="8484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4050" w:themeColor="accent4"/>
          <w:left w:val="single" w:sz="4" w:space="0" w:color="404050" w:themeColor="accent4"/>
          <w:bottom w:val="single" w:sz="4" w:space="0" w:color="404050" w:themeColor="accent4"/>
          <w:right w:val="single" w:sz="4" w:space="0" w:color="404050" w:themeColor="accent4"/>
          <w:insideH w:val="nil"/>
        </w:tcBorders>
        <w:shd w:val="clear" w:color="auto" w:fill="404050" w:themeFill="accent4"/>
      </w:tcPr>
    </w:tblStylePr>
    <w:tblStylePr w:type="lastRow">
      <w:rPr>
        <w:b/>
        <w:bCs/>
      </w:rPr>
      <w:tblPr/>
      <w:tcPr>
        <w:tcBorders>
          <w:top w:val="double" w:sz="4" w:space="0" w:color="8484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B2B9" w:themeColor="accent5" w:themeTint="99"/>
        <w:left w:val="single" w:sz="4" w:space="0" w:color="B2B2B9" w:themeColor="accent5" w:themeTint="99"/>
        <w:bottom w:val="single" w:sz="4" w:space="0" w:color="B2B2B9" w:themeColor="accent5" w:themeTint="99"/>
        <w:right w:val="single" w:sz="4" w:space="0" w:color="B2B2B9" w:themeColor="accent5" w:themeTint="99"/>
        <w:insideH w:val="single" w:sz="4" w:space="0" w:color="B2B2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B" w:themeColor="accent5"/>
          <w:left w:val="single" w:sz="4" w:space="0" w:color="80808B" w:themeColor="accent5"/>
          <w:bottom w:val="single" w:sz="4" w:space="0" w:color="80808B" w:themeColor="accent5"/>
          <w:right w:val="single" w:sz="4" w:space="0" w:color="80808B" w:themeColor="accent5"/>
          <w:insideH w:val="nil"/>
        </w:tcBorders>
        <w:shd w:val="clear" w:color="auto" w:fill="80808B" w:themeFill="accent5"/>
      </w:tcPr>
    </w:tblStylePr>
    <w:tblStylePr w:type="lastRow">
      <w:rPr>
        <w:b/>
        <w:bCs/>
      </w:rPr>
      <w:tblPr/>
      <w:tcPr>
        <w:tcBorders>
          <w:top w:val="double" w:sz="4" w:space="0" w:color="B2B2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E0E0E2" w:themeColor="accent6" w:themeTint="99"/>
        <w:left w:val="single" w:sz="4" w:space="0" w:color="E0E0E2" w:themeColor="accent6" w:themeTint="99"/>
        <w:bottom w:val="single" w:sz="4" w:space="0" w:color="E0E0E2" w:themeColor="accent6" w:themeTint="99"/>
        <w:right w:val="single" w:sz="4" w:space="0" w:color="E0E0E2" w:themeColor="accent6" w:themeTint="99"/>
        <w:insideH w:val="single" w:sz="4" w:space="0" w:color="E0E0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CD0" w:themeColor="accent6"/>
          <w:left w:val="single" w:sz="4" w:space="0" w:color="CCCCD0" w:themeColor="accent6"/>
          <w:bottom w:val="single" w:sz="4" w:space="0" w:color="CCCCD0" w:themeColor="accent6"/>
          <w:right w:val="single" w:sz="4" w:space="0" w:color="CCCCD0" w:themeColor="accent6"/>
          <w:insideH w:val="nil"/>
        </w:tcBorders>
        <w:shd w:val="clear" w:color="auto" w:fill="CCCCD0" w:themeFill="accent6"/>
      </w:tcPr>
    </w:tblStylePr>
    <w:tblStylePr w:type="lastRow">
      <w:rPr>
        <w:b/>
        <w:bCs/>
      </w:rPr>
      <w:tblPr/>
      <w:tcPr>
        <w:tcBorders>
          <w:top w:val="double" w:sz="4" w:space="0" w:color="E0E0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8ABB" w:themeColor="accent1"/>
        <w:left w:val="single" w:sz="24" w:space="0" w:color="408ABB" w:themeColor="accent1"/>
        <w:bottom w:val="single" w:sz="24" w:space="0" w:color="408ABB" w:themeColor="accent1"/>
        <w:right w:val="single" w:sz="24" w:space="0" w:color="408ABB" w:themeColor="accent1"/>
      </w:tblBorders>
    </w:tblPr>
    <w:tcPr>
      <w:shd w:val="clear" w:color="auto" w:fill="408AB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B1D2" w:themeColor="accent2"/>
        <w:left w:val="single" w:sz="24" w:space="0" w:color="80B1D2" w:themeColor="accent2"/>
        <w:bottom w:val="single" w:sz="24" w:space="0" w:color="80B1D2" w:themeColor="accent2"/>
        <w:right w:val="single" w:sz="24" w:space="0" w:color="80B1D2" w:themeColor="accent2"/>
      </w:tblBorders>
    </w:tblPr>
    <w:tcPr>
      <w:shd w:val="clear" w:color="auto" w:fill="80B1D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D8E8" w:themeColor="accent3"/>
        <w:left w:val="single" w:sz="24" w:space="0" w:color="BFD8E8" w:themeColor="accent3"/>
        <w:bottom w:val="single" w:sz="24" w:space="0" w:color="BFD8E8" w:themeColor="accent3"/>
        <w:right w:val="single" w:sz="24" w:space="0" w:color="BFD8E8" w:themeColor="accent3"/>
      </w:tblBorders>
    </w:tblPr>
    <w:tcPr>
      <w:shd w:val="clear" w:color="auto" w:fill="BFD8E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4050" w:themeColor="accent4"/>
        <w:left w:val="single" w:sz="24" w:space="0" w:color="404050" w:themeColor="accent4"/>
        <w:bottom w:val="single" w:sz="24" w:space="0" w:color="404050" w:themeColor="accent4"/>
        <w:right w:val="single" w:sz="24" w:space="0" w:color="404050" w:themeColor="accent4"/>
      </w:tblBorders>
    </w:tblPr>
    <w:tcPr>
      <w:shd w:val="clear" w:color="auto" w:fill="404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B" w:themeColor="accent5"/>
        <w:left w:val="single" w:sz="24" w:space="0" w:color="80808B" w:themeColor="accent5"/>
        <w:bottom w:val="single" w:sz="24" w:space="0" w:color="80808B" w:themeColor="accent5"/>
        <w:right w:val="single" w:sz="24" w:space="0" w:color="80808B" w:themeColor="accent5"/>
      </w:tblBorders>
    </w:tblPr>
    <w:tcPr>
      <w:shd w:val="clear" w:color="auto" w:fill="8080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CCD0" w:themeColor="accent6"/>
        <w:left w:val="single" w:sz="24" w:space="0" w:color="CCCCD0" w:themeColor="accent6"/>
        <w:bottom w:val="single" w:sz="24" w:space="0" w:color="CCCCD0" w:themeColor="accent6"/>
        <w:right w:val="single" w:sz="24" w:space="0" w:color="CCCCD0" w:themeColor="accent6"/>
      </w:tblBorders>
    </w:tblPr>
    <w:tcPr>
      <w:shd w:val="clear" w:color="auto" w:fill="CCCC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294A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294A5A"/>
    <w:pPr>
      <w:spacing w:after="0" w:line="240" w:lineRule="auto"/>
    </w:pPr>
    <w:rPr>
      <w:color w:val="30678C" w:themeColor="accent1" w:themeShade="BF"/>
    </w:rPr>
    <w:tblPr>
      <w:tblStyleRowBandSize w:val="1"/>
      <w:tblStyleColBandSize w:val="1"/>
      <w:tblBorders>
        <w:top w:val="single" w:sz="4" w:space="0" w:color="408ABB" w:themeColor="accent1"/>
        <w:bottom w:val="single" w:sz="4" w:space="0" w:color="408AB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08AB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08A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7F1" w:themeFill="accent1" w:themeFillTint="33"/>
      </w:tcPr>
    </w:tblStylePr>
    <w:tblStylePr w:type="band1Horz">
      <w:tblPr/>
      <w:tcPr>
        <w:shd w:val="clear" w:color="auto" w:fill="D8E7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294A5A"/>
    <w:pPr>
      <w:spacing w:after="0" w:line="240" w:lineRule="auto"/>
    </w:pPr>
    <w:rPr>
      <w:color w:val="428ABA" w:themeColor="accent2" w:themeShade="BF"/>
    </w:rPr>
    <w:tblPr>
      <w:tblStyleRowBandSize w:val="1"/>
      <w:tblStyleColBandSize w:val="1"/>
      <w:tblBorders>
        <w:top w:val="single" w:sz="4" w:space="0" w:color="80B1D2" w:themeColor="accent2"/>
        <w:bottom w:val="single" w:sz="4" w:space="0" w:color="80B1D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0B1D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0B1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F6" w:themeFill="accent2" w:themeFillTint="33"/>
      </w:tcPr>
    </w:tblStylePr>
    <w:tblStylePr w:type="band1Horz">
      <w:tblPr/>
      <w:tcPr>
        <w:shd w:val="clear" w:color="auto" w:fill="E5EFF6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294A5A"/>
    <w:pPr>
      <w:spacing w:after="0" w:line="240" w:lineRule="auto"/>
    </w:pPr>
    <w:rPr>
      <w:color w:val="70A8CC" w:themeColor="accent3" w:themeShade="BF"/>
    </w:rPr>
    <w:tblPr>
      <w:tblStyleRowBandSize w:val="1"/>
      <w:tblStyleColBandSize w:val="1"/>
      <w:tblBorders>
        <w:top w:val="single" w:sz="4" w:space="0" w:color="BFD8E8" w:themeColor="accent3"/>
        <w:bottom w:val="single" w:sz="4" w:space="0" w:color="BFD8E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D8E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D8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A" w:themeFill="accent3" w:themeFillTint="33"/>
      </w:tcPr>
    </w:tblStylePr>
    <w:tblStylePr w:type="band1Horz">
      <w:tblPr/>
      <w:tcPr>
        <w:shd w:val="clear" w:color="auto" w:fill="F2F7F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294A5A"/>
    <w:pPr>
      <w:spacing w:after="0" w:line="240" w:lineRule="auto"/>
    </w:pPr>
    <w:rPr>
      <w:color w:val="30303B" w:themeColor="accent4" w:themeShade="BF"/>
    </w:rPr>
    <w:tblPr>
      <w:tblStyleRowBandSize w:val="1"/>
      <w:tblStyleColBandSize w:val="1"/>
      <w:tblBorders>
        <w:top w:val="single" w:sz="4" w:space="0" w:color="404050" w:themeColor="accent4"/>
        <w:bottom w:val="single" w:sz="4" w:space="0" w:color="404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04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04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294A5A"/>
    <w:pPr>
      <w:spacing w:after="0" w:line="240" w:lineRule="auto"/>
    </w:pPr>
    <w:rPr>
      <w:color w:val="5F5F68" w:themeColor="accent5" w:themeShade="BF"/>
    </w:rPr>
    <w:tblPr>
      <w:tblStyleRowBandSize w:val="1"/>
      <w:tblStyleColBandSize w:val="1"/>
      <w:tblBorders>
        <w:top w:val="single" w:sz="4" w:space="0" w:color="80808B" w:themeColor="accent5"/>
        <w:bottom w:val="single" w:sz="4" w:space="0" w:color="8080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080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294A5A"/>
    <w:pPr>
      <w:spacing w:after="0" w:line="240" w:lineRule="auto"/>
    </w:pPr>
    <w:rPr>
      <w:color w:val="96969E" w:themeColor="accent6" w:themeShade="BF"/>
    </w:rPr>
    <w:tblPr>
      <w:tblStyleRowBandSize w:val="1"/>
      <w:tblStyleColBandSize w:val="1"/>
      <w:tblBorders>
        <w:top w:val="single" w:sz="4" w:space="0" w:color="CCCCD0" w:themeColor="accent6"/>
        <w:bottom w:val="single" w:sz="4" w:space="0" w:color="CCCC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CCC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CCC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294A5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294A5A"/>
    <w:pPr>
      <w:spacing w:after="0" w:line="240" w:lineRule="auto"/>
    </w:pPr>
    <w:rPr>
      <w:color w:val="30678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8AB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8AB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8AB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8AB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8E7F1" w:themeFill="accent1" w:themeFillTint="33"/>
      </w:tcPr>
    </w:tblStylePr>
    <w:tblStylePr w:type="band1Horz">
      <w:tblPr/>
      <w:tcPr>
        <w:shd w:val="clear" w:color="auto" w:fill="D8E7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294A5A"/>
    <w:pPr>
      <w:spacing w:after="0" w:line="240" w:lineRule="auto"/>
    </w:pPr>
    <w:rPr>
      <w:color w:val="428AB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B1D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B1D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B1D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B1D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5EFF6" w:themeFill="accent2" w:themeFillTint="33"/>
      </w:tcPr>
    </w:tblStylePr>
    <w:tblStylePr w:type="band1Horz">
      <w:tblPr/>
      <w:tcPr>
        <w:shd w:val="clear" w:color="auto" w:fill="E5EF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294A5A"/>
    <w:pPr>
      <w:spacing w:after="0" w:line="240" w:lineRule="auto"/>
    </w:pPr>
    <w:rPr>
      <w:color w:val="70A8C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D8E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D8E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D8E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D8E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7FA" w:themeFill="accent3" w:themeFillTint="33"/>
      </w:tcPr>
    </w:tblStylePr>
    <w:tblStylePr w:type="band1Horz">
      <w:tblPr/>
      <w:tcPr>
        <w:shd w:val="clear" w:color="auto" w:fill="F2F7F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294A5A"/>
    <w:pPr>
      <w:spacing w:after="0" w:line="240" w:lineRule="auto"/>
    </w:pPr>
    <w:rPr>
      <w:color w:val="30303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4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4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4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4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294A5A"/>
    <w:pPr>
      <w:spacing w:after="0" w:line="240" w:lineRule="auto"/>
    </w:pPr>
    <w:rPr>
      <w:color w:val="5F5F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294A5A"/>
    <w:pPr>
      <w:spacing w:after="0" w:line="240" w:lineRule="auto"/>
    </w:pPr>
    <w:rPr>
      <w:color w:val="96969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CC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CC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CC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CC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EA7CD" w:themeColor="accent1" w:themeTint="BF"/>
        <w:left w:val="single" w:sz="8" w:space="0" w:color="6EA7CD" w:themeColor="accent1" w:themeTint="BF"/>
        <w:bottom w:val="single" w:sz="8" w:space="0" w:color="6EA7CD" w:themeColor="accent1" w:themeTint="BF"/>
        <w:right w:val="single" w:sz="8" w:space="0" w:color="6EA7CD" w:themeColor="accent1" w:themeTint="BF"/>
        <w:insideH w:val="single" w:sz="8" w:space="0" w:color="6EA7CD" w:themeColor="accent1" w:themeTint="BF"/>
        <w:insideV w:val="single" w:sz="8" w:space="0" w:color="6EA7CD" w:themeColor="accent1" w:themeTint="BF"/>
      </w:tblBorders>
    </w:tblPr>
    <w:tcPr>
      <w:shd w:val="clear" w:color="auto" w:fill="CFE2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A7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C4DE" w:themeFill="accent1" w:themeFillTint="7F"/>
      </w:tcPr>
    </w:tblStylePr>
    <w:tblStylePr w:type="band1Horz">
      <w:tblPr/>
      <w:tcPr>
        <w:shd w:val="clear" w:color="auto" w:fill="9EC4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FC4DD" w:themeColor="accent2" w:themeTint="BF"/>
        <w:left w:val="single" w:sz="8" w:space="0" w:color="9FC4DD" w:themeColor="accent2" w:themeTint="BF"/>
        <w:bottom w:val="single" w:sz="8" w:space="0" w:color="9FC4DD" w:themeColor="accent2" w:themeTint="BF"/>
        <w:right w:val="single" w:sz="8" w:space="0" w:color="9FC4DD" w:themeColor="accent2" w:themeTint="BF"/>
        <w:insideH w:val="single" w:sz="8" w:space="0" w:color="9FC4DD" w:themeColor="accent2" w:themeTint="BF"/>
        <w:insideV w:val="single" w:sz="8" w:space="0" w:color="9FC4DD" w:themeColor="accent2" w:themeTint="BF"/>
      </w:tblBorders>
    </w:tblPr>
    <w:tcPr>
      <w:shd w:val="clear" w:color="auto" w:fill="DFEB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C4D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8E8" w:themeFill="accent2" w:themeFillTint="7F"/>
      </w:tcPr>
    </w:tblStylePr>
    <w:tblStylePr w:type="band1Horz">
      <w:tblPr/>
      <w:tcPr>
        <w:shd w:val="clear" w:color="auto" w:fill="BFD8E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EE1ED" w:themeColor="accent3" w:themeTint="BF"/>
        <w:left w:val="single" w:sz="8" w:space="0" w:color="CEE1ED" w:themeColor="accent3" w:themeTint="BF"/>
        <w:bottom w:val="single" w:sz="8" w:space="0" w:color="CEE1ED" w:themeColor="accent3" w:themeTint="BF"/>
        <w:right w:val="single" w:sz="8" w:space="0" w:color="CEE1ED" w:themeColor="accent3" w:themeTint="BF"/>
        <w:insideH w:val="single" w:sz="8" w:space="0" w:color="CEE1ED" w:themeColor="accent3" w:themeTint="BF"/>
        <w:insideV w:val="single" w:sz="8" w:space="0" w:color="CEE1ED" w:themeColor="accent3" w:themeTint="BF"/>
      </w:tblBorders>
    </w:tblPr>
    <w:tcPr>
      <w:shd w:val="clear" w:color="auto" w:fill="EFF5F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E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3" w:themeFill="accent3" w:themeFillTint="7F"/>
      </w:tcPr>
    </w:tblStylePr>
    <w:tblStylePr w:type="band1Horz">
      <w:tblPr/>
      <w:tcPr>
        <w:shd w:val="clear" w:color="auto" w:fill="DFEBF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86882" w:themeColor="accent4" w:themeTint="BF"/>
        <w:left w:val="single" w:sz="8" w:space="0" w:color="686882" w:themeColor="accent4" w:themeTint="BF"/>
        <w:bottom w:val="single" w:sz="8" w:space="0" w:color="686882" w:themeColor="accent4" w:themeTint="BF"/>
        <w:right w:val="single" w:sz="8" w:space="0" w:color="686882" w:themeColor="accent4" w:themeTint="BF"/>
        <w:insideH w:val="single" w:sz="8" w:space="0" w:color="686882" w:themeColor="accent4" w:themeTint="BF"/>
        <w:insideV w:val="single" w:sz="8" w:space="0" w:color="686882" w:themeColor="accent4" w:themeTint="BF"/>
      </w:tblBorders>
    </w:tblPr>
    <w:tcPr>
      <w:shd w:val="clear" w:color="auto" w:fill="CCCC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8688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99AE" w:themeFill="accent4" w:themeFillTint="7F"/>
      </w:tcPr>
    </w:tblStylePr>
    <w:tblStylePr w:type="band1Horz">
      <w:tblPr/>
      <w:tcPr>
        <w:shd w:val="clear" w:color="auto" w:fill="9999A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F9FA8" w:themeColor="accent5" w:themeTint="BF"/>
        <w:left w:val="single" w:sz="8" w:space="0" w:color="9F9FA8" w:themeColor="accent5" w:themeTint="BF"/>
        <w:bottom w:val="single" w:sz="8" w:space="0" w:color="9F9FA8" w:themeColor="accent5" w:themeTint="BF"/>
        <w:right w:val="single" w:sz="8" w:space="0" w:color="9F9FA8" w:themeColor="accent5" w:themeTint="BF"/>
        <w:insideH w:val="single" w:sz="8" w:space="0" w:color="9F9FA8" w:themeColor="accent5" w:themeTint="BF"/>
        <w:insideV w:val="single" w:sz="8" w:space="0" w:color="9F9FA8" w:themeColor="accent5" w:themeTint="BF"/>
      </w:tblBorders>
    </w:tblPr>
    <w:tcPr>
      <w:shd w:val="clear" w:color="auto" w:fill="DFDF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C5" w:themeFill="accent5" w:themeFillTint="7F"/>
      </w:tcPr>
    </w:tblStylePr>
    <w:tblStylePr w:type="band1Horz">
      <w:tblPr/>
      <w:tcPr>
        <w:shd w:val="clear" w:color="auto" w:fill="BFBFC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D8D8DB" w:themeColor="accent6" w:themeTint="BF"/>
        <w:left w:val="single" w:sz="8" w:space="0" w:color="D8D8DB" w:themeColor="accent6" w:themeTint="BF"/>
        <w:bottom w:val="single" w:sz="8" w:space="0" w:color="D8D8DB" w:themeColor="accent6" w:themeTint="BF"/>
        <w:right w:val="single" w:sz="8" w:space="0" w:color="D8D8DB" w:themeColor="accent6" w:themeTint="BF"/>
        <w:insideH w:val="single" w:sz="8" w:space="0" w:color="D8D8DB" w:themeColor="accent6" w:themeTint="BF"/>
        <w:insideV w:val="single" w:sz="8" w:space="0" w:color="D8D8DB" w:themeColor="accent6" w:themeTint="BF"/>
      </w:tblBorders>
    </w:tblPr>
    <w:tcPr>
      <w:shd w:val="clear" w:color="auto" w:fill="F2F2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D8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6" w:themeFillTint="7F"/>
      </w:tcPr>
    </w:tblStylePr>
    <w:tblStylePr w:type="band1Horz">
      <w:tblPr/>
      <w:tcPr>
        <w:shd w:val="clear" w:color="auto" w:fill="E5E5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8ABB" w:themeColor="accent1"/>
        <w:left w:val="single" w:sz="8" w:space="0" w:color="408ABB" w:themeColor="accent1"/>
        <w:bottom w:val="single" w:sz="8" w:space="0" w:color="408ABB" w:themeColor="accent1"/>
        <w:right w:val="single" w:sz="8" w:space="0" w:color="408ABB" w:themeColor="accent1"/>
        <w:insideH w:val="single" w:sz="8" w:space="0" w:color="408ABB" w:themeColor="accent1"/>
        <w:insideV w:val="single" w:sz="8" w:space="0" w:color="408ABB" w:themeColor="accent1"/>
      </w:tblBorders>
    </w:tblPr>
    <w:tcPr>
      <w:shd w:val="clear" w:color="auto" w:fill="CFE2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7F1" w:themeFill="accent1" w:themeFillTint="33"/>
      </w:tcPr>
    </w:tblStylePr>
    <w:tblStylePr w:type="band1Vert">
      <w:tblPr/>
      <w:tcPr>
        <w:shd w:val="clear" w:color="auto" w:fill="9EC4DE" w:themeFill="accent1" w:themeFillTint="7F"/>
      </w:tcPr>
    </w:tblStylePr>
    <w:tblStylePr w:type="band1Horz">
      <w:tblPr/>
      <w:tcPr>
        <w:tcBorders>
          <w:insideH w:val="single" w:sz="6" w:space="0" w:color="408ABB" w:themeColor="accent1"/>
          <w:insideV w:val="single" w:sz="6" w:space="0" w:color="408ABB" w:themeColor="accent1"/>
        </w:tcBorders>
        <w:shd w:val="clear" w:color="auto" w:fill="9EC4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B1D2" w:themeColor="accent2"/>
        <w:left w:val="single" w:sz="8" w:space="0" w:color="80B1D2" w:themeColor="accent2"/>
        <w:bottom w:val="single" w:sz="8" w:space="0" w:color="80B1D2" w:themeColor="accent2"/>
        <w:right w:val="single" w:sz="8" w:space="0" w:color="80B1D2" w:themeColor="accent2"/>
        <w:insideH w:val="single" w:sz="8" w:space="0" w:color="80B1D2" w:themeColor="accent2"/>
        <w:insideV w:val="single" w:sz="8" w:space="0" w:color="80B1D2" w:themeColor="accent2"/>
      </w:tblBorders>
    </w:tblPr>
    <w:tcPr>
      <w:shd w:val="clear" w:color="auto" w:fill="DFEB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2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FF6" w:themeFill="accent2" w:themeFillTint="33"/>
      </w:tcPr>
    </w:tblStylePr>
    <w:tblStylePr w:type="band1Vert">
      <w:tblPr/>
      <w:tcPr>
        <w:shd w:val="clear" w:color="auto" w:fill="BFD8E8" w:themeFill="accent2" w:themeFillTint="7F"/>
      </w:tcPr>
    </w:tblStylePr>
    <w:tblStylePr w:type="band1Horz">
      <w:tblPr/>
      <w:tcPr>
        <w:tcBorders>
          <w:insideH w:val="single" w:sz="6" w:space="0" w:color="80B1D2" w:themeColor="accent2"/>
          <w:insideV w:val="single" w:sz="6" w:space="0" w:color="80B1D2" w:themeColor="accent2"/>
        </w:tcBorders>
        <w:shd w:val="clear" w:color="auto" w:fill="BFD8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D8E8" w:themeColor="accent3"/>
        <w:left w:val="single" w:sz="8" w:space="0" w:color="BFD8E8" w:themeColor="accent3"/>
        <w:bottom w:val="single" w:sz="8" w:space="0" w:color="BFD8E8" w:themeColor="accent3"/>
        <w:right w:val="single" w:sz="8" w:space="0" w:color="BFD8E8" w:themeColor="accent3"/>
        <w:insideH w:val="single" w:sz="8" w:space="0" w:color="BFD8E8" w:themeColor="accent3"/>
        <w:insideV w:val="single" w:sz="8" w:space="0" w:color="BFD8E8" w:themeColor="accent3"/>
      </w:tblBorders>
    </w:tblPr>
    <w:tcPr>
      <w:shd w:val="clear" w:color="auto" w:fill="EFF5F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B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A" w:themeFill="accent3" w:themeFillTint="33"/>
      </w:tcPr>
    </w:tblStylePr>
    <w:tblStylePr w:type="band1Vert">
      <w:tblPr/>
      <w:tcPr>
        <w:shd w:val="clear" w:color="auto" w:fill="DFEBF3" w:themeFill="accent3" w:themeFillTint="7F"/>
      </w:tcPr>
    </w:tblStylePr>
    <w:tblStylePr w:type="band1Horz">
      <w:tblPr/>
      <w:tcPr>
        <w:tcBorders>
          <w:insideH w:val="single" w:sz="6" w:space="0" w:color="BFD8E8" w:themeColor="accent3"/>
          <w:insideV w:val="single" w:sz="6" w:space="0" w:color="BFD8E8" w:themeColor="accent3"/>
        </w:tcBorders>
        <w:shd w:val="clear" w:color="auto" w:fill="DFEBF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4050" w:themeColor="accent4"/>
        <w:left w:val="single" w:sz="8" w:space="0" w:color="404050" w:themeColor="accent4"/>
        <w:bottom w:val="single" w:sz="8" w:space="0" w:color="404050" w:themeColor="accent4"/>
        <w:right w:val="single" w:sz="8" w:space="0" w:color="404050" w:themeColor="accent4"/>
        <w:insideH w:val="single" w:sz="8" w:space="0" w:color="404050" w:themeColor="accent4"/>
        <w:insideV w:val="single" w:sz="8" w:space="0" w:color="404050" w:themeColor="accent4"/>
      </w:tblBorders>
    </w:tblPr>
    <w:tcPr>
      <w:shd w:val="clear" w:color="auto" w:fill="CCCC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BEBE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E" w:themeFill="accent4" w:themeFillTint="33"/>
      </w:tcPr>
    </w:tblStylePr>
    <w:tblStylePr w:type="band1Vert">
      <w:tblPr/>
      <w:tcPr>
        <w:shd w:val="clear" w:color="auto" w:fill="9999AE" w:themeFill="accent4" w:themeFillTint="7F"/>
      </w:tcPr>
    </w:tblStylePr>
    <w:tblStylePr w:type="band1Horz">
      <w:tblPr/>
      <w:tcPr>
        <w:tcBorders>
          <w:insideH w:val="single" w:sz="6" w:space="0" w:color="404050" w:themeColor="accent4"/>
          <w:insideV w:val="single" w:sz="6" w:space="0" w:color="404050" w:themeColor="accent4"/>
        </w:tcBorders>
        <w:shd w:val="clear" w:color="auto" w:fill="9999A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B" w:themeColor="accent5"/>
        <w:left w:val="single" w:sz="8" w:space="0" w:color="80808B" w:themeColor="accent5"/>
        <w:bottom w:val="single" w:sz="8" w:space="0" w:color="80808B" w:themeColor="accent5"/>
        <w:right w:val="single" w:sz="8" w:space="0" w:color="80808B" w:themeColor="accent5"/>
        <w:insideH w:val="single" w:sz="8" w:space="0" w:color="80808B" w:themeColor="accent5"/>
        <w:insideV w:val="single" w:sz="8" w:space="0" w:color="80808B" w:themeColor="accent5"/>
      </w:tblBorders>
    </w:tblPr>
    <w:tcPr>
      <w:shd w:val="clear" w:color="auto" w:fill="DFDF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7" w:themeFill="accent5" w:themeFillTint="33"/>
      </w:tcPr>
    </w:tblStylePr>
    <w:tblStylePr w:type="band1Vert">
      <w:tblPr/>
      <w:tcPr>
        <w:shd w:val="clear" w:color="auto" w:fill="BFBFC5" w:themeFill="accent5" w:themeFillTint="7F"/>
      </w:tcPr>
    </w:tblStylePr>
    <w:tblStylePr w:type="band1Horz">
      <w:tblPr/>
      <w:tcPr>
        <w:tcBorders>
          <w:insideH w:val="single" w:sz="6" w:space="0" w:color="80808B" w:themeColor="accent5"/>
          <w:insideV w:val="single" w:sz="6" w:space="0" w:color="80808B" w:themeColor="accent5"/>
        </w:tcBorders>
        <w:shd w:val="clear" w:color="auto" w:fill="BFBF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CD0" w:themeColor="accent6"/>
        <w:left w:val="single" w:sz="8" w:space="0" w:color="CCCCD0" w:themeColor="accent6"/>
        <w:bottom w:val="single" w:sz="8" w:space="0" w:color="CCCCD0" w:themeColor="accent6"/>
        <w:right w:val="single" w:sz="8" w:space="0" w:color="CCCCD0" w:themeColor="accent6"/>
        <w:insideH w:val="single" w:sz="8" w:space="0" w:color="CCCCD0" w:themeColor="accent6"/>
        <w:insideV w:val="single" w:sz="8" w:space="0" w:color="CCCCD0" w:themeColor="accent6"/>
      </w:tblBorders>
    </w:tblPr>
    <w:tcPr>
      <w:shd w:val="clear" w:color="auto" w:fill="F2F2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F9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5" w:themeFill="accent6" w:themeFillTint="33"/>
      </w:tcPr>
    </w:tblStylePr>
    <w:tblStylePr w:type="band1Vert">
      <w:tblPr/>
      <w:tcPr>
        <w:shd w:val="clear" w:color="auto" w:fill="E5E5E7" w:themeFill="accent6" w:themeFillTint="7F"/>
      </w:tcPr>
    </w:tblStylePr>
    <w:tblStylePr w:type="band1Horz">
      <w:tblPr/>
      <w:tcPr>
        <w:tcBorders>
          <w:insideH w:val="single" w:sz="6" w:space="0" w:color="CCCCD0" w:themeColor="accent6"/>
          <w:insideV w:val="single" w:sz="6" w:space="0" w:color="CCCCD0" w:themeColor="accent6"/>
        </w:tcBorders>
        <w:shd w:val="clear" w:color="auto" w:fill="E5E5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2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8AB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8AB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8AB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8AB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C4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C4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B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B1D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B1D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B1D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B1D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D8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D8E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D8E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D8E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D8E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D8E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BF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BF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C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4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4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4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4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99A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99A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C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2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CC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CC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5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5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63A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08ABB" w:themeColor="accent1"/>
        <w:bottom w:val="single" w:sz="8" w:space="0" w:color="408AB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8ABB" w:themeColor="accent1"/>
        </w:tcBorders>
      </w:tcPr>
    </w:tblStylePr>
    <w:tblStylePr w:type="lastRow">
      <w:rPr>
        <w:b/>
        <w:bCs/>
        <w:color w:val="0063A5" w:themeColor="text2"/>
      </w:rPr>
      <w:tblPr/>
      <w:tcPr>
        <w:tcBorders>
          <w:top w:val="single" w:sz="8" w:space="0" w:color="408ABB" w:themeColor="accent1"/>
          <w:bottom w:val="single" w:sz="8" w:space="0" w:color="408A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8ABB" w:themeColor="accent1"/>
          <w:bottom w:val="single" w:sz="8" w:space="0" w:color="408ABB" w:themeColor="accent1"/>
        </w:tcBorders>
      </w:tcPr>
    </w:tblStylePr>
    <w:tblStylePr w:type="band1Vert">
      <w:tblPr/>
      <w:tcPr>
        <w:shd w:val="clear" w:color="auto" w:fill="CFE2EE" w:themeFill="accent1" w:themeFillTint="3F"/>
      </w:tcPr>
    </w:tblStylePr>
    <w:tblStylePr w:type="band1Horz">
      <w:tblPr/>
      <w:tcPr>
        <w:shd w:val="clear" w:color="auto" w:fill="CFE2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B1D2" w:themeColor="accent2"/>
        <w:bottom w:val="single" w:sz="8" w:space="0" w:color="80B1D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B1D2" w:themeColor="accent2"/>
        </w:tcBorders>
      </w:tcPr>
    </w:tblStylePr>
    <w:tblStylePr w:type="lastRow">
      <w:rPr>
        <w:b/>
        <w:bCs/>
        <w:color w:val="0063A5" w:themeColor="text2"/>
      </w:rPr>
      <w:tblPr/>
      <w:tcPr>
        <w:tcBorders>
          <w:top w:val="single" w:sz="8" w:space="0" w:color="80B1D2" w:themeColor="accent2"/>
          <w:bottom w:val="single" w:sz="8" w:space="0" w:color="80B1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B1D2" w:themeColor="accent2"/>
          <w:bottom w:val="single" w:sz="8" w:space="0" w:color="80B1D2" w:themeColor="accent2"/>
        </w:tcBorders>
      </w:tcPr>
    </w:tblStylePr>
    <w:tblStylePr w:type="band1Vert">
      <w:tblPr/>
      <w:tcPr>
        <w:shd w:val="clear" w:color="auto" w:fill="DFEBF3" w:themeFill="accent2" w:themeFillTint="3F"/>
      </w:tcPr>
    </w:tblStylePr>
    <w:tblStylePr w:type="band1Horz">
      <w:tblPr/>
      <w:tcPr>
        <w:shd w:val="clear" w:color="auto" w:fill="DFEBF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D8E8" w:themeColor="accent3"/>
        <w:bottom w:val="single" w:sz="8" w:space="0" w:color="BFD8E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D8E8" w:themeColor="accent3"/>
        </w:tcBorders>
      </w:tcPr>
    </w:tblStylePr>
    <w:tblStylePr w:type="lastRow">
      <w:rPr>
        <w:b/>
        <w:bCs/>
        <w:color w:val="0063A5" w:themeColor="text2"/>
      </w:rPr>
      <w:tblPr/>
      <w:tcPr>
        <w:tcBorders>
          <w:top w:val="single" w:sz="8" w:space="0" w:color="BFD8E8" w:themeColor="accent3"/>
          <w:bottom w:val="single" w:sz="8" w:space="0" w:color="BFD8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D8E8" w:themeColor="accent3"/>
          <w:bottom w:val="single" w:sz="8" w:space="0" w:color="BFD8E8" w:themeColor="accent3"/>
        </w:tcBorders>
      </w:tcPr>
    </w:tblStylePr>
    <w:tblStylePr w:type="band1Vert">
      <w:tblPr/>
      <w:tcPr>
        <w:shd w:val="clear" w:color="auto" w:fill="EFF5F9" w:themeFill="accent3" w:themeFillTint="3F"/>
      </w:tcPr>
    </w:tblStylePr>
    <w:tblStylePr w:type="band1Horz">
      <w:tblPr/>
      <w:tcPr>
        <w:shd w:val="clear" w:color="auto" w:fill="EFF5F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04050" w:themeColor="accent4"/>
        <w:bottom w:val="single" w:sz="8" w:space="0" w:color="404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4050" w:themeColor="accent4"/>
        </w:tcBorders>
      </w:tcPr>
    </w:tblStylePr>
    <w:tblStylePr w:type="lastRow">
      <w:rPr>
        <w:b/>
        <w:bCs/>
        <w:color w:val="0063A5" w:themeColor="text2"/>
      </w:rPr>
      <w:tblPr/>
      <w:tcPr>
        <w:tcBorders>
          <w:top w:val="single" w:sz="8" w:space="0" w:color="404050" w:themeColor="accent4"/>
          <w:bottom w:val="single" w:sz="8" w:space="0" w:color="404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4050" w:themeColor="accent4"/>
          <w:bottom w:val="single" w:sz="8" w:space="0" w:color="404050" w:themeColor="accent4"/>
        </w:tcBorders>
      </w:tcPr>
    </w:tblStylePr>
    <w:tblStylePr w:type="band1Vert">
      <w:tblPr/>
      <w:tcPr>
        <w:shd w:val="clear" w:color="auto" w:fill="CCCCD6" w:themeFill="accent4" w:themeFillTint="3F"/>
      </w:tcPr>
    </w:tblStylePr>
    <w:tblStylePr w:type="band1Horz">
      <w:tblPr/>
      <w:tcPr>
        <w:shd w:val="clear" w:color="auto" w:fill="CCCCD6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B" w:themeColor="accent5"/>
        <w:bottom w:val="single" w:sz="8" w:space="0" w:color="8080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B" w:themeColor="accent5"/>
        </w:tcBorders>
      </w:tcPr>
    </w:tblStylePr>
    <w:tblStylePr w:type="lastRow">
      <w:rPr>
        <w:b/>
        <w:bCs/>
        <w:color w:val="0063A5" w:themeColor="text2"/>
      </w:rPr>
      <w:tblPr/>
      <w:tcPr>
        <w:tcBorders>
          <w:top w:val="single" w:sz="8" w:space="0" w:color="80808B" w:themeColor="accent5"/>
          <w:bottom w:val="single" w:sz="8" w:space="0" w:color="8080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B" w:themeColor="accent5"/>
          <w:bottom w:val="single" w:sz="8" w:space="0" w:color="80808B" w:themeColor="accent5"/>
        </w:tcBorders>
      </w:tcPr>
    </w:tblStylePr>
    <w:tblStylePr w:type="band1Vert">
      <w:tblPr/>
      <w:tcPr>
        <w:shd w:val="clear" w:color="auto" w:fill="DFDFE2" w:themeFill="accent5" w:themeFillTint="3F"/>
      </w:tcPr>
    </w:tblStylePr>
    <w:tblStylePr w:type="band1Horz">
      <w:tblPr/>
      <w:tcPr>
        <w:shd w:val="clear" w:color="auto" w:fill="DFDFE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CCD0" w:themeColor="accent6"/>
        <w:bottom w:val="single" w:sz="8" w:space="0" w:color="CCCC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CCD0" w:themeColor="accent6"/>
        </w:tcBorders>
      </w:tcPr>
    </w:tblStylePr>
    <w:tblStylePr w:type="lastRow">
      <w:rPr>
        <w:b/>
        <w:bCs/>
        <w:color w:val="0063A5" w:themeColor="text2"/>
      </w:rPr>
      <w:tblPr/>
      <w:tcPr>
        <w:tcBorders>
          <w:top w:val="single" w:sz="8" w:space="0" w:color="CCCCD0" w:themeColor="accent6"/>
          <w:bottom w:val="single" w:sz="8" w:space="0" w:color="CCCC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CCD0" w:themeColor="accent6"/>
          <w:bottom w:val="single" w:sz="8" w:space="0" w:color="CCCCD0" w:themeColor="accent6"/>
        </w:tcBorders>
      </w:tcPr>
    </w:tblStylePr>
    <w:tblStylePr w:type="band1Vert">
      <w:tblPr/>
      <w:tcPr>
        <w:shd w:val="clear" w:color="auto" w:fill="F2F2F3" w:themeFill="accent6" w:themeFillTint="3F"/>
      </w:tcPr>
    </w:tblStylePr>
    <w:tblStylePr w:type="band1Horz">
      <w:tblPr/>
      <w:tcPr>
        <w:shd w:val="clear" w:color="auto" w:fill="F2F2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8ABB" w:themeColor="accent1"/>
        <w:left w:val="single" w:sz="8" w:space="0" w:color="408ABB" w:themeColor="accent1"/>
        <w:bottom w:val="single" w:sz="8" w:space="0" w:color="408ABB" w:themeColor="accent1"/>
        <w:right w:val="single" w:sz="8" w:space="0" w:color="408AB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8AB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8AB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8AB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8AB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2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2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B1D2" w:themeColor="accent2"/>
        <w:left w:val="single" w:sz="8" w:space="0" w:color="80B1D2" w:themeColor="accent2"/>
        <w:bottom w:val="single" w:sz="8" w:space="0" w:color="80B1D2" w:themeColor="accent2"/>
        <w:right w:val="single" w:sz="8" w:space="0" w:color="80B1D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B1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B1D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B1D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B1D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B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B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D8E8" w:themeColor="accent3"/>
        <w:left w:val="single" w:sz="8" w:space="0" w:color="BFD8E8" w:themeColor="accent3"/>
        <w:bottom w:val="single" w:sz="8" w:space="0" w:color="BFD8E8" w:themeColor="accent3"/>
        <w:right w:val="single" w:sz="8" w:space="0" w:color="BFD8E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D8E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FD8E8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D8E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D8E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4050" w:themeColor="accent4"/>
        <w:left w:val="single" w:sz="8" w:space="0" w:color="404050" w:themeColor="accent4"/>
        <w:bottom w:val="single" w:sz="8" w:space="0" w:color="404050" w:themeColor="accent4"/>
        <w:right w:val="single" w:sz="8" w:space="0" w:color="404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4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4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4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4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C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B" w:themeColor="accent5"/>
        <w:left w:val="single" w:sz="8" w:space="0" w:color="80808B" w:themeColor="accent5"/>
        <w:bottom w:val="single" w:sz="8" w:space="0" w:color="80808B" w:themeColor="accent5"/>
        <w:right w:val="single" w:sz="8" w:space="0" w:color="8080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CD0" w:themeColor="accent6"/>
        <w:left w:val="single" w:sz="8" w:space="0" w:color="CCCCD0" w:themeColor="accent6"/>
        <w:bottom w:val="single" w:sz="8" w:space="0" w:color="CCCCD0" w:themeColor="accent6"/>
        <w:right w:val="single" w:sz="8" w:space="0" w:color="CCCC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CC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CCD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CC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CC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2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EA7CD" w:themeColor="accent1" w:themeTint="BF"/>
        <w:left w:val="single" w:sz="8" w:space="0" w:color="6EA7CD" w:themeColor="accent1" w:themeTint="BF"/>
        <w:bottom w:val="single" w:sz="8" w:space="0" w:color="6EA7CD" w:themeColor="accent1" w:themeTint="BF"/>
        <w:right w:val="single" w:sz="8" w:space="0" w:color="6EA7CD" w:themeColor="accent1" w:themeTint="BF"/>
        <w:insideH w:val="single" w:sz="8" w:space="0" w:color="6EA7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A7CD" w:themeColor="accent1" w:themeTint="BF"/>
          <w:left w:val="single" w:sz="8" w:space="0" w:color="6EA7CD" w:themeColor="accent1" w:themeTint="BF"/>
          <w:bottom w:val="single" w:sz="8" w:space="0" w:color="6EA7CD" w:themeColor="accent1" w:themeTint="BF"/>
          <w:right w:val="single" w:sz="8" w:space="0" w:color="6EA7CD" w:themeColor="accent1" w:themeTint="BF"/>
          <w:insideH w:val="nil"/>
          <w:insideV w:val="nil"/>
        </w:tcBorders>
        <w:shd w:val="clear" w:color="auto" w:fill="408AB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A7CD" w:themeColor="accent1" w:themeTint="BF"/>
          <w:left w:val="single" w:sz="8" w:space="0" w:color="6EA7CD" w:themeColor="accent1" w:themeTint="BF"/>
          <w:bottom w:val="single" w:sz="8" w:space="0" w:color="6EA7CD" w:themeColor="accent1" w:themeTint="BF"/>
          <w:right w:val="single" w:sz="8" w:space="0" w:color="6EA7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2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2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FC4DD" w:themeColor="accent2" w:themeTint="BF"/>
        <w:left w:val="single" w:sz="8" w:space="0" w:color="9FC4DD" w:themeColor="accent2" w:themeTint="BF"/>
        <w:bottom w:val="single" w:sz="8" w:space="0" w:color="9FC4DD" w:themeColor="accent2" w:themeTint="BF"/>
        <w:right w:val="single" w:sz="8" w:space="0" w:color="9FC4DD" w:themeColor="accent2" w:themeTint="BF"/>
        <w:insideH w:val="single" w:sz="8" w:space="0" w:color="9FC4D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C4DD" w:themeColor="accent2" w:themeTint="BF"/>
          <w:left w:val="single" w:sz="8" w:space="0" w:color="9FC4DD" w:themeColor="accent2" w:themeTint="BF"/>
          <w:bottom w:val="single" w:sz="8" w:space="0" w:color="9FC4DD" w:themeColor="accent2" w:themeTint="BF"/>
          <w:right w:val="single" w:sz="8" w:space="0" w:color="9FC4DD" w:themeColor="accent2" w:themeTint="BF"/>
          <w:insideH w:val="nil"/>
          <w:insideV w:val="nil"/>
        </w:tcBorders>
        <w:shd w:val="clear" w:color="auto" w:fill="80B1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4DD" w:themeColor="accent2" w:themeTint="BF"/>
          <w:left w:val="single" w:sz="8" w:space="0" w:color="9FC4DD" w:themeColor="accent2" w:themeTint="BF"/>
          <w:bottom w:val="single" w:sz="8" w:space="0" w:color="9FC4DD" w:themeColor="accent2" w:themeTint="BF"/>
          <w:right w:val="single" w:sz="8" w:space="0" w:color="9FC4D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B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EE1ED" w:themeColor="accent3" w:themeTint="BF"/>
        <w:left w:val="single" w:sz="8" w:space="0" w:color="CEE1ED" w:themeColor="accent3" w:themeTint="BF"/>
        <w:bottom w:val="single" w:sz="8" w:space="0" w:color="CEE1ED" w:themeColor="accent3" w:themeTint="BF"/>
        <w:right w:val="single" w:sz="8" w:space="0" w:color="CEE1ED" w:themeColor="accent3" w:themeTint="BF"/>
        <w:insideH w:val="single" w:sz="8" w:space="0" w:color="CEE1E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ED" w:themeColor="accent3" w:themeTint="BF"/>
          <w:left w:val="single" w:sz="8" w:space="0" w:color="CEE1ED" w:themeColor="accent3" w:themeTint="BF"/>
          <w:bottom w:val="single" w:sz="8" w:space="0" w:color="CEE1ED" w:themeColor="accent3" w:themeTint="BF"/>
          <w:right w:val="single" w:sz="8" w:space="0" w:color="CEE1ED" w:themeColor="accent3" w:themeTint="BF"/>
          <w:insideH w:val="nil"/>
          <w:insideV w:val="nil"/>
        </w:tcBorders>
        <w:shd w:val="clear" w:color="auto" w:fill="BFD8E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ED" w:themeColor="accent3" w:themeTint="BF"/>
          <w:left w:val="single" w:sz="8" w:space="0" w:color="CEE1ED" w:themeColor="accent3" w:themeTint="BF"/>
          <w:bottom w:val="single" w:sz="8" w:space="0" w:color="CEE1ED" w:themeColor="accent3" w:themeTint="BF"/>
          <w:right w:val="single" w:sz="8" w:space="0" w:color="CEE1E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86882" w:themeColor="accent4" w:themeTint="BF"/>
        <w:left w:val="single" w:sz="8" w:space="0" w:color="686882" w:themeColor="accent4" w:themeTint="BF"/>
        <w:bottom w:val="single" w:sz="8" w:space="0" w:color="686882" w:themeColor="accent4" w:themeTint="BF"/>
        <w:right w:val="single" w:sz="8" w:space="0" w:color="686882" w:themeColor="accent4" w:themeTint="BF"/>
        <w:insideH w:val="single" w:sz="8" w:space="0" w:color="68688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86882" w:themeColor="accent4" w:themeTint="BF"/>
          <w:left w:val="single" w:sz="8" w:space="0" w:color="686882" w:themeColor="accent4" w:themeTint="BF"/>
          <w:bottom w:val="single" w:sz="8" w:space="0" w:color="686882" w:themeColor="accent4" w:themeTint="BF"/>
          <w:right w:val="single" w:sz="8" w:space="0" w:color="686882" w:themeColor="accent4" w:themeTint="BF"/>
          <w:insideH w:val="nil"/>
          <w:insideV w:val="nil"/>
        </w:tcBorders>
        <w:shd w:val="clear" w:color="auto" w:fill="404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6882" w:themeColor="accent4" w:themeTint="BF"/>
          <w:left w:val="single" w:sz="8" w:space="0" w:color="686882" w:themeColor="accent4" w:themeTint="BF"/>
          <w:bottom w:val="single" w:sz="8" w:space="0" w:color="686882" w:themeColor="accent4" w:themeTint="BF"/>
          <w:right w:val="single" w:sz="8" w:space="0" w:color="68688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C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F9FA8" w:themeColor="accent5" w:themeTint="BF"/>
        <w:left w:val="single" w:sz="8" w:space="0" w:color="9F9FA8" w:themeColor="accent5" w:themeTint="BF"/>
        <w:bottom w:val="single" w:sz="8" w:space="0" w:color="9F9FA8" w:themeColor="accent5" w:themeTint="BF"/>
        <w:right w:val="single" w:sz="8" w:space="0" w:color="9F9FA8" w:themeColor="accent5" w:themeTint="BF"/>
        <w:insideH w:val="single" w:sz="8" w:space="0" w:color="9F9F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A8" w:themeColor="accent5" w:themeTint="BF"/>
          <w:left w:val="single" w:sz="8" w:space="0" w:color="9F9FA8" w:themeColor="accent5" w:themeTint="BF"/>
          <w:bottom w:val="single" w:sz="8" w:space="0" w:color="9F9FA8" w:themeColor="accent5" w:themeTint="BF"/>
          <w:right w:val="single" w:sz="8" w:space="0" w:color="9F9FA8" w:themeColor="accent5" w:themeTint="BF"/>
          <w:insideH w:val="nil"/>
          <w:insideV w:val="nil"/>
        </w:tcBorders>
        <w:shd w:val="clear" w:color="auto" w:fill="8080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A8" w:themeColor="accent5" w:themeTint="BF"/>
          <w:left w:val="single" w:sz="8" w:space="0" w:color="9F9FA8" w:themeColor="accent5" w:themeTint="BF"/>
          <w:bottom w:val="single" w:sz="8" w:space="0" w:color="9F9FA8" w:themeColor="accent5" w:themeTint="BF"/>
          <w:right w:val="single" w:sz="8" w:space="0" w:color="9F9F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D8D8DB" w:themeColor="accent6" w:themeTint="BF"/>
        <w:left w:val="single" w:sz="8" w:space="0" w:color="D8D8DB" w:themeColor="accent6" w:themeTint="BF"/>
        <w:bottom w:val="single" w:sz="8" w:space="0" w:color="D8D8DB" w:themeColor="accent6" w:themeTint="BF"/>
        <w:right w:val="single" w:sz="8" w:space="0" w:color="D8D8DB" w:themeColor="accent6" w:themeTint="BF"/>
        <w:insideH w:val="single" w:sz="8" w:space="0" w:color="D8D8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D8DB" w:themeColor="accent6" w:themeTint="BF"/>
          <w:left w:val="single" w:sz="8" w:space="0" w:color="D8D8DB" w:themeColor="accent6" w:themeTint="BF"/>
          <w:bottom w:val="single" w:sz="8" w:space="0" w:color="D8D8DB" w:themeColor="accent6" w:themeTint="BF"/>
          <w:right w:val="single" w:sz="8" w:space="0" w:color="D8D8DB" w:themeColor="accent6" w:themeTint="BF"/>
          <w:insideH w:val="nil"/>
          <w:insideV w:val="nil"/>
        </w:tcBorders>
        <w:shd w:val="clear" w:color="auto" w:fill="CCCC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8DB" w:themeColor="accent6" w:themeTint="BF"/>
          <w:left w:val="single" w:sz="8" w:space="0" w:color="D8D8DB" w:themeColor="accent6" w:themeTint="BF"/>
          <w:bottom w:val="single" w:sz="8" w:space="0" w:color="D8D8DB" w:themeColor="accent6" w:themeTint="BF"/>
          <w:right w:val="single" w:sz="8" w:space="0" w:color="D8D8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2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8AB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8AB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8AB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B1D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B1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B1D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D8E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D8E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D8E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4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4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4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CC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294A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ulloutText">
    <w:name w:val="Pullout Text"/>
    <w:basedOn w:val="Normal"/>
    <w:uiPriority w:val="1"/>
    <w:qFormat/>
    <w:rsid w:val="00D76AD4"/>
    <w:pPr>
      <w:spacing w:before="100" w:after="100"/>
    </w:pPr>
  </w:style>
  <w:style w:type="paragraph" w:customStyle="1" w:styleId="PulloutHeading">
    <w:name w:val="Pullout Heading"/>
    <w:basedOn w:val="PulloutText"/>
    <w:next w:val="PulloutText"/>
    <w:uiPriority w:val="1"/>
    <w:qFormat/>
    <w:rsid w:val="00D76AD4"/>
    <w:pPr>
      <w:spacing w:before="0" w:line="216" w:lineRule="auto"/>
    </w:pPr>
    <w:rPr>
      <w:b/>
      <w:sz w:val="24"/>
    </w:rPr>
  </w:style>
  <w:style w:type="table" w:customStyle="1" w:styleId="SCVInformationTable">
    <w:name w:val="SCV Information Table"/>
    <w:basedOn w:val="TableNormal"/>
    <w:uiPriority w:val="99"/>
    <w:rsid w:val="0086277A"/>
    <w:pPr>
      <w:spacing w:before="0" w:after="80" w:line="240" w:lineRule="auto"/>
      <w:ind w:left="170"/>
    </w:pPr>
    <w:rPr>
      <w:sz w:val="15"/>
    </w:rPr>
    <w:tblPr>
      <w:tblCellMar>
        <w:top w:w="323" w:type="dxa"/>
        <w:left w:w="0" w:type="dxa"/>
        <w:right w:w="0" w:type="dxa"/>
      </w:tblCellMar>
    </w:tblPr>
    <w:tcPr>
      <w:shd w:val="clear" w:color="auto" w:fill="F2F2F3"/>
    </w:tcPr>
  </w:style>
  <w:style w:type="character" w:styleId="UnresolvedMention">
    <w:name w:val="Unresolved Mention"/>
    <w:basedOn w:val="DefaultParagraphFont"/>
    <w:uiPriority w:val="99"/>
    <w:semiHidden/>
    <w:unhideWhenUsed/>
    <w:rsid w:val="009114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2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safercare.vic.gov.au" TargetMode="External"/><Relationship Id="rId1" Type="http://schemas.openxmlformats.org/officeDocument/2006/relationships/hyperlink" Target="mailto:info@safercare.vic.gov.au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safercare.vic.gov.au" TargetMode="External"/><Relationship Id="rId1" Type="http://schemas.openxmlformats.org/officeDocument/2006/relationships/hyperlink" Target="mailto:info@safercare.vic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CV BCV">
  <a:themeElements>
    <a:clrScheme name="SCV BCV">
      <a:dk1>
        <a:srgbClr val="000000"/>
      </a:dk1>
      <a:lt1>
        <a:srgbClr val="FFFFFF"/>
      </a:lt1>
      <a:dk2>
        <a:srgbClr val="0063A5"/>
      </a:dk2>
      <a:lt2>
        <a:srgbClr val="E6EFF6"/>
      </a:lt2>
      <a:accent1>
        <a:srgbClr val="408ABB"/>
      </a:accent1>
      <a:accent2>
        <a:srgbClr val="80B1D2"/>
      </a:accent2>
      <a:accent3>
        <a:srgbClr val="BFD8E8"/>
      </a:accent3>
      <a:accent4>
        <a:srgbClr val="404050"/>
      </a:accent4>
      <a:accent5>
        <a:srgbClr val="80808B"/>
      </a:accent5>
      <a:accent6>
        <a:srgbClr val="CCCCD0"/>
      </a:accent6>
      <a:hlink>
        <a:srgbClr val="000000"/>
      </a:hlink>
      <a:folHlink>
        <a:srgbClr val="0063A5"/>
      </a:folHlink>
    </a:clrScheme>
    <a:fontScheme name="Arial">
      <a:majorFont>
        <a:latin typeface="Arial" panose="020F0302020204030204"/>
        <a:ea typeface="Arial"/>
        <a:cs typeface="Arial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F0502020204030204"/>
        <a:ea typeface="Arial"/>
        <a:cs typeface="Arial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Vic Gov Blue 100%">
      <a:srgbClr val="0063A5"/>
    </a:custClr>
    <a:custClr name="vic Gov Blue 70%">
      <a:srgbClr val="4D92C0"/>
    </a:custClr>
    <a:custClr name="Vic Gov Blue 20%">
      <a:srgbClr val="CCE0ED"/>
    </a:custClr>
    <a:custClr name="Yellow 100%">
      <a:srgbClr val="FAB662"/>
    </a:custClr>
    <a:custClr name="Yellow 75%">
      <a:srgbClr val="FAB157"/>
    </a:custClr>
    <a:custClr name="Yellow 50%">
      <a:srgbClr val="FBCB8F"/>
    </a:custClr>
    <a:custClr name="Yellow 20%">
      <a:srgbClr val="FEEAD2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C3BB2-FD0D-49F6-B401-6D6D1C680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SUMMARY Critical care telehealth</dc:title>
  <dc:subject/>
  <dc:creator>Safer Care Victoria</dc:creator>
  <cp:keywords>Safer Care Victoria, Better Care Victoria Innovation Fund, Better Care Victoria, Innovation Fund, BCV, SCV, innovation project, healthcare innovation, healthcare, innovation</cp:keywords>
  <cp:lastModifiedBy/>
  <cp:revision>1</cp:revision>
  <dcterms:created xsi:type="dcterms:W3CDTF">2020-12-16T03:30:00Z</dcterms:created>
  <dcterms:modified xsi:type="dcterms:W3CDTF">2020-12-16T03:30:00Z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fdf5488-3066-4b6c-8fea-9472b8a1f34c_Enabled">
    <vt:lpwstr>true</vt:lpwstr>
  </property>
  <property fmtid="{D5CDD505-2E9C-101B-9397-08002B2CF9AE}" pid="3" name="MSIP_Label_efdf5488-3066-4b6c-8fea-9472b8a1f34c_SetDate">
    <vt:lpwstr>2020-12-16T03:30:37Z</vt:lpwstr>
  </property>
  <property fmtid="{D5CDD505-2E9C-101B-9397-08002B2CF9AE}" pid="4" name="MSIP_Label_efdf5488-3066-4b6c-8fea-9472b8a1f34c_Method">
    <vt:lpwstr>Privileged</vt:lpwstr>
  </property>
  <property fmtid="{D5CDD505-2E9C-101B-9397-08002B2CF9AE}" pid="5" name="MSIP_Label_efdf5488-3066-4b6c-8fea-9472b8a1f34c_Name">
    <vt:lpwstr>efdf5488-3066-4b6c-8fea-9472b8a1f34c</vt:lpwstr>
  </property>
  <property fmtid="{D5CDD505-2E9C-101B-9397-08002B2CF9AE}" pid="6" name="MSIP_Label_efdf5488-3066-4b6c-8fea-9472b8a1f34c_SiteId">
    <vt:lpwstr>c0e0601f-0fac-449c-9c88-a104c4eb9f28</vt:lpwstr>
  </property>
  <property fmtid="{D5CDD505-2E9C-101B-9397-08002B2CF9AE}" pid="7" name="MSIP_Label_efdf5488-3066-4b6c-8fea-9472b8a1f34c_ActionId">
    <vt:lpwstr>d3903e08-5759-43f0-9d4a-9fed5bcbbfbd</vt:lpwstr>
  </property>
  <property fmtid="{D5CDD505-2E9C-101B-9397-08002B2CF9AE}" pid="8" name="MSIP_Label_efdf5488-3066-4b6c-8fea-9472b8a1f34c_ContentBits">
    <vt:lpwstr>0</vt:lpwstr>
  </property>
</Properties>
</file>