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1618E0C3" w:rsidR="00A46288" w:rsidRPr="00DA3F36" w:rsidRDefault="00F37C40" w:rsidP="007A4444">
      <w:pPr>
        <w:pStyle w:val="Title"/>
      </w:pPr>
      <w:bookmarkStart w:id="0" w:name="_GoBack"/>
      <w:bookmarkEnd w:id="0"/>
      <w:r w:rsidRPr="00F37C40">
        <w:t>A SAFE AND FASTER WAY TO TRIAGE CHEST PAIN</w:t>
      </w:r>
    </w:p>
    <w:p w14:paraId="6800B4C5" w14:textId="201F966F" w:rsidR="00897157" w:rsidRDefault="00727D11" w:rsidP="00E03F35">
      <w:pPr>
        <w:pStyle w:val="IntroductoryText"/>
      </w:pPr>
      <w:bookmarkStart w:id="1" w:name="_Hlk54823113"/>
      <w:r>
        <w:t xml:space="preserve">Building on </w:t>
      </w:r>
      <w:r w:rsidR="003706FE">
        <w:t xml:space="preserve">its </w:t>
      </w:r>
      <w:r>
        <w:t xml:space="preserve">previous work, </w:t>
      </w:r>
      <w:r w:rsidRPr="00727D11">
        <w:t xml:space="preserve">Safer Care Victoria’s Emergency Care Clinical Network </w:t>
      </w:r>
      <w:r>
        <w:t>implemented and embedded a shorter, evidence-based process to more efficiently assess patients for a</w:t>
      </w:r>
      <w:r w:rsidRPr="00F37C40">
        <w:t>cute coronary syndrome</w:t>
      </w:r>
      <w:r>
        <w:t xml:space="preserve"> </w:t>
      </w:r>
      <w:r w:rsidR="002F491B">
        <w:t xml:space="preserve">in </w:t>
      </w:r>
      <w:proofErr w:type="gramStart"/>
      <w:r w:rsidR="002F491B">
        <w:t>a number of</w:t>
      </w:r>
      <w:proofErr w:type="gramEnd"/>
      <w:r w:rsidR="002F491B">
        <w:t xml:space="preserve"> emergency departments</w:t>
      </w:r>
      <w:r>
        <w:t xml:space="preserve">, </w:t>
      </w:r>
      <w:r w:rsidR="001B71A1">
        <w:t>reducing patients’ anxiety and their time in hospital</w:t>
      </w:r>
      <w:r>
        <w:t xml:space="preserve">. </w:t>
      </w:r>
    </w:p>
    <w:bookmarkEnd w:id="1"/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7AFE67AB" w14:textId="7B980FE4" w:rsidR="00F63125" w:rsidRDefault="005F57B7" w:rsidP="00F37C40">
      <w:pPr>
        <w:pStyle w:val="Normalfollowingheading"/>
      </w:pPr>
      <w:bookmarkStart w:id="2" w:name="_Hlk54823143"/>
      <w:r>
        <w:t>A</w:t>
      </w:r>
      <w:r w:rsidRPr="00B936A1">
        <w:t>cute coronary syndrome (ACS)</w:t>
      </w:r>
      <w:r>
        <w:t xml:space="preserve"> </w:t>
      </w:r>
      <w:r w:rsidR="00B936A1" w:rsidRPr="00B936A1">
        <w:t>is a term used to describe a range of urgent conditions associated with sudden reduced blood flow to the heart. The most common conditions are heart attack and angina. It is vital to rule out life</w:t>
      </w:r>
      <w:r w:rsidR="00B936A1">
        <w:t>-</w:t>
      </w:r>
      <w:r w:rsidR="00B936A1" w:rsidRPr="00B936A1">
        <w:t xml:space="preserve">threatening causes and provide timely treatment for these conditions. </w:t>
      </w:r>
    </w:p>
    <w:bookmarkEnd w:id="2"/>
    <w:p w14:paraId="24B23784" w14:textId="0A2C7D07" w:rsidR="005F57B7" w:rsidRDefault="00506C45" w:rsidP="00F37C40">
      <w:pPr>
        <w:pStyle w:val="Normalfollowingheading"/>
      </w:pPr>
      <w:r>
        <w:t>In 2016, a</w:t>
      </w:r>
      <w:r w:rsidR="005F57B7">
        <w:t xml:space="preserve">pproximately 2 per cent of Victorian emergency department (ED) admissions (42,000 patients) </w:t>
      </w:r>
      <w:r>
        <w:t xml:space="preserve">were </w:t>
      </w:r>
      <w:r w:rsidR="005F57B7">
        <w:t xml:space="preserve">for suspected </w:t>
      </w:r>
      <w:r w:rsidR="005F57B7" w:rsidRPr="00B936A1">
        <w:t>ACS</w:t>
      </w:r>
      <w:r w:rsidR="005F57B7">
        <w:t xml:space="preserve"> or chest pain. </w:t>
      </w:r>
    </w:p>
    <w:p w14:paraId="3B399C31" w14:textId="7364C8DC" w:rsidR="005F57B7" w:rsidRDefault="00F63125" w:rsidP="00F37C40">
      <w:pPr>
        <w:pStyle w:val="Normalfollowingheading"/>
      </w:pPr>
      <w:r>
        <w:t xml:space="preserve">Traditionally, national guidelines have recommended clinical observation and repeated </w:t>
      </w:r>
      <w:r w:rsidRPr="00F63125">
        <w:t>electrocardiography</w:t>
      </w:r>
      <w:r>
        <w:t xml:space="preserve"> measurement and blood testing over </w:t>
      </w:r>
      <w:r w:rsidR="00B936A1" w:rsidRPr="00B936A1">
        <w:t xml:space="preserve">four </w:t>
      </w:r>
      <w:r>
        <w:t xml:space="preserve">to </w:t>
      </w:r>
      <w:r w:rsidR="00B936A1" w:rsidRPr="00B936A1">
        <w:t xml:space="preserve">12 hours to identify or rule out ACS in an </w:t>
      </w:r>
      <w:r w:rsidR="00B936A1">
        <w:t>ED</w:t>
      </w:r>
      <w:r w:rsidR="001B71A1">
        <w:t xml:space="preserve">. This long process can </w:t>
      </w:r>
      <w:r w:rsidR="00B936A1" w:rsidRPr="00B936A1">
        <w:t>cause anxiety and inconvenience for patients.</w:t>
      </w:r>
      <w:r w:rsidR="00C1698B">
        <w:t xml:space="preserve"> </w:t>
      </w:r>
    </w:p>
    <w:p w14:paraId="233F8FB7" w14:textId="53D0407A" w:rsidR="00F63125" w:rsidRDefault="00506C45" w:rsidP="00F37C40">
      <w:pPr>
        <w:pStyle w:val="Normalfollowingheading"/>
      </w:pPr>
      <w:r>
        <w:t>E</w:t>
      </w:r>
      <w:r w:rsidR="00F63125">
        <w:t xml:space="preserve">vidence </w:t>
      </w:r>
      <w:r>
        <w:t xml:space="preserve">at the time of the project showed </w:t>
      </w:r>
      <w:r w:rsidR="00F63125">
        <w:t xml:space="preserve">patients </w:t>
      </w:r>
      <w:r w:rsidR="005F57B7">
        <w:t xml:space="preserve">at low risk of having </w:t>
      </w:r>
      <w:r w:rsidR="00F63125">
        <w:t xml:space="preserve">ACS </w:t>
      </w:r>
      <w:r>
        <w:t xml:space="preserve">could </w:t>
      </w:r>
      <w:r w:rsidR="00F63125">
        <w:t xml:space="preserve">have a shorter assessment process </w:t>
      </w:r>
      <w:r w:rsidR="002F491B">
        <w:t xml:space="preserve">– an </w:t>
      </w:r>
      <w:r w:rsidR="00F63125">
        <w:t xml:space="preserve">‘accelerated diagnostic pathway’ (ADP). </w:t>
      </w:r>
      <w:r w:rsidR="005F57B7">
        <w:t xml:space="preserve">However, after trialling </w:t>
      </w:r>
      <w:r w:rsidR="001B71A1">
        <w:t xml:space="preserve">these pathways </w:t>
      </w:r>
      <w:r w:rsidR="005F57B7">
        <w:t xml:space="preserve">at a small number of EDs, </w:t>
      </w:r>
      <w:r w:rsidR="002F491B">
        <w:t xml:space="preserve">the </w:t>
      </w:r>
      <w:r w:rsidR="005F57B7">
        <w:t xml:space="preserve">Emergency Care Clinical Network (ECCN) found that less than 3 per cent of patients eligible for an ADP were being assessed </w:t>
      </w:r>
      <w:r w:rsidR="002F491B">
        <w:t xml:space="preserve">using </w:t>
      </w:r>
      <w:r w:rsidR="005F57B7">
        <w:t xml:space="preserve">the shorter approach. </w:t>
      </w:r>
    </w:p>
    <w:p w14:paraId="2517B3DC" w14:textId="4C9946E7" w:rsidR="00C1698B" w:rsidRDefault="002F491B" w:rsidP="00727D11">
      <w:r>
        <w:t xml:space="preserve">Through this project, the ECCN </w:t>
      </w:r>
      <w:r w:rsidR="005F57B7">
        <w:t xml:space="preserve">aimed </w:t>
      </w:r>
      <w:r w:rsidR="001B71A1">
        <w:t xml:space="preserve">build on its earlier work by </w:t>
      </w:r>
      <w:r w:rsidR="00727D11">
        <w:t>embed</w:t>
      </w:r>
      <w:r w:rsidR="001B71A1">
        <w:t>ding</w:t>
      </w:r>
      <w:r w:rsidR="00727D11">
        <w:t xml:space="preserve"> </w:t>
      </w:r>
      <w:r w:rsidR="001B71A1">
        <w:t xml:space="preserve">ADPs </w:t>
      </w:r>
      <w:r w:rsidR="00727D11">
        <w:t xml:space="preserve">in the EDs where </w:t>
      </w:r>
      <w:r w:rsidR="001B71A1">
        <w:t xml:space="preserve">they </w:t>
      </w:r>
      <w:r w:rsidR="00727D11">
        <w:t>had already been trialled</w:t>
      </w:r>
      <w:r w:rsidR="001B71A1">
        <w:t xml:space="preserve"> and measuring the sustainability of the pathways. The network also planned to simultaneously implement the ADP approach in additional hospitals, </w:t>
      </w:r>
      <w:r w:rsidR="00727D11">
        <w:t xml:space="preserve">with the </w:t>
      </w:r>
      <w:proofErr w:type="gramStart"/>
      <w:r w:rsidR="00727D11">
        <w:t>ultimate goal</w:t>
      </w:r>
      <w:proofErr w:type="gramEnd"/>
      <w:r w:rsidR="00727D11">
        <w:t xml:space="preserve"> </w:t>
      </w:r>
      <w:r>
        <w:t>of improving patient</w:t>
      </w:r>
      <w:r w:rsidR="00482792">
        <w:t>s’</w:t>
      </w:r>
      <w:r>
        <w:t xml:space="preserve"> experience, </w:t>
      </w:r>
      <w:r w:rsidR="00727D11">
        <w:t xml:space="preserve">reducing </w:t>
      </w:r>
      <w:r>
        <w:t xml:space="preserve">their </w:t>
      </w:r>
      <w:r w:rsidR="00727D11">
        <w:t>length of stay</w:t>
      </w:r>
      <w:r w:rsidR="00B64D06">
        <w:t xml:space="preserve"> (LOS)</w:t>
      </w:r>
      <w:r>
        <w:t xml:space="preserve">, </w:t>
      </w:r>
      <w:r w:rsidR="00727D11">
        <w:t xml:space="preserve">and releasing ED capacity. </w:t>
      </w:r>
    </w:p>
    <w:p w14:paraId="5CE05487" w14:textId="77777777" w:rsidR="00C1698B" w:rsidRPr="00C1698B" w:rsidRDefault="00C1698B" w:rsidP="00C1698B"/>
    <w:p w14:paraId="17AC57C9" w14:textId="246E3DB0" w:rsidR="00E41D82" w:rsidRDefault="00C7098C" w:rsidP="001D6ABE">
      <w:pPr>
        <w:pStyle w:val="Bullet1"/>
        <w:numPr>
          <w:ilvl w:val="0"/>
          <w:numId w:val="0"/>
        </w:numPr>
        <w:ind w:left="284" w:hanging="284"/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6920A035">
                <wp:extent cx="3230245" cy="6129655"/>
                <wp:effectExtent l="0" t="0" r="27305" b="234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612965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FB7" w14:textId="564B7F42" w:rsidR="00C7098C" w:rsidRPr="004D6898" w:rsidRDefault="004021F6" w:rsidP="00C7098C">
                            <w:pPr>
                              <w:pStyle w:val="PulloutHeading"/>
                            </w:pPr>
                            <w:bookmarkStart w:id="3" w:name="_Hlk54773184"/>
                            <w:r w:rsidRPr="004021F6">
                              <w:t>Emergency Care Clinical Network</w:t>
                            </w:r>
                            <w:r>
                              <w:t xml:space="preserve"> (ECCN)</w:t>
                            </w:r>
                            <w:r w:rsidR="00727D11">
                              <w:t xml:space="preserve"> </w:t>
                            </w:r>
                            <w:r w:rsidR="00B936A1">
                              <w:t>a</w:t>
                            </w:r>
                            <w:r w:rsidR="00222FFF" w:rsidRPr="00222FFF">
                              <w:t>cute coronary syndrome project</w:t>
                            </w:r>
                          </w:p>
                          <w:bookmarkEnd w:id="3"/>
                          <w:p w14:paraId="3BCE2E88" w14:textId="0C938FA8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bookmarkStart w:id="4" w:name="_Hlk54773216"/>
                            <w:r w:rsidR="00865E1B">
                              <w:t xml:space="preserve">Safer Care Victoria </w:t>
                            </w:r>
                            <w:r w:rsidR="00727D11">
                              <w:t>ECCN</w:t>
                            </w:r>
                          </w:p>
                          <w:bookmarkEnd w:id="4"/>
                          <w:p w14:paraId="6FDBE315" w14:textId="282FCC3B" w:rsidR="00C7098C" w:rsidRPr="00865E1B" w:rsidRDefault="00C7098C" w:rsidP="00512BBE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865E1B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bookmarkStart w:id="5" w:name="_Hlk54773232"/>
                            <w:r w:rsidR="00512BBE" w:rsidRPr="00512BBE">
                              <w:t>18</w:t>
                            </w:r>
                            <w:r w:rsidR="00512B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65E1B" w:rsidRPr="00865E1B">
                              <w:t xml:space="preserve">ECCN member </w:t>
                            </w:r>
                            <w:r w:rsidR="00512BBE">
                              <w:t xml:space="preserve">EDs – Albury Base Hospital, </w:t>
                            </w:r>
                            <w:r w:rsidR="001E169A">
                              <w:t xml:space="preserve">Angliss Hospital, Austin Hospital, </w:t>
                            </w:r>
                            <w:r w:rsidR="00512BBE">
                              <w:t xml:space="preserve">Bairnsdale Hospital, </w:t>
                            </w:r>
                            <w:r w:rsidR="001E169A">
                              <w:t xml:space="preserve">Bass Coast Hospital, Bendigo Health Service, Box Hill Hospital, </w:t>
                            </w:r>
                            <w:r w:rsidR="00512BBE">
                              <w:t xml:space="preserve">Footscray Hospital, </w:t>
                            </w:r>
                            <w:r w:rsidR="001E169A">
                              <w:t xml:space="preserve">Frankston Hospital, Goulburn Valley Base Hospital, Royal Melbourne Hospital, Southwest Healthcare (Warrnambool), St John of God Hospital, St Vincent’s Hospital, </w:t>
                            </w:r>
                            <w:r w:rsidR="00512BBE">
                              <w:t xml:space="preserve">Sunshine Hospital, The Northern Hospital, </w:t>
                            </w:r>
                            <w:r w:rsidR="001E169A">
                              <w:t xml:space="preserve">University Hospital Geelong, </w:t>
                            </w:r>
                            <w:r w:rsidR="00512BBE">
                              <w:t>Werribee Mercy Hospital</w:t>
                            </w:r>
                          </w:p>
                          <w:bookmarkEnd w:id="5"/>
                          <w:p w14:paraId="59A54D14" w14:textId="0FB54A90" w:rsidR="00C7098C" w:rsidRPr="001F5760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865E1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65E1B" w:rsidRPr="001F5760">
                              <w:t>December 2016 – June 2018</w:t>
                            </w:r>
                          </w:p>
                          <w:p w14:paraId="29DC0549" w14:textId="40BD6F80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4F7033AD" w14:textId="79A5EFD9" w:rsidR="008A7E76" w:rsidRDefault="008A7E76" w:rsidP="008A7E76">
                            <w:pPr>
                              <w:pStyle w:val="Bullet1"/>
                            </w:pPr>
                            <w:r>
                              <w:t xml:space="preserve">Reduced anxiety and inconvenience for patients by </w:t>
                            </w:r>
                            <w:r w:rsidR="00482792">
                              <w:t xml:space="preserve">using an ADP approach to rule out </w:t>
                            </w:r>
                            <w:r>
                              <w:t>ACS faster</w:t>
                            </w:r>
                          </w:p>
                          <w:p w14:paraId="6DEF5C27" w14:textId="766E4BFC" w:rsidR="001D6ABE" w:rsidRDefault="001D6ABE" w:rsidP="008A7E76">
                            <w:pPr>
                              <w:pStyle w:val="Bullet1"/>
                            </w:pPr>
                            <w:r>
                              <w:t>Reduced variation in practice and ensured the process of ruling out ACS was evidence-based</w:t>
                            </w:r>
                          </w:p>
                          <w:p w14:paraId="1E7B41ED" w14:textId="2BF6E991" w:rsidR="008A7E76" w:rsidRDefault="008A7E76" w:rsidP="008A7E76">
                            <w:pPr>
                              <w:pStyle w:val="Bullet1"/>
                            </w:pPr>
                            <w:r>
                              <w:t>Saved 20 minutes and released an estimated capacity of 472 patients in EDs implementing an ADP for the first time</w:t>
                            </w:r>
                          </w:p>
                          <w:p w14:paraId="799CDEE9" w14:textId="3B7F51AC" w:rsidR="008A7E76" w:rsidRDefault="008A7E76" w:rsidP="008A7E76">
                            <w:pPr>
                              <w:pStyle w:val="Bullet1"/>
                            </w:pPr>
                            <w:r>
                              <w:t xml:space="preserve">Increased the proportion of eligible patients assessed using an ADP from 22 per cent to 68 per cent in sites that completed </w:t>
                            </w:r>
                            <w:r w:rsidR="00B64D06">
                              <w:t xml:space="preserve">ADP </w:t>
                            </w:r>
                            <w:r>
                              <w:t>implementation</w:t>
                            </w:r>
                          </w:p>
                          <w:p w14:paraId="3E6B4F5A" w14:textId="5937943A" w:rsidR="00F37C40" w:rsidRPr="00911408" w:rsidRDefault="008A7E76" w:rsidP="00512BBE">
                            <w:pPr>
                              <w:pStyle w:val="Bullet1"/>
                            </w:pPr>
                            <w:r>
                              <w:t>Reduced the median LOS by between 15 and 83 minutes in almost all implementation sites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48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" fillcolor="#feead2" strokecolor="#feead2" strokeweight=".5pt">
                <v:textbox inset="5mm,5mm,4mm,1mm">
                  <w:txbxContent>
                    <w:p w14:paraId="14988FB7" w14:textId="564B7F42" w:rsidR="00C7098C" w:rsidRPr="004D6898" w:rsidRDefault="004021F6" w:rsidP="00C7098C">
                      <w:pPr>
                        <w:pStyle w:val="PulloutHeading"/>
                      </w:pPr>
                      <w:bookmarkStart w:id="6" w:name="_Hlk54773184"/>
                      <w:r w:rsidRPr="004021F6">
                        <w:t>Emergency Care Clinical Network</w:t>
                      </w:r>
                      <w:r>
                        <w:t xml:space="preserve"> (ECCN)</w:t>
                      </w:r>
                      <w:r w:rsidR="00727D11">
                        <w:t xml:space="preserve"> </w:t>
                      </w:r>
                      <w:r w:rsidR="00B936A1">
                        <w:t>a</w:t>
                      </w:r>
                      <w:r w:rsidR="00222FFF" w:rsidRPr="00222FFF">
                        <w:t>cute coronary syndrome project</w:t>
                      </w:r>
                    </w:p>
                    <w:bookmarkEnd w:id="6"/>
                    <w:p w14:paraId="3BCE2E88" w14:textId="0C938FA8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bookmarkStart w:id="7" w:name="_Hlk54773216"/>
                      <w:r w:rsidR="00865E1B">
                        <w:t xml:space="preserve">Safer Care Victoria </w:t>
                      </w:r>
                      <w:r w:rsidR="00727D11">
                        <w:t>ECCN</w:t>
                      </w:r>
                    </w:p>
                    <w:bookmarkEnd w:id="7"/>
                    <w:p w14:paraId="6FDBE315" w14:textId="282FCC3B" w:rsidR="00C7098C" w:rsidRPr="00865E1B" w:rsidRDefault="00C7098C" w:rsidP="00512BBE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865E1B">
                        <w:rPr>
                          <w:b/>
                          <w:bCs/>
                        </w:rPr>
                        <w:t xml:space="preserve">s </w:t>
                      </w:r>
                      <w:bookmarkStart w:id="8" w:name="_Hlk54773232"/>
                      <w:r w:rsidR="00512BBE" w:rsidRPr="00512BBE">
                        <w:t>18</w:t>
                      </w:r>
                      <w:r w:rsidR="00512BBE">
                        <w:rPr>
                          <w:b/>
                          <w:bCs/>
                        </w:rPr>
                        <w:t xml:space="preserve"> </w:t>
                      </w:r>
                      <w:r w:rsidR="00865E1B" w:rsidRPr="00865E1B">
                        <w:t xml:space="preserve">ECCN member </w:t>
                      </w:r>
                      <w:r w:rsidR="00512BBE">
                        <w:t xml:space="preserve">EDs – Albury Base Hospital, </w:t>
                      </w:r>
                      <w:r w:rsidR="001E169A">
                        <w:t xml:space="preserve">Angliss Hospital, Austin Hospital, </w:t>
                      </w:r>
                      <w:r w:rsidR="00512BBE">
                        <w:t xml:space="preserve">Bairnsdale Hospital, </w:t>
                      </w:r>
                      <w:r w:rsidR="001E169A">
                        <w:t xml:space="preserve">Bass Coast Hospital, Bendigo Health Service, Box Hill Hospital, </w:t>
                      </w:r>
                      <w:r w:rsidR="00512BBE">
                        <w:t xml:space="preserve">Footscray Hospital, </w:t>
                      </w:r>
                      <w:r w:rsidR="001E169A">
                        <w:t xml:space="preserve">Frankston Hospital, Goulburn Valley Base Hospital, Royal Melbourne Hospital, Southwest Healthcare (Warrnambool), St John of God Hospital, St Vincent’s Hospital, </w:t>
                      </w:r>
                      <w:r w:rsidR="00512BBE">
                        <w:t xml:space="preserve">Sunshine Hospital, The Northern Hospital, </w:t>
                      </w:r>
                      <w:r w:rsidR="001E169A">
                        <w:t xml:space="preserve">University Hospital Geelong, </w:t>
                      </w:r>
                      <w:r w:rsidR="00512BBE">
                        <w:t>Werribee Mercy Hospital</w:t>
                      </w:r>
                    </w:p>
                    <w:bookmarkEnd w:id="8"/>
                    <w:p w14:paraId="59A54D14" w14:textId="0FB54A90" w:rsidR="00C7098C" w:rsidRPr="001F5760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865E1B">
                        <w:rPr>
                          <w:b/>
                          <w:bCs/>
                        </w:rPr>
                        <w:t xml:space="preserve"> </w:t>
                      </w:r>
                      <w:r w:rsidR="00865E1B" w:rsidRPr="001F5760">
                        <w:t>December 2016 – June 2018</w:t>
                      </w:r>
                    </w:p>
                    <w:p w14:paraId="29DC0549" w14:textId="40BD6F80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4F7033AD" w14:textId="79A5EFD9" w:rsidR="008A7E76" w:rsidRDefault="008A7E76" w:rsidP="008A7E76">
                      <w:pPr>
                        <w:pStyle w:val="Bullet1"/>
                      </w:pPr>
                      <w:r>
                        <w:t xml:space="preserve">Reduced anxiety and inconvenience for patients by </w:t>
                      </w:r>
                      <w:r w:rsidR="00482792">
                        <w:t xml:space="preserve">using an ADP approach to rule out </w:t>
                      </w:r>
                      <w:r>
                        <w:t>ACS faster</w:t>
                      </w:r>
                    </w:p>
                    <w:p w14:paraId="6DEF5C27" w14:textId="766E4BFC" w:rsidR="001D6ABE" w:rsidRDefault="001D6ABE" w:rsidP="008A7E76">
                      <w:pPr>
                        <w:pStyle w:val="Bullet1"/>
                      </w:pPr>
                      <w:r>
                        <w:t>Reduced variation in practice and ensured the process of ruling out ACS was evidence-based</w:t>
                      </w:r>
                    </w:p>
                    <w:p w14:paraId="1E7B41ED" w14:textId="2BF6E991" w:rsidR="008A7E76" w:rsidRDefault="008A7E76" w:rsidP="008A7E76">
                      <w:pPr>
                        <w:pStyle w:val="Bullet1"/>
                      </w:pPr>
                      <w:r>
                        <w:t>Saved 20 minutes and released an estimated capacity of 472 patients in EDs implementing an ADP for the first time</w:t>
                      </w:r>
                    </w:p>
                    <w:p w14:paraId="799CDEE9" w14:textId="3B7F51AC" w:rsidR="008A7E76" w:rsidRDefault="008A7E76" w:rsidP="008A7E76">
                      <w:pPr>
                        <w:pStyle w:val="Bullet1"/>
                      </w:pPr>
                      <w:r>
                        <w:t xml:space="preserve">Increased the proportion of eligible patients assessed using an ADP from 22 per cent to 68 per cent in sites that completed </w:t>
                      </w:r>
                      <w:r w:rsidR="00B64D06">
                        <w:t xml:space="preserve">ADP </w:t>
                      </w:r>
                      <w:r>
                        <w:t>implementation</w:t>
                      </w:r>
                    </w:p>
                    <w:p w14:paraId="3E6B4F5A" w14:textId="5937943A" w:rsidR="00F37C40" w:rsidRPr="00911408" w:rsidRDefault="008A7E76" w:rsidP="00512BBE">
                      <w:pPr>
                        <w:pStyle w:val="Bullet1"/>
                      </w:pPr>
                      <w:r>
                        <w:t>Reduced the median LOS by between 15 and 83 minutes in almost all implementation sites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1D82">
        <w:br w:type="page"/>
      </w:r>
    </w:p>
    <w:p w14:paraId="3DA60E98" w14:textId="12147DDC" w:rsidR="00794CB7" w:rsidRDefault="00D246C3" w:rsidP="004A4ED0">
      <w:pPr>
        <w:pStyle w:val="Heading2"/>
      </w:pPr>
      <w:r>
        <w:lastRenderedPageBreak/>
        <w:t>K</w:t>
      </w:r>
      <w:r w:rsidR="00773976">
        <w:t>ey activity</w:t>
      </w:r>
    </w:p>
    <w:p w14:paraId="10116808" w14:textId="7DA51370" w:rsidR="00512BBE" w:rsidRPr="00D246C3" w:rsidRDefault="00512BBE" w:rsidP="00D246C3">
      <w:pPr>
        <w:pStyle w:val="Normalfollowingheading"/>
      </w:pPr>
      <w:r w:rsidRPr="00D246C3">
        <w:t>Eighteen hospital</w:t>
      </w:r>
      <w:r w:rsidR="0029712D" w:rsidRPr="00D246C3">
        <w:t xml:space="preserve"> ED</w:t>
      </w:r>
      <w:r w:rsidRPr="00D246C3">
        <w:t xml:space="preserve">s </w:t>
      </w:r>
      <w:r w:rsidR="00B23B82" w:rsidRPr="00D246C3">
        <w:t xml:space="preserve">joined </w:t>
      </w:r>
      <w:r w:rsidR="0029712D" w:rsidRPr="00D246C3">
        <w:t>the project: n</w:t>
      </w:r>
      <w:r w:rsidRPr="00D246C3">
        <w:t xml:space="preserve">ine </w:t>
      </w:r>
      <w:r w:rsidR="0029712D" w:rsidRPr="00D246C3">
        <w:t xml:space="preserve">to implement </w:t>
      </w:r>
      <w:r w:rsidRPr="00D246C3">
        <w:t xml:space="preserve">an ADP, six </w:t>
      </w:r>
      <w:r w:rsidR="0029712D" w:rsidRPr="00D246C3">
        <w:t>to embed the pathway</w:t>
      </w:r>
      <w:r w:rsidRPr="00D246C3">
        <w:t xml:space="preserve">, and three </w:t>
      </w:r>
      <w:r w:rsidR="0029712D" w:rsidRPr="00D246C3">
        <w:t xml:space="preserve">to </w:t>
      </w:r>
      <w:r w:rsidR="00D246C3" w:rsidRPr="00D246C3">
        <w:t>participate</w:t>
      </w:r>
      <w:r w:rsidR="0029712D" w:rsidRPr="00D246C3">
        <w:t xml:space="preserve"> in a once-off sustainability audit</w:t>
      </w:r>
      <w:r w:rsidRPr="00D246C3">
        <w:t>.</w:t>
      </w:r>
    </w:p>
    <w:p w14:paraId="550CEFB5" w14:textId="4D24B717" w:rsidR="00F37C40" w:rsidRPr="00D246C3" w:rsidRDefault="00512BBE" w:rsidP="00D246C3">
      <w:pPr>
        <w:pStyle w:val="Normalfollowingheading"/>
      </w:pPr>
      <w:r w:rsidRPr="00D246C3">
        <w:t>For EDs implementing or embedding an ADP, t</w:t>
      </w:r>
      <w:r w:rsidR="00F37C40" w:rsidRPr="00D246C3">
        <w:t xml:space="preserve">he </w:t>
      </w:r>
      <w:r w:rsidR="0058654C" w:rsidRPr="00D246C3">
        <w:t xml:space="preserve">ECCN </w:t>
      </w:r>
      <w:r w:rsidR="00F37C40" w:rsidRPr="00D246C3">
        <w:t xml:space="preserve">facilitated a quality improvement process </w:t>
      </w:r>
      <w:r w:rsidRPr="00D246C3">
        <w:t xml:space="preserve">that assisted participating sites in reviewing and updating </w:t>
      </w:r>
      <w:r w:rsidR="00F37C40" w:rsidRPr="00D246C3">
        <w:t>their clinical practice</w:t>
      </w:r>
      <w:r w:rsidR="0058654C" w:rsidRPr="00D246C3">
        <w:t xml:space="preserve"> to incorporate </w:t>
      </w:r>
      <w:r w:rsidRPr="00D246C3">
        <w:t>the accelerated process</w:t>
      </w:r>
      <w:r w:rsidR="00F37C40" w:rsidRPr="00D246C3">
        <w:t xml:space="preserve">. </w:t>
      </w:r>
    </w:p>
    <w:p w14:paraId="6899E747" w14:textId="44D118D0" w:rsidR="0058654C" w:rsidRPr="00D246C3" w:rsidRDefault="00512BBE" w:rsidP="00D246C3">
      <w:pPr>
        <w:pStyle w:val="Normalfollowingheading"/>
      </w:pPr>
      <w:r w:rsidRPr="00D246C3">
        <w:t>T</w:t>
      </w:r>
      <w:r w:rsidR="0058654C" w:rsidRPr="00D246C3">
        <w:t xml:space="preserve">he project involved a structured approach to change, </w:t>
      </w:r>
      <w:r w:rsidRPr="00D246C3">
        <w:t xml:space="preserve">but </w:t>
      </w:r>
      <w:r w:rsidR="0058654C" w:rsidRPr="00D246C3">
        <w:t>participating sites were given the flexibility to adapt the approach to suit their local environment.</w:t>
      </w:r>
    </w:p>
    <w:p w14:paraId="1636C029" w14:textId="3F302044" w:rsidR="0058654C" w:rsidRPr="00D246C3" w:rsidRDefault="0058654C" w:rsidP="00D246C3">
      <w:pPr>
        <w:pStyle w:val="Normalfollowingheading"/>
      </w:pPr>
      <w:r w:rsidRPr="00D246C3">
        <w:t>The ECCN provided:</w:t>
      </w:r>
    </w:p>
    <w:p w14:paraId="2AE6CA7B" w14:textId="62FE8E56" w:rsidR="0058654C" w:rsidRDefault="0058654C" w:rsidP="0058654C">
      <w:pPr>
        <w:pStyle w:val="Bullet1"/>
      </w:pPr>
      <w:r>
        <w:t>improvement science and project management training</w:t>
      </w:r>
    </w:p>
    <w:p w14:paraId="3452ADC4" w14:textId="63ABF5F3" w:rsidR="0058654C" w:rsidRDefault="0058654C" w:rsidP="0058654C">
      <w:pPr>
        <w:pStyle w:val="Bullet1"/>
      </w:pPr>
      <w:r>
        <w:t xml:space="preserve">an evidence and resources pack, including data collection tools </w:t>
      </w:r>
    </w:p>
    <w:p w14:paraId="10393931" w14:textId="6E8310F7" w:rsidR="0058654C" w:rsidRDefault="0058654C" w:rsidP="0058654C">
      <w:pPr>
        <w:pStyle w:val="Bullet1"/>
      </w:pPr>
      <w:r>
        <w:t>a mid-project collaborative progress meeting.</w:t>
      </w:r>
    </w:p>
    <w:p w14:paraId="1A64F933" w14:textId="50002B02" w:rsidR="0029435D" w:rsidRDefault="0058654C" w:rsidP="0029435D">
      <w:r>
        <w:t xml:space="preserve">Data from each </w:t>
      </w:r>
      <w:r w:rsidR="00B23B82">
        <w:t xml:space="preserve">ED </w:t>
      </w:r>
      <w:r>
        <w:t xml:space="preserve">was analysed by the ECCN, which provided feedback </w:t>
      </w:r>
      <w:r w:rsidR="00B23B82">
        <w:t xml:space="preserve">to the sites </w:t>
      </w:r>
      <w:r>
        <w:t>on local changes.</w:t>
      </w:r>
    </w:p>
    <w:p w14:paraId="6B813747" w14:textId="6ABF8A5F" w:rsidR="0058654C" w:rsidRDefault="0029435D" w:rsidP="0029435D">
      <w:r>
        <w:t>T</w:t>
      </w:r>
      <w:r w:rsidR="0058654C">
        <w:t xml:space="preserve">he ECCN also pooled the data from all sites to </w:t>
      </w:r>
      <w:r w:rsidR="00AD52B1">
        <w:t xml:space="preserve">gauge </w:t>
      </w:r>
      <w:r w:rsidR="0058654C">
        <w:t xml:space="preserve">the project’s system-wide impact. </w:t>
      </w:r>
    </w:p>
    <w:p w14:paraId="4DCFB341" w14:textId="2CC477D2" w:rsidR="002B5C34" w:rsidRDefault="00435805" w:rsidP="00F37C40">
      <w:pPr>
        <w:pStyle w:val="Heading2"/>
      </w:pPr>
      <w:r>
        <w:t>O</w:t>
      </w:r>
      <w:r w:rsidR="009B1BBA" w:rsidRPr="00F80A39">
        <w:t>utcomes</w:t>
      </w:r>
    </w:p>
    <w:p w14:paraId="08357A53" w14:textId="06E8E12B" w:rsidR="002F548F" w:rsidRPr="002F548F" w:rsidRDefault="002F548F" w:rsidP="002F548F">
      <w:pPr>
        <w:pStyle w:val="Heading3"/>
      </w:pPr>
      <w:r>
        <w:t>Implementation</w:t>
      </w:r>
    </w:p>
    <w:p w14:paraId="69CF3F80" w14:textId="19E373E1" w:rsidR="002F548F" w:rsidRDefault="002F548F" w:rsidP="004F17F9">
      <w:pPr>
        <w:pStyle w:val="Normalfollowingheading"/>
      </w:pPr>
      <w:r>
        <w:t xml:space="preserve">Four </w:t>
      </w:r>
      <w:r w:rsidR="005C592D">
        <w:t>sites completed ADP implementation within the project timeframe</w:t>
      </w:r>
      <w:r w:rsidR="004F17F9">
        <w:t xml:space="preserve">. Three </w:t>
      </w:r>
      <w:r w:rsidR="00C60DDF">
        <w:t xml:space="preserve">sites </w:t>
      </w:r>
      <w:r w:rsidR="004F17F9">
        <w:t xml:space="preserve">were still </w:t>
      </w:r>
      <w:r>
        <w:t xml:space="preserve">implementing the pathway </w:t>
      </w:r>
      <w:r w:rsidR="00C60DDF">
        <w:t xml:space="preserve">by project close. </w:t>
      </w:r>
    </w:p>
    <w:p w14:paraId="45E13177" w14:textId="59F7F861" w:rsidR="004F17F9" w:rsidRPr="004F17F9" w:rsidRDefault="004F17F9" w:rsidP="004F17F9">
      <w:r>
        <w:t>In the four sites that completed implementation:</w:t>
      </w:r>
    </w:p>
    <w:p w14:paraId="4FFED91F" w14:textId="4AD16D43" w:rsidR="004F17F9" w:rsidRDefault="00732A2A" w:rsidP="00F37C40">
      <w:pPr>
        <w:pStyle w:val="Bullet1"/>
      </w:pPr>
      <w:r>
        <w:t xml:space="preserve">the proportion of ADP-eligible patients assessed using the pathway increased from 22 per cent to </w:t>
      </w:r>
      <w:r w:rsidR="002F548F">
        <w:t>6</w:t>
      </w:r>
      <w:r>
        <w:t>8 per cent</w:t>
      </w:r>
    </w:p>
    <w:p w14:paraId="04A14D86" w14:textId="05722BC3" w:rsidR="004F17F9" w:rsidRDefault="004F17F9" w:rsidP="00F37C40">
      <w:pPr>
        <w:pStyle w:val="Bullet1"/>
      </w:pPr>
      <w:r>
        <w:t>t</w:t>
      </w:r>
      <w:r w:rsidR="005C592D">
        <w:t xml:space="preserve">hree </w:t>
      </w:r>
      <w:r w:rsidR="00732A2A">
        <w:t xml:space="preserve">of the sites </w:t>
      </w:r>
      <w:r w:rsidR="00341674">
        <w:t xml:space="preserve">reduced their median </w:t>
      </w:r>
      <w:r w:rsidR="005C592D">
        <w:t xml:space="preserve">LOS time </w:t>
      </w:r>
      <w:r w:rsidR="00341674">
        <w:t xml:space="preserve">by between </w:t>
      </w:r>
      <w:r w:rsidR="005C592D">
        <w:t>15 and 83 minutes</w:t>
      </w:r>
      <w:r w:rsidR="00732A2A">
        <w:t xml:space="preserve"> for ADP-eligible patients, regardless of whether the pathway was used</w:t>
      </w:r>
      <w:r w:rsidR="00557E49">
        <w:t xml:space="preserve"> to assess them.</w:t>
      </w:r>
    </w:p>
    <w:p w14:paraId="0BA8346E" w14:textId="5F598425" w:rsidR="004F17F9" w:rsidRDefault="00557E49" w:rsidP="004F17F9">
      <w:pPr>
        <w:pStyle w:val="Normalfollowingheading"/>
      </w:pPr>
      <w:r>
        <w:t xml:space="preserve">Over </w:t>
      </w:r>
      <w:r w:rsidR="004F17F9">
        <w:t>the course of the project</w:t>
      </w:r>
      <w:r>
        <w:t xml:space="preserve">, two hospitals discovered </w:t>
      </w:r>
      <w:r w:rsidR="004F17F9">
        <w:t xml:space="preserve">the type of testing available at their site was not suitable for an ADP approach. </w:t>
      </w:r>
    </w:p>
    <w:p w14:paraId="2598E085" w14:textId="77777777" w:rsidR="004021F6" w:rsidRDefault="00311C21" w:rsidP="004F17F9">
      <w:pPr>
        <w:pStyle w:val="Normalfollowingheading"/>
      </w:pPr>
      <w:r>
        <w:br w:type="column"/>
      </w:r>
      <w:r w:rsidR="004021F6">
        <w:rPr>
          <w:noProof/>
        </w:rPr>
        <w:drawing>
          <wp:inline distT="0" distB="0" distL="0" distR="0" wp14:anchorId="286CC060" wp14:editId="6F1CF96A">
            <wp:extent cx="3206496" cy="2123783"/>
            <wp:effectExtent l="0" t="0" r="0" b="0"/>
            <wp:docPr id="14" name="Picture 14" descr="An emergency department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212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21A2" w14:textId="45994FD8" w:rsidR="001A6773" w:rsidRDefault="004F17F9" w:rsidP="004F17F9">
      <w:pPr>
        <w:pStyle w:val="Normalfollowingheading"/>
      </w:pPr>
      <w:r>
        <w:t xml:space="preserve">While this meant they were unable </w:t>
      </w:r>
      <w:r w:rsidR="00557E49">
        <w:t>to implement an ADP</w:t>
      </w:r>
      <w:r>
        <w:t xml:space="preserve">, </w:t>
      </w:r>
      <w:r w:rsidR="00557E49">
        <w:t xml:space="preserve">their participation in the project </w:t>
      </w:r>
      <w:r>
        <w:t xml:space="preserve">uncovered that the processes </w:t>
      </w:r>
      <w:r w:rsidR="00557E49">
        <w:t>they were using t</w:t>
      </w:r>
      <w:r>
        <w:t xml:space="preserve">o rule out </w:t>
      </w:r>
      <w:r w:rsidR="00557E49">
        <w:t xml:space="preserve">ACS were not consistent with </w:t>
      </w:r>
      <w:r>
        <w:t>national guidelines</w:t>
      </w:r>
      <w:r w:rsidR="00557E49">
        <w:t xml:space="preserve">. </w:t>
      </w:r>
    </w:p>
    <w:p w14:paraId="1FEFEF08" w14:textId="7574D902" w:rsidR="004F17F9" w:rsidRDefault="00557E49" w:rsidP="004F17F9">
      <w:pPr>
        <w:pStyle w:val="Normalfollowingheading"/>
      </w:pPr>
      <w:r>
        <w:t xml:space="preserve">Identifying that they were at risk of </w:t>
      </w:r>
      <w:r w:rsidR="004F17F9">
        <w:t>missing patients with ACS</w:t>
      </w:r>
      <w:r>
        <w:t xml:space="preserve"> was an important safety outcome for these sites</w:t>
      </w:r>
      <w:r w:rsidR="00495385">
        <w:t>.</w:t>
      </w:r>
    </w:p>
    <w:p w14:paraId="4F3C594A" w14:textId="17CA4FF2" w:rsidR="002F548F" w:rsidRDefault="002F548F" w:rsidP="00495385">
      <w:pPr>
        <w:pStyle w:val="Heading3"/>
      </w:pPr>
      <w:r>
        <w:t>Embedding</w:t>
      </w:r>
    </w:p>
    <w:p w14:paraId="555BE70A" w14:textId="77777777" w:rsidR="00C87D47" w:rsidRDefault="00495385" w:rsidP="00495385">
      <w:pPr>
        <w:pStyle w:val="Normalfollowingheading"/>
      </w:pPr>
      <w:r>
        <w:t xml:space="preserve">Two participating sites provided post-embedding data. </w:t>
      </w:r>
    </w:p>
    <w:p w14:paraId="1363B0A7" w14:textId="77777777" w:rsidR="004021F6" w:rsidRDefault="00495385" w:rsidP="00495385">
      <w:pPr>
        <w:pStyle w:val="Normalfollowingheading"/>
      </w:pPr>
      <w:r>
        <w:t xml:space="preserve">In </w:t>
      </w:r>
      <w:r w:rsidR="001A6773">
        <w:t xml:space="preserve">an </w:t>
      </w:r>
      <w:r>
        <w:t xml:space="preserve">earlier ECCN </w:t>
      </w:r>
      <w:r w:rsidR="00C87D47">
        <w:t>trial</w:t>
      </w:r>
      <w:r>
        <w:t xml:space="preserve">, both sites </w:t>
      </w:r>
      <w:r w:rsidR="001A6773">
        <w:t xml:space="preserve">had </w:t>
      </w:r>
      <w:r>
        <w:t xml:space="preserve">increased the proportion of eligible patients </w:t>
      </w:r>
      <w:r w:rsidR="0062262B">
        <w:t xml:space="preserve">assessed with an </w:t>
      </w:r>
      <w:r>
        <w:t xml:space="preserve">ADP and reduced </w:t>
      </w:r>
      <w:r w:rsidR="00341674">
        <w:t xml:space="preserve">patient </w:t>
      </w:r>
      <w:r>
        <w:t>LOS after implementing an ADP</w:t>
      </w:r>
      <w:r w:rsidR="0062262B">
        <w:t xml:space="preserve">. </w:t>
      </w:r>
    </w:p>
    <w:p w14:paraId="1F08F4E7" w14:textId="09DA3659" w:rsidR="0062262B" w:rsidRDefault="0062262B" w:rsidP="00495385">
      <w:pPr>
        <w:pStyle w:val="Normalfollowingheading"/>
      </w:pPr>
      <w:r>
        <w:t xml:space="preserve">In </w:t>
      </w:r>
      <w:r w:rsidR="00495385">
        <w:t>the current project, both sites showed further improvements</w:t>
      </w:r>
      <w:r w:rsidR="00C87D47">
        <w:t xml:space="preserve"> after embedding the process</w:t>
      </w:r>
      <w:r w:rsidR="00495385">
        <w:t xml:space="preserve">. </w:t>
      </w:r>
    </w:p>
    <w:p w14:paraId="4769B33B" w14:textId="10418DDE" w:rsidR="002F548F" w:rsidRDefault="0062262B" w:rsidP="00495385">
      <w:pPr>
        <w:pStyle w:val="Normalfollowingheading"/>
      </w:pPr>
      <w:r>
        <w:t xml:space="preserve">Overall, from pre-implementation to post-embedding, the sites achieved </w:t>
      </w:r>
      <w:r w:rsidR="00341674">
        <w:t xml:space="preserve">median </w:t>
      </w:r>
      <w:r>
        <w:t>LOS reductions of 112 and 138 minutes</w:t>
      </w:r>
      <w:r w:rsidR="00302F0E">
        <w:t>, respectively</w:t>
      </w:r>
      <w:r>
        <w:t>.</w:t>
      </w:r>
    </w:p>
    <w:p w14:paraId="53A7F87D" w14:textId="6C60FBBF" w:rsidR="002F548F" w:rsidRDefault="002F548F" w:rsidP="0062262B">
      <w:pPr>
        <w:pStyle w:val="Heading3"/>
      </w:pPr>
      <w:r>
        <w:t>Sustainability</w:t>
      </w:r>
    </w:p>
    <w:p w14:paraId="456D79BC" w14:textId="77777777" w:rsidR="0037488A" w:rsidRDefault="00302F0E" w:rsidP="0062262B">
      <w:pPr>
        <w:pStyle w:val="Normalfollowingheading"/>
        <w:rPr>
          <w:noProof/>
        </w:rPr>
      </w:pPr>
      <w:r>
        <w:rPr>
          <w:noProof/>
        </w:rPr>
        <w:t xml:space="preserve">A sustainability audit of three participating </w:t>
      </w:r>
      <w:r w:rsidR="0062262B">
        <w:rPr>
          <w:noProof/>
        </w:rPr>
        <w:t xml:space="preserve">sites </w:t>
      </w:r>
      <w:r>
        <w:rPr>
          <w:noProof/>
        </w:rPr>
        <w:t xml:space="preserve">showed </w:t>
      </w:r>
      <w:r w:rsidR="0037488A">
        <w:rPr>
          <w:noProof/>
        </w:rPr>
        <w:t xml:space="preserve">two </w:t>
      </w:r>
      <w:r>
        <w:rPr>
          <w:noProof/>
        </w:rPr>
        <w:t xml:space="preserve">had </w:t>
      </w:r>
      <w:r w:rsidR="0062262B">
        <w:rPr>
          <w:noProof/>
        </w:rPr>
        <w:t>slipped backwards in terms of the proportion of eligible patients assessed with an ADP</w:t>
      </w:r>
      <w:r>
        <w:rPr>
          <w:noProof/>
        </w:rPr>
        <w:t xml:space="preserve">. </w:t>
      </w:r>
    </w:p>
    <w:p w14:paraId="70B60BCE" w14:textId="0ABF4280" w:rsidR="00A824AB" w:rsidRDefault="00302F0E" w:rsidP="0062262B">
      <w:pPr>
        <w:pStyle w:val="Normalfollowingheading"/>
        <w:rPr>
          <w:noProof/>
        </w:rPr>
      </w:pPr>
      <w:r>
        <w:rPr>
          <w:noProof/>
        </w:rPr>
        <w:t xml:space="preserve">However, they had </w:t>
      </w:r>
      <w:r w:rsidR="00C25B13">
        <w:rPr>
          <w:noProof/>
        </w:rPr>
        <w:t xml:space="preserve">all </w:t>
      </w:r>
      <w:r w:rsidR="0062262B">
        <w:rPr>
          <w:noProof/>
        </w:rPr>
        <w:t xml:space="preserve">maintained clinically significant reductions in </w:t>
      </w:r>
      <w:r>
        <w:rPr>
          <w:noProof/>
        </w:rPr>
        <w:t xml:space="preserve">median </w:t>
      </w:r>
      <w:r w:rsidR="0062262B">
        <w:rPr>
          <w:noProof/>
        </w:rPr>
        <w:t>LOS</w:t>
      </w:r>
      <w:r w:rsidR="00FF1B78">
        <w:rPr>
          <w:noProof/>
        </w:rPr>
        <w:t xml:space="preserve"> of between 59 and 183 minutes</w:t>
      </w:r>
      <w:r w:rsidR="0062262B">
        <w:rPr>
          <w:noProof/>
        </w:rPr>
        <w:t>.</w:t>
      </w:r>
    </w:p>
    <w:p w14:paraId="3FAE33D8" w14:textId="017F7F05" w:rsidR="00BC5B50" w:rsidRDefault="00BC5B50" w:rsidP="0014063B">
      <w:pPr>
        <w:pStyle w:val="Heading3"/>
        <w:sectPr w:rsidR="00BC5B50" w:rsidSect="00410F8B">
          <w:footerReference w:type="default" r:id="rId11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</w:p>
    <w:p w14:paraId="15B31692" w14:textId="49864913" w:rsidR="0014063B" w:rsidRDefault="0014063B" w:rsidP="0014063B">
      <w:pPr>
        <w:pStyle w:val="Heading3"/>
      </w:pPr>
      <w:r>
        <w:lastRenderedPageBreak/>
        <w:t>Overall impact</w:t>
      </w:r>
    </w:p>
    <w:p w14:paraId="536C7B09" w14:textId="5A444B27" w:rsidR="0014063B" w:rsidRDefault="0014063B" w:rsidP="0014063B">
      <w:pPr>
        <w:pStyle w:val="Normalfollowingheading"/>
      </w:pPr>
      <w:r>
        <w:t>All participating sites changed their assessment processes by introducing an ADP.</w:t>
      </w:r>
      <w:r w:rsidR="001D6ABE">
        <w:t xml:space="preserve"> This reduce variation in practice and ensured the process was evidence-based. </w:t>
      </w:r>
    </w:p>
    <w:p w14:paraId="03B8E230" w14:textId="77777777" w:rsidR="0014063B" w:rsidRDefault="0014063B" w:rsidP="0014063B">
      <w:pPr>
        <w:pStyle w:val="Normalfollowingheading"/>
      </w:pPr>
      <w:r>
        <w:t xml:space="preserve">Ruling out ACS faster by using an ADP reduced anxiety for eligible patients and minimised the inconvenience of a lengthy ED stay. </w:t>
      </w:r>
    </w:p>
    <w:p w14:paraId="5009786B" w14:textId="77777777" w:rsidR="004021F6" w:rsidRDefault="0014063B" w:rsidP="0014063B">
      <w:pPr>
        <w:pStyle w:val="Normalfollowingheading"/>
      </w:pPr>
      <w:r>
        <w:t>The project also demonstrated a release in ED capacity</w:t>
      </w:r>
      <w:r w:rsidR="004021F6">
        <w:t>:</w:t>
      </w:r>
    </w:p>
    <w:p w14:paraId="0A17E195" w14:textId="77777777" w:rsidR="004021F6" w:rsidRDefault="004021F6" w:rsidP="004021F6">
      <w:pPr>
        <w:pStyle w:val="Bullet1"/>
      </w:pPr>
      <w:r>
        <w:t>s</w:t>
      </w:r>
      <w:r w:rsidR="0014063B">
        <w:t>ites implementing an ADP for the first time saved an average of 20 minutes and released an estimated capacity of 472 patients</w:t>
      </w:r>
    </w:p>
    <w:p w14:paraId="66CA092D" w14:textId="16E6BE6E" w:rsidR="0014063B" w:rsidRDefault="004021F6" w:rsidP="004021F6">
      <w:pPr>
        <w:pStyle w:val="Bullet1"/>
      </w:pPr>
      <w:r>
        <w:t xml:space="preserve">sites </w:t>
      </w:r>
      <w:r w:rsidR="0014063B">
        <w:t>that had sustained an ADP saved 112 minutes and release</w:t>
      </w:r>
      <w:r>
        <w:t>d</w:t>
      </w:r>
      <w:r w:rsidR="0014063B">
        <w:t xml:space="preserve"> capacity for 2,831 patients.  </w:t>
      </w:r>
    </w:p>
    <w:p w14:paraId="2485892E" w14:textId="77777777" w:rsidR="00435805" w:rsidRDefault="00435805" w:rsidP="00435805">
      <w:pPr>
        <w:pStyle w:val="Heading2"/>
      </w:pPr>
      <w:r>
        <w:t>Key learnings</w:t>
      </w:r>
    </w:p>
    <w:p w14:paraId="17DF14C3" w14:textId="7DAC5CE8" w:rsidR="00381BD8" w:rsidRPr="00BB3406" w:rsidRDefault="00F76B9A" w:rsidP="00BB3406">
      <w:pPr>
        <w:pStyle w:val="Bullet1"/>
      </w:pPr>
      <w:r w:rsidRPr="00F76B9A">
        <w:rPr>
          <w:b/>
          <w:bCs/>
        </w:rPr>
        <w:t xml:space="preserve">Be clear in the use of troponin tests from the outset – </w:t>
      </w:r>
      <w:r w:rsidR="00AE7BF5" w:rsidRPr="00AE7BF5">
        <w:t>D</w:t>
      </w:r>
      <w:r w:rsidR="00BB3406" w:rsidRPr="00BB3406">
        <w:t>uring the project, it was discovered that there was some confusion about how different troponin tests could be used safely. These tests measure t</w:t>
      </w:r>
      <w:r w:rsidR="00E36A6E" w:rsidRPr="00BB3406">
        <w:t>roponin</w:t>
      </w:r>
      <w:r w:rsidR="00BB3406" w:rsidRPr="00BB3406">
        <w:t>,</w:t>
      </w:r>
      <w:r w:rsidR="00E36A6E" w:rsidRPr="00BB3406">
        <w:t xml:space="preserve"> a blood marker that indicates damage to the heart, </w:t>
      </w:r>
      <w:r w:rsidR="00BB3406" w:rsidRPr="00BB3406">
        <w:t xml:space="preserve">and help </w:t>
      </w:r>
      <w:r w:rsidR="00AE3DBA" w:rsidRPr="00BB3406">
        <w:t xml:space="preserve">to </w:t>
      </w:r>
      <w:r w:rsidR="00E36A6E" w:rsidRPr="00BB3406">
        <w:t xml:space="preserve">determine a patient’s eligibility for an ADP. Clarifying this issue was essential to ensuring safety within the project. </w:t>
      </w:r>
    </w:p>
    <w:p w14:paraId="5E8FB223" w14:textId="218D057C" w:rsidR="00F76B9A" w:rsidRDefault="00F76B9A" w:rsidP="00BB3406">
      <w:pPr>
        <w:pStyle w:val="Bullet1"/>
      </w:pPr>
      <w:r w:rsidRPr="00F76B9A">
        <w:rPr>
          <w:b/>
          <w:bCs/>
        </w:rPr>
        <w:t xml:space="preserve">Factor in the unpredictable nature of the ED – </w:t>
      </w:r>
      <w:r w:rsidR="00AE7BF5" w:rsidRPr="00AE7BF5">
        <w:t>C</w:t>
      </w:r>
      <w:r w:rsidR="00604B60" w:rsidRPr="00BB3406">
        <w:t>hange in an ED is not easy and can be impacted by unpredictable influences such as sudden spikes in patient presentations</w:t>
      </w:r>
      <w:r w:rsidR="00BB3406" w:rsidRPr="00BB3406">
        <w:t>, competing priorities</w:t>
      </w:r>
      <w:r w:rsidR="00BB3406">
        <w:t>,</w:t>
      </w:r>
      <w:r w:rsidR="00604B60" w:rsidRPr="00BB3406">
        <w:t xml:space="preserve"> and unplanned staff changes. </w:t>
      </w:r>
      <w:r w:rsidR="00DB2BFD">
        <w:t xml:space="preserve">It is recommended that </w:t>
      </w:r>
      <w:r w:rsidR="00BB3406" w:rsidRPr="00BB3406">
        <w:t xml:space="preserve">contingencies </w:t>
      </w:r>
      <w:r w:rsidR="00DB2BFD">
        <w:t xml:space="preserve">are built </w:t>
      </w:r>
      <w:r w:rsidR="00BB3406" w:rsidRPr="00BB3406">
        <w:t>into the project to account for this.</w:t>
      </w:r>
    </w:p>
    <w:p w14:paraId="79C43119" w14:textId="59DB0E1C" w:rsidR="00C269E0" w:rsidRPr="00BC5B50" w:rsidRDefault="004470DC" w:rsidP="00BC5B50">
      <w:pPr>
        <w:pStyle w:val="Bullet1"/>
      </w:pPr>
      <w:r>
        <w:rPr>
          <w:b/>
          <w:bCs/>
        </w:rPr>
        <w:br w:type="column"/>
      </w:r>
      <w:r w:rsidR="00306F14" w:rsidRPr="00BC5B50">
        <w:rPr>
          <w:b/>
          <w:bCs/>
        </w:rPr>
        <w:t>Be proactive in identifying potential delays and barriers –</w:t>
      </w:r>
      <w:r w:rsidR="00306F14" w:rsidRPr="00BC5B50">
        <w:t xml:space="preserve"> </w:t>
      </w:r>
      <w:r w:rsidR="00AE7BF5" w:rsidRPr="00AE7BF5">
        <w:t>T</w:t>
      </w:r>
      <w:r w:rsidR="00306F14" w:rsidRPr="00BC5B50">
        <w:t>hree of the sites ended up starting implementation almost a year after the others. Given the new implementation sites were late adopters of an ADP approach, delays and barriers were anticipated and were managed once identified, however a more proactive approach to mitigating these issues would have been beneficial.</w:t>
      </w:r>
    </w:p>
    <w:p w14:paraId="21F5A587" w14:textId="334A8308" w:rsidR="002C338A" w:rsidRPr="002C338A" w:rsidRDefault="002C338A" w:rsidP="008A306C">
      <w:pPr>
        <w:pStyle w:val="Normalfollowingheading"/>
      </w:pPr>
    </w:p>
    <w:sectPr w:rsidR="002C338A" w:rsidRPr="002C338A" w:rsidSect="00C269E0">
      <w:footerReference w:type="default" r:id="rId12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77777777" w:rsidR="00C821CE" w:rsidRDefault="00C8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269E0" w:rsidRPr="00736C0C" w14:paraId="3015F64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55439CA0" w14:textId="77777777" w:rsidR="00C269E0" w:rsidRPr="00911408" w:rsidRDefault="00C269E0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DDC7F71" w14:textId="77777777" w:rsidR="00C269E0" w:rsidRPr="00911408" w:rsidRDefault="00C269E0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2F11D94F" w14:textId="77465857" w:rsidR="00C269E0" w:rsidRPr="00911408" w:rsidRDefault="00C269E0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9232AF">
            <w:rPr>
              <w:sz w:val="18"/>
              <w:szCs w:val="18"/>
            </w:rPr>
            <w:t>November</w:t>
          </w:r>
          <w:r w:rsidR="009232A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5ACA7B92" w14:textId="60B80182" w:rsidR="00C269E0" w:rsidRPr="001E4AFD" w:rsidRDefault="009232AF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1E4AFD">
            <w:rPr>
              <w:color w:val="000000" w:themeColor="text1"/>
              <w:sz w:val="18"/>
              <w:szCs w:val="18"/>
            </w:rPr>
            <w:t>ISBN 978-1-76096-259-3 (pdf/online/MS word)</w:t>
          </w:r>
        </w:p>
        <w:p w14:paraId="2CCF44C5" w14:textId="0DE125BA" w:rsidR="00C269E0" w:rsidRPr="007A4444" w:rsidRDefault="00C269E0" w:rsidP="009232AF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9232AF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268DFC54" w14:textId="77777777" w:rsidR="00C269E0" w:rsidRPr="00736C0C" w:rsidRDefault="00C269E0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7D045E2D" wp14:editId="2B9DE0F4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62B34" w14:textId="77777777" w:rsidR="00C269E0" w:rsidRDefault="00C2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716A2460">
          <wp:simplePos x="0" y="0"/>
          <wp:positionH relativeFrom="page">
            <wp:posOffset>23495</wp:posOffset>
          </wp:positionH>
          <wp:positionV relativeFrom="page">
            <wp:posOffset>9525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6811"/>
    <w:rsid w:val="0004185E"/>
    <w:rsid w:val="00053181"/>
    <w:rsid w:val="00056988"/>
    <w:rsid w:val="00060D97"/>
    <w:rsid w:val="00071F51"/>
    <w:rsid w:val="00072279"/>
    <w:rsid w:val="00073407"/>
    <w:rsid w:val="00075E6C"/>
    <w:rsid w:val="00081C12"/>
    <w:rsid w:val="00087D42"/>
    <w:rsid w:val="000905F7"/>
    <w:rsid w:val="000B29AD"/>
    <w:rsid w:val="000C515F"/>
    <w:rsid w:val="000C6372"/>
    <w:rsid w:val="000D7841"/>
    <w:rsid w:val="000E28B4"/>
    <w:rsid w:val="000E392D"/>
    <w:rsid w:val="000E39B6"/>
    <w:rsid w:val="000E3D05"/>
    <w:rsid w:val="000F2A2C"/>
    <w:rsid w:val="000F4288"/>
    <w:rsid w:val="000F7165"/>
    <w:rsid w:val="00102379"/>
    <w:rsid w:val="00103722"/>
    <w:rsid w:val="001065D6"/>
    <w:rsid w:val="001068D5"/>
    <w:rsid w:val="001111B1"/>
    <w:rsid w:val="00121252"/>
    <w:rsid w:val="00121488"/>
    <w:rsid w:val="00124609"/>
    <w:rsid w:val="001254CE"/>
    <w:rsid w:val="0013637A"/>
    <w:rsid w:val="0014063B"/>
    <w:rsid w:val="001422CC"/>
    <w:rsid w:val="00145346"/>
    <w:rsid w:val="001617B6"/>
    <w:rsid w:val="00165E66"/>
    <w:rsid w:val="00186B39"/>
    <w:rsid w:val="00196143"/>
    <w:rsid w:val="001A24FC"/>
    <w:rsid w:val="001A6773"/>
    <w:rsid w:val="001B71A1"/>
    <w:rsid w:val="001C60B2"/>
    <w:rsid w:val="001C6993"/>
    <w:rsid w:val="001C7BAE"/>
    <w:rsid w:val="001D6ABE"/>
    <w:rsid w:val="001E169A"/>
    <w:rsid w:val="001E31FA"/>
    <w:rsid w:val="001E48F9"/>
    <w:rsid w:val="001E4AFD"/>
    <w:rsid w:val="001E64F6"/>
    <w:rsid w:val="001E7AEB"/>
    <w:rsid w:val="001F5760"/>
    <w:rsid w:val="00204B82"/>
    <w:rsid w:val="0021785D"/>
    <w:rsid w:val="00222BEB"/>
    <w:rsid w:val="00222FFF"/>
    <w:rsid w:val="00225E60"/>
    <w:rsid w:val="00230BBB"/>
    <w:rsid w:val="0023202C"/>
    <w:rsid w:val="00234619"/>
    <w:rsid w:val="00235BE2"/>
    <w:rsid w:val="00245043"/>
    <w:rsid w:val="0026028E"/>
    <w:rsid w:val="00273AF5"/>
    <w:rsid w:val="00284FA2"/>
    <w:rsid w:val="00292D36"/>
    <w:rsid w:val="0029435D"/>
    <w:rsid w:val="00294A5A"/>
    <w:rsid w:val="0029712D"/>
    <w:rsid w:val="00297281"/>
    <w:rsid w:val="00297A47"/>
    <w:rsid w:val="002A5891"/>
    <w:rsid w:val="002A5F50"/>
    <w:rsid w:val="002B03F1"/>
    <w:rsid w:val="002B5C34"/>
    <w:rsid w:val="002B5E2B"/>
    <w:rsid w:val="002B6DAA"/>
    <w:rsid w:val="002C338A"/>
    <w:rsid w:val="002D70F7"/>
    <w:rsid w:val="002D711A"/>
    <w:rsid w:val="002D7336"/>
    <w:rsid w:val="002E3396"/>
    <w:rsid w:val="002E6454"/>
    <w:rsid w:val="002F2953"/>
    <w:rsid w:val="002F491B"/>
    <w:rsid w:val="002F4E84"/>
    <w:rsid w:val="002F548F"/>
    <w:rsid w:val="00302F0E"/>
    <w:rsid w:val="00306F14"/>
    <w:rsid w:val="0031149C"/>
    <w:rsid w:val="00311C21"/>
    <w:rsid w:val="00332D4F"/>
    <w:rsid w:val="003347B2"/>
    <w:rsid w:val="00341674"/>
    <w:rsid w:val="003512DB"/>
    <w:rsid w:val="0036778F"/>
    <w:rsid w:val="003706FE"/>
    <w:rsid w:val="0037488A"/>
    <w:rsid w:val="00381BD8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E48D0"/>
    <w:rsid w:val="003F1295"/>
    <w:rsid w:val="003F5102"/>
    <w:rsid w:val="003F76FC"/>
    <w:rsid w:val="004002EB"/>
    <w:rsid w:val="004021F6"/>
    <w:rsid w:val="00407A79"/>
    <w:rsid w:val="00410F8B"/>
    <w:rsid w:val="00422DDC"/>
    <w:rsid w:val="004231B5"/>
    <w:rsid w:val="004236C8"/>
    <w:rsid w:val="00427681"/>
    <w:rsid w:val="0043317F"/>
    <w:rsid w:val="00433DB7"/>
    <w:rsid w:val="00435805"/>
    <w:rsid w:val="00442182"/>
    <w:rsid w:val="004470DC"/>
    <w:rsid w:val="0045347E"/>
    <w:rsid w:val="00453750"/>
    <w:rsid w:val="00456941"/>
    <w:rsid w:val="00460BD5"/>
    <w:rsid w:val="004702EA"/>
    <w:rsid w:val="0048259C"/>
    <w:rsid w:val="00482792"/>
    <w:rsid w:val="00482D02"/>
    <w:rsid w:val="00484326"/>
    <w:rsid w:val="00490369"/>
    <w:rsid w:val="00495385"/>
    <w:rsid w:val="004A4ED0"/>
    <w:rsid w:val="004A7519"/>
    <w:rsid w:val="004B64B1"/>
    <w:rsid w:val="004D01AC"/>
    <w:rsid w:val="004D3518"/>
    <w:rsid w:val="004D62D6"/>
    <w:rsid w:val="004D6898"/>
    <w:rsid w:val="004F17F9"/>
    <w:rsid w:val="004F3F4E"/>
    <w:rsid w:val="004F46D5"/>
    <w:rsid w:val="00506C45"/>
    <w:rsid w:val="00510167"/>
    <w:rsid w:val="00512BBE"/>
    <w:rsid w:val="00513E86"/>
    <w:rsid w:val="005306A2"/>
    <w:rsid w:val="0053416C"/>
    <w:rsid w:val="00541C2F"/>
    <w:rsid w:val="00552DE4"/>
    <w:rsid w:val="00555D37"/>
    <w:rsid w:val="00557E49"/>
    <w:rsid w:val="00563527"/>
    <w:rsid w:val="0057407A"/>
    <w:rsid w:val="0058124E"/>
    <w:rsid w:val="0058654C"/>
    <w:rsid w:val="005875A3"/>
    <w:rsid w:val="005953EA"/>
    <w:rsid w:val="005A3416"/>
    <w:rsid w:val="005B061F"/>
    <w:rsid w:val="005B27FE"/>
    <w:rsid w:val="005B327A"/>
    <w:rsid w:val="005B5F0B"/>
    <w:rsid w:val="005B76DF"/>
    <w:rsid w:val="005B79CB"/>
    <w:rsid w:val="005C592D"/>
    <w:rsid w:val="005E08D7"/>
    <w:rsid w:val="005E4C16"/>
    <w:rsid w:val="005E5947"/>
    <w:rsid w:val="005F57B7"/>
    <w:rsid w:val="005F61DF"/>
    <w:rsid w:val="0060163A"/>
    <w:rsid w:val="006023F9"/>
    <w:rsid w:val="00604B60"/>
    <w:rsid w:val="006063B4"/>
    <w:rsid w:val="00610559"/>
    <w:rsid w:val="00614076"/>
    <w:rsid w:val="0062262B"/>
    <w:rsid w:val="00632F2E"/>
    <w:rsid w:val="006332F6"/>
    <w:rsid w:val="006413F2"/>
    <w:rsid w:val="00643D10"/>
    <w:rsid w:val="0064598D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B2A76"/>
    <w:rsid w:val="006C77A9"/>
    <w:rsid w:val="006D2F37"/>
    <w:rsid w:val="006D4720"/>
    <w:rsid w:val="006E6CDF"/>
    <w:rsid w:val="006F37F2"/>
    <w:rsid w:val="006F6693"/>
    <w:rsid w:val="006F70C1"/>
    <w:rsid w:val="00707FE8"/>
    <w:rsid w:val="00714AAE"/>
    <w:rsid w:val="00720A05"/>
    <w:rsid w:val="00724962"/>
    <w:rsid w:val="00724A0F"/>
    <w:rsid w:val="00726D2F"/>
    <w:rsid w:val="00727D11"/>
    <w:rsid w:val="00732A2A"/>
    <w:rsid w:val="007352D2"/>
    <w:rsid w:val="00736732"/>
    <w:rsid w:val="00740019"/>
    <w:rsid w:val="00746426"/>
    <w:rsid w:val="00750BF9"/>
    <w:rsid w:val="00750CBE"/>
    <w:rsid w:val="007650D2"/>
    <w:rsid w:val="00766B5A"/>
    <w:rsid w:val="00772209"/>
    <w:rsid w:val="00773976"/>
    <w:rsid w:val="007770A5"/>
    <w:rsid w:val="007834F2"/>
    <w:rsid w:val="00791020"/>
    <w:rsid w:val="00794CB7"/>
    <w:rsid w:val="007A04D2"/>
    <w:rsid w:val="007A4444"/>
    <w:rsid w:val="007A5F82"/>
    <w:rsid w:val="007D31C3"/>
    <w:rsid w:val="007D4A1E"/>
    <w:rsid w:val="007D5F9E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6759"/>
    <w:rsid w:val="008411E9"/>
    <w:rsid w:val="00841617"/>
    <w:rsid w:val="0084200F"/>
    <w:rsid w:val="00843B2C"/>
    <w:rsid w:val="00844F16"/>
    <w:rsid w:val="00847BE1"/>
    <w:rsid w:val="00855FF9"/>
    <w:rsid w:val="0086277A"/>
    <w:rsid w:val="00865E1B"/>
    <w:rsid w:val="008668A8"/>
    <w:rsid w:val="008703D8"/>
    <w:rsid w:val="008768AD"/>
    <w:rsid w:val="00880AC4"/>
    <w:rsid w:val="00893E52"/>
    <w:rsid w:val="00897157"/>
    <w:rsid w:val="00897447"/>
    <w:rsid w:val="008A306C"/>
    <w:rsid w:val="008A4900"/>
    <w:rsid w:val="008A55FE"/>
    <w:rsid w:val="008A58D2"/>
    <w:rsid w:val="008A7E76"/>
    <w:rsid w:val="008B146D"/>
    <w:rsid w:val="008B42AD"/>
    <w:rsid w:val="008B5666"/>
    <w:rsid w:val="008C2C15"/>
    <w:rsid w:val="008D0281"/>
    <w:rsid w:val="008E2348"/>
    <w:rsid w:val="008F6D45"/>
    <w:rsid w:val="00911408"/>
    <w:rsid w:val="00916AD5"/>
    <w:rsid w:val="00922944"/>
    <w:rsid w:val="009232AF"/>
    <w:rsid w:val="00936479"/>
    <w:rsid w:val="00937A10"/>
    <w:rsid w:val="00953A2C"/>
    <w:rsid w:val="00966115"/>
    <w:rsid w:val="009834C0"/>
    <w:rsid w:val="00986AAC"/>
    <w:rsid w:val="00991C00"/>
    <w:rsid w:val="00994265"/>
    <w:rsid w:val="00995526"/>
    <w:rsid w:val="00996E62"/>
    <w:rsid w:val="009A1DA2"/>
    <w:rsid w:val="009A3704"/>
    <w:rsid w:val="009A4739"/>
    <w:rsid w:val="009A674F"/>
    <w:rsid w:val="009A6A4F"/>
    <w:rsid w:val="009A6D22"/>
    <w:rsid w:val="009B199C"/>
    <w:rsid w:val="009B1BBA"/>
    <w:rsid w:val="009B61F1"/>
    <w:rsid w:val="009B62E0"/>
    <w:rsid w:val="009C3D88"/>
    <w:rsid w:val="009E0D59"/>
    <w:rsid w:val="009E1651"/>
    <w:rsid w:val="009E3858"/>
    <w:rsid w:val="009E467D"/>
    <w:rsid w:val="009E5E60"/>
    <w:rsid w:val="009E70DD"/>
    <w:rsid w:val="009F2ED9"/>
    <w:rsid w:val="009F3231"/>
    <w:rsid w:val="009F5C58"/>
    <w:rsid w:val="00A023A0"/>
    <w:rsid w:val="00A05EBC"/>
    <w:rsid w:val="00A10021"/>
    <w:rsid w:val="00A131B1"/>
    <w:rsid w:val="00A1562B"/>
    <w:rsid w:val="00A170F4"/>
    <w:rsid w:val="00A21408"/>
    <w:rsid w:val="00A2160F"/>
    <w:rsid w:val="00A21CFD"/>
    <w:rsid w:val="00A25B78"/>
    <w:rsid w:val="00A46288"/>
    <w:rsid w:val="00A46BA8"/>
    <w:rsid w:val="00A47634"/>
    <w:rsid w:val="00A612FE"/>
    <w:rsid w:val="00A61B2F"/>
    <w:rsid w:val="00A70B49"/>
    <w:rsid w:val="00A824AB"/>
    <w:rsid w:val="00A90766"/>
    <w:rsid w:val="00A92D94"/>
    <w:rsid w:val="00AA26B8"/>
    <w:rsid w:val="00AC0B87"/>
    <w:rsid w:val="00AC2624"/>
    <w:rsid w:val="00AC32A8"/>
    <w:rsid w:val="00AD52B1"/>
    <w:rsid w:val="00AD7E4E"/>
    <w:rsid w:val="00AE3DBA"/>
    <w:rsid w:val="00AE7BF5"/>
    <w:rsid w:val="00AF4D58"/>
    <w:rsid w:val="00AF6666"/>
    <w:rsid w:val="00AF7BC5"/>
    <w:rsid w:val="00B23B82"/>
    <w:rsid w:val="00B3391A"/>
    <w:rsid w:val="00B52574"/>
    <w:rsid w:val="00B64D06"/>
    <w:rsid w:val="00B81B44"/>
    <w:rsid w:val="00B9053B"/>
    <w:rsid w:val="00B936A1"/>
    <w:rsid w:val="00BA0C37"/>
    <w:rsid w:val="00BA3782"/>
    <w:rsid w:val="00BB3406"/>
    <w:rsid w:val="00BB4D98"/>
    <w:rsid w:val="00BB4EBF"/>
    <w:rsid w:val="00BB59E0"/>
    <w:rsid w:val="00BC07DF"/>
    <w:rsid w:val="00BC3422"/>
    <w:rsid w:val="00BC5B50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1698B"/>
    <w:rsid w:val="00C25B13"/>
    <w:rsid w:val="00C269E0"/>
    <w:rsid w:val="00C32D49"/>
    <w:rsid w:val="00C33AD3"/>
    <w:rsid w:val="00C35D53"/>
    <w:rsid w:val="00C41B3C"/>
    <w:rsid w:val="00C43F06"/>
    <w:rsid w:val="00C44B92"/>
    <w:rsid w:val="00C51C01"/>
    <w:rsid w:val="00C60DDF"/>
    <w:rsid w:val="00C637E1"/>
    <w:rsid w:val="00C67EAC"/>
    <w:rsid w:val="00C7098C"/>
    <w:rsid w:val="00C70D50"/>
    <w:rsid w:val="00C72252"/>
    <w:rsid w:val="00C821CE"/>
    <w:rsid w:val="00C87D47"/>
    <w:rsid w:val="00C907D7"/>
    <w:rsid w:val="00C92338"/>
    <w:rsid w:val="00CA05DC"/>
    <w:rsid w:val="00CA7332"/>
    <w:rsid w:val="00CA7B47"/>
    <w:rsid w:val="00CB3976"/>
    <w:rsid w:val="00CC0347"/>
    <w:rsid w:val="00CD0307"/>
    <w:rsid w:val="00CD3C79"/>
    <w:rsid w:val="00CD3D1B"/>
    <w:rsid w:val="00CE590E"/>
    <w:rsid w:val="00CE61C3"/>
    <w:rsid w:val="00D02663"/>
    <w:rsid w:val="00D0633E"/>
    <w:rsid w:val="00D12E74"/>
    <w:rsid w:val="00D159EF"/>
    <w:rsid w:val="00D2312F"/>
    <w:rsid w:val="00D23B04"/>
    <w:rsid w:val="00D246C3"/>
    <w:rsid w:val="00D269C1"/>
    <w:rsid w:val="00D304B1"/>
    <w:rsid w:val="00D41230"/>
    <w:rsid w:val="00D41B2F"/>
    <w:rsid w:val="00D44953"/>
    <w:rsid w:val="00D46E18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6AD4"/>
    <w:rsid w:val="00D814B7"/>
    <w:rsid w:val="00D858A3"/>
    <w:rsid w:val="00D90688"/>
    <w:rsid w:val="00DA3AAD"/>
    <w:rsid w:val="00DA3F36"/>
    <w:rsid w:val="00DB2BFD"/>
    <w:rsid w:val="00DB312B"/>
    <w:rsid w:val="00DC5654"/>
    <w:rsid w:val="00DC658F"/>
    <w:rsid w:val="00DC674A"/>
    <w:rsid w:val="00DE60CC"/>
    <w:rsid w:val="00E03F35"/>
    <w:rsid w:val="00E26B32"/>
    <w:rsid w:val="00E31CD4"/>
    <w:rsid w:val="00E31E60"/>
    <w:rsid w:val="00E33E08"/>
    <w:rsid w:val="00E36A6E"/>
    <w:rsid w:val="00E407B6"/>
    <w:rsid w:val="00E41D82"/>
    <w:rsid w:val="00E41EF1"/>
    <w:rsid w:val="00E42942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2BCD"/>
    <w:rsid w:val="00F13239"/>
    <w:rsid w:val="00F17CE1"/>
    <w:rsid w:val="00F2115C"/>
    <w:rsid w:val="00F22ABA"/>
    <w:rsid w:val="00F25919"/>
    <w:rsid w:val="00F25F4B"/>
    <w:rsid w:val="00F36B12"/>
    <w:rsid w:val="00F37C40"/>
    <w:rsid w:val="00F60F9F"/>
    <w:rsid w:val="00F61246"/>
    <w:rsid w:val="00F63125"/>
    <w:rsid w:val="00F64F08"/>
    <w:rsid w:val="00F70055"/>
    <w:rsid w:val="00F734F5"/>
    <w:rsid w:val="00F73B5B"/>
    <w:rsid w:val="00F76B9A"/>
    <w:rsid w:val="00F80A39"/>
    <w:rsid w:val="00F8536E"/>
    <w:rsid w:val="00F90EA5"/>
    <w:rsid w:val="00F91F5A"/>
    <w:rsid w:val="00F966B1"/>
    <w:rsid w:val="00F97D48"/>
    <w:rsid w:val="00FA0311"/>
    <w:rsid w:val="00FA1489"/>
    <w:rsid w:val="00FD50F0"/>
    <w:rsid w:val="00FD640F"/>
    <w:rsid w:val="00FD6B4C"/>
    <w:rsid w:val="00FE04C6"/>
    <w:rsid w:val="00FE0553"/>
    <w:rsid w:val="00FE25D0"/>
    <w:rsid w:val="00FE6CB3"/>
    <w:rsid w:val="00FF1B78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3D2B-BF87-44F7-8647-4E0B99FC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Emergency Care Clinical Network acute coronary syndrome project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2020-12-16T04:57:00Z</dcterms:created>
  <dcterms:modified xsi:type="dcterms:W3CDTF">2020-12-16T04:58:00Z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2020-12-16T04:58:12Z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867f504e-3718-45cb-b179-6cbf1bbdbd03</vt:lpwstr>
  </property>
  <property fmtid="{D5CDD505-2E9C-101B-9397-08002B2CF9AE}" pid="8" name="MSIP_Label_efdf5488-3066-4b6c-8fea-9472b8a1f34c_ContentBits">
    <vt:lpwstr>0</vt:lpwstr>
  </property>
</Properties>
</file>