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66FD1550" w:rsidR="00A46288" w:rsidRPr="00DA3F36" w:rsidRDefault="002C1E5B" w:rsidP="007A4444">
      <w:pPr>
        <w:pStyle w:val="Title"/>
      </w:pPr>
      <w:bookmarkStart w:id="0" w:name="_GoBack"/>
      <w:bookmarkEnd w:id="0"/>
      <w:r>
        <w:t xml:space="preserve">Providing early care and support to </w:t>
      </w:r>
      <w:r w:rsidR="00BC31FA">
        <w:t>people with life-threatening illness</w:t>
      </w:r>
    </w:p>
    <w:p w14:paraId="6800B4C5" w14:textId="2E07FB01" w:rsidR="00897157" w:rsidRDefault="002C1E5B" w:rsidP="00E03F35">
      <w:pPr>
        <w:pStyle w:val="IntroductoryText"/>
      </w:pPr>
      <w:r>
        <w:t xml:space="preserve">Palliative Care South East established an early intervention palliative and supportive care clinic to </w:t>
      </w:r>
      <w:r w:rsidR="00BC31FA">
        <w:t xml:space="preserve">provide </w:t>
      </w:r>
      <w:r>
        <w:t xml:space="preserve">terminally ill </w:t>
      </w:r>
      <w:r w:rsidR="00DE45EE">
        <w:t xml:space="preserve">but stable clients </w:t>
      </w:r>
      <w:r w:rsidR="00BC31FA">
        <w:t xml:space="preserve">with </w:t>
      </w:r>
      <w:r>
        <w:t>access to support sooner</w:t>
      </w:r>
      <w:r w:rsidR="00BC31FA">
        <w:t>, enhancing their quality of life</w:t>
      </w:r>
      <w:r>
        <w:t>.</w:t>
      </w:r>
    </w:p>
    <w:p w14:paraId="7E23E5B8" w14:textId="77777777" w:rsidR="007A4444" w:rsidRDefault="007A4444" w:rsidP="007A4444">
      <w:pPr>
        <w:pStyle w:val="NoSpacing"/>
      </w:pPr>
    </w:p>
    <w:p w14:paraId="4230C339" w14:textId="77777777" w:rsidR="007A4444" w:rsidRDefault="007A4444" w:rsidP="00794CB7">
      <w:pPr>
        <w:sectPr w:rsidR="007A4444" w:rsidSect="00435805">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3EF9C628" w14:textId="17FD11F9" w:rsidR="00184792" w:rsidRDefault="002F6676" w:rsidP="00184792">
      <w:pPr>
        <w:pStyle w:val="Normalfollowingheading"/>
      </w:pPr>
      <w:bookmarkStart w:id="1" w:name="_Hlk54827612"/>
      <w:r w:rsidRPr="002F6676">
        <w:t>Palliative Care South East (PCSE</w:t>
      </w:r>
      <w:bookmarkEnd w:id="1"/>
      <w:r w:rsidRPr="002F6676">
        <w:t>)</w:t>
      </w:r>
      <w:r w:rsidR="00184792">
        <w:t xml:space="preserve">, which </w:t>
      </w:r>
      <w:r w:rsidRPr="002F6676">
        <w:t xml:space="preserve">provides </w:t>
      </w:r>
      <w:r w:rsidR="00CB02B0">
        <w:t xml:space="preserve">home-based </w:t>
      </w:r>
      <w:r w:rsidRPr="002F6676">
        <w:t>care to southeast</w:t>
      </w:r>
      <w:r w:rsidR="00BD192A">
        <w:t xml:space="preserve"> </w:t>
      </w:r>
      <w:r w:rsidR="00CB02B0">
        <w:t xml:space="preserve">Melbourne residents </w:t>
      </w:r>
      <w:r w:rsidR="00BD192A">
        <w:t xml:space="preserve">who have been </w:t>
      </w:r>
      <w:r w:rsidR="00BD192A" w:rsidRPr="00BD192A">
        <w:t>diagnosed with a life-</w:t>
      </w:r>
      <w:r w:rsidR="00FC7BDB">
        <w:t>limiting</w:t>
      </w:r>
      <w:r w:rsidR="00FC7BDB" w:rsidRPr="00BD192A">
        <w:t xml:space="preserve"> </w:t>
      </w:r>
      <w:r w:rsidR="00BD192A" w:rsidRPr="00BD192A">
        <w:t>illness</w:t>
      </w:r>
      <w:r w:rsidR="00CB02B0">
        <w:t xml:space="preserve">, </w:t>
      </w:r>
      <w:r w:rsidR="00184792">
        <w:t xml:space="preserve">receives </w:t>
      </w:r>
      <w:r w:rsidR="00CB02B0">
        <w:t xml:space="preserve">more than </w:t>
      </w:r>
      <w:r w:rsidR="00571B8F" w:rsidRPr="00571B8F">
        <w:t xml:space="preserve">500 referrals </w:t>
      </w:r>
      <w:r w:rsidR="00CB02B0">
        <w:t>each year.</w:t>
      </w:r>
      <w:r w:rsidR="00995200">
        <w:t xml:space="preserve"> </w:t>
      </w:r>
      <w:r w:rsidR="00721347">
        <w:t xml:space="preserve">In 2017, referrals were </w:t>
      </w:r>
      <w:r w:rsidR="00571B8F" w:rsidRPr="00571B8F">
        <w:t>triaged according to immediate need</w:t>
      </w:r>
      <w:r w:rsidR="00184792">
        <w:t>. C</w:t>
      </w:r>
      <w:r w:rsidR="00721347">
        <w:t xml:space="preserve">lients </w:t>
      </w:r>
      <w:r w:rsidR="00BC31FA">
        <w:t xml:space="preserve">with urgent needs </w:t>
      </w:r>
      <w:r w:rsidR="00184792">
        <w:t xml:space="preserve">were </w:t>
      </w:r>
      <w:r w:rsidR="00BC31FA">
        <w:t>prioritised</w:t>
      </w:r>
      <w:r w:rsidR="00184792">
        <w:t xml:space="preserve">, and those </w:t>
      </w:r>
      <w:r w:rsidR="00571B8F" w:rsidRPr="00571B8F">
        <w:t>considered to be relatively stable</w:t>
      </w:r>
      <w:r w:rsidR="00721347">
        <w:t xml:space="preserve"> </w:t>
      </w:r>
      <w:r w:rsidR="00184792">
        <w:t xml:space="preserve">were </w:t>
      </w:r>
      <w:r w:rsidR="00571B8F" w:rsidRPr="00571B8F">
        <w:t xml:space="preserve">placed on </w:t>
      </w:r>
      <w:r w:rsidR="00721347">
        <w:t xml:space="preserve">a </w:t>
      </w:r>
      <w:r w:rsidR="00571B8F" w:rsidRPr="00571B8F">
        <w:t>wait list</w:t>
      </w:r>
      <w:r w:rsidR="00721347">
        <w:t>.</w:t>
      </w:r>
      <w:r w:rsidR="00184792">
        <w:t xml:space="preserve"> </w:t>
      </w:r>
    </w:p>
    <w:p w14:paraId="19F062BF" w14:textId="66FC8822" w:rsidR="00C02614" w:rsidRDefault="00B56B28" w:rsidP="00184792">
      <w:pPr>
        <w:pStyle w:val="Normalfollowingheading"/>
      </w:pPr>
      <w:r>
        <w:t xml:space="preserve">In 2016–17, approximately 20 per cent of the 444 clients referred to PCSE had to </w:t>
      </w:r>
      <w:r w:rsidR="00273871">
        <w:t xml:space="preserve">be placed on the wait list and it became clear that </w:t>
      </w:r>
      <w:r w:rsidR="00184792">
        <w:t xml:space="preserve">these clients </w:t>
      </w:r>
      <w:r w:rsidR="000C1696">
        <w:t xml:space="preserve">were </w:t>
      </w:r>
      <w:r w:rsidR="00184792">
        <w:t xml:space="preserve">deteriorating </w:t>
      </w:r>
      <w:r w:rsidR="000C1696">
        <w:t xml:space="preserve">at a </w:t>
      </w:r>
      <w:r w:rsidR="00184792">
        <w:t xml:space="preserve">faster </w:t>
      </w:r>
      <w:r w:rsidR="000C1696">
        <w:t xml:space="preserve">rate </w:t>
      </w:r>
      <w:r w:rsidR="00184792">
        <w:t xml:space="preserve">than they </w:t>
      </w:r>
      <w:r w:rsidR="000C1696">
        <w:t xml:space="preserve">would have had </w:t>
      </w:r>
      <w:r w:rsidR="00995200">
        <w:t xml:space="preserve">they </w:t>
      </w:r>
      <w:r w:rsidR="00273871">
        <w:t xml:space="preserve">been able to access </w:t>
      </w:r>
      <w:r w:rsidR="00184792">
        <w:t xml:space="preserve">the </w:t>
      </w:r>
      <w:r w:rsidR="00273871">
        <w:t xml:space="preserve">service earlier. </w:t>
      </w:r>
    </w:p>
    <w:p w14:paraId="16F2E193" w14:textId="1599D99B" w:rsidR="00571B8F" w:rsidRPr="00571B8F" w:rsidRDefault="00DE45EE" w:rsidP="00571B8F">
      <w:pPr>
        <w:pStyle w:val="Normalfollowingheading"/>
      </w:pPr>
      <w:r>
        <w:t xml:space="preserve">After conducting a literature review about early intervention palliative care clinics in </w:t>
      </w:r>
      <w:r w:rsidRPr="00DE45EE">
        <w:t xml:space="preserve">Australia, Canada, New Zealand, </w:t>
      </w:r>
      <w:r>
        <w:t xml:space="preserve">the UK and the US, PCSE decided it needed to establish </w:t>
      </w:r>
      <w:r w:rsidR="006E56C0">
        <w:t xml:space="preserve">a new service </w:t>
      </w:r>
      <w:r w:rsidR="00571B8F" w:rsidRPr="00571B8F">
        <w:t xml:space="preserve">to meet the needs </w:t>
      </w:r>
      <w:r>
        <w:t xml:space="preserve">of </w:t>
      </w:r>
      <w:r w:rsidR="00571B8F" w:rsidRPr="00571B8F">
        <w:t>clients and carers early in the palliative care trajectory.</w:t>
      </w:r>
      <w:r w:rsidR="006E56C0" w:rsidRPr="006E56C0">
        <w:t xml:space="preserve"> </w:t>
      </w:r>
      <w:r w:rsidR="006E56C0">
        <w:t xml:space="preserve">Studies showed </w:t>
      </w:r>
      <w:r w:rsidR="006E56C0" w:rsidRPr="006F2CF7">
        <w:t xml:space="preserve">that earlier intervention tended to improve quality of life, increase the chance </w:t>
      </w:r>
      <w:r w:rsidR="006E56C0">
        <w:t xml:space="preserve">of people dying in </w:t>
      </w:r>
      <w:r w:rsidR="006E56C0" w:rsidRPr="006F2CF7">
        <w:t xml:space="preserve">their </w:t>
      </w:r>
      <w:r w:rsidR="006E56C0">
        <w:t xml:space="preserve">preferred </w:t>
      </w:r>
      <w:r w:rsidR="006E56C0" w:rsidRPr="006F2CF7">
        <w:t xml:space="preserve">place of </w:t>
      </w:r>
      <w:r w:rsidR="006E56C0">
        <w:t xml:space="preserve">death </w:t>
      </w:r>
      <w:r w:rsidR="006E56C0" w:rsidRPr="006F2CF7">
        <w:t>due to better planning, and reduce overall health system expenditure.</w:t>
      </w:r>
    </w:p>
    <w:p w14:paraId="2D15C9A6" w14:textId="115B0077" w:rsidR="00995200" w:rsidRDefault="00320015" w:rsidP="00995200">
      <w:r>
        <w:t xml:space="preserve">PCSE </w:t>
      </w:r>
      <w:r w:rsidR="009B3AAC">
        <w:t xml:space="preserve">piloted </w:t>
      </w:r>
      <w:r w:rsidR="00357A45">
        <w:t xml:space="preserve">an early intervention palliative and supportive care clinic </w:t>
      </w:r>
      <w:r w:rsidR="006E56C0">
        <w:t>with the primary goal of</w:t>
      </w:r>
      <w:r w:rsidR="004F5DBD">
        <w:t xml:space="preserve"> improv</w:t>
      </w:r>
      <w:r w:rsidR="006E56C0">
        <w:t>ing</w:t>
      </w:r>
      <w:r w:rsidR="004F5DBD">
        <w:t xml:space="preserve"> </w:t>
      </w:r>
      <w:r w:rsidR="00357A45">
        <w:t xml:space="preserve">service </w:t>
      </w:r>
      <w:r w:rsidR="004F5DBD">
        <w:t xml:space="preserve">access for people who </w:t>
      </w:r>
      <w:r w:rsidR="006E56C0">
        <w:t xml:space="preserve">were </w:t>
      </w:r>
      <w:r w:rsidR="004F5DBD">
        <w:t xml:space="preserve">early in their </w:t>
      </w:r>
      <w:r w:rsidR="00D53357">
        <w:t xml:space="preserve">illness </w:t>
      </w:r>
      <w:r w:rsidR="00995200">
        <w:t>and</w:t>
      </w:r>
      <w:r w:rsidR="004F5DBD">
        <w:t xml:space="preserve"> </w:t>
      </w:r>
      <w:r w:rsidR="00995200">
        <w:t xml:space="preserve">in a </w:t>
      </w:r>
      <w:r w:rsidR="004F5DBD">
        <w:t>stable</w:t>
      </w:r>
      <w:r w:rsidR="00995200">
        <w:t xml:space="preserve"> condition</w:t>
      </w:r>
      <w:r w:rsidR="004F5DBD">
        <w:t xml:space="preserve">. </w:t>
      </w:r>
      <w:r w:rsidR="00995200">
        <w:t xml:space="preserve">By providing early access to </w:t>
      </w:r>
      <w:r w:rsidR="00357A45">
        <w:t xml:space="preserve">community palliative care </w:t>
      </w:r>
      <w:r w:rsidR="00995200">
        <w:t>services, PCSE aimed to improve clients’ wellbeing, help them better plan for states of deterioration and end of life, and reduce the number of ‘crises’ and unnecessary hospitalisations. The organisation also sought to improve carer wellbeing as carers are subject to considerable stress.</w:t>
      </w:r>
    </w:p>
    <w:p w14:paraId="6F33B14E" w14:textId="0C3EF4BE" w:rsidR="00066979" w:rsidRDefault="00C7098C">
      <w:r w:rsidRPr="00C821CE">
        <w:rPr>
          <w:i/>
          <w:iCs/>
          <w:noProof/>
        </w:rPr>
        <mc:AlternateContent>
          <mc:Choice Requires="wps">
            <w:drawing>
              <wp:inline distT="0" distB="0" distL="0" distR="0" wp14:anchorId="7E5AC192" wp14:editId="5138892B">
                <wp:extent cx="3230245" cy="493395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933950"/>
                        </a:xfrm>
                        <a:prstGeom prst="rect">
                          <a:avLst/>
                        </a:prstGeom>
                        <a:solidFill>
                          <a:srgbClr val="FEEAD2"/>
                        </a:solidFill>
                        <a:ln w="6350">
                          <a:solidFill>
                            <a:srgbClr val="FEEAD2"/>
                          </a:solidFill>
                          <a:miter lim="800000"/>
                          <a:headEnd/>
                          <a:tailEnd/>
                        </a:ln>
                      </wps:spPr>
                      <wps:txbx>
                        <w:txbxContent>
                          <w:p w14:paraId="14988FB7" w14:textId="5EBE48DB" w:rsidR="00C7098C" w:rsidRPr="004D6898" w:rsidRDefault="00740586" w:rsidP="00C7098C">
                            <w:pPr>
                              <w:pStyle w:val="PulloutHeading"/>
                            </w:pPr>
                            <w:r w:rsidRPr="00740586">
                              <w:t xml:space="preserve">Early </w:t>
                            </w:r>
                            <w:r>
                              <w:t>i</w:t>
                            </w:r>
                            <w:r w:rsidRPr="00740586">
                              <w:t xml:space="preserve">ntervention </w:t>
                            </w:r>
                            <w:r>
                              <w:t>p</w:t>
                            </w:r>
                            <w:r w:rsidRPr="00740586">
                              <w:t xml:space="preserve">alliative and </w:t>
                            </w:r>
                            <w:r>
                              <w:t>s</w:t>
                            </w:r>
                            <w:r w:rsidRPr="00740586">
                              <w:t xml:space="preserve">upportive </w:t>
                            </w:r>
                            <w:r>
                              <w:t>c</w:t>
                            </w:r>
                            <w:r w:rsidRPr="00740586">
                              <w:t xml:space="preserve">are </w:t>
                            </w:r>
                            <w:r>
                              <w:t>c</w:t>
                            </w:r>
                            <w:r w:rsidRPr="00740586">
                              <w:t>linic</w:t>
                            </w:r>
                          </w:p>
                          <w:p w14:paraId="3BCE2E88" w14:textId="7D3133E7" w:rsidR="00C7098C" w:rsidRDefault="00C7098C" w:rsidP="00C7098C">
                            <w:pPr>
                              <w:pStyle w:val="PulloutText"/>
                            </w:pPr>
                            <w:r w:rsidRPr="00186B39">
                              <w:rPr>
                                <w:b/>
                                <w:bCs/>
                              </w:rPr>
                              <w:t>Lead</w:t>
                            </w:r>
                            <w:r>
                              <w:t xml:space="preserve"> </w:t>
                            </w:r>
                            <w:r w:rsidR="00E10548">
                              <w:t>Palliative Care South East</w:t>
                            </w:r>
                          </w:p>
                          <w:p w14:paraId="6FDBE315" w14:textId="35C5B723" w:rsidR="00C7098C" w:rsidRPr="00E10548" w:rsidRDefault="00C7098C" w:rsidP="00C7098C">
                            <w:pPr>
                              <w:pStyle w:val="PulloutText"/>
                            </w:pPr>
                            <w:r w:rsidRPr="00911408">
                              <w:rPr>
                                <w:b/>
                                <w:bCs/>
                              </w:rPr>
                              <w:t>Partner</w:t>
                            </w:r>
                            <w:r w:rsidR="00E10548">
                              <w:rPr>
                                <w:b/>
                                <w:bCs/>
                              </w:rPr>
                              <w:t xml:space="preserve">s </w:t>
                            </w:r>
                            <w:bookmarkStart w:id="2" w:name="_Hlk54827487"/>
                            <w:r w:rsidR="00E10548">
                              <w:t>Bolton Clarke</w:t>
                            </w:r>
                            <w:r w:rsidR="00BA64EA">
                              <w:t xml:space="preserve">, </w:t>
                            </w:r>
                            <w:r w:rsidR="00E10548">
                              <w:t>Monash University</w:t>
                            </w:r>
                            <w:bookmarkEnd w:id="2"/>
                          </w:p>
                          <w:p w14:paraId="59A54D14" w14:textId="07DF9CB3" w:rsidR="00C7098C" w:rsidRPr="00E10548" w:rsidRDefault="00186B39" w:rsidP="00C7098C">
                            <w:pPr>
                              <w:pStyle w:val="PulloutText"/>
                            </w:pPr>
                            <w:r>
                              <w:rPr>
                                <w:b/>
                                <w:bCs/>
                              </w:rPr>
                              <w:t>Duration</w:t>
                            </w:r>
                            <w:r w:rsidR="00E10548">
                              <w:rPr>
                                <w:b/>
                                <w:bCs/>
                              </w:rPr>
                              <w:t xml:space="preserve"> </w:t>
                            </w:r>
                            <w:r w:rsidR="00E10548">
                              <w:t>September 2017 – January 2019</w:t>
                            </w:r>
                          </w:p>
                          <w:p w14:paraId="29DC0549" w14:textId="4CBEFB84" w:rsidR="00C7098C" w:rsidRDefault="00C7098C" w:rsidP="00C7098C">
                            <w:pPr>
                              <w:pStyle w:val="PulloutText"/>
                              <w:rPr>
                                <w:b/>
                                <w:bCs/>
                              </w:rPr>
                            </w:pPr>
                            <w:r w:rsidRPr="00911408">
                              <w:rPr>
                                <w:b/>
                                <w:bCs/>
                              </w:rPr>
                              <w:t xml:space="preserve">Key </w:t>
                            </w:r>
                            <w:r w:rsidR="00BC07DF">
                              <w:rPr>
                                <w:b/>
                                <w:bCs/>
                              </w:rPr>
                              <w:t>outcomes</w:t>
                            </w:r>
                          </w:p>
                          <w:p w14:paraId="502E5FA7" w14:textId="033524B7" w:rsidR="00757F7A" w:rsidRDefault="00757F7A" w:rsidP="001F4B4B">
                            <w:pPr>
                              <w:pStyle w:val="Bullet1"/>
                            </w:pPr>
                            <w:r>
                              <w:t xml:space="preserve">Increased the number clients accessing the service while stable, with </w:t>
                            </w:r>
                            <w:r w:rsidRPr="00757F7A">
                              <w:t xml:space="preserve">94 per cent of clients </w:t>
                            </w:r>
                            <w:r>
                              <w:t xml:space="preserve">accessing the </w:t>
                            </w:r>
                            <w:r w:rsidRPr="00757F7A">
                              <w:t>services earlier</w:t>
                            </w:r>
                          </w:p>
                          <w:p w14:paraId="55101376" w14:textId="28CE41AB" w:rsidR="001F4B4B" w:rsidRDefault="00101CB6" w:rsidP="001F4B4B">
                            <w:pPr>
                              <w:pStyle w:val="Bullet1"/>
                            </w:pPr>
                            <w:r>
                              <w:t xml:space="preserve">Decreased </w:t>
                            </w:r>
                            <w:r w:rsidR="001F4B4B">
                              <w:t>wait time</w:t>
                            </w:r>
                            <w:r>
                              <w:t>s</w:t>
                            </w:r>
                            <w:r w:rsidR="001F4B4B">
                              <w:t xml:space="preserve"> from referral to initial </w:t>
                            </w:r>
                            <w:r w:rsidR="007A7734">
                              <w:t>visit from 52 days to 38 days</w:t>
                            </w:r>
                          </w:p>
                          <w:p w14:paraId="14AB10BC" w14:textId="0BBA1804" w:rsidR="007A7734" w:rsidRDefault="007A7734" w:rsidP="001F4B4B">
                            <w:pPr>
                              <w:pStyle w:val="Bullet1"/>
                            </w:pPr>
                            <w:r>
                              <w:t xml:space="preserve">Reduced </w:t>
                            </w:r>
                            <w:r w:rsidR="00101CB6">
                              <w:t>self-reported client presentations to the ED from 51 per cent to 19 per cent</w:t>
                            </w:r>
                          </w:p>
                          <w:p w14:paraId="55C3D968" w14:textId="7D38023A" w:rsidR="001F4B4B" w:rsidRDefault="00757F7A" w:rsidP="00756840">
                            <w:pPr>
                              <w:pStyle w:val="Bullet1"/>
                            </w:pPr>
                            <w:r>
                              <w:t>Engaged 93 per cent of clients in advance care planning discussions, with 70 per cent having elements of a formal plan in place</w:t>
                            </w:r>
                          </w:p>
                          <w:p w14:paraId="05FC0BF3" w14:textId="541F3DD3" w:rsidR="00757F7A" w:rsidRDefault="00757F7A" w:rsidP="00756840">
                            <w:pPr>
                              <w:pStyle w:val="Bullet1"/>
                            </w:pPr>
                            <w:r>
                              <w:t>Found that 65 per cent of deteriorating clients had stabilised six weeks after admission</w:t>
                            </w:r>
                          </w:p>
                          <w:p w14:paraId="6E14DB50" w14:textId="4CEE1E20" w:rsidR="00A16A58" w:rsidRPr="00911408" w:rsidRDefault="000D5CA4" w:rsidP="00907F04">
                            <w:pPr>
                              <w:pStyle w:val="Bullet1"/>
                            </w:pPr>
                            <w:r>
                              <w:t>Received p</w:t>
                            </w:r>
                            <w:r w:rsidR="00A16A58">
                              <w:t xml:space="preserve">ositive </w:t>
                            </w:r>
                            <w:r w:rsidR="00066979">
                              <w:t>consumer feedback, with 75</w:t>
                            </w:r>
                            <w:r w:rsidR="001C76B3">
                              <w:t> </w:t>
                            </w:r>
                            <w:r w:rsidR="00066979">
                              <w:t>per cent of clients agreeing their quality of life had improved and 89 per cent of carers reporting that the support information provided was beneficial</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" fillcolor="#feead2" strokecolor="#feead2" strokeweight=".5pt">
                <v:textbox inset="5mm,5mm,4mm,1mm">
                  <w:txbxContent>
                    <w:p w14:paraId="14988FB7" w14:textId="5EBE48DB" w:rsidR="00C7098C" w:rsidRPr="004D6898" w:rsidRDefault="00740586" w:rsidP="00C7098C">
                      <w:pPr>
                        <w:pStyle w:val="PulloutHeading"/>
                      </w:pPr>
                      <w:r w:rsidRPr="00740586">
                        <w:t xml:space="preserve">Early </w:t>
                      </w:r>
                      <w:r>
                        <w:t>i</w:t>
                      </w:r>
                      <w:r w:rsidRPr="00740586">
                        <w:t xml:space="preserve">ntervention </w:t>
                      </w:r>
                      <w:r>
                        <w:t>p</w:t>
                      </w:r>
                      <w:r w:rsidRPr="00740586">
                        <w:t xml:space="preserve">alliative and </w:t>
                      </w:r>
                      <w:r>
                        <w:t>s</w:t>
                      </w:r>
                      <w:r w:rsidRPr="00740586">
                        <w:t xml:space="preserve">upportive </w:t>
                      </w:r>
                      <w:r>
                        <w:t>c</w:t>
                      </w:r>
                      <w:r w:rsidRPr="00740586">
                        <w:t xml:space="preserve">are </w:t>
                      </w:r>
                      <w:r>
                        <w:t>c</w:t>
                      </w:r>
                      <w:r w:rsidRPr="00740586">
                        <w:t>linic</w:t>
                      </w:r>
                    </w:p>
                    <w:p w14:paraId="3BCE2E88" w14:textId="7D3133E7" w:rsidR="00C7098C" w:rsidRDefault="00C7098C" w:rsidP="00C7098C">
                      <w:pPr>
                        <w:pStyle w:val="PulloutText"/>
                      </w:pPr>
                      <w:r w:rsidRPr="00186B39">
                        <w:rPr>
                          <w:b/>
                          <w:bCs/>
                        </w:rPr>
                        <w:t>Lead</w:t>
                      </w:r>
                      <w:r>
                        <w:t xml:space="preserve"> </w:t>
                      </w:r>
                      <w:r w:rsidR="00E10548">
                        <w:t>Palliative Care South East</w:t>
                      </w:r>
                    </w:p>
                    <w:p w14:paraId="6FDBE315" w14:textId="35C5B723" w:rsidR="00C7098C" w:rsidRPr="00E10548" w:rsidRDefault="00C7098C" w:rsidP="00C7098C">
                      <w:pPr>
                        <w:pStyle w:val="PulloutText"/>
                      </w:pPr>
                      <w:r w:rsidRPr="00911408">
                        <w:rPr>
                          <w:b/>
                          <w:bCs/>
                        </w:rPr>
                        <w:t>Partner</w:t>
                      </w:r>
                      <w:r w:rsidR="00E10548">
                        <w:rPr>
                          <w:b/>
                          <w:bCs/>
                        </w:rPr>
                        <w:t xml:space="preserve">s </w:t>
                      </w:r>
                      <w:bookmarkStart w:id="3" w:name="_Hlk54827487"/>
                      <w:r w:rsidR="00E10548">
                        <w:t>Bolton Clarke</w:t>
                      </w:r>
                      <w:r w:rsidR="00BA64EA">
                        <w:t xml:space="preserve">, </w:t>
                      </w:r>
                      <w:r w:rsidR="00E10548">
                        <w:t>Monash University</w:t>
                      </w:r>
                      <w:bookmarkEnd w:id="3"/>
                    </w:p>
                    <w:p w14:paraId="59A54D14" w14:textId="07DF9CB3" w:rsidR="00C7098C" w:rsidRPr="00E10548" w:rsidRDefault="00186B39" w:rsidP="00C7098C">
                      <w:pPr>
                        <w:pStyle w:val="PulloutText"/>
                      </w:pPr>
                      <w:r>
                        <w:rPr>
                          <w:b/>
                          <w:bCs/>
                        </w:rPr>
                        <w:t>Duration</w:t>
                      </w:r>
                      <w:r w:rsidR="00E10548">
                        <w:rPr>
                          <w:b/>
                          <w:bCs/>
                        </w:rPr>
                        <w:t xml:space="preserve"> </w:t>
                      </w:r>
                      <w:r w:rsidR="00E10548">
                        <w:t>September 2017 – January 2019</w:t>
                      </w:r>
                    </w:p>
                    <w:p w14:paraId="29DC0549" w14:textId="4CBEFB84" w:rsidR="00C7098C" w:rsidRDefault="00C7098C" w:rsidP="00C7098C">
                      <w:pPr>
                        <w:pStyle w:val="PulloutText"/>
                        <w:rPr>
                          <w:b/>
                          <w:bCs/>
                        </w:rPr>
                      </w:pPr>
                      <w:r w:rsidRPr="00911408">
                        <w:rPr>
                          <w:b/>
                          <w:bCs/>
                        </w:rPr>
                        <w:t xml:space="preserve">Key </w:t>
                      </w:r>
                      <w:r w:rsidR="00BC07DF">
                        <w:rPr>
                          <w:b/>
                          <w:bCs/>
                        </w:rPr>
                        <w:t>outcomes</w:t>
                      </w:r>
                    </w:p>
                    <w:p w14:paraId="502E5FA7" w14:textId="033524B7" w:rsidR="00757F7A" w:rsidRDefault="00757F7A" w:rsidP="001F4B4B">
                      <w:pPr>
                        <w:pStyle w:val="Bullet1"/>
                      </w:pPr>
                      <w:r>
                        <w:t xml:space="preserve">Increased the number clients accessing the service while stable, with </w:t>
                      </w:r>
                      <w:r w:rsidRPr="00757F7A">
                        <w:t xml:space="preserve">94 per cent of clients </w:t>
                      </w:r>
                      <w:r>
                        <w:t xml:space="preserve">accessing the </w:t>
                      </w:r>
                      <w:r w:rsidRPr="00757F7A">
                        <w:t>services earlier</w:t>
                      </w:r>
                    </w:p>
                    <w:p w14:paraId="55101376" w14:textId="28CE41AB" w:rsidR="001F4B4B" w:rsidRDefault="00101CB6" w:rsidP="001F4B4B">
                      <w:pPr>
                        <w:pStyle w:val="Bullet1"/>
                      </w:pPr>
                      <w:r>
                        <w:t xml:space="preserve">Decreased </w:t>
                      </w:r>
                      <w:r w:rsidR="001F4B4B">
                        <w:t>wait time</w:t>
                      </w:r>
                      <w:r>
                        <w:t>s</w:t>
                      </w:r>
                      <w:r w:rsidR="001F4B4B">
                        <w:t xml:space="preserve"> from referral to initial </w:t>
                      </w:r>
                      <w:r w:rsidR="007A7734">
                        <w:t>visit from 52 days to 38 days</w:t>
                      </w:r>
                    </w:p>
                    <w:p w14:paraId="14AB10BC" w14:textId="0BBA1804" w:rsidR="007A7734" w:rsidRDefault="007A7734" w:rsidP="001F4B4B">
                      <w:pPr>
                        <w:pStyle w:val="Bullet1"/>
                      </w:pPr>
                      <w:r>
                        <w:t xml:space="preserve">Reduced </w:t>
                      </w:r>
                      <w:r w:rsidR="00101CB6">
                        <w:t>self-reported client presentations to the ED from 51 per cent to 19 per cent</w:t>
                      </w:r>
                    </w:p>
                    <w:p w14:paraId="55C3D968" w14:textId="7D38023A" w:rsidR="001F4B4B" w:rsidRDefault="00757F7A" w:rsidP="00756840">
                      <w:pPr>
                        <w:pStyle w:val="Bullet1"/>
                      </w:pPr>
                      <w:r>
                        <w:t>Engaged 93 per cent of clients in advance care planning discussions, with 70 per cent having elements of a formal plan in place</w:t>
                      </w:r>
                    </w:p>
                    <w:p w14:paraId="05FC0BF3" w14:textId="541F3DD3" w:rsidR="00757F7A" w:rsidRDefault="00757F7A" w:rsidP="00756840">
                      <w:pPr>
                        <w:pStyle w:val="Bullet1"/>
                      </w:pPr>
                      <w:r>
                        <w:t>Found that 65 per cent of deteriorating clients had stabilised six weeks after admission</w:t>
                      </w:r>
                    </w:p>
                    <w:p w14:paraId="6E14DB50" w14:textId="4CEE1E20" w:rsidR="00A16A58" w:rsidRPr="00911408" w:rsidRDefault="000D5CA4" w:rsidP="00907F04">
                      <w:pPr>
                        <w:pStyle w:val="Bullet1"/>
                      </w:pPr>
                      <w:r>
                        <w:t>Received p</w:t>
                      </w:r>
                      <w:r w:rsidR="00A16A58">
                        <w:t xml:space="preserve">ositive </w:t>
                      </w:r>
                      <w:r w:rsidR="00066979">
                        <w:t>consumer feedback, with 75</w:t>
                      </w:r>
                      <w:r w:rsidR="001C76B3">
                        <w:t> </w:t>
                      </w:r>
                      <w:r w:rsidR="00066979">
                        <w:t>per cent of clients agreeing their quality of life had improved and 89 per cent of carers reporting that the support information provided was beneficial</w:t>
                      </w:r>
                    </w:p>
                  </w:txbxContent>
                </v:textbox>
                <w10:anchorlock/>
              </v:shape>
            </w:pict>
          </mc:Fallback>
        </mc:AlternateContent>
      </w:r>
    </w:p>
    <w:p w14:paraId="3A28A4EC" w14:textId="77777777" w:rsidR="00AA02D8" w:rsidRDefault="00AA02D8" w:rsidP="00AA02D8">
      <w:pPr>
        <w:pStyle w:val="Quote"/>
      </w:pPr>
      <w:r>
        <w:t>‘[I now have] a</w:t>
      </w:r>
      <w:r w:rsidRPr="005B12C7">
        <w:t>ccess to services I didn’t know existed</w:t>
      </w:r>
      <w:r>
        <w:t>.’</w:t>
      </w:r>
    </w:p>
    <w:p w14:paraId="444BBDDD" w14:textId="25409E8E" w:rsidR="00AA02D8" w:rsidRDefault="00AA02D8" w:rsidP="00AA02D8">
      <w:pPr>
        <w:pStyle w:val="Quote"/>
        <w:rPr>
          <w:b/>
          <w:bCs/>
        </w:rPr>
      </w:pPr>
      <w:r w:rsidRPr="00992F81">
        <w:rPr>
          <w:b/>
          <w:bCs/>
        </w:rPr>
        <w:t xml:space="preserve">– </w:t>
      </w:r>
      <w:r>
        <w:rPr>
          <w:b/>
          <w:bCs/>
        </w:rPr>
        <w:t>EPIC client</w:t>
      </w:r>
    </w:p>
    <w:p w14:paraId="6F56D6E5" w14:textId="77777777" w:rsidR="00AA02D8" w:rsidRDefault="00AA02D8" w:rsidP="00AA02D8">
      <w:pPr>
        <w:pStyle w:val="Quote"/>
      </w:pPr>
      <w:r>
        <w:t>‘T</w:t>
      </w:r>
      <w:r w:rsidRPr="00F20B34">
        <w:t>his clinic has opened our eyes to what we need to have in place for our life.</w:t>
      </w:r>
      <w:r>
        <w:t>’</w:t>
      </w:r>
    </w:p>
    <w:p w14:paraId="663FD704" w14:textId="29228FAF" w:rsidR="00AA02D8" w:rsidRDefault="00AA02D8" w:rsidP="00AA02D8">
      <w:pPr>
        <w:pStyle w:val="Quote"/>
      </w:pPr>
      <w:r w:rsidRPr="00F20B34">
        <w:rPr>
          <w:b/>
          <w:bCs/>
        </w:rPr>
        <w:t xml:space="preserve"> – EPIC client</w:t>
      </w:r>
    </w:p>
    <w:p w14:paraId="10420609" w14:textId="67CC4B2C" w:rsidR="00C54430" w:rsidRDefault="00C54430" w:rsidP="00066979">
      <w:pPr>
        <w:pStyle w:val="Heading2"/>
        <w:sectPr w:rsidR="00C54430" w:rsidSect="00223613">
          <w:footerReference w:type="default" r:id="rId10"/>
          <w:type w:val="continuous"/>
          <w:pgSz w:w="11906" w:h="16838" w:code="9"/>
          <w:pgMar w:top="2438" w:right="737" w:bottom="680" w:left="737" w:header="539" w:footer="624" w:gutter="0"/>
          <w:cols w:num="2" w:space="284"/>
          <w:docGrid w:linePitch="360"/>
        </w:sectPr>
      </w:pPr>
    </w:p>
    <w:p w14:paraId="0E8F23E0" w14:textId="7BCBEFB1" w:rsidR="00066979" w:rsidRDefault="000477CC" w:rsidP="00066979">
      <w:pPr>
        <w:pStyle w:val="Heading2"/>
      </w:pPr>
      <w:r>
        <w:lastRenderedPageBreak/>
        <w:t>Key activity</w:t>
      </w:r>
    </w:p>
    <w:p w14:paraId="340688CF" w14:textId="77777777" w:rsidR="00C54430" w:rsidRDefault="00C54430" w:rsidP="00C54430">
      <w:pPr>
        <w:pStyle w:val="Normalfollowingheading"/>
      </w:pPr>
      <w:r>
        <w:t>PCSE o</w:t>
      </w:r>
      <w:r w:rsidR="00357A45">
        <w:t xml:space="preserve">pened the </w:t>
      </w:r>
      <w:bookmarkStart w:id="3" w:name="_Hlk54827588"/>
      <w:r w:rsidR="00AB119E" w:rsidRPr="00AB119E">
        <w:t>Early Palliative Intervention Clinic</w:t>
      </w:r>
      <w:r w:rsidR="00AB119E">
        <w:t xml:space="preserve"> </w:t>
      </w:r>
      <w:bookmarkEnd w:id="3"/>
      <w:r w:rsidR="00AB119E">
        <w:t>(EPIC)</w:t>
      </w:r>
      <w:r w:rsidR="007A640F">
        <w:t xml:space="preserve"> </w:t>
      </w:r>
      <w:r w:rsidR="00165528">
        <w:t xml:space="preserve">to clients </w:t>
      </w:r>
      <w:r w:rsidR="007A640F">
        <w:t>in May 2018</w:t>
      </w:r>
      <w:r w:rsidR="00165528">
        <w:t xml:space="preserve">, operating </w:t>
      </w:r>
      <w:r w:rsidR="00066979">
        <w:t>one day a week</w:t>
      </w:r>
      <w:r w:rsidR="00AB119E">
        <w:t xml:space="preserve">. </w:t>
      </w:r>
    </w:p>
    <w:p w14:paraId="0A70E892" w14:textId="41FA2266" w:rsidR="00826C13" w:rsidRDefault="00826C13" w:rsidP="00C54430">
      <w:pPr>
        <w:pStyle w:val="Normalfollowingheading"/>
      </w:pPr>
      <w:r>
        <w:t xml:space="preserve">The </w:t>
      </w:r>
      <w:r w:rsidR="00FA4991">
        <w:t xml:space="preserve">EPIC </w:t>
      </w:r>
      <w:r>
        <w:t>model of care involved:</w:t>
      </w:r>
    </w:p>
    <w:p w14:paraId="147CCC4D" w14:textId="68FBFFDD" w:rsidR="00826C13" w:rsidRDefault="00FA4991" w:rsidP="00C54430">
      <w:pPr>
        <w:pStyle w:val="Bullet1"/>
      </w:pPr>
      <w:r>
        <w:t>a</w:t>
      </w:r>
      <w:r w:rsidR="00826C13">
        <w:t xml:space="preserve"> multidisciplinary team </w:t>
      </w:r>
      <w:r w:rsidR="00F01766">
        <w:t>providing</w:t>
      </w:r>
      <w:r w:rsidR="00826C13">
        <w:t xml:space="preserve"> holistic care and support</w:t>
      </w:r>
      <w:r>
        <w:t>, including</w:t>
      </w:r>
      <w:r w:rsidR="00FD0264">
        <w:t xml:space="preserve"> nurse practitioners, registered nurses, allied health practitioners, </w:t>
      </w:r>
      <w:r>
        <w:t>a social worker, a counsellor, and volunteers</w:t>
      </w:r>
    </w:p>
    <w:p w14:paraId="68EE8ED7" w14:textId="28BAF378" w:rsidR="00FD0264" w:rsidRDefault="00E03D9D" w:rsidP="00C54430">
      <w:pPr>
        <w:pStyle w:val="Bullet1"/>
      </w:pPr>
      <w:r>
        <w:t xml:space="preserve">an </w:t>
      </w:r>
      <w:r w:rsidRPr="00E03D9D">
        <w:t xml:space="preserve">initial needs assessment </w:t>
      </w:r>
      <w:r w:rsidR="00DD0FB8">
        <w:t xml:space="preserve">with clinicians during the client’s first visit </w:t>
      </w:r>
      <w:r w:rsidR="00BB5890">
        <w:t xml:space="preserve">to ensure </w:t>
      </w:r>
      <w:r w:rsidR="00DD0FB8">
        <w:t xml:space="preserve">their </w:t>
      </w:r>
      <w:r w:rsidRPr="00E03D9D">
        <w:t>care</w:t>
      </w:r>
      <w:r>
        <w:t xml:space="preserve"> </w:t>
      </w:r>
      <w:r w:rsidR="0012046C">
        <w:t xml:space="preserve">plan </w:t>
      </w:r>
      <w:r w:rsidR="00BB5890">
        <w:t xml:space="preserve">was </w:t>
      </w:r>
      <w:r w:rsidR="00FD0264">
        <w:t xml:space="preserve">tailored </w:t>
      </w:r>
      <w:r w:rsidR="00BB5890">
        <w:t xml:space="preserve">to </w:t>
      </w:r>
      <w:r w:rsidR="00DD0FB8">
        <w:t xml:space="preserve">their </w:t>
      </w:r>
      <w:r w:rsidR="00FD0264" w:rsidRPr="00E03D9D">
        <w:t>goals, preferences and priorities</w:t>
      </w:r>
    </w:p>
    <w:p w14:paraId="28675F02" w14:textId="7BFD3319" w:rsidR="00DD0FB8" w:rsidRDefault="00DD0FB8" w:rsidP="00C54430">
      <w:pPr>
        <w:pStyle w:val="Bullet1"/>
      </w:pPr>
      <w:r>
        <w:t>follow-up appointments scheduled across the multidisciplinary team in either two-, four- or six-week intervals, depending on need and preference</w:t>
      </w:r>
    </w:p>
    <w:p w14:paraId="3B9E34D4" w14:textId="72FDA3DB" w:rsidR="00DD0FB8" w:rsidRDefault="00DD0FB8" w:rsidP="00C54430">
      <w:pPr>
        <w:pStyle w:val="Bullet1"/>
      </w:pPr>
      <w:r>
        <w:t>24-hour phone support</w:t>
      </w:r>
    </w:p>
    <w:p w14:paraId="7684649C" w14:textId="77777777" w:rsidR="00111363" w:rsidRDefault="00DD0FB8" w:rsidP="00C54430">
      <w:pPr>
        <w:pStyle w:val="Bullet1"/>
      </w:pPr>
      <w:r>
        <w:t xml:space="preserve">transition to PCSE’s </w:t>
      </w:r>
      <w:r w:rsidRPr="00F132F7">
        <w:t>home care services</w:t>
      </w:r>
      <w:r>
        <w:t xml:space="preserve"> w</w:t>
      </w:r>
      <w:r w:rsidRPr="00F132F7">
        <w:t xml:space="preserve">hen </w:t>
      </w:r>
      <w:r>
        <w:t xml:space="preserve">a </w:t>
      </w:r>
      <w:r w:rsidRPr="00F132F7">
        <w:t xml:space="preserve">client became too unwell to attend </w:t>
      </w:r>
      <w:r>
        <w:t>the clinic.</w:t>
      </w:r>
    </w:p>
    <w:p w14:paraId="5C2BD27E" w14:textId="0228E922" w:rsidR="00FD0264" w:rsidRDefault="00FD0264" w:rsidP="00C54430">
      <w:r>
        <w:t xml:space="preserve">The </w:t>
      </w:r>
      <w:r w:rsidR="00E77031">
        <w:t>clinic offered</w:t>
      </w:r>
      <w:r>
        <w:t>:</w:t>
      </w:r>
    </w:p>
    <w:p w14:paraId="601E2BF7" w14:textId="67768C52" w:rsidR="00826C13" w:rsidRDefault="00FD0264" w:rsidP="00C54430">
      <w:pPr>
        <w:pStyle w:val="Bullet1"/>
      </w:pPr>
      <w:r>
        <w:t>c</w:t>
      </w:r>
      <w:r w:rsidR="00826C13">
        <w:t xml:space="preserve">lient education </w:t>
      </w:r>
      <w:r>
        <w:t xml:space="preserve">on </w:t>
      </w:r>
      <w:r w:rsidR="00826C13">
        <w:t>their illness and options</w:t>
      </w:r>
    </w:p>
    <w:p w14:paraId="2F4FC0F1" w14:textId="2C9DBD6B" w:rsidR="00826C13" w:rsidRDefault="00FC7BDB" w:rsidP="00C54430">
      <w:pPr>
        <w:pStyle w:val="Bullet1"/>
      </w:pPr>
      <w:r>
        <w:t xml:space="preserve">specialist </w:t>
      </w:r>
      <w:r w:rsidR="00FD0264">
        <w:t>symptom, pain and medication m</w:t>
      </w:r>
      <w:r w:rsidR="00826C13">
        <w:t>anagement</w:t>
      </w:r>
    </w:p>
    <w:p w14:paraId="7BC308F4" w14:textId="47122433" w:rsidR="00FC7BDB" w:rsidRDefault="00826C13" w:rsidP="00C54430">
      <w:pPr>
        <w:pStyle w:val="Bullet1"/>
      </w:pPr>
      <w:r>
        <w:t>decision</w:t>
      </w:r>
      <w:r w:rsidR="00FD0264">
        <w:t xml:space="preserve"> </w:t>
      </w:r>
      <w:r>
        <w:t>making</w:t>
      </w:r>
      <w:r w:rsidR="00FD0264">
        <w:t xml:space="preserve"> and </w:t>
      </w:r>
      <w:r w:rsidR="00BE37DA">
        <w:t xml:space="preserve">advance </w:t>
      </w:r>
      <w:r w:rsidR="00FD0264">
        <w:t>c</w:t>
      </w:r>
      <w:r>
        <w:t>are planning</w:t>
      </w:r>
      <w:r w:rsidR="00BE37DA">
        <w:t xml:space="preserve"> support</w:t>
      </w:r>
      <w:r>
        <w:t xml:space="preserve"> </w:t>
      </w:r>
    </w:p>
    <w:p w14:paraId="5B0F7480" w14:textId="1CA228E8" w:rsidR="00826C13" w:rsidRDefault="00FD0264" w:rsidP="00C54430">
      <w:pPr>
        <w:pStyle w:val="Bullet1"/>
      </w:pPr>
      <w:r>
        <w:t>e</w:t>
      </w:r>
      <w:r w:rsidR="00826C13">
        <w:t>motional support through counselling</w:t>
      </w:r>
      <w:r w:rsidR="00FC7BDB">
        <w:t xml:space="preserve"> and spiritual care</w:t>
      </w:r>
    </w:p>
    <w:p w14:paraId="58D13538" w14:textId="77777777" w:rsidR="00A81244" w:rsidRDefault="00A81244" w:rsidP="00C54430">
      <w:pPr>
        <w:pStyle w:val="Bullet1"/>
      </w:pPr>
      <w:r>
        <w:t xml:space="preserve">services to support relaxation and enhance quality of life, such as massage therapy and opportunities to talk with others in a similar situation </w:t>
      </w:r>
    </w:p>
    <w:p w14:paraId="0EC07C31" w14:textId="2518B6E2" w:rsidR="00BD6CE1" w:rsidRDefault="00FD0264" w:rsidP="00C54430">
      <w:pPr>
        <w:pStyle w:val="Bullet1"/>
      </w:pPr>
      <w:r>
        <w:t xml:space="preserve">practical support for </w:t>
      </w:r>
      <w:r w:rsidR="00826C13">
        <w:t>daily living</w:t>
      </w:r>
      <w:r>
        <w:t xml:space="preserve">, such as </w:t>
      </w:r>
      <w:r w:rsidR="00826C13">
        <w:t>access</w:t>
      </w:r>
      <w:r w:rsidR="00BE37DA">
        <w:t xml:space="preserve"> to </w:t>
      </w:r>
      <w:r w:rsidR="00826C13">
        <w:t xml:space="preserve">Centrelink, referral and advocacy </w:t>
      </w:r>
      <w:r w:rsidR="00BE37DA">
        <w:t>for</w:t>
      </w:r>
      <w:r w:rsidR="00826C13">
        <w:t xml:space="preserve"> financial and legal matters, referral to home care and respite care services</w:t>
      </w:r>
      <w:r w:rsidR="00086A06">
        <w:t>,</w:t>
      </w:r>
      <w:r w:rsidR="00FC7BDB">
        <w:t xml:space="preserve"> and equipment and education</w:t>
      </w:r>
    </w:p>
    <w:p w14:paraId="19093636" w14:textId="702D5F78" w:rsidR="00C73CF4" w:rsidRDefault="00BD6CE1" w:rsidP="00C54430">
      <w:pPr>
        <w:pStyle w:val="Bullet1"/>
      </w:pPr>
      <w:r w:rsidRPr="00BD6CE1">
        <w:t>a carer wellbeing program, includ</w:t>
      </w:r>
      <w:r>
        <w:t>ing</w:t>
      </w:r>
      <w:r w:rsidRPr="00BD6CE1">
        <w:t xml:space="preserve"> </w:t>
      </w:r>
      <w:r w:rsidR="00C54430">
        <w:t xml:space="preserve">education </w:t>
      </w:r>
      <w:r w:rsidR="00C54430" w:rsidRPr="00BD6CE1">
        <w:t xml:space="preserve">workshops </w:t>
      </w:r>
      <w:r w:rsidR="00C54430">
        <w:t xml:space="preserve">providing </w:t>
      </w:r>
      <w:r w:rsidR="00C54430" w:rsidRPr="00BD6CE1">
        <w:t>information on available support</w:t>
      </w:r>
      <w:r w:rsidR="00C54430">
        <w:t xml:space="preserve"> and </w:t>
      </w:r>
      <w:r w:rsidR="00C54430" w:rsidRPr="00BD6CE1">
        <w:t xml:space="preserve">skills to help </w:t>
      </w:r>
      <w:r w:rsidR="00C54430">
        <w:t xml:space="preserve">carers </w:t>
      </w:r>
      <w:r w:rsidR="00C54430" w:rsidRPr="00BD6CE1">
        <w:t>in their role</w:t>
      </w:r>
      <w:r w:rsidR="00C54430">
        <w:t>,</w:t>
      </w:r>
      <w:r w:rsidR="00C54430" w:rsidRPr="00BD6CE1">
        <w:t xml:space="preserve"> </w:t>
      </w:r>
      <w:r w:rsidRPr="00BD6CE1">
        <w:t>complimentary therapy sessions</w:t>
      </w:r>
      <w:r>
        <w:t>, and</w:t>
      </w:r>
      <w:r w:rsidR="00C54430">
        <w:t xml:space="preserve"> </w:t>
      </w:r>
      <w:r w:rsidR="00C54430" w:rsidRPr="00BD6CE1">
        <w:t>a carer support group</w:t>
      </w:r>
      <w:r w:rsidR="00E77031">
        <w:t>.</w:t>
      </w:r>
    </w:p>
    <w:p w14:paraId="5DB23ABB" w14:textId="35DAEB93" w:rsidR="00066979" w:rsidRDefault="00066979" w:rsidP="00066979">
      <w:pPr>
        <w:pStyle w:val="Quote"/>
      </w:pPr>
      <w:r>
        <w:t>‘[O</w:t>
      </w:r>
      <w:r w:rsidRPr="00066979">
        <w:t xml:space="preserve">ther service providers </w:t>
      </w:r>
      <w:r>
        <w:t xml:space="preserve">have told us] </w:t>
      </w:r>
      <w:r w:rsidRPr="00066979">
        <w:t>we can apply for a carer’s allowance, but nobody told us how to do it. It is amazing that with one visit</w:t>
      </w:r>
      <w:r w:rsidR="00A81244">
        <w:t xml:space="preserve"> [to EPIC]</w:t>
      </w:r>
      <w:r w:rsidRPr="00066979">
        <w:t>, we get things done so quickly.</w:t>
      </w:r>
      <w:r>
        <w:t>’</w:t>
      </w:r>
    </w:p>
    <w:p w14:paraId="4226EE70" w14:textId="198401E3" w:rsidR="00066979" w:rsidRDefault="00066979" w:rsidP="00066979">
      <w:pPr>
        <w:pStyle w:val="Quote"/>
        <w:rPr>
          <w:b/>
          <w:bCs/>
        </w:rPr>
      </w:pPr>
      <w:r w:rsidRPr="00066979">
        <w:rPr>
          <w:b/>
          <w:bCs/>
        </w:rPr>
        <w:t>– EPIC client</w:t>
      </w:r>
    </w:p>
    <w:p w14:paraId="16619311" w14:textId="77777777" w:rsidR="00111363" w:rsidRDefault="00111363" w:rsidP="00111363">
      <w:pPr>
        <w:pStyle w:val="NoSpacing"/>
      </w:pPr>
      <w:r w:rsidRPr="00111363">
        <w:rPr>
          <w:noProof/>
        </w:rPr>
        <w:drawing>
          <wp:inline distT="0" distB="0" distL="0" distR="0" wp14:anchorId="12D1654F" wp14:editId="45ED656F">
            <wp:extent cx="3230245" cy="1996111"/>
            <wp:effectExtent l="0" t="0" r="8255" b="4445"/>
            <wp:docPr id="14" name="Picture 14" descr="Two hands holding a frail hand between the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3230740" cy="1996417"/>
                    </a:xfrm>
                    <a:prstGeom prst="rect">
                      <a:avLst/>
                    </a:prstGeom>
                    <a:ln>
                      <a:noFill/>
                    </a:ln>
                    <a:extLst>
                      <a:ext uri="{53640926-AAD7-44D8-BBD7-CCE9431645EC}">
                        <a14:shadowObscured xmlns:a14="http://schemas.microsoft.com/office/drawing/2010/main"/>
                      </a:ext>
                    </a:extLst>
                  </pic:spPr>
                </pic:pic>
              </a:graphicData>
            </a:graphic>
          </wp:inline>
        </w:drawing>
      </w:r>
    </w:p>
    <w:p w14:paraId="4DCFB341" w14:textId="778076FC" w:rsidR="002B5C34" w:rsidRDefault="00435805" w:rsidP="00F42921">
      <w:pPr>
        <w:pStyle w:val="Heading2"/>
      </w:pPr>
      <w:r>
        <w:t>O</w:t>
      </w:r>
      <w:r w:rsidR="009B1BBA" w:rsidRPr="00F80A39">
        <w:t>utcomes</w:t>
      </w:r>
    </w:p>
    <w:p w14:paraId="7E6D4205" w14:textId="1C4A5438" w:rsidR="006C52A2" w:rsidRDefault="00F451D5" w:rsidP="00CD333D">
      <w:pPr>
        <w:pStyle w:val="Normalfollowingheading"/>
      </w:pPr>
      <w:r>
        <w:t>During the initial pilot</w:t>
      </w:r>
      <w:r w:rsidR="00CD333D">
        <w:t xml:space="preserve">, </w:t>
      </w:r>
      <w:r w:rsidR="00B07DB3">
        <w:t xml:space="preserve">EPIC </w:t>
      </w:r>
      <w:r w:rsidR="00E77031">
        <w:t xml:space="preserve">had </w:t>
      </w:r>
      <w:r w:rsidR="00B07DB3">
        <w:t>63 clients and 396 appointments</w:t>
      </w:r>
      <w:r w:rsidR="00556AE2">
        <w:t>.</w:t>
      </w:r>
      <w:r w:rsidR="00870BC2">
        <w:t xml:space="preserve"> </w:t>
      </w:r>
      <w:r w:rsidR="00114061">
        <w:t xml:space="preserve">Within </w:t>
      </w:r>
      <w:r>
        <w:t>the six-month trial</w:t>
      </w:r>
      <w:r w:rsidR="00870BC2">
        <w:t>, the clinic</w:t>
      </w:r>
      <w:r w:rsidR="00CD333D">
        <w:t>:</w:t>
      </w:r>
    </w:p>
    <w:p w14:paraId="743716FF" w14:textId="553EEA7A" w:rsidR="00101CB6" w:rsidRDefault="00E77031" w:rsidP="000B0202">
      <w:pPr>
        <w:pStyle w:val="Bullet1"/>
      </w:pPr>
      <w:r>
        <w:t xml:space="preserve">saw </w:t>
      </w:r>
      <w:r w:rsidR="000D279A">
        <w:t xml:space="preserve">94 per cent of </w:t>
      </w:r>
      <w:proofErr w:type="gramStart"/>
      <w:r w:rsidR="00FC7BDB">
        <w:t>clients</w:t>
      </w:r>
      <w:proofErr w:type="gramEnd"/>
      <w:r w:rsidR="000D279A">
        <w:t xml:space="preserve"> </w:t>
      </w:r>
      <w:r w:rsidR="00B01EFD">
        <w:t xml:space="preserve">access </w:t>
      </w:r>
      <w:r w:rsidR="000D279A">
        <w:t>palliative care services earlier</w:t>
      </w:r>
      <w:r w:rsidR="00101CB6">
        <w:t xml:space="preserve">, with 46 per cent of EPIC clients being stable at admission. This </w:t>
      </w:r>
      <w:r w:rsidR="001425B6">
        <w:t xml:space="preserve">was a </w:t>
      </w:r>
      <w:r w:rsidR="00101CB6">
        <w:t>higher proportion than PCSE’s home-based service (32</w:t>
      </w:r>
      <w:r w:rsidR="001C76B3">
        <w:t> </w:t>
      </w:r>
      <w:r w:rsidR="00101CB6">
        <w:t>per</w:t>
      </w:r>
      <w:r w:rsidR="001C76B3">
        <w:t> </w:t>
      </w:r>
      <w:r w:rsidR="00101CB6">
        <w:t>cent) and the Australian average (43</w:t>
      </w:r>
      <w:r w:rsidR="001C76B3">
        <w:t> </w:t>
      </w:r>
      <w:r w:rsidR="00101CB6">
        <w:t>per</w:t>
      </w:r>
      <w:r w:rsidR="001C76B3">
        <w:t> </w:t>
      </w:r>
      <w:r w:rsidR="00101CB6">
        <w:t xml:space="preserve">cent) </w:t>
      </w:r>
    </w:p>
    <w:p w14:paraId="2DC54CDE" w14:textId="03257C99" w:rsidR="003135E6" w:rsidRDefault="000B0202" w:rsidP="000B0202">
      <w:pPr>
        <w:pStyle w:val="Bullet1"/>
      </w:pPr>
      <w:r>
        <w:t xml:space="preserve">reduced the </w:t>
      </w:r>
      <w:r w:rsidR="00CD333D">
        <w:t>t</w:t>
      </w:r>
      <w:r w:rsidR="00B07DB3">
        <w:t>ime from referral to initial visit for all clients</w:t>
      </w:r>
      <w:r w:rsidR="00A02DAE">
        <w:t xml:space="preserve"> from </w:t>
      </w:r>
      <w:r w:rsidR="00B07DB3">
        <w:t>52 days</w:t>
      </w:r>
      <w:r>
        <w:t xml:space="preserve"> pre-</w:t>
      </w:r>
      <w:r w:rsidR="00E77031">
        <w:t>clinic</w:t>
      </w:r>
      <w:r>
        <w:t xml:space="preserve"> to </w:t>
      </w:r>
      <w:r w:rsidR="00CD333D">
        <w:t>38 days</w:t>
      </w:r>
      <w:r>
        <w:t xml:space="preserve"> </w:t>
      </w:r>
      <w:r w:rsidR="00A02DAE">
        <w:t>post-</w:t>
      </w:r>
      <w:r w:rsidR="00E77031">
        <w:t>clinic</w:t>
      </w:r>
      <w:r w:rsidR="00A02DAE">
        <w:t>. Time to initial visit was further reduced to 21 days for c</w:t>
      </w:r>
      <w:r>
        <w:t xml:space="preserve">lients </w:t>
      </w:r>
      <w:r w:rsidR="00CD333D">
        <w:t>who met the EPIC criteria</w:t>
      </w:r>
      <w:r w:rsidR="00870BC2">
        <w:t xml:space="preserve">. While </w:t>
      </w:r>
      <w:r>
        <w:t xml:space="preserve">the </w:t>
      </w:r>
      <w:r w:rsidR="00870BC2">
        <w:t xml:space="preserve">number of clients on the wait list reduced initially, there was an overall </w:t>
      </w:r>
      <w:r>
        <w:t xml:space="preserve">increase due to successful </w:t>
      </w:r>
      <w:r w:rsidR="00E77031">
        <w:t xml:space="preserve">promotion </w:t>
      </w:r>
      <w:r w:rsidR="00A02DAE">
        <w:t xml:space="preserve">of the </w:t>
      </w:r>
      <w:r>
        <w:t>clinic leading to an increase in referrals</w:t>
      </w:r>
    </w:p>
    <w:p w14:paraId="537EE3F4" w14:textId="5726BD5D" w:rsidR="00B07DB3" w:rsidRDefault="00E77031" w:rsidP="00F94905">
      <w:pPr>
        <w:pStyle w:val="Bullet1"/>
      </w:pPr>
      <w:r>
        <w:t xml:space="preserve">saw </w:t>
      </w:r>
      <w:r w:rsidR="00CD333D" w:rsidRPr="0068607A">
        <w:t>93</w:t>
      </w:r>
      <w:r w:rsidR="00CD333D">
        <w:t xml:space="preserve"> per cent</w:t>
      </w:r>
      <w:r w:rsidR="00CD333D" w:rsidRPr="0068607A">
        <w:t xml:space="preserve"> of </w:t>
      </w:r>
      <w:r w:rsidR="00CD333D">
        <w:t xml:space="preserve">all </w:t>
      </w:r>
      <w:r w:rsidR="00CD333D" w:rsidRPr="0068607A">
        <w:t xml:space="preserve">clients </w:t>
      </w:r>
      <w:r>
        <w:t>discussing plans for their</w:t>
      </w:r>
      <w:r w:rsidR="00114061">
        <w:t xml:space="preserve"> future care</w:t>
      </w:r>
      <w:r>
        <w:t xml:space="preserve">. </w:t>
      </w:r>
      <w:r w:rsidR="00CD333D">
        <w:t xml:space="preserve">70 per cent </w:t>
      </w:r>
      <w:r>
        <w:t xml:space="preserve">had </w:t>
      </w:r>
      <w:r w:rsidR="00CD333D">
        <w:t>elements of a</w:t>
      </w:r>
      <w:r w:rsidR="00114061">
        <w:t xml:space="preserve"> formal</w:t>
      </w:r>
      <w:r w:rsidR="00CD333D">
        <w:t xml:space="preserve"> advance care plan in place</w:t>
      </w:r>
      <w:r w:rsidR="00F94905">
        <w:t xml:space="preserve"> </w:t>
      </w:r>
      <w:r w:rsidR="004B5348">
        <w:t xml:space="preserve">post-clinic </w:t>
      </w:r>
      <w:r w:rsidR="00CD333D">
        <w:t xml:space="preserve">compared with 48 per cent </w:t>
      </w:r>
      <w:r w:rsidR="00F94905">
        <w:t>pre-</w:t>
      </w:r>
      <w:r w:rsidR="004B5348">
        <w:t>clinic</w:t>
      </w:r>
    </w:p>
    <w:p w14:paraId="79D3A572" w14:textId="01FC821A" w:rsidR="003135E6" w:rsidRDefault="003135E6" w:rsidP="00B07DB3">
      <w:pPr>
        <w:pStyle w:val="Bullet1"/>
      </w:pPr>
      <w:r>
        <w:t xml:space="preserve">reduced </w:t>
      </w:r>
      <w:r w:rsidRPr="0068607A">
        <w:t xml:space="preserve">the </w:t>
      </w:r>
      <w:r>
        <w:t xml:space="preserve">proportion </w:t>
      </w:r>
      <w:r w:rsidRPr="0068607A">
        <w:t xml:space="preserve">of clients making unplanned </w:t>
      </w:r>
      <w:r>
        <w:t>emergency department (ED) presentations from 51</w:t>
      </w:r>
      <w:r w:rsidR="001C76B3">
        <w:t> </w:t>
      </w:r>
      <w:r>
        <w:t>per cent pre-</w:t>
      </w:r>
      <w:r w:rsidR="00AF5A30">
        <w:t xml:space="preserve">clinic </w:t>
      </w:r>
      <w:r>
        <w:t>to 19 per cent post-</w:t>
      </w:r>
      <w:r w:rsidR="00AF5A30">
        <w:t>clinic,</w:t>
      </w:r>
      <w:r w:rsidR="00114061">
        <w:t xml:space="preserve"> potentially avoiding </w:t>
      </w:r>
      <w:r>
        <w:t xml:space="preserve">131 ED presentations per </w:t>
      </w:r>
      <w:r w:rsidR="00C54430">
        <w:t xml:space="preserve">year </w:t>
      </w:r>
      <w:r>
        <w:t>(although this data was self-reported and not verified with the hospital)</w:t>
      </w:r>
      <w:r w:rsidR="00C54430">
        <w:t>.</w:t>
      </w:r>
    </w:p>
    <w:p w14:paraId="188358F6" w14:textId="233FF687" w:rsidR="00605DB7" w:rsidRDefault="004B5348" w:rsidP="00E04B1B">
      <w:pPr>
        <w:sectPr w:rsidR="00605DB7" w:rsidSect="001C76B3">
          <w:pgSz w:w="11906" w:h="16838" w:code="9"/>
          <w:pgMar w:top="2438" w:right="737" w:bottom="680" w:left="737" w:header="539" w:footer="624" w:gutter="0"/>
          <w:cols w:num="2" w:space="284"/>
          <w:docGrid w:linePitch="360"/>
        </w:sectPr>
      </w:pPr>
      <w:r w:rsidRPr="004B5348">
        <w:t xml:space="preserve">A comparison with ‘usual care’ </w:t>
      </w:r>
      <w:r>
        <w:t xml:space="preserve">showed that while </w:t>
      </w:r>
      <w:r w:rsidRPr="004B5348">
        <w:t xml:space="preserve">the cost of non-hospital care in an early intervention clinic such as EPIC </w:t>
      </w:r>
      <w:r>
        <w:t xml:space="preserve">was </w:t>
      </w:r>
      <w:r w:rsidRPr="004B5348">
        <w:t xml:space="preserve">slightly higher, significant cost savings </w:t>
      </w:r>
      <w:r>
        <w:t xml:space="preserve">could be </w:t>
      </w:r>
      <w:r w:rsidRPr="004B5348">
        <w:t>achieved through reduced hospitalisations.</w:t>
      </w:r>
      <w:r w:rsidR="00FC7BDB">
        <w:t xml:space="preserve"> </w:t>
      </w:r>
      <w:r w:rsidR="001C76B3">
        <w:t xml:space="preserve">Further </w:t>
      </w:r>
      <w:r w:rsidR="00FC7BDB">
        <w:t xml:space="preserve">revisions of the model and support systems have </w:t>
      </w:r>
      <w:r w:rsidR="001C76B3">
        <w:t xml:space="preserve">since </w:t>
      </w:r>
      <w:r w:rsidR="00FC7BDB">
        <w:t>reduced the cost base to</w:t>
      </w:r>
      <w:r w:rsidR="001C76B3">
        <w:t xml:space="preserve"> </w:t>
      </w:r>
      <w:r w:rsidR="00FC7BDB">
        <w:t xml:space="preserve">a sustainable level. </w:t>
      </w:r>
    </w:p>
    <w:p w14:paraId="342584CC" w14:textId="744F1270" w:rsidR="00111363" w:rsidRDefault="00111363" w:rsidP="00111363">
      <w:pPr>
        <w:pStyle w:val="Heading3"/>
      </w:pPr>
      <w:r>
        <w:t>Client experience</w:t>
      </w:r>
    </w:p>
    <w:p w14:paraId="1537556D" w14:textId="77777777" w:rsidR="00605DB7" w:rsidRDefault="00111363" w:rsidP="007A53BE">
      <w:pPr>
        <w:pStyle w:val="Bullet1"/>
      </w:pPr>
      <w:r>
        <w:t>65 per cent of deteriorating EPIC clients had stabilised six weeks after admission and remained stable during the trial.</w:t>
      </w:r>
    </w:p>
    <w:p w14:paraId="1F9D29F5" w14:textId="1BCCA735" w:rsidR="00B42F7A" w:rsidRDefault="00B42F7A" w:rsidP="007A53BE">
      <w:pPr>
        <w:pStyle w:val="Bullet1"/>
      </w:pPr>
      <w:r>
        <w:t xml:space="preserve">12 of 16 clients surveyed (75 per cent) agreed their quality of life had improved by attending EPIC, with the remaining four </w:t>
      </w:r>
      <w:r w:rsidR="00F20B34">
        <w:t>remaining neutral</w:t>
      </w:r>
      <w:r>
        <w:t>.</w:t>
      </w:r>
    </w:p>
    <w:p w14:paraId="0CA21BD2" w14:textId="6D7B8E39" w:rsidR="00F32A69" w:rsidRDefault="00F32A69" w:rsidP="00887F83">
      <w:pPr>
        <w:pStyle w:val="Bullet1"/>
      </w:pPr>
      <w:r>
        <w:t xml:space="preserve">Benefits </w:t>
      </w:r>
      <w:r w:rsidR="00A82178">
        <w:t xml:space="preserve">of EPIC </w:t>
      </w:r>
      <w:r>
        <w:t xml:space="preserve">reported by </w:t>
      </w:r>
      <w:r w:rsidR="00A82178">
        <w:t xml:space="preserve">clients </w:t>
      </w:r>
      <w:r>
        <w:t>included:</w:t>
      </w:r>
    </w:p>
    <w:p w14:paraId="0EAB93C5" w14:textId="77777777" w:rsidR="00E716BC" w:rsidRDefault="00E716BC" w:rsidP="00E716BC">
      <w:pPr>
        <w:pStyle w:val="Bullet2"/>
      </w:pPr>
      <w:r>
        <w:t>improved daily function, knowledge and confidence</w:t>
      </w:r>
    </w:p>
    <w:p w14:paraId="20CAA476" w14:textId="74F5BAC5" w:rsidR="0009012A" w:rsidRDefault="00F32A69" w:rsidP="00F32A69">
      <w:pPr>
        <w:pStyle w:val="Bullet2"/>
      </w:pPr>
      <w:r>
        <w:t>i</w:t>
      </w:r>
      <w:r w:rsidR="0009012A">
        <w:t xml:space="preserve">ncreased familiarity with early palliative management and </w:t>
      </w:r>
      <w:r w:rsidR="00E716BC">
        <w:t xml:space="preserve">the </w:t>
      </w:r>
      <w:r w:rsidR="0009012A">
        <w:t>holistic support services available</w:t>
      </w:r>
    </w:p>
    <w:p w14:paraId="10649F39" w14:textId="2E956780" w:rsidR="0009012A" w:rsidRDefault="00F32A69" w:rsidP="0009012A">
      <w:pPr>
        <w:pStyle w:val="Bullet2"/>
      </w:pPr>
      <w:r>
        <w:t>e</w:t>
      </w:r>
      <w:r w:rsidR="0009012A">
        <w:t xml:space="preserve">nhanced access to </w:t>
      </w:r>
      <w:r>
        <w:t xml:space="preserve">quality pain management and </w:t>
      </w:r>
      <w:r w:rsidR="0009012A">
        <w:t xml:space="preserve">equipment such as wheelchairs </w:t>
      </w:r>
    </w:p>
    <w:p w14:paraId="20DA7EA6" w14:textId="60B5CA77" w:rsidR="0009012A" w:rsidRDefault="00F32A69" w:rsidP="0009012A">
      <w:pPr>
        <w:pStyle w:val="Bullet2"/>
      </w:pPr>
      <w:r>
        <w:t>i</w:t>
      </w:r>
      <w:r w:rsidR="0009012A">
        <w:t xml:space="preserve">mprovements </w:t>
      </w:r>
      <w:r>
        <w:t xml:space="preserve">in </w:t>
      </w:r>
      <w:r w:rsidR="0009012A">
        <w:t>wellbeing, including</w:t>
      </w:r>
      <w:r w:rsidRPr="00F32A69">
        <w:t xml:space="preserve"> </w:t>
      </w:r>
      <w:r w:rsidR="00F20B34">
        <w:t>reduced</w:t>
      </w:r>
      <w:r>
        <w:t xml:space="preserve"> isolation and </w:t>
      </w:r>
      <w:r w:rsidR="0009012A">
        <w:t xml:space="preserve">anxiety </w:t>
      </w:r>
      <w:r w:rsidR="00992F81">
        <w:t>due to access to 24/7 support</w:t>
      </w:r>
    </w:p>
    <w:p w14:paraId="0A52A761" w14:textId="3C77CC0E" w:rsidR="00992F81" w:rsidRDefault="00F32A69" w:rsidP="0009012A">
      <w:pPr>
        <w:pStyle w:val="Bullet2"/>
      </w:pPr>
      <w:r>
        <w:t>t</w:t>
      </w:r>
      <w:r w:rsidR="00992F81">
        <w:t>herapeutic benefits from massage therapy</w:t>
      </w:r>
    </w:p>
    <w:p w14:paraId="286886EA" w14:textId="02AD5B24" w:rsidR="00992F81" w:rsidRDefault="00F32A69" w:rsidP="0009012A">
      <w:pPr>
        <w:pStyle w:val="Bullet2"/>
      </w:pPr>
      <w:r>
        <w:t xml:space="preserve">feeling </w:t>
      </w:r>
      <w:r w:rsidR="00992F81">
        <w:t>supported through difficult processes</w:t>
      </w:r>
      <w:r w:rsidR="00D21939">
        <w:t xml:space="preserve"> and being able to talk about </w:t>
      </w:r>
      <w:r>
        <w:t xml:space="preserve">their </w:t>
      </w:r>
      <w:r w:rsidR="00D21939">
        <w:t>experiences</w:t>
      </w:r>
      <w:r>
        <w:t xml:space="preserve">. </w:t>
      </w:r>
    </w:p>
    <w:p w14:paraId="522669F6" w14:textId="4A5E20DB" w:rsidR="00D1125D" w:rsidRDefault="00D1125D" w:rsidP="005E2291">
      <w:pPr>
        <w:pStyle w:val="Bullet1"/>
      </w:pPr>
      <w:r w:rsidRPr="00902EC3">
        <w:t>24 of the 63 clients died</w:t>
      </w:r>
      <w:r>
        <w:t xml:space="preserve"> during the trial</w:t>
      </w:r>
      <w:r w:rsidRPr="00902EC3">
        <w:t>. Of those who died</w:t>
      </w:r>
      <w:r>
        <w:t>, 67 per cent died in their place of choice. 21 per cent did not die in their place of choice</w:t>
      </w:r>
      <w:r w:rsidR="001C76B3">
        <w:t xml:space="preserve">. This was because it was </w:t>
      </w:r>
      <w:r w:rsidR="00FC7BDB">
        <w:t xml:space="preserve">no longer a viable option </w:t>
      </w:r>
      <w:r w:rsidR="001C76B3">
        <w:t xml:space="preserve">due to </w:t>
      </w:r>
      <w:r w:rsidR="00FC7BDB">
        <w:t xml:space="preserve">their condition. </w:t>
      </w:r>
    </w:p>
    <w:p w14:paraId="4F8E31F8" w14:textId="67A3C029" w:rsidR="00424385" w:rsidRDefault="00F20B34" w:rsidP="00F87BCB">
      <w:pPr>
        <w:pStyle w:val="Bullet1"/>
      </w:pPr>
      <w:r>
        <w:t>While n</w:t>
      </w:r>
      <w:r w:rsidR="003C20D8">
        <w:t xml:space="preserve">o EPIC </w:t>
      </w:r>
      <w:r w:rsidR="00EB3F3F">
        <w:t xml:space="preserve">carers </w:t>
      </w:r>
      <w:r w:rsidR="003C20D8">
        <w:t xml:space="preserve">took up the offer of the carer </w:t>
      </w:r>
      <w:r w:rsidR="001C03C1">
        <w:t>wellbeing</w:t>
      </w:r>
      <w:r w:rsidR="003C20D8">
        <w:t xml:space="preserve"> program (it was only accessed by </w:t>
      </w:r>
      <w:r w:rsidR="00FE6150">
        <w:t>carers of PCSE home care clients</w:t>
      </w:r>
      <w:r w:rsidR="003C20D8">
        <w:t>)</w:t>
      </w:r>
      <w:r w:rsidR="00EB3F3F">
        <w:t xml:space="preserve">, </w:t>
      </w:r>
      <w:r w:rsidR="009A5F8A">
        <w:t xml:space="preserve">they </w:t>
      </w:r>
      <w:r w:rsidR="00EB3F3F">
        <w:t xml:space="preserve">were positive about the </w:t>
      </w:r>
      <w:r w:rsidR="003C20D8">
        <w:t>carer support k</w:t>
      </w:r>
      <w:r w:rsidR="003C20D8" w:rsidRPr="0068607A">
        <w:t xml:space="preserve">it </w:t>
      </w:r>
      <w:r w:rsidR="003C20D8">
        <w:t xml:space="preserve">provided as part of the EPIC </w:t>
      </w:r>
      <w:r w:rsidR="00EB3F3F">
        <w:t xml:space="preserve">client </w:t>
      </w:r>
      <w:r w:rsidR="003C20D8">
        <w:t>welcome pack</w:t>
      </w:r>
      <w:r>
        <w:t>, with</w:t>
      </w:r>
      <w:r w:rsidR="00EB3F3F">
        <w:t xml:space="preserve"> </w:t>
      </w:r>
      <w:r w:rsidR="00EB3F3F" w:rsidRPr="0068607A">
        <w:t>89</w:t>
      </w:r>
      <w:r w:rsidR="00EB3F3F">
        <w:t xml:space="preserve"> per cent</w:t>
      </w:r>
      <w:r w:rsidR="00EB3F3F" w:rsidRPr="0068607A">
        <w:t xml:space="preserve"> </w:t>
      </w:r>
      <w:r>
        <w:t xml:space="preserve">saying </w:t>
      </w:r>
      <w:r w:rsidR="009A5F8A">
        <w:t xml:space="preserve">they </w:t>
      </w:r>
      <w:r w:rsidR="00EB3F3F">
        <w:t xml:space="preserve">found the information in the kit </w:t>
      </w:r>
      <w:r w:rsidR="003C20D8" w:rsidRPr="0068607A">
        <w:t>beneficial</w:t>
      </w:r>
      <w:r w:rsidR="003C20D8">
        <w:t>.</w:t>
      </w:r>
    </w:p>
    <w:p w14:paraId="4BC3AE0A" w14:textId="77777777" w:rsidR="00AA02D8" w:rsidRDefault="00AA02D8" w:rsidP="00AA02D8">
      <w:pPr>
        <w:pStyle w:val="Quote"/>
      </w:pPr>
      <w:r>
        <w:t>‘</w:t>
      </w:r>
      <w:r w:rsidRPr="00F20B34">
        <w:t>Having someone to contact at any time is a great help with anxiety.</w:t>
      </w:r>
      <w:r>
        <w:t>’</w:t>
      </w:r>
    </w:p>
    <w:p w14:paraId="100FDDFB" w14:textId="2CF896E4" w:rsidR="00AA02D8" w:rsidRPr="00AA02D8" w:rsidRDefault="00AA02D8" w:rsidP="00AA02D8">
      <w:pPr>
        <w:pStyle w:val="Quote"/>
        <w:rPr>
          <w:b/>
          <w:bCs/>
        </w:rPr>
      </w:pPr>
      <w:r w:rsidRPr="00AA02D8">
        <w:rPr>
          <w:b/>
          <w:bCs/>
        </w:rPr>
        <w:t xml:space="preserve"> – EPIC client</w:t>
      </w:r>
    </w:p>
    <w:p w14:paraId="2485892E" w14:textId="61DD1AA7" w:rsidR="00435805" w:rsidRDefault="00435805" w:rsidP="003A0B78">
      <w:pPr>
        <w:pStyle w:val="Heading2"/>
      </w:pPr>
      <w:r>
        <w:t>Key learnings</w:t>
      </w:r>
    </w:p>
    <w:p w14:paraId="4D651FC5" w14:textId="77777777" w:rsidR="001C03C1" w:rsidRPr="000C11B5" w:rsidRDefault="001C03C1" w:rsidP="000C11B5">
      <w:pPr>
        <w:pStyle w:val="Bullet1"/>
      </w:pPr>
      <w:r>
        <w:t xml:space="preserve">The reduction in self-reported unplanned ED presentations combined with the tendency for EPIC clients to stabilise suggests early provision of person-centred multidisciplinary care can reduce the </w:t>
      </w:r>
      <w:r w:rsidRPr="000C11B5">
        <w:t>likelihood of clients deteriorating early in their illness.</w:t>
      </w:r>
    </w:p>
    <w:p w14:paraId="41127AEB" w14:textId="6B6A1DAD" w:rsidR="00D923A2" w:rsidRDefault="00D923A2" w:rsidP="000C11B5">
      <w:pPr>
        <w:pStyle w:val="Bullet1"/>
      </w:pPr>
      <w:r w:rsidRPr="000C11B5">
        <w:t>PCSE found that building client and carer confidence and alleviating their anxiety</w:t>
      </w:r>
      <w:r w:rsidR="000C11B5">
        <w:t xml:space="preserve"> helped to </w:t>
      </w:r>
      <w:r w:rsidR="000C11B5" w:rsidRPr="000C11B5">
        <w:t xml:space="preserve">avoid unnecessary hospitalisations </w:t>
      </w:r>
      <w:r w:rsidR="000C11B5">
        <w:t xml:space="preserve">as they could </w:t>
      </w:r>
      <w:r w:rsidRPr="000C11B5">
        <w:t>make calmer</w:t>
      </w:r>
      <w:r w:rsidR="000C11B5">
        <w:t xml:space="preserve">, </w:t>
      </w:r>
      <w:r w:rsidRPr="000C11B5">
        <w:t>more informed decisions.</w:t>
      </w:r>
    </w:p>
    <w:p w14:paraId="2549E81B" w14:textId="77777777" w:rsidR="00FA380D" w:rsidRDefault="00FA380D" w:rsidP="00FA380D">
      <w:pPr>
        <w:pStyle w:val="Bullet1"/>
      </w:pPr>
      <w:r>
        <w:t xml:space="preserve">The highest contributing factors towards clients’ perceived quality of life were symptom and pain management, feeling that someone was listening to them, and achieving goals. </w:t>
      </w:r>
    </w:p>
    <w:p w14:paraId="00888102" w14:textId="77777777" w:rsidR="00CA4657" w:rsidRDefault="00CA4657" w:rsidP="00CA4657">
      <w:pPr>
        <w:pStyle w:val="Bullet1"/>
      </w:pPr>
      <w:r w:rsidRPr="000C11B5">
        <w:t xml:space="preserve">Many clients were not ready to complete a formal advance care plan so early in their illness, choosing to </w:t>
      </w:r>
      <w:r>
        <w:t xml:space="preserve">discuss their options </w:t>
      </w:r>
      <w:r w:rsidRPr="000C11B5">
        <w:t xml:space="preserve">instead. Advance care planning discussions need to be ongoing </w:t>
      </w:r>
      <w:r>
        <w:t xml:space="preserve">to prepare clients for </w:t>
      </w:r>
      <w:r w:rsidRPr="000C11B5">
        <w:t>w</w:t>
      </w:r>
      <w:r>
        <w:t xml:space="preserve">hen they near the end of their life. </w:t>
      </w:r>
    </w:p>
    <w:p w14:paraId="7163E746" w14:textId="77777777" w:rsidR="00CA4657" w:rsidRDefault="00CA4657" w:rsidP="00CA4657">
      <w:pPr>
        <w:pStyle w:val="Bullet1"/>
      </w:pPr>
      <w:r w:rsidRPr="00BC154A">
        <w:t xml:space="preserve">Massage therapy </w:t>
      </w:r>
      <w:r>
        <w:t xml:space="preserve">became an </w:t>
      </w:r>
      <w:r w:rsidRPr="00BC154A">
        <w:t xml:space="preserve">important part of the service. </w:t>
      </w:r>
      <w:r w:rsidRPr="00ED7061">
        <w:t>91</w:t>
      </w:r>
      <w:r>
        <w:t xml:space="preserve"> per cent</w:t>
      </w:r>
      <w:r w:rsidRPr="00ED7061">
        <w:t xml:space="preserve"> of clients and 100</w:t>
      </w:r>
      <w:r>
        <w:t xml:space="preserve"> per cent</w:t>
      </w:r>
      <w:r w:rsidRPr="00ED7061">
        <w:t xml:space="preserve"> of carers reported reduced anxiety and better symptom management as a result of </w:t>
      </w:r>
      <w:r>
        <w:t xml:space="preserve">the </w:t>
      </w:r>
      <w:r w:rsidRPr="00ED7061">
        <w:t>therapy</w:t>
      </w:r>
      <w:r>
        <w:t xml:space="preserve">, and they were </w:t>
      </w:r>
      <w:r w:rsidRPr="00BC154A">
        <w:t>more likely to discuss feelings and concerns.</w:t>
      </w:r>
    </w:p>
    <w:p w14:paraId="0388C376" w14:textId="6C989416" w:rsidR="00ED6680" w:rsidRPr="000C11B5" w:rsidRDefault="001C03C1" w:rsidP="000C11B5">
      <w:pPr>
        <w:pStyle w:val="Bullet1"/>
      </w:pPr>
      <w:r w:rsidRPr="000C11B5">
        <w:t xml:space="preserve">When clients are stable and well, their </w:t>
      </w:r>
      <w:proofErr w:type="spellStart"/>
      <w:r w:rsidRPr="000C11B5">
        <w:t>carers</w:t>
      </w:r>
      <w:proofErr w:type="spellEnd"/>
      <w:r w:rsidRPr="000C11B5">
        <w:t xml:space="preserve"> are less likely to accept support</w:t>
      </w:r>
      <w:r w:rsidR="000C11B5">
        <w:t xml:space="preserve">, so </w:t>
      </w:r>
      <w:r w:rsidR="00CA4657">
        <w:t xml:space="preserve">in the early stages of illness, </w:t>
      </w:r>
      <w:r w:rsidR="000C11B5">
        <w:t>providing w</w:t>
      </w:r>
      <w:r w:rsidR="000C11B5" w:rsidRPr="000C11B5">
        <w:t xml:space="preserve">ritten or online information that </w:t>
      </w:r>
      <w:r w:rsidR="00CA4657">
        <w:t xml:space="preserve">carers </w:t>
      </w:r>
      <w:r w:rsidR="000C11B5">
        <w:t xml:space="preserve">can </w:t>
      </w:r>
      <w:r w:rsidR="000C11B5" w:rsidRPr="000C11B5">
        <w:t>read at their leisure</w:t>
      </w:r>
      <w:r w:rsidR="000C11B5">
        <w:t xml:space="preserve"> may be more effective than workshops</w:t>
      </w:r>
      <w:r w:rsidRPr="000C11B5">
        <w:t>. However, as</w:t>
      </w:r>
      <w:r w:rsidR="00F63004" w:rsidRPr="000C11B5">
        <w:t xml:space="preserve"> clients deteriorate, the need for carer education and support increases</w:t>
      </w:r>
      <w:r w:rsidR="000C11B5">
        <w:t xml:space="preserve">, so it is </w:t>
      </w:r>
      <w:r w:rsidR="00ED6680" w:rsidRPr="000C11B5">
        <w:t>i</w:t>
      </w:r>
      <w:r w:rsidR="00F63004" w:rsidRPr="000C11B5">
        <w:t xml:space="preserve">mportant to continue </w:t>
      </w:r>
      <w:r w:rsidR="000C11B5">
        <w:t xml:space="preserve">discussing </w:t>
      </w:r>
      <w:r w:rsidR="00F63004" w:rsidRPr="000C11B5">
        <w:t xml:space="preserve">options and provide support when </w:t>
      </w:r>
      <w:r w:rsidRPr="000C11B5">
        <w:t>needed</w:t>
      </w:r>
      <w:r w:rsidR="00F63004" w:rsidRPr="000C11B5">
        <w:t>.</w:t>
      </w:r>
      <w:r w:rsidR="000C11B5">
        <w:t xml:space="preserve"> </w:t>
      </w:r>
    </w:p>
    <w:p w14:paraId="456FAA49" w14:textId="0E962E1A" w:rsidR="00205F7D" w:rsidRDefault="000C11B5" w:rsidP="00A51C76">
      <w:pPr>
        <w:pStyle w:val="Bullet1"/>
      </w:pPr>
      <w:r>
        <w:t>Operating the clinic one day a week impacted some clients’ ability to attend</w:t>
      </w:r>
      <w:r w:rsidR="00FA380D">
        <w:t>. C</w:t>
      </w:r>
      <w:r w:rsidR="00061BFD" w:rsidRPr="00D85E38">
        <w:t>lients early in their illness are often still having treatment and regular appointments with specialists.</w:t>
      </w:r>
    </w:p>
    <w:sectPr w:rsidR="00205F7D" w:rsidSect="001C76B3">
      <w:footerReference w:type="default" r:id="rId12"/>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29FCA" w14:textId="77777777" w:rsidR="00CE134B" w:rsidRDefault="00CE134B" w:rsidP="002D711A">
      <w:pPr>
        <w:spacing w:after="0" w:line="240" w:lineRule="auto"/>
      </w:pPr>
      <w:r>
        <w:separator/>
      </w:r>
    </w:p>
  </w:endnote>
  <w:endnote w:type="continuationSeparator" w:id="0">
    <w:p w14:paraId="4C0369DA" w14:textId="77777777" w:rsidR="00CE134B" w:rsidRDefault="00CE134B"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6" name="Picture 6"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181F5AC3"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1C76B3">
            <w:rPr>
              <w:sz w:val="18"/>
              <w:szCs w:val="18"/>
            </w:rPr>
            <w:t xml:space="preserve">November </w:t>
          </w:r>
          <w:r>
            <w:rPr>
              <w:sz w:val="18"/>
              <w:szCs w:val="18"/>
            </w:rPr>
            <w:t>2020</w:t>
          </w:r>
        </w:p>
        <w:p w14:paraId="585BE8B9" w14:textId="05E99F38" w:rsidR="00C821CE" w:rsidRPr="00E04B1B" w:rsidRDefault="001C76B3" w:rsidP="0043317F">
          <w:pPr>
            <w:spacing w:line="230" w:lineRule="auto"/>
            <w:rPr>
              <w:color w:val="000000" w:themeColor="text1"/>
              <w:sz w:val="18"/>
              <w:szCs w:val="18"/>
            </w:rPr>
          </w:pPr>
          <w:r w:rsidRPr="00E04B1B">
            <w:rPr>
              <w:color w:val="000000" w:themeColor="text1"/>
              <w:sz w:val="18"/>
              <w:szCs w:val="18"/>
            </w:rPr>
            <w:t>ISBN 978-1-76096-283-8 (pdf/online/MS word)</w:t>
          </w:r>
        </w:p>
        <w:p w14:paraId="5090B2B9" w14:textId="67C35DB0" w:rsidR="00C821CE" w:rsidRPr="007A4444" w:rsidRDefault="00C821CE" w:rsidP="001C76B3">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1C76B3">
            <w:rPr>
              <w:sz w:val="13"/>
              <w:szCs w:val="13"/>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13" name="Picture 13"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B5DA9" w14:textId="77777777" w:rsidR="00CE134B" w:rsidRDefault="00CE134B" w:rsidP="00E33E08">
      <w:pPr>
        <w:spacing w:before="0" w:after="0" w:line="240" w:lineRule="auto"/>
      </w:pPr>
    </w:p>
  </w:footnote>
  <w:footnote w:type="continuationSeparator" w:id="0">
    <w:p w14:paraId="332B615F" w14:textId="77777777" w:rsidR="00CE134B" w:rsidRDefault="00CE134B"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012494E8">
          <wp:simplePos x="0" y="0"/>
          <wp:positionH relativeFrom="page">
            <wp:posOffset>13970</wp:posOffset>
          </wp:positionH>
          <wp:positionV relativeFrom="page">
            <wp:posOffset>0</wp:posOffset>
          </wp:positionV>
          <wp:extent cx="2127600" cy="1202400"/>
          <wp:effectExtent l="0" t="0" r="0" b="0"/>
          <wp:wrapNone/>
          <wp:docPr id="7" name="Picture 7"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CD6A7F"/>
    <w:multiLevelType w:val="hybridMultilevel"/>
    <w:tmpl w:val="AE64E7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4"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5"/>
  </w:num>
  <w:num w:numId="2">
    <w:abstractNumId w:val="5"/>
  </w:num>
  <w:num w:numId="3">
    <w:abstractNumId w:val="5"/>
  </w:num>
  <w:num w:numId="4">
    <w:abstractNumId w:val="7"/>
  </w:num>
  <w:num w:numId="5">
    <w:abstractNumId w:val="1"/>
  </w:num>
  <w:num w:numId="6">
    <w:abstractNumId w:val="4"/>
  </w:num>
  <w:num w:numId="7">
    <w:abstractNumId w:val="6"/>
  </w:num>
  <w:num w:numId="8">
    <w:abstractNumId w:val="3"/>
  </w:num>
  <w:num w:numId="9">
    <w:abstractNumId w:val="3"/>
  </w:num>
  <w:num w:numId="10">
    <w:abstractNumId w:val="2"/>
  </w:num>
  <w:num w:numId="11">
    <w:abstractNumId w:val="3"/>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6811"/>
    <w:rsid w:val="0003019D"/>
    <w:rsid w:val="0004185E"/>
    <w:rsid w:val="000477CC"/>
    <w:rsid w:val="00053181"/>
    <w:rsid w:val="00056988"/>
    <w:rsid w:val="00060D97"/>
    <w:rsid w:val="00061BFD"/>
    <w:rsid w:val="00066979"/>
    <w:rsid w:val="00071F51"/>
    <w:rsid w:val="00072279"/>
    <w:rsid w:val="00073407"/>
    <w:rsid w:val="00075E6C"/>
    <w:rsid w:val="00081C12"/>
    <w:rsid w:val="00086A06"/>
    <w:rsid w:val="00087D42"/>
    <w:rsid w:val="0009012A"/>
    <w:rsid w:val="000905F7"/>
    <w:rsid w:val="00096D86"/>
    <w:rsid w:val="000A0DEE"/>
    <w:rsid w:val="000B019B"/>
    <w:rsid w:val="000B0202"/>
    <w:rsid w:val="000B21FF"/>
    <w:rsid w:val="000B29AD"/>
    <w:rsid w:val="000B6A56"/>
    <w:rsid w:val="000C11B5"/>
    <w:rsid w:val="000C1696"/>
    <w:rsid w:val="000C515F"/>
    <w:rsid w:val="000C6372"/>
    <w:rsid w:val="000D279A"/>
    <w:rsid w:val="000D5CA4"/>
    <w:rsid w:val="000D7841"/>
    <w:rsid w:val="000E392D"/>
    <w:rsid w:val="000E39B6"/>
    <w:rsid w:val="000E3D05"/>
    <w:rsid w:val="000F23F2"/>
    <w:rsid w:val="000F2A2C"/>
    <w:rsid w:val="000F4288"/>
    <w:rsid w:val="000F7165"/>
    <w:rsid w:val="00101CB6"/>
    <w:rsid w:val="00102379"/>
    <w:rsid w:val="00103722"/>
    <w:rsid w:val="001065D6"/>
    <w:rsid w:val="001068D5"/>
    <w:rsid w:val="00111363"/>
    <w:rsid w:val="00114061"/>
    <w:rsid w:val="0011418A"/>
    <w:rsid w:val="00114535"/>
    <w:rsid w:val="0012046C"/>
    <w:rsid w:val="00121252"/>
    <w:rsid w:val="00121488"/>
    <w:rsid w:val="00124609"/>
    <w:rsid w:val="001254CE"/>
    <w:rsid w:val="0013637A"/>
    <w:rsid w:val="001422CC"/>
    <w:rsid w:val="001425B6"/>
    <w:rsid w:val="00145346"/>
    <w:rsid w:val="001617B6"/>
    <w:rsid w:val="00165528"/>
    <w:rsid w:val="00165E66"/>
    <w:rsid w:val="00184792"/>
    <w:rsid w:val="00186B39"/>
    <w:rsid w:val="00191166"/>
    <w:rsid w:val="00196143"/>
    <w:rsid w:val="00196CAC"/>
    <w:rsid w:val="001A24FC"/>
    <w:rsid w:val="001A4B80"/>
    <w:rsid w:val="001A4D1A"/>
    <w:rsid w:val="001B7EDB"/>
    <w:rsid w:val="001C03C1"/>
    <w:rsid w:val="001C31A5"/>
    <w:rsid w:val="001C60B2"/>
    <w:rsid w:val="001C6993"/>
    <w:rsid w:val="001C76B3"/>
    <w:rsid w:val="001C7BAE"/>
    <w:rsid w:val="001E31FA"/>
    <w:rsid w:val="001E48F9"/>
    <w:rsid w:val="001E64F6"/>
    <w:rsid w:val="001E7AEB"/>
    <w:rsid w:val="001F2836"/>
    <w:rsid w:val="001F4B4B"/>
    <w:rsid w:val="001F5DC0"/>
    <w:rsid w:val="00204B82"/>
    <w:rsid w:val="00205F7D"/>
    <w:rsid w:val="00222BEB"/>
    <w:rsid w:val="00223613"/>
    <w:rsid w:val="00225E60"/>
    <w:rsid w:val="00230BBB"/>
    <w:rsid w:val="0023202C"/>
    <w:rsid w:val="00234619"/>
    <w:rsid w:val="00235BE2"/>
    <w:rsid w:val="00245043"/>
    <w:rsid w:val="00253F83"/>
    <w:rsid w:val="0026028E"/>
    <w:rsid w:val="002637E4"/>
    <w:rsid w:val="00273871"/>
    <w:rsid w:val="00273AF5"/>
    <w:rsid w:val="00280282"/>
    <w:rsid w:val="00280DBB"/>
    <w:rsid w:val="00284FA2"/>
    <w:rsid w:val="00287A3C"/>
    <w:rsid w:val="00292D36"/>
    <w:rsid w:val="00294A5A"/>
    <w:rsid w:val="00297281"/>
    <w:rsid w:val="00297A47"/>
    <w:rsid w:val="002A5891"/>
    <w:rsid w:val="002A5F50"/>
    <w:rsid w:val="002B03F1"/>
    <w:rsid w:val="002B5C34"/>
    <w:rsid w:val="002B5E2B"/>
    <w:rsid w:val="002B6DAA"/>
    <w:rsid w:val="002C1E5B"/>
    <w:rsid w:val="002C338A"/>
    <w:rsid w:val="002D2ABE"/>
    <w:rsid w:val="002D4404"/>
    <w:rsid w:val="002D70F7"/>
    <w:rsid w:val="002D711A"/>
    <w:rsid w:val="002D7336"/>
    <w:rsid w:val="002E3396"/>
    <w:rsid w:val="002E6454"/>
    <w:rsid w:val="002F2953"/>
    <w:rsid w:val="002F4E84"/>
    <w:rsid w:val="002F6676"/>
    <w:rsid w:val="003100BA"/>
    <w:rsid w:val="0031149C"/>
    <w:rsid w:val="003122BE"/>
    <w:rsid w:val="003135E6"/>
    <w:rsid w:val="0031649B"/>
    <w:rsid w:val="00320015"/>
    <w:rsid w:val="00332D4F"/>
    <w:rsid w:val="003347B2"/>
    <w:rsid w:val="00350A1F"/>
    <w:rsid w:val="00357A45"/>
    <w:rsid w:val="00357AD2"/>
    <w:rsid w:val="0036778F"/>
    <w:rsid w:val="0037037E"/>
    <w:rsid w:val="0038771C"/>
    <w:rsid w:val="003905E4"/>
    <w:rsid w:val="003A0B78"/>
    <w:rsid w:val="003A0BB3"/>
    <w:rsid w:val="003A36FF"/>
    <w:rsid w:val="003A430B"/>
    <w:rsid w:val="003A541A"/>
    <w:rsid w:val="003A6923"/>
    <w:rsid w:val="003C0772"/>
    <w:rsid w:val="003C20D8"/>
    <w:rsid w:val="003C2C67"/>
    <w:rsid w:val="003C2D4C"/>
    <w:rsid w:val="003C3B3A"/>
    <w:rsid w:val="003C5BA4"/>
    <w:rsid w:val="003D25C3"/>
    <w:rsid w:val="003D5C5C"/>
    <w:rsid w:val="003E3E26"/>
    <w:rsid w:val="003F1295"/>
    <w:rsid w:val="003F5102"/>
    <w:rsid w:val="003F76FC"/>
    <w:rsid w:val="004002EB"/>
    <w:rsid w:val="00407A79"/>
    <w:rsid w:val="00422DDC"/>
    <w:rsid w:val="004231B5"/>
    <w:rsid w:val="004236C8"/>
    <w:rsid w:val="00424385"/>
    <w:rsid w:val="00427681"/>
    <w:rsid w:val="0043317F"/>
    <w:rsid w:val="00433DB7"/>
    <w:rsid w:val="004347D9"/>
    <w:rsid w:val="00435805"/>
    <w:rsid w:val="00442182"/>
    <w:rsid w:val="0045347E"/>
    <w:rsid w:val="00453750"/>
    <w:rsid w:val="0045561E"/>
    <w:rsid w:val="00456941"/>
    <w:rsid w:val="00460BD5"/>
    <w:rsid w:val="004702EA"/>
    <w:rsid w:val="00473821"/>
    <w:rsid w:val="0048259C"/>
    <w:rsid w:val="00482D02"/>
    <w:rsid w:val="00484326"/>
    <w:rsid w:val="00484F9A"/>
    <w:rsid w:val="00490369"/>
    <w:rsid w:val="004A4ED0"/>
    <w:rsid w:val="004A7519"/>
    <w:rsid w:val="004B2216"/>
    <w:rsid w:val="004B5348"/>
    <w:rsid w:val="004B64B1"/>
    <w:rsid w:val="004D01AC"/>
    <w:rsid w:val="004D3518"/>
    <w:rsid w:val="004D62D6"/>
    <w:rsid w:val="004D6898"/>
    <w:rsid w:val="004E187C"/>
    <w:rsid w:val="004F02C3"/>
    <w:rsid w:val="004F3F4E"/>
    <w:rsid w:val="004F5DBD"/>
    <w:rsid w:val="00510167"/>
    <w:rsid w:val="00513E86"/>
    <w:rsid w:val="005205E9"/>
    <w:rsid w:val="005306A2"/>
    <w:rsid w:val="0053416C"/>
    <w:rsid w:val="00541C2F"/>
    <w:rsid w:val="00544E0F"/>
    <w:rsid w:val="00545469"/>
    <w:rsid w:val="00552DE4"/>
    <w:rsid w:val="005536E4"/>
    <w:rsid w:val="00555D37"/>
    <w:rsid w:val="00556AE2"/>
    <w:rsid w:val="00563527"/>
    <w:rsid w:val="00571B8F"/>
    <w:rsid w:val="0057407A"/>
    <w:rsid w:val="0058124E"/>
    <w:rsid w:val="005875A3"/>
    <w:rsid w:val="005953EA"/>
    <w:rsid w:val="005A3416"/>
    <w:rsid w:val="005A603A"/>
    <w:rsid w:val="005B061F"/>
    <w:rsid w:val="005B12C7"/>
    <w:rsid w:val="005B27FE"/>
    <w:rsid w:val="005B327A"/>
    <w:rsid w:val="005B46CC"/>
    <w:rsid w:val="005B5F0B"/>
    <w:rsid w:val="005B76DF"/>
    <w:rsid w:val="005B79CB"/>
    <w:rsid w:val="005E08D7"/>
    <w:rsid w:val="005E4C16"/>
    <w:rsid w:val="005E5947"/>
    <w:rsid w:val="005F088B"/>
    <w:rsid w:val="005F61DF"/>
    <w:rsid w:val="0060163A"/>
    <w:rsid w:val="00601B37"/>
    <w:rsid w:val="006023F9"/>
    <w:rsid w:val="006027E8"/>
    <w:rsid w:val="00604F21"/>
    <w:rsid w:val="00605DB7"/>
    <w:rsid w:val="00610417"/>
    <w:rsid w:val="00610559"/>
    <w:rsid w:val="00614076"/>
    <w:rsid w:val="00615641"/>
    <w:rsid w:val="00627603"/>
    <w:rsid w:val="0063281E"/>
    <w:rsid w:val="00632F2E"/>
    <w:rsid w:val="006332F6"/>
    <w:rsid w:val="006413F2"/>
    <w:rsid w:val="0064598D"/>
    <w:rsid w:val="006534B2"/>
    <w:rsid w:val="0065615D"/>
    <w:rsid w:val="00657011"/>
    <w:rsid w:val="006650B5"/>
    <w:rsid w:val="006651B1"/>
    <w:rsid w:val="00665778"/>
    <w:rsid w:val="00676E5F"/>
    <w:rsid w:val="00680577"/>
    <w:rsid w:val="0068607A"/>
    <w:rsid w:val="006945CA"/>
    <w:rsid w:val="006A3309"/>
    <w:rsid w:val="006A3A5A"/>
    <w:rsid w:val="006A5B34"/>
    <w:rsid w:val="006B2A76"/>
    <w:rsid w:val="006C038C"/>
    <w:rsid w:val="006C52A2"/>
    <w:rsid w:val="006C5ACC"/>
    <w:rsid w:val="006C77A9"/>
    <w:rsid w:val="006D2F37"/>
    <w:rsid w:val="006D4720"/>
    <w:rsid w:val="006D629B"/>
    <w:rsid w:val="006E56C0"/>
    <w:rsid w:val="006E6CDF"/>
    <w:rsid w:val="006F2CF7"/>
    <w:rsid w:val="006F37F2"/>
    <w:rsid w:val="006F6693"/>
    <w:rsid w:val="00707FE8"/>
    <w:rsid w:val="00714AAE"/>
    <w:rsid w:val="00721347"/>
    <w:rsid w:val="00724962"/>
    <w:rsid w:val="00724A0F"/>
    <w:rsid w:val="00726D2F"/>
    <w:rsid w:val="007352D2"/>
    <w:rsid w:val="00736732"/>
    <w:rsid w:val="00740019"/>
    <w:rsid w:val="00740586"/>
    <w:rsid w:val="00746426"/>
    <w:rsid w:val="00747E8C"/>
    <w:rsid w:val="00750BF9"/>
    <w:rsid w:val="00750CBE"/>
    <w:rsid w:val="00757F7A"/>
    <w:rsid w:val="007650D2"/>
    <w:rsid w:val="00766B5A"/>
    <w:rsid w:val="00772209"/>
    <w:rsid w:val="007770A5"/>
    <w:rsid w:val="007834F2"/>
    <w:rsid w:val="00791020"/>
    <w:rsid w:val="007949E1"/>
    <w:rsid w:val="00794CB7"/>
    <w:rsid w:val="007A04D2"/>
    <w:rsid w:val="007A3ED8"/>
    <w:rsid w:val="007A4444"/>
    <w:rsid w:val="007A5F82"/>
    <w:rsid w:val="007A640F"/>
    <w:rsid w:val="007A7734"/>
    <w:rsid w:val="007C44ED"/>
    <w:rsid w:val="007D4A1E"/>
    <w:rsid w:val="007D551B"/>
    <w:rsid w:val="007D5F9E"/>
    <w:rsid w:val="007D6D51"/>
    <w:rsid w:val="007E098F"/>
    <w:rsid w:val="007E3BA2"/>
    <w:rsid w:val="007F1A4C"/>
    <w:rsid w:val="007F6E74"/>
    <w:rsid w:val="007F723F"/>
    <w:rsid w:val="008022C3"/>
    <w:rsid w:val="008041E6"/>
    <w:rsid w:val="008065D2"/>
    <w:rsid w:val="00812FA6"/>
    <w:rsid w:val="00815A8A"/>
    <w:rsid w:val="0082194C"/>
    <w:rsid w:val="008222FF"/>
    <w:rsid w:val="008241FF"/>
    <w:rsid w:val="00826C13"/>
    <w:rsid w:val="008411E9"/>
    <w:rsid w:val="00841617"/>
    <w:rsid w:val="0084200F"/>
    <w:rsid w:val="0084335F"/>
    <w:rsid w:val="00843B2C"/>
    <w:rsid w:val="00844F16"/>
    <w:rsid w:val="00846B06"/>
    <w:rsid w:val="00847BE1"/>
    <w:rsid w:val="00855FF9"/>
    <w:rsid w:val="0086277A"/>
    <w:rsid w:val="008668A8"/>
    <w:rsid w:val="008703D8"/>
    <w:rsid w:val="00870BC2"/>
    <w:rsid w:val="00872AFA"/>
    <w:rsid w:val="008768AD"/>
    <w:rsid w:val="00880AC4"/>
    <w:rsid w:val="00893E52"/>
    <w:rsid w:val="00897157"/>
    <w:rsid w:val="00897447"/>
    <w:rsid w:val="008A4900"/>
    <w:rsid w:val="008A55FE"/>
    <w:rsid w:val="008A58D2"/>
    <w:rsid w:val="008B146D"/>
    <w:rsid w:val="008B42AD"/>
    <w:rsid w:val="008B5666"/>
    <w:rsid w:val="008C2C15"/>
    <w:rsid w:val="008D0281"/>
    <w:rsid w:val="008E2348"/>
    <w:rsid w:val="008F1293"/>
    <w:rsid w:val="008F196E"/>
    <w:rsid w:val="008F6D45"/>
    <w:rsid w:val="008F70E5"/>
    <w:rsid w:val="00901687"/>
    <w:rsid w:val="00902EC3"/>
    <w:rsid w:val="00907F68"/>
    <w:rsid w:val="00911408"/>
    <w:rsid w:val="00913161"/>
    <w:rsid w:val="00916AD5"/>
    <w:rsid w:val="00921E09"/>
    <w:rsid w:val="00922944"/>
    <w:rsid w:val="00936479"/>
    <w:rsid w:val="00937A10"/>
    <w:rsid w:val="00953A2C"/>
    <w:rsid w:val="009638D7"/>
    <w:rsid w:val="00964BE9"/>
    <w:rsid w:val="00966115"/>
    <w:rsid w:val="00980CE7"/>
    <w:rsid w:val="009834C0"/>
    <w:rsid w:val="00986AAC"/>
    <w:rsid w:val="00991C00"/>
    <w:rsid w:val="00992F81"/>
    <w:rsid w:val="00995200"/>
    <w:rsid w:val="00995526"/>
    <w:rsid w:val="00996E62"/>
    <w:rsid w:val="009A1DA2"/>
    <w:rsid w:val="009A3704"/>
    <w:rsid w:val="009A4739"/>
    <w:rsid w:val="009A5F8A"/>
    <w:rsid w:val="009A674F"/>
    <w:rsid w:val="009A6D22"/>
    <w:rsid w:val="009B199C"/>
    <w:rsid w:val="009B1BBA"/>
    <w:rsid w:val="009B3AAC"/>
    <w:rsid w:val="009B61F1"/>
    <w:rsid w:val="009B62E0"/>
    <w:rsid w:val="009C3D88"/>
    <w:rsid w:val="009E0D59"/>
    <w:rsid w:val="009E1651"/>
    <w:rsid w:val="009E3858"/>
    <w:rsid w:val="009E467D"/>
    <w:rsid w:val="009E5E60"/>
    <w:rsid w:val="009E70DD"/>
    <w:rsid w:val="009F2ED9"/>
    <w:rsid w:val="009F3231"/>
    <w:rsid w:val="009F5C58"/>
    <w:rsid w:val="00A023A0"/>
    <w:rsid w:val="00A02DAE"/>
    <w:rsid w:val="00A05EBC"/>
    <w:rsid w:val="00A07A37"/>
    <w:rsid w:val="00A131B1"/>
    <w:rsid w:val="00A1562B"/>
    <w:rsid w:val="00A16A58"/>
    <w:rsid w:val="00A170F4"/>
    <w:rsid w:val="00A21408"/>
    <w:rsid w:val="00A2160F"/>
    <w:rsid w:val="00A21CFD"/>
    <w:rsid w:val="00A2459E"/>
    <w:rsid w:val="00A25B78"/>
    <w:rsid w:val="00A353D6"/>
    <w:rsid w:val="00A46288"/>
    <w:rsid w:val="00A46BA8"/>
    <w:rsid w:val="00A47634"/>
    <w:rsid w:val="00A612FE"/>
    <w:rsid w:val="00A70B49"/>
    <w:rsid w:val="00A81244"/>
    <w:rsid w:val="00A82178"/>
    <w:rsid w:val="00A86B09"/>
    <w:rsid w:val="00A92D94"/>
    <w:rsid w:val="00A93051"/>
    <w:rsid w:val="00AA02D8"/>
    <w:rsid w:val="00AA26B8"/>
    <w:rsid w:val="00AB119E"/>
    <w:rsid w:val="00AC0B87"/>
    <w:rsid w:val="00AC2624"/>
    <w:rsid w:val="00AC32A8"/>
    <w:rsid w:val="00AC3686"/>
    <w:rsid w:val="00AD7E4E"/>
    <w:rsid w:val="00AF4D58"/>
    <w:rsid w:val="00AF5A30"/>
    <w:rsid w:val="00AF6666"/>
    <w:rsid w:val="00AF7BC5"/>
    <w:rsid w:val="00B01EFD"/>
    <w:rsid w:val="00B07DB3"/>
    <w:rsid w:val="00B218E5"/>
    <w:rsid w:val="00B32EF7"/>
    <w:rsid w:val="00B42F7A"/>
    <w:rsid w:val="00B46357"/>
    <w:rsid w:val="00B56B28"/>
    <w:rsid w:val="00B65E57"/>
    <w:rsid w:val="00B66649"/>
    <w:rsid w:val="00B73BC0"/>
    <w:rsid w:val="00B81B44"/>
    <w:rsid w:val="00B9053B"/>
    <w:rsid w:val="00BA0C37"/>
    <w:rsid w:val="00BA3782"/>
    <w:rsid w:val="00BA64EA"/>
    <w:rsid w:val="00BB4D98"/>
    <w:rsid w:val="00BB4EBF"/>
    <w:rsid w:val="00BB5890"/>
    <w:rsid w:val="00BB59E0"/>
    <w:rsid w:val="00BC07DF"/>
    <w:rsid w:val="00BC0F3D"/>
    <w:rsid w:val="00BC154A"/>
    <w:rsid w:val="00BC31FA"/>
    <w:rsid w:val="00BC3422"/>
    <w:rsid w:val="00BC454E"/>
    <w:rsid w:val="00BC6E19"/>
    <w:rsid w:val="00BD11C2"/>
    <w:rsid w:val="00BD192A"/>
    <w:rsid w:val="00BD4FE5"/>
    <w:rsid w:val="00BD5018"/>
    <w:rsid w:val="00BD6CE1"/>
    <w:rsid w:val="00BE37DA"/>
    <w:rsid w:val="00BE5ADC"/>
    <w:rsid w:val="00BF4F96"/>
    <w:rsid w:val="00C015B9"/>
    <w:rsid w:val="00C022F9"/>
    <w:rsid w:val="00C02614"/>
    <w:rsid w:val="00C032EA"/>
    <w:rsid w:val="00C06EB5"/>
    <w:rsid w:val="00C1145F"/>
    <w:rsid w:val="00C11CD1"/>
    <w:rsid w:val="00C32D49"/>
    <w:rsid w:val="00C33AD3"/>
    <w:rsid w:val="00C35D53"/>
    <w:rsid w:val="00C4118A"/>
    <w:rsid w:val="00C41B3C"/>
    <w:rsid w:val="00C43F06"/>
    <w:rsid w:val="00C51C01"/>
    <w:rsid w:val="00C54430"/>
    <w:rsid w:val="00C637E1"/>
    <w:rsid w:val="00C67EAC"/>
    <w:rsid w:val="00C7098C"/>
    <w:rsid w:val="00C70D50"/>
    <w:rsid w:val="00C72252"/>
    <w:rsid w:val="00C73CF4"/>
    <w:rsid w:val="00C747E4"/>
    <w:rsid w:val="00C821CE"/>
    <w:rsid w:val="00C907D7"/>
    <w:rsid w:val="00C92338"/>
    <w:rsid w:val="00CA05DC"/>
    <w:rsid w:val="00CA4657"/>
    <w:rsid w:val="00CA7B47"/>
    <w:rsid w:val="00CB02B0"/>
    <w:rsid w:val="00CB3976"/>
    <w:rsid w:val="00CC0347"/>
    <w:rsid w:val="00CD0307"/>
    <w:rsid w:val="00CD31A8"/>
    <w:rsid w:val="00CD333D"/>
    <w:rsid w:val="00CD3C79"/>
    <w:rsid w:val="00CD3D1B"/>
    <w:rsid w:val="00CE134B"/>
    <w:rsid w:val="00CE590E"/>
    <w:rsid w:val="00CE61C3"/>
    <w:rsid w:val="00CE7AB4"/>
    <w:rsid w:val="00D02663"/>
    <w:rsid w:val="00D0282E"/>
    <w:rsid w:val="00D0633E"/>
    <w:rsid w:val="00D1125D"/>
    <w:rsid w:val="00D12E74"/>
    <w:rsid w:val="00D21939"/>
    <w:rsid w:val="00D2312F"/>
    <w:rsid w:val="00D23B04"/>
    <w:rsid w:val="00D269C1"/>
    <w:rsid w:val="00D32023"/>
    <w:rsid w:val="00D41230"/>
    <w:rsid w:val="00D41B2F"/>
    <w:rsid w:val="00D44953"/>
    <w:rsid w:val="00D53357"/>
    <w:rsid w:val="00D542F3"/>
    <w:rsid w:val="00D54513"/>
    <w:rsid w:val="00D54AAE"/>
    <w:rsid w:val="00D5644B"/>
    <w:rsid w:val="00D56E25"/>
    <w:rsid w:val="00D57E89"/>
    <w:rsid w:val="00D63E29"/>
    <w:rsid w:val="00D6560D"/>
    <w:rsid w:val="00D65D77"/>
    <w:rsid w:val="00D718D7"/>
    <w:rsid w:val="00D74D4F"/>
    <w:rsid w:val="00D74EE1"/>
    <w:rsid w:val="00D76AD4"/>
    <w:rsid w:val="00D814B7"/>
    <w:rsid w:val="00D858A3"/>
    <w:rsid w:val="00D85E38"/>
    <w:rsid w:val="00D90688"/>
    <w:rsid w:val="00D923A2"/>
    <w:rsid w:val="00DA3AAD"/>
    <w:rsid w:val="00DA3F36"/>
    <w:rsid w:val="00DB300D"/>
    <w:rsid w:val="00DB312B"/>
    <w:rsid w:val="00DC5654"/>
    <w:rsid w:val="00DC658F"/>
    <w:rsid w:val="00DC674A"/>
    <w:rsid w:val="00DD0FB8"/>
    <w:rsid w:val="00DD51E8"/>
    <w:rsid w:val="00DE1D50"/>
    <w:rsid w:val="00DE45EE"/>
    <w:rsid w:val="00DE60CC"/>
    <w:rsid w:val="00DF4FA1"/>
    <w:rsid w:val="00DF599A"/>
    <w:rsid w:val="00E03D9D"/>
    <w:rsid w:val="00E03F35"/>
    <w:rsid w:val="00E04B1B"/>
    <w:rsid w:val="00E10548"/>
    <w:rsid w:val="00E26B32"/>
    <w:rsid w:val="00E31CD4"/>
    <w:rsid w:val="00E31E60"/>
    <w:rsid w:val="00E33E08"/>
    <w:rsid w:val="00E353C9"/>
    <w:rsid w:val="00E407B6"/>
    <w:rsid w:val="00E41D82"/>
    <w:rsid w:val="00E41EF1"/>
    <w:rsid w:val="00E42942"/>
    <w:rsid w:val="00E47655"/>
    <w:rsid w:val="00E57FD1"/>
    <w:rsid w:val="00E6148E"/>
    <w:rsid w:val="00E65A0A"/>
    <w:rsid w:val="00E716BC"/>
    <w:rsid w:val="00E71BDF"/>
    <w:rsid w:val="00E75CCB"/>
    <w:rsid w:val="00E77031"/>
    <w:rsid w:val="00E8245B"/>
    <w:rsid w:val="00E82C21"/>
    <w:rsid w:val="00E82F59"/>
    <w:rsid w:val="00E83CA7"/>
    <w:rsid w:val="00E92192"/>
    <w:rsid w:val="00E944F7"/>
    <w:rsid w:val="00E95A71"/>
    <w:rsid w:val="00EB3F3F"/>
    <w:rsid w:val="00EB7014"/>
    <w:rsid w:val="00EC5CDE"/>
    <w:rsid w:val="00EC7F2A"/>
    <w:rsid w:val="00ED3077"/>
    <w:rsid w:val="00ED487E"/>
    <w:rsid w:val="00ED64F1"/>
    <w:rsid w:val="00ED6680"/>
    <w:rsid w:val="00ED7061"/>
    <w:rsid w:val="00EE2AB1"/>
    <w:rsid w:val="00EE33A1"/>
    <w:rsid w:val="00EE7A0D"/>
    <w:rsid w:val="00EF299B"/>
    <w:rsid w:val="00F0071E"/>
    <w:rsid w:val="00F01766"/>
    <w:rsid w:val="00F0222C"/>
    <w:rsid w:val="00F06647"/>
    <w:rsid w:val="00F12312"/>
    <w:rsid w:val="00F12BCD"/>
    <w:rsid w:val="00F13239"/>
    <w:rsid w:val="00F132F7"/>
    <w:rsid w:val="00F17CE1"/>
    <w:rsid w:val="00F20B34"/>
    <w:rsid w:val="00F2115C"/>
    <w:rsid w:val="00F22ABA"/>
    <w:rsid w:val="00F25919"/>
    <w:rsid w:val="00F25F4B"/>
    <w:rsid w:val="00F32A69"/>
    <w:rsid w:val="00F36B12"/>
    <w:rsid w:val="00F42921"/>
    <w:rsid w:val="00F451D5"/>
    <w:rsid w:val="00F60F9F"/>
    <w:rsid w:val="00F61246"/>
    <w:rsid w:val="00F63004"/>
    <w:rsid w:val="00F64F08"/>
    <w:rsid w:val="00F70055"/>
    <w:rsid w:val="00F70CC4"/>
    <w:rsid w:val="00F734F5"/>
    <w:rsid w:val="00F73B5B"/>
    <w:rsid w:val="00F778A2"/>
    <w:rsid w:val="00F80A39"/>
    <w:rsid w:val="00F8324D"/>
    <w:rsid w:val="00F8536E"/>
    <w:rsid w:val="00F90EA5"/>
    <w:rsid w:val="00F91F5A"/>
    <w:rsid w:val="00F94905"/>
    <w:rsid w:val="00F966B1"/>
    <w:rsid w:val="00F97D48"/>
    <w:rsid w:val="00FA0311"/>
    <w:rsid w:val="00FA1489"/>
    <w:rsid w:val="00FA380D"/>
    <w:rsid w:val="00FA4991"/>
    <w:rsid w:val="00FB234E"/>
    <w:rsid w:val="00FC6E78"/>
    <w:rsid w:val="00FC7BDB"/>
    <w:rsid w:val="00FD0264"/>
    <w:rsid w:val="00FD50F0"/>
    <w:rsid w:val="00FD640F"/>
    <w:rsid w:val="00FD6B4C"/>
    <w:rsid w:val="00FE04C6"/>
    <w:rsid w:val="00FE0553"/>
    <w:rsid w:val="00FE25D0"/>
    <w:rsid w:val="00FE615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paragraph" w:customStyle="1" w:styleId="Default">
    <w:name w:val="Default"/>
    <w:rsid w:val="003A36FF"/>
    <w:pPr>
      <w:autoSpaceDE w:val="0"/>
      <w:autoSpaceDN w:val="0"/>
      <w:adjustRightInd w:val="0"/>
      <w:spacing w:before="0"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9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FB0D-326E-4A14-A93F-261C76D0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Early intervention palliative and supportive care clinic</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2020-12-18T06:19:00Z</dcterms:created>
  <dcterms:modified xsi:type="dcterms:W3CDTF">2020-12-18T06:19:00Z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2020-12-18T06:19:43Z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94e90bc4-9838-4851-a299-139da1db1386</vt:lpwstr>
  </property>
  <property fmtid="{D5CDD505-2E9C-101B-9397-08002B2CF9AE}" pid="8" name="MSIP_Label_efdf5488-3066-4b6c-8fea-9472b8a1f34c_ContentBits">
    <vt:lpwstr>0</vt:lpwstr>
  </property>
</Properties>
</file>