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6DA86A4C" w:rsidR="00A46288" w:rsidRPr="00DA3F36" w:rsidRDefault="009E3A0F" w:rsidP="007A4444">
      <w:pPr>
        <w:pStyle w:val="Title"/>
      </w:pPr>
      <w:bookmarkStart w:id="0" w:name="_GoBack"/>
      <w:bookmarkEnd w:id="0"/>
      <w:r w:rsidRPr="009E3A0F">
        <w:t xml:space="preserve">USING TELEHEALTH </w:t>
      </w:r>
      <w:r w:rsidR="000C64AD">
        <w:t xml:space="preserve">to increase access to after-hours </w:t>
      </w:r>
      <w:r w:rsidRPr="009E3A0F">
        <w:t xml:space="preserve">MEDICAL </w:t>
      </w:r>
      <w:r w:rsidR="000C64AD">
        <w:t>care</w:t>
      </w:r>
    </w:p>
    <w:p w14:paraId="6800B4C5" w14:textId="6718A4DD" w:rsidR="00897157" w:rsidRDefault="00C12686" w:rsidP="00E03F35">
      <w:pPr>
        <w:pStyle w:val="IntroductoryText"/>
      </w:pPr>
      <w:r>
        <w:t xml:space="preserve">Due to difficulty recruiting </w:t>
      </w:r>
      <w:r w:rsidRPr="009E3A0F">
        <w:t>general practitioners</w:t>
      </w:r>
      <w:r>
        <w:t xml:space="preserve"> to be on</w:t>
      </w:r>
      <w:r w:rsidR="00C34EBD">
        <w:t xml:space="preserve"> </w:t>
      </w:r>
      <w:r>
        <w:t>call to provide emergency care, t</w:t>
      </w:r>
      <w:r w:rsidR="00B03D20">
        <w:t xml:space="preserve">hree </w:t>
      </w:r>
      <w:r>
        <w:t xml:space="preserve">South Gippsland urgent care centres were struggling to meet demand for after-hours medical assistance. </w:t>
      </w:r>
      <w:r w:rsidR="000C64AD">
        <w:t>T</w:t>
      </w:r>
      <w:r>
        <w:t xml:space="preserve">he health services developed </w:t>
      </w:r>
      <w:r w:rsidR="00B12D35">
        <w:t xml:space="preserve">a telehealth model that connected </w:t>
      </w:r>
      <w:r w:rsidR="009F704F">
        <w:t xml:space="preserve">patients at urgent care centres with </w:t>
      </w:r>
      <w:r w:rsidR="00B12D35">
        <w:t xml:space="preserve">medical staff </w:t>
      </w:r>
      <w:r w:rsidR="00606827">
        <w:t xml:space="preserve">at </w:t>
      </w:r>
      <w:r w:rsidR="00B12D35">
        <w:t>a large regional hospital emergency department</w:t>
      </w:r>
      <w:r w:rsidR="000C64AD">
        <w:t xml:space="preserve"> to improve </w:t>
      </w:r>
      <w:r w:rsidR="00EB7321">
        <w:t xml:space="preserve">patient </w:t>
      </w:r>
      <w:r w:rsidR="000C64AD">
        <w:t>access to timely care</w:t>
      </w:r>
      <w:r w:rsidR="00B12D35">
        <w:t xml:space="preserve">.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7F61628B" w14:textId="5C60103A" w:rsidR="003B4290" w:rsidRDefault="00A82046" w:rsidP="00C12686">
      <w:pPr>
        <w:pStyle w:val="Normalfollowingheading"/>
      </w:pPr>
      <w:r>
        <w:t xml:space="preserve">In 2016, </w:t>
      </w:r>
      <w:r w:rsidR="00C12686">
        <w:t xml:space="preserve">four </w:t>
      </w:r>
      <w:r w:rsidR="003B4290">
        <w:t>urgent care centres (UCC</w:t>
      </w:r>
      <w:r w:rsidR="00C12686">
        <w:t>s</w:t>
      </w:r>
      <w:r w:rsidR="003B4290">
        <w:t xml:space="preserve">) </w:t>
      </w:r>
      <w:r w:rsidR="00C12686">
        <w:t xml:space="preserve">operated by </w:t>
      </w:r>
      <w:r>
        <w:t>Gippsland Southern Health Service, South Gippsland Hospital, and Yarram and District Health Service</w:t>
      </w:r>
      <w:r w:rsidR="00C12686">
        <w:t xml:space="preserve"> </w:t>
      </w:r>
      <w:r w:rsidR="006A0758">
        <w:t xml:space="preserve">relied on </w:t>
      </w:r>
      <w:r w:rsidR="00C12686">
        <w:t>general practitioners (GPs) from local medical centre</w:t>
      </w:r>
      <w:r w:rsidR="006A0758">
        <w:t>s</w:t>
      </w:r>
      <w:r w:rsidR="00C12686">
        <w:t xml:space="preserve"> </w:t>
      </w:r>
      <w:r w:rsidR="006A0758">
        <w:t xml:space="preserve">to provide medical consultation and </w:t>
      </w:r>
      <w:r w:rsidR="00C12686">
        <w:t>emergency care to patients</w:t>
      </w:r>
      <w:r w:rsidR="003B4290">
        <w:t xml:space="preserve">. </w:t>
      </w:r>
    </w:p>
    <w:p w14:paraId="02C266F3" w14:textId="41DE6EA9" w:rsidR="00B12D35" w:rsidRDefault="00A06AB8" w:rsidP="00C12686">
      <w:pPr>
        <w:pStyle w:val="Normalfollowingheading"/>
      </w:pPr>
      <w:r>
        <w:t>O</w:t>
      </w:r>
      <w:r w:rsidR="00976453">
        <w:t xml:space="preserve">ver time, it became </w:t>
      </w:r>
      <w:r w:rsidR="00A82046">
        <w:t xml:space="preserve">increasingly difficult to maintain a 24/7 UCC service </w:t>
      </w:r>
      <w:r w:rsidR="00976453">
        <w:t xml:space="preserve">due to the burden it placed on </w:t>
      </w:r>
      <w:r w:rsidR="00A82046">
        <w:t>GPs</w:t>
      </w:r>
      <w:r w:rsidR="00976453">
        <w:t xml:space="preserve"> to constantly be on call</w:t>
      </w:r>
      <w:r w:rsidR="006A0758">
        <w:t xml:space="preserve"> and challenges in recruiting additional GPs</w:t>
      </w:r>
      <w:r w:rsidR="00A82046">
        <w:t xml:space="preserve">. </w:t>
      </w:r>
      <w:r w:rsidR="00246DA4" w:rsidRPr="00246DA4">
        <w:t xml:space="preserve">Nursing staff </w:t>
      </w:r>
      <w:r w:rsidR="00246DA4">
        <w:t xml:space="preserve">were </w:t>
      </w:r>
      <w:r w:rsidR="00246DA4" w:rsidRPr="00246DA4">
        <w:t>also impacted</w:t>
      </w:r>
      <w:r w:rsidR="00976453">
        <w:t xml:space="preserve"> because if a </w:t>
      </w:r>
      <w:r w:rsidR="00246DA4" w:rsidRPr="00246DA4">
        <w:t xml:space="preserve">GP </w:t>
      </w:r>
      <w:r w:rsidR="00976453">
        <w:t xml:space="preserve">was </w:t>
      </w:r>
      <w:r w:rsidR="00246DA4" w:rsidRPr="00246DA4">
        <w:t>not available after hours</w:t>
      </w:r>
      <w:r w:rsidR="00976453">
        <w:t xml:space="preserve">, they would need to care for the </w:t>
      </w:r>
      <w:r w:rsidR="00246DA4" w:rsidRPr="00246DA4">
        <w:t xml:space="preserve">patient until alternative management </w:t>
      </w:r>
      <w:r w:rsidR="00976453">
        <w:t xml:space="preserve">could </w:t>
      </w:r>
      <w:r w:rsidR="00246DA4" w:rsidRPr="00246DA4">
        <w:t>be arranged.</w:t>
      </w:r>
      <w:r w:rsidR="00A82046">
        <w:t xml:space="preserve"> </w:t>
      </w:r>
    </w:p>
    <w:p w14:paraId="2AD7A6BF" w14:textId="52AA75A5" w:rsidR="00976453" w:rsidRDefault="006A0758" w:rsidP="00C12686">
      <w:pPr>
        <w:pStyle w:val="Normalfollowingheading"/>
      </w:pPr>
      <w:r>
        <w:t xml:space="preserve">Without </w:t>
      </w:r>
      <w:proofErr w:type="gramStart"/>
      <w:r>
        <w:t>sufficient</w:t>
      </w:r>
      <w:proofErr w:type="gramEnd"/>
      <w:r>
        <w:t xml:space="preserve"> medical staff to provide consistent overnight consultation, </w:t>
      </w:r>
      <w:r w:rsidR="00976453" w:rsidRPr="00246DA4">
        <w:t xml:space="preserve">the health services </w:t>
      </w:r>
      <w:r>
        <w:t xml:space="preserve">were unable </w:t>
      </w:r>
      <w:r w:rsidR="00976453" w:rsidRPr="00246DA4">
        <w:t>to meet community demand for after</w:t>
      </w:r>
      <w:r w:rsidR="00976453">
        <w:t>-</w:t>
      </w:r>
      <w:r w:rsidR="00976453" w:rsidRPr="00246DA4">
        <w:t>hours medical care.</w:t>
      </w:r>
      <w:r w:rsidR="00976453">
        <w:t xml:space="preserve"> This meant patients had to leave the local community to seek care or wait until the GP clinic opened the next day </w:t>
      </w:r>
      <w:r>
        <w:t xml:space="preserve">to be assessed and receive </w:t>
      </w:r>
      <w:r w:rsidR="00976453">
        <w:t>treatment. Depending on their health concern, this delay could lead to negative outcomes for patient</w:t>
      </w:r>
      <w:r>
        <w:t>s</w:t>
      </w:r>
      <w:r w:rsidR="00976453">
        <w:t>.</w:t>
      </w:r>
    </w:p>
    <w:p w14:paraId="17AC57C9" w14:textId="5312D3B1" w:rsidR="00E41D82" w:rsidRDefault="00976453" w:rsidP="00C12686">
      <w:pPr>
        <w:pStyle w:val="Normalfollowingheading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t xml:space="preserve">The Gippsland region telehealth project </w:t>
      </w:r>
      <w:r w:rsidR="00C844AE">
        <w:t xml:space="preserve">aimed </w:t>
      </w:r>
      <w:r w:rsidR="00C844AE" w:rsidRPr="00C844AE">
        <w:t xml:space="preserve">to develop an after-hours telehealth service with </w:t>
      </w:r>
      <w:r w:rsidR="00BD17AD">
        <w:t xml:space="preserve">the Latrobe Regional Hospital (LRH) </w:t>
      </w:r>
      <w:r w:rsidR="00C844AE" w:rsidRPr="00C844AE">
        <w:t>emergency department</w:t>
      </w:r>
      <w:r w:rsidR="001C0840">
        <w:t xml:space="preserve"> (ED)</w:t>
      </w:r>
      <w:r>
        <w:t xml:space="preserve"> to enable </w:t>
      </w:r>
      <w:r w:rsidR="00C844AE" w:rsidRPr="00C844AE">
        <w:t>24</w:t>
      </w:r>
      <w:r>
        <w:t>-</w:t>
      </w:r>
      <w:r w:rsidR="00C844AE" w:rsidRPr="00C844AE">
        <w:t xml:space="preserve">hour access to </w:t>
      </w:r>
      <w:r>
        <w:t>UCC services in S</w:t>
      </w:r>
      <w:r w:rsidR="00C844AE" w:rsidRPr="00C844AE">
        <w:t>outh Gippsland</w:t>
      </w:r>
      <w:r>
        <w:t xml:space="preserve">, </w:t>
      </w:r>
      <w:r w:rsidR="00ED6461">
        <w:t xml:space="preserve">providing the local community with timely and convenient </w:t>
      </w:r>
      <w:r>
        <w:t xml:space="preserve">access to </w:t>
      </w:r>
      <w:r w:rsidR="00ED6461">
        <w:t>medical care</w:t>
      </w:r>
      <w:r w:rsidR="00C844AE" w:rsidRPr="00C844AE">
        <w:t>.</w:t>
      </w:r>
      <w:r w:rsidR="00A2160F">
        <w:br w:type="column"/>
      </w:r>
      <w:r w:rsidR="00C7098C"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781D7E66">
                <wp:extent cx="3230245" cy="360997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60997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35757D61" w:rsidR="00C7098C" w:rsidRPr="004D6898" w:rsidRDefault="00721792" w:rsidP="00C7098C">
                            <w:pPr>
                              <w:pStyle w:val="PulloutHeading"/>
                            </w:pPr>
                            <w:r w:rsidRPr="00721792">
                              <w:t xml:space="preserve">Gippsland </w:t>
                            </w:r>
                            <w:r>
                              <w:t>r</w:t>
                            </w:r>
                            <w:r w:rsidRPr="00721792">
                              <w:t xml:space="preserve">egion </w:t>
                            </w:r>
                            <w:r>
                              <w:t>t</w:t>
                            </w:r>
                            <w:r w:rsidRPr="00721792">
                              <w:t>elehealth</w:t>
                            </w:r>
                          </w:p>
                          <w:p w14:paraId="3BCE2E88" w14:textId="57EE3C3B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721792" w:rsidRPr="00721792">
                              <w:t>Gippsland Southern Health Service</w:t>
                            </w:r>
                          </w:p>
                          <w:p w14:paraId="6FDBE315" w14:textId="5C9577F8" w:rsidR="00C7098C" w:rsidRPr="00721792" w:rsidRDefault="00C7098C" w:rsidP="00721792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721792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r w:rsidR="00721792" w:rsidRPr="00721792">
                              <w:t>Latrobe Regional Hospital</w:t>
                            </w:r>
                            <w:r w:rsidR="00721792">
                              <w:t xml:space="preserve">, </w:t>
                            </w:r>
                            <w:r w:rsidR="00721792" w:rsidRPr="00721792">
                              <w:t>South Gippsland Hospital</w:t>
                            </w:r>
                            <w:r w:rsidR="00721792">
                              <w:t xml:space="preserve">, </w:t>
                            </w:r>
                            <w:r w:rsidR="00721792" w:rsidRPr="00721792">
                              <w:t xml:space="preserve">Yarram and District Health Service </w:t>
                            </w:r>
                          </w:p>
                          <w:p w14:paraId="59A54D14" w14:textId="0C0D8FD3" w:rsidR="00C7098C" w:rsidRPr="00721792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72179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21792">
                              <w:t>October 2016 – January 2018</w:t>
                            </w:r>
                          </w:p>
                          <w:p w14:paraId="29DC0549" w14:textId="4413446F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449E6AC0" w14:textId="7FEC0BCE" w:rsidR="009B14B7" w:rsidRDefault="00700659" w:rsidP="00C64DE7">
                            <w:pPr>
                              <w:pStyle w:val="Bullet1"/>
                            </w:pPr>
                            <w:r>
                              <w:t xml:space="preserve">Facilitated after-hours </w:t>
                            </w:r>
                            <w:r w:rsidR="009B14B7">
                              <w:t xml:space="preserve">medical </w:t>
                            </w:r>
                            <w:r w:rsidR="00C64DE7">
                              <w:t xml:space="preserve">consultations with an ED doctor </w:t>
                            </w:r>
                            <w:r w:rsidR="009B14B7">
                              <w:t xml:space="preserve">for 21 semi-urgent and non-urgent patients </w:t>
                            </w:r>
                          </w:p>
                          <w:p w14:paraId="0C720E1C" w14:textId="59381B33" w:rsidR="009B14B7" w:rsidRDefault="00C64DE7" w:rsidP="009B14B7">
                            <w:pPr>
                              <w:pStyle w:val="Bullet1"/>
                            </w:pPr>
                            <w:r>
                              <w:t>H</w:t>
                            </w:r>
                            <w:r w:rsidR="009B14B7">
                              <w:t>elped to deliver timely after-hours care, with half of telehealth consultations taking place within 20 minutes of referral</w:t>
                            </w:r>
                          </w:p>
                          <w:p w14:paraId="6162DBDC" w14:textId="32FAA19D" w:rsidR="009B14B7" w:rsidRDefault="00C64DE7" w:rsidP="009B14B7">
                            <w:pPr>
                              <w:pStyle w:val="Bullet1"/>
                            </w:pPr>
                            <w:r>
                              <w:t>R</w:t>
                            </w:r>
                            <w:r w:rsidR="009B14B7">
                              <w:t>educed travel for patients</w:t>
                            </w:r>
                          </w:p>
                          <w:p w14:paraId="4563F846" w14:textId="4ABC240F" w:rsidR="00C844AE" w:rsidRPr="00911408" w:rsidRDefault="00C64DE7" w:rsidP="009B14B7">
                            <w:pPr>
                              <w:pStyle w:val="Bullet1"/>
                            </w:pPr>
                            <w:r>
                              <w:t>R</w:t>
                            </w:r>
                            <w:r w:rsidR="009B14B7">
                              <w:t xml:space="preserve">educed </w:t>
                            </w:r>
                            <w:r w:rsidR="00700659">
                              <w:t xml:space="preserve">the </w:t>
                            </w:r>
                            <w:r w:rsidR="009B14B7">
                              <w:t>workload for local medical practitioners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" fillcolor="#feead2" strokecolor="#feead2" strokeweight=".5pt">
                <v:textbox inset="5mm,5mm,4mm,1mm">
                  <w:txbxContent>
                    <w:p w14:paraId="14988FB7" w14:textId="35757D61" w:rsidR="00C7098C" w:rsidRPr="004D6898" w:rsidRDefault="00721792" w:rsidP="00C7098C">
                      <w:pPr>
                        <w:pStyle w:val="PulloutHeading"/>
                      </w:pPr>
                      <w:r w:rsidRPr="00721792">
                        <w:t xml:space="preserve">Gippsland </w:t>
                      </w:r>
                      <w:r>
                        <w:t>r</w:t>
                      </w:r>
                      <w:r w:rsidRPr="00721792">
                        <w:t xml:space="preserve">egion </w:t>
                      </w:r>
                      <w:r>
                        <w:t>t</w:t>
                      </w:r>
                      <w:r w:rsidRPr="00721792">
                        <w:t>elehealth</w:t>
                      </w:r>
                    </w:p>
                    <w:p w14:paraId="3BCE2E88" w14:textId="57EE3C3B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721792" w:rsidRPr="00721792">
                        <w:t>Gippsland Southern Health Service</w:t>
                      </w:r>
                    </w:p>
                    <w:p w14:paraId="6FDBE315" w14:textId="5C9577F8" w:rsidR="00C7098C" w:rsidRPr="00721792" w:rsidRDefault="00C7098C" w:rsidP="00721792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721792">
                        <w:rPr>
                          <w:b/>
                          <w:bCs/>
                        </w:rPr>
                        <w:t xml:space="preserve">s </w:t>
                      </w:r>
                      <w:r w:rsidR="00721792" w:rsidRPr="00721792">
                        <w:t>Latrobe Regional Hospital</w:t>
                      </w:r>
                      <w:r w:rsidR="00721792">
                        <w:t xml:space="preserve">, </w:t>
                      </w:r>
                      <w:r w:rsidR="00721792" w:rsidRPr="00721792">
                        <w:t>South Gippsland Hospital</w:t>
                      </w:r>
                      <w:r w:rsidR="00721792">
                        <w:t xml:space="preserve">, </w:t>
                      </w:r>
                      <w:r w:rsidR="00721792" w:rsidRPr="00721792">
                        <w:t xml:space="preserve">Yarram and District Health Service </w:t>
                      </w:r>
                    </w:p>
                    <w:p w14:paraId="59A54D14" w14:textId="0C0D8FD3" w:rsidR="00C7098C" w:rsidRPr="00721792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721792">
                        <w:rPr>
                          <w:b/>
                          <w:bCs/>
                        </w:rPr>
                        <w:t xml:space="preserve"> </w:t>
                      </w:r>
                      <w:r w:rsidR="00721792">
                        <w:t>October 2016 – January 2018</w:t>
                      </w:r>
                    </w:p>
                    <w:p w14:paraId="29DC0549" w14:textId="4413446F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449E6AC0" w14:textId="7FEC0BCE" w:rsidR="009B14B7" w:rsidRDefault="00700659" w:rsidP="00C64DE7">
                      <w:pPr>
                        <w:pStyle w:val="Bullet1"/>
                      </w:pPr>
                      <w:r>
                        <w:t xml:space="preserve">Facilitated after-hours </w:t>
                      </w:r>
                      <w:r w:rsidR="009B14B7">
                        <w:t xml:space="preserve">medical </w:t>
                      </w:r>
                      <w:r w:rsidR="00C64DE7">
                        <w:t xml:space="preserve">consultations with an ED doctor </w:t>
                      </w:r>
                      <w:r w:rsidR="009B14B7">
                        <w:t xml:space="preserve">for 21 semi-urgent and non-urgent patients </w:t>
                      </w:r>
                    </w:p>
                    <w:p w14:paraId="0C720E1C" w14:textId="59381B33" w:rsidR="009B14B7" w:rsidRDefault="00C64DE7" w:rsidP="009B14B7">
                      <w:pPr>
                        <w:pStyle w:val="Bullet1"/>
                      </w:pPr>
                      <w:r>
                        <w:t>H</w:t>
                      </w:r>
                      <w:r w:rsidR="009B14B7">
                        <w:t>elped to deliver timely after-hours care, with half of telehealth consultations taking place within 20 minutes of referral</w:t>
                      </w:r>
                    </w:p>
                    <w:p w14:paraId="6162DBDC" w14:textId="32FAA19D" w:rsidR="009B14B7" w:rsidRDefault="00C64DE7" w:rsidP="009B14B7">
                      <w:pPr>
                        <w:pStyle w:val="Bullet1"/>
                      </w:pPr>
                      <w:r>
                        <w:t>R</w:t>
                      </w:r>
                      <w:r w:rsidR="009B14B7">
                        <w:t>educed travel for patients</w:t>
                      </w:r>
                    </w:p>
                    <w:p w14:paraId="4563F846" w14:textId="4ABC240F" w:rsidR="00C844AE" w:rsidRPr="00911408" w:rsidRDefault="00C64DE7" w:rsidP="009B14B7">
                      <w:pPr>
                        <w:pStyle w:val="Bullet1"/>
                      </w:pPr>
                      <w:r>
                        <w:t>R</w:t>
                      </w:r>
                      <w:r w:rsidR="009B14B7">
                        <w:t xml:space="preserve">educed </w:t>
                      </w:r>
                      <w:r w:rsidR="00700659">
                        <w:t xml:space="preserve">the </w:t>
                      </w:r>
                      <w:r w:rsidR="009B14B7">
                        <w:t>workload for local medical practitioners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2BEA2CF1" w:rsidR="00794CB7" w:rsidRDefault="006512FE" w:rsidP="004A4ED0">
      <w:pPr>
        <w:pStyle w:val="Heading2"/>
      </w:pPr>
      <w:r>
        <w:lastRenderedPageBreak/>
        <w:t>Key activity</w:t>
      </w:r>
    </w:p>
    <w:p w14:paraId="54639441" w14:textId="503AA5FD" w:rsidR="000F358E" w:rsidRDefault="000F358E" w:rsidP="000F358E">
      <w:pPr>
        <w:pStyle w:val="Bullet1"/>
      </w:pPr>
      <w:r>
        <w:t xml:space="preserve">The project team reviewed telehealth </w:t>
      </w:r>
      <w:r w:rsidR="00462EF9">
        <w:t xml:space="preserve">services that had been successfully established </w:t>
      </w:r>
      <w:r>
        <w:t>in other areas of the state</w:t>
      </w:r>
      <w:r w:rsidR="005D4539">
        <w:t xml:space="preserve"> to inform the new model of care</w:t>
      </w:r>
      <w:r>
        <w:t xml:space="preserve">. </w:t>
      </w:r>
    </w:p>
    <w:p w14:paraId="6D7DBFEA" w14:textId="09BE8CAB" w:rsidR="009D5B5C" w:rsidRDefault="009D5B5C" w:rsidP="000F358E">
      <w:pPr>
        <w:pStyle w:val="Bullet1"/>
      </w:pPr>
      <w:r>
        <w:t xml:space="preserve">Research was conducted </w:t>
      </w:r>
      <w:r w:rsidR="005D4539">
        <w:t xml:space="preserve">to identify </w:t>
      </w:r>
      <w:r w:rsidR="000C64AD">
        <w:t xml:space="preserve">and procure </w:t>
      </w:r>
      <w:r w:rsidR="00462EF9">
        <w:t xml:space="preserve">video conferencing </w:t>
      </w:r>
      <w:r w:rsidR="005D4539">
        <w:t>telehealth</w:t>
      </w:r>
      <w:r>
        <w:t xml:space="preserve"> equipment</w:t>
      </w:r>
      <w:r w:rsidR="005D4539">
        <w:t xml:space="preserve"> appropriate for the model</w:t>
      </w:r>
      <w:r>
        <w:t>.</w:t>
      </w:r>
    </w:p>
    <w:p w14:paraId="7F52C142" w14:textId="37E3593D" w:rsidR="000F358E" w:rsidRDefault="00BD17AD" w:rsidP="000F358E">
      <w:pPr>
        <w:pStyle w:val="Bullet1"/>
      </w:pPr>
      <w:r>
        <w:t>S</w:t>
      </w:r>
      <w:r w:rsidR="000F358E">
        <w:t xml:space="preserve">enior medical </w:t>
      </w:r>
      <w:r>
        <w:t xml:space="preserve">and </w:t>
      </w:r>
      <w:r w:rsidR="000F358E">
        <w:t xml:space="preserve">nursing staff </w:t>
      </w:r>
      <w:r>
        <w:t xml:space="preserve">were engaged to </w:t>
      </w:r>
      <w:r w:rsidR="000F358E">
        <w:t xml:space="preserve">co-design </w:t>
      </w:r>
      <w:r>
        <w:t xml:space="preserve">a </w:t>
      </w:r>
      <w:r w:rsidR="000F358E">
        <w:t>staff education package</w:t>
      </w:r>
      <w:r>
        <w:t>.</w:t>
      </w:r>
    </w:p>
    <w:p w14:paraId="2969C749" w14:textId="00491890" w:rsidR="00BD17AD" w:rsidRDefault="00BD17AD" w:rsidP="001C0840">
      <w:pPr>
        <w:pStyle w:val="Bullet1"/>
      </w:pPr>
      <w:r>
        <w:t xml:space="preserve">Three </w:t>
      </w:r>
      <w:r w:rsidR="000F358E">
        <w:t>clinician education workshops</w:t>
      </w:r>
      <w:r>
        <w:t xml:space="preserve"> were delivered to </w:t>
      </w:r>
      <w:r w:rsidR="00462EF9">
        <w:t xml:space="preserve">train staff on the </w:t>
      </w:r>
      <w:r w:rsidR="000C64AD">
        <w:t>new service model</w:t>
      </w:r>
      <w:r>
        <w:t xml:space="preserve">. </w:t>
      </w:r>
    </w:p>
    <w:p w14:paraId="0C54E2E5" w14:textId="1DA988E8" w:rsidR="00BD17AD" w:rsidRDefault="000C64AD" w:rsidP="00927F60">
      <w:pPr>
        <w:pStyle w:val="Heading3"/>
      </w:pPr>
      <w:r>
        <w:t>Telehealth m</w:t>
      </w:r>
      <w:r w:rsidR="00927F60">
        <w:t>odel of care</w:t>
      </w:r>
    </w:p>
    <w:p w14:paraId="15C8D7CD" w14:textId="63443520" w:rsidR="00BA6A3B" w:rsidRDefault="00927F60" w:rsidP="001C0840">
      <w:pPr>
        <w:pStyle w:val="Bullet1"/>
      </w:pPr>
      <w:r>
        <w:t xml:space="preserve">The </w:t>
      </w:r>
      <w:r w:rsidR="00462EF9">
        <w:t xml:space="preserve">new </w:t>
      </w:r>
      <w:r>
        <w:t xml:space="preserve">model of care involved a </w:t>
      </w:r>
      <w:r w:rsidR="001C0840">
        <w:t xml:space="preserve">hub and spoke </w:t>
      </w:r>
      <w:r>
        <w:t>design</w:t>
      </w:r>
      <w:r w:rsidR="001C0840">
        <w:t xml:space="preserve">, with the </w:t>
      </w:r>
      <w:r w:rsidR="00BA6A3B">
        <w:t>LRH</w:t>
      </w:r>
      <w:r w:rsidR="001C0840">
        <w:t xml:space="preserve"> ED acting as the central ‘hub’ providing advice and support via telehealth to the four UCC ‘spokes’ in Foster, Leongatha, Korumburra and Yarram</w:t>
      </w:r>
      <w:r w:rsidR="00BA6A3B">
        <w:t>.</w:t>
      </w:r>
    </w:p>
    <w:p w14:paraId="1E74FE7B" w14:textId="5F241B1B" w:rsidR="001C0840" w:rsidRDefault="001C0840" w:rsidP="00BA6A3B">
      <w:pPr>
        <w:pStyle w:val="Bullet1"/>
      </w:pPr>
      <w:r>
        <w:t xml:space="preserve">The telehealth model focussed on semi-urgent </w:t>
      </w:r>
      <w:r w:rsidR="00B23992">
        <w:t xml:space="preserve">(triage category 4) </w:t>
      </w:r>
      <w:r>
        <w:t>and non-urgent</w:t>
      </w:r>
      <w:r w:rsidR="00B23992">
        <w:t xml:space="preserve"> (triage category 5</w:t>
      </w:r>
      <w:r w:rsidR="00927F60">
        <w:t xml:space="preserve">) patients </w:t>
      </w:r>
      <w:r>
        <w:t xml:space="preserve">who presented between </w:t>
      </w:r>
      <w:r w:rsidRPr="001C0840">
        <w:t>9pm and 7am</w:t>
      </w:r>
      <w:r>
        <w:t xml:space="preserve"> to one of the four UCCs. </w:t>
      </w:r>
    </w:p>
    <w:p w14:paraId="51CAEFB8" w14:textId="0730B999" w:rsidR="00BA6A3B" w:rsidRDefault="001C0840" w:rsidP="00BA6A3B">
      <w:pPr>
        <w:pStyle w:val="Bullet1"/>
      </w:pPr>
      <w:r>
        <w:t xml:space="preserve">These patients </w:t>
      </w:r>
      <w:r w:rsidR="00927F60">
        <w:t xml:space="preserve">had access to </w:t>
      </w:r>
      <w:r>
        <w:t xml:space="preserve">a medical consultation with a doctor rostered on at the </w:t>
      </w:r>
      <w:r w:rsidRPr="001C0840">
        <w:t xml:space="preserve">LRH </w:t>
      </w:r>
      <w:r>
        <w:t xml:space="preserve">ED via telehealth. </w:t>
      </w:r>
    </w:p>
    <w:p w14:paraId="734CCD70" w14:textId="217BA564" w:rsidR="00B23992" w:rsidRPr="00BA6A3B" w:rsidRDefault="00B23992" w:rsidP="00BA6A3B">
      <w:pPr>
        <w:pStyle w:val="Bullet1"/>
      </w:pPr>
      <w:r>
        <w:t>Patients with more urgent needs (triage categories 1–3) continued to be seen under the on-call rostered GP model.</w:t>
      </w:r>
    </w:p>
    <w:p w14:paraId="4DCFB341" w14:textId="3CC54831" w:rsidR="002B5C34" w:rsidRDefault="00435805" w:rsidP="009E3A0F">
      <w:pPr>
        <w:pStyle w:val="Heading2"/>
      </w:pPr>
      <w:r>
        <w:t>O</w:t>
      </w:r>
      <w:r w:rsidR="009B1BBA" w:rsidRPr="00F80A39">
        <w:t>utcomes</w:t>
      </w:r>
    </w:p>
    <w:p w14:paraId="6CE48CAC" w14:textId="6837D070" w:rsidR="00FC46DC" w:rsidRDefault="00154FF5" w:rsidP="00154FF5">
      <w:pPr>
        <w:pStyle w:val="Bullet1"/>
      </w:pPr>
      <w:r>
        <w:t>From mid-May until October 2017, 21 requests for after-hours telehealth medical consultations were received from the four UCCs</w:t>
      </w:r>
      <w:r w:rsidR="000C64AD">
        <w:t xml:space="preserve">, with the </w:t>
      </w:r>
      <w:r w:rsidR="00E01D46">
        <w:t>majority (86</w:t>
      </w:r>
      <w:r w:rsidR="000C64AD">
        <w:t> </w:t>
      </w:r>
      <w:r w:rsidR="00E01D46">
        <w:t xml:space="preserve">per cent) of referrals </w:t>
      </w:r>
      <w:r w:rsidR="000C64AD">
        <w:t xml:space="preserve">being </w:t>
      </w:r>
      <w:r w:rsidR="00E01D46">
        <w:t>for triage category 4 presentations.</w:t>
      </w:r>
    </w:p>
    <w:p w14:paraId="7343828C" w14:textId="1552B312" w:rsidR="00E01D46" w:rsidRDefault="00FC46DC" w:rsidP="00154FF5">
      <w:pPr>
        <w:pStyle w:val="Bullet1"/>
      </w:pPr>
      <w:r>
        <w:t>Most of the telehealth consultations resulted in patients being referred to their GP for follow up</w:t>
      </w:r>
      <w:r w:rsidR="00240C22">
        <w:t xml:space="preserve"> (see Figure 1)</w:t>
      </w:r>
      <w:r>
        <w:t xml:space="preserve">. </w:t>
      </w:r>
      <w:r w:rsidR="00B81FD7">
        <w:t xml:space="preserve">Only one led to an inter-hospital transfer. </w:t>
      </w:r>
      <w:r w:rsidR="00687C97">
        <w:t>Another referral led to a patient being admitted to a ward of the hospital where the UCC was located</w:t>
      </w:r>
      <w:r w:rsidR="00240C22">
        <w:t>. T</w:t>
      </w:r>
      <w:r w:rsidR="00687C97">
        <w:t>wo patients were discharged home</w:t>
      </w:r>
      <w:r w:rsidR="00240C22">
        <w:t xml:space="preserve"> and three patients left the UCC before the telehealth medical consultation occurred</w:t>
      </w:r>
      <w:r w:rsidR="00687C97">
        <w:t xml:space="preserve">. </w:t>
      </w:r>
      <w:r w:rsidR="00E01D46">
        <w:t xml:space="preserve"> </w:t>
      </w:r>
    </w:p>
    <w:p w14:paraId="25D2B3BC" w14:textId="77777777" w:rsidR="009B14B7" w:rsidRDefault="009B14B7" w:rsidP="009B14B7">
      <w:pPr>
        <w:pStyle w:val="Tablechartdiagramheading"/>
      </w:pPr>
      <w:r>
        <w:br w:type="column"/>
      </w:r>
      <w:r>
        <w:t>Figure 1. Outcome of telehealth consultation referrals</w:t>
      </w:r>
    </w:p>
    <w:p w14:paraId="1F45FEC1" w14:textId="77777777" w:rsidR="009B14B7" w:rsidRPr="009E3A0F" w:rsidRDefault="009B14B7" w:rsidP="009B14B7">
      <w:pPr>
        <w:pStyle w:val="Bullet1"/>
        <w:numPr>
          <w:ilvl w:val="0"/>
          <w:numId w:val="0"/>
        </w:numPr>
      </w:pPr>
      <w:r>
        <w:rPr>
          <w:rFonts w:ascii="Arial" w:hAnsi="Arial" w:cs="Arial"/>
          <w:noProof/>
          <w:color w:val="0076BE"/>
          <w:sz w:val="28"/>
          <w:szCs w:val="28"/>
        </w:rPr>
        <w:drawing>
          <wp:inline distT="0" distB="0" distL="0" distR="0" wp14:anchorId="62D54958" wp14:editId="77C21FE8">
            <wp:extent cx="3171825" cy="2971800"/>
            <wp:effectExtent l="0" t="0" r="0" b="0"/>
            <wp:docPr id="42" name="Chart 42" descr="A chart showing that 67% of referrals were referred to a GP, 14% left without consultation, 9% were discharged home, 5% were transferred to a ward  at a UCC setting, and 5% were transferred to another hospi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7DA336" w14:textId="3864B7B0" w:rsidR="006434FA" w:rsidRDefault="006434FA" w:rsidP="00154FF5">
      <w:pPr>
        <w:pStyle w:val="Bullet1"/>
      </w:pPr>
      <w:r>
        <w:t xml:space="preserve">The entire process from referral to completion of an </w:t>
      </w:r>
      <w:r w:rsidR="00861282" w:rsidRPr="00861282">
        <w:t xml:space="preserve">after-hours telehealth medical </w:t>
      </w:r>
      <w:r w:rsidR="00EA1132">
        <w:t>consultation</w:t>
      </w:r>
      <w:r>
        <w:t xml:space="preserve"> could </w:t>
      </w:r>
      <w:r w:rsidR="00EA1132">
        <w:t xml:space="preserve">range in duration from </w:t>
      </w:r>
      <w:r w:rsidR="00861282" w:rsidRPr="00861282">
        <w:t>15</w:t>
      </w:r>
      <w:r w:rsidR="00EA1132">
        <w:t>–</w:t>
      </w:r>
      <w:r w:rsidR="00861282" w:rsidRPr="00861282">
        <w:t>130 minutes</w:t>
      </w:r>
      <w:r>
        <w:t xml:space="preserve"> but was usually over within in 35 minutes</w:t>
      </w:r>
      <w:r w:rsidR="00EA1132">
        <w:t xml:space="preserve">. Half </w:t>
      </w:r>
      <w:r w:rsidR="00861282" w:rsidRPr="00861282">
        <w:t xml:space="preserve">of the telehealth consultations </w:t>
      </w:r>
      <w:r w:rsidR="00EA1132">
        <w:t xml:space="preserve">started within </w:t>
      </w:r>
      <w:r w:rsidR="00861282" w:rsidRPr="00861282">
        <w:t xml:space="preserve">20 minutes </w:t>
      </w:r>
      <w:r w:rsidR="00EA1132">
        <w:t>of referral</w:t>
      </w:r>
      <w:r w:rsidR="000C64AD">
        <w:t xml:space="preserve">, with 65 minutes being the longest a </w:t>
      </w:r>
      <w:r w:rsidR="00861282" w:rsidRPr="00861282">
        <w:t xml:space="preserve">patient </w:t>
      </w:r>
      <w:r w:rsidR="000C64AD">
        <w:t xml:space="preserve">waited. </w:t>
      </w:r>
      <w:r>
        <w:t xml:space="preserve">The medical consultation itself </w:t>
      </w:r>
      <w:r w:rsidR="005F45C7">
        <w:t xml:space="preserve">usually lasted 15 minutes or less, however one consultation </w:t>
      </w:r>
      <w:r w:rsidR="000C64AD">
        <w:t xml:space="preserve">took </w:t>
      </w:r>
      <w:r w:rsidR="005F45C7">
        <w:t>90 minutes</w:t>
      </w:r>
      <w:r w:rsidR="000C64AD">
        <w:t xml:space="preserve"> to complete</w:t>
      </w:r>
      <w:r>
        <w:t>.</w:t>
      </w:r>
    </w:p>
    <w:p w14:paraId="435C6299" w14:textId="036F8C59" w:rsidR="009B14B7" w:rsidRDefault="000A7A31" w:rsidP="00872F0A">
      <w:pPr>
        <w:pStyle w:val="Bullet1"/>
      </w:pPr>
      <w:r>
        <w:t>O</w:t>
      </w:r>
      <w:r w:rsidR="009B14B7">
        <w:t xml:space="preserve">nly one of the UCC patients interviewed had participated in an after-hours </w:t>
      </w:r>
      <w:r>
        <w:t xml:space="preserve">telehealth </w:t>
      </w:r>
      <w:r w:rsidR="009B14B7">
        <w:t>consultation,</w:t>
      </w:r>
      <w:r>
        <w:t xml:space="preserve"> however, they </w:t>
      </w:r>
      <w:r w:rsidR="009B14B7">
        <w:t xml:space="preserve">spoke positively of the </w:t>
      </w:r>
      <w:r>
        <w:t xml:space="preserve">new </w:t>
      </w:r>
      <w:r w:rsidR="009B14B7">
        <w:t xml:space="preserve">service, describing the care provided as timely, comprehensive, and of great benefit. </w:t>
      </w:r>
    </w:p>
    <w:p w14:paraId="35AD6B00" w14:textId="44E66D51" w:rsidR="00A01FCB" w:rsidRDefault="00A01FCB" w:rsidP="00872F0A">
      <w:pPr>
        <w:pStyle w:val="Bullet1"/>
      </w:pPr>
      <w:r>
        <w:t xml:space="preserve">Training provided as part of the project increased the confidence and competence of triage nurses in managing triage category 4 and 5 patients. At the start of the project, only 20 per cent of these patients were managed solely by the triage nurse. </w:t>
      </w:r>
      <w:r w:rsidR="00AC13F3">
        <w:t>O</w:t>
      </w:r>
      <w:r>
        <w:t>ver the course of the project, this increased to 37 per cent</w:t>
      </w:r>
      <w:r w:rsidR="00C4176E">
        <w:t>.</w:t>
      </w:r>
      <w:r>
        <w:t xml:space="preserve"> </w:t>
      </w:r>
    </w:p>
    <w:p w14:paraId="19F44273" w14:textId="7ED11517" w:rsidR="00872F0A" w:rsidRDefault="00AC13F3" w:rsidP="00872F0A">
      <w:pPr>
        <w:pStyle w:val="Bullet1"/>
      </w:pPr>
      <w:r>
        <w:t xml:space="preserve">Other </w:t>
      </w:r>
      <w:r w:rsidR="00872F0A">
        <w:t xml:space="preserve">long-term benefits of the model </w:t>
      </w:r>
      <w:r w:rsidR="00345543">
        <w:t>include</w:t>
      </w:r>
      <w:r>
        <w:t>d</w:t>
      </w:r>
      <w:r w:rsidR="00872F0A">
        <w:t>:</w:t>
      </w:r>
    </w:p>
    <w:p w14:paraId="73D3F886" w14:textId="77777777" w:rsidR="00872F0A" w:rsidRDefault="00872F0A" w:rsidP="00872F0A">
      <w:pPr>
        <w:pStyle w:val="Bullet2"/>
      </w:pPr>
      <w:r w:rsidRPr="00872F0A">
        <w:t>less travel for patients</w:t>
      </w:r>
    </w:p>
    <w:p w14:paraId="20300407" w14:textId="77777777" w:rsidR="00872F0A" w:rsidRDefault="00872F0A" w:rsidP="00872F0A">
      <w:pPr>
        <w:pStyle w:val="Bullet2"/>
      </w:pPr>
      <w:r w:rsidRPr="00872F0A">
        <w:t>fewer inter-hospital transfers</w:t>
      </w:r>
    </w:p>
    <w:p w14:paraId="2FAF0EE3" w14:textId="45D5EDE1" w:rsidR="00872F0A" w:rsidRDefault="00872F0A" w:rsidP="00872F0A">
      <w:pPr>
        <w:pStyle w:val="Bullet2"/>
      </w:pPr>
      <w:r w:rsidRPr="00872F0A">
        <w:t>improved access to medical review after</w:t>
      </w:r>
      <w:r>
        <w:t xml:space="preserve"> </w:t>
      </w:r>
      <w:r w:rsidRPr="00872F0A">
        <w:t>hours</w:t>
      </w:r>
    </w:p>
    <w:p w14:paraId="22835394" w14:textId="77777777" w:rsidR="009B14B7" w:rsidRDefault="00872F0A" w:rsidP="00872F0A">
      <w:pPr>
        <w:pStyle w:val="Bullet2"/>
        <w:sectPr w:rsidR="009B14B7" w:rsidSect="00272BCC">
          <w:footerReference w:type="default" r:id="rId11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 w:rsidRPr="00872F0A">
        <w:t>reduced workload for local medical practitioners.</w:t>
      </w:r>
    </w:p>
    <w:p w14:paraId="2485892E" w14:textId="77777777" w:rsidR="00435805" w:rsidRPr="00EB7321" w:rsidRDefault="00435805" w:rsidP="00EB7321">
      <w:pPr>
        <w:pStyle w:val="Heading2"/>
      </w:pPr>
      <w:r w:rsidRPr="00EB7321">
        <w:lastRenderedPageBreak/>
        <w:t>Key learnings</w:t>
      </w:r>
    </w:p>
    <w:p w14:paraId="4F87E9A4" w14:textId="67A0CCB9" w:rsidR="0071755B" w:rsidRDefault="0071755B" w:rsidP="00A01FCB">
      <w:pPr>
        <w:pStyle w:val="Bullet1"/>
      </w:pPr>
      <w:r>
        <w:t xml:space="preserve">Strong partnerships and support from staff were key to the project’s success. Throughout the project, there was close </w:t>
      </w:r>
      <w:r w:rsidRPr="0071755B">
        <w:t>collaboration between the three South Gippsland health services</w:t>
      </w:r>
      <w:r>
        <w:t xml:space="preserve">. The initiative strengthened </w:t>
      </w:r>
      <w:r w:rsidRPr="0071755B">
        <w:t xml:space="preserve">engagement with </w:t>
      </w:r>
      <w:r>
        <w:t xml:space="preserve">local GPs and improved the </w:t>
      </w:r>
      <w:r w:rsidRPr="0071755B">
        <w:t xml:space="preserve">working relationship between LRH </w:t>
      </w:r>
      <w:r>
        <w:t xml:space="preserve">ED </w:t>
      </w:r>
      <w:r w:rsidRPr="0071755B">
        <w:t xml:space="preserve">and </w:t>
      </w:r>
      <w:r>
        <w:t xml:space="preserve">UCC </w:t>
      </w:r>
      <w:r w:rsidRPr="0071755B">
        <w:t>staff.</w:t>
      </w:r>
      <w:r w:rsidR="00D61E0B">
        <w:t xml:space="preserve"> There was also </w:t>
      </w:r>
      <w:r w:rsidR="00D61E0B" w:rsidRPr="0071755B">
        <w:t xml:space="preserve">active support </w:t>
      </w:r>
      <w:r w:rsidR="00D61E0B">
        <w:t xml:space="preserve">from </w:t>
      </w:r>
      <w:r w:rsidR="00886A27">
        <w:t xml:space="preserve">all </w:t>
      </w:r>
      <w:r w:rsidR="00D61E0B" w:rsidRPr="0071755B">
        <w:t xml:space="preserve">the </w:t>
      </w:r>
      <w:r w:rsidR="00D61E0B">
        <w:t>n</w:t>
      </w:r>
      <w:r w:rsidR="00D61E0B" w:rsidRPr="0071755B">
        <w:t xml:space="preserve">urse </w:t>
      </w:r>
      <w:r w:rsidR="00D61E0B">
        <w:t>u</w:t>
      </w:r>
      <w:r w:rsidR="00D61E0B" w:rsidRPr="0071755B">
        <w:t xml:space="preserve">nit </w:t>
      </w:r>
      <w:r w:rsidR="00D61E0B">
        <w:t>m</w:t>
      </w:r>
      <w:r w:rsidR="00D61E0B" w:rsidRPr="0071755B">
        <w:t>anagers involved</w:t>
      </w:r>
      <w:r w:rsidR="00D61E0B">
        <w:t xml:space="preserve">. Identifying project champions and engaging them early in the project is pivotal to a positive outcome. </w:t>
      </w:r>
    </w:p>
    <w:p w14:paraId="00447BDE" w14:textId="7A1B8569" w:rsidR="0071755B" w:rsidRDefault="00A01FCB" w:rsidP="00A01FCB">
      <w:pPr>
        <w:pStyle w:val="Bullet1"/>
      </w:pPr>
      <w:r>
        <w:t xml:space="preserve">The project revealed </w:t>
      </w:r>
      <w:r w:rsidR="00886A27">
        <w:t xml:space="preserve">that </w:t>
      </w:r>
      <w:proofErr w:type="gramStart"/>
      <w:r>
        <w:t>a number of</w:t>
      </w:r>
      <w:proofErr w:type="gramEnd"/>
      <w:r>
        <w:t xml:space="preserve"> GPs preferred to consult patients after hours if they were on call</w:t>
      </w:r>
      <w:r w:rsidR="00490536">
        <w:t xml:space="preserve"> instead of referring them to a telehealth consultation. While GPs agreed to participate in the trial and saw the benefit of the telehealth model, many indicated that if they were already in the UCC treating </w:t>
      </w:r>
      <w:r w:rsidR="00D61E0B">
        <w:t xml:space="preserve">urgent triage category 1–3 patients, they were </w:t>
      </w:r>
      <w:r w:rsidR="00490536">
        <w:t xml:space="preserve">still willing to </w:t>
      </w:r>
      <w:r w:rsidR="00D61E0B">
        <w:t xml:space="preserve">attend to less urgent triage category 4 and 5 </w:t>
      </w:r>
      <w:r w:rsidR="00490536">
        <w:t xml:space="preserve">patients. Some GPs also </w:t>
      </w:r>
      <w:r w:rsidR="00D61E0B">
        <w:t xml:space="preserve">asked </w:t>
      </w:r>
      <w:r w:rsidR="00490536">
        <w:t xml:space="preserve">to be called for any presentation, regardless of </w:t>
      </w:r>
      <w:r w:rsidR="00D61E0B">
        <w:t xml:space="preserve">their </w:t>
      </w:r>
      <w:r w:rsidR="00490536">
        <w:t xml:space="preserve">triage category. As such, the telehealth </w:t>
      </w:r>
      <w:r>
        <w:t xml:space="preserve">model of care needs to be flexible and marketed as an alternative consultation method </w:t>
      </w:r>
      <w:r w:rsidR="00490536">
        <w:t xml:space="preserve">available rather than the only consultation </w:t>
      </w:r>
      <w:r w:rsidR="00886A27">
        <w:t xml:space="preserve">method </w:t>
      </w:r>
      <w:r w:rsidR="00490536">
        <w:t>for certain triage categories.</w:t>
      </w:r>
    </w:p>
    <w:p w14:paraId="3FEAB297" w14:textId="11E48476" w:rsidR="00846E76" w:rsidRDefault="00D61E0B" w:rsidP="00221AB4">
      <w:pPr>
        <w:pStyle w:val="Bullet1"/>
      </w:pPr>
      <w:r>
        <w:t xml:space="preserve">Feedback from staff showed that while the training they received oriented them to </w:t>
      </w:r>
      <w:r w:rsidRPr="00D61E0B">
        <w:t xml:space="preserve">using the </w:t>
      </w:r>
      <w:r>
        <w:t xml:space="preserve">telehealth </w:t>
      </w:r>
      <w:r w:rsidRPr="00D61E0B">
        <w:t xml:space="preserve">equipment, </w:t>
      </w:r>
      <w:r>
        <w:t xml:space="preserve">it did not provide them with </w:t>
      </w:r>
      <w:r w:rsidRPr="00D61E0B">
        <w:t xml:space="preserve">practical experience in using the equipment and facilitating a telehealth medical consultation. </w:t>
      </w:r>
      <w:r>
        <w:t>Another suggestion was that training should include how to communicate effectively with the patient and LRH doctor</w:t>
      </w:r>
      <w:r w:rsidR="00886A27">
        <w:t xml:space="preserve"> and </w:t>
      </w:r>
      <w:r>
        <w:t xml:space="preserve">maintain a three-way conversation. </w:t>
      </w:r>
      <w:r w:rsidR="00886A27">
        <w:t xml:space="preserve">There was also feedback that </w:t>
      </w:r>
      <w:r>
        <w:t xml:space="preserve">a once-off training session was insufficient. It </w:t>
      </w:r>
      <w:r w:rsidR="00886A27">
        <w:t xml:space="preserve">would be </w:t>
      </w:r>
      <w:r>
        <w:t xml:space="preserve">beneficial to periodically provide staff with refresher training and </w:t>
      </w:r>
      <w:r w:rsidR="00886A27">
        <w:t xml:space="preserve">include </w:t>
      </w:r>
      <w:r>
        <w:t xml:space="preserve">a simulated experience of a successful telehealth medical consultation. </w:t>
      </w:r>
    </w:p>
    <w:p w14:paraId="0D28F98B" w14:textId="7C438362" w:rsidR="00846E76" w:rsidRDefault="00846E76" w:rsidP="00221AB4">
      <w:pPr>
        <w:pStyle w:val="Bullet1"/>
      </w:pPr>
      <w:r>
        <w:br w:type="column"/>
      </w:r>
      <w:r>
        <w:t xml:space="preserve">In future, use of the telehealth equipment </w:t>
      </w:r>
      <w:r w:rsidR="00886A27">
        <w:t xml:space="preserve">at the UCCs </w:t>
      </w:r>
      <w:r>
        <w:t>could be expanded to include:</w:t>
      </w:r>
    </w:p>
    <w:p w14:paraId="104574B0" w14:textId="4B8683DE" w:rsidR="00846E76" w:rsidRDefault="00221AB4" w:rsidP="00221AB4">
      <w:pPr>
        <w:pStyle w:val="Bullet2"/>
      </w:pPr>
      <w:r>
        <w:t xml:space="preserve">medical reviews of </w:t>
      </w:r>
      <w:r w:rsidR="00846E76">
        <w:t>t</w:t>
      </w:r>
      <w:r>
        <w:t xml:space="preserve">riage </w:t>
      </w:r>
      <w:r w:rsidR="00846E76">
        <w:t>c</w:t>
      </w:r>
      <w:r>
        <w:t xml:space="preserve">ategory 3 </w:t>
      </w:r>
      <w:r w:rsidR="00846E76">
        <w:t>patients</w:t>
      </w:r>
    </w:p>
    <w:p w14:paraId="1F2BD0E6" w14:textId="41DE2047" w:rsidR="00846E76" w:rsidRDefault="00846E76" w:rsidP="00221AB4">
      <w:pPr>
        <w:pStyle w:val="Bullet2"/>
      </w:pPr>
      <w:r>
        <w:t xml:space="preserve">access to </w:t>
      </w:r>
      <w:r w:rsidR="00221AB4">
        <w:t>specialist medical support for urgent presentations</w:t>
      </w:r>
    </w:p>
    <w:p w14:paraId="7E291F12" w14:textId="4CFB4899" w:rsidR="00846E76" w:rsidRDefault="00221AB4" w:rsidP="00221AB4">
      <w:pPr>
        <w:pStyle w:val="Bullet2"/>
      </w:pPr>
      <w:r>
        <w:t>liaison with critical retrieval services</w:t>
      </w:r>
      <w:r w:rsidR="00846E76">
        <w:t>, particularly for infants and children</w:t>
      </w:r>
    </w:p>
    <w:p w14:paraId="09B6D053" w14:textId="77777777" w:rsidR="00846E76" w:rsidRDefault="00221AB4" w:rsidP="00221AB4">
      <w:pPr>
        <w:pStyle w:val="Bullet2"/>
      </w:pPr>
      <w:r>
        <w:t>non-urgent specialist medical consultations</w:t>
      </w:r>
    </w:p>
    <w:p w14:paraId="0F2ADD56" w14:textId="0F476A7E" w:rsidR="002C338A" w:rsidRPr="002C338A" w:rsidRDefault="00EB7321" w:rsidP="00EB7321">
      <w:pPr>
        <w:pStyle w:val="Bullet2"/>
      </w:pPr>
      <w:r>
        <w:t xml:space="preserve">access to </w:t>
      </w:r>
      <w:r w:rsidR="00221AB4">
        <w:t xml:space="preserve">specialist allied health and non-medical support in the management of </w:t>
      </w:r>
      <w:r w:rsidR="00846E76">
        <w:t xml:space="preserve">complex and </w:t>
      </w:r>
      <w:r w:rsidR="00221AB4">
        <w:t>chronic health conditions.</w:t>
      </w:r>
    </w:p>
    <w:sectPr w:rsidR="002C338A" w:rsidRPr="002C338A" w:rsidSect="009B14B7">
      <w:footerReference w:type="default" r:id="rId12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9B14B7" w:rsidRPr="00736C0C" w14:paraId="0863A7E4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63946A" w14:textId="77777777" w:rsidR="009B14B7" w:rsidRPr="00911408" w:rsidRDefault="009B14B7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094183B9" w14:textId="77777777" w:rsidR="009B14B7" w:rsidRPr="00911408" w:rsidRDefault="009B14B7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167022F" w14:textId="77777777" w:rsidR="009B14B7" w:rsidRPr="00911408" w:rsidRDefault="009B14B7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>
            <w:rPr>
              <w:sz w:val="18"/>
              <w:szCs w:val="18"/>
            </w:rPr>
            <w:t>November 2020</w:t>
          </w:r>
        </w:p>
        <w:p w14:paraId="57CBA4D5" w14:textId="196C6C92" w:rsidR="009B14B7" w:rsidRPr="00C34EBD" w:rsidRDefault="00C34EBD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C34EBD">
            <w:rPr>
              <w:color w:val="000000" w:themeColor="text1"/>
              <w:sz w:val="18"/>
              <w:szCs w:val="18"/>
            </w:rPr>
            <w:t>ISBN 978-1-76096-287-6 (pdf/online/MS word)</w:t>
          </w:r>
        </w:p>
        <w:p w14:paraId="4357C1F7" w14:textId="6765461B" w:rsidR="009B14B7" w:rsidRPr="007A4444" w:rsidRDefault="009B14B7" w:rsidP="00C34EBD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C34EBD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18B8E631" w14:textId="77777777" w:rsidR="009B14B7" w:rsidRPr="00736C0C" w:rsidRDefault="009B14B7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32CCF94D" wp14:editId="7C84C986">
                <wp:extent cx="1967488" cy="510541"/>
                <wp:effectExtent l="0" t="0" r="0" b="3810"/>
                <wp:docPr id="5" name="Picture 5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2C913E" w14:textId="77777777" w:rsidR="009B14B7" w:rsidRDefault="009B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33E0B21C">
          <wp:simplePos x="0" y="0"/>
          <wp:positionH relativeFrom="page">
            <wp:posOffset>25400</wp:posOffset>
          </wp:positionH>
          <wp:positionV relativeFrom="page">
            <wp:posOffset>19050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4185E"/>
    <w:rsid w:val="00053181"/>
    <w:rsid w:val="00056988"/>
    <w:rsid w:val="00060D97"/>
    <w:rsid w:val="00071F51"/>
    <w:rsid w:val="00072279"/>
    <w:rsid w:val="00073407"/>
    <w:rsid w:val="00075E6C"/>
    <w:rsid w:val="00081C12"/>
    <w:rsid w:val="00087D42"/>
    <w:rsid w:val="000905F7"/>
    <w:rsid w:val="000A7A31"/>
    <w:rsid w:val="000B29AD"/>
    <w:rsid w:val="000C515F"/>
    <w:rsid w:val="000C6372"/>
    <w:rsid w:val="000C64AD"/>
    <w:rsid w:val="000D7841"/>
    <w:rsid w:val="000E392D"/>
    <w:rsid w:val="000E39B6"/>
    <w:rsid w:val="000E3D05"/>
    <w:rsid w:val="000F2A2C"/>
    <w:rsid w:val="000F358E"/>
    <w:rsid w:val="000F4288"/>
    <w:rsid w:val="000F7165"/>
    <w:rsid w:val="00102379"/>
    <w:rsid w:val="00103722"/>
    <w:rsid w:val="001065D6"/>
    <w:rsid w:val="001068D5"/>
    <w:rsid w:val="00121252"/>
    <w:rsid w:val="00121488"/>
    <w:rsid w:val="00124609"/>
    <w:rsid w:val="001254CE"/>
    <w:rsid w:val="0013637A"/>
    <w:rsid w:val="001422CC"/>
    <w:rsid w:val="00145346"/>
    <w:rsid w:val="00154FF5"/>
    <w:rsid w:val="001617B6"/>
    <w:rsid w:val="00165E66"/>
    <w:rsid w:val="00186B39"/>
    <w:rsid w:val="00196143"/>
    <w:rsid w:val="001A24FC"/>
    <w:rsid w:val="001C0840"/>
    <w:rsid w:val="001C60B2"/>
    <w:rsid w:val="001C6993"/>
    <w:rsid w:val="001C7BAE"/>
    <w:rsid w:val="001E31FA"/>
    <w:rsid w:val="001E48F9"/>
    <w:rsid w:val="001E64F6"/>
    <w:rsid w:val="001E7AEB"/>
    <w:rsid w:val="001F31FC"/>
    <w:rsid w:val="001F55BC"/>
    <w:rsid w:val="00204B82"/>
    <w:rsid w:val="00221AB4"/>
    <w:rsid w:val="00222BEB"/>
    <w:rsid w:val="00225E60"/>
    <w:rsid w:val="00230BBB"/>
    <w:rsid w:val="0023202C"/>
    <w:rsid w:val="00232481"/>
    <w:rsid w:val="00234619"/>
    <w:rsid w:val="00235BE2"/>
    <w:rsid w:val="00240C22"/>
    <w:rsid w:val="00245043"/>
    <w:rsid w:val="00246DA4"/>
    <w:rsid w:val="0026028E"/>
    <w:rsid w:val="00272BCC"/>
    <w:rsid w:val="00273AF5"/>
    <w:rsid w:val="00284FA2"/>
    <w:rsid w:val="00286580"/>
    <w:rsid w:val="00292D36"/>
    <w:rsid w:val="00294A5A"/>
    <w:rsid w:val="00297281"/>
    <w:rsid w:val="00297A47"/>
    <w:rsid w:val="002A2FF0"/>
    <w:rsid w:val="002A5891"/>
    <w:rsid w:val="002A5F50"/>
    <w:rsid w:val="002B03F1"/>
    <w:rsid w:val="002B5C34"/>
    <w:rsid w:val="002B5E2B"/>
    <w:rsid w:val="002B6DAA"/>
    <w:rsid w:val="002C338A"/>
    <w:rsid w:val="002D70F7"/>
    <w:rsid w:val="002D711A"/>
    <w:rsid w:val="002D7336"/>
    <w:rsid w:val="002E3396"/>
    <w:rsid w:val="002E6454"/>
    <w:rsid w:val="002F2953"/>
    <w:rsid w:val="002F4E84"/>
    <w:rsid w:val="0031149C"/>
    <w:rsid w:val="00315263"/>
    <w:rsid w:val="00332D4F"/>
    <w:rsid w:val="003347B2"/>
    <w:rsid w:val="00345543"/>
    <w:rsid w:val="0036778F"/>
    <w:rsid w:val="0038771C"/>
    <w:rsid w:val="003A430B"/>
    <w:rsid w:val="003A541A"/>
    <w:rsid w:val="003A6923"/>
    <w:rsid w:val="003B4290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17F"/>
    <w:rsid w:val="00433DB7"/>
    <w:rsid w:val="00435805"/>
    <w:rsid w:val="00442182"/>
    <w:rsid w:val="0045347E"/>
    <w:rsid w:val="00453750"/>
    <w:rsid w:val="00455E0B"/>
    <w:rsid w:val="00456941"/>
    <w:rsid w:val="00460BD5"/>
    <w:rsid w:val="00462EF9"/>
    <w:rsid w:val="004702EA"/>
    <w:rsid w:val="0048259C"/>
    <w:rsid w:val="00482D02"/>
    <w:rsid w:val="00484326"/>
    <w:rsid w:val="00490369"/>
    <w:rsid w:val="00490536"/>
    <w:rsid w:val="004A4ED0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306A2"/>
    <w:rsid w:val="0053416C"/>
    <w:rsid w:val="00541C2F"/>
    <w:rsid w:val="00552DE4"/>
    <w:rsid w:val="00555D37"/>
    <w:rsid w:val="00563527"/>
    <w:rsid w:val="0057407A"/>
    <w:rsid w:val="0058124E"/>
    <w:rsid w:val="005875A3"/>
    <w:rsid w:val="005939CF"/>
    <w:rsid w:val="005953EA"/>
    <w:rsid w:val="005A3416"/>
    <w:rsid w:val="005B061F"/>
    <w:rsid w:val="005B27FE"/>
    <w:rsid w:val="005B327A"/>
    <w:rsid w:val="005B5F0B"/>
    <w:rsid w:val="005B76DF"/>
    <w:rsid w:val="005B79CB"/>
    <w:rsid w:val="005D4539"/>
    <w:rsid w:val="005E08D7"/>
    <w:rsid w:val="005E4C16"/>
    <w:rsid w:val="005E5947"/>
    <w:rsid w:val="005F45C7"/>
    <w:rsid w:val="005F61DF"/>
    <w:rsid w:val="0060163A"/>
    <w:rsid w:val="006023F9"/>
    <w:rsid w:val="00606827"/>
    <w:rsid w:val="00610559"/>
    <w:rsid w:val="00614076"/>
    <w:rsid w:val="00626B38"/>
    <w:rsid w:val="00632F2E"/>
    <w:rsid w:val="006332F6"/>
    <w:rsid w:val="006413F2"/>
    <w:rsid w:val="006434FA"/>
    <w:rsid w:val="0064598D"/>
    <w:rsid w:val="006512FE"/>
    <w:rsid w:val="006534B2"/>
    <w:rsid w:val="0065615D"/>
    <w:rsid w:val="00657011"/>
    <w:rsid w:val="006650B5"/>
    <w:rsid w:val="006651B1"/>
    <w:rsid w:val="00665778"/>
    <w:rsid w:val="00676E5F"/>
    <w:rsid w:val="00680577"/>
    <w:rsid w:val="00687C97"/>
    <w:rsid w:val="006945CA"/>
    <w:rsid w:val="006A0758"/>
    <w:rsid w:val="006A3309"/>
    <w:rsid w:val="006A3A5A"/>
    <w:rsid w:val="006A5B34"/>
    <w:rsid w:val="006B2A76"/>
    <w:rsid w:val="006C77A9"/>
    <w:rsid w:val="006D2F37"/>
    <w:rsid w:val="006D4720"/>
    <w:rsid w:val="006E6CDF"/>
    <w:rsid w:val="006F37F2"/>
    <w:rsid w:val="006F6693"/>
    <w:rsid w:val="00700659"/>
    <w:rsid w:val="00707FE8"/>
    <w:rsid w:val="00714AAE"/>
    <w:rsid w:val="0071755B"/>
    <w:rsid w:val="00721792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94CB7"/>
    <w:rsid w:val="007A04D2"/>
    <w:rsid w:val="007A333B"/>
    <w:rsid w:val="007A4444"/>
    <w:rsid w:val="007A5F82"/>
    <w:rsid w:val="007C3946"/>
    <w:rsid w:val="007D4A1E"/>
    <w:rsid w:val="007D5F9E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46E76"/>
    <w:rsid w:val="00847BE1"/>
    <w:rsid w:val="00855FF9"/>
    <w:rsid w:val="00861282"/>
    <w:rsid w:val="0086277A"/>
    <w:rsid w:val="008668A8"/>
    <w:rsid w:val="008703D8"/>
    <w:rsid w:val="00872F0A"/>
    <w:rsid w:val="0087410F"/>
    <w:rsid w:val="008768AD"/>
    <w:rsid w:val="00880AC4"/>
    <w:rsid w:val="00886A27"/>
    <w:rsid w:val="00893E52"/>
    <w:rsid w:val="00897157"/>
    <w:rsid w:val="00897447"/>
    <w:rsid w:val="008A306C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6D45"/>
    <w:rsid w:val="00911408"/>
    <w:rsid w:val="00916AD5"/>
    <w:rsid w:val="00922944"/>
    <w:rsid w:val="00927F60"/>
    <w:rsid w:val="00936479"/>
    <w:rsid w:val="00937A10"/>
    <w:rsid w:val="00953A2C"/>
    <w:rsid w:val="00966115"/>
    <w:rsid w:val="0097291C"/>
    <w:rsid w:val="00976453"/>
    <w:rsid w:val="009827A9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B14B7"/>
    <w:rsid w:val="009B199C"/>
    <w:rsid w:val="009B1BBA"/>
    <w:rsid w:val="009B61F1"/>
    <w:rsid w:val="009B62E0"/>
    <w:rsid w:val="009C3D88"/>
    <w:rsid w:val="009D5B5C"/>
    <w:rsid w:val="009E0D59"/>
    <w:rsid w:val="009E1651"/>
    <w:rsid w:val="009E3858"/>
    <w:rsid w:val="009E3A0F"/>
    <w:rsid w:val="009E467D"/>
    <w:rsid w:val="009E5E60"/>
    <w:rsid w:val="009E70DD"/>
    <w:rsid w:val="009F2ED9"/>
    <w:rsid w:val="009F3231"/>
    <w:rsid w:val="009F5C58"/>
    <w:rsid w:val="009F704F"/>
    <w:rsid w:val="00A01FCB"/>
    <w:rsid w:val="00A023A0"/>
    <w:rsid w:val="00A05EBC"/>
    <w:rsid w:val="00A06AB8"/>
    <w:rsid w:val="00A131B1"/>
    <w:rsid w:val="00A1562B"/>
    <w:rsid w:val="00A170F4"/>
    <w:rsid w:val="00A21408"/>
    <w:rsid w:val="00A2160F"/>
    <w:rsid w:val="00A21CFD"/>
    <w:rsid w:val="00A25B78"/>
    <w:rsid w:val="00A46288"/>
    <w:rsid w:val="00A46BA8"/>
    <w:rsid w:val="00A47634"/>
    <w:rsid w:val="00A612FE"/>
    <w:rsid w:val="00A70B49"/>
    <w:rsid w:val="00A82046"/>
    <w:rsid w:val="00A92D94"/>
    <w:rsid w:val="00AA26B8"/>
    <w:rsid w:val="00AC0B87"/>
    <w:rsid w:val="00AC13F3"/>
    <w:rsid w:val="00AC2624"/>
    <w:rsid w:val="00AC32A8"/>
    <w:rsid w:val="00AD7E4E"/>
    <w:rsid w:val="00AF4D58"/>
    <w:rsid w:val="00AF6666"/>
    <w:rsid w:val="00AF7BC5"/>
    <w:rsid w:val="00B03D20"/>
    <w:rsid w:val="00B12D35"/>
    <w:rsid w:val="00B23992"/>
    <w:rsid w:val="00B81B44"/>
    <w:rsid w:val="00B81FD7"/>
    <w:rsid w:val="00B9053B"/>
    <w:rsid w:val="00BA0ADE"/>
    <w:rsid w:val="00BA0C37"/>
    <w:rsid w:val="00BA3782"/>
    <w:rsid w:val="00BA6A3B"/>
    <w:rsid w:val="00BB4D98"/>
    <w:rsid w:val="00BB4EBF"/>
    <w:rsid w:val="00BB59E0"/>
    <w:rsid w:val="00BC07DF"/>
    <w:rsid w:val="00BC3422"/>
    <w:rsid w:val="00BC6E19"/>
    <w:rsid w:val="00BD11C2"/>
    <w:rsid w:val="00BD17AD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12686"/>
    <w:rsid w:val="00C32D49"/>
    <w:rsid w:val="00C33AD3"/>
    <w:rsid w:val="00C34EBD"/>
    <w:rsid w:val="00C35D53"/>
    <w:rsid w:val="00C4176E"/>
    <w:rsid w:val="00C41B3C"/>
    <w:rsid w:val="00C43F06"/>
    <w:rsid w:val="00C51C01"/>
    <w:rsid w:val="00C637E1"/>
    <w:rsid w:val="00C64DE7"/>
    <w:rsid w:val="00C67EAC"/>
    <w:rsid w:val="00C7098C"/>
    <w:rsid w:val="00C70D50"/>
    <w:rsid w:val="00C72252"/>
    <w:rsid w:val="00C7248A"/>
    <w:rsid w:val="00C821CE"/>
    <w:rsid w:val="00C844AE"/>
    <w:rsid w:val="00C907D7"/>
    <w:rsid w:val="00C92338"/>
    <w:rsid w:val="00CA05DC"/>
    <w:rsid w:val="00CA24CD"/>
    <w:rsid w:val="00CA7B47"/>
    <w:rsid w:val="00CB3976"/>
    <w:rsid w:val="00CC0347"/>
    <w:rsid w:val="00CD0307"/>
    <w:rsid w:val="00CD3C79"/>
    <w:rsid w:val="00CD3D1B"/>
    <w:rsid w:val="00CE590E"/>
    <w:rsid w:val="00CE61C3"/>
    <w:rsid w:val="00D02663"/>
    <w:rsid w:val="00D02B0D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1E0B"/>
    <w:rsid w:val="00D6560D"/>
    <w:rsid w:val="00D65D77"/>
    <w:rsid w:val="00D718D7"/>
    <w:rsid w:val="00D76AD4"/>
    <w:rsid w:val="00D814B7"/>
    <w:rsid w:val="00D81B6B"/>
    <w:rsid w:val="00D858A3"/>
    <w:rsid w:val="00D90688"/>
    <w:rsid w:val="00DA3AAD"/>
    <w:rsid w:val="00DA3F36"/>
    <w:rsid w:val="00DB312B"/>
    <w:rsid w:val="00DC5654"/>
    <w:rsid w:val="00DC658F"/>
    <w:rsid w:val="00DC674A"/>
    <w:rsid w:val="00DE60CC"/>
    <w:rsid w:val="00E01D46"/>
    <w:rsid w:val="00E03F35"/>
    <w:rsid w:val="00E26B32"/>
    <w:rsid w:val="00E31CD4"/>
    <w:rsid w:val="00E31E60"/>
    <w:rsid w:val="00E33E08"/>
    <w:rsid w:val="00E407B6"/>
    <w:rsid w:val="00E41D82"/>
    <w:rsid w:val="00E41EF1"/>
    <w:rsid w:val="00E42942"/>
    <w:rsid w:val="00E6148E"/>
    <w:rsid w:val="00E65A0A"/>
    <w:rsid w:val="00E71BDF"/>
    <w:rsid w:val="00E75CCB"/>
    <w:rsid w:val="00E8245B"/>
    <w:rsid w:val="00E82C21"/>
    <w:rsid w:val="00E82F59"/>
    <w:rsid w:val="00E83CA7"/>
    <w:rsid w:val="00E84567"/>
    <w:rsid w:val="00E92192"/>
    <w:rsid w:val="00E95A71"/>
    <w:rsid w:val="00EA1132"/>
    <w:rsid w:val="00EB7014"/>
    <w:rsid w:val="00EB7321"/>
    <w:rsid w:val="00EC5CDE"/>
    <w:rsid w:val="00EC7F2A"/>
    <w:rsid w:val="00ED3077"/>
    <w:rsid w:val="00ED487E"/>
    <w:rsid w:val="00ED6461"/>
    <w:rsid w:val="00ED64F1"/>
    <w:rsid w:val="00EE33A1"/>
    <w:rsid w:val="00EE7A0D"/>
    <w:rsid w:val="00F0222C"/>
    <w:rsid w:val="00F06647"/>
    <w:rsid w:val="00F12312"/>
    <w:rsid w:val="00F12BCD"/>
    <w:rsid w:val="00F13239"/>
    <w:rsid w:val="00F17CE1"/>
    <w:rsid w:val="00F2115C"/>
    <w:rsid w:val="00F22ABA"/>
    <w:rsid w:val="00F25919"/>
    <w:rsid w:val="00F25F4B"/>
    <w:rsid w:val="00F36B12"/>
    <w:rsid w:val="00F60F9F"/>
    <w:rsid w:val="00F61246"/>
    <w:rsid w:val="00F64F08"/>
    <w:rsid w:val="00F70055"/>
    <w:rsid w:val="00F734F5"/>
    <w:rsid w:val="00F73B5B"/>
    <w:rsid w:val="00F80A39"/>
    <w:rsid w:val="00F8536E"/>
    <w:rsid w:val="00F90EA5"/>
    <w:rsid w:val="00F91F5A"/>
    <w:rsid w:val="00F966B1"/>
    <w:rsid w:val="00F97D48"/>
    <w:rsid w:val="00FA0311"/>
    <w:rsid w:val="00FA1489"/>
    <w:rsid w:val="00FC46DC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E3-4809-85C1-ECC8DC462BBA}"/>
              </c:ext>
            </c:extLst>
          </c:dPt>
          <c:dPt>
            <c:idx val="1"/>
            <c:bubble3D val="0"/>
            <c:spPr>
              <a:solidFill>
                <a:srgbClr val="FAB15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E3-4809-85C1-ECC8DC462B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E3-4809-85C1-ECC8DC462B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E3-4809-85C1-ECC8DC462B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5E3-4809-85C1-ECC8DC462B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Referred to GP</c:v>
                </c:pt>
                <c:pt idx="1">
                  <c:v>Left at own risk without consultation</c:v>
                </c:pt>
                <c:pt idx="2">
                  <c:v>Discharged home</c:v>
                </c:pt>
                <c:pt idx="3">
                  <c:v>Transferred to ward at UCC setting</c:v>
                </c:pt>
                <c:pt idx="4">
                  <c:v>Transferred to another hospital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0.67</c:v>
                </c:pt>
                <c:pt idx="1">
                  <c:v>0.14000000000000001</c:v>
                </c:pt>
                <c:pt idx="2">
                  <c:v>0.09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5E3-4809-85C1-ECC8DC462B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D661-0B32-4858-A8C4-AB69896D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Gippsland region telehealth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2020-12-17T23:43:00Z</dcterms:created>
  <dcterms:modified xsi:type="dcterms:W3CDTF">2020-12-17T23:44:00Z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2020-12-17T23:44:21Z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5eb1f226-ce80-47d5-9748-0db681ad0018</vt:lpwstr>
  </property>
  <property fmtid="{D5CDD505-2E9C-101B-9397-08002B2CF9AE}" pid="8" name="MSIP_Label_efdf5488-3066-4b6c-8fea-9472b8a1f34c_ContentBits">
    <vt:lpwstr>0</vt:lpwstr>
  </property>
</Properties>
</file>