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1B19D612" w:rsidR="00A46288" w:rsidRPr="00DA3F36" w:rsidRDefault="000E4189" w:rsidP="007A4444">
      <w:pPr>
        <w:pStyle w:val="Title"/>
      </w:pPr>
      <w:bookmarkStart w:id="0" w:name="_GoBack"/>
      <w:bookmarkEnd w:id="0"/>
      <w:r>
        <w:t>Creating an age-friendly health system for older people</w:t>
      </w:r>
    </w:p>
    <w:p w14:paraId="6800B4C5" w14:textId="78B9F105" w:rsidR="00897157" w:rsidRDefault="000C4BB6" w:rsidP="00E03F35">
      <w:pPr>
        <w:pStyle w:val="IntroductoryText"/>
      </w:pPr>
      <w:r>
        <w:t xml:space="preserve">A group of rural health services from Indigo Shire in northeast Victoria worked with </w:t>
      </w:r>
      <w:r w:rsidRPr="000C4BB6">
        <w:t>US</w:t>
      </w:r>
      <w:r>
        <w:t xml:space="preserve"> experts</w:t>
      </w:r>
      <w:r w:rsidRPr="000C4BB6">
        <w:t>, local academics</w:t>
      </w:r>
      <w:r w:rsidR="000B69B3">
        <w:t>, local council</w:t>
      </w:r>
      <w:r w:rsidR="00114C4B">
        <w:t>,</w:t>
      </w:r>
      <w:r>
        <w:t xml:space="preserve"> and</w:t>
      </w:r>
      <w:r w:rsidRPr="000C4BB6">
        <w:t xml:space="preserve"> </w:t>
      </w:r>
      <w:r>
        <w:t>consumers to co-design an age-friendly, person-centred approach to delivering care to older people in rural communities</w:t>
      </w:r>
      <w:r w:rsidR="00007EC5">
        <w:t>.</w:t>
      </w:r>
    </w:p>
    <w:p w14:paraId="7E23E5B8" w14:textId="77777777" w:rsidR="007A4444" w:rsidRDefault="007A4444" w:rsidP="007A4444">
      <w:pPr>
        <w:pStyle w:val="NoSpacing"/>
      </w:pPr>
    </w:p>
    <w:p w14:paraId="4230C339" w14:textId="77777777" w:rsidR="007A4444" w:rsidRDefault="007A4444" w:rsidP="00794CB7">
      <w:pPr>
        <w:sectPr w:rsidR="007A4444" w:rsidSect="00435805">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403EE1CC" w14:textId="77777777" w:rsidR="00433B3C" w:rsidRDefault="00AE4494" w:rsidP="00AE4494">
      <w:pPr>
        <w:pStyle w:val="Normalfollowingheading"/>
      </w:pPr>
      <w:r>
        <w:t xml:space="preserve">Hospitals and healthcare </w:t>
      </w:r>
      <w:r w:rsidR="001B55ED">
        <w:t xml:space="preserve">have </w:t>
      </w:r>
      <w:r>
        <w:t>become complex, fragmented, busy and expensive</w:t>
      </w:r>
      <w:r w:rsidR="007D3B2E">
        <w:t xml:space="preserve"> for older people</w:t>
      </w:r>
      <w:r>
        <w:t xml:space="preserve">. </w:t>
      </w:r>
    </w:p>
    <w:p w14:paraId="31A5186C" w14:textId="177140CD" w:rsidR="00433B3C" w:rsidRDefault="005354E4" w:rsidP="00AE4494">
      <w:pPr>
        <w:pStyle w:val="Normalfollowingheading"/>
      </w:pPr>
      <w:r>
        <w:t>There is often unnecessary service duplication</w:t>
      </w:r>
      <w:r w:rsidR="00433B3C">
        <w:t xml:space="preserve">, with </w:t>
      </w:r>
      <w:r>
        <w:t>older people</w:t>
      </w:r>
      <w:r w:rsidR="00433B3C">
        <w:t xml:space="preserve"> having </w:t>
      </w:r>
      <w:r>
        <w:t>to tell multiple staff their medical history</w:t>
      </w:r>
      <w:r w:rsidR="00433B3C">
        <w:t xml:space="preserve"> </w:t>
      </w:r>
      <w:r w:rsidR="00657D22">
        <w:t>(</w:t>
      </w:r>
      <w:r>
        <w:t>sometimes on the same day</w:t>
      </w:r>
      <w:r w:rsidR="00657D22">
        <w:t>)</w:t>
      </w:r>
      <w:r>
        <w:t xml:space="preserve"> and </w:t>
      </w:r>
      <w:r w:rsidR="00433B3C">
        <w:t xml:space="preserve">with </w:t>
      </w:r>
      <w:r>
        <w:t>different doctors in different hospitals repeat</w:t>
      </w:r>
      <w:r w:rsidR="00433B3C">
        <w:t>ing</w:t>
      </w:r>
      <w:r>
        <w:t xml:space="preserve"> the same tests or prescrib</w:t>
      </w:r>
      <w:r w:rsidR="00433B3C">
        <w:t>ing</w:t>
      </w:r>
      <w:r>
        <w:t xml:space="preserve"> multiple medicines. </w:t>
      </w:r>
    </w:p>
    <w:p w14:paraId="3A89983C" w14:textId="05192B77" w:rsidR="00AE4494" w:rsidRDefault="005354E4" w:rsidP="00AE4494">
      <w:pPr>
        <w:pStyle w:val="Normalfollowingheading"/>
      </w:pPr>
      <w:r>
        <w:t>Older people can also decline in mobility, thinking skills and the ability to care for themselves when in hospital, unrelated to their illnesses.</w:t>
      </w:r>
    </w:p>
    <w:p w14:paraId="7FCE7352" w14:textId="2570C80B" w:rsidR="00EA7B3E" w:rsidRPr="00486A1B" w:rsidRDefault="00EA7B3E" w:rsidP="00EA7B3E">
      <w:r>
        <w:t>A</w:t>
      </w:r>
      <w:r w:rsidRPr="00486A1B">
        <w:t>ge-friendly environment</w:t>
      </w:r>
      <w:r>
        <w:t>s</w:t>
      </w:r>
      <w:r w:rsidRPr="00486A1B">
        <w:t xml:space="preserve"> </w:t>
      </w:r>
      <w:r>
        <w:t xml:space="preserve">that </w:t>
      </w:r>
      <w:r w:rsidRPr="00486A1B">
        <w:t>ensure older people are engaging in healthy behaviours</w:t>
      </w:r>
      <w:r w:rsidR="00D26EA7">
        <w:t xml:space="preserve"> and</w:t>
      </w:r>
      <w:r w:rsidRPr="00486A1B">
        <w:t xml:space="preserve"> are socially connected, respected and valued</w:t>
      </w:r>
      <w:r>
        <w:t xml:space="preserve"> can </w:t>
      </w:r>
      <w:r w:rsidR="00D26EA7">
        <w:t xml:space="preserve">improve </w:t>
      </w:r>
      <w:r w:rsidR="005354E4">
        <w:t xml:space="preserve">their </w:t>
      </w:r>
      <w:r w:rsidR="00D26EA7" w:rsidRPr="00486A1B">
        <w:t>quality of life</w:t>
      </w:r>
      <w:r w:rsidR="00D26EA7">
        <w:t xml:space="preserve"> and </w:t>
      </w:r>
      <w:r>
        <w:t xml:space="preserve">help to prevent or delay </w:t>
      </w:r>
      <w:r w:rsidRPr="00486A1B">
        <w:t>many health problems related to ageing and chronic disease.</w:t>
      </w:r>
    </w:p>
    <w:p w14:paraId="4953F501" w14:textId="77777777" w:rsidR="00657D22" w:rsidRDefault="001B6831" w:rsidP="00433B3C">
      <w:r>
        <w:t xml:space="preserve">Led by </w:t>
      </w:r>
      <w:r w:rsidR="00253376">
        <w:t xml:space="preserve">Beechworth Health, </w:t>
      </w:r>
      <w:r>
        <w:t xml:space="preserve">the Indigo Consortium </w:t>
      </w:r>
      <w:r w:rsidR="00657D22">
        <w:t xml:space="preserve">– </w:t>
      </w:r>
      <w:r w:rsidR="00D26EA7" w:rsidRPr="00D26EA7">
        <w:t xml:space="preserve">a partnership between health services in Indigo Shire </w:t>
      </w:r>
      <w:r w:rsidR="00D26EA7">
        <w:t xml:space="preserve">and </w:t>
      </w:r>
      <w:r w:rsidR="00D26EA7" w:rsidRPr="00D26EA7">
        <w:t>the Victorian Department of Health and Human Services</w:t>
      </w:r>
      <w:r w:rsidR="00657D22">
        <w:t xml:space="preserve"> – </w:t>
      </w:r>
      <w:r w:rsidR="00BD21C2">
        <w:t xml:space="preserve">set out to </w:t>
      </w:r>
      <w:r w:rsidR="001B55ED">
        <w:t>co</w:t>
      </w:r>
      <w:r w:rsidR="00AE4494">
        <w:t>-design a</w:t>
      </w:r>
      <w:r w:rsidR="00D26EA7">
        <w:t xml:space="preserve">n </w:t>
      </w:r>
      <w:r w:rsidR="00AE4494">
        <w:t xml:space="preserve">age-friendly approach </w:t>
      </w:r>
      <w:r w:rsidR="00CB5368">
        <w:t xml:space="preserve">that could be applied </w:t>
      </w:r>
      <w:r w:rsidR="00D26EA7">
        <w:t xml:space="preserve">at all points of care </w:t>
      </w:r>
      <w:r w:rsidR="00CB5368" w:rsidRPr="001833B9">
        <w:t>for older people in rural communities</w:t>
      </w:r>
      <w:r w:rsidR="00CB5368">
        <w:t xml:space="preserve"> </w:t>
      </w:r>
      <w:r w:rsidR="007D3B2E">
        <w:t>– from primary care, residential aged care and community services to hospitals and ambulatory care</w:t>
      </w:r>
      <w:r w:rsidR="00EB11BE">
        <w:t xml:space="preserve">. </w:t>
      </w:r>
    </w:p>
    <w:p w14:paraId="7A405AC4" w14:textId="490E6C0C" w:rsidR="00433B3C" w:rsidRDefault="005B74E6" w:rsidP="00433B3C">
      <w:r>
        <w:t xml:space="preserve">This </w:t>
      </w:r>
      <w:r w:rsidR="00A31352">
        <w:t xml:space="preserve">whole-of-system </w:t>
      </w:r>
      <w:r>
        <w:t xml:space="preserve">approach </w:t>
      </w:r>
      <w:r w:rsidR="005354E4">
        <w:t xml:space="preserve">drew </w:t>
      </w:r>
      <w:r w:rsidR="00D26EA7">
        <w:t xml:space="preserve">from </w:t>
      </w:r>
      <w:r w:rsidR="00BD21C2">
        <w:t xml:space="preserve">two international, evidence-based </w:t>
      </w:r>
      <w:r>
        <w:t>models</w:t>
      </w:r>
      <w:r w:rsidR="00BD21C2">
        <w:t>:</w:t>
      </w:r>
      <w:r w:rsidR="00253376">
        <w:t xml:space="preserve"> </w:t>
      </w:r>
    </w:p>
    <w:p w14:paraId="755EB776" w14:textId="5715CC02" w:rsidR="007C344C" w:rsidRDefault="00BD21C2" w:rsidP="00433B3C">
      <w:pPr>
        <w:pStyle w:val="Bullet1"/>
      </w:pPr>
      <w:r>
        <w:t xml:space="preserve">the </w:t>
      </w:r>
      <w:hyperlink r:id="rId10" w:history="1">
        <w:r w:rsidRPr="00747D93">
          <w:rPr>
            <w:rStyle w:val="Hyperlink"/>
            <w:b/>
            <w:bCs/>
            <w:color w:val="408ABB" w:themeColor="accent1"/>
          </w:rPr>
          <w:t>Institute for Healthcare Improvement’s</w:t>
        </w:r>
        <w:r w:rsidR="001B55ED" w:rsidRPr="00747D93">
          <w:rPr>
            <w:rStyle w:val="Hyperlink"/>
            <w:b/>
            <w:bCs/>
            <w:color w:val="408ABB" w:themeColor="accent1"/>
          </w:rPr>
          <w:t xml:space="preserve"> </w:t>
        </w:r>
        <w:r w:rsidRPr="00747D93">
          <w:rPr>
            <w:rStyle w:val="Hyperlink"/>
            <w:b/>
            <w:bCs/>
            <w:color w:val="408ABB" w:themeColor="accent1"/>
          </w:rPr>
          <w:t>(IHI) 4Ms framework</w:t>
        </w:r>
      </w:hyperlink>
      <w:r w:rsidR="00F422AA">
        <w:t xml:space="preserve">, </w:t>
      </w:r>
      <w:r w:rsidR="00747D93">
        <w:t xml:space="preserve">which identifies </w:t>
      </w:r>
      <w:r w:rsidR="00747D93" w:rsidRPr="00747D93">
        <w:t>four core elements</w:t>
      </w:r>
      <w:r w:rsidR="00747D93">
        <w:t xml:space="preserve"> – </w:t>
      </w:r>
      <w:r w:rsidR="00747D93" w:rsidRPr="00747D93">
        <w:t>mentation, mobility, medications and (what) matters</w:t>
      </w:r>
      <w:r w:rsidR="00747D93">
        <w:t xml:space="preserve"> – </w:t>
      </w:r>
      <w:r w:rsidR="00747D93" w:rsidRPr="00747D93">
        <w:t xml:space="preserve">with nine specific </w:t>
      </w:r>
      <w:r w:rsidR="002932DD">
        <w:t>actions</w:t>
      </w:r>
      <w:r w:rsidR="00747D93" w:rsidRPr="00747D93">
        <w:t xml:space="preserve"> that</w:t>
      </w:r>
      <w:r w:rsidR="00747D93">
        <w:t xml:space="preserve"> can </w:t>
      </w:r>
      <w:r w:rsidR="00747D93" w:rsidRPr="00747D93">
        <w:t>reduce harm to older people</w:t>
      </w:r>
      <w:r w:rsidR="007A5DF4">
        <w:t xml:space="preserve"> and </w:t>
      </w:r>
      <w:r w:rsidR="00747D93" w:rsidRPr="00747D93">
        <w:t>improve health outcomes</w:t>
      </w:r>
    </w:p>
    <w:p w14:paraId="653C6EB4" w14:textId="11E6FC94" w:rsidR="00747D93" w:rsidRDefault="00433B3C" w:rsidP="00682508">
      <w:pPr>
        <w:pStyle w:val="Bullet1"/>
      </w:pPr>
      <w:r>
        <w:br w:type="column"/>
      </w:r>
      <w:r w:rsidR="00BD21C2">
        <w:t xml:space="preserve">the </w:t>
      </w:r>
      <w:hyperlink r:id="rId11" w:history="1">
        <w:r w:rsidR="00BD21C2" w:rsidRPr="00747D93">
          <w:rPr>
            <w:rStyle w:val="Hyperlink"/>
            <w:b/>
            <w:bCs/>
            <w:color w:val="408ABB" w:themeColor="accent1"/>
          </w:rPr>
          <w:t>World Health Organization’s</w:t>
        </w:r>
        <w:r w:rsidR="00866B23" w:rsidRPr="00747D93">
          <w:rPr>
            <w:rStyle w:val="Hyperlink"/>
            <w:b/>
            <w:bCs/>
            <w:color w:val="408ABB" w:themeColor="accent1"/>
          </w:rPr>
          <w:t xml:space="preserve"> (WHO)</w:t>
        </w:r>
        <w:r w:rsidR="00BD21C2" w:rsidRPr="00747D93">
          <w:rPr>
            <w:rStyle w:val="Hyperlink"/>
            <w:b/>
            <w:bCs/>
            <w:color w:val="408ABB" w:themeColor="accent1"/>
          </w:rPr>
          <w:t xml:space="preserve"> Integrated Care for Older People (ICOPE) guidelines</w:t>
        </w:r>
      </w:hyperlink>
      <w:r w:rsidR="00747D93">
        <w:t xml:space="preserve">, which enable healthcare professionals to detect declines in physical and mental capacities and deliver effective interventions to prevent and delay progression. </w:t>
      </w:r>
    </w:p>
    <w:p w14:paraId="6967B51B" w14:textId="61466924" w:rsidR="00A31352" w:rsidRDefault="00007EC5" w:rsidP="00747D93">
      <w:r>
        <w:t>T</w:t>
      </w:r>
      <w:r w:rsidR="00D3570A">
        <w:t xml:space="preserve">he consortium aimed to develop an ‘Indigo </w:t>
      </w:r>
      <w:r w:rsidR="007974D7">
        <w:t>a</w:t>
      </w:r>
      <w:r w:rsidR="00D3570A">
        <w:t>ge-</w:t>
      </w:r>
      <w:r w:rsidR="007974D7">
        <w:t>f</w:t>
      </w:r>
      <w:r w:rsidR="00D3570A">
        <w:t xml:space="preserve">riendly </w:t>
      </w:r>
      <w:r w:rsidR="007974D7">
        <w:t>h</w:t>
      </w:r>
      <w:r w:rsidR="00D3570A">
        <w:t xml:space="preserve">ealth </w:t>
      </w:r>
      <w:r w:rsidR="007974D7">
        <w:t>s</w:t>
      </w:r>
      <w:r w:rsidR="00D3570A">
        <w:t xml:space="preserve">ystem </w:t>
      </w:r>
      <w:r w:rsidR="007974D7">
        <w:t>m</w:t>
      </w:r>
      <w:r w:rsidR="00D3570A">
        <w:t xml:space="preserve">odel’ </w:t>
      </w:r>
      <w:r w:rsidR="001B55ED" w:rsidRPr="001833B9">
        <w:t>that would reduce hospital</w:t>
      </w:r>
      <w:r w:rsidR="00D3570A">
        <w:t>-</w:t>
      </w:r>
      <w:r w:rsidR="001B55ED" w:rsidRPr="001833B9">
        <w:t>acquired harm</w:t>
      </w:r>
      <w:r w:rsidR="00C9337F">
        <w:t xml:space="preserve"> and variations in care</w:t>
      </w:r>
      <w:r w:rsidR="0013175D">
        <w:t xml:space="preserve"> for older Victorians,</w:t>
      </w:r>
      <w:r w:rsidR="007974D7">
        <w:t xml:space="preserve"> </w:t>
      </w:r>
      <w:r w:rsidR="001B55ED" w:rsidRPr="001833B9">
        <w:t xml:space="preserve">improve </w:t>
      </w:r>
      <w:r w:rsidR="0013175D">
        <w:t xml:space="preserve">their </w:t>
      </w:r>
      <w:r w:rsidR="001B55ED" w:rsidRPr="001833B9">
        <w:t>health and wellbeing outcomes</w:t>
      </w:r>
      <w:r w:rsidR="0013175D">
        <w:t xml:space="preserve">, </w:t>
      </w:r>
      <w:r w:rsidR="001B55ED" w:rsidRPr="001833B9">
        <w:t>and enhance the capacity of the regional health system.</w:t>
      </w:r>
      <w:r w:rsidR="00026D91">
        <w:t xml:space="preserve"> </w:t>
      </w:r>
    </w:p>
    <w:p w14:paraId="17AC57C9" w14:textId="7C2B4EC6" w:rsidR="00E41D82" w:rsidRDefault="00C7098C">
      <w:pPr>
        <w:rPr>
          <w:rFonts w:asciiTheme="majorHAnsi" w:eastAsiaTheme="majorEastAsia" w:hAnsiTheme="majorHAnsi" w:cstheme="majorBidi"/>
          <w:b/>
          <w:bCs/>
          <w:caps/>
          <w:color w:val="0063A5" w:themeColor="text2"/>
          <w:sz w:val="24"/>
          <w:szCs w:val="26"/>
        </w:rPr>
      </w:pPr>
      <w:r w:rsidRPr="00C821CE">
        <w:rPr>
          <w:noProof/>
        </w:rPr>
        <mc:AlternateContent>
          <mc:Choice Requires="wps">
            <w:drawing>
              <wp:inline distT="0" distB="0" distL="0" distR="0" wp14:anchorId="7E5AC192" wp14:editId="5D1D355C">
                <wp:extent cx="3230245" cy="4181475"/>
                <wp:effectExtent l="0" t="0" r="2730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181475"/>
                        </a:xfrm>
                        <a:prstGeom prst="rect">
                          <a:avLst/>
                        </a:prstGeom>
                        <a:solidFill>
                          <a:srgbClr val="FEEAD2"/>
                        </a:solidFill>
                        <a:ln w="6350">
                          <a:solidFill>
                            <a:srgbClr val="FEEAD2"/>
                          </a:solidFill>
                          <a:miter lim="800000"/>
                          <a:headEnd/>
                          <a:tailEnd/>
                        </a:ln>
                      </wps:spPr>
                      <wps:txbx>
                        <w:txbxContent>
                          <w:p w14:paraId="14988FB7" w14:textId="6F193579" w:rsidR="00C7098C" w:rsidRPr="004D6898" w:rsidRDefault="009A4D8D" w:rsidP="00C7098C">
                            <w:pPr>
                              <w:pStyle w:val="PulloutHeading"/>
                            </w:pPr>
                            <w:r w:rsidRPr="009A4D8D">
                              <w:t xml:space="preserve">Building an age-friendly </w:t>
                            </w:r>
                            <w:r w:rsidR="00AE4494">
                              <w:t>I</w:t>
                            </w:r>
                            <w:r w:rsidRPr="009A4D8D">
                              <w:t>ndigo health system</w:t>
                            </w:r>
                          </w:p>
                          <w:p w14:paraId="3BCE2E88" w14:textId="17F8FEFE" w:rsidR="00C7098C" w:rsidRDefault="00C7098C" w:rsidP="00C7098C">
                            <w:pPr>
                              <w:pStyle w:val="PulloutText"/>
                            </w:pPr>
                            <w:r w:rsidRPr="00186B39">
                              <w:rPr>
                                <w:b/>
                                <w:bCs/>
                              </w:rPr>
                              <w:t>Lead</w:t>
                            </w:r>
                            <w:r>
                              <w:t xml:space="preserve"> </w:t>
                            </w:r>
                            <w:r w:rsidR="00AE4494" w:rsidRPr="00AE4494">
                              <w:t>Beechworth Health</w:t>
                            </w:r>
                          </w:p>
                          <w:p w14:paraId="6FDBE315" w14:textId="58978081" w:rsidR="00C7098C" w:rsidRPr="00AE4494" w:rsidRDefault="00C7098C" w:rsidP="00AE4494">
                            <w:pPr>
                              <w:pStyle w:val="PulloutText"/>
                            </w:pPr>
                            <w:r w:rsidRPr="00911408">
                              <w:rPr>
                                <w:b/>
                                <w:bCs/>
                              </w:rPr>
                              <w:t>Partner</w:t>
                            </w:r>
                            <w:r w:rsidR="00AE4494">
                              <w:rPr>
                                <w:b/>
                                <w:bCs/>
                              </w:rPr>
                              <w:t xml:space="preserve">s </w:t>
                            </w:r>
                            <w:r w:rsidR="00AE4494" w:rsidRPr="00AE4494">
                              <w:t>Albury Wodonga Health</w:t>
                            </w:r>
                            <w:r w:rsidR="00AE4494">
                              <w:t xml:space="preserve">, </w:t>
                            </w:r>
                            <w:r w:rsidR="00AE4494" w:rsidRPr="00AE4494">
                              <w:t>Gateway Health</w:t>
                            </w:r>
                            <w:r w:rsidR="00AE4494">
                              <w:t xml:space="preserve">, </w:t>
                            </w:r>
                            <w:r w:rsidR="00AE4494" w:rsidRPr="00AE4494">
                              <w:t>Indigo North Health</w:t>
                            </w:r>
                            <w:r w:rsidR="00AE4494">
                              <w:t xml:space="preserve">, </w:t>
                            </w:r>
                            <w:r w:rsidR="000B69B3">
                              <w:t xml:space="preserve">Indigo Shire, John Richards Centre Rural Health and Ageing Research, </w:t>
                            </w:r>
                            <w:r w:rsidR="00AE4494" w:rsidRPr="00AE4494">
                              <w:t>North East Health Wangaratta</w:t>
                            </w:r>
                            <w:r w:rsidR="002079A1">
                              <w:t xml:space="preserve">, </w:t>
                            </w:r>
                            <w:r w:rsidR="000B69B3">
                              <w:t xml:space="preserve">Upper Hume PCP, </w:t>
                            </w:r>
                            <w:r w:rsidR="00AE4494" w:rsidRPr="00AE4494">
                              <w:t>Yackandandah Health</w:t>
                            </w:r>
                          </w:p>
                          <w:p w14:paraId="59A54D14" w14:textId="617FB3F8" w:rsidR="00C7098C" w:rsidRPr="00911408" w:rsidRDefault="00186B39" w:rsidP="00C7098C">
                            <w:pPr>
                              <w:pStyle w:val="PulloutText"/>
                              <w:rPr>
                                <w:b/>
                                <w:bCs/>
                              </w:rPr>
                            </w:pPr>
                            <w:r>
                              <w:rPr>
                                <w:b/>
                                <w:bCs/>
                              </w:rPr>
                              <w:t>Duration</w:t>
                            </w:r>
                            <w:r w:rsidR="00AE4494">
                              <w:rPr>
                                <w:b/>
                                <w:bCs/>
                              </w:rPr>
                              <w:t xml:space="preserve"> </w:t>
                            </w:r>
                            <w:r w:rsidR="000B69B3" w:rsidRPr="008F27EE">
                              <w:t>November</w:t>
                            </w:r>
                            <w:r w:rsidR="000B69B3" w:rsidRPr="008F27EE">
                              <w:rPr>
                                <w:b/>
                                <w:bCs/>
                              </w:rPr>
                              <w:t xml:space="preserve"> </w:t>
                            </w:r>
                            <w:r w:rsidR="00CC2D16" w:rsidRPr="008F27EE">
                              <w:t xml:space="preserve">2018 – </w:t>
                            </w:r>
                            <w:r w:rsidR="000B69B3" w:rsidRPr="008F27EE">
                              <w:t xml:space="preserve">April </w:t>
                            </w:r>
                            <w:r w:rsidR="00CC2D16" w:rsidRPr="008F27EE">
                              <w:t>2020</w:t>
                            </w:r>
                          </w:p>
                          <w:p w14:paraId="29DC0549" w14:textId="6D5059E8" w:rsidR="00C7098C" w:rsidRDefault="00C7098C" w:rsidP="00C7098C">
                            <w:pPr>
                              <w:pStyle w:val="PulloutText"/>
                              <w:rPr>
                                <w:b/>
                                <w:bCs/>
                              </w:rPr>
                            </w:pPr>
                            <w:r w:rsidRPr="00911408">
                              <w:rPr>
                                <w:b/>
                                <w:bCs/>
                              </w:rPr>
                              <w:t xml:space="preserve">Key </w:t>
                            </w:r>
                            <w:r w:rsidR="00BC07DF">
                              <w:rPr>
                                <w:b/>
                                <w:bCs/>
                              </w:rPr>
                              <w:t>outcomes</w:t>
                            </w:r>
                          </w:p>
                          <w:p w14:paraId="05282C02" w14:textId="7B282A66" w:rsidR="00FF5274" w:rsidRDefault="00FF5274" w:rsidP="00FF5274">
                            <w:pPr>
                              <w:pStyle w:val="Bullet1"/>
                            </w:pPr>
                            <w:r>
                              <w:t>Developed</w:t>
                            </w:r>
                            <w:r w:rsidR="00D62508">
                              <w:t xml:space="preserve"> </w:t>
                            </w:r>
                            <w:r w:rsidR="00D62508" w:rsidRPr="00D62508">
                              <w:t>the Indigo 4Ms framework</w:t>
                            </w:r>
                            <w:r w:rsidR="00D62508">
                              <w:t>,</w:t>
                            </w:r>
                            <w:r>
                              <w:t xml:space="preserve"> a framework to deliver better care for older </w:t>
                            </w:r>
                            <w:r w:rsidR="007A5DF4">
                              <w:t>people living in regional and rural Victoria that has been endorsed by clinicians and consumers and can be used in any care setting</w:t>
                            </w:r>
                          </w:p>
                          <w:p w14:paraId="712CF8D4" w14:textId="0B4138B5" w:rsidR="00FF5274" w:rsidRDefault="00FF5274" w:rsidP="00FF5274">
                            <w:pPr>
                              <w:pStyle w:val="Bullet1"/>
                            </w:pPr>
                            <w:r>
                              <w:t xml:space="preserve">Demonstrated that the framework can improve patient health and social outcomes and potentially achieve </w:t>
                            </w:r>
                            <w:r w:rsidR="007A5DF4">
                              <w:t xml:space="preserve">significant </w:t>
                            </w:r>
                            <w:r>
                              <w:t>cost savings</w:t>
                            </w:r>
                          </w:p>
                          <w:p w14:paraId="3E9604BB" w14:textId="78E6145B" w:rsidR="00FF5274" w:rsidRPr="00911408" w:rsidRDefault="006D339B" w:rsidP="00FF5274">
                            <w:pPr>
                              <w:pStyle w:val="Bullet1"/>
                            </w:pPr>
                            <w:r>
                              <w:t xml:space="preserve">Identified </w:t>
                            </w:r>
                            <w:r w:rsidR="004D20B2">
                              <w:t xml:space="preserve">strategies </w:t>
                            </w:r>
                            <w:r w:rsidR="00FF5274">
                              <w:t>to help health services implement the Indigo 4Ms framework</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" fillcolor="#feead2" strokecolor="#feead2" strokeweight=".5pt">
                <v:textbox inset="5mm,5mm,4mm,1mm">
                  <w:txbxContent>
                    <w:p w14:paraId="14988FB7" w14:textId="6F193579" w:rsidR="00C7098C" w:rsidRPr="004D6898" w:rsidRDefault="009A4D8D" w:rsidP="00C7098C">
                      <w:pPr>
                        <w:pStyle w:val="PulloutHeading"/>
                      </w:pPr>
                      <w:r w:rsidRPr="009A4D8D">
                        <w:t xml:space="preserve">Building an age-friendly </w:t>
                      </w:r>
                      <w:r w:rsidR="00AE4494">
                        <w:t>I</w:t>
                      </w:r>
                      <w:r w:rsidRPr="009A4D8D">
                        <w:t>ndigo health system</w:t>
                      </w:r>
                    </w:p>
                    <w:p w14:paraId="3BCE2E88" w14:textId="17F8FEFE" w:rsidR="00C7098C" w:rsidRDefault="00C7098C" w:rsidP="00C7098C">
                      <w:pPr>
                        <w:pStyle w:val="PulloutText"/>
                      </w:pPr>
                      <w:r w:rsidRPr="00186B39">
                        <w:rPr>
                          <w:b/>
                          <w:bCs/>
                        </w:rPr>
                        <w:t>Lead</w:t>
                      </w:r>
                      <w:r>
                        <w:t xml:space="preserve"> </w:t>
                      </w:r>
                      <w:r w:rsidR="00AE4494" w:rsidRPr="00AE4494">
                        <w:t>Beechworth Health</w:t>
                      </w:r>
                    </w:p>
                    <w:p w14:paraId="6FDBE315" w14:textId="58978081" w:rsidR="00C7098C" w:rsidRPr="00AE4494" w:rsidRDefault="00C7098C" w:rsidP="00AE4494">
                      <w:pPr>
                        <w:pStyle w:val="PulloutText"/>
                      </w:pPr>
                      <w:r w:rsidRPr="00911408">
                        <w:rPr>
                          <w:b/>
                          <w:bCs/>
                        </w:rPr>
                        <w:t>Partner</w:t>
                      </w:r>
                      <w:r w:rsidR="00AE4494">
                        <w:rPr>
                          <w:b/>
                          <w:bCs/>
                        </w:rPr>
                        <w:t xml:space="preserve">s </w:t>
                      </w:r>
                      <w:r w:rsidR="00AE4494" w:rsidRPr="00AE4494">
                        <w:t>Albury Wodonga Health</w:t>
                      </w:r>
                      <w:r w:rsidR="00AE4494">
                        <w:t xml:space="preserve">, </w:t>
                      </w:r>
                      <w:r w:rsidR="00AE4494" w:rsidRPr="00AE4494">
                        <w:t>Gateway Health</w:t>
                      </w:r>
                      <w:r w:rsidR="00AE4494">
                        <w:t xml:space="preserve">, </w:t>
                      </w:r>
                      <w:r w:rsidR="00AE4494" w:rsidRPr="00AE4494">
                        <w:t>Indigo North Health</w:t>
                      </w:r>
                      <w:r w:rsidR="00AE4494">
                        <w:t xml:space="preserve">, </w:t>
                      </w:r>
                      <w:r w:rsidR="000B69B3">
                        <w:t xml:space="preserve">Indigo Shire, John Richards Centre Rural Health and Ageing Research, </w:t>
                      </w:r>
                      <w:r w:rsidR="00AE4494" w:rsidRPr="00AE4494">
                        <w:t>North East Health Wangaratta</w:t>
                      </w:r>
                      <w:r w:rsidR="002079A1">
                        <w:t xml:space="preserve">, </w:t>
                      </w:r>
                      <w:r w:rsidR="000B69B3">
                        <w:t xml:space="preserve">Upper Hume PCP, </w:t>
                      </w:r>
                      <w:r w:rsidR="00AE4494" w:rsidRPr="00AE4494">
                        <w:t>Yackandandah Health</w:t>
                      </w:r>
                    </w:p>
                    <w:p w14:paraId="59A54D14" w14:textId="617FB3F8" w:rsidR="00C7098C" w:rsidRPr="00911408" w:rsidRDefault="00186B39" w:rsidP="00C7098C">
                      <w:pPr>
                        <w:pStyle w:val="PulloutText"/>
                        <w:rPr>
                          <w:b/>
                          <w:bCs/>
                        </w:rPr>
                      </w:pPr>
                      <w:r>
                        <w:rPr>
                          <w:b/>
                          <w:bCs/>
                        </w:rPr>
                        <w:t>Duration</w:t>
                      </w:r>
                      <w:r w:rsidR="00AE4494">
                        <w:rPr>
                          <w:b/>
                          <w:bCs/>
                        </w:rPr>
                        <w:t xml:space="preserve"> </w:t>
                      </w:r>
                      <w:r w:rsidR="000B69B3" w:rsidRPr="008F27EE">
                        <w:t>November</w:t>
                      </w:r>
                      <w:r w:rsidR="000B69B3" w:rsidRPr="008F27EE">
                        <w:rPr>
                          <w:b/>
                          <w:bCs/>
                        </w:rPr>
                        <w:t xml:space="preserve"> </w:t>
                      </w:r>
                      <w:r w:rsidR="00CC2D16" w:rsidRPr="008F27EE">
                        <w:t xml:space="preserve">2018 – </w:t>
                      </w:r>
                      <w:r w:rsidR="000B69B3" w:rsidRPr="008F27EE">
                        <w:t xml:space="preserve">April </w:t>
                      </w:r>
                      <w:r w:rsidR="00CC2D16" w:rsidRPr="008F27EE">
                        <w:t>2020</w:t>
                      </w:r>
                    </w:p>
                    <w:p w14:paraId="29DC0549" w14:textId="6D5059E8" w:rsidR="00C7098C" w:rsidRDefault="00C7098C" w:rsidP="00C7098C">
                      <w:pPr>
                        <w:pStyle w:val="PulloutText"/>
                        <w:rPr>
                          <w:b/>
                          <w:bCs/>
                        </w:rPr>
                      </w:pPr>
                      <w:r w:rsidRPr="00911408">
                        <w:rPr>
                          <w:b/>
                          <w:bCs/>
                        </w:rPr>
                        <w:t xml:space="preserve">Key </w:t>
                      </w:r>
                      <w:r w:rsidR="00BC07DF">
                        <w:rPr>
                          <w:b/>
                          <w:bCs/>
                        </w:rPr>
                        <w:t>outcomes</w:t>
                      </w:r>
                    </w:p>
                    <w:p w14:paraId="05282C02" w14:textId="7B282A66" w:rsidR="00FF5274" w:rsidRDefault="00FF5274" w:rsidP="00FF5274">
                      <w:pPr>
                        <w:pStyle w:val="Bullet1"/>
                      </w:pPr>
                      <w:r>
                        <w:t>Developed</w:t>
                      </w:r>
                      <w:r w:rsidR="00D62508">
                        <w:t xml:space="preserve"> </w:t>
                      </w:r>
                      <w:r w:rsidR="00D62508" w:rsidRPr="00D62508">
                        <w:t>the Indigo 4Ms framework</w:t>
                      </w:r>
                      <w:r w:rsidR="00D62508">
                        <w:t>,</w:t>
                      </w:r>
                      <w:r>
                        <w:t xml:space="preserve"> a framework to deliver better care for older </w:t>
                      </w:r>
                      <w:r w:rsidR="007A5DF4">
                        <w:t>people living in regional and rural Victoria that has been endorsed by clinicians and consumers and can be used in any care setting</w:t>
                      </w:r>
                    </w:p>
                    <w:p w14:paraId="712CF8D4" w14:textId="0B4138B5" w:rsidR="00FF5274" w:rsidRDefault="00FF5274" w:rsidP="00FF5274">
                      <w:pPr>
                        <w:pStyle w:val="Bullet1"/>
                      </w:pPr>
                      <w:r>
                        <w:t xml:space="preserve">Demonstrated that the framework can improve patient health and social outcomes and potentially achieve </w:t>
                      </w:r>
                      <w:r w:rsidR="007A5DF4">
                        <w:t xml:space="preserve">significant </w:t>
                      </w:r>
                      <w:r>
                        <w:t>cost savings</w:t>
                      </w:r>
                    </w:p>
                    <w:p w14:paraId="3E9604BB" w14:textId="78E6145B" w:rsidR="00FF5274" w:rsidRPr="00911408" w:rsidRDefault="006D339B" w:rsidP="00FF5274">
                      <w:pPr>
                        <w:pStyle w:val="Bullet1"/>
                      </w:pPr>
                      <w:r>
                        <w:t xml:space="preserve">Identified </w:t>
                      </w:r>
                      <w:r w:rsidR="004D20B2">
                        <w:t xml:space="preserve">strategies </w:t>
                      </w:r>
                      <w:r w:rsidR="00FF5274">
                        <w:t>to help health services implement the Indigo 4Ms framework</w:t>
                      </w:r>
                    </w:p>
                  </w:txbxContent>
                </v:textbox>
                <w10:anchorlock/>
              </v:shape>
            </w:pict>
          </mc:Fallback>
        </mc:AlternateContent>
      </w:r>
      <w:r w:rsidR="00E41D82">
        <w:br w:type="page"/>
      </w:r>
    </w:p>
    <w:p w14:paraId="3DA60E98" w14:textId="51188B8B" w:rsidR="00794CB7" w:rsidRDefault="00CD5612" w:rsidP="004A4ED0">
      <w:pPr>
        <w:pStyle w:val="Heading2"/>
      </w:pPr>
      <w:r>
        <w:lastRenderedPageBreak/>
        <w:t>Key activity</w:t>
      </w:r>
    </w:p>
    <w:p w14:paraId="11AF0C83" w14:textId="36C60BDB" w:rsidR="006C3691" w:rsidRDefault="000E5C40" w:rsidP="00374C91">
      <w:pPr>
        <w:pStyle w:val="Bullet1"/>
      </w:pPr>
      <w:r>
        <w:t xml:space="preserve">Academics </w:t>
      </w:r>
      <w:r w:rsidRPr="000E5C40">
        <w:t>from La Trobe University</w:t>
      </w:r>
      <w:r>
        <w:t xml:space="preserve"> </w:t>
      </w:r>
      <w:r w:rsidR="003D1BBB">
        <w:t xml:space="preserve">independently </w:t>
      </w:r>
      <w:r>
        <w:t xml:space="preserve">reviewed Australian rural health research against the IHI 4Ms framework to determine if </w:t>
      </w:r>
      <w:r w:rsidR="008E576C">
        <w:t xml:space="preserve">its four core elements were </w:t>
      </w:r>
      <w:r w:rsidR="007C344C">
        <w:t xml:space="preserve">suitable for </w:t>
      </w:r>
      <w:r>
        <w:t xml:space="preserve">a local context. </w:t>
      </w:r>
      <w:r w:rsidR="00374C91">
        <w:t xml:space="preserve">An </w:t>
      </w:r>
      <w:r>
        <w:t xml:space="preserve">expert team </w:t>
      </w:r>
      <w:r w:rsidR="008E576C">
        <w:t>of</w:t>
      </w:r>
      <w:r>
        <w:t xml:space="preserve"> </w:t>
      </w:r>
      <w:r w:rsidR="00F77F77">
        <w:t>healthcare providers and</w:t>
      </w:r>
      <w:r w:rsidR="00F77F77" w:rsidRPr="00F77F77">
        <w:t xml:space="preserve"> </w:t>
      </w:r>
      <w:r w:rsidR="00F77F77">
        <w:t>consumers</w:t>
      </w:r>
      <w:r w:rsidR="008E576C" w:rsidRPr="008E576C">
        <w:t xml:space="preserve"> </w:t>
      </w:r>
      <w:r w:rsidR="00374C91">
        <w:t xml:space="preserve">then assessed the </w:t>
      </w:r>
      <w:r w:rsidR="008E576C">
        <w:t>review</w:t>
      </w:r>
      <w:r w:rsidR="003D1BBB">
        <w:t xml:space="preserve"> findings</w:t>
      </w:r>
      <w:r w:rsidR="008E576C">
        <w:t xml:space="preserve"> against their clinical knowledge and lived experience, </w:t>
      </w:r>
      <w:r w:rsidR="000D3B17">
        <w:t xml:space="preserve">confirming the </w:t>
      </w:r>
      <w:r w:rsidR="008E576C">
        <w:t>framework</w:t>
      </w:r>
      <w:r w:rsidR="000D3B17">
        <w:t xml:space="preserve"> was relevant and useful for a local setting. </w:t>
      </w:r>
    </w:p>
    <w:p w14:paraId="49623919" w14:textId="597DB593" w:rsidR="008E576C" w:rsidRDefault="000D3B17" w:rsidP="000E5C40">
      <w:pPr>
        <w:pStyle w:val="Bullet1"/>
      </w:pPr>
      <w:r>
        <w:t xml:space="preserve">The </w:t>
      </w:r>
      <w:r w:rsidR="006C3691">
        <w:t>framework</w:t>
      </w:r>
      <w:r>
        <w:t xml:space="preserve">’s </w:t>
      </w:r>
      <w:r w:rsidR="006C3691">
        <w:t xml:space="preserve">language </w:t>
      </w:r>
      <w:r w:rsidR="007C344C">
        <w:t xml:space="preserve">and the actions under each core element </w:t>
      </w:r>
      <w:r>
        <w:t xml:space="preserve">were changed </w:t>
      </w:r>
      <w:r w:rsidR="00F4689C" w:rsidRPr="00F4689C">
        <w:t xml:space="preserve">to reflect the health and social needs </w:t>
      </w:r>
      <w:r w:rsidR="00F4689C">
        <w:t xml:space="preserve">of </w:t>
      </w:r>
      <w:r w:rsidR="00F4689C" w:rsidRPr="00F4689C">
        <w:t xml:space="preserve">older people in Australian rural health </w:t>
      </w:r>
      <w:r w:rsidR="00F4689C">
        <w:t>settings</w:t>
      </w:r>
      <w:r w:rsidR="002932DD">
        <w:t xml:space="preserve">, to </w:t>
      </w:r>
      <w:r w:rsidR="00F4689C">
        <w:t xml:space="preserve">align </w:t>
      </w:r>
      <w:r w:rsidR="002932DD">
        <w:t xml:space="preserve">with </w:t>
      </w:r>
      <w:r w:rsidR="00F4689C">
        <w:t xml:space="preserve">the WHO ICOPE guidelines, </w:t>
      </w:r>
      <w:r w:rsidR="002932DD">
        <w:t xml:space="preserve">and to </w:t>
      </w:r>
      <w:r w:rsidR="007C344C" w:rsidRPr="007C344C">
        <w:t xml:space="preserve">incorporate additional evidence identified </w:t>
      </w:r>
      <w:r w:rsidR="00374C91">
        <w:t xml:space="preserve">in the </w:t>
      </w:r>
      <w:r w:rsidR="007C344C" w:rsidRPr="007C344C">
        <w:t xml:space="preserve">La Trobe University </w:t>
      </w:r>
      <w:r w:rsidR="00374C91">
        <w:t>review</w:t>
      </w:r>
      <w:r w:rsidR="002932DD">
        <w:t>, resulting in the first draft of the Indigo 4Ms framework.</w:t>
      </w:r>
    </w:p>
    <w:p w14:paraId="4709E10C" w14:textId="0AA88C42" w:rsidR="000E5C40" w:rsidRDefault="000D3B17" w:rsidP="000E5C40">
      <w:pPr>
        <w:pStyle w:val="Bullet1"/>
      </w:pPr>
      <w:r>
        <w:t xml:space="preserve">The </w:t>
      </w:r>
      <w:r w:rsidR="007C344C">
        <w:t xml:space="preserve">first </w:t>
      </w:r>
      <w:r>
        <w:t xml:space="preserve">draft </w:t>
      </w:r>
      <w:r w:rsidR="006C3691">
        <w:t>f</w:t>
      </w:r>
      <w:r w:rsidR="006C3691" w:rsidRPr="00F4689C">
        <w:t>ramework</w:t>
      </w:r>
      <w:r w:rsidR="006C3691">
        <w:t xml:space="preserve"> </w:t>
      </w:r>
      <w:r>
        <w:t>was reviewed by a second group of La Trobe University academics</w:t>
      </w:r>
      <w:r w:rsidR="007C344C">
        <w:t xml:space="preserve"> to confirm </w:t>
      </w:r>
      <w:r>
        <w:t xml:space="preserve">it </w:t>
      </w:r>
      <w:r w:rsidR="006C3691">
        <w:t xml:space="preserve">aligned with </w:t>
      </w:r>
      <w:r w:rsidR="00F4689C">
        <w:t xml:space="preserve">state and federal </w:t>
      </w:r>
      <w:r w:rsidR="00F4689C" w:rsidRPr="00F4689C">
        <w:t>regulatory framework</w:t>
      </w:r>
      <w:r w:rsidR="00F4689C">
        <w:t>s</w:t>
      </w:r>
      <w:r w:rsidR="00F4689C" w:rsidRPr="00F4689C">
        <w:t xml:space="preserve"> and local models of care</w:t>
      </w:r>
      <w:r w:rsidR="003410A8">
        <w:t xml:space="preserve"> for older people</w:t>
      </w:r>
      <w:r w:rsidR="00F4689C" w:rsidRPr="00F4689C">
        <w:t>.</w:t>
      </w:r>
    </w:p>
    <w:p w14:paraId="791EECA6" w14:textId="327A7A0E" w:rsidR="00BC1F36" w:rsidRDefault="00027D5D" w:rsidP="000E5C40">
      <w:pPr>
        <w:pStyle w:val="Bullet1"/>
      </w:pPr>
      <w:r>
        <w:t>Based on input from health practitioners, policy makers and leaders</w:t>
      </w:r>
      <w:r w:rsidR="007E50CD">
        <w:t>,</w:t>
      </w:r>
      <w:r>
        <w:t xml:space="preserve"> </w:t>
      </w:r>
      <w:r w:rsidR="007E50CD">
        <w:t>t</w:t>
      </w:r>
      <w:r w:rsidR="007E25F9">
        <w:t xml:space="preserve">he </w:t>
      </w:r>
      <w:r w:rsidR="0084663F">
        <w:t xml:space="preserve">framework </w:t>
      </w:r>
      <w:r w:rsidR="007C344C">
        <w:t xml:space="preserve">actions were </w:t>
      </w:r>
      <w:r w:rsidR="00E512C3">
        <w:t>refined to those deemed most important</w:t>
      </w:r>
      <w:r>
        <w:t xml:space="preserve">, then </w:t>
      </w:r>
      <w:r w:rsidR="00E512C3">
        <w:t>modified to reflect routine practice across a range of care settings.</w:t>
      </w:r>
    </w:p>
    <w:p w14:paraId="230321D1" w14:textId="52B8EAA6" w:rsidR="00B665FA" w:rsidRDefault="007E25F9" w:rsidP="000E5C40">
      <w:pPr>
        <w:pStyle w:val="Bullet1"/>
      </w:pPr>
      <w:r>
        <w:t xml:space="preserve">The final framework was established </w:t>
      </w:r>
      <w:r w:rsidR="00374C91">
        <w:t xml:space="preserve">following </w:t>
      </w:r>
      <w:r>
        <w:t xml:space="preserve">consultations with gerontologists and clinical experts in nursing and allied health, community meetings with groups of older people, and a final clinical overview from an </w:t>
      </w:r>
      <w:r w:rsidR="00B665FA">
        <w:t>expert team</w:t>
      </w:r>
      <w:r w:rsidR="007D4114">
        <w:t>.</w:t>
      </w:r>
    </w:p>
    <w:p w14:paraId="4DCFB341" w14:textId="4586DF9B" w:rsidR="002B5C34" w:rsidRDefault="00435805" w:rsidP="004A4ED0">
      <w:pPr>
        <w:pStyle w:val="Heading2"/>
      </w:pPr>
      <w:r>
        <w:t>O</w:t>
      </w:r>
      <w:r w:rsidR="009B1BBA" w:rsidRPr="00F80A39">
        <w:t>utcomes</w:t>
      </w:r>
    </w:p>
    <w:p w14:paraId="5C718131" w14:textId="0D3555DF" w:rsidR="00403C73" w:rsidRDefault="00403C73" w:rsidP="00403C73">
      <w:pPr>
        <w:pStyle w:val="Heading3"/>
      </w:pPr>
      <w:r>
        <w:t>The Indigo 4Ms framework</w:t>
      </w:r>
    </w:p>
    <w:p w14:paraId="7AE727BF" w14:textId="77777777" w:rsidR="0059437D" w:rsidRPr="00403C73" w:rsidRDefault="0059437D" w:rsidP="00A22E74">
      <w:pPr>
        <w:pStyle w:val="Normalfollowingheading"/>
      </w:pPr>
      <w:r>
        <w:t xml:space="preserve">The consortium succeeded in developing a framework </w:t>
      </w:r>
      <w:r w:rsidRPr="003C27FE">
        <w:t>to deliver better care for older people living in rural and regional Victoria</w:t>
      </w:r>
      <w:r>
        <w:t>.</w:t>
      </w:r>
    </w:p>
    <w:p w14:paraId="522BF1C6" w14:textId="3E90230C" w:rsidR="0059437D" w:rsidRPr="0059437D" w:rsidRDefault="0059437D" w:rsidP="00A22E74">
      <w:pPr>
        <w:pStyle w:val="Normalfollowingheading"/>
      </w:pPr>
      <w:r>
        <w:t xml:space="preserve">The </w:t>
      </w:r>
      <w:r w:rsidRPr="00381FAA">
        <w:t xml:space="preserve">Indigo Age-Friendly Health System 4Ms </w:t>
      </w:r>
      <w:r w:rsidR="000B69B3">
        <w:t>f</w:t>
      </w:r>
      <w:r w:rsidRPr="00381FAA">
        <w:t>ramework</w:t>
      </w:r>
      <w:r>
        <w:t xml:space="preserve"> (see Table 1), which has been endorsed by </w:t>
      </w:r>
      <w:r w:rsidRPr="002E23AE">
        <w:t>clinicians and consumers</w:t>
      </w:r>
      <w:r>
        <w:t>, gives overall structure to the care of older people, irrespective of the care setting and the person’s level of functional ability. It can slow or prevent decline in physical or mental capacity for people currently living well in the community and provide person-centred, holistic care for people living with significant impairments.</w:t>
      </w:r>
    </w:p>
    <w:p w14:paraId="334A5E84" w14:textId="3A9D5B67" w:rsidR="000E6D19" w:rsidRPr="000E6D19" w:rsidRDefault="00E30BB6" w:rsidP="000E6D19">
      <w:pPr>
        <w:pStyle w:val="Tablechartdiagramheading"/>
      </w:pPr>
      <w:r>
        <w:t xml:space="preserve">Table </w:t>
      </w:r>
      <w:r w:rsidR="000E6D19">
        <w:t xml:space="preserve">1. </w:t>
      </w:r>
      <w:r w:rsidR="000E6D19" w:rsidRPr="000E6D19">
        <w:t xml:space="preserve">The Indigo </w:t>
      </w:r>
      <w:r w:rsidR="00635C27">
        <w:t>A</w:t>
      </w:r>
      <w:r w:rsidR="00711480">
        <w:t>ge-</w:t>
      </w:r>
      <w:r w:rsidR="00635C27">
        <w:t>F</w:t>
      </w:r>
      <w:r w:rsidR="00711480">
        <w:t xml:space="preserve">riendly </w:t>
      </w:r>
      <w:r w:rsidR="00635C27">
        <w:t>H</w:t>
      </w:r>
      <w:r w:rsidR="00711480">
        <w:t xml:space="preserve">ealth </w:t>
      </w:r>
      <w:r w:rsidR="00635C27">
        <w:t>S</w:t>
      </w:r>
      <w:r w:rsidR="00711480">
        <w:t xml:space="preserve">ystem </w:t>
      </w:r>
      <w:r w:rsidR="000E6D19" w:rsidRPr="000E6D19">
        <w:t xml:space="preserve">4Ms </w:t>
      </w:r>
      <w:r w:rsidR="007E5823">
        <w:t>f</w:t>
      </w:r>
      <w:r w:rsidR="000E6D19" w:rsidRPr="000E6D19">
        <w:t>ramework</w:t>
      </w:r>
    </w:p>
    <w:tbl>
      <w:tblPr>
        <w:tblStyle w:val="TableGrid"/>
        <w:tblW w:w="0" w:type="auto"/>
        <w:tblLook w:val="04A0" w:firstRow="1" w:lastRow="0" w:firstColumn="1" w:lastColumn="0" w:noHBand="0" w:noVBand="1"/>
      </w:tblPr>
      <w:tblGrid>
        <w:gridCol w:w="2127"/>
        <w:gridCol w:w="2947"/>
      </w:tblGrid>
      <w:tr w:rsidR="000E6D19" w14:paraId="0E0EAEBD" w14:textId="77777777" w:rsidTr="00EC3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DFA6B3C" w14:textId="32DD141C" w:rsidR="000E6D19" w:rsidRDefault="007C344C" w:rsidP="00794CB7">
            <w:pPr>
              <w:pStyle w:val="Normalfollowingheading"/>
            </w:pPr>
            <w:r>
              <w:t>Core element and aim</w:t>
            </w:r>
          </w:p>
        </w:tc>
        <w:tc>
          <w:tcPr>
            <w:tcW w:w="2947" w:type="dxa"/>
          </w:tcPr>
          <w:p w14:paraId="4AF0AC4C" w14:textId="2F19737F" w:rsidR="000E6D19" w:rsidRDefault="007C344C" w:rsidP="00794CB7">
            <w:pPr>
              <w:pStyle w:val="Normalfollowingheading"/>
              <w:cnfStyle w:val="100000000000" w:firstRow="1" w:lastRow="0" w:firstColumn="0" w:lastColumn="0" w:oddVBand="0" w:evenVBand="0" w:oddHBand="0" w:evenHBand="0" w:firstRowFirstColumn="0" w:firstRowLastColumn="0" w:lastRowFirstColumn="0" w:lastRowLastColumn="0"/>
            </w:pPr>
            <w:r>
              <w:t>Key actions</w:t>
            </w:r>
          </w:p>
        </w:tc>
      </w:tr>
      <w:tr w:rsidR="000E6D19" w14:paraId="0380E5DB" w14:textId="77777777" w:rsidTr="00EC3424">
        <w:tc>
          <w:tcPr>
            <w:cnfStyle w:val="001000000000" w:firstRow="0" w:lastRow="0" w:firstColumn="1" w:lastColumn="0" w:oddVBand="0" w:evenVBand="0" w:oddHBand="0" w:evenHBand="0" w:firstRowFirstColumn="0" w:firstRowLastColumn="0" w:lastRowFirstColumn="0" w:lastRowLastColumn="0"/>
            <w:tcW w:w="2127" w:type="dxa"/>
          </w:tcPr>
          <w:p w14:paraId="488CBF30" w14:textId="77777777" w:rsidR="000E6D19" w:rsidRDefault="000E6D19" w:rsidP="00794CB7">
            <w:pPr>
              <w:pStyle w:val="Normalfollowingheading"/>
              <w:rPr>
                <w:b w:val="0"/>
              </w:rPr>
            </w:pPr>
            <w:r>
              <w:t>What matters</w:t>
            </w:r>
          </w:p>
          <w:p w14:paraId="645234F1" w14:textId="6821E061" w:rsidR="00CE3379" w:rsidRPr="00CE3379" w:rsidRDefault="00CE3379" w:rsidP="00CE3379">
            <w:pPr>
              <w:rPr>
                <w:b w:val="0"/>
                <w:bCs/>
                <w:i/>
                <w:iCs/>
              </w:rPr>
            </w:pPr>
            <w:r w:rsidRPr="00CE3379">
              <w:rPr>
                <w:b w:val="0"/>
                <w:bCs/>
                <w:i/>
                <w:iCs/>
              </w:rPr>
              <w:t>Provide person-centred assessment and care planning</w:t>
            </w:r>
          </w:p>
        </w:tc>
        <w:tc>
          <w:tcPr>
            <w:tcW w:w="2947" w:type="dxa"/>
          </w:tcPr>
          <w:p w14:paraId="7B701F25" w14:textId="6E629459" w:rsidR="00CE3379" w:rsidRDefault="00CE3379" w:rsidP="00CE3379">
            <w:pPr>
              <w:pStyle w:val="Bullet1"/>
              <w:cnfStyle w:val="000000000000" w:firstRow="0" w:lastRow="0" w:firstColumn="0" w:lastColumn="0" w:oddVBand="0" w:evenVBand="0" w:oddHBand="0" w:evenHBand="0" w:firstRowFirstColumn="0" w:firstRowLastColumn="0" w:lastRowFirstColumn="0" w:lastRowLastColumn="0"/>
            </w:pPr>
            <w:r>
              <w:t>Assess and understand what matters</w:t>
            </w:r>
            <w:r w:rsidR="0077440A">
              <w:t>,</w:t>
            </w:r>
            <w:r>
              <w:t xml:space="preserve"> including individual values, priorities, goals and care preferences, and social context</w:t>
            </w:r>
          </w:p>
          <w:p w14:paraId="40C5E8CD" w14:textId="1767DA6A" w:rsidR="000E6D19" w:rsidRDefault="00CE3379" w:rsidP="00CE3379">
            <w:pPr>
              <w:pStyle w:val="Bullet1"/>
              <w:cnfStyle w:val="000000000000" w:firstRow="0" w:lastRow="0" w:firstColumn="0" w:lastColumn="0" w:oddVBand="0" w:evenVBand="0" w:oddHBand="0" w:evenHBand="0" w:firstRowFirstColumn="0" w:firstRowLastColumn="0" w:lastRowFirstColumn="0" w:lastRowLastColumn="0"/>
            </w:pPr>
            <w:r>
              <w:t>Act on what matters for current and future care, including end of life</w:t>
            </w:r>
          </w:p>
        </w:tc>
      </w:tr>
      <w:tr w:rsidR="000E6D19" w14:paraId="3E183E64" w14:textId="77777777" w:rsidTr="00EC3424">
        <w:tc>
          <w:tcPr>
            <w:cnfStyle w:val="001000000000" w:firstRow="0" w:lastRow="0" w:firstColumn="1" w:lastColumn="0" w:oddVBand="0" w:evenVBand="0" w:oddHBand="0" w:evenHBand="0" w:firstRowFirstColumn="0" w:firstRowLastColumn="0" w:lastRowFirstColumn="0" w:lastRowLastColumn="0"/>
            <w:tcW w:w="2127" w:type="dxa"/>
          </w:tcPr>
          <w:p w14:paraId="6DE4704C" w14:textId="77777777" w:rsidR="000E6D19" w:rsidRDefault="000E6D19" w:rsidP="00794CB7">
            <w:pPr>
              <w:pStyle w:val="Normalfollowingheading"/>
              <w:rPr>
                <w:b w:val="0"/>
              </w:rPr>
            </w:pPr>
            <w:r>
              <w:t>Medications</w:t>
            </w:r>
          </w:p>
          <w:p w14:paraId="02FEACD2" w14:textId="78F651B4" w:rsidR="00CE3379" w:rsidRPr="00CE3379" w:rsidRDefault="00CE3379" w:rsidP="00CE3379">
            <w:pPr>
              <w:rPr>
                <w:b w:val="0"/>
                <w:bCs/>
                <w:i/>
                <w:iCs/>
              </w:rPr>
            </w:pPr>
            <w:r w:rsidRPr="00CE3379">
              <w:rPr>
                <w:b w:val="0"/>
                <w:bCs/>
                <w:i/>
                <w:iCs/>
              </w:rPr>
              <w:t>Eliminate unnecessary, ineffective and duplicative medicines</w:t>
            </w:r>
          </w:p>
        </w:tc>
        <w:tc>
          <w:tcPr>
            <w:tcW w:w="2947" w:type="dxa"/>
          </w:tcPr>
          <w:p w14:paraId="78C8D693" w14:textId="77777777" w:rsidR="00CE3379" w:rsidRDefault="00CE3379" w:rsidP="00CE3379">
            <w:pPr>
              <w:pStyle w:val="Bullet1"/>
              <w:cnfStyle w:val="000000000000" w:firstRow="0" w:lastRow="0" w:firstColumn="0" w:lastColumn="0" w:oddVBand="0" w:evenVBand="0" w:oddHBand="0" w:evenHBand="0" w:firstRowFirstColumn="0" w:firstRowLastColumn="0" w:lastRowFirstColumn="0" w:lastRowLastColumn="0"/>
            </w:pPr>
            <w:r>
              <w:t>Screen and assess for high-risk medications</w:t>
            </w:r>
          </w:p>
          <w:p w14:paraId="7F38B8D8" w14:textId="4BDCBAD1" w:rsidR="000E6D19" w:rsidRDefault="00CE3379" w:rsidP="00CE3379">
            <w:pPr>
              <w:pStyle w:val="Bullet1"/>
              <w:cnfStyle w:val="000000000000" w:firstRow="0" w:lastRow="0" w:firstColumn="0" w:lastColumn="0" w:oddVBand="0" w:evenVBand="0" w:oddHBand="0" w:evenHBand="0" w:firstRowFirstColumn="0" w:firstRowLastColumn="0" w:lastRowFirstColumn="0" w:lastRowLastColumn="0"/>
            </w:pPr>
            <w:r>
              <w:t>Rational prescription of medicines</w:t>
            </w:r>
          </w:p>
        </w:tc>
      </w:tr>
      <w:tr w:rsidR="000E6D19" w14:paraId="178C582C" w14:textId="77777777" w:rsidTr="00EC3424">
        <w:tc>
          <w:tcPr>
            <w:cnfStyle w:val="001000000000" w:firstRow="0" w:lastRow="0" w:firstColumn="1" w:lastColumn="0" w:oddVBand="0" w:evenVBand="0" w:oddHBand="0" w:evenHBand="0" w:firstRowFirstColumn="0" w:firstRowLastColumn="0" w:lastRowFirstColumn="0" w:lastRowLastColumn="0"/>
            <w:tcW w:w="2127" w:type="dxa"/>
          </w:tcPr>
          <w:p w14:paraId="1FFEFB7A" w14:textId="77777777" w:rsidR="000E6D19" w:rsidRDefault="000E6D19" w:rsidP="00794CB7">
            <w:pPr>
              <w:pStyle w:val="Normalfollowingheading"/>
              <w:rPr>
                <w:b w:val="0"/>
              </w:rPr>
            </w:pPr>
            <w:r>
              <w:t>Mobility</w:t>
            </w:r>
          </w:p>
          <w:p w14:paraId="431E5FEA" w14:textId="77AB6201" w:rsidR="00CE3379" w:rsidRPr="00CE3379" w:rsidRDefault="00CE3379" w:rsidP="00CE3379">
            <w:pPr>
              <w:rPr>
                <w:b w:val="0"/>
                <w:bCs/>
                <w:i/>
                <w:iCs/>
              </w:rPr>
            </w:pPr>
            <w:r w:rsidRPr="00CE3379">
              <w:rPr>
                <w:b w:val="0"/>
                <w:bCs/>
                <w:i/>
                <w:iCs/>
              </w:rPr>
              <w:t>Improve musculoskeletal function and mobility</w:t>
            </w:r>
          </w:p>
        </w:tc>
        <w:tc>
          <w:tcPr>
            <w:tcW w:w="2947" w:type="dxa"/>
          </w:tcPr>
          <w:p w14:paraId="5F643794" w14:textId="77777777" w:rsidR="00CE3379" w:rsidRDefault="00CE3379" w:rsidP="00CE3379">
            <w:pPr>
              <w:pStyle w:val="Bullet1"/>
              <w:cnfStyle w:val="000000000000" w:firstRow="0" w:lastRow="0" w:firstColumn="0" w:lastColumn="0" w:oddVBand="0" w:evenVBand="0" w:oddHBand="0" w:evenHBand="0" w:firstRowFirstColumn="0" w:firstRowLastColumn="0" w:lastRowFirstColumn="0" w:lastRowLastColumn="0"/>
            </w:pPr>
            <w:r>
              <w:t>Screen and assess locomotor capacity</w:t>
            </w:r>
          </w:p>
          <w:p w14:paraId="22B51796" w14:textId="77777777" w:rsidR="00CE3379" w:rsidRDefault="00CE3379" w:rsidP="00CE3379">
            <w:pPr>
              <w:pStyle w:val="Bullet1"/>
              <w:cnfStyle w:val="000000000000" w:firstRow="0" w:lastRow="0" w:firstColumn="0" w:lastColumn="0" w:oddVBand="0" w:evenVBand="0" w:oddHBand="0" w:evenHBand="0" w:firstRowFirstColumn="0" w:firstRowLastColumn="0" w:lastRowFirstColumn="0" w:lastRowLastColumn="0"/>
            </w:pPr>
            <w:r>
              <w:t>Provide an individualised mobility plan including multimodal exercises</w:t>
            </w:r>
          </w:p>
          <w:p w14:paraId="7F5268D3" w14:textId="1856A1C6" w:rsidR="000E6D19" w:rsidRDefault="00CE3379" w:rsidP="00CE3379">
            <w:pPr>
              <w:pStyle w:val="Bullet1"/>
              <w:cnfStyle w:val="000000000000" w:firstRow="0" w:lastRow="0" w:firstColumn="0" w:lastColumn="0" w:oddVBand="0" w:evenVBand="0" w:oddHBand="0" w:evenHBand="0" w:firstRowFirstColumn="0" w:firstRowLastColumn="0" w:lastRowFirstColumn="0" w:lastRowLastColumn="0"/>
            </w:pPr>
            <w:r>
              <w:t>Create a social and physical environment that enables mobility</w:t>
            </w:r>
          </w:p>
        </w:tc>
      </w:tr>
      <w:tr w:rsidR="000E6D19" w14:paraId="6EA0582C" w14:textId="77777777" w:rsidTr="00EC3424">
        <w:tc>
          <w:tcPr>
            <w:cnfStyle w:val="001000000000" w:firstRow="0" w:lastRow="0" w:firstColumn="1" w:lastColumn="0" w:oddVBand="0" w:evenVBand="0" w:oddHBand="0" w:evenHBand="0" w:firstRowFirstColumn="0" w:firstRowLastColumn="0" w:lastRowFirstColumn="0" w:lastRowLastColumn="0"/>
            <w:tcW w:w="2127" w:type="dxa"/>
          </w:tcPr>
          <w:p w14:paraId="6BF21A09" w14:textId="77777777" w:rsidR="000E6D19" w:rsidRDefault="000E6D19" w:rsidP="00794CB7">
            <w:pPr>
              <w:pStyle w:val="Normalfollowingheading"/>
              <w:rPr>
                <w:b w:val="0"/>
              </w:rPr>
            </w:pPr>
            <w:r>
              <w:t>Mental wellbeing</w:t>
            </w:r>
          </w:p>
          <w:p w14:paraId="7E1F4AA6" w14:textId="43ACEE27" w:rsidR="00CE3379" w:rsidRPr="00CE3379" w:rsidRDefault="00CE3379" w:rsidP="00CE3379">
            <w:pPr>
              <w:rPr>
                <w:b w:val="0"/>
                <w:bCs/>
                <w:i/>
                <w:iCs/>
              </w:rPr>
            </w:pPr>
            <w:r w:rsidRPr="00CE3379">
              <w:rPr>
                <w:b w:val="0"/>
                <w:bCs/>
                <w:i/>
                <w:iCs/>
              </w:rPr>
              <w:t>Promote psychological wellbeing and prevent cognitive impairment</w:t>
            </w:r>
          </w:p>
        </w:tc>
        <w:tc>
          <w:tcPr>
            <w:tcW w:w="2947" w:type="dxa"/>
          </w:tcPr>
          <w:p w14:paraId="3E9B7750" w14:textId="77777777" w:rsidR="00CE3379" w:rsidRDefault="00CE3379" w:rsidP="00CE3379">
            <w:pPr>
              <w:pStyle w:val="Bullet1"/>
              <w:cnfStyle w:val="000000000000" w:firstRow="0" w:lastRow="0" w:firstColumn="0" w:lastColumn="0" w:oddVBand="0" w:evenVBand="0" w:oddHBand="0" w:evenHBand="0" w:firstRowFirstColumn="0" w:firstRowLastColumn="0" w:lastRowFirstColumn="0" w:lastRowLastColumn="0"/>
            </w:pPr>
            <w:r>
              <w:t>Assess and ensure adequate hydration, nutrition and sleep</w:t>
            </w:r>
          </w:p>
          <w:p w14:paraId="6D3D0430" w14:textId="77777777" w:rsidR="00CE3379" w:rsidRDefault="00CE3379" w:rsidP="00CE3379">
            <w:pPr>
              <w:pStyle w:val="Bullet1"/>
              <w:cnfStyle w:val="000000000000" w:firstRow="0" w:lastRow="0" w:firstColumn="0" w:lastColumn="0" w:oddVBand="0" w:evenVBand="0" w:oddHBand="0" w:evenHBand="0" w:firstRowFirstColumn="0" w:firstRowLastColumn="0" w:lastRowFirstColumn="0" w:lastRowLastColumn="0"/>
            </w:pPr>
            <w:r>
              <w:t>Screen, assess and manage vision and hearing</w:t>
            </w:r>
          </w:p>
          <w:p w14:paraId="58D69441" w14:textId="77777777" w:rsidR="00CE3379" w:rsidRDefault="00CE3379" w:rsidP="00CE3379">
            <w:pPr>
              <w:pStyle w:val="Bullet1"/>
              <w:cnfStyle w:val="000000000000" w:firstRow="0" w:lastRow="0" w:firstColumn="0" w:lastColumn="0" w:oddVBand="0" w:evenVBand="0" w:oddHBand="0" w:evenHBand="0" w:firstRowFirstColumn="0" w:firstRowLastColumn="0" w:lastRowFirstColumn="0" w:lastRowLastColumn="0"/>
            </w:pPr>
            <w:r>
              <w:t>Screen, assess and manage incontinence</w:t>
            </w:r>
          </w:p>
          <w:p w14:paraId="3B027454" w14:textId="4562B8D5" w:rsidR="00CE3379" w:rsidRDefault="00CE3379" w:rsidP="00CE3379">
            <w:pPr>
              <w:pStyle w:val="Bullet1"/>
              <w:cnfStyle w:val="000000000000" w:firstRow="0" w:lastRow="0" w:firstColumn="0" w:lastColumn="0" w:oddVBand="0" w:evenVBand="0" w:oddHBand="0" w:evenHBand="0" w:firstRowFirstColumn="0" w:firstRowLastColumn="0" w:lastRowFirstColumn="0" w:lastRowLastColumn="0"/>
            </w:pPr>
            <w:r>
              <w:t xml:space="preserve">Assess and support social connections </w:t>
            </w:r>
            <w:r w:rsidR="00A55005">
              <w:t>and</w:t>
            </w:r>
            <w:r>
              <w:t xml:space="preserve"> carers</w:t>
            </w:r>
          </w:p>
          <w:p w14:paraId="117FCB20" w14:textId="683597E0" w:rsidR="000E6D19" w:rsidRDefault="00CE3379" w:rsidP="00CE3379">
            <w:pPr>
              <w:pStyle w:val="Bullet1"/>
              <w:cnfStyle w:val="000000000000" w:firstRow="0" w:lastRow="0" w:firstColumn="0" w:lastColumn="0" w:oddVBand="0" w:evenVBand="0" w:oddHBand="0" w:evenHBand="0" w:firstRowFirstColumn="0" w:firstRowLastColumn="0" w:lastRowFirstColumn="0" w:lastRowLastColumn="0"/>
            </w:pPr>
            <w:r>
              <w:t>Screen, assess and manage cognitive decline and depression</w:t>
            </w:r>
          </w:p>
        </w:tc>
      </w:tr>
    </w:tbl>
    <w:p w14:paraId="14505BF1" w14:textId="77777777" w:rsidR="0059437D" w:rsidRPr="005737A6" w:rsidRDefault="0059437D" w:rsidP="0059437D">
      <w:pPr>
        <w:pStyle w:val="Heading3"/>
      </w:pPr>
      <w:r>
        <w:t>Cost savings and better patient outcomes</w:t>
      </w:r>
    </w:p>
    <w:p w14:paraId="69E3E93E" w14:textId="77777777" w:rsidR="0059437D" w:rsidRPr="00760C60" w:rsidRDefault="0059437D" w:rsidP="00760C60">
      <w:pPr>
        <w:pStyle w:val="Normalfollowingheading"/>
      </w:pPr>
      <w:r>
        <w:t xml:space="preserve">Three fictional </w:t>
      </w:r>
      <w:r w:rsidRPr="00760C60">
        <w:t xml:space="preserve">case studies were developed based on in-depth interviews with experienced clinicians in health and aged care. Each case compared two scenarios: one outlining a patient's possible care pathway under a non-age friendly health system and another showing how their experience would differ under the Indigo 4Ms framework. </w:t>
      </w:r>
    </w:p>
    <w:p w14:paraId="6777CE4E" w14:textId="77777777" w:rsidR="0059437D" w:rsidRPr="00760C60" w:rsidRDefault="0059437D" w:rsidP="00760C60">
      <w:pPr>
        <w:pStyle w:val="Normalfollowingheading"/>
      </w:pPr>
      <w:r w:rsidRPr="00760C60">
        <w:t>These case studies were used to illustrate the potential impact of an age-friendly approach on a patient’s experience, their health and social outcomes, and cost of care.</w:t>
      </w:r>
    </w:p>
    <w:p w14:paraId="27FCD783" w14:textId="6EA96FC8" w:rsidR="00635C27" w:rsidRDefault="0059437D" w:rsidP="00760C60">
      <w:pPr>
        <w:pStyle w:val="Normalfollowingheading"/>
      </w:pPr>
      <w:r w:rsidRPr="00760C60">
        <w:t>In addition to improved health and social outcomes, the economic illustration demonstrated combined total potential cost savings of $80,505 for all three case studies when the Indigo 4Ms framework was implemented</w:t>
      </w:r>
      <w:r w:rsidRPr="00DF1D36">
        <w:t>.</w:t>
      </w:r>
    </w:p>
    <w:p w14:paraId="198C8F75" w14:textId="6B2FE8A4" w:rsidR="00FB29D8" w:rsidRDefault="00FB29D8" w:rsidP="00E55982">
      <w:pPr>
        <w:sectPr w:rsidR="00FB29D8" w:rsidSect="00787E8B">
          <w:footerReference w:type="default" r:id="rId12"/>
          <w:type w:val="continuous"/>
          <w:pgSz w:w="11906" w:h="16838" w:code="9"/>
          <w:pgMar w:top="2438" w:right="737" w:bottom="680" w:left="737" w:header="539" w:footer="624" w:gutter="0"/>
          <w:cols w:num="2" w:space="284"/>
          <w:docGrid w:linePitch="360"/>
        </w:sectPr>
      </w:pPr>
    </w:p>
    <w:p w14:paraId="00506DAB" w14:textId="77777777" w:rsidR="0059437D" w:rsidRDefault="0059437D" w:rsidP="0059437D">
      <w:pPr>
        <w:pStyle w:val="Quote"/>
      </w:pPr>
      <w:r>
        <w:lastRenderedPageBreak/>
        <w:t>‘I</w:t>
      </w:r>
      <w:r w:rsidRPr="002C11E1">
        <w:t xml:space="preserve">t is what we as geriatricians have been doing for </w:t>
      </w:r>
      <w:r>
        <w:t xml:space="preserve">30 </w:t>
      </w:r>
      <w:r w:rsidRPr="002C11E1">
        <w:t xml:space="preserve">years, but now [the </w:t>
      </w:r>
      <w:r>
        <w:t xml:space="preserve">Indigo </w:t>
      </w:r>
      <w:r w:rsidRPr="002C11E1">
        <w:t>4Ms</w:t>
      </w:r>
      <w:r>
        <w:t xml:space="preserve"> framework</w:t>
      </w:r>
      <w:r w:rsidRPr="002C11E1">
        <w:t>] makes it digestible and therefore a great way to structure assessments, communication and engagement with patients</w:t>
      </w:r>
      <w:r>
        <w:t>.</w:t>
      </w:r>
      <w:r w:rsidRPr="002C11E1">
        <w:t xml:space="preserve">’ </w:t>
      </w:r>
    </w:p>
    <w:p w14:paraId="31F0DCB9" w14:textId="288BDF09" w:rsidR="0059437D" w:rsidRPr="0059437D" w:rsidRDefault="0059437D" w:rsidP="0059437D">
      <w:pPr>
        <w:pStyle w:val="Quote"/>
        <w:rPr>
          <w:b/>
          <w:bCs/>
        </w:rPr>
      </w:pPr>
      <w:r w:rsidRPr="0059437D">
        <w:rPr>
          <w:b/>
          <w:bCs/>
        </w:rPr>
        <w:t>– Geriatrician</w:t>
      </w:r>
    </w:p>
    <w:p w14:paraId="66F5745E" w14:textId="282F1978" w:rsidR="00635C27" w:rsidRDefault="00635C27" w:rsidP="00635C27">
      <w:pPr>
        <w:pStyle w:val="Heading3"/>
      </w:pPr>
      <w:r>
        <w:t xml:space="preserve">Implementation </w:t>
      </w:r>
      <w:r w:rsidR="00404633">
        <w:t>strategies</w:t>
      </w:r>
    </w:p>
    <w:p w14:paraId="2D252E39" w14:textId="7BDD5B55" w:rsidR="00544763" w:rsidRPr="00544763" w:rsidRDefault="0059437D" w:rsidP="00544763">
      <w:pPr>
        <w:pStyle w:val="Normalfollowingheading"/>
      </w:pPr>
      <w:r>
        <w:t>The c</w:t>
      </w:r>
      <w:r w:rsidR="00544763" w:rsidRPr="00544763">
        <w:t xml:space="preserve">onsortium </w:t>
      </w:r>
      <w:r>
        <w:t xml:space="preserve">identified </w:t>
      </w:r>
      <w:r w:rsidR="00544763" w:rsidRPr="00544763">
        <w:t>a range of strategies</w:t>
      </w:r>
      <w:r>
        <w:t xml:space="preserve"> to support the implementation of the </w:t>
      </w:r>
      <w:r w:rsidRPr="0059437D">
        <w:t>Indigo 4Ms framework</w:t>
      </w:r>
      <w:r>
        <w:t>:</w:t>
      </w:r>
    </w:p>
    <w:p w14:paraId="3E21FB33" w14:textId="613DBB6E" w:rsidR="00325093" w:rsidRDefault="00024EA2" w:rsidP="00024EA2">
      <w:pPr>
        <w:pStyle w:val="Bullet1"/>
      </w:pPr>
      <w:r w:rsidRPr="00024EA2">
        <w:t xml:space="preserve">Build a solid structure for the </w:t>
      </w:r>
      <w:r w:rsidR="0059437D">
        <w:t xml:space="preserve">framework </w:t>
      </w:r>
      <w:r w:rsidRPr="00024EA2">
        <w:t>by developing stakeholder relationships, training and educating stakeholders</w:t>
      </w:r>
      <w:r w:rsidR="003B6349">
        <w:t>,</w:t>
      </w:r>
      <w:r w:rsidRPr="00024EA2">
        <w:t xml:space="preserve"> and engaging consumers</w:t>
      </w:r>
      <w:r>
        <w:t xml:space="preserve">. </w:t>
      </w:r>
      <w:r w:rsidR="003B6349">
        <w:t xml:space="preserve">It is recommended that health services establish </w:t>
      </w:r>
      <w:r w:rsidR="00325093">
        <w:t>a locally based i</w:t>
      </w:r>
      <w:r w:rsidR="00325093" w:rsidRPr="00325093">
        <w:t xml:space="preserve">mplementation </w:t>
      </w:r>
      <w:r w:rsidR="00325093">
        <w:t>s</w:t>
      </w:r>
      <w:r w:rsidR="00325093" w:rsidRPr="00325093">
        <w:t xml:space="preserve">upport </w:t>
      </w:r>
      <w:r w:rsidR="00325093">
        <w:t>t</w:t>
      </w:r>
      <w:r w:rsidR="00325093" w:rsidRPr="00325093">
        <w:t>eam</w:t>
      </w:r>
      <w:r w:rsidR="003B6349">
        <w:t xml:space="preserve">, </w:t>
      </w:r>
      <w:r w:rsidR="00A77122">
        <w:t xml:space="preserve">and that they </w:t>
      </w:r>
      <w:r w:rsidR="00325093">
        <w:t xml:space="preserve">involve health and social care services’ boards, develop academic partnerships, and identify and prepare local health and social service champions. </w:t>
      </w:r>
    </w:p>
    <w:p w14:paraId="1F6BEA43" w14:textId="78EA5289" w:rsidR="00325093" w:rsidRDefault="00235FBE" w:rsidP="00024EA2">
      <w:pPr>
        <w:pStyle w:val="Bullet1"/>
      </w:pPr>
      <w:r>
        <w:t xml:space="preserve">The implementation support team should work with health services to identify specific clinical settings where the framework will be applied. </w:t>
      </w:r>
      <w:r w:rsidR="00CE7502">
        <w:t xml:space="preserve">Health services should </w:t>
      </w:r>
      <w:r w:rsidR="0059437D">
        <w:t xml:space="preserve">then </w:t>
      </w:r>
      <w:r w:rsidR="00CE7502">
        <w:t xml:space="preserve">prepare these </w:t>
      </w:r>
      <w:r>
        <w:t xml:space="preserve">settings by </w:t>
      </w:r>
      <w:r w:rsidR="00CE7502" w:rsidRPr="00235FBE">
        <w:t>assess</w:t>
      </w:r>
      <w:r w:rsidR="00CE7502">
        <w:t xml:space="preserve">ing their </w:t>
      </w:r>
      <w:r w:rsidR="00CE7502" w:rsidRPr="00235FBE">
        <w:t xml:space="preserve">readiness, </w:t>
      </w:r>
      <w:r>
        <w:t xml:space="preserve">conducting a </w:t>
      </w:r>
      <w:r w:rsidRPr="00235FBE">
        <w:t>local needs assessment, and identify</w:t>
      </w:r>
      <w:r>
        <w:t>ing</w:t>
      </w:r>
      <w:r w:rsidRPr="00235FBE">
        <w:t xml:space="preserve"> </w:t>
      </w:r>
      <w:r w:rsidR="00CE7502">
        <w:t xml:space="preserve">any potential </w:t>
      </w:r>
      <w:r w:rsidRPr="00235FBE">
        <w:t>barriers and facilitators</w:t>
      </w:r>
      <w:r w:rsidR="00CE7502">
        <w:t xml:space="preserve"> to uptake</w:t>
      </w:r>
      <w:r w:rsidRPr="00235FBE">
        <w:t xml:space="preserve">. </w:t>
      </w:r>
      <w:r>
        <w:t xml:space="preserve">The implementation </w:t>
      </w:r>
      <w:r w:rsidR="00CE7502">
        <w:t xml:space="preserve">support team should provide implementation </w:t>
      </w:r>
      <w:r>
        <w:t xml:space="preserve">sites </w:t>
      </w:r>
      <w:r w:rsidR="00CE7502">
        <w:t xml:space="preserve">with </w:t>
      </w:r>
      <w:r w:rsidRPr="00235FBE">
        <w:t>interactive assistance, including facilitation, clinical supervision</w:t>
      </w:r>
      <w:r>
        <w:t>,</w:t>
      </w:r>
      <w:r w:rsidRPr="00235FBE">
        <w:t xml:space="preserve"> and </w:t>
      </w:r>
      <w:r>
        <w:t>technical assistance</w:t>
      </w:r>
      <w:r w:rsidRPr="00235FBE">
        <w:t>.</w:t>
      </w:r>
    </w:p>
    <w:p w14:paraId="7F27604C" w14:textId="1BDA66F2" w:rsidR="00732EE6" w:rsidRDefault="00732EE6" w:rsidP="00732EE6">
      <w:pPr>
        <w:pStyle w:val="Bullet1"/>
      </w:pPr>
      <w:r>
        <w:t xml:space="preserve">Once the model has been launched, it is important that the implementation support team continues to work closely with </w:t>
      </w:r>
      <w:r w:rsidR="009B0C28">
        <w:t xml:space="preserve">the health services to </w:t>
      </w:r>
      <w:r>
        <w:t xml:space="preserve">refine the </w:t>
      </w:r>
      <w:r w:rsidR="009B0C28">
        <w:t xml:space="preserve">model. The framework should be adapted and tailored to the local context and </w:t>
      </w:r>
      <w:r>
        <w:t xml:space="preserve">new clinical teams </w:t>
      </w:r>
      <w:r w:rsidR="009B0C28">
        <w:t xml:space="preserve">should be created as needed to support the model. </w:t>
      </w:r>
    </w:p>
    <w:p w14:paraId="05D23467" w14:textId="18163D01" w:rsidR="00FB29D8" w:rsidRPr="00024EA2" w:rsidRDefault="002C08F5" w:rsidP="0059437D">
      <w:pPr>
        <w:pStyle w:val="Bullet1"/>
      </w:pPr>
      <w:r>
        <w:t>Thereafter, h</w:t>
      </w:r>
      <w:r w:rsidR="001D4CC1">
        <w:t xml:space="preserve">ealth services should </w:t>
      </w:r>
      <w:r w:rsidR="00B96FA4">
        <w:t xml:space="preserve">develop and implement </w:t>
      </w:r>
      <w:r w:rsidR="001D4CC1">
        <w:t xml:space="preserve">tools and systems </w:t>
      </w:r>
      <w:r w:rsidR="00B96FA4">
        <w:t xml:space="preserve">to monitor the model’s quality and evaluate the model on an ongoing basis, including </w:t>
      </w:r>
      <w:r w:rsidR="001D4CC1">
        <w:t xml:space="preserve">by obtaining feedback from </w:t>
      </w:r>
      <w:r w:rsidR="00732EE6">
        <w:t>patient</w:t>
      </w:r>
      <w:r w:rsidR="001D4CC1">
        <w:t>s</w:t>
      </w:r>
      <w:r w:rsidR="00732EE6">
        <w:t xml:space="preserve"> and </w:t>
      </w:r>
      <w:r w:rsidR="001D4CC1">
        <w:t xml:space="preserve">their </w:t>
      </w:r>
      <w:r w:rsidR="00732EE6">
        <w:t>family.</w:t>
      </w:r>
    </w:p>
    <w:p w14:paraId="2485892E" w14:textId="743C28DA" w:rsidR="00435805" w:rsidRDefault="00435805" w:rsidP="00E55982">
      <w:pPr>
        <w:pStyle w:val="Heading2"/>
      </w:pPr>
      <w:r>
        <w:t>Key learnings</w:t>
      </w:r>
    </w:p>
    <w:p w14:paraId="6FDB31B7" w14:textId="65607A03" w:rsidR="00100126" w:rsidRPr="00100126" w:rsidRDefault="0059437D" w:rsidP="0059437D">
      <w:pPr>
        <w:pStyle w:val="Bullet1"/>
      </w:pPr>
      <w:r>
        <w:t xml:space="preserve">Implementation of the Indigo 4Ms framework requires substantial cultural change so it is critical to ensure the organisation </w:t>
      </w:r>
      <w:r w:rsidR="00A22E74">
        <w:t xml:space="preserve">has capacity </w:t>
      </w:r>
      <w:r>
        <w:t xml:space="preserve">to support such transformational reform. </w:t>
      </w:r>
      <w:r w:rsidR="00100126" w:rsidRPr="00100126">
        <w:t xml:space="preserve">Organisational capacity can be </w:t>
      </w:r>
      <w:r>
        <w:t xml:space="preserve">strengthened </w:t>
      </w:r>
      <w:r w:rsidR="00100126" w:rsidRPr="00100126">
        <w:t xml:space="preserve">with support over time </w:t>
      </w:r>
      <w:r>
        <w:t xml:space="preserve">through </w:t>
      </w:r>
      <w:r w:rsidR="00100126" w:rsidRPr="00100126">
        <w:t xml:space="preserve">targeted </w:t>
      </w:r>
      <w:r>
        <w:t xml:space="preserve">strategies to </w:t>
      </w:r>
      <w:r w:rsidR="00100126" w:rsidRPr="00100126">
        <w:t xml:space="preserve">build motivation. </w:t>
      </w:r>
      <w:r>
        <w:t xml:space="preserve">For example, </w:t>
      </w:r>
      <w:r w:rsidR="00100126" w:rsidRPr="00100126">
        <w:t xml:space="preserve">the IHI </w:t>
      </w:r>
      <w:r>
        <w:t xml:space="preserve">offers a </w:t>
      </w:r>
      <w:r w:rsidR="00100126" w:rsidRPr="00100126">
        <w:t>web-based learning environment</w:t>
      </w:r>
      <w:r w:rsidR="00A22E74">
        <w:t xml:space="preserve"> to support its </w:t>
      </w:r>
      <w:r w:rsidR="00A22E74" w:rsidRPr="00A22E74">
        <w:t>4Ms framework</w:t>
      </w:r>
      <w:r w:rsidR="00A22E74">
        <w:t xml:space="preserve"> that includes </w:t>
      </w:r>
      <w:r w:rsidR="00100126" w:rsidRPr="00100126">
        <w:t>monthly webinars</w:t>
      </w:r>
      <w:r w:rsidR="00A22E74">
        <w:t xml:space="preserve">, </w:t>
      </w:r>
      <w:r w:rsidR="00100126" w:rsidRPr="00100126">
        <w:t xml:space="preserve">drop-in </w:t>
      </w:r>
      <w:r>
        <w:t xml:space="preserve">coaching </w:t>
      </w:r>
      <w:r w:rsidR="00100126" w:rsidRPr="00100126">
        <w:t>sessions</w:t>
      </w:r>
      <w:r w:rsidR="00A22E74">
        <w:t xml:space="preserve">, and access to </w:t>
      </w:r>
      <w:r w:rsidR="003F006E" w:rsidRPr="00100126">
        <w:t xml:space="preserve">online material </w:t>
      </w:r>
      <w:r w:rsidR="003F006E">
        <w:t xml:space="preserve">to guide </w:t>
      </w:r>
      <w:r w:rsidR="003F006E" w:rsidRPr="00100126">
        <w:t>implementation</w:t>
      </w:r>
      <w:r w:rsidR="00100126" w:rsidRPr="00100126">
        <w:t>.</w:t>
      </w:r>
      <w:r>
        <w:t xml:space="preserve"> </w:t>
      </w:r>
      <w:r w:rsidR="00A22E74">
        <w:t>The establishment of a s</w:t>
      </w:r>
      <w:r w:rsidR="003F006E">
        <w:t xml:space="preserve">imilar </w:t>
      </w:r>
      <w:r w:rsidR="00A22E74">
        <w:t>learning environment could be beneficial to support implementation of the Indigo 4Ms framework.</w:t>
      </w:r>
    </w:p>
    <w:p w14:paraId="4C923B1F" w14:textId="4CD9A8B5" w:rsidR="00BC31B4" w:rsidRPr="002C338A" w:rsidRDefault="00A22E74" w:rsidP="00BC31B4">
      <w:pPr>
        <w:pStyle w:val="Bullet1"/>
      </w:pPr>
      <w:r>
        <w:t xml:space="preserve">The project team benefited from a diverse range of stakeholders, and </w:t>
      </w:r>
      <w:r w:rsidR="002B2BE8">
        <w:t xml:space="preserve">the sharing of knowledge and different perspectives </w:t>
      </w:r>
      <w:r>
        <w:t xml:space="preserve">was essential to project success. </w:t>
      </w:r>
      <w:r w:rsidR="001050C5">
        <w:t>T</w:t>
      </w:r>
      <w:r w:rsidR="000E4189">
        <w:t xml:space="preserve">o transparently and systematically examine individual team members’ </w:t>
      </w:r>
      <w:r>
        <w:t xml:space="preserve">differing views on </w:t>
      </w:r>
      <w:r w:rsidR="001050C5">
        <w:t>the project</w:t>
      </w:r>
      <w:r w:rsidR="000E4189">
        <w:t>,</w:t>
      </w:r>
      <w:r w:rsidR="001050C5">
        <w:t xml:space="preserve"> a </w:t>
      </w:r>
      <w:r w:rsidR="001050C5" w:rsidRPr="001050C5">
        <w:t>soft systems methodology</w:t>
      </w:r>
      <w:r w:rsidR="001050C5">
        <w:t xml:space="preserve"> was used. This seven-step, iterative, facilitated process </w:t>
      </w:r>
      <w:r w:rsidR="000E4189">
        <w:t xml:space="preserve">was integral to </w:t>
      </w:r>
      <w:r>
        <w:t xml:space="preserve">developing a feasible implementation plan. </w:t>
      </w:r>
    </w:p>
    <w:sectPr w:rsidR="00BC31B4" w:rsidRPr="002C338A" w:rsidSect="00635C27">
      <w:footerReference w:type="default" r:id="rId13"/>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5A922" w14:textId="77777777" w:rsidR="00207A60" w:rsidRDefault="00207A60" w:rsidP="002D711A">
      <w:pPr>
        <w:spacing w:after="0" w:line="240" w:lineRule="auto"/>
      </w:pPr>
      <w:r>
        <w:separator/>
      </w:r>
    </w:p>
  </w:endnote>
  <w:endnote w:type="continuationSeparator" w:id="0">
    <w:p w14:paraId="2C53717B" w14:textId="77777777" w:rsidR="00207A60" w:rsidRDefault="00207A60"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F341" w14:textId="5C4BC3CC" w:rsidR="00C821CE" w:rsidRDefault="00C82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635C27" w:rsidRPr="00736C0C" w14:paraId="3C3CA98E" w14:textId="77777777" w:rsidTr="00126727">
      <w:trPr>
        <w:trHeight w:val="1531"/>
      </w:trPr>
      <w:tc>
        <w:tcPr>
          <w:tcW w:w="3515" w:type="dxa"/>
          <w:tcMar>
            <w:left w:w="113" w:type="dxa"/>
          </w:tcMar>
        </w:tcPr>
        <w:p w14:paraId="21EEF125" w14:textId="77777777" w:rsidR="00635C27" w:rsidRPr="00911408" w:rsidRDefault="00635C27"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66A5EE88" w14:textId="77777777" w:rsidR="00635C27" w:rsidRPr="00911408" w:rsidRDefault="00635C27" w:rsidP="0043317F">
          <w:pPr>
            <w:spacing w:line="230" w:lineRule="auto"/>
            <w:rPr>
              <w:sz w:val="18"/>
              <w:szCs w:val="18"/>
            </w:rPr>
          </w:pPr>
          <w:r w:rsidRPr="00911408">
            <w:rPr>
              <w:sz w:val="18"/>
              <w:szCs w:val="18"/>
            </w:rPr>
            <w:t>Authorised and published by the Victorian Government, 1 Treasury Place, Melbourne.</w:t>
          </w:r>
        </w:p>
        <w:p w14:paraId="06BCCC4C" w14:textId="5529F561" w:rsidR="00635C27" w:rsidRPr="00911408" w:rsidRDefault="00635C27" w:rsidP="0043317F">
          <w:pPr>
            <w:spacing w:line="230" w:lineRule="auto"/>
            <w:rPr>
              <w:sz w:val="18"/>
              <w:szCs w:val="18"/>
            </w:rPr>
          </w:pPr>
          <w:r w:rsidRPr="00911408">
            <w:rPr>
              <w:sz w:val="18"/>
              <w:szCs w:val="18"/>
            </w:rPr>
            <w:t xml:space="preserve">© State of Victoria, Australia, Safer Care Victoria, </w:t>
          </w:r>
          <w:r w:rsidR="007E5823">
            <w:rPr>
              <w:sz w:val="18"/>
              <w:szCs w:val="18"/>
            </w:rPr>
            <w:t>November</w:t>
          </w:r>
          <w:r w:rsidR="007E5823">
            <w:rPr>
              <w:sz w:val="18"/>
              <w:szCs w:val="18"/>
            </w:rPr>
            <w:t xml:space="preserve"> </w:t>
          </w:r>
          <w:r>
            <w:rPr>
              <w:sz w:val="18"/>
              <w:szCs w:val="18"/>
            </w:rPr>
            <w:t>2020</w:t>
          </w:r>
        </w:p>
        <w:p w14:paraId="13F640E0" w14:textId="45B76AF8" w:rsidR="00635C27" w:rsidRPr="008F27EE" w:rsidRDefault="007E5823" w:rsidP="0043317F">
          <w:pPr>
            <w:spacing w:line="230" w:lineRule="auto"/>
            <w:rPr>
              <w:color w:val="000000" w:themeColor="text1"/>
              <w:sz w:val="18"/>
              <w:szCs w:val="18"/>
            </w:rPr>
          </w:pPr>
          <w:r w:rsidRPr="008F27EE">
            <w:rPr>
              <w:color w:val="000000" w:themeColor="text1"/>
              <w:sz w:val="18"/>
              <w:szCs w:val="18"/>
            </w:rPr>
            <w:t>ISBN 978-1-76096-276-0 (pdf/online/MS word)</w:t>
          </w:r>
        </w:p>
        <w:p w14:paraId="13E00308" w14:textId="33FA56EA" w:rsidR="00635C27" w:rsidRPr="007A4444" w:rsidRDefault="00635C27" w:rsidP="007E5823">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7E5823">
            <w:rPr>
              <w:sz w:val="13"/>
              <w:szCs w:val="13"/>
            </w:rPr>
            <w:br/>
          </w:r>
        </w:p>
      </w:tc>
      <w:tc>
        <w:tcPr>
          <w:tcW w:w="3515" w:type="dxa"/>
        </w:tcPr>
        <w:p w14:paraId="13E11058" w14:textId="77777777" w:rsidR="00635C27" w:rsidRPr="00736C0C" w:rsidRDefault="00635C27" w:rsidP="0043317F">
          <w:pPr>
            <w:rPr>
              <w:szCs w:val="15"/>
            </w:rPr>
          </w:pPr>
          <w:r>
            <w:rPr>
              <w:noProof/>
              <w:szCs w:val="15"/>
            </w:rPr>
            <w:drawing>
              <wp:inline distT="0" distB="0" distL="0" distR="0" wp14:anchorId="31B801D1" wp14:editId="7B2A7222">
                <wp:extent cx="1967488" cy="510541"/>
                <wp:effectExtent l="0" t="0" r="0" b="3810"/>
                <wp:docPr id="2" name="Picture 2"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7E417F27" w14:textId="77777777" w:rsidR="00635C27" w:rsidRDefault="0063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DFE6" w14:textId="77777777" w:rsidR="00207A60" w:rsidRDefault="00207A60" w:rsidP="00E33E08">
      <w:pPr>
        <w:spacing w:before="0" w:after="0" w:line="240" w:lineRule="auto"/>
      </w:pPr>
    </w:p>
  </w:footnote>
  <w:footnote w:type="continuationSeparator" w:id="0">
    <w:p w14:paraId="25698D0F" w14:textId="77777777" w:rsidR="00207A60" w:rsidRDefault="00207A60"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2F58B239">
          <wp:simplePos x="0" y="0"/>
          <wp:positionH relativeFrom="page">
            <wp:posOffset>0</wp:posOffset>
          </wp:positionH>
          <wp:positionV relativeFrom="page">
            <wp:posOffset>0</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07EC5"/>
    <w:rsid w:val="0001045D"/>
    <w:rsid w:val="00012F6F"/>
    <w:rsid w:val="00014213"/>
    <w:rsid w:val="00014B55"/>
    <w:rsid w:val="00020E3E"/>
    <w:rsid w:val="00023457"/>
    <w:rsid w:val="00023BF3"/>
    <w:rsid w:val="00024EA2"/>
    <w:rsid w:val="00026811"/>
    <w:rsid w:val="00026D91"/>
    <w:rsid w:val="00027D5D"/>
    <w:rsid w:val="0004185E"/>
    <w:rsid w:val="00053181"/>
    <w:rsid w:val="00056988"/>
    <w:rsid w:val="00060D97"/>
    <w:rsid w:val="00071F51"/>
    <w:rsid w:val="00072279"/>
    <w:rsid w:val="00073407"/>
    <w:rsid w:val="00075E6C"/>
    <w:rsid w:val="00081C12"/>
    <w:rsid w:val="00087D42"/>
    <w:rsid w:val="000905F7"/>
    <w:rsid w:val="0009308E"/>
    <w:rsid w:val="000B29AD"/>
    <w:rsid w:val="000B69B3"/>
    <w:rsid w:val="000C4BB6"/>
    <w:rsid w:val="000C515F"/>
    <w:rsid w:val="000C6372"/>
    <w:rsid w:val="000D3B17"/>
    <w:rsid w:val="000D7841"/>
    <w:rsid w:val="000E392D"/>
    <w:rsid w:val="000E39B6"/>
    <w:rsid w:val="000E3D05"/>
    <w:rsid w:val="000E4189"/>
    <w:rsid w:val="000E5C40"/>
    <w:rsid w:val="000E6D19"/>
    <w:rsid w:val="000F2A2C"/>
    <w:rsid w:val="000F4288"/>
    <w:rsid w:val="000F7165"/>
    <w:rsid w:val="00100126"/>
    <w:rsid w:val="00102379"/>
    <w:rsid w:val="00103722"/>
    <w:rsid w:val="001050C5"/>
    <w:rsid w:val="001052B7"/>
    <w:rsid w:val="001065D6"/>
    <w:rsid w:val="00106773"/>
    <w:rsid w:val="001068D5"/>
    <w:rsid w:val="00114C4B"/>
    <w:rsid w:val="00121252"/>
    <w:rsid w:val="00121488"/>
    <w:rsid w:val="00124609"/>
    <w:rsid w:val="001254CE"/>
    <w:rsid w:val="00125AF2"/>
    <w:rsid w:val="0013175D"/>
    <w:rsid w:val="0013637A"/>
    <w:rsid w:val="001422CC"/>
    <w:rsid w:val="00143DDD"/>
    <w:rsid w:val="00145346"/>
    <w:rsid w:val="001617B6"/>
    <w:rsid w:val="00165E66"/>
    <w:rsid w:val="0018254A"/>
    <w:rsid w:val="001833B9"/>
    <w:rsid w:val="00186B39"/>
    <w:rsid w:val="00196143"/>
    <w:rsid w:val="001A24FC"/>
    <w:rsid w:val="001B55ED"/>
    <w:rsid w:val="001B6831"/>
    <w:rsid w:val="001C60B2"/>
    <w:rsid w:val="001C6993"/>
    <w:rsid w:val="001C7BAE"/>
    <w:rsid w:val="001D052F"/>
    <w:rsid w:val="001D4CC1"/>
    <w:rsid w:val="001D70B4"/>
    <w:rsid w:val="001E31FA"/>
    <w:rsid w:val="001E48F9"/>
    <w:rsid w:val="001E64F6"/>
    <w:rsid w:val="001E7AEB"/>
    <w:rsid w:val="001F319F"/>
    <w:rsid w:val="00201D46"/>
    <w:rsid w:val="00204B82"/>
    <w:rsid w:val="002079A1"/>
    <w:rsid w:val="00207A60"/>
    <w:rsid w:val="0021336E"/>
    <w:rsid w:val="00222BEB"/>
    <w:rsid w:val="00225E60"/>
    <w:rsid w:val="00230BBB"/>
    <w:rsid w:val="0023202C"/>
    <w:rsid w:val="00234619"/>
    <w:rsid w:val="00235BE2"/>
    <w:rsid w:val="00235FBE"/>
    <w:rsid w:val="00245043"/>
    <w:rsid w:val="00253376"/>
    <w:rsid w:val="0026028E"/>
    <w:rsid w:val="00273AF5"/>
    <w:rsid w:val="00284FA2"/>
    <w:rsid w:val="0029171C"/>
    <w:rsid w:val="00292D36"/>
    <w:rsid w:val="002932DD"/>
    <w:rsid w:val="00294A5A"/>
    <w:rsid w:val="00295220"/>
    <w:rsid w:val="00297281"/>
    <w:rsid w:val="00297A47"/>
    <w:rsid w:val="002A5891"/>
    <w:rsid w:val="002A5F50"/>
    <w:rsid w:val="002A6FC0"/>
    <w:rsid w:val="002B03F1"/>
    <w:rsid w:val="002B1171"/>
    <w:rsid w:val="002B1C8A"/>
    <w:rsid w:val="002B2BE8"/>
    <w:rsid w:val="002B2C44"/>
    <w:rsid w:val="002B5C34"/>
    <w:rsid w:val="002B5E2B"/>
    <w:rsid w:val="002B6DAA"/>
    <w:rsid w:val="002C08F5"/>
    <w:rsid w:val="002C11E1"/>
    <w:rsid w:val="002C251E"/>
    <w:rsid w:val="002C338A"/>
    <w:rsid w:val="002D6FE9"/>
    <w:rsid w:val="002D70F7"/>
    <w:rsid w:val="002D711A"/>
    <w:rsid w:val="002D7336"/>
    <w:rsid w:val="002E0A85"/>
    <w:rsid w:val="002E23AE"/>
    <w:rsid w:val="002E3396"/>
    <w:rsid w:val="002E6454"/>
    <w:rsid w:val="002F2953"/>
    <w:rsid w:val="002F4E84"/>
    <w:rsid w:val="0031149C"/>
    <w:rsid w:val="003221B9"/>
    <w:rsid w:val="00325093"/>
    <w:rsid w:val="00332D4F"/>
    <w:rsid w:val="003347B2"/>
    <w:rsid w:val="003410A8"/>
    <w:rsid w:val="0036778F"/>
    <w:rsid w:val="003748D1"/>
    <w:rsid w:val="00374C91"/>
    <w:rsid w:val="00381FAA"/>
    <w:rsid w:val="0038771C"/>
    <w:rsid w:val="003A40C2"/>
    <w:rsid w:val="003A430B"/>
    <w:rsid w:val="003A541A"/>
    <w:rsid w:val="003A6923"/>
    <w:rsid w:val="003B6349"/>
    <w:rsid w:val="003C27FE"/>
    <w:rsid w:val="003C2C67"/>
    <w:rsid w:val="003C2D4C"/>
    <w:rsid w:val="003C3B3A"/>
    <w:rsid w:val="003C5BA4"/>
    <w:rsid w:val="003D1BBB"/>
    <w:rsid w:val="003E3E26"/>
    <w:rsid w:val="003E5C55"/>
    <w:rsid w:val="003F006E"/>
    <w:rsid w:val="003F1295"/>
    <w:rsid w:val="003F38F5"/>
    <w:rsid w:val="003F5102"/>
    <w:rsid w:val="003F76FC"/>
    <w:rsid w:val="004002EB"/>
    <w:rsid w:val="00403C73"/>
    <w:rsid w:val="00404633"/>
    <w:rsid w:val="00407A79"/>
    <w:rsid w:val="00422DDC"/>
    <w:rsid w:val="004231B5"/>
    <w:rsid w:val="004236C8"/>
    <w:rsid w:val="00427461"/>
    <w:rsid w:val="00427681"/>
    <w:rsid w:val="0043317F"/>
    <w:rsid w:val="00433B3C"/>
    <w:rsid w:val="00433DB7"/>
    <w:rsid w:val="00435805"/>
    <w:rsid w:val="00442182"/>
    <w:rsid w:val="0045347E"/>
    <w:rsid w:val="00453750"/>
    <w:rsid w:val="00456941"/>
    <w:rsid w:val="00460BD5"/>
    <w:rsid w:val="004700D7"/>
    <w:rsid w:val="004702EA"/>
    <w:rsid w:val="0048259C"/>
    <w:rsid w:val="00482D02"/>
    <w:rsid w:val="00484326"/>
    <w:rsid w:val="00486A1B"/>
    <w:rsid w:val="00490369"/>
    <w:rsid w:val="004A4ED0"/>
    <w:rsid w:val="004A7519"/>
    <w:rsid w:val="004B64B1"/>
    <w:rsid w:val="004C5B5F"/>
    <w:rsid w:val="004D01AC"/>
    <w:rsid w:val="004D20B2"/>
    <w:rsid w:val="004D3518"/>
    <w:rsid w:val="004D62D6"/>
    <w:rsid w:val="004D6898"/>
    <w:rsid w:val="004F3F4E"/>
    <w:rsid w:val="00504731"/>
    <w:rsid w:val="00510167"/>
    <w:rsid w:val="00513E86"/>
    <w:rsid w:val="00514E88"/>
    <w:rsid w:val="005306A2"/>
    <w:rsid w:val="0053416C"/>
    <w:rsid w:val="005354E4"/>
    <w:rsid w:val="00541C2F"/>
    <w:rsid w:val="00544763"/>
    <w:rsid w:val="00552DE4"/>
    <w:rsid w:val="00555D37"/>
    <w:rsid w:val="00563527"/>
    <w:rsid w:val="0056467E"/>
    <w:rsid w:val="0056549E"/>
    <w:rsid w:val="005737A6"/>
    <w:rsid w:val="0057407A"/>
    <w:rsid w:val="0058124E"/>
    <w:rsid w:val="005875A3"/>
    <w:rsid w:val="0059437D"/>
    <w:rsid w:val="005953EA"/>
    <w:rsid w:val="005A3416"/>
    <w:rsid w:val="005A3D66"/>
    <w:rsid w:val="005B061F"/>
    <w:rsid w:val="005B27FE"/>
    <w:rsid w:val="005B327A"/>
    <w:rsid w:val="005B5F0B"/>
    <w:rsid w:val="005B74E6"/>
    <w:rsid w:val="005B76DF"/>
    <w:rsid w:val="005B79CB"/>
    <w:rsid w:val="005E08D7"/>
    <w:rsid w:val="005E4C16"/>
    <w:rsid w:val="005E5947"/>
    <w:rsid w:val="005F61DF"/>
    <w:rsid w:val="006004BA"/>
    <w:rsid w:val="0060163A"/>
    <w:rsid w:val="006023F9"/>
    <w:rsid w:val="00610559"/>
    <w:rsid w:val="00613D2F"/>
    <w:rsid w:val="00614076"/>
    <w:rsid w:val="00632F2E"/>
    <w:rsid w:val="006332F6"/>
    <w:rsid w:val="00635C27"/>
    <w:rsid w:val="006413F2"/>
    <w:rsid w:val="0064598D"/>
    <w:rsid w:val="006534B2"/>
    <w:rsid w:val="0065615D"/>
    <w:rsid w:val="00657011"/>
    <w:rsid w:val="00657D22"/>
    <w:rsid w:val="006650B5"/>
    <w:rsid w:val="006651B1"/>
    <w:rsid w:val="00665778"/>
    <w:rsid w:val="00676E5F"/>
    <w:rsid w:val="00680141"/>
    <w:rsid w:val="00680577"/>
    <w:rsid w:val="00682508"/>
    <w:rsid w:val="006945CA"/>
    <w:rsid w:val="006968A3"/>
    <w:rsid w:val="006A0D4E"/>
    <w:rsid w:val="006A3309"/>
    <w:rsid w:val="006A3A5A"/>
    <w:rsid w:val="006A5B34"/>
    <w:rsid w:val="006B2A76"/>
    <w:rsid w:val="006B4A5D"/>
    <w:rsid w:val="006B58EB"/>
    <w:rsid w:val="006C3691"/>
    <w:rsid w:val="006C77A9"/>
    <w:rsid w:val="006D238D"/>
    <w:rsid w:val="006D2F37"/>
    <w:rsid w:val="006D339B"/>
    <w:rsid w:val="006D4720"/>
    <w:rsid w:val="006E6CDF"/>
    <w:rsid w:val="006F37F2"/>
    <w:rsid w:val="006F6693"/>
    <w:rsid w:val="00707F40"/>
    <w:rsid w:val="00707FE8"/>
    <w:rsid w:val="00711480"/>
    <w:rsid w:val="00714AAE"/>
    <w:rsid w:val="00724962"/>
    <w:rsid w:val="00724A0F"/>
    <w:rsid w:val="00726D2F"/>
    <w:rsid w:val="00732EE6"/>
    <w:rsid w:val="007352D2"/>
    <w:rsid w:val="00736732"/>
    <w:rsid w:val="00740019"/>
    <w:rsid w:val="00746426"/>
    <w:rsid w:val="00747D93"/>
    <w:rsid w:val="00750BF9"/>
    <w:rsid w:val="00750CBE"/>
    <w:rsid w:val="00760C60"/>
    <w:rsid w:val="00761C3E"/>
    <w:rsid w:val="007650D2"/>
    <w:rsid w:val="00766B5A"/>
    <w:rsid w:val="00772209"/>
    <w:rsid w:val="0077440A"/>
    <w:rsid w:val="007770A5"/>
    <w:rsid w:val="007834F2"/>
    <w:rsid w:val="00787E8B"/>
    <w:rsid w:val="00791020"/>
    <w:rsid w:val="00794CB7"/>
    <w:rsid w:val="007974D7"/>
    <w:rsid w:val="007A04D2"/>
    <w:rsid w:val="007A4444"/>
    <w:rsid w:val="007A5DF4"/>
    <w:rsid w:val="007A5F82"/>
    <w:rsid w:val="007C344C"/>
    <w:rsid w:val="007D3B2E"/>
    <w:rsid w:val="007D4114"/>
    <w:rsid w:val="007D4A1E"/>
    <w:rsid w:val="007D5F9E"/>
    <w:rsid w:val="007E098F"/>
    <w:rsid w:val="007E25F9"/>
    <w:rsid w:val="007E2914"/>
    <w:rsid w:val="007E3228"/>
    <w:rsid w:val="007E3BA2"/>
    <w:rsid w:val="007E50CD"/>
    <w:rsid w:val="007E5823"/>
    <w:rsid w:val="007F1A4C"/>
    <w:rsid w:val="007F1A5E"/>
    <w:rsid w:val="007F723F"/>
    <w:rsid w:val="008022C3"/>
    <w:rsid w:val="008041E6"/>
    <w:rsid w:val="008065D2"/>
    <w:rsid w:val="008127DC"/>
    <w:rsid w:val="00815A8A"/>
    <w:rsid w:val="0082194C"/>
    <w:rsid w:val="008222FF"/>
    <w:rsid w:val="008241FF"/>
    <w:rsid w:val="00824E78"/>
    <w:rsid w:val="008411E9"/>
    <w:rsid w:val="00841617"/>
    <w:rsid w:val="0084200F"/>
    <w:rsid w:val="00843B2C"/>
    <w:rsid w:val="00844B03"/>
    <w:rsid w:val="00844F16"/>
    <w:rsid w:val="00846365"/>
    <w:rsid w:val="0084663F"/>
    <w:rsid w:val="00847BE1"/>
    <w:rsid w:val="00855FF9"/>
    <w:rsid w:val="008623A1"/>
    <w:rsid w:val="0086277A"/>
    <w:rsid w:val="008668A8"/>
    <w:rsid w:val="00866B23"/>
    <w:rsid w:val="008703D8"/>
    <w:rsid w:val="008768AD"/>
    <w:rsid w:val="00880AC4"/>
    <w:rsid w:val="00893E52"/>
    <w:rsid w:val="00894740"/>
    <w:rsid w:val="00897157"/>
    <w:rsid w:val="00897447"/>
    <w:rsid w:val="008A306C"/>
    <w:rsid w:val="008A4900"/>
    <w:rsid w:val="008A55FE"/>
    <w:rsid w:val="008A58D2"/>
    <w:rsid w:val="008B146D"/>
    <w:rsid w:val="008B42AD"/>
    <w:rsid w:val="008B5666"/>
    <w:rsid w:val="008C2C15"/>
    <w:rsid w:val="008D0281"/>
    <w:rsid w:val="008E2348"/>
    <w:rsid w:val="008E576C"/>
    <w:rsid w:val="008F27EE"/>
    <w:rsid w:val="008F6D45"/>
    <w:rsid w:val="00911408"/>
    <w:rsid w:val="00913D41"/>
    <w:rsid w:val="00916712"/>
    <w:rsid w:val="00916AD5"/>
    <w:rsid w:val="00922944"/>
    <w:rsid w:val="00936479"/>
    <w:rsid w:val="00937A10"/>
    <w:rsid w:val="00952BB7"/>
    <w:rsid w:val="00953A2C"/>
    <w:rsid w:val="00966115"/>
    <w:rsid w:val="00974716"/>
    <w:rsid w:val="00974938"/>
    <w:rsid w:val="009834C0"/>
    <w:rsid w:val="00985323"/>
    <w:rsid w:val="00986AAC"/>
    <w:rsid w:val="00991C00"/>
    <w:rsid w:val="00995526"/>
    <w:rsid w:val="00996E62"/>
    <w:rsid w:val="009A1DA2"/>
    <w:rsid w:val="009A3704"/>
    <w:rsid w:val="009A4739"/>
    <w:rsid w:val="009A4D8D"/>
    <w:rsid w:val="009A674F"/>
    <w:rsid w:val="009A6D22"/>
    <w:rsid w:val="009B0C28"/>
    <w:rsid w:val="009B199C"/>
    <w:rsid w:val="009B1BBA"/>
    <w:rsid w:val="009B61F1"/>
    <w:rsid w:val="009B62E0"/>
    <w:rsid w:val="009C3D88"/>
    <w:rsid w:val="009E0B9A"/>
    <w:rsid w:val="009E0D59"/>
    <w:rsid w:val="009E1651"/>
    <w:rsid w:val="009E3858"/>
    <w:rsid w:val="009E467D"/>
    <w:rsid w:val="009E5DA0"/>
    <w:rsid w:val="009E5E60"/>
    <w:rsid w:val="009E70DD"/>
    <w:rsid w:val="009F2ED9"/>
    <w:rsid w:val="009F3231"/>
    <w:rsid w:val="009F5C58"/>
    <w:rsid w:val="00A023A0"/>
    <w:rsid w:val="00A05EBC"/>
    <w:rsid w:val="00A131B1"/>
    <w:rsid w:val="00A1562B"/>
    <w:rsid w:val="00A170F4"/>
    <w:rsid w:val="00A21408"/>
    <w:rsid w:val="00A2160F"/>
    <w:rsid w:val="00A21CFD"/>
    <w:rsid w:val="00A22E74"/>
    <w:rsid w:val="00A25B78"/>
    <w:rsid w:val="00A31352"/>
    <w:rsid w:val="00A46288"/>
    <w:rsid w:val="00A46BA8"/>
    <w:rsid w:val="00A47634"/>
    <w:rsid w:val="00A55005"/>
    <w:rsid w:val="00A612FE"/>
    <w:rsid w:val="00A70B49"/>
    <w:rsid w:val="00A72CF3"/>
    <w:rsid w:val="00A77122"/>
    <w:rsid w:val="00A92D94"/>
    <w:rsid w:val="00AA26B8"/>
    <w:rsid w:val="00AC0B87"/>
    <w:rsid w:val="00AC2624"/>
    <w:rsid w:val="00AC32A8"/>
    <w:rsid w:val="00AC6BBC"/>
    <w:rsid w:val="00AD7E4E"/>
    <w:rsid w:val="00AE4494"/>
    <w:rsid w:val="00AF131E"/>
    <w:rsid w:val="00AF4D58"/>
    <w:rsid w:val="00AF6666"/>
    <w:rsid w:val="00AF7BC5"/>
    <w:rsid w:val="00B665FA"/>
    <w:rsid w:val="00B81B44"/>
    <w:rsid w:val="00B83D98"/>
    <w:rsid w:val="00B9053B"/>
    <w:rsid w:val="00B96FA4"/>
    <w:rsid w:val="00BA0C37"/>
    <w:rsid w:val="00BA1371"/>
    <w:rsid w:val="00BA3782"/>
    <w:rsid w:val="00BB4D98"/>
    <w:rsid w:val="00BB4EBF"/>
    <w:rsid w:val="00BB59E0"/>
    <w:rsid w:val="00BC07DF"/>
    <w:rsid w:val="00BC1F36"/>
    <w:rsid w:val="00BC31B4"/>
    <w:rsid w:val="00BC3422"/>
    <w:rsid w:val="00BC6E19"/>
    <w:rsid w:val="00BD11C2"/>
    <w:rsid w:val="00BD21C2"/>
    <w:rsid w:val="00BD5018"/>
    <w:rsid w:val="00BE5ADC"/>
    <w:rsid w:val="00BF4F96"/>
    <w:rsid w:val="00C015B9"/>
    <w:rsid w:val="00C022F9"/>
    <w:rsid w:val="00C032EA"/>
    <w:rsid w:val="00C06EB5"/>
    <w:rsid w:val="00C1145F"/>
    <w:rsid w:val="00C11CD1"/>
    <w:rsid w:val="00C32D49"/>
    <w:rsid w:val="00C33AD3"/>
    <w:rsid w:val="00C35912"/>
    <w:rsid w:val="00C35D53"/>
    <w:rsid w:val="00C41B3C"/>
    <w:rsid w:val="00C43F06"/>
    <w:rsid w:val="00C51C01"/>
    <w:rsid w:val="00C637E1"/>
    <w:rsid w:val="00C67EAC"/>
    <w:rsid w:val="00C7098C"/>
    <w:rsid w:val="00C70D50"/>
    <w:rsid w:val="00C72252"/>
    <w:rsid w:val="00C821CE"/>
    <w:rsid w:val="00C86C55"/>
    <w:rsid w:val="00C873B4"/>
    <w:rsid w:val="00C907D7"/>
    <w:rsid w:val="00C92338"/>
    <w:rsid w:val="00C9337F"/>
    <w:rsid w:val="00CA05DC"/>
    <w:rsid w:val="00CA7B47"/>
    <w:rsid w:val="00CB1230"/>
    <w:rsid w:val="00CB3976"/>
    <w:rsid w:val="00CB5368"/>
    <w:rsid w:val="00CB5E0F"/>
    <w:rsid w:val="00CC0347"/>
    <w:rsid w:val="00CC2D16"/>
    <w:rsid w:val="00CC2EAA"/>
    <w:rsid w:val="00CD0307"/>
    <w:rsid w:val="00CD3C79"/>
    <w:rsid w:val="00CD3D1B"/>
    <w:rsid w:val="00CD5612"/>
    <w:rsid w:val="00CE3379"/>
    <w:rsid w:val="00CE590E"/>
    <w:rsid w:val="00CE61C3"/>
    <w:rsid w:val="00CE7502"/>
    <w:rsid w:val="00CF5209"/>
    <w:rsid w:val="00D00613"/>
    <w:rsid w:val="00D02663"/>
    <w:rsid w:val="00D0633E"/>
    <w:rsid w:val="00D12E74"/>
    <w:rsid w:val="00D2312F"/>
    <w:rsid w:val="00D23B04"/>
    <w:rsid w:val="00D269C1"/>
    <w:rsid w:val="00D26EA7"/>
    <w:rsid w:val="00D3570A"/>
    <w:rsid w:val="00D41230"/>
    <w:rsid w:val="00D41B2F"/>
    <w:rsid w:val="00D44953"/>
    <w:rsid w:val="00D4588E"/>
    <w:rsid w:val="00D542F3"/>
    <w:rsid w:val="00D54513"/>
    <w:rsid w:val="00D54AAE"/>
    <w:rsid w:val="00D5644B"/>
    <w:rsid w:val="00D56E25"/>
    <w:rsid w:val="00D57E89"/>
    <w:rsid w:val="00D62508"/>
    <w:rsid w:val="00D6560D"/>
    <w:rsid w:val="00D65D77"/>
    <w:rsid w:val="00D65E59"/>
    <w:rsid w:val="00D718D7"/>
    <w:rsid w:val="00D76AD4"/>
    <w:rsid w:val="00D814B7"/>
    <w:rsid w:val="00D858A3"/>
    <w:rsid w:val="00D90688"/>
    <w:rsid w:val="00DA3AAD"/>
    <w:rsid w:val="00DA3F36"/>
    <w:rsid w:val="00DB312B"/>
    <w:rsid w:val="00DC3BC2"/>
    <w:rsid w:val="00DC4CCD"/>
    <w:rsid w:val="00DC5654"/>
    <w:rsid w:val="00DC658F"/>
    <w:rsid w:val="00DC674A"/>
    <w:rsid w:val="00DE5179"/>
    <w:rsid w:val="00DE5E1B"/>
    <w:rsid w:val="00DE60CC"/>
    <w:rsid w:val="00DE6CE8"/>
    <w:rsid w:val="00DF051B"/>
    <w:rsid w:val="00DF1D36"/>
    <w:rsid w:val="00E007DC"/>
    <w:rsid w:val="00E03F35"/>
    <w:rsid w:val="00E17136"/>
    <w:rsid w:val="00E26B32"/>
    <w:rsid w:val="00E30BB6"/>
    <w:rsid w:val="00E31CD4"/>
    <w:rsid w:val="00E31E60"/>
    <w:rsid w:val="00E33E08"/>
    <w:rsid w:val="00E407B6"/>
    <w:rsid w:val="00E41D82"/>
    <w:rsid w:val="00E41EF1"/>
    <w:rsid w:val="00E42942"/>
    <w:rsid w:val="00E512C3"/>
    <w:rsid w:val="00E55982"/>
    <w:rsid w:val="00E6148E"/>
    <w:rsid w:val="00E65A0A"/>
    <w:rsid w:val="00E71BDF"/>
    <w:rsid w:val="00E75CCB"/>
    <w:rsid w:val="00E8245B"/>
    <w:rsid w:val="00E82C21"/>
    <w:rsid w:val="00E82F59"/>
    <w:rsid w:val="00E83CA7"/>
    <w:rsid w:val="00E92192"/>
    <w:rsid w:val="00E95A71"/>
    <w:rsid w:val="00EA7B3E"/>
    <w:rsid w:val="00EB11BE"/>
    <w:rsid w:val="00EB7014"/>
    <w:rsid w:val="00EC3424"/>
    <w:rsid w:val="00EC5CDE"/>
    <w:rsid w:val="00EC7F2A"/>
    <w:rsid w:val="00ED3077"/>
    <w:rsid w:val="00ED487E"/>
    <w:rsid w:val="00ED64F1"/>
    <w:rsid w:val="00EE33A1"/>
    <w:rsid w:val="00EE7A0D"/>
    <w:rsid w:val="00F0222C"/>
    <w:rsid w:val="00F06647"/>
    <w:rsid w:val="00F12312"/>
    <w:rsid w:val="00F12BCD"/>
    <w:rsid w:val="00F13239"/>
    <w:rsid w:val="00F17CE1"/>
    <w:rsid w:val="00F2115C"/>
    <w:rsid w:val="00F22ABA"/>
    <w:rsid w:val="00F25919"/>
    <w:rsid w:val="00F25F4B"/>
    <w:rsid w:val="00F27FAA"/>
    <w:rsid w:val="00F35CF9"/>
    <w:rsid w:val="00F36B12"/>
    <w:rsid w:val="00F422AA"/>
    <w:rsid w:val="00F4689C"/>
    <w:rsid w:val="00F52B2F"/>
    <w:rsid w:val="00F60F9F"/>
    <w:rsid w:val="00F61246"/>
    <w:rsid w:val="00F64F08"/>
    <w:rsid w:val="00F70055"/>
    <w:rsid w:val="00F70336"/>
    <w:rsid w:val="00F734F5"/>
    <w:rsid w:val="00F73B5B"/>
    <w:rsid w:val="00F77F77"/>
    <w:rsid w:val="00F80A39"/>
    <w:rsid w:val="00F8536E"/>
    <w:rsid w:val="00F90EA5"/>
    <w:rsid w:val="00F91F5A"/>
    <w:rsid w:val="00F966B1"/>
    <w:rsid w:val="00F97D48"/>
    <w:rsid w:val="00FA0311"/>
    <w:rsid w:val="00FA1489"/>
    <w:rsid w:val="00FB29D8"/>
    <w:rsid w:val="00FC08D8"/>
    <w:rsid w:val="00FD50F0"/>
    <w:rsid w:val="00FD640F"/>
    <w:rsid w:val="00FD6B4C"/>
    <w:rsid w:val="00FE04C6"/>
    <w:rsid w:val="00FE0553"/>
    <w:rsid w:val="00FE25D0"/>
    <w:rsid w:val="00FE6CB3"/>
    <w:rsid w:val="00FF41A5"/>
    <w:rsid w:val="00FF4E99"/>
    <w:rsid w:val="00FF5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 w:type="character" w:styleId="CommentReference">
    <w:name w:val="annotation reference"/>
    <w:basedOn w:val="DefaultParagraphFont"/>
    <w:uiPriority w:val="1"/>
    <w:semiHidden/>
    <w:unhideWhenUsed/>
    <w:rsid w:val="00AF131E"/>
    <w:rPr>
      <w:sz w:val="16"/>
      <w:szCs w:val="16"/>
    </w:rPr>
  </w:style>
  <w:style w:type="paragraph" w:styleId="CommentText">
    <w:name w:val="annotation text"/>
    <w:basedOn w:val="Normal"/>
    <w:link w:val="CommentTextChar"/>
    <w:uiPriority w:val="1"/>
    <w:semiHidden/>
    <w:unhideWhenUsed/>
    <w:rsid w:val="00AF131E"/>
    <w:pPr>
      <w:spacing w:line="240" w:lineRule="auto"/>
    </w:pPr>
  </w:style>
  <w:style w:type="character" w:customStyle="1" w:styleId="CommentTextChar">
    <w:name w:val="Comment Text Char"/>
    <w:basedOn w:val="DefaultParagraphFont"/>
    <w:link w:val="CommentText"/>
    <w:uiPriority w:val="1"/>
    <w:semiHidden/>
    <w:rsid w:val="00AF131E"/>
  </w:style>
  <w:style w:type="paragraph" w:styleId="CommentSubject">
    <w:name w:val="annotation subject"/>
    <w:basedOn w:val="CommentText"/>
    <w:next w:val="CommentText"/>
    <w:link w:val="CommentSubjectChar"/>
    <w:uiPriority w:val="1"/>
    <w:semiHidden/>
    <w:unhideWhenUsed/>
    <w:rsid w:val="00AF131E"/>
    <w:rPr>
      <w:b/>
      <w:bCs/>
    </w:rPr>
  </w:style>
  <w:style w:type="character" w:customStyle="1" w:styleId="CommentSubjectChar">
    <w:name w:val="Comment Subject Char"/>
    <w:basedOn w:val="CommentTextChar"/>
    <w:link w:val="CommentSubject"/>
    <w:uiPriority w:val="1"/>
    <w:semiHidden/>
    <w:rsid w:val="00AF131E"/>
    <w:rPr>
      <w:b/>
      <w:bCs/>
    </w:rPr>
  </w:style>
  <w:style w:type="paragraph" w:styleId="TableofFigures">
    <w:name w:val="table of figures"/>
    <w:basedOn w:val="Normal"/>
    <w:next w:val="Normal"/>
    <w:uiPriority w:val="99"/>
    <w:unhideWhenUsed/>
    <w:rsid w:val="000E6D19"/>
    <w:pPr>
      <w:spacing w:before="0" w:after="120" w:line="240" w:lineRule="auto"/>
    </w:pPr>
    <w:rPr>
      <w:sz w:val="21"/>
      <w:szCs w:val="24"/>
      <w:lang w:eastAsia="en-US"/>
    </w:rPr>
  </w:style>
  <w:style w:type="character" w:styleId="FollowedHyperlink">
    <w:name w:val="FollowedHyperlink"/>
    <w:basedOn w:val="DefaultParagraphFont"/>
    <w:uiPriority w:val="1"/>
    <w:semiHidden/>
    <w:unhideWhenUsed/>
    <w:rsid w:val="00D62508"/>
    <w:rPr>
      <w:color w:val="0063A5" w:themeColor="followedHyperlink"/>
      <w:u w:val="single"/>
    </w:rPr>
  </w:style>
  <w:style w:type="paragraph" w:styleId="Revision">
    <w:name w:val="Revision"/>
    <w:hidden/>
    <w:uiPriority w:val="99"/>
    <w:semiHidden/>
    <w:rsid w:val="003A40C2"/>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ageing/health-systems/icope/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hi.org/Engage/Initiatives/Age-Friendly-Health-Systems/Pages/Resource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7A338-B65C-4CF9-BC8B-BF7FEF60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Building an age-friendly Indigo health system</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2020-12-18T12:18:00Z</dcterms:created>
  <dcterms:modified xsi:type="dcterms:W3CDTF">2020-12-18T12:18:00Z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2020-12-18T12:18:49Z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328cfb06-5398-4446-afa8-3b799c4e17d6</vt:lpwstr>
  </property>
  <property fmtid="{D5CDD505-2E9C-101B-9397-08002B2CF9AE}" pid="8" name="MSIP_Label_efdf5488-3066-4b6c-8fea-9472b8a1f34c_ContentBits">
    <vt:lpwstr>0</vt:lpwstr>
  </property>
</Properties>
</file>