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4C4A9DFA" w:rsidR="00A46288" w:rsidRPr="00DA3F36" w:rsidRDefault="009011C4" w:rsidP="007A4444">
      <w:pPr>
        <w:pStyle w:val="Title"/>
      </w:pPr>
      <w:bookmarkStart w:id="0" w:name="_GoBack"/>
      <w:bookmarkEnd w:id="0"/>
      <w:r w:rsidRPr="009011C4">
        <w:t>REDUCING UNNECESSARY TEST</w:t>
      </w:r>
      <w:r w:rsidR="00785946">
        <w:t>ing</w:t>
      </w:r>
      <w:r w:rsidRPr="009011C4">
        <w:t xml:space="preserve"> WITH A CLINICIAN-LED APPROACH</w:t>
      </w:r>
    </w:p>
    <w:p w14:paraId="6800B4C5" w14:textId="74836213" w:rsidR="00897157" w:rsidRDefault="009011C4" w:rsidP="00E03F35">
      <w:pPr>
        <w:pStyle w:val="IntroductoryText"/>
      </w:pPr>
      <w:bookmarkStart w:id="1" w:name="_Hlk56972434"/>
      <w:r w:rsidRPr="009011C4">
        <w:t>Unnecessary test</w:t>
      </w:r>
      <w:r w:rsidR="003370CC">
        <w:t>ing</w:t>
      </w:r>
      <w:r w:rsidRPr="009011C4">
        <w:t xml:space="preserve"> can expose patients to </w:t>
      </w:r>
      <w:r w:rsidR="003370CC">
        <w:t>harm</w:t>
      </w:r>
      <w:r w:rsidRPr="009011C4">
        <w:t xml:space="preserve">, impact patient flow, and result in inefficient use of clinical resources and </w:t>
      </w:r>
      <w:r w:rsidR="003370CC">
        <w:t>excessive</w:t>
      </w:r>
      <w:r w:rsidRPr="009011C4">
        <w:t xml:space="preserve"> expenditure. </w:t>
      </w:r>
      <w:r w:rsidR="0074500F">
        <w:t xml:space="preserve">Building on earlier work, </w:t>
      </w:r>
      <w:r w:rsidRPr="009011C4">
        <w:t xml:space="preserve">Eastern Health </w:t>
      </w:r>
      <w:r w:rsidR="0074500F">
        <w:t xml:space="preserve">used a clinician-led approach to </w:t>
      </w:r>
      <w:r w:rsidR="003370CC">
        <w:t xml:space="preserve">reduce unnecessary </w:t>
      </w:r>
      <w:r w:rsidR="0074500F">
        <w:t>test</w:t>
      </w:r>
      <w:r w:rsidR="001C743F">
        <w:t>ing</w:t>
      </w:r>
      <w:r w:rsidR="0074500F">
        <w:t xml:space="preserve"> </w:t>
      </w:r>
      <w:r w:rsidR="003370CC">
        <w:t xml:space="preserve">across its emergency, intensive care </w:t>
      </w:r>
      <w:r w:rsidR="0074500F">
        <w:t>and general medicine programs</w:t>
      </w:r>
      <w:r w:rsidRPr="009011C4">
        <w:t>.</w:t>
      </w:r>
    </w:p>
    <w:bookmarkEnd w:id="1"/>
    <w:p w14:paraId="7E23E5B8" w14:textId="77777777" w:rsidR="007A4444" w:rsidRDefault="007A4444" w:rsidP="007A4444">
      <w:pPr>
        <w:pStyle w:val="NoSpacing"/>
      </w:pPr>
    </w:p>
    <w:p w14:paraId="4230C339" w14:textId="77777777" w:rsidR="007A4444" w:rsidRDefault="007A4444" w:rsidP="00794CB7">
      <w:pPr>
        <w:sectPr w:rsidR="007A4444" w:rsidSect="0043580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5E71D764" w14:textId="777DCB05" w:rsidR="00573DD9" w:rsidRDefault="00573DD9" w:rsidP="00D84B5A">
      <w:pPr>
        <w:pStyle w:val="Normalfollowingheading"/>
      </w:pPr>
      <w:bookmarkStart w:id="2" w:name="_Hlk56972420"/>
      <w:r>
        <w:t>T</w:t>
      </w:r>
      <w:r w:rsidRPr="00573DD9">
        <w:t xml:space="preserve">esting </w:t>
      </w:r>
      <w:r>
        <w:t xml:space="preserve">is considered ‘unnecessary’ if it is not clinically indicated, </w:t>
      </w:r>
      <w:r w:rsidR="00715BEA">
        <w:t xml:space="preserve">shows no evidence of </w:t>
      </w:r>
      <w:r>
        <w:t>benefit</w:t>
      </w:r>
      <w:r w:rsidR="00715BEA">
        <w:t>ting</w:t>
      </w:r>
      <w:r>
        <w:t xml:space="preserve"> the patient, and/or is more appropriate to </w:t>
      </w:r>
      <w:r w:rsidR="00F93E5A">
        <w:t xml:space="preserve">defer to a </w:t>
      </w:r>
      <w:r>
        <w:t xml:space="preserve">different setting, such as </w:t>
      </w:r>
      <w:r w:rsidR="00F93E5A">
        <w:t xml:space="preserve">an </w:t>
      </w:r>
      <w:r>
        <w:t>outpatient clinic</w:t>
      </w:r>
      <w:r w:rsidR="00336087">
        <w:t>.</w:t>
      </w:r>
      <w:r>
        <w:t xml:space="preserve"> </w:t>
      </w:r>
    </w:p>
    <w:bookmarkEnd w:id="2"/>
    <w:p w14:paraId="1C0BC933" w14:textId="7F3775B3" w:rsidR="00F93E5A" w:rsidRDefault="00F93E5A" w:rsidP="00D84B5A">
      <w:pPr>
        <w:pStyle w:val="Normalfollowingheading"/>
      </w:pPr>
      <w:r>
        <w:t>A variety of factors can lead to unnecessary testing, including:</w:t>
      </w:r>
    </w:p>
    <w:p w14:paraId="0B325A89" w14:textId="31203C48" w:rsidR="00F93E5A" w:rsidRDefault="00F93E5A" w:rsidP="00F93E5A">
      <w:pPr>
        <w:pStyle w:val="Bullet1"/>
      </w:pPr>
      <w:r>
        <w:t>lack of knowledge and education within a health service to inform staff on when pathology and imaging tests should be ordered</w:t>
      </w:r>
    </w:p>
    <w:p w14:paraId="3B5AB9D9" w14:textId="6D6D4B8F" w:rsidR="00F93E5A" w:rsidRDefault="00F93E5A" w:rsidP="00F93E5A">
      <w:pPr>
        <w:pStyle w:val="Bullet1"/>
      </w:pPr>
      <w:r>
        <w:t>lack of decision support tools, clinical pathways and guidelines to guide the appropriate ordering of diagnostic testing</w:t>
      </w:r>
    </w:p>
    <w:p w14:paraId="590B2809" w14:textId="0132D5A8" w:rsidR="00F93E5A" w:rsidRDefault="00F93E5A" w:rsidP="00F93E5A">
      <w:pPr>
        <w:pStyle w:val="Bullet1"/>
      </w:pPr>
      <w:r>
        <w:t xml:space="preserve">expectations </w:t>
      </w:r>
      <w:r w:rsidR="00D84B5A">
        <w:t xml:space="preserve">around </w:t>
      </w:r>
      <w:r>
        <w:t>the tests that should be performed, including from patients, general practitioners, hospital units and consultants</w:t>
      </w:r>
      <w:r w:rsidR="00D84B5A">
        <w:t>, such as visiting medical officers (VMOs)</w:t>
      </w:r>
      <w:r>
        <w:t>.</w:t>
      </w:r>
    </w:p>
    <w:p w14:paraId="215D1EC9" w14:textId="456D3557" w:rsidR="00BC57ED" w:rsidRDefault="0042520B" w:rsidP="0042520B">
      <w:r>
        <w:t>Eastern Health implemented t</w:t>
      </w:r>
      <w:r w:rsidR="00BC57ED">
        <w:t xml:space="preserve">he </w:t>
      </w:r>
      <w:r w:rsidR="000B365D">
        <w:t>NUT</w:t>
      </w:r>
      <w:r w:rsidR="00D475BB">
        <w:t>s</w:t>
      </w:r>
      <w:r w:rsidR="00BC57ED">
        <w:t xml:space="preserve"> project to build on </w:t>
      </w:r>
      <w:r>
        <w:t xml:space="preserve">work </w:t>
      </w:r>
      <w:r w:rsidR="00145BF2">
        <w:t xml:space="preserve">it </w:t>
      </w:r>
      <w:r>
        <w:t xml:space="preserve">began in 2012 to reduce </w:t>
      </w:r>
      <w:r w:rsidR="00BC57ED">
        <w:t>unnecessary diagnostic testing</w:t>
      </w:r>
      <w:r>
        <w:t xml:space="preserve"> at its Box Hill Hospital emergency department</w:t>
      </w:r>
      <w:r w:rsidR="00B0072D">
        <w:t xml:space="preserve"> (ED)</w:t>
      </w:r>
      <w:r w:rsidR="00BC57ED">
        <w:t xml:space="preserve">. </w:t>
      </w:r>
    </w:p>
    <w:p w14:paraId="3673FB9F" w14:textId="6DE29865" w:rsidR="00661B6F" w:rsidRPr="00D84B5A" w:rsidRDefault="00661B6F" w:rsidP="00D84B5A">
      <w:pPr>
        <w:pStyle w:val="Normalfollowingheading"/>
      </w:pPr>
      <w:r>
        <w:t xml:space="preserve">The health </w:t>
      </w:r>
      <w:r w:rsidRPr="00D84B5A">
        <w:t xml:space="preserve">service aimed to </w:t>
      </w:r>
      <w:r w:rsidR="00BC57ED" w:rsidRPr="00D84B5A">
        <w:t xml:space="preserve">scale and embed </w:t>
      </w:r>
      <w:r w:rsidRPr="00D84B5A">
        <w:t>the successful test reduction strategies it had developed through earlier project</w:t>
      </w:r>
      <w:r w:rsidR="00D84B5A">
        <w:t>s</w:t>
      </w:r>
      <w:r w:rsidRPr="00D84B5A">
        <w:t xml:space="preserve"> </w:t>
      </w:r>
      <w:r w:rsidR="00BC57ED" w:rsidRPr="00D84B5A">
        <w:t xml:space="preserve">across </w:t>
      </w:r>
      <w:r w:rsidRPr="00D84B5A">
        <w:t xml:space="preserve">its </w:t>
      </w:r>
      <w:r w:rsidR="00715BEA" w:rsidRPr="00D84B5A">
        <w:t>e</w:t>
      </w:r>
      <w:r w:rsidR="00BC57ED" w:rsidRPr="00D84B5A">
        <w:t xml:space="preserve">mergency, </w:t>
      </w:r>
      <w:r w:rsidR="00715BEA" w:rsidRPr="00D84B5A">
        <w:t>g</w:t>
      </w:r>
      <w:r w:rsidR="00BC57ED" w:rsidRPr="00D84B5A">
        <w:t xml:space="preserve">eneral </w:t>
      </w:r>
      <w:r w:rsidR="00715BEA" w:rsidRPr="00D84B5A">
        <w:t>m</w:t>
      </w:r>
      <w:r w:rsidR="00BC57ED" w:rsidRPr="00D84B5A">
        <w:t xml:space="preserve">edicine and </w:t>
      </w:r>
      <w:r w:rsidR="00715BEA" w:rsidRPr="00D84B5A">
        <w:t>i</w:t>
      </w:r>
      <w:r w:rsidR="00BC57ED" w:rsidRPr="00D84B5A">
        <w:t xml:space="preserve">ntensive </w:t>
      </w:r>
      <w:r w:rsidR="00715BEA" w:rsidRPr="00D84B5A">
        <w:t>c</w:t>
      </w:r>
      <w:r w:rsidR="00BC57ED" w:rsidRPr="00D84B5A">
        <w:t>are programs</w:t>
      </w:r>
      <w:r w:rsidRPr="00D84B5A">
        <w:t>.</w:t>
      </w:r>
    </w:p>
    <w:p w14:paraId="2CD5003B" w14:textId="6DD0AA3B" w:rsidR="0025093B" w:rsidRDefault="00661B6F" w:rsidP="00D84B5A">
      <w:pPr>
        <w:pStyle w:val="Normalfollowingheading"/>
      </w:pPr>
      <w:bookmarkStart w:id="3" w:name="_Hlk56972451"/>
      <w:r w:rsidRPr="00D84B5A">
        <w:t xml:space="preserve">By ensuring </w:t>
      </w:r>
      <w:r w:rsidR="00BC57ED" w:rsidRPr="00D84B5A">
        <w:t xml:space="preserve">patients </w:t>
      </w:r>
      <w:r w:rsidR="00715BEA" w:rsidRPr="00D84B5A">
        <w:t xml:space="preserve">only received </w:t>
      </w:r>
      <w:r w:rsidR="00BC57ED" w:rsidRPr="00D84B5A">
        <w:t xml:space="preserve">diagnostic tests </w:t>
      </w:r>
      <w:r w:rsidR="00715BEA" w:rsidRPr="00D84B5A">
        <w:t xml:space="preserve">that were </w:t>
      </w:r>
      <w:r w:rsidR="00BC57ED" w:rsidRPr="00D84B5A">
        <w:t>evidence</w:t>
      </w:r>
      <w:r w:rsidR="00715BEA" w:rsidRPr="00D84B5A">
        <w:t>-</w:t>
      </w:r>
      <w:r w:rsidR="00BC57ED" w:rsidRPr="00D84B5A">
        <w:t xml:space="preserve">based, </w:t>
      </w:r>
      <w:r w:rsidR="00443FD6">
        <w:t xml:space="preserve">beneficial to </w:t>
      </w:r>
      <w:r w:rsidR="00BC57ED" w:rsidRPr="00D84B5A">
        <w:t>clinical decision</w:t>
      </w:r>
      <w:r w:rsidR="00715BEA" w:rsidRPr="00D84B5A">
        <w:t>-</w:t>
      </w:r>
      <w:r w:rsidR="00BC57ED" w:rsidRPr="00D84B5A">
        <w:t xml:space="preserve">making, and appropriate </w:t>
      </w:r>
      <w:r w:rsidR="00F071C0" w:rsidRPr="00D84B5A">
        <w:t>for the hospital setting</w:t>
      </w:r>
      <w:r w:rsidRPr="00D84B5A">
        <w:t xml:space="preserve">, </w:t>
      </w:r>
      <w:r w:rsidR="00A968BD" w:rsidRPr="00D84B5A">
        <w:t xml:space="preserve">Eastern </w:t>
      </w:r>
      <w:r w:rsidRPr="00D84B5A">
        <w:t xml:space="preserve">Health </w:t>
      </w:r>
      <w:r w:rsidR="003B670F" w:rsidRPr="00D84B5A">
        <w:t xml:space="preserve">sought </w:t>
      </w:r>
      <w:r w:rsidR="006F5C3F" w:rsidRPr="00D84B5A">
        <w:t xml:space="preserve">to </w:t>
      </w:r>
      <w:r w:rsidR="002A3F48" w:rsidRPr="00D84B5A">
        <w:t xml:space="preserve">improve </w:t>
      </w:r>
      <w:r w:rsidR="006F5C3F" w:rsidRPr="00D84B5A">
        <w:t xml:space="preserve">the efficiency of its hospitals </w:t>
      </w:r>
      <w:r w:rsidR="00071979" w:rsidRPr="00D84B5A">
        <w:t>and reduce inconvenience, discomfort and potential harm to patients</w:t>
      </w:r>
      <w:r w:rsidR="00BC57ED">
        <w:t>.</w:t>
      </w:r>
    </w:p>
    <w:bookmarkEnd w:id="3"/>
    <w:p w14:paraId="17AC57C9" w14:textId="17743B91" w:rsidR="00E41D82" w:rsidRDefault="00A2160F">
      <w:pPr>
        <w:rPr>
          <w:rFonts w:asciiTheme="majorHAnsi" w:eastAsiaTheme="majorEastAsia" w:hAnsiTheme="majorHAnsi" w:cstheme="majorBidi"/>
          <w:b/>
          <w:bCs/>
          <w:caps/>
          <w:color w:val="0063A5" w:themeColor="text2"/>
          <w:sz w:val="24"/>
          <w:szCs w:val="26"/>
        </w:rPr>
      </w:pPr>
      <w:r>
        <w:br w:type="column"/>
      </w:r>
      <w:r w:rsidR="00C7098C" w:rsidRPr="00C821CE">
        <w:rPr>
          <w:i/>
          <w:iCs/>
          <w:noProof/>
        </w:rPr>
        <mc:AlternateContent>
          <mc:Choice Requires="wps">
            <w:drawing>
              <wp:inline distT="0" distB="0" distL="0" distR="0" wp14:anchorId="7E5AC192" wp14:editId="1CE4FCDA">
                <wp:extent cx="3230245" cy="628650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6286500"/>
                        </a:xfrm>
                        <a:prstGeom prst="rect">
                          <a:avLst/>
                        </a:prstGeom>
                        <a:solidFill>
                          <a:srgbClr val="FEEAD2"/>
                        </a:solidFill>
                        <a:ln w="6350">
                          <a:solidFill>
                            <a:srgbClr val="FEEAD2"/>
                          </a:solidFill>
                          <a:miter lim="800000"/>
                          <a:headEnd/>
                          <a:tailEnd/>
                        </a:ln>
                      </wps:spPr>
                      <wps:txbx>
                        <w:txbxContent>
                          <w:p w14:paraId="14988FB7" w14:textId="57D90836" w:rsidR="00C7098C" w:rsidRPr="004D6898" w:rsidRDefault="001E4254" w:rsidP="00C7098C">
                            <w:pPr>
                              <w:pStyle w:val="PulloutHeading"/>
                            </w:pPr>
                            <w:bookmarkStart w:id="4" w:name="_Hlk56972377"/>
                            <w:r w:rsidRPr="001E4254">
                              <w:t xml:space="preserve">No </w:t>
                            </w:r>
                            <w:r w:rsidR="0042520B">
                              <w:t>u</w:t>
                            </w:r>
                            <w:r w:rsidRPr="001E4254">
                              <w:t xml:space="preserve">nnecessary </w:t>
                            </w:r>
                            <w:r w:rsidR="0042520B">
                              <w:t>t</w:t>
                            </w:r>
                            <w:r w:rsidRPr="001E4254">
                              <w:t>ests</w:t>
                            </w:r>
                            <w:r w:rsidR="005C396B">
                              <w:t xml:space="preserve"> (NUTs)</w:t>
                            </w:r>
                          </w:p>
                          <w:bookmarkEnd w:id="4"/>
                          <w:p w14:paraId="3BCE2E88" w14:textId="32497C60" w:rsidR="00C7098C" w:rsidRDefault="00C7098C" w:rsidP="00C7098C">
                            <w:pPr>
                              <w:pStyle w:val="PulloutText"/>
                            </w:pPr>
                            <w:r w:rsidRPr="00186B39">
                              <w:rPr>
                                <w:b/>
                                <w:bCs/>
                              </w:rPr>
                              <w:t>Lead</w:t>
                            </w:r>
                            <w:r>
                              <w:t xml:space="preserve"> </w:t>
                            </w:r>
                            <w:bookmarkStart w:id="5" w:name="_Hlk56972400"/>
                            <w:r w:rsidR="001E4254" w:rsidRPr="001E4254">
                              <w:t>Eastern Health</w:t>
                            </w:r>
                            <w:bookmarkEnd w:id="5"/>
                          </w:p>
                          <w:p w14:paraId="6FDBE315" w14:textId="2B47E12F" w:rsidR="00C7098C" w:rsidRDefault="00C7098C" w:rsidP="00C7098C">
                            <w:pPr>
                              <w:pStyle w:val="PulloutText"/>
                              <w:rPr>
                                <w:b/>
                                <w:bCs/>
                              </w:rPr>
                            </w:pPr>
                            <w:r w:rsidRPr="00911408">
                              <w:rPr>
                                <w:b/>
                                <w:bCs/>
                              </w:rPr>
                              <w:t>Partner</w:t>
                            </w:r>
                            <w:r w:rsidR="001E4254">
                              <w:rPr>
                                <w:b/>
                                <w:bCs/>
                              </w:rPr>
                              <w:t xml:space="preserve"> </w:t>
                            </w:r>
                            <w:bookmarkStart w:id="6" w:name="_Hlk56972405"/>
                            <w:r w:rsidR="001E4254" w:rsidRPr="001E4254">
                              <w:t>Austin Health</w:t>
                            </w:r>
                            <w:bookmarkEnd w:id="6"/>
                          </w:p>
                          <w:p w14:paraId="59A54D14" w14:textId="45EBEBC4" w:rsidR="00C7098C" w:rsidRPr="001E4254" w:rsidRDefault="00186B39" w:rsidP="00C7098C">
                            <w:pPr>
                              <w:pStyle w:val="PulloutText"/>
                            </w:pPr>
                            <w:r>
                              <w:rPr>
                                <w:b/>
                                <w:bCs/>
                              </w:rPr>
                              <w:t>Duration</w:t>
                            </w:r>
                            <w:r w:rsidR="001E4254">
                              <w:rPr>
                                <w:b/>
                                <w:bCs/>
                              </w:rPr>
                              <w:t xml:space="preserve"> </w:t>
                            </w:r>
                            <w:r w:rsidR="001E4254">
                              <w:t>October 2016 – January 2018</w:t>
                            </w:r>
                          </w:p>
                          <w:p w14:paraId="29DC0549" w14:textId="10478D11" w:rsidR="00C7098C" w:rsidRDefault="00C7098C" w:rsidP="00C7098C">
                            <w:pPr>
                              <w:pStyle w:val="PulloutText"/>
                              <w:rPr>
                                <w:b/>
                                <w:bCs/>
                              </w:rPr>
                            </w:pPr>
                            <w:r w:rsidRPr="00911408">
                              <w:rPr>
                                <w:b/>
                                <w:bCs/>
                              </w:rPr>
                              <w:t xml:space="preserve">Key </w:t>
                            </w:r>
                            <w:r w:rsidR="00BC07DF">
                              <w:rPr>
                                <w:b/>
                                <w:bCs/>
                              </w:rPr>
                              <w:t>outcomes</w:t>
                            </w:r>
                          </w:p>
                          <w:p w14:paraId="360586F4" w14:textId="00DAFD4A" w:rsidR="009D26D2" w:rsidRDefault="009D26D2" w:rsidP="009D26D2">
                            <w:pPr>
                              <w:pStyle w:val="Bullet1"/>
                            </w:pPr>
                            <w:r>
                              <w:t xml:space="preserve">In the ED program: </w:t>
                            </w:r>
                          </w:p>
                          <w:p w14:paraId="0D1708AC" w14:textId="7072B919" w:rsidR="009D26D2" w:rsidRDefault="009D26D2" w:rsidP="009D26D2">
                            <w:pPr>
                              <w:pStyle w:val="Bullet2"/>
                            </w:pPr>
                            <w:r>
                              <w:t xml:space="preserve">reduced target tests </w:t>
                            </w:r>
                            <w:r w:rsidR="00482EE7">
                              <w:t xml:space="preserve">numbers </w:t>
                            </w:r>
                            <w:r>
                              <w:t>by 38,890 over two years</w:t>
                            </w:r>
                            <w:r w:rsidR="00D84B5A">
                              <w:t xml:space="preserve"> through </w:t>
                            </w:r>
                            <w:r w:rsidR="00482EE7">
                              <w:t xml:space="preserve">the introduction and </w:t>
                            </w:r>
                            <w:r w:rsidR="00D84B5A">
                              <w:t xml:space="preserve">embedding </w:t>
                            </w:r>
                            <w:r w:rsidR="00482EE7">
                              <w:t xml:space="preserve">of </w:t>
                            </w:r>
                            <w:r w:rsidR="00D84B5A">
                              <w:t xml:space="preserve">test reduction strategies </w:t>
                            </w:r>
                          </w:p>
                          <w:p w14:paraId="47B473A5" w14:textId="061E1382" w:rsidR="009D26D2" w:rsidRDefault="009D26D2" w:rsidP="009D26D2">
                            <w:pPr>
                              <w:pStyle w:val="Bullet2"/>
                            </w:pPr>
                            <w:r>
                              <w:t>achieved aggregate reductions in VBG, COAG, CCa, CRP and UMC testing over two years</w:t>
                            </w:r>
                            <w:r w:rsidR="00D84B5A">
                              <w:t>,</w:t>
                            </w:r>
                            <w:r>
                              <w:t xml:space="preserve"> ranging from 31 per cent </w:t>
                            </w:r>
                            <w:r w:rsidR="00D84B5A">
                              <w:t xml:space="preserve">(2,986) </w:t>
                            </w:r>
                            <w:r>
                              <w:t xml:space="preserve">for UMC to 46 per cent </w:t>
                            </w:r>
                            <w:r w:rsidR="00D84B5A">
                              <w:t xml:space="preserve">(5,619) </w:t>
                            </w:r>
                            <w:r>
                              <w:t>for VBG</w:t>
                            </w:r>
                          </w:p>
                          <w:p w14:paraId="70C54D84" w14:textId="77777777" w:rsidR="009D26D2" w:rsidRDefault="009D26D2" w:rsidP="009D26D2">
                            <w:pPr>
                              <w:pStyle w:val="Bullet2"/>
                            </w:pPr>
                            <w:r>
                              <w:t>implemented CXR test reduction strategies for the first time, resulting in an 8 per cent (3,005) annual reduction</w:t>
                            </w:r>
                          </w:p>
                          <w:p w14:paraId="5C3BB338" w14:textId="3A6F9154" w:rsidR="009D26D2" w:rsidRDefault="009D26D2" w:rsidP="009D26D2">
                            <w:pPr>
                              <w:pStyle w:val="Bullet2"/>
                            </w:pPr>
                            <w:r>
                              <w:t xml:space="preserve">reduced annual CT-L scans by 8 per cent (29) at </w:t>
                            </w:r>
                            <w:r w:rsidR="00482EE7">
                              <w:t xml:space="preserve">the </w:t>
                            </w:r>
                            <w:r>
                              <w:t>Box Hill Hospital ED</w:t>
                            </w:r>
                          </w:p>
                          <w:p w14:paraId="240BAD7D" w14:textId="2A0C0553" w:rsidR="009D26D2" w:rsidRDefault="009D26D2" w:rsidP="009D26D2">
                            <w:pPr>
                              <w:pStyle w:val="Bullet1"/>
                            </w:pPr>
                            <w:r>
                              <w:t xml:space="preserve">In the general medicine program: </w:t>
                            </w:r>
                          </w:p>
                          <w:p w14:paraId="6F0B658E" w14:textId="77777777" w:rsidR="009D26D2" w:rsidRDefault="009D26D2" w:rsidP="009D26D2">
                            <w:pPr>
                              <w:pStyle w:val="Bullet2"/>
                            </w:pPr>
                            <w:r>
                              <w:t>achieved a combined annual reduction of 4,983 target tests over three general medicine clinics</w:t>
                            </w:r>
                          </w:p>
                          <w:p w14:paraId="191A87BA" w14:textId="3A830360" w:rsidR="009C5928" w:rsidRDefault="009D26D2" w:rsidP="009D26D2">
                            <w:pPr>
                              <w:pStyle w:val="Bullet2"/>
                            </w:pPr>
                            <w:r>
                              <w:t>decreased ordering in three of the four target tests, with annual reductions ranging from 5 per cent (1,376) for U&amp;E to 12</w:t>
                            </w:r>
                            <w:r w:rsidR="00482EE7">
                              <w:t> </w:t>
                            </w:r>
                            <w:r>
                              <w:t>per</w:t>
                            </w:r>
                            <w:r w:rsidR="00482EE7">
                              <w:t> </w:t>
                            </w:r>
                            <w:r>
                              <w:t xml:space="preserve">cent (1,774) </w:t>
                            </w:r>
                            <w:r w:rsidR="009C5928">
                              <w:t xml:space="preserve">for </w:t>
                            </w:r>
                            <w:r>
                              <w:t>CRP</w:t>
                            </w:r>
                          </w:p>
                          <w:p w14:paraId="23FB8744" w14:textId="132E7CDA" w:rsidR="003C0B21" w:rsidRDefault="009C5928" w:rsidP="009D26D2">
                            <w:pPr>
                              <w:pStyle w:val="Bullet1"/>
                            </w:pPr>
                            <w:r>
                              <w:t>Reduced</w:t>
                            </w:r>
                            <w:r w:rsidR="009D26D2">
                              <w:t xml:space="preserve"> annual CXR orders by 26 per cent (1,503) across two intensive care units</w:t>
                            </w:r>
                          </w:p>
                          <w:p w14:paraId="797872C3" w14:textId="3D7D48A2" w:rsidR="00482EE7" w:rsidRPr="00911408" w:rsidRDefault="00482EE7" w:rsidP="009D26D2">
                            <w:pPr>
                              <w:pStyle w:val="Bullet1"/>
                            </w:pPr>
                            <w:r>
                              <w:t xml:space="preserve">Reduced risk of </w:t>
                            </w:r>
                            <w:r w:rsidRPr="00482EE7">
                              <w:t>patient harm, improved efficiencies</w:t>
                            </w:r>
                            <w:r>
                              <w:t>,</w:t>
                            </w:r>
                            <w:r w:rsidRPr="00482EE7">
                              <w:t xml:space="preserve"> and </w:t>
                            </w:r>
                            <w:r>
                              <w:t>saved on unnecessary costs</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" fillcolor="#feead2" strokecolor="#feead2" strokeweight=".5pt">
                <v:textbox inset="5mm,5mm,4mm,1mm">
                  <w:txbxContent>
                    <w:p w14:paraId="14988FB7" w14:textId="57D90836" w:rsidR="00C7098C" w:rsidRPr="004D6898" w:rsidRDefault="001E4254" w:rsidP="00C7098C">
                      <w:pPr>
                        <w:pStyle w:val="PulloutHeading"/>
                      </w:pPr>
                      <w:bookmarkStart w:id="7" w:name="_Hlk56972377"/>
                      <w:r w:rsidRPr="001E4254">
                        <w:t xml:space="preserve">No </w:t>
                      </w:r>
                      <w:r w:rsidR="0042520B">
                        <w:t>u</w:t>
                      </w:r>
                      <w:r w:rsidRPr="001E4254">
                        <w:t xml:space="preserve">nnecessary </w:t>
                      </w:r>
                      <w:r w:rsidR="0042520B">
                        <w:t>t</w:t>
                      </w:r>
                      <w:r w:rsidRPr="001E4254">
                        <w:t>ests</w:t>
                      </w:r>
                      <w:r w:rsidR="005C396B">
                        <w:t xml:space="preserve"> (NUTs)</w:t>
                      </w:r>
                    </w:p>
                    <w:bookmarkEnd w:id="7"/>
                    <w:p w14:paraId="3BCE2E88" w14:textId="32497C60" w:rsidR="00C7098C" w:rsidRDefault="00C7098C" w:rsidP="00C7098C">
                      <w:pPr>
                        <w:pStyle w:val="PulloutText"/>
                      </w:pPr>
                      <w:r w:rsidRPr="00186B39">
                        <w:rPr>
                          <w:b/>
                          <w:bCs/>
                        </w:rPr>
                        <w:t>Lead</w:t>
                      </w:r>
                      <w:r>
                        <w:t xml:space="preserve"> </w:t>
                      </w:r>
                      <w:bookmarkStart w:id="8" w:name="_Hlk56972400"/>
                      <w:r w:rsidR="001E4254" w:rsidRPr="001E4254">
                        <w:t>Eastern Health</w:t>
                      </w:r>
                      <w:bookmarkEnd w:id="8"/>
                    </w:p>
                    <w:p w14:paraId="6FDBE315" w14:textId="2B47E12F" w:rsidR="00C7098C" w:rsidRDefault="00C7098C" w:rsidP="00C7098C">
                      <w:pPr>
                        <w:pStyle w:val="PulloutText"/>
                        <w:rPr>
                          <w:b/>
                          <w:bCs/>
                        </w:rPr>
                      </w:pPr>
                      <w:r w:rsidRPr="00911408">
                        <w:rPr>
                          <w:b/>
                          <w:bCs/>
                        </w:rPr>
                        <w:t>Partner</w:t>
                      </w:r>
                      <w:r w:rsidR="001E4254">
                        <w:rPr>
                          <w:b/>
                          <w:bCs/>
                        </w:rPr>
                        <w:t xml:space="preserve"> </w:t>
                      </w:r>
                      <w:bookmarkStart w:id="9" w:name="_Hlk56972405"/>
                      <w:r w:rsidR="001E4254" w:rsidRPr="001E4254">
                        <w:t>Austin Health</w:t>
                      </w:r>
                      <w:bookmarkEnd w:id="9"/>
                    </w:p>
                    <w:p w14:paraId="59A54D14" w14:textId="45EBEBC4" w:rsidR="00C7098C" w:rsidRPr="001E4254" w:rsidRDefault="00186B39" w:rsidP="00C7098C">
                      <w:pPr>
                        <w:pStyle w:val="PulloutText"/>
                      </w:pPr>
                      <w:r>
                        <w:rPr>
                          <w:b/>
                          <w:bCs/>
                        </w:rPr>
                        <w:t>Duration</w:t>
                      </w:r>
                      <w:r w:rsidR="001E4254">
                        <w:rPr>
                          <w:b/>
                          <w:bCs/>
                        </w:rPr>
                        <w:t xml:space="preserve"> </w:t>
                      </w:r>
                      <w:r w:rsidR="001E4254">
                        <w:t>October 2016 – January 2018</w:t>
                      </w:r>
                    </w:p>
                    <w:p w14:paraId="29DC0549" w14:textId="10478D11" w:rsidR="00C7098C" w:rsidRDefault="00C7098C" w:rsidP="00C7098C">
                      <w:pPr>
                        <w:pStyle w:val="PulloutText"/>
                        <w:rPr>
                          <w:b/>
                          <w:bCs/>
                        </w:rPr>
                      </w:pPr>
                      <w:r w:rsidRPr="00911408">
                        <w:rPr>
                          <w:b/>
                          <w:bCs/>
                        </w:rPr>
                        <w:t xml:space="preserve">Key </w:t>
                      </w:r>
                      <w:r w:rsidR="00BC07DF">
                        <w:rPr>
                          <w:b/>
                          <w:bCs/>
                        </w:rPr>
                        <w:t>outcomes</w:t>
                      </w:r>
                    </w:p>
                    <w:p w14:paraId="360586F4" w14:textId="00DAFD4A" w:rsidR="009D26D2" w:rsidRDefault="009D26D2" w:rsidP="009D26D2">
                      <w:pPr>
                        <w:pStyle w:val="Bullet1"/>
                      </w:pPr>
                      <w:r>
                        <w:t xml:space="preserve">In the ED program: </w:t>
                      </w:r>
                    </w:p>
                    <w:p w14:paraId="0D1708AC" w14:textId="7072B919" w:rsidR="009D26D2" w:rsidRDefault="009D26D2" w:rsidP="009D26D2">
                      <w:pPr>
                        <w:pStyle w:val="Bullet2"/>
                      </w:pPr>
                      <w:r>
                        <w:t xml:space="preserve">reduced target tests </w:t>
                      </w:r>
                      <w:r w:rsidR="00482EE7">
                        <w:t xml:space="preserve">numbers </w:t>
                      </w:r>
                      <w:r>
                        <w:t>by 38,890 over two years</w:t>
                      </w:r>
                      <w:r w:rsidR="00D84B5A">
                        <w:t xml:space="preserve"> through </w:t>
                      </w:r>
                      <w:r w:rsidR="00482EE7">
                        <w:t xml:space="preserve">the introduction and </w:t>
                      </w:r>
                      <w:r w:rsidR="00D84B5A">
                        <w:t xml:space="preserve">embedding </w:t>
                      </w:r>
                      <w:r w:rsidR="00482EE7">
                        <w:t xml:space="preserve">of </w:t>
                      </w:r>
                      <w:r w:rsidR="00D84B5A">
                        <w:t xml:space="preserve">test reduction strategies </w:t>
                      </w:r>
                    </w:p>
                    <w:p w14:paraId="47B473A5" w14:textId="061E1382" w:rsidR="009D26D2" w:rsidRDefault="009D26D2" w:rsidP="009D26D2">
                      <w:pPr>
                        <w:pStyle w:val="Bullet2"/>
                      </w:pPr>
                      <w:r>
                        <w:t>achieved aggregate reductions in VBG, COAG, CCa, CRP and UMC testing over two years</w:t>
                      </w:r>
                      <w:r w:rsidR="00D84B5A">
                        <w:t>,</w:t>
                      </w:r>
                      <w:r>
                        <w:t xml:space="preserve"> ranging from 31 per cent </w:t>
                      </w:r>
                      <w:r w:rsidR="00D84B5A">
                        <w:t xml:space="preserve">(2,986) </w:t>
                      </w:r>
                      <w:r>
                        <w:t xml:space="preserve">for UMC to 46 per cent </w:t>
                      </w:r>
                      <w:r w:rsidR="00D84B5A">
                        <w:t xml:space="preserve">(5,619) </w:t>
                      </w:r>
                      <w:r>
                        <w:t>for VBG</w:t>
                      </w:r>
                    </w:p>
                    <w:p w14:paraId="70C54D84" w14:textId="77777777" w:rsidR="009D26D2" w:rsidRDefault="009D26D2" w:rsidP="009D26D2">
                      <w:pPr>
                        <w:pStyle w:val="Bullet2"/>
                      </w:pPr>
                      <w:r>
                        <w:t>implemented CXR test reduction strategies for the first time, resulting in an 8 per cent (3,005) annual reduction</w:t>
                      </w:r>
                    </w:p>
                    <w:p w14:paraId="5C3BB338" w14:textId="3A6F9154" w:rsidR="009D26D2" w:rsidRDefault="009D26D2" w:rsidP="009D26D2">
                      <w:pPr>
                        <w:pStyle w:val="Bullet2"/>
                      </w:pPr>
                      <w:r>
                        <w:t xml:space="preserve">reduced annual CT-L scans by 8 per cent (29) at </w:t>
                      </w:r>
                      <w:r w:rsidR="00482EE7">
                        <w:t xml:space="preserve">the </w:t>
                      </w:r>
                      <w:r>
                        <w:t>Box Hill Hospital ED</w:t>
                      </w:r>
                    </w:p>
                    <w:p w14:paraId="240BAD7D" w14:textId="2A0C0553" w:rsidR="009D26D2" w:rsidRDefault="009D26D2" w:rsidP="009D26D2">
                      <w:pPr>
                        <w:pStyle w:val="Bullet1"/>
                      </w:pPr>
                      <w:r>
                        <w:t xml:space="preserve">In the general medicine program: </w:t>
                      </w:r>
                    </w:p>
                    <w:p w14:paraId="6F0B658E" w14:textId="77777777" w:rsidR="009D26D2" w:rsidRDefault="009D26D2" w:rsidP="009D26D2">
                      <w:pPr>
                        <w:pStyle w:val="Bullet2"/>
                      </w:pPr>
                      <w:r>
                        <w:t>achieved a combined annual reduction of 4,983 target tests over three general medicine clinics</w:t>
                      </w:r>
                    </w:p>
                    <w:p w14:paraId="191A87BA" w14:textId="3A830360" w:rsidR="009C5928" w:rsidRDefault="009D26D2" w:rsidP="009D26D2">
                      <w:pPr>
                        <w:pStyle w:val="Bullet2"/>
                      </w:pPr>
                      <w:r>
                        <w:t>decreased ordering in three of the four target tests, with annual reductions ranging from 5 per cent (1,376) for U&amp;E to 12</w:t>
                      </w:r>
                      <w:r w:rsidR="00482EE7">
                        <w:t> </w:t>
                      </w:r>
                      <w:r>
                        <w:t>per</w:t>
                      </w:r>
                      <w:r w:rsidR="00482EE7">
                        <w:t> </w:t>
                      </w:r>
                      <w:r>
                        <w:t xml:space="preserve">cent (1,774) </w:t>
                      </w:r>
                      <w:r w:rsidR="009C5928">
                        <w:t xml:space="preserve">for </w:t>
                      </w:r>
                      <w:r>
                        <w:t>CRP</w:t>
                      </w:r>
                    </w:p>
                    <w:p w14:paraId="23FB8744" w14:textId="132E7CDA" w:rsidR="003C0B21" w:rsidRDefault="009C5928" w:rsidP="009D26D2">
                      <w:pPr>
                        <w:pStyle w:val="Bullet1"/>
                      </w:pPr>
                      <w:r>
                        <w:t>Reduced</w:t>
                      </w:r>
                      <w:r w:rsidR="009D26D2">
                        <w:t xml:space="preserve"> annual CXR orders by 26 per cent (1,503) across two intensive care units</w:t>
                      </w:r>
                    </w:p>
                    <w:p w14:paraId="797872C3" w14:textId="3D7D48A2" w:rsidR="00482EE7" w:rsidRPr="00911408" w:rsidRDefault="00482EE7" w:rsidP="009D26D2">
                      <w:pPr>
                        <w:pStyle w:val="Bullet1"/>
                      </w:pPr>
                      <w:r>
                        <w:t xml:space="preserve">Reduced risk of </w:t>
                      </w:r>
                      <w:r w:rsidRPr="00482EE7">
                        <w:t>patient harm, improved efficiencies</w:t>
                      </w:r>
                      <w:r>
                        <w:t>,</w:t>
                      </w:r>
                      <w:r w:rsidRPr="00482EE7">
                        <w:t xml:space="preserve"> and </w:t>
                      </w:r>
                      <w:r>
                        <w:t>saved on unnecessary costs</w:t>
                      </w:r>
                    </w:p>
                  </w:txbxContent>
                </v:textbox>
                <w10:anchorlock/>
              </v:shape>
            </w:pict>
          </mc:Fallback>
        </mc:AlternateContent>
      </w:r>
      <w:r w:rsidR="00E41D82">
        <w:br w:type="page"/>
      </w:r>
    </w:p>
    <w:p w14:paraId="3DA60E98" w14:textId="4B546BAA" w:rsidR="00794CB7" w:rsidRDefault="006512FE" w:rsidP="004A4ED0">
      <w:pPr>
        <w:pStyle w:val="Heading2"/>
      </w:pPr>
      <w:r>
        <w:lastRenderedPageBreak/>
        <w:t>Key activity</w:t>
      </w:r>
    </w:p>
    <w:p w14:paraId="6B816308" w14:textId="7120E03E" w:rsidR="0011441E" w:rsidRDefault="0011441E" w:rsidP="0011441E">
      <w:pPr>
        <w:pStyle w:val="Bullet1"/>
      </w:pPr>
      <w:r>
        <w:t xml:space="preserve">Clinical champions identified potential areas of unnecessary testing through literature and by conducting a review of best practice. </w:t>
      </w:r>
    </w:p>
    <w:p w14:paraId="2F0EEB9C" w14:textId="1087B2C0" w:rsidR="0011441E" w:rsidRDefault="006F7551" w:rsidP="0011441E">
      <w:pPr>
        <w:pStyle w:val="Bullet1"/>
      </w:pPr>
      <w:bookmarkStart w:id="7" w:name="_Hlk56972626"/>
      <w:r>
        <w:t xml:space="preserve">Nine </w:t>
      </w:r>
      <w:r w:rsidR="0011441E">
        <w:t xml:space="preserve">tests were </w:t>
      </w:r>
      <w:r w:rsidR="003E107C">
        <w:t xml:space="preserve">targeted </w:t>
      </w:r>
      <w:r w:rsidR="0011441E">
        <w:t>for reduction across the three programs:</w:t>
      </w:r>
    </w:p>
    <w:p w14:paraId="130A9442" w14:textId="0A7B0A13" w:rsidR="0011441E" w:rsidRPr="0011441E" w:rsidRDefault="00B0072D" w:rsidP="0011441E">
      <w:pPr>
        <w:pStyle w:val="Bullet2"/>
      </w:pPr>
      <w:r>
        <w:rPr>
          <w:b/>
          <w:bCs/>
        </w:rPr>
        <w:t>ED</w:t>
      </w:r>
      <w:r w:rsidR="0011441E" w:rsidRPr="0011441E">
        <w:rPr>
          <w:b/>
          <w:bCs/>
        </w:rPr>
        <w:t>:</w:t>
      </w:r>
      <w:r w:rsidR="0011441E">
        <w:rPr>
          <w:b/>
          <w:bCs/>
        </w:rPr>
        <w:t xml:space="preserve"> </w:t>
      </w:r>
      <w:r w:rsidR="0011441E" w:rsidRPr="0011441E">
        <w:t xml:space="preserve">venous </w:t>
      </w:r>
      <w:r w:rsidR="0011441E">
        <w:t>blood g</w:t>
      </w:r>
      <w:r w:rsidR="0011441E" w:rsidRPr="0011441E">
        <w:t xml:space="preserve">as (VBG), </w:t>
      </w:r>
      <w:r w:rsidR="0011441E">
        <w:t>c</w:t>
      </w:r>
      <w:r w:rsidR="0011441E" w:rsidRPr="0011441E">
        <w:t xml:space="preserve">oagulation </w:t>
      </w:r>
      <w:r w:rsidR="0011441E">
        <w:t xml:space="preserve">studies </w:t>
      </w:r>
      <w:r w:rsidR="0011441E" w:rsidRPr="0011441E">
        <w:t xml:space="preserve">(COAG), </w:t>
      </w:r>
      <w:r w:rsidR="0011441E">
        <w:t>corrected c</w:t>
      </w:r>
      <w:r w:rsidR="0011441E" w:rsidRPr="0011441E">
        <w:t>alcium (CCa), C-</w:t>
      </w:r>
      <w:r w:rsidR="0011441E">
        <w:t>r</w:t>
      </w:r>
      <w:r w:rsidR="0011441E" w:rsidRPr="0011441E">
        <w:t xml:space="preserve">eactive </w:t>
      </w:r>
      <w:r w:rsidR="0011441E">
        <w:t>p</w:t>
      </w:r>
      <w:r w:rsidR="0011441E" w:rsidRPr="0011441E">
        <w:t xml:space="preserve">rotein (CRP), </w:t>
      </w:r>
      <w:r w:rsidR="0011441E">
        <w:t>u</w:t>
      </w:r>
      <w:r w:rsidR="0011441E" w:rsidRPr="0011441E">
        <w:t xml:space="preserve">rine </w:t>
      </w:r>
      <w:r w:rsidR="0011441E">
        <w:t>m</w:t>
      </w:r>
      <w:r w:rsidR="0011441E" w:rsidRPr="0011441E">
        <w:t xml:space="preserve">icro and </w:t>
      </w:r>
      <w:r w:rsidR="0011441E">
        <w:t>c</w:t>
      </w:r>
      <w:r w:rsidR="0011441E" w:rsidRPr="0011441E">
        <w:t xml:space="preserve">ulture (UMC), </w:t>
      </w:r>
      <w:r w:rsidR="0011441E">
        <w:t>c</w:t>
      </w:r>
      <w:r w:rsidR="0011441E" w:rsidRPr="0011441E">
        <w:t xml:space="preserve">hest </w:t>
      </w:r>
      <w:r w:rsidR="0011441E">
        <w:t>x</w:t>
      </w:r>
      <w:r w:rsidR="0011441E" w:rsidRPr="0011441E">
        <w:t>-</w:t>
      </w:r>
      <w:r w:rsidR="0011441E">
        <w:t>r</w:t>
      </w:r>
      <w:r w:rsidR="0011441E" w:rsidRPr="0011441E">
        <w:t>ay (CXR)</w:t>
      </w:r>
      <w:r w:rsidR="001C743F">
        <w:t>,</w:t>
      </w:r>
      <w:r w:rsidR="0011441E" w:rsidRPr="0011441E">
        <w:t xml:space="preserve"> and CT</w:t>
      </w:r>
      <w:r w:rsidR="005273A3">
        <w:t xml:space="preserve"> scan of a</w:t>
      </w:r>
      <w:r w:rsidR="0011441E" w:rsidRPr="0011441E">
        <w:t xml:space="preserve"> </w:t>
      </w:r>
      <w:r w:rsidR="005273A3">
        <w:t>l</w:t>
      </w:r>
      <w:r w:rsidR="0011441E" w:rsidRPr="0011441E">
        <w:t>imb (CT-L)</w:t>
      </w:r>
    </w:p>
    <w:p w14:paraId="4BB36FB9" w14:textId="7975E879" w:rsidR="0011441E" w:rsidRPr="0011441E" w:rsidRDefault="0011441E" w:rsidP="0011441E">
      <w:pPr>
        <w:pStyle w:val="Bullet2"/>
        <w:rPr>
          <w:b/>
          <w:bCs/>
        </w:rPr>
      </w:pPr>
      <w:r w:rsidRPr="0011441E">
        <w:rPr>
          <w:b/>
          <w:bCs/>
        </w:rPr>
        <w:t xml:space="preserve">general medicine: </w:t>
      </w:r>
      <w:r w:rsidR="001C743F" w:rsidRPr="001C743F">
        <w:t xml:space="preserve">urea </w:t>
      </w:r>
      <w:r w:rsidR="001C743F">
        <w:t>and e</w:t>
      </w:r>
      <w:r w:rsidR="001C743F" w:rsidRPr="001C743F">
        <w:t xml:space="preserve">lectrolytes (U&amp;E), </w:t>
      </w:r>
      <w:r w:rsidR="001C743F">
        <w:t>f</w:t>
      </w:r>
      <w:r w:rsidR="001C743F" w:rsidRPr="001C743F">
        <w:t xml:space="preserve">ull </w:t>
      </w:r>
      <w:r w:rsidR="001C743F">
        <w:t>b</w:t>
      </w:r>
      <w:r w:rsidR="001C743F" w:rsidRPr="001C743F">
        <w:t xml:space="preserve">lood </w:t>
      </w:r>
      <w:r w:rsidR="001C743F">
        <w:t>e</w:t>
      </w:r>
      <w:r w:rsidR="001C743F" w:rsidRPr="001C743F">
        <w:t>xamination (FBE), CCa and CRP</w:t>
      </w:r>
    </w:p>
    <w:p w14:paraId="594064F2" w14:textId="1A7A7768" w:rsidR="0011441E" w:rsidRPr="006F7551" w:rsidRDefault="0011441E" w:rsidP="006F7551">
      <w:pPr>
        <w:pStyle w:val="Bullet2"/>
        <w:rPr>
          <w:b/>
          <w:bCs/>
        </w:rPr>
      </w:pPr>
      <w:r w:rsidRPr="0011441E">
        <w:rPr>
          <w:b/>
          <w:bCs/>
        </w:rPr>
        <w:t xml:space="preserve">intensive care: </w:t>
      </w:r>
      <w:r w:rsidR="001C743F" w:rsidRPr="001C743F">
        <w:t>CXR</w:t>
      </w:r>
      <w:bookmarkEnd w:id="7"/>
      <w:r w:rsidR="001C743F">
        <w:t>.</w:t>
      </w:r>
    </w:p>
    <w:p w14:paraId="1547B0F3" w14:textId="3CE6529D" w:rsidR="0011441E" w:rsidRDefault="006F7551" w:rsidP="0011441E">
      <w:pPr>
        <w:pStyle w:val="Bullet1"/>
      </w:pPr>
      <w:r>
        <w:t xml:space="preserve">The </w:t>
      </w:r>
      <w:r w:rsidR="0011441E">
        <w:t xml:space="preserve">clinical champions </w:t>
      </w:r>
      <w:r>
        <w:t xml:space="preserve">undertook an audit and clinical assessment of the </w:t>
      </w:r>
      <w:r w:rsidR="0011441E">
        <w:t xml:space="preserve">appropriateness of </w:t>
      </w:r>
      <w:r>
        <w:t>the targeted tests</w:t>
      </w:r>
      <w:r w:rsidR="0011441E">
        <w:t>.</w:t>
      </w:r>
    </w:p>
    <w:p w14:paraId="1D7690DC" w14:textId="3D8AA358" w:rsidR="000B1027" w:rsidRDefault="009B0EAF" w:rsidP="0011441E">
      <w:pPr>
        <w:pStyle w:val="Bullet1"/>
      </w:pPr>
      <w:r>
        <w:t xml:space="preserve">Test </w:t>
      </w:r>
      <w:r w:rsidR="002D7A1A" w:rsidRPr="002D7A1A">
        <w:t xml:space="preserve">reduction strategies tailored to </w:t>
      </w:r>
      <w:r w:rsidR="003E107C">
        <w:t xml:space="preserve">each </w:t>
      </w:r>
      <w:r w:rsidR="002D7A1A" w:rsidRPr="002D7A1A">
        <w:t>individual program</w:t>
      </w:r>
      <w:r>
        <w:t xml:space="preserve"> were developed and implemented</w:t>
      </w:r>
      <w:r w:rsidR="003871BC">
        <w:t xml:space="preserve">, including </w:t>
      </w:r>
      <w:r w:rsidR="002D7A1A" w:rsidRPr="002D7A1A">
        <w:t xml:space="preserve">guidelines, clinical pathways, decision support tools and targeted education. </w:t>
      </w:r>
    </w:p>
    <w:p w14:paraId="1D43C5A2" w14:textId="05170544" w:rsidR="003871BC" w:rsidRDefault="003871BC" w:rsidP="0011441E">
      <w:pPr>
        <w:pStyle w:val="Bullet1"/>
      </w:pPr>
      <w:r>
        <w:t>Signage, prompts</w:t>
      </w:r>
      <w:r w:rsidR="00785946">
        <w:t xml:space="preserve"> and </w:t>
      </w:r>
      <w:r>
        <w:t>game</w:t>
      </w:r>
      <w:r w:rsidR="009B0EAF">
        <w:t>-</w:t>
      </w:r>
      <w:r>
        <w:t xml:space="preserve">playing elements were used to raise awareness of and encourage engagement with </w:t>
      </w:r>
      <w:r w:rsidR="000B365D">
        <w:t xml:space="preserve">NUT </w:t>
      </w:r>
      <w:r>
        <w:t xml:space="preserve">principles. </w:t>
      </w:r>
      <w:r w:rsidR="00785946">
        <w:t>A ‘Test of the month’ initiative was launched</w:t>
      </w:r>
      <w:r w:rsidR="009B0EAF">
        <w:t xml:space="preserve"> at ED sites</w:t>
      </w:r>
      <w:r w:rsidR="00785946">
        <w:t xml:space="preserve">, </w:t>
      </w:r>
      <w:r w:rsidR="005549B0">
        <w:t xml:space="preserve">where </w:t>
      </w:r>
      <w:r w:rsidR="00785946">
        <w:t xml:space="preserve">posters, memes, clinical pathways and decision support guidelines </w:t>
      </w:r>
      <w:r w:rsidR="005549B0">
        <w:t xml:space="preserve">were used to </w:t>
      </w:r>
      <w:r w:rsidR="00FC2115">
        <w:t xml:space="preserve">highlight </w:t>
      </w:r>
      <w:r w:rsidR="00F54000">
        <w:t xml:space="preserve">inappropriate ordering of one of the unnecessary tests </w:t>
      </w:r>
      <w:r w:rsidR="005549B0">
        <w:t>each month</w:t>
      </w:r>
      <w:r w:rsidR="00785946">
        <w:t>.</w:t>
      </w:r>
    </w:p>
    <w:p w14:paraId="438A5B5E" w14:textId="77216CC3" w:rsidR="000B365D" w:rsidRDefault="005F75C8" w:rsidP="005F75C8">
      <w:pPr>
        <w:pStyle w:val="Bullet1"/>
      </w:pPr>
      <w:r>
        <w:t xml:space="preserve">After the strategies were implemented, further auditing and </w:t>
      </w:r>
      <w:r w:rsidR="00193852">
        <w:t>real</w:t>
      </w:r>
      <w:r>
        <w:t>-</w:t>
      </w:r>
      <w:r w:rsidR="00193852">
        <w:t xml:space="preserve">time data analysis </w:t>
      </w:r>
      <w:r>
        <w:t>was undertaken</w:t>
      </w:r>
      <w:r w:rsidR="00364E3E">
        <w:t xml:space="preserve"> to measure their effectiveness</w:t>
      </w:r>
      <w:r w:rsidR="001D65AB">
        <w:t xml:space="preserve"> and</w:t>
      </w:r>
      <w:r w:rsidR="00364E3E">
        <w:t xml:space="preserve"> identify areas </w:t>
      </w:r>
      <w:r w:rsidR="001D65AB">
        <w:t>for further improvement</w:t>
      </w:r>
      <w:r w:rsidR="00364E3E">
        <w:t xml:space="preserve">. Feedback was also </w:t>
      </w:r>
      <w:r>
        <w:t xml:space="preserve">provided to </w:t>
      </w:r>
      <w:r w:rsidR="00193852">
        <w:t>clinicians</w:t>
      </w:r>
      <w:r w:rsidR="002C2EDC">
        <w:t xml:space="preserve"> to promote cultural change.</w:t>
      </w:r>
    </w:p>
    <w:p w14:paraId="5B4CFCF7" w14:textId="20B1A431" w:rsidR="000B365D" w:rsidRDefault="000B365D" w:rsidP="005F75C8">
      <w:pPr>
        <w:pStyle w:val="Bullet1"/>
      </w:pPr>
      <w:r>
        <w:t xml:space="preserve">In addition </w:t>
      </w:r>
      <w:r w:rsidR="001F3550">
        <w:t>to expanding test reduction strategies to more programs</w:t>
      </w:r>
      <w:r>
        <w:t xml:space="preserve">, the project included work to </w:t>
      </w:r>
      <w:r w:rsidR="00124227">
        <w:t xml:space="preserve">embed </w:t>
      </w:r>
      <w:r w:rsidR="00526E46">
        <w:t xml:space="preserve">practices </w:t>
      </w:r>
      <w:r w:rsidR="00F7460F">
        <w:t xml:space="preserve">and </w:t>
      </w:r>
      <w:r w:rsidR="001F3550">
        <w:t xml:space="preserve">sustain </w:t>
      </w:r>
      <w:r w:rsidR="00526E46">
        <w:t>reductions achieved</w:t>
      </w:r>
      <w:r w:rsidR="005C5617">
        <w:t xml:space="preserve"> </w:t>
      </w:r>
      <w:r w:rsidR="00F7460F">
        <w:t>in earlier trials</w:t>
      </w:r>
      <w:r w:rsidR="00124227">
        <w:t xml:space="preserve">, including </w:t>
      </w:r>
      <w:r w:rsidR="007D20A7">
        <w:t xml:space="preserve">a trial that began in late 2015 </w:t>
      </w:r>
      <w:r w:rsidR="00124227">
        <w:t xml:space="preserve">to reduce </w:t>
      </w:r>
      <w:r w:rsidR="007D20A7" w:rsidRPr="00124227">
        <w:t>VBG, COAG, CCa, CRP and UMC</w:t>
      </w:r>
      <w:r w:rsidR="001F3550">
        <w:t xml:space="preserve"> testing</w:t>
      </w:r>
      <w:r w:rsidR="007D20A7">
        <w:t xml:space="preserve"> in </w:t>
      </w:r>
      <w:r w:rsidR="007D20A7" w:rsidRPr="00124227">
        <w:t>Eastern Health EDs</w:t>
      </w:r>
      <w:r w:rsidR="00526E46">
        <w:t xml:space="preserve">. </w:t>
      </w:r>
    </w:p>
    <w:p w14:paraId="4DCFB341" w14:textId="2003D048" w:rsidR="002B5C34" w:rsidRDefault="00435805" w:rsidP="009011C4">
      <w:pPr>
        <w:pStyle w:val="Heading2"/>
      </w:pPr>
      <w:r>
        <w:t>O</w:t>
      </w:r>
      <w:r w:rsidR="009B1BBA" w:rsidRPr="00F80A39">
        <w:t>utcomes</w:t>
      </w:r>
    </w:p>
    <w:p w14:paraId="56BE5A9C" w14:textId="7C60C191" w:rsidR="003B0675" w:rsidRDefault="003B0675" w:rsidP="003B0675">
      <w:pPr>
        <w:pStyle w:val="Normalfollowingheading"/>
      </w:pPr>
      <w:r>
        <w:t xml:space="preserve">The project </w:t>
      </w:r>
      <w:r w:rsidR="00EA2F47">
        <w:t xml:space="preserve">achieved </w:t>
      </w:r>
      <w:r>
        <w:t>significant annual reductions of targeted tests across all three programs.</w:t>
      </w:r>
    </w:p>
    <w:p w14:paraId="424BAFBC" w14:textId="47DEE2F0" w:rsidR="001C0FAB" w:rsidRDefault="001C0FAB" w:rsidP="001C0FAB">
      <w:pPr>
        <w:pStyle w:val="Heading3"/>
      </w:pPr>
      <w:r>
        <w:t>ED</w:t>
      </w:r>
    </w:p>
    <w:p w14:paraId="409FD519" w14:textId="66A75C70" w:rsidR="001C0FAB" w:rsidRDefault="0071288D" w:rsidP="003D607E">
      <w:pPr>
        <w:pStyle w:val="Bullet1"/>
      </w:pPr>
      <w:r>
        <w:t xml:space="preserve">ED program </w:t>
      </w:r>
      <w:r w:rsidR="00A63124">
        <w:t xml:space="preserve">results were evaluated to measure </w:t>
      </w:r>
      <w:r w:rsidR="00181C06">
        <w:t xml:space="preserve">the impact of interventions </w:t>
      </w:r>
      <w:r w:rsidR="007D20A7">
        <w:t>introduced in 2016</w:t>
      </w:r>
      <w:r w:rsidR="00A63124">
        <w:t xml:space="preserve"> as well as to </w:t>
      </w:r>
      <w:r w:rsidR="00A4165C">
        <w:t xml:space="preserve">see if </w:t>
      </w:r>
      <w:r w:rsidR="00A77352">
        <w:t xml:space="preserve">reductions </w:t>
      </w:r>
      <w:r w:rsidR="00A63124">
        <w:t xml:space="preserve">from </w:t>
      </w:r>
      <w:r w:rsidR="007D20A7">
        <w:t>the 2015 trial</w:t>
      </w:r>
      <w:r w:rsidR="00A63124">
        <w:t xml:space="preserve"> had been sustained</w:t>
      </w:r>
      <w:r w:rsidR="00A4165C">
        <w:t>. R</w:t>
      </w:r>
      <w:r w:rsidR="00A10E0E">
        <w:t xml:space="preserve">esults </w:t>
      </w:r>
      <w:r w:rsidR="00A4165C">
        <w:t xml:space="preserve">were </w:t>
      </w:r>
      <w:r w:rsidR="00A10E0E">
        <w:t>aggregated over two years</w:t>
      </w:r>
      <w:r w:rsidR="00181C06">
        <w:t xml:space="preserve">. </w:t>
      </w:r>
    </w:p>
    <w:p w14:paraId="31C1E152" w14:textId="010AC7DD" w:rsidR="00C26849" w:rsidRDefault="00A4165C" w:rsidP="00F825E2">
      <w:pPr>
        <w:pStyle w:val="Bullet1"/>
      </w:pPr>
      <w:r>
        <w:t>There were s</w:t>
      </w:r>
      <w:r w:rsidR="00C26849" w:rsidRPr="00C26849">
        <w:t xml:space="preserve">ignificant and sustained reductions in </w:t>
      </w:r>
      <w:r w:rsidR="00C26849">
        <w:t xml:space="preserve">the </w:t>
      </w:r>
      <w:r w:rsidR="00C26849" w:rsidRPr="00C26849">
        <w:t xml:space="preserve">ordering of targeted tests across all three Eastern Health </w:t>
      </w:r>
      <w:r w:rsidR="00C26849">
        <w:t>EDs</w:t>
      </w:r>
      <w:r w:rsidR="00C26849" w:rsidRPr="00C26849">
        <w:t>, particularly for pathology testing</w:t>
      </w:r>
      <w:r w:rsidR="003D607E">
        <w:t>.</w:t>
      </w:r>
    </w:p>
    <w:p w14:paraId="4A45EDA2" w14:textId="7A39985A" w:rsidR="00A10E0E" w:rsidRDefault="00EA2F47" w:rsidP="00F825E2">
      <w:pPr>
        <w:pStyle w:val="Bullet1"/>
      </w:pPr>
      <w:r>
        <w:t xml:space="preserve">The </w:t>
      </w:r>
      <w:r w:rsidR="003D607E">
        <w:t xml:space="preserve">three EDs </w:t>
      </w:r>
      <w:r>
        <w:t xml:space="preserve">collectively </w:t>
      </w:r>
      <w:r w:rsidR="003D607E">
        <w:t xml:space="preserve">reduced the number of target tests by </w:t>
      </w:r>
      <w:r w:rsidR="00A10E0E">
        <w:t xml:space="preserve">38,890 </w:t>
      </w:r>
      <w:r w:rsidR="00BA14FE">
        <w:t>over two years</w:t>
      </w:r>
      <w:r w:rsidR="003D607E">
        <w:t xml:space="preserve">. </w:t>
      </w:r>
      <w:r w:rsidR="002719B5">
        <w:t xml:space="preserve">There were </w:t>
      </w:r>
      <w:r w:rsidR="00AE54A3">
        <w:t xml:space="preserve">20,439 </w:t>
      </w:r>
      <w:r w:rsidR="002719B5">
        <w:t xml:space="preserve">fewer tests ordered in </w:t>
      </w:r>
      <w:r w:rsidR="00BA14FE">
        <w:t>2017 compared with 2016</w:t>
      </w:r>
      <w:r w:rsidR="003D607E">
        <w:t xml:space="preserve">, </w:t>
      </w:r>
      <w:r w:rsidR="00BA14FE">
        <w:t xml:space="preserve">with 2016–17 project activity </w:t>
      </w:r>
      <w:r w:rsidR="002719B5">
        <w:t xml:space="preserve">accounting for </w:t>
      </w:r>
      <w:r w:rsidR="000B3A11">
        <w:t>53 per cent</w:t>
      </w:r>
      <w:r w:rsidR="007F469F">
        <w:t xml:space="preserve"> of the total tests reduced</w:t>
      </w:r>
      <w:r w:rsidR="003D607E">
        <w:t xml:space="preserve"> over two years.</w:t>
      </w:r>
    </w:p>
    <w:p w14:paraId="74246C05" w14:textId="78D7C959" w:rsidR="003D607E" w:rsidRDefault="006A60D0" w:rsidP="00F825E2">
      <w:pPr>
        <w:pStyle w:val="Bullet1"/>
      </w:pPr>
      <w:r>
        <w:t>R</w:t>
      </w:r>
      <w:r w:rsidR="00A10E0E">
        <w:t xml:space="preserve">eductions </w:t>
      </w:r>
      <w:r w:rsidR="002719B5">
        <w:t xml:space="preserve">were achieved </w:t>
      </w:r>
      <w:r w:rsidR="00A10E0E">
        <w:t xml:space="preserve">in </w:t>
      </w:r>
      <w:r w:rsidR="00D464B3" w:rsidRPr="00124227">
        <w:t>VBG, COAG, CCa, CRP and UMC</w:t>
      </w:r>
      <w:r w:rsidR="00D464B3">
        <w:t xml:space="preserve"> testing </w:t>
      </w:r>
      <w:r w:rsidR="00B80F1A">
        <w:t>over two years</w:t>
      </w:r>
      <w:r w:rsidR="003D607E">
        <w:t xml:space="preserve">. </w:t>
      </w:r>
      <w:r>
        <w:t>Aggregate r</w:t>
      </w:r>
      <w:r w:rsidR="003D607E">
        <w:t xml:space="preserve">eductions ranged from </w:t>
      </w:r>
      <w:r w:rsidR="00F201AF">
        <w:t xml:space="preserve">31 per cent for UMC (2,986 tests) to </w:t>
      </w:r>
      <w:r w:rsidR="003D607E">
        <w:t xml:space="preserve">46 per cent </w:t>
      </w:r>
      <w:r w:rsidR="0086362D">
        <w:t xml:space="preserve">for VBG </w:t>
      </w:r>
      <w:r w:rsidR="003D607E">
        <w:t>(5,619</w:t>
      </w:r>
      <w:r w:rsidR="002719B5">
        <w:t xml:space="preserve"> tests</w:t>
      </w:r>
      <w:r w:rsidR="003D607E">
        <w:t xml:space="preserve">). </w:t>
      </w:r>
      <w:r w:rsidR="00F201AF">
        <w:t xml:space="preserve">The </w:t>
      </w:r>
      <w:r w:rsidR="003D607E">
        <w:t xml:space="preserve">target test </w:t>
      </w:r>
      <w:r w:rsidR="003F5D34">
        <w:t>with the largest number of orders avoided</w:t>
      </w:r>
      <w:r w:rsidR="00F201AF">
        <w:t xml:space="preserve"> was CRP</w:t>
      </w:r>
      <w:r w:rsidR="003F5D34">
        <w:t>,</w:t>
      </w:r>
      <w:r w:rsidR="00F201AF">
        <w:t xml:space="preserve"> with</w:t>
      </w:r>
      <w:r w:rsidR="003F5D34">
        <w:t xml:space="preserve"> </w:t>
      </w:r>
      <w:r w:rsidR="003D607E">
        <w:t xml:space="preserve">16,808 </w:t>
      </w:r>
      <w:r w:rsidR="003F5D34">
        <w:t xml:space="preserve">(45 per cent) fewer </w:t>
      </w:r>
      <w:r w:rsidR="003D607E">
        <w:t>tests</w:t>
      </w:r>
      <w:r w:rsidR="003F5D34">
        <w:t xml:space="preserve"> </w:t>
      </w:r>
      <w:r w:rsidR="002719B5">
        <w:t xml:space="preserve">ordered </w:t>
      </w:r>
      <w:r w:rsidR="003F5D34">
        <w:t xml:space="preserve">in 2017 </w:t>
      </w:r>
      <w:r w:rsidR="003D607E">
        <w:t>than in 2015.</w:t>
      </w:r>
    </w:p>
    <w:p w14:paraId="581F427F" w14:textId="09545385" w:rsidR="003D7FF8" w:rsidRDefault="003242FD" w:rsidP="00F825E2">
      <w:pPr>
        <w:pStyle w:val="Bullet1"/>
      </w:pPr>
      <w:r w:rsidRPr="003D7FF8">
        <w:t>CXR</w:t>
      </w:r>
      <w:r>
        <w:t xml:space="preserve"> </w:t>
      </w:r>
      <w:r w:rsidR="003F5D34">
        <w:t>t</w:t>
      </w:r>
      <w:r w:rsidR="003F5D34" w:rsidRPr="003D7FF8">
        <w:t xml:space="preserve">est reduction strategies were implemented across the three </w:t>
      </w:r>
      <w:r w:rsidR="003F5D34">
        <w:t xml:space="preserve">EDs </w:t>
      </w:r>
      <w:r w:rsidR="003F5D34" w:rsidRPr="003D7FF8">
        <w:t>for the first time</w:t>
      </w:r>
      <w:r w:rsidR="003F5D34">
        <w:t xml:space="preserve"> </w:t>
      </w:r>
      <w:r w:rsidR="001C6D24">
        <w:t xml:space="preserve">in 2017, resulting in an </w:t>
      </w:r>
      <w:r>
        <w:t>8 per cent</w:t>
      </w:r>
      <w:r w:rsidR="002719B5">
        <w:t xml:space="preserve"> </w:t>
      </w:r>
      <w:r w:rsidR="00D30DC0">
        <w:t xml:space="preserve">(3,005) </w:t>
      </w:r>
      <w:r w:rsidR="001C6D24">
        <w:t xml:space="preserve">reduction </w:t>
      </w:r>
      <w:r w:rsidR="002719B5">
        <w:t xml:space="preserve">across all three EDs </w:t>
      </w:r>
      <w:r w:rsidR="00D464B3">
        <w:t>compared with 2016</w:t>
      </w:r>
      <w:r w:rsidR="003D7FF8" w:rsidRPr="003D7FF8">
        <w:t>.</w:t>
      </w:r>
    </w:p>
    <w:p w14:paraId="566464D2" w14:textId="10292F52" w:rsidR="00831EEA" w:rsidRDefault="00F201AF" w:rsidP="00F825E2">
      <w:pPr>
        <w:pStyle w:val="Bullet1"/>
      </w:pPr>
      <w:r>
        <w:t>8 per cent (</w:t>
      </w:r>
      <w:r w:rsidR="006E2FEA">
        <w:t>29</w:t>
      </w:r>
      <w:r>
        <w:t>)</w:t>
      </w:r>
      <w:r w:rsidR="006E2FEA">
        <w:t xml:space="preserve"> </w:t>
      </w:r>
      <w:r w:rsidR="00896835">
        <w:t xml:space="preserve">fewer </w:t>
      </w:r>
      <w:r w:rsidR="003D7FF8" w:rsidRPr="003D7FF8">
        <w:t xml:space="preserve">CT-L scans </w:t>
      </w:r>
      <w:r w:rsidR="00D30DC0">
        <w:t xml:space="preserve">were </w:t>
      </w:r>
      <w:r w:rsidR="00896835">
        <w:t xml:space="preserve">ordered </w:t>
      </w:r>
      <w:r w:rsidR="006E2FEA">
        <w:t>at</w:t>
      </w:r>
      <w:r w:rsidR="003D7FF8" w:rsidRPr="003D7FF8">
        <w:t xml:space="preserve"> </w:t>
      </w:r>
      <w:r w:rsidR="003D7FF8">
        <w:t xml:space="preserve">the </w:t>
      </w:r>
      <w:r w:rsidR="003D7FF8" w:rsidRPr="003D7FF8">
        <w:t xml:space="preserve">Box Hill </w:t>
      </w:r>
      <w:r w:rsidR="003D7FF8">
        <w:t>Hospital ED</w:t>
      </w:r>
      <w:r w:rsidR="00D30DC0">
        <w:t xml:space="preserve"> in 2017 compared with the previous year. This was the </w:t>
      </w:r>
      <w:r w:rsidR="006E2FEA">
        <w:t>only site that targeted this test.</w:t>
      </w:r>
    </w:p>
    <w:p w14:paraId="0E23B0F7" w14:textId="11C284EC" w:rsidR="007756C9" w:rsidRPr="007756C9" w:rsidRDefault="00B0072D" w:rsidP="00B0072D">
      <w:pPr>
        <w:pStyle w:val="Heading3"/>
      </w:pPr>
      <w:r>
        <w:t>General medicine</w:t>
      </w:r>
    </w:p>
    <w:p w14:paraId="4E540253" w14:textId="0ACC9EED" w:rsidR="00671406" w:rsidRDefault="00B11FFE" w:rsidP="007756C9">
      <w:pPr>
        <w:pStyle w:val="Bullet1"/>
      </w:pPr>
      <w:r>
        <w:t>Three general medicine clinics a</w:t>
      </w:r>
      <w:r w:rsidR="00671406">
        <w:t xml:space="preserve">chieved </w:t>
      </w:r>
      <w:r>
        <w:t xml:space="preserve">a combined </w:t>
      </w:r>
      <w:r w:rsidR="00671406">
        <w:t xml:space="preserve">reduction of 4,983 </w:t>
      </w:r>
      <w:r>
        <w:t xml:space="preserve">target </w:t>
      </w:r>
      <w:r w:rsidR="00671406">
        <w:t xml:space="preserve">tests </w:t>
      </w:r>
      <w:r>
        <w:t>in 2017 compared with 2016</w:t>
      </w:r>
      <w:r w:rsidR="00671406">
        <w:t>.</w:t>
      </w:r>
    </w:p>
    <w:p w14:paraId="3668782A" w14:textId="71CFC0DA" w:rsidR="004B4593" w:rsidRDefault="00671406" w:rsidP="007756C9">
      <w:pPr>
        <w:pStyle w:val="Bullet1"/>
      </w:pPr>
      <w:r>
        <w:t xml:space="preserve">Ordering decreased in </w:t>
      </w:r>
      <w:r w:rsidR="00B0072D">
        <w:t xml:space="preserve">three of the four </w:t>
      </w:r>
      <w:r>
        <w:t xml:space="preserve">target </w:t>
      </w:r>
      <w:r w:rsidR="00B0072D">
        <w:t xml:space="preserve">tests, </w:t>
      </w:r>
      <w:r>
        <w:t xml:space="preserve">with reductions </w:t>
      </w:r>
      <w:r w:rsidR="00B0072D">
        <w:t xml:space="preserve">ranging from </w:t>
      </w:r>
      <w:r w:rsidR="00B11FFE">
        <w:t>5 per cent (</w:t>
      </w:r>
      <w:r w:rsidR="00B0072D">
        <w:t>1,376</w:t>
      </w:r>
      <w:r w:rsidR="00B11FFE">
        <w:t>)</w:t>
      </w:r>
      <w:r w:rsidR="00B0072D">
        <w:t xml:space="preserve"> for U&amp;E </w:t>
      </w:r>
      <w:r>
        <w:t xml:space="preserve">to </w:t>
      </w:r>
      <w:r w:rsidR="00F201AF">
        <w:t>12 per cent (1,774)</w:t>
      </w:r>
      <w:r w:rsidR="00B0072D">
        <w:t xml:space="preserve"> </w:t>
      </w:r>
      <w:r w:rsidR="009C5928">
        <w:t xml:space="preserve">for </w:t>
      </w:r>
      <w:r w:rsidR="00F201AF">
        <w:t>CRP</w:t>
      </w:r>
      <w:r w:rsidR="00B0072D">
        <w:t xml:space="preserve">. </w:t>
      </w:r>
      <w:r w:rsidR="00F201AF">
        <w:t>The target test with the greatest number of tests avoided was FBE, with 1,961 (7 per cent) fewer tests</w:t>
      </w:r>
      <w:r w:rsidR="0099635B">
        <w:t xml:space="preserve"> in 2017 than in the previous year</w:t>
      </w:r>
      <w:r w:rsidR="00F201AF">
        <w:t>.</w:t>
      </w:r>
    </w:p>
    <w:p w14:paraId="28E82727" w14:textId="45A7C476" w:rsidR="00B0072D" w:rsidRDefault="006A60D0" w:rsidP="007756C9">
      <w:pPr>
        <w:pStyle w:val="Bullet1"/>
      </w:pPr>
      <w:r>
        <w:t>Annual o</w:t>
      </w:r>
      <w:r w:rsidR="00B0072D">
        <w:t>rdering of CCa tests increased slightly by 2 per cent</w:t>
      </w:r>
      <w:r w:rsidR="00A674F2">
        <w:t xml:space="preserve"> (128)</w:t>
      </w:r>
      <w:r w:rsidR="00B0072D">
        <w:t>.</w:t>
      </w:r>
    </w:p>
    <w:p w14:paraId="5D8E8DB7" w14:textId="351BBA47" w:rsidR="00A4165C" w:rsidRDefault="000B1970" w:rsidP="007756C9">
      <w:pPr>
        <w:pStyle w:val="Bullet1"/>
        <w:sectPr w:rsidR="00A4165C" w:rsidSect="00772500">
          <w:footerReference w:type="default" r:id="rId14"/>
          <w:type w:val="continuous"/>
          <w:pgSz w:w="11906" w:h="16838" w:code="9"/>
          <w:pgMar w:top="2438" w:right="737" w:bottom="680" w:left="737" w:header="539" w:footer="624" w:gutter="0"/>
          <w:cols w:num="2" w:space="284"/>
          <w:docGrid w:linePitch="360"/>
        </w:sectPr>
      </w:pPr>
      <w:r>
        <w:t xml:space="preserve">Analysis </w:t>
      </w:r>
      <w:r w:rsidR="000C4C85">
        <w:t xml:space="preserve">of general medicine data was complicated by a number of factors, </w:t>
      </w:r>
      <w:r>
        <w:t xml:space="preserve">which meant </w:t>
      </w:r>
      <w:r w:rsidR="000C4C85">
        <w:t xml:space="preserve">reductions from </w:t>
      </w:r>
      <w:r>
        <w:t xml:space="preserve">the </w:t>
      </w:r>
      <w:r w:rsidR="000C4C85">
        <w:t xml:space="preserve">program may have been underestimated. </w:t>
      </w:r>
    </w:p>
    <w:p w14:paraId="6FEBB816" w14:textId="41020B8B" w:rsidR="006E2C4E" w:rsidRDefault="006E2C4E" w:rsidP="00E30DC0">
      <w:r>
        <w:rPr>
          <w:noProof/>
        </w:rPr>
        <w:lastRenderedPageBreak/>
        <w:drawing>
          <wp:inline distT="0" distB="0" distL="0" distR="0" wp14:anchorId="0681AE8A" wp14:editId="0CF23029">
            <wp:extent cx="3206115" cy="1933575"/>
            <wp:effectExtent l="0" t="0" r="0" b="9525"/>
            <wp:docPr id="14" name="Picture 14" descr="A gloved hand holding two test vials of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5" cstate="screen">
                      <a:extLst>
                        <a:ext uri="{28A0092B-C50C-407E-A947-70E740481C1C}">
                          <a14:useLocalDpi xmlns:a14="http://schemas.microsoft.com/office/drawing/2010/main"/>
                        </a:ext>
                      </a:extLst>
                    </a:blip>
                    <a:srcRect l="95" t="6239" r="95" b="3297"/>
                    <a:stretch/>
                  </pic:blipFill>
                  <pic:spPr bwMode="auto">
                    <a:xfrm>
                      <a:off x="0" y="0"/>
                      <a:ext cx="3206496" cy="1933805"/>
                    </a:xfrm>
                    <a:prstGeom prst="rect">
                      <a:avLst/>
                    </a:prstGeom>
                    <a:ln>
                      <a:noFill/>
                    </a:ln>
                    <a:extLst>
                      <a:ext uri="{53640926-AAD7-44D8-BBD7-CCE9431645EC}">
                        <a14:shadowObscured xmlns:a14="http://schemas.microsoft.com/office/drawing/2010/main"/>
                      </a:ext>
                    </a:extLst>
                  </pic:spPr>
                </pic:pic>
              </a:graphicData>
            </a:graphic>
          </wp:inline>
        </w:drawing>
      </w:r>
    </w:p>
    <w:p w14:paraId="2FE4F138" w14:textId="5210F74A" w:rsidR="003E164D" w:rsidRDefault="00EF6AEA" w:rsidP="00EF6AEA">
      <w:pPr>
        <w:pStyle w:val="Heading3"/>
      </w:pPr>
      <w:r>
        <w:t>Intensive care</w:t>
      </w:r>
    </w:p>
    <w:p w14:paraId="20FF237E" w14:textId="39B551EA" w:rsidR="00B27161" w:rsidRDefault="00334EF6" w:rsidP="00334EF6">
      <w:pPr>
        <w:pStyle w:val="Normalfollowingheading"/>
      </w:pPr>
      <w:r>
        <w:t xml:space="preserve">Two intensive care units (ICU) collectively reduced CXR ordering by 26 per cent (1,503). </w:t>
      </w:r>
    </w:p>
    <w:p w14:paraId="77015BD5" w14:textId="6EF8C68F" w:rsidR="00B27161" w:rsidRDefault="0037797E" w:rsidP="00B27161">
      <w:pPr>
        <w:pStyle w:val="Heading3"/>
      </w:pPr>
      <w:r>
        <w:t xml:space="preserve">Qualitative </w:t>
      </w:r>
      <w:r w:rsidR="00B27161">
        <w:t>benefits</w:t>
      </w:r>
    </w:p>
    <w:p w14:paraId="279A2149" w14:textId="16523E6C" w:rsidR="00676CA1" w:rsidRPr="00D84B5A" w:rsidRDefault="00676CA1" w:rsidP="00D84B5A">
      <w:pPr>
        <w:pStyle w:val="Normalfollowingheading"/>
      </w:pPr>
      <w:r w:rsidRPr="00D84B5A">
        <w:t xml:space="preserve">The project </w:t>
      </w:r>
      <w:r w:rsidR="001678D7" w:rsidRPr="00D84B5A">
        <w:t xml:space="preserve">achieved </w:t>
      </w:r>
      <w:r w:rsidRPr="00D84B5A">
        <w:t xml:space="preserve">the following </w:t>
      </w:r>
      <w:r w:rsidR="000B1970">
        <w:t xml:space="preserve">additional </w:t>
      </w:r>
      <w:r w:rsidRPr="00D84B5A">
        <w:t>benefits:</w:t>
      </w:r>
    </w:p>
    <w:p w14:paraId="5E2CA2DD" w14:textId="4B0580CE" w:rsidR="0037797E" w:rsidRDefault="00676CA1" w:rsidP="0037797E">
      <w:pPr>
        <w:pStyle w:val="Bullet1"/>
      </w:pPr>
      <w:r>
        <w:t xml:space="preserve">better </w:t>
      </w:r>
      <w:r w:rsidR="0037797E">
        <w:t>patient flow and reduced wait times for necessary testing</w:t>
      </w:r>
    </w:p>
    <w:p w14:paraId="7170E228" w14:textId="2D2B2DE3" w:rsidR="0037797E" w:rsidRDefault="00676CA1" w:rsidP="0037797E">
      <w:pPr>
        <w:pStyle w:val="Bullet1"/>
      </w:pPr>
      <w:r>
        <w:t>more efficient use of m</w:t>
      </w:r>
      <w:r w:rsidR="0037797E">
        <w:t xml:space="preserve">edical, </w:t>
      </w:r>
      <w:r>
        <w:t>n</w:t>
      </w:r>
      <w:r w:rsidR="0037797E">
        <w:t xml:space="preserve">ursing, </w:t>
      </w:r>
      <w:r>
        <w:t>p</w:t>
      </w:r>
      <w:r w:rsidR="0037797E">
        <w:t xml:space="preserve">athology </w:t>
      </w:r>
      <w:r>
        <w:t>and i</w:t>
      </w:r>
      <w:r w:rsidR="0037797E">
        <w:t>maging staff resources</w:t>
      </w:r>
    </w:p>
    <w:p w14:paraId="155F18E4" w14:textId="0F83FCDA" w:rsidR="0037797E" w:rsidRDefault="00676CA1" w:rsidP="0037797E">
      <w:pPr>
        <w:pStyle w:val="Bullet1"/>
      </w:pPr>
      <w:r>
        <w:t xml:space="preserve">a reduction in costs </w:t>
      </w:r>
      <w:r w:rsidR="0037797E">
        <w:t xml:space="preserve">associated with ordering and </w:t>
      </w:r>
      <w:r>
        <w:t xml:space="preserve">performing unnecessary tests. </w:t>
      </w:r>
    </w:p>
    <w:p w14:paraId="2485892E" w14:textId="0CE0D36C" w:rsidR="00435805" w:rsidRDefault="00435805" w:rsidP="00D66DBE">
      <w:pPr>
        <w:pStyle w:val="Heading2"/>
      </w:pPr>
      <w:r>
        <w:t>Key learnings</w:t>
      </w:r>
    </w:p>
    <w:p w14:paraId="554CC7EA" w14:textId="78B1AA0B" w:rsidR="00FC757E" w:rsidRDefault="00FC757E" w:rsidP="00FC757E">
      <w:pPr>
        <w:pStyle w:val="Bullet1"/>
      </w:pPr>
      <w:r w:rsidRPr="00D66DBE">
        <w:rPr>
          <w:b/>
          <w:bCs/>
        </w:rPr>
        <w:t xml:space="preserve">Leadership from clinical champions and </w:t>
      </w:r>
      <w:r>
        <w:rPr>
          <w:b/>
          <w:bCs/>
        </w:rPr>
        <w:t xml:space="preserve">the </w:t>
      </w:r>
      <w:r w:rsidRPr="00D66DBE">
        <w:rPr>
          <w:b/>
          <w:bCs/>
        </w:rPr>
        <w:t>involvement of staff at all levels help</w:t>
      </w:r>
      <w:r w:rsidR="00F85098">
        <w:rPr>
          <w:b/>
          <w:bCs/>
        </w:rPr>
        <w:t>s</w:t>
      </w:r>
      <w:r w:rsidRPr="00D66DBE">
        <w:rPr>
          <w:b/>
          <w:bCs/>
        </w:rPr>
        <w:t xml:space="preserve"> to facilitate cultural change –</w:t>
      </w:r>
      <w:r>
        <w:rPr>
          <w:b/>
          <w:bCs/>
        </w:rPr>
        <w:t xml:space="preserve"> </w:t>
      </w:r>
      <w:r>
        <w:t xml:space="preserve">Site-based clinical champions were integral in the daily delivery of project information, education, data and feedback. It was also vital to involve junior staff as, due to inexperience, they are among the most frequent requestors of unnecessary tests. During the project, junior staff performed auditing, developed clinical pathways under the guidance of senior medical staff, delivered education sessions, and presented results at national conferences. This has improved confidence and capability in junior staff, which has helped drive NUT </w:t>
      </w:r>
      <w:r w:rsidRPr="003C6C6E">
        <w:t xml:space="preserve">awareness </w:t>
      </w:r>
      <w:r>
        <w:t>and cultural change.</w:t>
      </w:r>
    </w:p>
    <w:p w14:paraId="7F1A8834" w14:textId="64E26CB9" w:rsidR="006E2C4E" w:rsidRDefault="006E2C4E" w:rsidP="006E2C4E">
      <w:pPr>
        <w:pStyle w:val="Bullet1"/>
      </w:pPr>
      <w:r w:rsidRPr="00D66DBE">
        <w:rPr>
          <w:b/>
          <w:bCs/>
        </w:rPr>
        <w:t xml:space="preserve">Developing and tailoring test reduction strategies </w:t>
      </w:r>
      <w:r>
        <w:rPr>
          <w:b/>
          <w:bCs/>
        </w:rPr>
        <w:t xml:space="preserve">for each </w:t>
      </w:r>
      <w:r w:rsidRPr="00D66DBE">
        <w:rPr>
          <w:b/>
          <w:bCs/>
        </w:rPr>
        <w:t xml:space="preserve">clinical program </w:t>
      </w:r>
      <w:r w:rsidR="00F85098">
        <w:rPr>
          <w:b/>
          <w:bCs/>
        </w:rPr>
        <w:t xml:space="preserve">is </w:t>
      </w:r>
      <w:r w:rsidR="00073EC9">
        <w:rPr>
          <w:b/>
          <w:bCs/>
        </w:rPr>
        <w:t xml:space="preserve">key to achieving </w:t>
      </w:r>
      <w:r w:rsidRPr="00D66DBE">
        <w:rPr>
          <w:b/>
          <w:bCs/>
        </w:rPr>
        <w:t>optimal outcomes</w:t>
      </w:r>
      <w:r>
        <w:rPr>
          <w:b/>
          <w:bCs/>
        </w:rPr>
        <w:t xml:space="preserve"> </w:t>
      </w:r>
      <w:r w:rsidRPr="00D66DBE">
        <w:rPr>
          <w:b/>
          <w:bCs/>
        </w:rPr>
        <w:t xml:space="preserve">– </w:t>
      </w:r>
      <w:r>
        <w:t xml:space="preserve">Strategies introduced during the project were developed by clinical leads in each program. Their understanding of their program’s unique clinical environment, patient populations and models of care was key to achieving </w:t>
      </w:r>
      <w:r w:rsidR="000B1970">
        <w:t xml:space="preserve">positive </w:t>
      </w:r>
      <w:r>
        <w:t xml:space="preserve">results. For example, the ED program used electronic decision support, signage and flowcharts, whereas the intensive care units implemented a governing practice guideline for daily CXR to guide future practice. </w:t>
      </w:r>
    </w:p>
    <w:p w14:paraId="211296FE" w14:textId="1106C03F" w:rsidR="00073EC9" w:rsidRDefault="00073EC9" w:rsidP="00073EC9">
      <w:pPr>
        <w:pStyle w:val="Bullet1"/>
      </w:pPr>
      <w:r>
        <w:rPr>
          <w:b/>
          <w:bCs/>
        </w:rPr>
        <w:t xml:space="preserve">Implementing cultural change while relying on </w:t>
      </w:r>
      <w:r w:rsidRPr="00FC757E">
        <w:rPr>
          <w:b/>
          <w:bCs/>
        </w:rPr>
        <w:t xml:space="preserve">VMOs </w:t>
      </w:r>
      <w:r w:rsidR="00F85098">
        <w:rPr>
          <w:b/>
          <w:bCs/>
        </w:rPr>
        <w:t xml:space="preserve">can be </w:t>
      </w:r>
      <w:r>
        <w:rPr>
          <w:b/>
          <w:bCs/>
        </w:rPr>
        <w:t xml:space="preserve">challenging </w:t>
      </w:r>
      <w:r w:rsidRPr="00FC757E">
        <w:rPr>
          <w:b/>
          <w:bCs/>
        </w:rPr>
        <w:t xml:space="preserve">– </w:t>
      </w:r>
      <w:r w:rsidRPr="00574DB5">
        <w:t>Eastern</w:t>
      </w:r>
      <w:r w:rsidRPr="00FC757E">
        <w:rPr>
          <w:b/>
          <w:bCs/>
        </w:rPr>
        <w:t xml:space="preserve"> </w:t>
      </w:r>
      <w:r>
        <w:t>Health’s general medicine program relied heavily on VMOs. VMOs often have ingrained ordering habits and work at other organisations where test reduction strategies are not in place, making cultural change in this cohort difficult. VMOs’ expectations of what tests should be ordered can also undermine NUT principles and have a negative impact on the ordering practices of junior staff who may feel obliged to comply with VMOs</w:t>
      </w:r>
      <w:r w:rsidR="00677C9A">
        <w:t>’</w:t>
      </w:r>
      <w:r>
        <w:t xml:space="preserve"> ordering requests. </w:t>
      </w:r>
      <w:r w:rsidR="006254D0">
        <w:t>In addition, v</w:t>
      </w:r>
      <w:r w:rsidR="00AB7F61">
        <w:t xml:space="preserve">ariation in testing preferences amongst VMOs and other senior staff can result in confusion amongst junior medical staff, leading to a </w:t>
      </w:r>
      <w:r w:rsidR="006254D0">
        <w:t>‘</w:t>
      </w:r>
      <w:r w:rsidR="00AB7F61">
        <w:t>just in case</w:t>
      </w:r>
      <w:r w:rsidR="006254D0">
        <w:t>’</w:t>
      </w:r>
      <w:r w:rsidR="00AB7F61">
        <w:t xml:space="preserve"> testing strategy.</w:t>
      </w:r>
    </w:p>
    <w:p w14:paraId="37E36A3F" w14:textId="3CE89C67" w:rsidR="00855D73" w:rsidRPr="009566A2" w:rsidRDefault="001C15BD" w:rsidP="006254D0">
      <w:pPr>
        <w:pStyle w:val="Bullet1"/>
      </w:pPr>
      <w:r w:rsidRPr="00960535">
        <w:rPr>
          <w:b/>
          <w:bCs/>
        </w:rPr>
        <w:t>Major changes to health service systems can reduce compliance with NUT behaviours –</w:t>
      </w:r>
      <w:r>
        <w:t xml:space="preserve"> </w:t>
      </w:r>
      <w:r w:rsidR="00960535">
        <w:t xml:space="preserve">The Box Hill Hospital ED implemented a new </w:t>
      </w:r>
      <w:r w:rsidR="00960535" w:rsidRPr="00960535">
        <w:t>patient management system</w:t>
      </w:r>
      <w:r w:rsidR="00960535">
        <w:t xml:space="preserve">, which resulted in the loss </w:t>
      </w:r>
      <w:r w:rsidR="000B1970">
        <w:t xml:space="preserve">of </w:t>
      </w:r>
      <w:r w:rsidR="00960535">
        <w:t xml:space="preserve">NUT decision support tools. </w:t>
      </w:r>
      <w:r w:rsidR="000B1970">
        <w:t>During the project, c</w:t>
      </w:r>
      <w:r w:rsidR="009D26D2">
        <w:t xml:space="preserve">linicians were also adapting to </w:t>
      </w:r>
      <w:r w:rsidR="00960535">
        <w:t xml:space="preserve">the </w:t>
      </w:r>
      <w:r w:rsidR="000B1970">
        <w:t xml:space="preserve">introduction of the </w:t>
      </w:r>
      <w:r w:rsidR="00960535">
        <w:t>e</w:t>
      </w:r>
      <w:r w:rsidR="009D26D2">
        <w:t xml:space="preserve">lectronic </w:t>
      </w:r>
      <w:r w:rsidR="00960535">
        <w:t>m</w:t>
      </w:r>
      <w:r w:rsidR="009D26D2">
        <w:t xml:space="preserve">edical </w:t>
      </w:r>
      <w:r w:rsidR="00960535">
        <w:t>r</w:t>
      </w:r>
      <w:r w:rsidR="009D26D2">
        <w:t xml:space="preserve">ecord and </w:t>
      </w:r>
      <w:r w:rsidR="00960535">
        <w:t>a new p</w:t>
      </w:r>
      <w:r w:rsidR="009D26D2">
        <w:t>athology specimen collection software system</w:t>
      </w:r>
      <w:r w:rsidR="000B1970">
        <w:t>. T</w:t>
      </w:r>
      <w:r w:rsidR="00960535">
        <w:t xml:space="preserve">he </w:t>
      </w:r>
      <w:r w:rsidR="000B1970">
        <w:t xml:space="preserve">resulting </w:t>
      </w:r>
      <w:r w:rsidR="009D26D2">
        <w:t xml:space="preserve">cognitive overload </w:t>
      </w:r>
      <w:r w:rsidR="00AB7F61">
        <w:t xml:space="preserve">is thought to have caused </w:t>
      </w:r>
      <w:r w:rsidR="00960535">
        <w:t xml:space="preserve">many clinicians to revert to </w:t>
      </w:r>
      <w:r w:rsidR="009D26D2">
        <w:t>pre-NUTs ordering habit</w:t>
      </w:r>
      <w:r w:rsidR="00960535">
        <w:t>s.</w:t>
      </w:r>
      <w:r w:rsidR="00A73982">
        <w:t xml:space="preserve"> Extra staff education and physical decision support tools were used to address this until the resources could be built into the new system.</w:t>
      </w:r>
    </w:p>
    <w:sectPr w:rsidR="00855D73" w:rsidRPr="009566A2" w:rsidSect="00772500">
      <w:footerReference w:type="default" r:id="rId16"/>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F38D7" w14:textId="77777777" w:rsidR="003517F9" w:rsidRDefault="003517F9" w:rsidP="002D711A">
      <w:pPr>
        <w:spacing w:after="0" w:line="240" w:lineRule="auto"/>
      </w:pPr>
      <w:r>
        <w:separator/>
      </w:r>
    </w:p>
  </w:endnote>
  <w:endnote w:type="continuationSeparator" w:id="0">
    <w:p w14:paraId="3A9F3EAB" w14:textId="77777777" w:rsidR="003517F9" w:rsidRDefault="003517F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4599" w14:textId="77777777" w:rsidR="0046176B" w:rsidRDefault="0046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CFED" w14:textId="77777777" w:rsidR="0046176B" w:rsidRDefault="004617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D66DBE" w:rsidRPr="00736C0C" w14:paraId="0DFE5F7C" w14:textId="77777777" w:rsidTr="000A3AC4">
      <w:trPr>
        <w:trHeight w:val="1531"/>
      </w:trPr>
      <w:tc>
        <w:tcPr>
          <w:tcW w:w="3515" w:type="dxa"/>
          <w:tcMar>
            <w:left w:w="113" w:type="dxa"/>
          </w:tcMar>
        </w:tcPr>
        <w:p w14:paraId="6ED35C7E" w14:textId="77777777" w:rsidR="00D66DBE" w:rsidRPr="00911408" w:rsidRDefault="00D66DBE" w:rsidP="00D66DBE">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w:history="1">
            <w:r w:rsidRPr="00A131B1">
              <w:rPr>
                <w:rStyle w:val="Hyperlink"/>
                <w:b/>
                <w:bCs/>
                <w:sz w:val="24"/>
                <w:szCs w:val="24"/>
              </w:rPr>
              <w:t>info</w:t>
            </w:r>
            <w:r w:rsidRPr="00A131B1">
              <w:rPr>
                <w:rStyle w:val="Hyperlink"/>
                <w:b/>
                <w:sz w:val="24"/>
                <w:szCs w:val="24"/>
              </w:rPr>
              <w:t>@safercare.vic.gov.au</w:t>
            </w:r>
          </w:hyperlink>
        </w:p>
      </w:tc>
      <w:tc>
        <w:tcPr>
          <w:tcW w:w="3402" w:type="dxa"/>
        </w:tcPr>
        <w:p w14:paraId="3D903A0C" w14:textId="77777777" w:rsidR="00D66DBE" w:rsidRPr="00911408" w:rsidRDefault="00D66DBE" w:rsidP="00D66DBE">
          <w:pPr>
            <w:spacing w:line="230" w:lineRule="auto"/>
            <w:rPr>
              <w:sz w:val="18"/>
              <w:szCs w:val="18"/>
            </w:rPr>
          </w:pPr>
          <w:r w:rsidRPr="00911408">
            <w:rPr>
              <w:sz w:val="18"/>
              <w:szCs w:val="18"/>
            </w:rPr>
            <w:t>Authorised and published by the Victorian Government, 1 Treasury Place, Melbourne.</w:t>
          </w:r>
        </w:p>
        <w:p w14:paraId="610FA3F7" w14:textId="42C5007F" w:rsidR="00D66DBE" w:rsidRPr="00911408" w:rsidRDefault="00D66DBE" w:rsidP="00D66DBE">
          <w:pPr>
            <w:spacing w:line="230" w:lineRule="auto"/>
            <w:rPr>
              <w:sz w:val="18"/>
              <w:szCs w:val="18"/>
            </w:rPr>
          </w:pPr>
          <w:r w:rsidRPr="00911408">
            <w:rPr>
              <w:sz w:val="18"/>
              <w:szCs w:val="18"/>
            </w:rPr>
            <w:t xml:space="preserve">© State of Victoria, Australia, Safer Care Victoria, </w:t>
          </w:r>
          <w:r w:rsidR="006254D0">
            <w:rPr>
              <w:sz w:val="18"/>
              <w:szCs w:val="18"/>
            </w:rPr>
            <w:t xml:space="preserve">November </w:t>
          </w:r>
          <w:r>
            <w:rPr>
              <w:sz w:val="18"/>
              <w:szCs w:val="18"/>
            </w:rPr>
            <w:t>2020</w:t>
          </w:r>
        </w:p>
        <w:p w14:paraId="3012311E" w14:textId="1AB0E341" w:rsidR="00D66DBE" w:rsidRPr="00034CDE" w:rsidRDefault="006254D0" w:rsidP="00D66DBE">
          <w:pPr>
            <w:spacing w:line="230" w:lineRule="auto"/>
            <w:rPr>
              <w:color w:val="000000" w:themeColor="text1"/>
              <w:sz w:val="18"/>
              <w:szCs w:val="18"/>
            </w:rPr>
          </w:pPr>
          <w:r w:rsidRPr="00034CDE">
            <w:rPr>
              <w:color w:val="000000" w:themeColor="text1"/>
              <w:sz w:val="18"/>
              <w:szCs w:val="18"/>
            </w:rPr>
            <w:t>ISBN 978-1-76096-289-0 (pdf/online/MS word)</w:t>
          </w:r>
        </w:p>
        <w:p w14:paraId="3EF015DA" w14:textId="2BDFD5DA" w:rsidR="00D66DBE" w:rsidRPr="007A4444" w:rsidRDefault="00D66DBE" w:rsidP="0046176B">
          <w:pPr>
            <w:spacing w:line="230" w:lineRule="auto"/>
            <w:rPr>
              <w:sz w:val="13"/>
              <w:szCs w:val="13"/>
            </w:rPr>
          </w:pPr>
          <w:r w:rsidRPr="00911408">
            <w:rPr>
              <w:sz w:val="18"/>
              <w:szCs w:val="18"/>
            </w:rPr>
            <w:t xml:space="preserve">Available at </w:t>
          </w:r>
          <w:hyperlink w:history="1">
            <w:r w:rsidRPr="00F52379">
              <w:rPr>
                <w:rStyle w:val="Hyperlink"/>
                <w:sz w:val="18"/>
                <w:szCs w:val="18"/>
              </w:rPr>
              <w:t>safercare.vic.gov.au</w:t>
            </w:r>
          </w:hyperlink>
          <w:r w:rsidR="0046176B">
            <w:rPr>
              <w:rStyle w:val="Hyperlink"/>
              <w:sz w:val="18"/>
              <w:szCs w:val="18"/>
            </w:rPr>
            <w:br/>
          </w:r>
        </w:p>
      </w:tc>
      <w:tc>
        <w:tcPr>
          <w:tcW w:w="3515" w:type="dxa"/>
        </w:tcPr>
        <w:p w14:paraId="1B830FB5" w14:textId="77777777" w:rsidR="00D66DBE" w:rsidRPr="00736C0C" w:rsidRDefault="00D66DBE" w:rsidP="00D66DBE">
          <w:pPr>
            <w:rPr>
              <w:szCs w:val="15"/>
            </w:rPr>
          </w:pPr>
          <w:r>
            <w:rPr>
              <w:noProof/>
              <w:szCs w:val="15"/>
            </w:rPr>
            <w:drawing>
              <wp:inline distT="0" distB="0" distL="0" distR="0" wp14:anchorId="72A1CB85" wp14:editId="4409A55A">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898FB" w14:textId="77777777" w:rsidR="003517F9" w:rsidRDefault="003517F9" w:rsidP="00E33E08">
      <w:pPr>
        <w:spacing w:before="0" w:after="0" w:line="240" w:lineRule="auto"/>
      </w:pPr>
    </w:p>
  </w:footnote>
  <w:footnote w:type="continuationSeparator" w:id="0">
    <w:p w14:paraId="0880767A" w14:textId="77777777" w:rsidR="003517F9" w:rsidRDefault="003517F9"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11F9" w14:textId="77777777" w:rsidR="0046176B" w:rsidRDefault="00461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985B" w14:textId="77777777" w:rsidR="0046176B" w:rsidRDefault="00461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7DE9B65D">
          <wp:simplePos x="0" y="0"/>
          <wp:positionH relativeFrom="page">
            <wp:posOffset>4445</wp:posOffset>
          </wp:positionH>
          <wp:positionV relativeFrom="page">
            <wp:posOffset>-19050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16C82"/>
    <w:rsid w:val="00020E3E"/>
    <w:rsid w:val="00023457"/>
    <w:rsid w:val="00023BF3"/>
    <w:rsid w:val="00026811"/>
    <w:rsid w:val="00034CDE"/>
    <w:rsid w:val="0004185E"/>
    <w:rsid w:val="00053181"/>
    <w:rsid w:val="00056988"/>
    <w:rsid w:val="00060D97"/>
    <w:rsid w:val="00071979"/>
    <w:rsid w:val="00071F51"/>
    <w:rsid w:val="00072279"/>
    <w:rsid w:val="00073407"/>
    <w:rsid w:val="00073EC9"/>
    <w:rsid w:val="00075E6C"/>
    <w:rsid w:val="00081C12"/>
    <w:rsid w:val="00086CA5"/>
    <w:rsid w:val="00087D42"/>
    <w:rsid w:val="000905F7"/>
    <w:rsid w:val="000B1027"/>
    <w:rsid w:val="000B1970"/>
    <w:rsid w:val="000B29AD"/>
    <w:rsid w:val="000B365D"/>
    <w:rsid w:val="000B3A11"/>
    <w:rsid w:val="000C4C85"/>
    <w:rsid w:val="000C515F"/>
    <w:rsid w:val="000C6372"/>
    <w:rsid w:val="000D3BF8"/>
    <w:rsid w:val="000D59CE"/>
    <w:rsid w:val="000D7841"/>
    <w:rsid w:val="000E392D"/>
    <w:rsid w:val="000E39B6"/>
    <w:rsid w:val="000E3D05"/>
    <w:rsid w:val="000F2A2C"/>
    <w:rsid w:val="000F3CD3"/>
    <w:rsid w:val="000F4288"/>
    <w:rsid w:val="000F7165"/>
    <w:rsid w:val="00102379"/>
    <w:rsid w:val="00103722"/>
    <w:rsid w:val="001065D6"/>
    <w:rsid w:val="001068D5"/>
    <w:rsid w:val="0011441E"/>
    <w:rsid w:val="00121252"/>
    <w:rsid w:val="00121488"/>
    <w:rsid w:val="00124227"/>
    <w:rsid w:val="00124609"/>
    <w:rsid w:val="001254CE"/>
    <w:rsid w:val="0013637A"/>
    <w:rsid w:val="001422CC"/>
    <w:rsid w:val="00145346"/>
    <w:rsid w:val="00145BF2"/>
    <w:rsid w:val="00153B8C"/>
    <w:rsid w:val="001617B6"/>
    <w:rsid w:val="00164EF4"/>
    <w:rsid w:val="00165E66"/>
    <w:rsid w:val="001678D7"/>
    <w:rsid w:val="00181C06"/>
    <w:rsid w:val="00186B39"/>
    <w:rsid w:val="00186BE8"/>
    <w:rsid w:val="00193852"/>
    <w:rsid w:val="00196143"/>
    <w:rsid w:val="001A24FC"/>
    <w:rsid w:val="001C0FAB"/>
    <w:rsid w:val="001C15BD"/>
    <w:rsid w:val="001C60B2"/>
    <w:rsid w:val="001C6993"/>
    <w:rsid w:val="001C6D24"/>
    <w:rsid w:val="001C743F"/>
    <w:rsid w:val="001C7BAE"/>
    <w:rsid w:val="001D65AB"/>
    <w:rsid w:val="001E31FA"/>
    <w:rsid w:val="001E4254"/>
    <w:rsid w:val="001E48F9"/>
    <w:rsid w:val="001E64F6"/>
    <w:rsid w:val="001E7AEB"/>
    <w:rsid w:val="001F3550"/>
    <w:rsid w:val="00200102"/>
    <w:rsid w:val="00204B82"/>
    <w:rsid w:val="00222BEB"/>
    <w:rsid w:val="00225E60"/>
    <w:rsid w:val="00230BBB"/>
    <w:rsid w:val="0023202C"/>
    <w:rsid w:val="00233863"/>
    <w:rsid w:val="00234619"/>
    <w:rsid w:val="00235BE2"/>
    <w:rsid w:val="00245043"/>
    <w:rsid w:val="0025093B"/>
    <w:rsid w:val="0026028E"/>
    <w:rsid w:val="002719B5"/>
    <w:rsid w:val="00273AF5"/>
    <w:rsid w:val="00284FA2"/>
    <w:rsid w:val="00286580"/>
    <w:rsid w:val="00292D36"/>
    <w:rsid w:val="00294A5A"/>
    <w:rsid w:val="00297281"/>
    <w:rsid w:val="00297A47"/>
    <w:rsid w:val="002A2FF0"/>
    <w:rsid w:val="002A3F48"/>
    <w:rsid w:val="002A5891"/>
    <w:rsid w:val="002A5F50"/>
    <w:rsid w:val="002B03F1"/>
    <w:rsid w:val="002B5C34"/>
    <w:rsid w:val="002B5E2B"/>
    <w:rsid w:val="002B6DAA"/>
    <w:rsid w:val="002C2EDC"/>
    <w:rsid w:val="002C338A"/>
    <w:rsid w:val="002D70F7"/>
    <w:rsid w:val="002D711A"/>
    <w:rsid w:val="002D7336"/>
    <w:rsid w:val="002D7A1A"/>
    <w:rsid w:val="002E3396"/>
    <w:rsid w:val="002E6454"/>
    <w:rsid w:val="002F0B56"/>
    <w:rsid w:val="002F2953"/>
    <w:rsid w:val="002F4E84"/>
    <w:rsid w:val="003023CE"/>
    <w:rsid w:val="0031149C"/>
    <w:rsid w:val="0031379D"/>
    <w:rsid w:val="003242FD"/>
    <w:rsid w:val="00332D4F"/>
    <w:rsid w:val="003347B2"/>
    <w:rsid w:val="00334EF6"/>
    <w:rsid w:val="00336087"/>
    <w:rsid w:val="003370CC"/>
    <w:rsid w:val="00346F77"/>
    <w:rsid w:val="003517F9"/>
    <w:rsid w:val="00364E3E"/>
    <w:rsid w:val="0036778F"/>
    <w:rsid w:val="0037797E"/>
    <w:rsid w:val="003871BC"/>
    <w:rsid w:val="0038771C"/>
    <w:rsid w:val="0039556B"/>
    <w:rsid w:val="003A430B"/>
    <w:rsid w:val="003A541A"/>
    <w:rsid w:val="003A6923"/>
    <w:rsid w:val="003B0675"/>
    <w:rsid w:val="003B670F"/>
    <w:rsid w:val="003C0B21"/>
    <w:rsid w:val="003C2C67"/>
    <w:rsid w:val="003C2D4C"/>
    <w:rsid w:val="003C3B3A"/>
    <w:rsid w:val="003C5BA4"/>
    <w:rsid w:val="003C6C6E"/>
    <w:rsid w:val="003D607E"/>
    <w:rsid w:val="003D7FF8"/>
    <w:rsid w:val="003E107C"/>
    <w:rsid w:val="003E164D"/>
    <w:rsid w:val="003E3E26"/>
    <w:rsid w:val="003F1295"/>
    <w:rsid w:val="003F5102"/>
    <w:rsid w:val="003F5D34"/>
    <w:rsid w:val="003F76FC"/>
    <w:rsid w:val="004002EB"/>
    <w:rsid w:val="00407A79"/>
    <w:rsid w:val="00422DDC"/>
    <w:rsid w:val="004231B5"/>
    <w:rsid w:val="004236C8"/>
    <w:rsid w:val="0042520B"/>
    <w:rsid w:val="00427681"/>
    <w:rsid w:val="0043317F"/>
    <w:rsid w:val="00433DB7"/>
    <w:rsid w:val="00435805"/>
    <w:rsid w:val="00442182"/>
    <w:rsid w:val="00443FD6"/>
    <w:rsid w:val="0045347E"/>
    <w:rsid w:val="00453750"/>
    <w:rsid w:val="00456941"/>
    <w:rsid w:val="00460BD5"/>
    <w:rsid w:val="0046176B"/>
    <w:rsid w:val="004702EA"/>
    <w:rsid w:val="0048259C"/>
    <w:rsid w:val="00482D02"/>
    <w:rsid w:val="00482EE7"/>
    <w:rsid w:val="00484326"/>
    <w:rsid w:val="00490369"/>
    <w:rsid w:val="004A4ED0"/>
    <w:rsid w:val="004A7519"/>
    <w:rsid w:val="004B4593"/>
    <w:rsid w:val="004B64B1"/>
    <w:rsid w:val="004D01AC"/>
    <w:rsid w:val="004D3518"/>
    <w:rsid w:val="004D62D6"/>
    <w:rsid w:val="004D6898"/>
    <w:rsid w:val="004F3F4E"/>
    <w:rsid w:val="00510167"/>
    <w:rsid w:val="00513E86"/>
    <w:rsid w:val="00526E46"/>
    <w:rsid w:val="005273A3"/>
    <w:rsid w:val="005306A2"/>
    <w:rsid w:val="0053416C"/>
    <w:rsid w:val="00541C2F"/>
    <w:rsid w:val="00552DE4"/>
    <w:rsid w:val="005549B0"/>
    <w:rsid w:val="00555D37"/>
    <w:rsid w:val="00560AE6"/>
    <w:rsid w:val="00563527"/>
    <w:rsid w:val="00573DD9"/>
    <w:rsid w:val="0057407A"/>
    <w:rsid w:val="00574DB5"/>
    <w:rsid w:val="0057691F"/>
    <w:rsid w:val="0058124E"/>
    <w:rsid w:val="005875A3"/>
    <w:rsid w:val="005953EA"/>
    <w:rsid w:val="005A3416"/>
    <w:rsid w:val="005B061F"/>
    <w:rsid w:val="005B27FE"/>
    <w:rsid w:val="005B327A"/>
    <w:rsid w:val="005B5F0B"/>
    <w:rsid w:val="005B76DF"/>
    <w:rsid w:val="005B79CB"/>
    <w:rsid w:val="005C13F4"/>
    <w:rsid w:val="005C396B"/>
    <w:rsid w:val="005C5617"/>
    <w:rsid w:val="005E08D7"/>
    <w:rsid w:val="005E0F0B"/>
    <w:rsid w:val="005E4C16"/>
    <w:rsid w:val="005E5947"/>
    <w:rsid w:val="005F1BB4"/>
    <w:rsid w:val="005F61DF"/>
    <w:rsid w:val="005F75C8"/>
    <w:rsid w:val="0060163A"/>
    <w:rsid w:val="006023F9"/>
    <w:rsid w:val="00610559"/>
    <w:rsid w:val="00614076"/>
    <w:rsid w:val="006254D0"/>
    <w:rsid w:val="00632F2E"/>
    <w:rsid w:val="006332F6"/>
    <w:rsid w:val="006413F2"/>
    <w:rsid w:val="00643173"/>
    <w:rsid w:val="0064598D"/>
    <w:rsid w:val="006476A7"/>
    <w:rsid w:val="006512FE"/>
    <w:rsid w:val="006534B2"/>
    <w:rsid w:val="0065615D"/>
    <w:rsid w:val="00657011"/>
    <w:rsid w:val="00661B6F"/>
    <w:rsid w:val="006650B5"/>
    <w:rsid w:val="006651B1"/>
    <w:rsid w:val="00665778"/>
    <w:rsid w:val="00671406"/>
    <w:rsid w:val="00676CA1"/>
    <w:rsid w:val="00676E5F"/>
    <w:rsid w:val="00677C9A"/>
    <w:rsid w:val="00680577"/>
    <w:rsid w:val="006945CA"/>
    <w:rsid w:val="006A3309"/>
    <w:rsid w:val="006A3A5A"/>
    <w:rsid w:val="006A49CE"/>
    <w:rsid w:val="006A5B34"/>
    <w:rsid w:val="006A60D0"/>
    <w:rsid w:val="006B2A76"/>
    <w:rsid w:val="006C77A9"/>
    <w:rsid w:val="006D2F37"/>
    <w:rsid w:val="006D4720"/>
    <w:rsid w:val="006E2C4E"/>
    <w:rsid w:val="006E2FEA"/>
    <w:rsid w:val="006E6CDF"/>
    <w:rsid w:val="006F37F2"/>
    <w:rsid w:val="006F5C3F"/>
    <w:rsid w:val="006F6693"/>
    <w:rsid w:val="006F7551"/>
    <w:rsid w:val="00707FE8"/>
    <w:rsid w:val="0071288D"/>
    <w:rsid w:val="00714AAE"/>
    <w:rsid w:val="00715BEA"/>
    <w:rsid w:val="00724962"/>
    <w:rsid w:val="00724A0F"/>
    <w:rsid w:val="00726D2F"/>
    <w:rsid w:val="007352D2"/>
    <w:rsid w:val="00736732"/>
    <w:rsid w:val="00740019"/>
    <w:rsid w:val="0074462E"/>
    <w:rsid w:val="0074500F"/>
    <w:rsid w:val="00746426"/>
    <w:rsid w:val="00750BF9"/>
    <w:rsid w:val="00750CBE"/>
    <w:rsid w:val="00755D45"/>
    <w:rsid w:val="007650D2"/>
    <w:rsid w:val="00766B5A"/>
    <w:rsid w:val="00772209"/>
    <w:rsid w:val="00772500"/>
    <w:rsid w:val="007756C9"/>
    <w:rsid w:val="007770A5"/>
    <w:rsid w:val="007834F2"/>
    <w:rsid w:val="00785946"/>
    <w:rsid w:val="00791020"/>
    <w:rsid w:val="00794CB7"/>
    <w:rsid w:val="007A04D2"/>
    <w:rsid w:val="007A4444"/>
    <w:rsid w:val="007A5F82"/>
    <w:rsid w:val="007D20A7"/>
    <w:rsid w:val="007D4A1E"/>
    <w:rsid w:val="007D5F9E"/>
    <w:rsid w:val="007E098F"/>
    <w:rsid w:val="007E3BA2"/>
    <w:rsid w:val="007F1A4C"/>
    <w:rsid w:val="007F469F"/>
    <w:rsid w:val="007F723F"/>
    <w:rsid w:val="008022C3"/>
    <w:rsid w:val="008041E6"/>
    <w:rsid w:val="008065D2"/>
    <w:rsid w:val="00815A8A"/>
    <w:rsid w:val="0082194C"/>
    <w:rsid w:val="008222FF"/>
    <w:rsid w:val="008241FF"/>
    <w:rsid w:val="00831EEA"/>
    <w:rsid w:val="008411E9"/>
    <w:rsid w:val="00841617"/>
    <w:rsid w:val="0084200F"/>
    <w:rsid w:val="00843B2C"/>
    <w:rsid w:val="00844F16"/>
    <w:rsid w:val="00847BE1"/>
    <w:rsid w:val="00855D73"/>
    <w:rsid w:val="00855FF9"/>
    <w:rsid w:val="0086277A"/>
    <w:rsid w:val="0086362D"/>
    <w:rsid w:val="008668A8"/>
    <w:rsid w:val="008703D8"/>
    <w:rsid w:val="00875511"/>
    <w:rsid w:val="008768AD"/>
    <w:rsid w:val="00876C1E"/>
    <w:rsid w:val="00880AC4"/>
    <w:rsid w:val="00893E52"/>
    <w:rsid w:val="00896835"/>
    <w:rsid w:val="00897157"/>
    <w:rsid w:val="00897447"/>
    <w:rsid w:val="008A306C"/>
    <w:rsid w:val="008A4900"/>
    <w:rsid w:val="008A55FE"/>
    <w:rsid w:val="008A58D2"/>
    <w:rsid w:val="008B146D"/>
    <w:rsid w:val="008B42AD"/>
    <w:rsid w:val="008B5666"/>
    <w:rsid w:val="008C2C15"/>
    <w:rsid w:val="008D0281"/>
    <w:rsid w:val="008E2348"/>
    <w:rsid w:val="008F6D45"/>
    <w:rsid w:val="009011C4"/>
    <w:rsid w:val="0090366D"/>
    <w:rsid w:val="00911408"/>
    <w:rsid w:val="00916AD5"/>
    <w:rsid w:val="00922944"/>
    <w:rsid w:val="00936479"/>
    <w:rsid w:val="00937A10"/>
    <w:rsid w:val="00953A2C"/>
    <w:rsid w:val="009566A2"/>
    <w:rsid w:val="00960535"/>
    <w:rsid w:val="00966115"/>
    <w:rsid w:val="009702B7"/>
    <w:rsid w:val="009834C0"/>
    <w:rsid w:val="00986AAC"/>
    <w:rsid w:val="009919AA"/>
    <w:rsid w:val="00991C00"/>
    <w:rsid w:val="00995526"/>
    <w:rsid w:val="0099635B"/>
    <w:rsid w:val="00996E62"/>
    <w:rsid w:val="009A1DA2"/>
    <w:rsid w:val="009A2108"/>
    <w:rsid w:val="009A3704"/>
    <w:rsid w:val="009A4739"/>
    <w:rsid w:val="009A674F"/>
    <w:rsid w:val="009A6D22"/>
    <w:rsid w:val="009B0EAF"/>
    <w:rsid w:val="009B11D8"/>
    <w:rsid w:val="009B199C"/>
    <w:rsid w:val="009B1BBA"/>
    <w:rsid w:val="009B61F1"/>
    <w:rsid w:val="009B62E0"/>
    <w:rsid w:val="009C3D88"/>
    <w:rsid w:val="009C5928"/>
    <w:rsid w:val="009D26D2"/>
    <w:rsid w:val="009E0D59"/>
    <w:rsid w:val="009E1651"/>
    <w:rsid w:val="009E324E"/>
    <w:rsid w:val="009E3858"/>
    <w:rsid w:val="009E467D"/>
    <w:rsid w:val="009E5E60"/>
    <w:rsid w:val="009E70DD"/>
    <w:rsid w:val="009F2ED9"/>
    <w:rsid w:val="009F3231"/>
    <w:rsid w:val="009F5C58"/>
    <w:rsid w:val="009F74EC"/>
    <w:rsid w:val="00A023A0"/>
    <w:rsid w:val="00A05EBC"/>
    <w:rsid w:val="00A10E0E"/>
    <w:rsid w:val="00A125EA"/>
    <w:rsid w:val="00A131B1"/>
    <w:rsid w:val="00A1562B"/>
    <w:rsid w:val="00A170F4"/>
    <w:rsid w:val="00A21408"/>
    <w:rsid w:val="00A2160F"/>
    <w:rsid w:val="00A21CFD"/>
    <w:rsid w:val="00A25B78"/>
    <w:rsid w:val="00A27D15"/>
    <w:rsid w:val="00A4165C"/>
    <w:rsid w:val="00A46288"/>
    <w:rsid w:val="00A46BA8"/>
    <w:rsid w:val="00A47634"/>
    <w:rsid w:val="00A612FE"/>
    <w:rsid w:val="00A63124"/>
    <w:rsid w:val="00A674F2"/>
    <w:rsid w:val="00A70B49"/>
    <w:rsid w:val="00A73982"/>
    <w:rsid w:val="00A77352"/>
    <w:rsid w:val="00A86266"/>
    <w:rsid w:val="00A90A1D"/>
    <w:rsid w:val="00A92D94"/>
    <w:rsid w:val="00A968BD"/>
    <w:rsid w:val="00AA26B8"/>
    <w:rsid w:val="00AB7F61"/>
    <w:rsid w:val="00AC0B87"/>
    <w:rsid w:val="00AC2624"/>
    <w:rsid w:val="00AC32A8"/>
    <w:rsid w:val="00AD6E2B"/>
    <w:rsid w:val="00AD7E4E"/>
    <w:rsid w:val="00AE54A3"/>
    <w:rsid w:val="00AF48B8"/>
    <w:rsid w:val="00AF4D58"/>
    <w:rsid w:val="00AF6666"/>
    <w:rsid w:val="00AF7BC5"/>
    <w:rsid w:val="00B0072D"/>
    <w:rsid w:val="00B11FFE"/>
    <w:rsid w:val="00B20626"/>
    <w:rsid w:val="00B27161"/>
    <w:rsid w:val="00B760EE"/>
    <w:rsid w:val="00B80F1A"/>
    <w:rsid w:val="00B81B44"/>
    <w:rsid w:val="00B9053B"/>
    <w:rsid w:val="00BA0C37"/>
    <w:rsid w:val="00BA14FE"/>
    <w:rsid w:val="00BA3782"/>
    <w:rsid w:val="00BB4D98"/>
    <w:rsid w:val="00BB4EBF"/>
    <w:rsid w:val="00BB59E0"/>
    <w:rsid w:val="00BC07DF"/>
    <w:rsid w:val="00BC3422"/>
    <w:rsid w:val="00BC57ED"/>
    <w:rsid w:val="00BC6E19"/>
    <w:rsid w:val="00BD11C2"/>
    <w:rsid w:val="00BD5018"/>
    <w:rsid w:val="00BE2C3B"/>
    <w:rsid w:val="00BE5ADC"/>
    <w:rsid w:val="00BF4F96"/>
    <w:rsid w:val="00C015B9"/>
    <w:rsid w:val="00C022F9"/>
    <w:rsid w:val="00C032EA"/>
    <w:rsid w:val="00C06EB5"/>
    <w:rsid w:val="00C1145F"/>
    <w:rsid w:val="00C11CD1"/>
    <w:rsid w:val="00C26849"/>
    <w:rsid w:val="00C32D49"/>
    <w:rsid w:val="00C33AD3"/>
    <w:rsid w:val="00C35D53"/>
    <w:rsid w:val="00C41B3C"/>
    <w:rsid w:val="00C43F06"/>
    <w:rsid w:val="00C51C01"/>
    <w:rsid w:val="00C637E1"/>
    <w:rsid w:val="00C67EAC"/>
    <w:rsid w:val="00C7098C"/>
    <w:rsid w:val="00C70D50"/>
    <w:rsid w:val="00C72252"/>
    <w:rsid w:val="00C821CE"/>
    <w:rsid w:val="00C907D7"/>
    <w:rsid w:val="00C92338"/>
    <w:rsid w:val="00CA05DC"/>
    <w:rsid w:val="00CA7B47"/>
    <w:rsid w:val="00CB3976"/>
    <w:rsid w:val="00CC0347"/>
    <w:rsid w:val="00CD0307"/>
    <w:rsid w:val="00CD3C79"/>
    <w:rsid w:val="00CD3D1B"/>
    <w:rsid w:val="00CE590E"/>
    <w:rsid w:val="00CE61C3"/>
    <w:rsid w:val="00D0250E"/>
    <w:rsid w:val="00D02663"/>
    <w:rsid w:val="00D0633E"/>
    <w:rsid w:val="00D12E74"/>
    <w:rsid w:val="00D2312F"/>
    <w:rsid w:val="00D23B04"/>
    <w:rsid w:val="00D269C1"/>
    <w:rsid w:val="00D30DC0"/>
    <w:rsid w:val="00D340F7"/>
    <w:rsid w:val="00D41230"/>
    <w:rsid w:val="00D41B2F"/>
    <w:rsid w:val="00D44953"/>
    <w:rsid w:val="00D464B3"/>
    <w:rsid w:val="00D475BB"/>
    <w:rsid w:val="00D542F3"/>
    <w:rsid w:val="00D54513"/>
    <w:rsid w:val="00D54AAE"/>
    <w:rsid w:val="00D5644B"/>
    <w:rsid w:val="00D56E25"/>
    <w:rsid w:val="00D57799"/>
    <w:rsid w:val="00D57E89"/>
    <w:rsid w:val="00D6560D"/>
    <w:rsid w:val="00D65D77"/>
    <w:rsid w:val="00D66DBE"/>
    <w:rsid w:val="00D718D7"/>
    <w:rsid w:val="00D76AD4"/>
    <w:rsid w:val="00D814B7"/>
    <w:rsid w:val="00D822AB"/>
    <w:rsid w:val="00D84B5A"/>
    <w:rsid w:val="00D85207"/>
    <w:rsid w:val="00D858A3"/>
    <w:rsid w:val="00D90688"/>
    <w:rsid w:val="00DA3AAD"/>
    <w:rsid w:val="00DA3F36"/>
    <w:rsid w:val="00DB312B"/>
    <w:rsid w:val="00DC5654"/>
    <w:rsid w:val="00DC658F"/>
    <w:rsid w:val="00DC674A"/>
    <w:rsid w:val="00DD199E"/>
    <w:rsid w:val="00DE60CC"/>
    <w:rsid w:val="00E03F35"/>
    <w:rsid w:val="00E046D1"/>
    <w:rsid w:val="00E26B32"/>
    <w:rsid w:val="00E30DC0"/>
    <w:rsid w:val="00E31CD4"/>
    <w:rsid w:val="00E31E60"/>
    <w:rsid w:val="00E33E08"/>
    <w:rsid w:val="00E362CE"/>
    <w:rsid w:val="00E407B6"/>
    <w:rsid w:val="00E41D82"/>
    <w:rsid w:val="00E41EF1"/>
    <w:rsid w:val="00E42942"/>
    <w:rsid w:val="00E44F26"/>
    <w:rsid w:val="00E6148E"/>
    <w:rsid w:val="00E65A0A"/>
    <w:rsid w:val="00E71BDF"/>
    <w:rsid w:val="00E75CCB"/>
    <w:rsid w:val="00E80D9B"/>
    <w:rsid w:val="00E8245B"/>
    <w:rsid w:val="00E82C21"/>
    <w:rsid w:val="00E82F59"/>
    <w:rsid w:val="00E83CA7"/>
    <w:rsid w:val="00E92192"/>
    <w:rsid w:val="00E95A71"/>
    <w:rsid w:val="00EA2F47"/>
    <w:rsid w:val="00EB7014"/>
    <w:rsid w:val="00EC5CDE"/>
    <w:rsid w:val="00EC7F2A"/>
    <w:rsid w:val="00ED3077"/>
    <w:rsid w:val="00ED487E"/>
    <w:rsid w:val="00ED64F1"/>
    <w:rsid w:val="00EE33A1"/>
    <w:rsid w:val="00EE7A0D"/>
    <w:rsid w:val="00EF6AEA"/>
    <w:rsid w:val="00F0222C"/>
    <w:rsid w:val="00F06647"/>
    <w:rsid w:val="00F071C0"/>
    <w:rsid w:val="00F12312"/>
    <w:rsid w:val="00F12BCD"/>
    <w:rsid w:val="00F13239"/>
    <w:rsid w:val="00F14D46"/>
    <w:rsid w:val="00F17CE1"/>
    <w:rsid w:val="00F201AF"/>
    <w:rsid w:val="00F2115C"/>
    <w:rsid w:val="00F22ABA"/>
    <w:rsid w:val="00F25919"/>
    <w:rsid w:val="00F25F4B"/>
    <w:rsid w:val="00F36B12"/>
    <w:rsid w:val="00F54000"/>
    <w:rsid w:val="00F60F9F"/>
    <w:rsid w:val="00F61246"/>
    <w:rsid w:val="00F64F08"/>
    <w:rsid w:val="00F70055"/>
    <w:rsid w:val="00F734F5"/>
    <w:rsid w:val="00F73B5B"/>
    <w:rsid w:val="00F7460F"/>
    <w:rsid w:val="00F74767"/>
    <w:rsid w:val="00F80A39"/>
    <w:rsid w:val="00F825E2"/>
    <w:rsid w:val="00F85098"/>
    <w:rsid w:val="00F8536E"/>
    <w:rsid w:val="00F90EA5"/>
    <w:rsid w:val="00F91F5A"/>
    <w:rsid w:val="00F93E5A"/>
    <w:rsid w:val="00F966B1"/>
    <w:rsid w:val="00F97D48"/>
    <w:rsid w:val="00FA0311"/>
    <w:rsid w:val="00FA1489"/>
    <w:rsid w:val="00FC2115"/>
    <w:rsid w:val="00FC757E"/>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0CA9-A558-4E83-AC6A-D0D0E602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No unnecessary tests</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2020-12-18T02:35:00Z</dcterms:created>
  <dcterms:modified xsi:type="dcterms:W3CDTF">2020-12-18T06:14:00Z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2020-12-18T02:36:22Z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2d9d6bc7-d4c3-44d7-b7ed-2ca19edf1b21</vt:lpwstr>
  </property>
  <property fmtid="{D5CDD505-2E9C-101B-9397-08002B2CF9AE}" pid="8" name="MSIP_Label_efdf5488-3066-4b6c-8fea-9472b8a1f34c_ContentBits">
    <vt:lpwstr>0</vt:lpwstr>
  </property>
</Properties>
</file>