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29D13" w14:textId="04CCBD51" w:rsidR="00A46288" w:rsidRPr="00DA3F36" w:rsidRDefault="00FE234A" w:rsidP="007A4444">
      <w:pPr>
        <w:pStyle w:val="Title"/>
      </w:pPr>
      <w:bookmarkStart w:id="0" w:name="_GoBack"/>
      <w:bookmarkEnd w:id="0"/>
      <w:r>
        <w:t xml:space="preserve">supporting </w:t>
      </w:r>
      <w:r w:rsidR="005D4624">
        <w:t xml:space="preserve">equitable access to </w:t>
      </w:r>
      <w:r>
        <w:t>ROBOTICs</w:t>
      </w:r>
      <w:r w:rsidR="005D4624">
        <w:t xml:space="preserve">-based </w:t>
      </w:r>
      <w:r>
        <w:t>REHABILITATION</w:t>
      </w:r>
    </w:p>
    <w:p w14:paraId="6800B4C5" w14:textId="57BF8FAB" w:rsidR="00897157" w:rsidRDefault="006F459A" w:rsidP="002C6555">
      <w:pPr>
        <w:pStyle w:val="IntroductoryText"/>
      </w:pPr>
      <w:r>
        <w:t xml:space="preserve">Northeast Health Wangaratta </w:t>
      </w:r>
      <w:r w:rsidR="002C6555">
        <w:t>developed a model of care that allow</w:t>
      </w:r>
      <w:r w:rsidR="00135FFA">
        <w:t>ed</w:t>
      </w:r>
      <w:r w:rsidR="002C6555">
        <w:t xml:space="preserve"> more regional and rural Victorians to access state-of-the-art robotic-based therapy for upper-limb rehabilitation. By improving access to this therapy, which was previously only available in a metropolitan setting, the health service helped patients reduce travel time and costs while achieving positive </w:t>
      </w:r>
      <w:r w:rsidR="00F1604E">
        <w:t>clinical</w:t>
      </w:r>
      <w:r w:rsidR="002C6555">
        <w:t xml:space="preserve"> outcomes. </w:t>
      </w:r>
    </w:p>
    <w:p w14:paraId="7E23E5B8" w14:textId="77777777" w:rsidR="007A4444" w:rsidRDefault="007A4444" w:rsidP="007A4444">
      <w:pPr>
        <w:pStyle w:val="NoSpacing"/>
      </w:pPr>
    </w:p>
    <w:p w14:paraId="4230C339" w14:textId="77777777" w:rsidR="007A4444" w:rsidRDefault="007A4444" w:rsidP="00794CB7">
      <w:pPr>
        <w:sectPr w:rsidR="007A4444" w:rsidSect="005A5280">
          <w:footerReference w:type="default" r:id="rId8"/>
          <w:headerReference w:type="first" r:id="rId9"/>
          <w:type w:val="continuous"/>
          <w:pgSz w:w="11906" w:h="16838" w:code="9"/>
          <w:pgMar w:top="2438" w:right="737" w:bottom="680" w:left="737" w:header="539" w:footer="624" w:gutter="0"/>
          <w:cols w:space="284"/>
          <w:titlePg/>
          <w:docGrid w:linePitch="360"/>
        </w:sectPr>
      </w:pPr>
    </w:p>
    <w:p w14:paraId="08B76A1A" w14:textId="30D2B9DC" w:rsidR="00911408" w:rsidRDefault="000C515F" w:rsidP="00911408">
      <w:pPr>
        <w:pStyle w:val="Heading2"/>
      </w:pPr>
      <w:r>
        <w:t>Background</w:t>
      </w:r>
    </w:p>
    <w:p w14:paraId="28AB6087" w14:textId="5CDD3C03" w:rsidR="0019100A" w:rsidRDefault="00D26EFE" w:rsidP="00A83A37">
      <w:pPr>
        <w:pStyle w:val="Normalfollowingheading"/>
      </w:pPr>
      <w:bookmarkStart w:id="1" w:name="_Hlk54835282"/>
      <w:r>
        <w:t>Robotic-based therapy (RBT)</w:t>
      </w:r>
      <w:bookmarkEnd w:id="1"/>
      <w:r>
        <w:t xml:space="preserve"> is an emerging technology that is increasingly being adopted overseas and in private Australian clinics to help patients recover movement following a neurological </w:t>
      </w:r>
      <w:r w:rsidR="0019100A">
        <w:t>event</w:t>
      </w:r>
      <w:r>
        <w:t xml:space="preserve">, such as </w:t>
      </w:r>
      <w:r w:rsidR="0019100A">
        <w:t xml:space="preserve">a </w:t>
      </w:r>
      <w:r>
        <w:t xml:space="preserve">stroke. </w:t>
      </w:r>
      <w:r w:rsidR="0019100A">
        <w:t xml:space="preserve">It encourages </w:t>
      </w:r>
      <w:r w:rsidR="005508DA">
        <w:t xml:space="preserve">patients to </w:t>
      </w:r>
      <w:r w:rsidR="005508DA" w:rsidRPr="005508DA">
        <w:t>practi</w:t>
      </w:r>
      <w:r w:rsidR="005508DA">
        <w:t>s</w:t>
      </w:r>
      <w:r w:rsidR="005508DA" w:rsidRPr="005508DA">
        <w:t xml:space="preserve">e repetitive motor tasks </w:t>
      </w:r>
      <w:r w:rsidR="0019100A">
        <w:t xml:space="preserve">by </w:t>
      </w:r>
      <w:r w:rsidR="005508DA" w:rsidRPr="005508DA">
        <w:t>playing fun</w:t>
      </w:r>
      <w:r w:rsidR="005508DA">
        <w:t xml:space="preserve">, </w:t>
      </w:r>
      <w:r w:rsidR="005508DA" w:rsidRPr="005508DA">
        <w:t>engaging and motivating computer-based games</w:t>
      </w:r>
      <w:r w:rsidR="0019100A">
        <w:t xml:space="preserve">. </w:t>
      </w:r>
    </w:p>
    <w:p w14:paraId="7CF1A60B" w14:textId="5183B3EF" w:rsidR="00B82D7D" w:rsidRDefault="00551BFA" w:rsidP="00A83A37">
      <w:pPr>
        <w:pStyle w:val="Normalfollowingheading"/>
      </w:pPr>
      <w:r>
        <w:t xml:space="preserve">Allied health therapists in regional and rural settings </w:t>
      </w:r>
      <w:r w:rsidR="0019100A">
        <w:t xml:space="preserve">are often required </w:t>
      </w:r>
      <w:r>
        <w:t xml:space="preserve">to be generalists rather than specialists, which can lead to </w:t>
      </w:r>
      <w:r w:rsidR="00F22E09">
        <w:t xml:space="preserve">significant </w:t>
      </w:r>
      <w:r>
        <w:t>variation</w:t>
      </w:r>
      <w:r w:rsidR="00F22E09">
        <w:t>s</w:t>
      </w:r>
      <w:r>
        <w:t xml:space="preserve"> in </w:t>
      </w:r>
      <w:r w:rsidR="00F22E09">
        <w:t>patient treatment</w:t>
      </w:r>
      <w:r w:rsidR="0019100A">
        <w:t xml:space="preserve">. RBT </w:t>
      </w:r>
      <w:r w:rsidR="0019100A" w:rsidRPr="0019100A">
        <w:t>reduces therapist variation by providing a consistent platform for quality, task</w:t>
      </w:r>
      <w:r w:rsidR="0019100A">
        <w:t>-</w:t>
      </w:r>
      <w:r w:rsidR="0019100A" w:rsidRPr="0019100A">
        <w:t>specific movements</w:t>
      </w:r>
      <w:r w:rsidR="00F22E09">
        <w:t xml:space="preserve">. It has also been shown to increase </w:t>
      </w:r>
      <w:r w:rsidR="0019100A" w:rsidRPr="0019100A">
        <w:t>repetition</w:t>
      </w:r>
      <w:r w:rsidR="00F22E09">
        <w:t xml:space="preserve"> and support an intensive program</w:t>
      </w:r>
      <w:r w:rsidR="0019100A">
        <w:t xml:space="preserve">, which is </w:t>
      </w:r>
      <w:r w:rsidR="00F22E09">
        <w:t xml:space="preserve">aligned with </w:t>
      </w:r>
      <w:r w:rsidR="0019100A">
        <w:t xml:space="preserve">best practice </w:t>
      </w:r>
      <w:r w:rsidR="00F22E09">
        <w:t xml:space="preserve">for </w:t>
      </w:r>
      <w:r>
        <w:t>neurological rehabilitation</w:t>
      </w:r>
      <w:r w:rsidR="00FE1F05">
        <w:t xml:space="preserve">. </w:t>
      </w:r>
    </w:p>
    <w:p w14:paraId="322214C4" w14:textId="77777777" w:rsidR="00E04D44" w:rsidRDefault="00F22E09" w:rsidP="00A83A37">
      <w:pPr>
        <w:pStyle w:val="Normalfollowingheading"/>
      </w:pPr>
      <w:r>
        <w:t>On average, Northeast Health Wangaratta (NHW) admits 220 patients with neurological injury or illness per year, with up to 77 per cent of these patients having impaired function of their upper limb.</w:t>
      </w:r>
      <w:r w:rsidR="00263C52">
        <w:t xml:space="preserve"> </w:t>
      </w:r>
    </w:p>
    <w:p w14:paraId="2F0D846B" w14:textId="77777777" w:rsidR="00E04D44" w:rsidRDefault="00263C52" w:rsidP="00A83A37">
      <w:pPr>
        <w:pStyle w:val="Normalfollowingheading"/>
      </w:pPr>
      <w:r>
        <w:t xml:space="preserve">To better serve these patients, NHW raised $350,000 through community fundraising and philanthropic grants to purchase upper-limb RBT equipment and renovate a space in which to house it. </w:t>
      </w:r>
    </w:p>
    <w:p w14:paraId="054AD738" w14:textId="54B9763D" w:rsidR="00034553" w:rsidRDefault="00263C52" w:rsidP="00A83A37">
      <w:pPr>
        <w:pStyle w:val="Normalfollowingheading"/>
      </w:pPr>
      <w:r>
        <w:t xml:space="preserve">Previously, the only </w:t>
      </w:r>
      <w:r w:rsidR="004D6D5F">
        <w:t xml:space="preserve">other </w:t>
      </w:r>
      <w:r>
        <w:t xml:space="preserve">comparable equipment was in Melbourne and it was only offered in three-week blocks, with the </w:t>
      </w:r>
      <w:r w:rsidR="004D6D5F">
        <w:t xml:space="preserve">combined </w:t>
      </w:r>
      <w:r>
        <w:t xml:space="preserve">costs of travel, accommodation and the RBT itself </w:t>
      </w:r>
      <w:r w:rsidR="004D6D5F">
        <w:t xml:space="preserve">making the program </w:t>
      </w:r>
      <w:r>
        <w:t xml:space="preserve">prohibitive for many patients. </w:t>
      </w:r>
      <w:r w:rsidR="00E04D44">
        <w:br w:type="column"/>
      </w:r>
      <w:r>
        <w:t xml:space="preserve">NWH aimed to </w:t>
      </w:r>
      <w:r w:rsidR="00F82998" w:rsidRPr="00F82998">
        <w:t>develop and implement a safe, evidence</w:t>
      </w:r>
      <w:r w:rsidR="00F22E09">
        <w:t>-</w:t>
      </w:r>
      <w:r w:rsidR="00F82998" w:rsidRPr="00F82998">
        <w:t>based</w:t>
      </w:r>
      <w:r w:rsidR="00034553">
        <w:t xml:space="preserve"> and economically viable</w:t>
      </w:r>
      <w:r w:rsidR="00F82998" w:rsidRPr="00F82998">
        <w:t xml:space="preserve"> </w:t>
      </w:r>
      <w:r w:rsidR="00F22E09">
        <w:t xml:space="preserve">model of care (MOC) </w:t>
      </w:r>
      <w:r w:rsidR="00F82998">
        <w:t xml:space="preserve">to support ongoing </w:t>
      </w:r>
      <w:r w:rsidR="00A63E9F">
        <w:t xml:space="preserve">upper-limb </w:t>
      </w:r>
      <w:r>
        <w:t xml:space="preserve">RBT </w:t>
      </w:r>
      <w:r w:rsidR="00F82998">
        <w:t xml:space="preserve">access </w:t>
      </w:r>
      <w:r>
        <w:t xml:space="preserve">for its regional and rural patients </w:t>
      </w:r>
      <w:r w:rsidR="00C2601D">
        <w:t xml:space="preserve">and increase the consistency and quality of </w:t>
      </w:r>
      <w:r>
        <w:t xml:space="preserve">their </w:t>
      </w:r>
      <w:r w:rsidR="00C2601D">
        <w:t>care</w:t>
      </w:r>
      <w:r w:rsidR="00F82998" w:rsidRPr="00F82998">
        <w:t>.</w:t>
      </w:r>
      <w:r w:rsidR="00F82998">
        <w:t xml:space="preserve"> </w:t>
      </w:r>
    </w:p>
    <w:p w14:paraId="444E5032" w14:textId="39657BCA" w:rsidR="00EC7F2A" w:rsidRPr="00C821CE" w:rsidRDefault="00C7098C" w:rsidP="00034553">
      <w:pPr>
        <w:rPr>
          <w:i/>
          <w:iCs/>
        </w:rPr>
      </w:pPr>
      <w:r w:rsidRPr="00C821CE">
        <w:rPr>
          <w:i/>
          <w:iCs/>
          <w:noProof/>
        </w:rPr>
        <mc:AlternateContent>
          <mc:Choice Requires="wps">
            <w:drawing>
              <wp:inline distT="0" distB="0" distL="0" distR="0" wp14:anchorId="7E5AC192" wp14:editId="3A1215C8">
                <wp:extent cx="3230245" cy="4533900"/>
                <wp:effectExtent l="0" t="0" r="27305"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4533900"/>
                        </a:xfrm>
                        <a:prstGeom prst="rect">
                          <a:avLst/>
                        </a:prstGeom>
                        <a:solidFill>
                          <a:srgbClr val="FEEAD2"/>
                        </a:solidFill>
                        <a:ln w="6350">
                          <a:solidFill>
                            <a:srgbClr val="FEEAD2"/>
                          </a:solidFill>
                          <a:miter lim="800000"/>
                          <a:headEnd/>
                          <a:tailEnd/>
                        </a:ln>
                      </wps:spPr>
                      <wps:txbx>
                        <w:txbxContent>
                          <w:p w14:paraId="14988FB7" w14:textId="67D7A2F0" w:rsidR="008616E2" w:rsidRPr="004D6898" w:rsidRDefault="008616E2" w:rsidP="00C7098C">
                            <w:pPr>
                              <w:pStyle w:val="PulloutHeading"/>
                            </w:pPr>
                            <w:r w:rsidRPr="00D50DDD">
                              <w:t xml:space="preserve">North </w:t>
                            </w:r>
                            <w:r w:rsidR="00A51AB9">
                              <w:t>e</w:t>
                            </w:r>
                            <w:r w:rsidRPr="00D50DDD">
                              <w:t xml:space="preserve">ast </w:t>
                            </w:r>
                            <w:r w:rsidR="00A51AB9">
                              <w:t>r</w:t>
                            </w:r>
                            <w:r w:rsidRPr="00D50DDD">
                              <w:t xml:space="preserve">obotics </w:t>
                            </w:r>
                            <w:r w:rsidR="00A51AB9">
                              <w:t>d</w:t>
                            </w:r>
                            <w:r w:rsidRPr="00D50DDD">
                              <w:t>evelopment</w:t>
                            </w:r>
                          </w:p>
                          <w:p w14:paraId="3BCE2E88" w14:textId="115E74A4" w:rsidR="008616E2" w:rsidRDefault="008616E2" w:rsidP="00C7098C">
                            <w:pPr>
                              <w:pStyle w:val="PulloutText"/>
                            </w:pPr>
                            <w:r w:rsidRPr="00186B39">
                              <w:rPr>
                                <w:b/>
                                <w:bCs/>
                              </w:rPr>
                              <w:t>Lead</w:t>
                            </w:r>
                            <w:r>
                              <w:t xml:space="preserve"> </w:t>
                            </w:r>
                            <w:r w:rsidRPr="00D50DDD">
                              <w:t>Northeast Health Wangaratta</w:t>
                            </w:r>
                          </w:p>
                          <w:p w14:paraId="6FDBE315" w14:textId="09679614" w:rsidR="008616E2" w:rsidRPr="00D50DDD" w:rsidRDefault="008616E2" w:rsidP="00D50DDD">
                            <w:pPr>
                              <w:pStyle w:val="PulloutText"/>
                            </w:pPr>
                            <w:r w:rsidRPr="00911408">
                              <w:rPr>
                                <w:b/>
                                <w:bCs/>
                              </w:rPr>
                              <w:t>Partner</w:t>
                            </w:r>
                            <w:r>
                              <w:rPr>
                                <w:b/>
                                <w:bCs/>
                              </w:rPr>
                              <w:t xml:space="preserve">s </w:t>
                            </w:r>
                            <w:bookmarkStart w:id="2" w:name="_Hlk54835143"/>
                            <w:r w:rsidRPr="00D50DDD">
                              <w:t>Charles Sturt University</w:t>
                            </w:r>
                            <w:r w:rsidR="00135FFA">
                              <w:t xml:space="preserve">, </w:t>
                            </w:r>
                            <w:r w:rsidRPr="00D50DDD">
                              <w:t>Alpha Crucis Group</w:t>
                            </w:r>
                            <w:bookmarkEnd w:id="2"/>
                          </w:p>
                          <w:p w14:paraId="59A54D14" w14:textId="70402340" w:rsidR="008616E2" w:rsidRPr="00911408" w:rsidRDefault="008616E2" w:rsidP="00C7098C">
                            <w:pPr>
                              <w:pStyle w:val="PulloutText"/>
                              <w:rPr>
                                <w:b/>
                                <w:bCs/>
                              </w:rPr>
                            </w:pPr>
                            <w:r>
                              <w:rPr>
                                <w:b/>
                                <w:bCs/>
                              </w:rPr>
                              <w:t xml:space="preserve">Duration </w:t>
                            </w:r>
                            <w:r w:rsidRPr="00D50DDD">
                              <w:t>November 2017 – November 2018</w:t>
                            </w:r>
                          </w:p>
                          <w:p w14:paraId="29DC0549" w14:textId="1348919D" w:rsidR="008616E2" w:rsidRDefault="008616E2" w:rsidP="00C7098C">
                            <w:pPr>
                              <w:pStyle w:val="PulloutText"/>
                              <w:rPr>
                                <w:b/>
                                <w:bCs/>
                              </w:rPr>
                            </w:pPr>
                            <w:r w:rsidRPr="00911408">
                              <w:rPr>
                                <w:b/>
                                <w:bCs/>
                              </w:rPr>
                              <w:t xml:space="preserve">Key </w:t>
                            </w:r>
                            <w:r>
                              <w:rPr>
                                <w:b/>
                                <w:bCs/>
                              </w:rPr>
                              <w:t>outcomes</w:t>
                            </w:r>
                          </w:p>
                          <w:p w14:paraId="48EAD8FF" w14:textId="29CE93F2" w:rsidR="008616E2" w:rsidRDefault="008616E2" w:rsidP="008616E2">
                            <w:pPr>
                              <w:pStyle w:val="Bullet1"/>
                            </w:pPr>
                            <w:r>
                              <w:t xml:space="preserve">Developed and successfully implemented a group-based MOC for upper-limb RBT, improving access for regional patients  </w:t>
                            </w:r>
                          </w:p>
                          <w:p w14:paraId="0BB00813" w14:textId="750E752A" w:rsidR="008616E2" w:rsidRDefault="008616E2" w:rsidP="008616E2">
                            <w:pPr>
                              <w:pStyle w:val="Bullet1"/>
                            </w:pPr>
                            <w:r>
                              <w:t xml:space="preserve">Achieved clinical improvements for each group under the new RBT MOC, with positive program ratings from </w:t>
                            </w:r>
                            <w:proofErr w:type="gramStart"/>
                            <w:r>
                              <w:t>the majority of</w:t>
                            </w:r>
                            <w:proofErr w:type="gramEnd"/>
                            <w:r>
                              <w:t xml:space="preserve"> participants and a low 6.8 per cent ‘did not attend’ rate </w:t>
                            </w:r>
                          </w:p>
                          <w:p w14:paraId="1A9DFA37" w14:textId="46B1CCAF" w:rsidR="008616E2" w:rsidRDefault="008616E2" w:rsidP="00E04D44">
                            <w:pPr>
                              <w:pStyle w:val="Bullet1"/>
                            </w:pPr>
                            <w:r>
                              <w:t xml:space="preserve">Increased the therapy </w:t>
                            </w:r>
                            <w:r w:rsidR="009671A7">
                              <w:t xml:space="preserve">intensity </w:t>
                            </w:r>
                            <w:r>
                              <w:t>and the number of movement repetitions per session</w:t>
                            </w:r>
                            <w:r w:rsidR="009671A7">
                              <w:t xml:space="preserve"> </w:t>
                            </w:r>
                            <w:r>
                              <w:t xml:space="preserve">in line with best practice upper-limb rehabilitation </w:t>
                            </w:r>
                          </w:p>
                          <w:p w14:paraId="2AB0BBD3" w14:textId="049D22A9" w:rsidR="008616E2" w:rsidRDefault="008616E2" w:rsidP="00E04D44">
                            <w:pPr>
                              <w:pStyle w:val="Bullet1"/>
                            </w:pPr>
                            <w:r>
                              <w:t>Increased RBT equipment utilisation by 30</w:t>
                            </w:r>
                            <w:r w:rsidR="00782B36">
                              <w:t> </w:t>
                            </w:r>
                            <w:r w:rsidRPr="00782B36">
                              <w:t>per</w:t>
                            </w:r>
                            <w:r w:rsidR="00782B36">
                              <w:t> </w:t>
                            </w:r>
                            <w:r w:rsidRPr="00782B36">
                              <w:t>cent</w:t>
                            </w:r>
                            <w:r>
                              <w:t xml:space="preserve"> </w:t>
                            </w:r>
                          </w:p>
                          <w:p w14:paraId="63778794" w14:textId="404430F0" w:rsidR="008616E2" w:rsidRPr="00911408" w:rsidRDefault="008616E2" w:rsidP="00E04D44">
                            <w:pPr>
                              <w:pStyle w:val="Bullet1"/>
                            </w:pPr>
                            <w:r>
                              <w:t>Increased the number of staff trained to deliver RBT from six to 19</w:t>
                            </w:r>
                          </w:p>
                        </w:txbxContent>
                      </wps:txbx>
                      <wps:bodyPr rot="0" vert="horz" wrap="square" lIns="180000" tIns="180000" rIns="144000" bIns="36000" anchor="t" anchorCtr="0">
                        <a:noAutofit/>
                      </wps:bodyPr>
                    </wps:wsp>
                  </a:graphicData>
                </a:graphic>
              </wp:inline>
            </w:drawing>
          </mc:Choice>
          <mc:Fallback>
            <w:pict>
              <v:shapetype w14:anchorId="7E5AC192" id="_x0000_t202" coordsize="21600,21600" o:spt="202" path="m,l,21600r21600,l21600,xe">
                <v:stroke joinstyle="miter"/>
                <v:path gradientshapeok="t" o:connecttype="rect"/>
              </v:shapetype>
              <v:shape id="Text Box 2" o:spid="_x0000_s1026" type="#_x0000_t202" style="width:254.3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" fillcolor="#feead2" strokecolor="#feead2" strokeweight=".5pt">
                <v:textbox inset="5mm,5mm,4mm,1mm">
                  <w:txbxContent>
                    <w:p w14:paraId="14988FB7" w14:textId="67D7A2F0" w:rsidR="008616E2" w:rsidRPr="004D6898" w:rsidRDefault="008616E2" w:rsidP="00C7098C">
                      <w:pPr>
                        <w:pStyle w:val="PulloutHeading"/>
                      </w:pPr>
                      <w:r w:rsidRPr="00D50DDD">
                        <w:t xml:space="preserve">North </w:t>
                      </w:r>
                      <w:r w:rsidR="00A51AB9">
                        <w:t>e</w:t>
                      </w:r>
                      <w:r w:rsidRPr="00D50DDD">
                        <w:t xml:space="preserve">ast </w:t>
                      </w:r>
                      <w:r w:rsidR="00A51AB9">
                        <w:t>r</w:t>
                      </w:r>
                      <w:r w:rsidRPr="00D50DDD">
                        <w:t xml:space="preserve">obotics </w:t>
                      </w:r>
                      <w:r w:rsidR="00A51AB9">
                        <w:t>d</w:t>
                      </w:r>
                      <w:r w:rsidRPr="00D50DDD">
                        <w:t>evelopment</w:t>
                      </w:r>
                    </w:p>
                    <w:p w14:paraId="3BCE2E88" w14:textId="115E74A4" w:rsidR="008616E2" w:rsidRDefault="008616E2" w:rsidP="00C7098C">
                      <w:pPr>
                        <w:pStyle w:val="PulloutText"/>
                      </w:pPr>
                      <w:r w:rsidRPr="00186B39">
                        <w:rPr>
                          <w:b/>
                          <w:bCs/>
                        </w:rPr>
                        <w:t>Lead</w:t>
                      </w:r>
                      <w:r>
                        <w:t xml:space="preserve"> </w:t>
                      </w:r>
                      <w:r w:rsidRPr="00D50DDD">
                        <w:t>Northeast Health Wangaratta</w:t>
                      </w:r>
                    </w:p>
                    <w:p w14:paraId="6FDBE315" w14:textId="09679614" w:rsidR="008616E2" w:rsidRPr="00D50DDD" w:rsidRDefault="008616E2" w:rsidP="00D50DDD">
                      <w:pPr>
                        <w:pStyle w:val="PulloutText"/>
                      </w:pPr>
                      <w:r w:rsidRPr="00911408">
                        <w:rPr>
                          <w:b/>
                          <w:bCs/>
                        </w:rPr>
                        <w:t>Partner</w:t>
                      </w:r>
                      <w:r>
                        <w:rPr>
                          <w:b/>
                          <w:bCs/>
                        </w:rPr>
                        <w:t xml:space="preserve">s </w:t>
                      </w:r>
                      <w:bookmarkStart w:id="3" w:name="_Hlk54835143"/>
                      <w:r w:rsidRPr="00D50DDD">
                        <w:t>Charles Sturt University</w:t>
                      </w:r>
                      <w:r w:rsidR="00135FFA">
                        <w:t xml:space="preserve">, </w:t>
                      </w:r>
                      <w:r w:rsidRPr="00D50DDD">
                        <w:t>Alpha Crucis Group</w:t>
                      </w:r>
                      <w:bookmarkEnd w:id="3"/>
                    </w:p>
                    <w:p w14:paraId="59A54D14" w14:textId="70402340" w:rsidR="008616E2" w:rsidRPr="00911408" w:rsidRDefault="008616E2" w:rsidP="00C7098C">
                      <w:pPr>
                        <w:pStyle w:val="PulloutText"/>
                        <w:rPr>
                          <w:b/>
                          <w:bCs/>
                        </w:rPr>
                      </w:pPr>
                      <w:r>
                        <w:rPr>
                          <w:b/>
                          <w:bCs/>
                        </w:rPr>
                        <w:t xml:space="preserve">Duration </w:t>
                      </w:r>
                      <w:r w:rsidRPr="00D50DDD">
                        <w:t>November 2017 – November 2018</w:t>
                      </w:r>
                    </w:p>
                    <w:p w14:paraId="29DC0549" w14:textId="1348919D" w:rsidR="008616E2" w:rsidRDefault="008616E2" w:rsidP="00C7098C">
                      <w:pPr>
                        <w:pStyle w:val="PulloutText"/>
                        <w:rPr>
                          <w:b/>
                          <w:bCs/>
                        </w:rPr>
                      </w:pPr>
                      <w:r w:rsidRPr="00911408">
                        <w:rPr>
                          <w:b/>
                          <w:bCs/>
                        </w:rPr>
                        <w:t xml:space="preserve">Key </w:t>
                      </w:r>
                      <w:r>
                        <w:rPr>
                          <w:b/>
                          <w:bCs/>
                        </w:rPr>
                        <w:t>outcomes</w:t>
                      </w:r>
                    </w:p>
                    <w:p w14:paraId="48EAD8FF" w14:textId="29CE93F2" w:rsidR="008616E2" w:rsidRDefault="008616E2" w:rsidP="008616E2">
                      <w:pPr>
                        <w:pStyle w:val="Bullet1"/>
                      </w:pPr>
                      <w:r>
                        <w:t xml:space="preserve">Developed and successfully implemented a group-based MOC for upper-limb RBT, improving access for regional patients  </w:t>
                      </w:r>
                    </w:p>
                    <w:p w14:paraId="0BB00813" w14:textId="750E752A" w:rsidR="008616E2" w:rsidRDefault="008616E2" w:rsidP="008616E2">
                      <w:pPr>
                        <w:pStyle w:val="Bullet1"/>
                      </w:pPr>
                      <w:r>
                        <w:t xml:space="preserve">Achieved clinical improvements for each group under the new RBT MOC, with positive program ratings from </w:t>
                      </w:r>
                      <w:proofErr w:type="gramStart"/>
                      <w:r>
                        <w:t>the majority of</w:t>
                      </w:r>
                      <w:proofErr w:type="gramEnd"/>
                      <w:r>
                        <w:t xml:space="preserve"> participants and a low 6.8 per cent ‘did not attend’ rate </w:t>
                      </w:r>
                    </w:p>
                    <w:p w14:paraId="1A9DFA37" w14:textId="46B1CCAF" w:rsidR="008616E2" w:rsidRDefault="008616E2" w:rsidP="00E04D44">
                      <w:pPr>
                        <w:pStyle w:val="Bullet1"/>
                      </w:pPr>
                      <w:r>
                        <w:t xml:space="preserve">Increased the therapy </w:t>
                      </w:r>
                      <w:r w:rsidR="009671A7">
                        <w:t xml:space="preserve">intensity </w:t>
                      </w:r>
                      <w:r>
                        <w:t>and the number of movement repetitions per session</w:t>
                      </w:r>
                      <w:r w:rsidR="009671A7">
                        <w:t xml:space="preserve"> </w:t>
                      </w:r>
                      <w:r>
                        <w:t xml:space="preserve">in line with best practice upper-limb rehabilitation </w:t>
                      </w:r>
                    </w:p>
                    <w:p w14:paraId="2AB0BBD3" w14:textId="049D22A9" w:rsidR="008616E2" w:rsidRDefault="008616E2" w:rsidP="00E04D44">
                      <w:pPr>
                        <w:pStyle w:val="Bullet1"/>
                      </w:pPr>
                      <w:r>
                        <w:t>Increased RBT equipment utilisation by 30</w:t>
                      </w:r>
                      <w:r w:rsidR="00782B36">
                        <w:t> </w:t>
                      </w:r>
                      <w:r w:rsidRPr="00782B36">
                        <w:t>per</w:t>
                      </w:r>
                      <w:r w:rsidR="00782B36">
                        <w:t> </w:t>
                      </w:r>
                      <w:r w:rsidRPr="00782B36">
                        <w:t>cent</w:t>
                      </w:r>
                      <w:r>
                        <w:t xml:space="preserve"> </w:t>
                      </w:r>
                    </w:p>
                    <w:p w14:paraId="63778794" w14:textId="404430F0" w:rsidR="008616E2" w:rsidRPr="00911408" w:rsidRDefault="008616E2" w:rsidP="00E04D44">
                      <w:pPr>
                        <w:pStyle w:val="Bullet1"/>
                      </w:pPr>
                      <w:r>
                        <w:t>Increased the number of staff trained to deliver RBT from six to 19</w:t>
                      </w:r>
                    </w:p>
                  </w:txbxContent>
                </v:textbox>
                <w10:anchorlock/>
              </v:shape>
            </w:pict>
          </mc:Fallback>
        </mc:AlternateContent>
      </w:r>
    </w:p>
    <w:p w14:paraId="3DA60E98" w14:textId="187847C4" w:rsidR="00794CB7" w:rsidRDefault="00E41D82" w:rsidP="0038586C">
      <w:pPr>
        <w:pStyle w:val="Heading2"/>
      </w:pPr>
      <w:r>
        <w:br w:type="page"/>
      </w:r>
      <w:r w:rsidR="00E81693">
        <w:lastRenderedPageBreak/>
        <w:t>Key activity</w:t>
      </w:r>
    </w:p>
    <w:p w14:paraId="69380CAD" w14:textId="580344E0" w:rsidR="00A83A37" w:rsidRDefault="00A83A37" w:rsidP="008616E2">
      <w:pPr>
        <w:pStyle w:val="Bullet1"/>
      </w:pPr>
      <w:r>
        <w:t>D</w:t>
      </w:r>
      <w:r w:rsidR="00A63E9F" w:rsidRPr="00096B71">
        <w:t>evelop</w:t>
      </w:r>
      <w:r>
        <w:t xml:space="preserve">ed </w:t>
      </w:r>
      <w:r w:rsidR="00A63E9F" w:rsidRPr="00096B71">
        <w:t xml:space="preserve">and </w:t>
      </w:r>
      <w:r w:rsidR="00515CBC">
        <w:t>implement</w:t>
      </w:r>
      <w:r>
        <w:t>ed</w:t>
      </w:r>
      <w:r w:rsidR="00A63E9F" w:rsidRPr="00096B71">
        <w:t xml:space="preserve"> an RBT MOC</w:t>
      </w:r>
      <w:r w:rsidR="00F17761">
        <w:t xml:space="preserve"> </w:t>
      </w:r>
      <w:r w:rsidR="00515CBC">
        <w:t xml:space="preserve">suited to </w:t>
      </w:r>
      <w:r w:rsidR="00E04D44">
        <w:t>a regional health service</w:t>
      </w:r>
      <w:r>
        <w:t xml:space="preserve"> after visiting </w:t>
      </w:r>
      <w:r w:rsidRPr="00096B71">
        <w:t xml:space="preserve">the Hand Hub at </w:t>
      </w:r>
      <w:r>
        <w:t>T</w:t>
      </w:r>
      <w:r w:rsidRPr="00096B71">
        <w:t xml:space="preserve">he Royal Melbourne Hospital to </w:t>
      </w:r>
      <w:r>
        <w:t xml:space="preserve">learn from the </w:t>
      </w:r>
      <w:r w:rsidRPr="00096B71">
        <w:t xml:space="preserve">established RBT service’s </w:t>
      </w:r>
      <w:proofErr w:type="gramStart"/>
      <w:r w:rsidRPr="00096B71">
        <w:t>group-based</w:t>
      </w:r>
      <w:proofErr w:type="gramEnd"/>
      <w:r w:rsidRPr="00096B71">
        <w:t xml:space="preserve"> MOC</w:t>
      </w:r>
      <w:r w:rsidR="00E04D44">
        <w:t>.</w:t>
      </w:r>
    </w:p>
    <w:p w14:paraId="69F7866C" w14:textId="061C7EAB" w:rsidR="004174C8" w:rsidRDefault="00E04D44" w:rsidP="00A83A37">
      <w:pPr>
        <w:pStyle w:val="Bullet1"/>
        <w:numPr>
          <w:ilvl w:val="0"/>
          <w:numId w:val="0"/>
        </w:numPr>
        <w:ind w:left="284"/>
      </w:pPr>
      <w:r>
        <w:t xml:space="preserve">The MOC </w:t>
      </w:r>
      <w:r w:rsidR="00F17761">
        <w:t xml:space="preserve">involved a </w:t>
      </w:r>
      <w:r w:rsidR="00A63E9F" w:rsidRPr="00096B71">
        <w:t xml:space="preserve">combination of qualified allied health professionals (physiotherapists and occupational therapists) and allied health assistants </w:t>
      </w:r>
      <w:r w:rsidR="00F17761">
        <w:t>delivering</w:t>
      </w:r>
      <w:r w:rsidR="00A63E9F" w:rsidRPr="00096B71">
        <w:t xml:space="preserve"> RBT </w:t>
      </w:r>
      <w:r w:rsidR="00F17761">
        <w:t xml:space="preserve">to groups of three to five patients </w:t>
      </w:r>
      <w:r w:rsidR="00A63E9F" w:rsidRPr="00096B71">
        <w:t>in six-week blocks. Patients attended three times per week for 90-minute sessions</w:t>
      </w:r>
      <w:r w:rsidR="00F17761">
        <w:t>, and a</w:t>
      </w:r>
      <w:r w:rsidR="00A63E9F" w:rsidRPr="00096B71">
        <w:t xml:space="preserve"> home exercise program was provided to all participants. </w:t>
      </w:r>
      <w:r w:rsidR="004174C8">
        <w:t xml:space="preserve">See </w:t>
      </w:r>
      <w:r w:rsidR="00A83A37">
        <w:t>Table</w:t>
      </w:r>
      <w:r w:rsidR="004174C8">
        <w:t xml:space="preserve"> 1 for a comparison </w:t>
      </w:r>
      <w:r w:rsidR="00515CBC">
        <w:t xml:space="preserve">of the RBT MOC </w:t>
      </w:r>
      <w:r w:rsidR="004174C8">
        <w:t xml:space="preserve">against the </w:t>
      </w:r>
      <w:r w:rsidR="00F746D8">
        <w:t>‘</w:t>
      </w:r>
      <w:r w:rsidR="004174C8">
        <w:t>usual care</w:t>
      </w:r>
      <w:r w:rsidR="00F746D8">
        <w:t>’</w:t>
      </w:r>
      <w:r w:rsidR="004174C8">
        <w:t xml:space="preserve"> </w:t>
      </w:r>
      <w:r w:rsidR="00F746D8">
        <w:t xml:space="preserve">delivered </w:t>
      </w:r>
      <w:r w:rsidR="004174C8">
        <w:t>through the standard MOC.</w:t>
      </w:r>
    </w:p>
    <w:p w14:paraId="659BB463" w14:textId="63A85AA9" w:rsidR="00096B71" w:rsidRDefault="00096B71" w:rsidP="004174C8">
      <w:pPr>
        <w:pStyle w:val="Bullet1"/>
      </w:pPr>
      <w:r>
        <w:t xml:space="preserve">Delivered workshops and education sessions in both small groups and individual sessions to increase staff competence and confidence in using the RBT equipment. </w:t>
      </w:r>
      <w:r w:rsidR="004174C8">
        <w:t xml:space="preserve">Also developed an education package, including </w:t>
      </w:r>
      <w:r>
        <w:t xml:space="preserve">a video on </w:t>
      </w:r>
      <w:r w:rsidR="00F17761">
        <w:t xml:space="preserve">the </w:t>
      </w:r>
      <w:r>
        <w:t xml:space="preserve">setup and use </w:t>
      </w:r>
      <w:r w:rsidR="00F17761">
        <w:t xml:space="preserve">of </w:t>
      </w:r>
      <w:r>
        <w:t xml:space="preserve">the RBT equipment, guidelines </w:t>
      </w:r>
      <w:r w:rsidR="00F17761">
        <w:t xml:space="preserve">on how to use </w:t>
      </w:r>
      <w:r>
        <w:t xml:space="preserve">the assessment tools, and a checklist for </w:t>
      </w:r>
      <w:r w:rsidR="004174C8">
        <w:t xml:space="preserve">new </w:t>
      </w:r>
      <w:r>
        <w:t xml:space="preserve">staff moving into the </w:t>
      </w:r>
      <w:r w:rsidR="00F17761">
        <w:t xml:space="preserve">RBT </w:t>
      </w:r>
      <w:r>
        <w:t>program.</w:t>
      </w:r>
      <w:r w:rsidR="00A77E9B">
        <w:t xml:space="preserve"> </w:t>
      </w:r>
    </w:p>
    <w:p w14:paraId="2BC3E5EE" w14:textId="1C54660D" w:rsidR="00F17761" w:rsidRDefault="00F17761" w:rsidP="00F17761">
      <w:pPr>
        <w:pStyle w:val="Bullet1"/>
      </w:pPr>
      <w:r>
        <w:t xml:space="preserve">Conducted an interim evaluation and revised the MOC in response to feedback and data collected. </w:t>
      </w:r>
      <w:r w:rsidR="004174C8">
        <w:t xml:space="preserve">This information </w:t>
      </w:r>
      <w:r>
        <w:t>also informed how</w:t>
      </w:r>
      <w:r w:rsidR="004174C8">
        <w:t xml:space="preserve"> the</w:t>
      </w:r>
      <w:r>
        <w:t xml:space="preserve"> </w:t>
      </w:r>
      <w:r w:rsidR="004174C8">
        <w:t xml:space="preserve">education </w:t>
      </w:r>
      <w:r>
        <w:t xml:space="preserve">program </w:t>
      </w:r>
      <w:r w:rsidR="004174C8">
        <w:t xml:space="preserve">could be tailored </w:t>
      </w:r>
      <w:r>
        <w:t xml:space="preserve">to </w:t>
      </w:r>
      <w:r w:rsidR="004174C8">
        <w:t xml:space="preserve">better </w:t>
      </w:r>
      <w:r>
        <w:t xml:space="preserve">meet staff needs. </w:t>
      </w:r>
    </w:p>
    <w:p w14:paraId="20A191F1" w14:textId="071E9A9B" w:rsidR="004221CD" w:rsidRDefault="00A83A37" w:rsidP="004221CD">
      <w:pPr>
        <w:pStyle w:val="Tablechartdiagramheading"/>
      </w:pPr>
      <w:r>
        <w:t xml:space="preserve">Table </w:t>
      </w:r>
      <w:r w:rsidR="004221CD">
        <w:t xml:space="preserve">1. Comparison of standard upper-limb MOC </w:t>
      </w:r>
      <w:r w:rsidR="00BF75FC">
        <w:t xml:space="preserve">and </w:t>
      </w:r>
      <w:r w:rsidR="004221CD">
        <w:t xml:space="preserve">group-based </w:t>
      </w:r>
      <w:r w:rsidR="00515CBC">
        <w:t xml:space="preserve">upper-limb </w:t>
      </w:r>
      <w:r w:rsidR="004174C8">
        <w:t>RBT</w:t>
      </w:r>
      <w:r w:rsidR="004221CD">
        <w:t xml:space="preserve"> MOC</w:t>
      </w:r>
    </w:p>
    <w:tbl>
      <w:tblPr>
        <w:tblStyle w:val="TableGrid"/>
        <w:tblW w:w="5103" w:type="dxa"/>
        <w:tblLayout w:type="fixed"/>
        <w:tblLook w:val="0420" w:firstRow="1" w:lastRow="0" w:firstColumn="0" w:lastColumn="0" w:noHBand="0" w:noVBand="1"/>
      </w:tblPr>
      <w:tblGrid>
        <w:gridCol w:w="2551"/>
        <w:gridCol w:w="2552"/>
      </w:tblGrid>
      <w:tr w:rsidR="004221CD" w:rsidRPr="0036695F" w14:paraId="58AFF252" w14:textId="77777777" w:rsidTr="004174C8">
        <w:trPr>
          <w:cnfStyle w:val="100000000000" w:firstRow="1" w:lastRow="0" w:firstColumn="0" w:lastColumn="0" w:oddVBand="0" w:evenVBand="0" w:oddHBand="0" w:evenHBand="0" w:firstRowFirstColumn="0" w:firstRowLastColumn="0" w:lastRowFirstColumn="0" w:lastRowLastColumn="0"/>
          <w:trHeight w:val="300"/>
        </w:trPr>
        <w:tc>
          <w:tcPr>
            <w:tcW w:w="2551" w:type="dxa"/>
            <w:noWrap/>
            <w:hideMark/>
          </w:tcPr>
          <w:p w14:paraId="71689E51" w14:textId="4CAB0200" w:rsidR="004221CD" w:rsidRPr="0036695F" w:rsidRDefault="004221CD" w:rsidP="008616E2">
            <w:pPr>
              <w:spacing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 xml:space="preserve">Standard </w:t>
            </w:r>
            <w:r w:rsidR="004174C8" w:rsidRPr="0036695F">
              <w:rPr>
                <w:rFonts w:ascii="Arial" w:eastAsia="Times New Roman" w:hAnsi="Arial" w:cs="Arial"/>
                <w:color w:val="000000"/>
                <w:sz w:val="20"/>
                <w:szCs w:val="20"/>
              </w:rPr>
              <w:t>MOC</w:t>
            </w:r>
          </w:p>
        </w:tc>
        <w:tc>
          <w:tcPr>
            <w:tcW w:w="2552" w:type="dxa"/>
            <w:noWrap/>
            <w:hideMark/>
          </w:tcPr>
          <w:p w14:paraId="558E8C79" w14:textId="7D3B28DD" w:rsidR="004221CD" w:rsidRPr="0036695F" w:rsidRDefault="004174C8" w:rsidP="008616E2">
            <w:pPr>
              <w:spacing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Group-based RBT MOC</w:t>
            </w:r>
          </w:p>
        </w:tc>
      </w:tr>
      <w:tr w:rsidR="004221CD" w:rsidRPr="0036695F" w14:paraId="6EDEBA70" w14:textId="77777777" w:rsidTr="004174C8">
        <w:trPr>
          <w:trHeight w:val="300"/>
        </w:trPr>
        <w:tc>
          <w:tcPr>
            <w:tcW w:w="2551" w:type="dxa"/>
            <w:noWrap/>
            <w:hideMark/>
          </w:tcPr>
          <w:p w14:paraId="70F010FF" w14:textId="16EBFDCA"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30</w:t>
            </w:r>
            <w:r w:rsidR="004174C8" w:rsidRPr="0036695F">
              <w:rPr>
                <w:rFonts w:ascii="Arial" w:eastAsia="Times New Roman" w:hAnsi="Arial" w:cs="Arial"/>
                <w:color w:val="000000"/>
                <w:sz w:val="20"/>
                <w:szCs w:val="20"/>
              </w:rPr>
              <w:t>-</w:t>
            </w:r>
            <w:r w:rsidRPr="0036695F">
              <w:rPr>
                <w:rFonts w:ascii="Arial" w:eastAsia="Times New Roman" w:hAnsi="Arial" w:cs="Arial"/>
                <w:color w:val="000000"/>
                <w:sz w:val="20"/>
                <w:szCs w:val="20"/>
              </w:rPr>
              <w:t xml:space="preserve"> or 60</w:t>
            </w:r>
            <w:r w:rsidR="004174C8" w:rsidRPr="0036695F">
              <w:rPr>
                <w:rFonts w:ascii="Arial" w:eastAsia="Times New Roman" w:hAnsi="Arial" w:cs="Arial"/>
                <w:color w:val="000000"/>
                <w:sz w:val="20"/>
                <w:szCs w:val="20"/>
              </w:rPr>
              <w:t>-</w:t>
            </w:r>
            <w:r w:rsidRPr="0036695F">
              <w:rPr>
                <w:rFonts w:ascii="Arial" w:eastAsia="Times New Roman" w:hAnsi="Arial" w:cs="Arial"/>
                <w:color w:val="000000"/>
                <w:sz w:val="20"/>
                <w:szCs w:val="20"/>
              </w:rPr>
              <w:t>minute sessions</w:t>
            </w:r>
          </w:p>
        </w:tc>
        <w:tc>
          <w:tcPr>
            <w:tcW w:w="2552" w:type="dxa"/>
            <w:noWrap/>
            <w:hideMark/>
          </w:tcPr>
          <w:p w14:paraId="44C90557" w14:textId="578F9C60"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90</w:t>
            </w:r>
            <w:r w:rsidR="004174C8" w:rsidRPr="0036695F">
              <w:rPr>
                <w:rFonts w:ascii="Arial" w:eastAsia="Times New Roman" w:hAnsi="Arial" w:cs="Arial"/>
                <w:color w:val="000000"/>
                <w:sz w:val="20"/>
                <w:szCs w:val="20"/>
              </w:rPr>
              <w:t>-</w:t>
            </w:r>
            <w:r w:rsidRPr="0036695F">
              <w:rPr>
                <w:rFonts w:ascii="Arial" w:eastAsia="Times New Roman" w:hAnsi="Arial" w:cs="Arial"/>
                <w:color w:val="000000"/>
                <w:sz w:val="20"/>
                <w:szCs w:val="20"/>
              </w:rPr>
              <w:t>minute session (60 minutes spent ‘on robotics’ and 30 minutes ‘off robotics’, working on functional tasks)</w:t>
            </w:r>
          </w:p>
        </w:tc>
      </w:tr>
      <w:tr w:rsidR="004221CD" w:rsidRPr="0036695F" w14:paraId="1754A1DE" w14:textId="77777777" w:rsidTr="004174C8">
        <w:trPr>
          <w:trHeight w:val="300"/>
        </w:trPr>
        <w:tc>
          <w:tcPr>
            <w:tcW w:w="2551" w:type="dxa"/>
            <w:noWrap/>
            <w:hideMark/>
          </w:tcPr>
          <w:p w14:paraId="71A340BD" w14:textId="77777777"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1 or 2 sessions per week</w:t>
            </w:r>
          </w:p>
        </w:tc>
        <w:tc>
          <w:tcPr>
            <w:tcW w:w="2552" w:type="dxa"/>
            <w:noWrap/>
            <w:hideMark/>
          </w:tcPr>
          <w:p w14:paraId="1EF77BC9" w14:textId="77777777"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3 sessions per week</w:t>
            </w:r>
          </w:p>
        </w:tc>
      </w:tr>
      <w:tr w:rsidR="004221CD" w:rsidRPr="0036695F" w14:paraId="107352AE" w14:textId="77777777" w:rsidTr="004174C8">
        <w:trPr>
          <w:trHeight w:val="300"/>
        </w:trPr>
        <w:tc>
          <w:tcPr>
            <w:tcW w:w="2551" w:type="dxa"/>
            <w:noWrap/>
            <w:hideMark/>
          </w:tcPr>
          <w:p w14:paraId="24D27EF1" w14:textId="77777777"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No formal timeframe</w:t>
            </w:r>
          </w:p>
        </w:tc>
        <w:tc>
          <w:tcPr>
            <w:tcW w:w="2552" w:type="dxa"/>
            <w:noWrap/>
            <w:hideMark/>
          </w:tcPr>
          <w:p w14:paraId="3A5CAD5B" w14:textId="675A1A93"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6</w:t>
            </w:r>
            <w:r w:rsidR="004174C8" w:rsidRPr="0036695F">
              <w:rPr>
                <w:rFonts w:ascii="Arial" w:eastAsia="Times New Roman" w:hAnsi="Arial" w:cs="Arial"/>
                <w:color w:val="000000"/>
                <w:sz w:val="20"/>
                <w:szCs w:val="20"/>
              </w:rPr>
              <w:t>-</w:t>
            </w:r>
            <w:r w:rsidRPr="0036695F">
              <w:rPr>
                <w:rFonts w:ascii="Arial" w:eastAsia="Times New Roman" w:hAnsi="Arial" w:cs="Arial"/>
                <w:color w:val="000000"/>
                <w:sz w:val="20"/>
                <w:szCs w:val="20"/>
              </w:rPr>
              <w:t>week block</w:t>
            </w:r>
          </w:p>
        </w:tc>
      </w:tr>
      <w:tr w:rsidR="004221CD" w:rsidRPr="0036695F" w14:paraId="4A4A2060" w14:textId="77777777" w:rsidTr="004174C8">
        <w:trPr>
          <w:trHeight w:val="300"/>
        </w:trPr>
        <w:tc>
          <w:tcPr>
            <w:tcW w:w="2551" w:type="dxa"/>
            <w:noWrap/>
            <w:hideMark/>
          </w:tcPr>
          <w:p w14:paraId="33378FCA" w14:textId="4251725F"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Inconsistent assessments at variable</w:t>
            </w:r>
            <w:r w:rsidR="004174C8" w:rsidRPr="0036695F">
              <w:rPr>
                <w:rFonts w:ascii="Arial" w:eastAsia="Times New Roman" w:hAnsi="Arial" w:cs="Arial"/>
                <w:color w:val="000000"/>
                <w:sz w:val="20"/>
                <w:szCs w:val="20"/>
              </w:rPr>
              <w:t xml:space="preserve"> intervals</w:t>
            </w:r>
          </w:p>
        </w:tc>
        <w:tc>
          <w:tcPr>
            <w:tcW w:w="2552" w:type="dxa"/>
            <w:noWrap/>
            <w:hideMark/>
          </w:tcPr>
          <w:p w14:paraId="75940329" w14:textId="39B27975"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 xml:space="preserve">Consistent standardised assessments </w:t>
            </w:r>
            <w:r w:rsidR="004174C8" w:rsidRPr="0036695F">
              <w:rPr>
                <w:rFonts w:ascii="Arial" w:eastAsia="Times New Roman" w:hAnsi="Arial" w:cs="Arial"/>
                <w:color w:val="000000"/>
                <w:sz w:val="20"/>
                <w:szCs w:val="20"/>
              </w:rPr>
              <w:t xml:space="preserve">at pre- and post-group </w:t>
            </w:r>
            <w:r w:rsidRPr="0036695F">
              <w:rPr>
                <w:rFonts w:ascii="Arial" w:eastAsia="Times New Roman" w:hAnsi="Arial" w:cs="Arial"/>
                <w:color w:val="000000"/>
                <w:sz w:val="20"/>
                <w:szCs w:val="20"/>
              </w:rPr>
              <w:t>intervals</w:t>
            </w:r>
          </w:p>
        </w:tc>
      </w:tr>
      <w:tr w:rsidR="004221CD" w:rsidRPr="0036695F" w14:paraId="27296EF5" w14:textId="77777777" w:rsidTr="004174C8">
        <w:trPr>
          <w:trHeight w:val="300"/>
        </w:trPr>
        <w:tc>
          <w:tcPr>
            <w:tcW w:w="2551" w:type="dxa"/>
            <w:noWrap/>
            <w:hideMark/>
          </w:tcPr>
          <w:p w14:paraId="18C8CCAF" w14:textId="30F843ED"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 xml:space="preserve">1:1 </w:t>
            </w:r>
            <w:r w:rsidR="004174C8" w:rsidRPr="0036695F">
              <w:rPr>
                <w:rFonts w:ascii="Arial" w:eastAsia="Times New Roman" w:hAnsi="Arial" w:cs="Arial"/>
                <w:color w:val="000000"/>
                <w:sz w:val="20"/>
                <w:szCs w:val="20"/>
              </w:rPr>
              <w:t>staff</w:t>
            </w:r>
            <w:r w:rsidRPr="0036695F">
              <w:rPr>
                <w:rFonts w:ascii="Arial" w:eastAsia="Times New Roman" w:hAnsi="Arial" w:cs="Arial"/>
                <w:color w:val="000000"/>
                <w:sz w:val="20"/>
                <w:szCs w:val="20"/>
              </w:rPr>
              <w:t>/patient ratio</w:t>
            </w:r>
          </w:p>
        </w:tc>
        <w:tc>
          <w:tcPr>
            <w:tcW w:w="2552" w:type="dxa"/>
            <w:noWrap/>
            <w:hideMark/>
          </w:tcPr>
          <w:p w14:paraId="6A6105D3" w14:textId="4AA65202"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2:</w:t>
            </w:r>
            <w:r w:rsidR="00515CBC">
              <w:rPr>
                <w:rFonts w:ascii="Arial" w:eastAsia="Times New Roman" w:hAnsi="Arial" w:cs="Arial"/>
                <w:color w:val="000000"/>
                <w:sz w:val="20"/>
                <w:szCs w:val="20"/>
              </w:rPr>
              <w:t>3</w:t>
            </w:r>
            <w:r w:rsidR="004174C8" w:rsidRPr="0036695F">
              <w:rPr>
                <w:rFonts w:ascii="Arial" w:eastAsia="Times New Roman" w:hAnsi="Arial" w:cs="Arial"/>
                <w:color w:val="000000"/>
                <w:sz w:val="20"/>
                <w:szCs w:val="20"/>
              </w:rPr>
              <w:t>–</w:t>
            </w:r>
            <w:r w:rsidRPr="0036695F">
              <w:rPr>
                <w:rFonts w:ascii="Arial" w:eastAsia="Times New Roman" w:hAnsi="Arial" w:cs="Arial"/>
                <w:color w:val="000000"/>
                <w:sz w:val="20"/>
                <w:szCs w:val="20"/>
              </w:rPr>
              <w:t>5 staff/patient ratio</w:t>
            </w:r>
          </w:p>
        </w:tc>
      </w:tr>
      <w:tr w:rsidR="004221CD" w:rsidRPr="0036695F" w14:paraId="474CC085" w14:textId="77777777" w:rsidTr="004174C8">
        <w:trPr>
          <w:trHeight w:val="300"/>
        </w:trPr>
        <w:tc>
          <w:tcPr>
            <w:tcW w:w="2551" w:type="dxa"/>
            <w:noWrap/>
            <w:hideMark/>
          </w:tcPr>
          <w:p w14:paraId="7B9277C7" w14:textId="79B7AE47"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39 repetitions of movement achieved</w:t>
            </w:r>
            <w:r w:rsidR="0036695F" w:rsidRPr="0036695F">
              <w:rPr>
                <w:rFonts w:ascii="Arial" w:eastAsia="Times New Roman" w:hAnsi="Arial" w:cs="Arial"/>
                <w:color w:val="000000"/>
                <w:sz w:val="20"/>
                <w:szCs w:val="20"/>
              </w:rPr>
              <w:t xml:space="preserve"> per session</w:t>
            </w:r>
          </w:p>
        </w:tc>
        <w:tc>
          <w:tcPr>
            <w:tcW w:w="2552" w:type="dxa"/>
            <w:noWrap/>
            <w:hideMark/>
          </w:tcPr>
          <w:p w14:paraId="3D0A1823" w14:textId="3FB05B3F" w:rsidR="004221CD" w:rsidRPr="0036695F" w:rsidRDefault="004221CD" w:rsidP="008616E2">
            <w:pPr>
              <w:spacing w:before="0" w:after="0" w:line="240" w:lineRule="auto"/>
              <w:rPr>
                <w:rFonts w:ascii="Arial" w:eastAsia="Times New Roman" w:hAnsi="Arial" w:cs="Arial"/>
                <w:color w:val="000000"/>
                <w:sz w:val="20"/>
                <w:szCs w:val="20"/>
              </w:rPr>
            </w:pPr>
            <w:r w:rsidRPr="0036695F">
              <w:rPr>
                <w:rFonts w:ascii="Arial" w:eastAsia="Times New Roman" w:hAnsi="Arial" w:cs="Arial"/>
                <w:color w:val="000000"/>
                <w:sz w:val="20"/>
                <w:szCs w:val="20"/>
              </w:rPr>
              <w:t>300</w:t>
            </w:r>
            <w:r w:rsidR="00F746D8">
              <w:rPr>
                <w:rFonts w:ascii="Arial" w:eastAsia="Times New Roman" w:hAnsi="Arial" w:cs="Arial"/>
                <w:color w:val="000000"/>
                <w:sz w:val="20"/>
                <w:szCs w:val="20"/>
              </w:rPr>
              <w:t xml:space="preserve">+ </w:t>
            </w:r>
            <w:r w:rsidRPr="0036695F">
              <w:rPr>
                <w:rFonts w:ascii="Arial" w:eastAsia="Times New Roman" w:hAnsi="Arial" w:cs="Arial"/>
                <w:color w:val="000000"/>
                <w:sz w:val="20"/>
                <w:szCs w:val="20"/>
              </w:rPr>
              <w:t>repetitions of movement achieved per session</w:t>
            </w:r>
          </w:p>
        </w:tc>
      </w:tr>
    </w:tbl>
    <w:p w14:paraId="1465983E" w14:textId="77777777" w:rsidR="00FE267D" w:rsidRDefault="00FE267D" w:rsidP="00FE267D">
      <w:pPr>
        <w:pStyle w:val="Bullet1"/>
        <w:numPr>
          <w:ilvl w:val="0"/>
          <w:numId w:val="0"/>
        </w:numPr>
        <w:ind w:left="284" w:hanging="284"/>
      </w:pPr>
      <w:r>
        <w:rPr>
          <w:noProof/>
        </w:rPr>
        <w:drawing>
          <wp:inline distT="0" distB="0" distL="0" distR="0" wp14:anchorId="24191FE5" wp14:editId="4D5DF7BC">
            <wp:extent cx="3209925" cy="1871961"/>
            <wp:effectExtent l="0" t="0" r="0" b="0"/>
            <wp:docPr id="5" name="Picture 5" descr="A man playing a computer-based RBT game that involves rolling a ball towards a target by guiding a controller with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oman playing an RBT computer-based game that involves moving her hand to catch falling apples from a tree"/>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29517" cy="1883387"/>
                    </a:xfrm>
                    <a:prstGeom prst="rect">
                      <a:avLst/>
                    </a:prstGeom>
                  </pic:spPr>
                </pic:pic>
              </a:graphicData>
            </a:graphic>
          </wp:inline>
        </w:drawing>
      </w:r>
    </w:p>
    <w:p w14:paraId="4DCFB341" w14:textId="77EFCE20" w:rsidR="002B5C34" w:rsidRPr="00F80A39" w:rsidRDefault="00096B71" w:rsidP="00096B71">
      <w:pPr>
        <w:pStyle w:val="Heading2"/>
      </w:pPr>
      <w:r>
        <w:t>O</w:t>
      </w:r>
      <w:r w:rsidR="009B1BBA" w:rsidRPr="00F80A39">
        <w:t>utcomes</w:t>
      </w:r>
    </w:p>
    <w:p w14:paraId="40AFD209" w14:textId="70AF2542" w:rsidR="00096B71" w:rsidRDefault="006D366F" w:rsidP="008616E2">
      <w:pPr>
        <w:pStyle w:val="Bullet1"/>
      </w:pPr>
      <w:r>
        <w:t>S</w:t>
      </w:r>
      <w:r w:rsidR="00F17761">
        <w:t xml:space="preserve">uccessfully implemented </w:t>
      </w:r>
      <w:r w:rsidR="004221CD">
        <w:t xml:space="preserve">the new </w:t>
      </w:r>
      <w:r w:rsidR="00895D65">
        <w:t xml:space="preserve">RBT </w:t>
      </w:r>
      <w:r w:rsidR="004221CD">
        <w:t xml:space="preserve">MOC </w:t>
      </w:r>
      <w:r w:rsidR="00F17761">
        <w:t xml:space="preserve">in </w:t>
      </w:r>
      <w:r w:rsidR="00F17761" w:rsidRPr="00F17761">
        <w:t>an existing regional sub-acute community service</w:t>
      </w:r>
      <w:r w:rsidR="004221CD">
        <w:t xml:space="preserve">, </w:t>
      </w:r>
      <w:r w:rsidR="00E04D44">
        <w:t>improving</w:t>
      </w:r>
      <w:r w:rsidR="0083362E">
        <w:t xml:space="preserve"> access </w:t>
      </w:r>
      <w:r w:rsidR="008554BE">
        <w:t xml:space="preserve">for </w:t>
      </w:r>
      <w:r w:rsidR="0083362E">
        <w:t xml:space="preserve">regional patients. NHW ran </w:t>
      </w:r>
      <w:r w:rsidR="004221CD">
        <w:t xml:space="preserve">six groups </w:t>
      </w:r>
      <w:r w:rsidR="0083362E">
        <w:t xml:space="preserve">under the RBT MOC </w:t>
      </w:r>
      <w:r w:rsidR="004221CD">
        <w:t>during the project period</w:t>
      </w:r>
      <w:r w:rsidR="0083362E">
        <w:t xml:space="preserve">, delivering </w:t>
      </w:r>
      <w:r w:rsidR="004221CD">
        <w:t>20 episodes of care to 14 patients</w:t>
      </w:r>
      <w:r w:rsidR="00F17761">
        <w:t>.</w:t>
      </w:r>
      <w:r w:rsidR="004221CD">
        <w:t xml:space="preserve"> </w:t>
      </w:r>
    </w:p>
    <w:p w14:paraId="669AE9DD" w14:textId="6AB39B24" w:rsidR="000E6C1F" w:rsidRPr="00776E2C" w:rsidRDefault="008554BE" w:rsidP="008616E2">
      <w:pPr>
        <w:pStyle w:val="Bullet1"/>
      </w:pPr>
      <w:r w:rsidRPr="00776E2C">
        <w:t>Achieved clinical improvements for each group, suggesting that an RBT MOC does not disadvantage patients compared to usual care.</w:t>
      </w:r>
    </w:p>
    <w:p w14:paraId="12B80CCC" w14:textId="1AA974A4" w:rsidR="000E6C1F" w:rsidRPr="00776E2C" w:rsidRDefault="000E6C1F" w:rsidP="008616E2">
      <w:pPr>
        <w:pStyle w:val="Bullet1"/>
      </w:pPr>
      <w:r w:rsidRPr="00776E2C">
        <w:t>Ensured consistency of therapy</w:t>
      </w:r>
      <w:r w:rsidR="009671A7">
        <w:t xml:space="preserve"> –</w:t>
      </w:r>
      <w:r w:rsidRPr="00776E2C">
        <w:t xml:space="preserve"> regardless of </w:t>
      </w:r>
      <w:r w:rsidR="009671A7">
        <w:t xml:space="preserve">staff </w:t>
      </w:r>
      <w:r w:rsidRPr="00776E2C">
        <w:t>experience</w:t>
      </w:r>
      <w:r w:rsidR="009671A7">
        <w:t xml:space="preserve"> levels –</w:t>
      </w:r>
      <w:r w:rsidRPr="00776E2C">
        <w:t xml:space="preserve"> by using robotics in a structured group setting. </w:t>
      </w:r>
    </w:p>
    <w:p w14:paraId="634AD149" w14:textId="2B19B284" w:rsidR="00F746D8" w:rsidRDefault="000E6C1F" w:rsidP="000E6C1F">
      <w:pPr>
        <w:pStyle w:val="Bullet1"/>
      </w:pPr>
      <w:r w:rsidRPr="00776E2C">
        <w:t>I</w:t>
      </w:r>
      <w:r w:rsidR="00F746D8" w:rsidRPr="00776E2C">
        <w:t xml:space="preserve">ncreased </w:t>
      </w:r>
      <w:r w:rsidR="006D366F" w:rsidRPr="00776E2C">
        <w:t>the</w:t>
      </w:r>
      <w:r w:rsidR="006D366F">
        <w:t xml:space="preserve"> </w:t>
      </w:r>
      <w:r w:rsidR="00F746D8">
        <w:t xml:space="preserve">intensity </w:t>
      </w:r>
      <w:r w:rsidR="009671A7">
        <w:t xml:space="preserve">of </w:t>
      </w:r>
      <w:r w:rsidR="00F746D8">
        <w:t xml:space="preserve">therapy, delivering 270 minutes of therapy per week under the </w:t>
      </w:r>
      <w:r w:rsidR="00895D65">
        <w:t xml:space="preserve">new RBT </w:t>
      </w:r>
      <w:r w:rsidR="00F746D8">
        <w:t>MOC compared with 60 or 120 minutes per week under the standard MOC</w:t>
      </w:r>
      <w:r>
        <w:t>.</w:t>
      </w:r>
    </w:p>
    <w:p w14:paraId="68EBCF04" w14:textId="0EC79430" w:rsidR="006D366F" w:rsidRDefault="000E6C1F" w:rsidP="000E6C1F">
      <w:pPr>
        <w:pStyle w:val="Bullet1"/>
      </w:pPr>
      <w:r>
        <w:t>I</w:t>
      </w:r>
      <w:r w:rsidR="00F746D8">
        <w:t xml:space="preserve">ncreased </w:t>
      </w:r>
      <w:r w:rsidR="006D366F">
        <w:t xml:space="preserve">the </w:t>
      </w:r>
      <w:r w:rsidR="00F746D8">
        <w:t xml:space="preserve">number of movement repetitions practised each session from 39 under the standard MOC to 300 or more under the </w:t>
      </w:r>
      <w:r w:rsidR="00895D65">
        <w:t xml:space="preserve">RBT </w:t>
      </w:r>
      <w:r w:rsidR="00F746D8">
        <w:t>MOC</w:t>
      </w:r>
      <w:r w:rsidR="006D366F">
        <w:t>.</w:t>
      </w:r>
    </w:p>
    <w:p w14:paraId="5C797F99" w14:textId="2CB60C8B" w:rsidR="00F746D8" w:rsidRDefault="009671A7" w:rsidP="00EE2BF0">
      <w:pPr>
        <w:pStyle w:val="Bullet1"/>
      </w:pPr>
      <w:r>
        <w:t xml:space="preserve">Positive sentiment from </w:t>
      </w:r>
      <w:r w:rsidR="0063178A">
        <w:t>patients who completed the RBT program</w:t>
      </w:r>
      <w:r>
        <w:t xml:space="preserve">, with </w:t>
      </w:r>
      <w:proofErr w:type="gramStart"/>
      <w:r>
        <w:t>the majority of</w:t>
      </w:r>
      <w:proofErr w:type="gramEnd"/>
      <w:r w:rsidR="0063178A">
        <w:t xml:space="preserve"> </w:t>
      </w:r>
      <w:r>
        <w:t xml:space="preserve">them </w:t>
      </w:r>
      <w:r w:rsidR="0063178A">
        <w:t>rat</w:t>
      </w:r>
      <w:r>
        <w:t>ing</w:t>
      </w:r>
      <w:r w:rsidR="0063178A">
        <w:t xml:space="preserve"> it as very beneficial</w:t>
      </w:r>
      <w:r>
        <w:t xml:space="preserve">. This </w:t>
      </w:r>
      <w:r w:rsidR="0063178A">
        <w:t xml:space="preserve">may </w:t>
      </w:r>
      <w:r>
        <w:t xml:space="preserve">also </w:t>
      </w:r>
      <w:r w:rsidR="0063178A">
        <w:t xml:space="preserve">have contributed to a low ‘did not attend’ rate of 6.8 per cent. </w:t>
      </w:r>
    </w:p>
    <w:p w14:paraId="0330AADE" w14:textId="5390E4D6" w:rsidR="00776E2C" w:rsidRDefault="00776E2C" w:rsidP="006D366F">
      <w:pPr>
        <w:pStyle w:val="Bullet1"/>
      </w:pPr>
      <w:r>
        <w:t xml:space="preserve">Increased RBT equipment utilisation by 30 per cent. </w:t>
      </w:r>
    </w:p>
    <w:p w14:paraId="341CB455" w14:textId="0A354CCA" w:rsidR="002B5C34" w:rsidRDefault="00776E2C" w:rsidP="008616E2">
      <w:pPr>
        <w:pStyle w:val="Bullet1"/>
      </w:pPr>
      <w:r>
        <w:t xml:space="preserve">Increased the number of staff trained to deliver RBT from six to 19. This has also increased the number of staff delivering individual RBT to patients who may not </w:t>
      </w:r>
      <w:r w:rsidR="00BB329A">
        <w:t xml:space="preserve">be </w:t>
      </w:r>
      <w:r>
        <w:t>suitable for a group setting or who may be waiting to join the next group.</w:t>
      </w:r>
      <w:r w:rsidR="00C7098C" w:rsidRPr="00C7098C">
        <w:rPr>
          <w:noProof/>
        </w:rPr>
        <w:t xml:space="preserve"> </w:t>
      </w:r>
    </w:p>
    <w:p w14:paraId="3364CAD7" w14:textId="77777777" w:rsidR="00EE2BF0" w:rsidRDefault="00EE2BF0" w:rsidP="00EE2BF0">
      <w:pPr>
        <w:pStyle w:val="Quote"/>
      </w:pPr>
      <w:r>
        <w:t>‘</w:t>
      </w:r>
      <w:r w:rsidRPr="00EE2BF0">
        <w:t>Concentration on the games is very beneficial</w:t>
      </w:r>
      <w:r>
        <w:t xml:space="preserve">.’ </w:t>
      </w:r>
    </w:p>
    <w:p w14:paraId="0EB1A4FE" w14:textId="77777777" w:rsidR="005A5280" w:rsidRDefault="00EE2BF0" w:rsidP="00EE2BF0">
      <w:pPr>
        <w:pStyle w:val="Quote"/>
        <w:rPr>
          <w:b/>
          <w:bCs/>
        </w:rPr>
        <w:sectPr w:rsidR="005A5280" w:rsidSect="005A5280">
          <w:footerReference w:type="default" r:id="rId12"/>
          <w:type w:val="continuous"/>
          <w:pgSz w:w="11906" w:h="16838" w:code="9"/>
          <w:pgMar w:top="2438" w:right="737" w:bottom="680" w:left="737" w:header="539" w:footer="624" w:gutter="0"/>
          <w:cols w:num="2" w:space="284"/>
          <w:docGrid w:linePitch="360"/>
        </w:sectPr>
      </w:pPr>
      <w:r w:rsidRPr="00EE2BF0">
        <w:rPr>
          <w:b/>
          <w:bCs/>
        </w:rPr>
        <w:t>– Consumer</w:t>
      </w:r>
    </w:p>
    <w:p w14:paraId="132DDF7D" w14:textId="72AD6DFD" w:rsidR="004602AE" w:rsidRDefault="004602AE" w:rsidP="004602AE"/>
    <w:p w14:paraId="4C3EF40D" w14:textId="5D8FADBB" w:rsidR="002B5C34" w:rsidRDefault="00FE267D" w:rsidP="004A4ED0">
      <w:pPr>
        <w:pStyle w:val="Heading2"/>
      </w:pPr>
      <w:r>
        <w:br w:type="column"/>
      </w:r>
      <w:r w:rsidR="001C60B2">
        <w:lastRenderedPageBreak/>
        <w:t>Key learnings</w:t>
      </w:r>
    </w:p>
    <w:p w14:paraId="6062A449" w14:textId="5132586D" w:rsidR="004602AE" w:rsidRDefault="0094001D" w:rsidP="004602AE">
      <w:pPr>
        <w:pStyle w:val="Bullet1"/>
      </w:pPr>
      <w:r>
        <w:t xml:space="preserve">A cost analysis of the project found that after initial setup costs, the MOC </w:t>
      </w:r>
      <w:r w:rsidR="009A00CE">
        <w:t xml:space="preserve">could </w:t>
      </w:r>
      <w:r>
        <w:t>be cost-effective</w:t>
      </w:r>
      <w:r w:rsidR="00FA1DD9">
        <w:t xml:space="preserve"> for regional health services</w:t>
      </w:r>
      <w:r>
        <w:t xml:space="preserve"> when compared to one-on-one therapy of the same intensity.</w:t>
      </w:r>
    </w:p>
    <w:p w14:paraId="36A7C725" w14:textId="77777777" w:rsidR="00FE267D" w:rsidRDefault="00EE2BF0" w:rsidP="00DF2515">
      <w:pPr>
        <w:pStyle w:val="Bullet1"/>
      </w:pPr>
      <w:r>
        <w:t>E</w:t>
      </w:r>
      <w:r w:rsidR="00CE6B4B">
        <w:t>ducating staff on how to deliver the RBT MOC was key to its sustainability. Developing a comprehensive education package not only helps to improve staff confidence and competence in delivering RBT – it also acts as a safeguard for when clinicians leave with their knowledge</w:t>
      </w:r>
      <w:r w:rsidR="00F51351">
        <w:t xml:space="preserve">, which can have a significant impact on </w:t>
      </w:r>
      <w:r w:rsidR="004602AE">
        <w:t xml:space="preserve">a </w:t>
      </w:r>
      <w:r w:rsidR="00F51351">
        <w:t>regional health service.</w:t>
      </w:r>
    </w:p>
    <w:p w14:paraId="6732274F" w14:textId="1F31483B" w:rsidR="001D5C88" w:rsidRPr="004602AE" w:rsidRDefault="008616E2" w:rsidP="00DF2515">
      <w:pPr>
        <w:pStyle w:val="Bullet1"/>
      </w:pPr>
      <w:r w:rsidRPr="004602AE">
        <w:t xml:space="preserve">The success of the RBT program is dependent on the robotic equipment being in working order. NHW trained staff on how to troubleshoot basic issues and </w:t>
      </w:r>
      <w:r w:rsidR="00291235" w:rsidRPr="004602AE">
        <w:t>created</w:t>
      </w:r>
      <w:r w:rsidRPr="004602AE">
        <w:t xml:space="preserve"> troubleshooting videos as an additional resource. The health service also maintained an ongoing relationship with the supplier and </w:t>
      </w:r>
      <w:r w:rsidR="00291235" w:rsidRPr="004602AE">
        <w:t xml:space="preserve">put a plan in place to </w:t>
      </w:r>
      <w:r w:rsidR="00286DFA" w:rsidRPr="004602AE">
        <w:t>monitor</w:t>
      </w:r>
      <w:r w:rsidR="00FA1DD9">
        <w:t xml:space="preserve"> the equipment for any </w:t>
      </w:r>
      <w:r w:rsidRPr="004602AE">
        <w:t>repair</w:t>
      </w:r>
      <w:r w:rsidR="00FA1DD9">
        <w:t>s</w:t>
      </w:r>
      <w:r w:rsidRPr="004602AE">
        <w:t xml:space="preserve"> or replace</w:t>
      </w:r>
      <w:r w:rsidR="00FA1DD9">
        <w:t>ments that might be required</w:t>
      </w:r>
      <w:r w:rsidRPr="004602AE">
        <w:t xml:space="preserve">. </w:t>
      </w:r>
    </w:p>
    <w:p w14:paraId="5E5B9D69" w14:textId="2475A493" w:rsidR="00F65D80" w:rsidRPr="004602AE" w:rsidRDefault="001D5C88" w:rsidP="004602AE">
      <w:pPr>
        <w:pStyle w:val="Bullet1"/>
      </w:pPr>
      <w:r w:rsidRPr="004602AE">
        <w:t xml:space="preserve">It </w:t>
      </w:r>
      <w:r w:rsidR="004602AE">
        <w:t xml:space="preserve">is helpful to consult the </w:t>
      </w:r>
      <w:r w:rsidRPr="004602AE">
        <w:t xml:space="preserve">IT team </w:t>
      </w:r>
      <w:r w:rsidR="004602AE">
        <w:t xml:space="preserve">on how best to integrate </w:t>
      </w:r>
      <w:r w:rsidRPr="004602AE">
        <w:t>with patient information systems</w:t>
      </w:r>
      <w:r w:rsidR="00FA1DD9" w:rsidRPr="00FA1DD9">
        <w:t xml:space="preserve"> </w:t>
      </w:r>
      <w:r w:rsidR="00FA1DD9" w:rsidRPr="004602AE">
        <w:t>at the beginning of the project</w:t>
      </w:r>
      <w:r w:rsidRPr="004602AE">
        <w:t xml:space="preserve">. NHW experienced some issues with IT compatibility and function that impacted RBT delivery. The health service addressed this by organising </w:t>
      </w:r>
      <w:r w:rsidR="00F65D80" w:rsidRPr="004602AE">
        <w:t xml:space="preserve">a dedicated contact person in the IT department for when issues arose, </w:t>
      </w:r>
      <w:r w:rsidR="00FA1DD9" w:rsidRPr="004602AE">
        <w:t>having key staff who were highly competent in using the RBT devices</w:t>
      </w:r>
      <w:r w:rsidR="00FA1DD9">
        <w:t xml:space="preserve">, and </w:t>
      </w:r>
      <w:r w:rsidR="00F65D80" w:rsidRPr="004602AE">
        <w:t xml:space="preserve">maintaining good relationships with robotic equipment suppliers </w:t>
      </w:r>
      <w:r w:rsidR="005A5280" w:rsidRPr="004602AE">
        <w:t>so that it could request</w:t>
      </w:r>
      <w:r w:rsidR="00F65D80" w:rsidRPr="004602AE">
        <w:t xml:space="preserve"> advice and support</w:t>
      </w:r>
      <w:r w:rsidR="00FA1DD9">
        <w:t xml:space="preserve"> as needed</w:t>
      </w:r>
      <w:r w:rsidR="00F65D80" w:rsidRPr="004602AE">
        <w:t>.</w:t>
      </w:r>
    </w:p>
    <w:p w14:paraId="56D2A557" w14:textId="20213C60" w:rsidR="00CA6D46" w:rsidRPr="004602AE" w:rsidRDefault="00CA6D46" w:rsidP="004602AE">
      <w:pPr>
        <w:pStyle w:val="Bullet1"/>
      </w:pPr>
      <w:r w:rsidRPr="004602AE">
        <w:t xml:space="preserve">When considering investing in RBT, factor in room for patients and staff to move around the equipment when calculating space requirements. The limited space, in addition to staffing, impacted the maximum group size NHW could offer. </w:t>
      </w:r>
    </w:p>
    <w:p w14:paraId="076FAA37" w14:textId="618E22F5" w:rsidR="00F65D80" w:rsidRDefault="00FE267D" w:rsidP="004602AE">
      <w:pPr>
        <w:pStyle w:val="Normalfollowingheading"/>
      </w:pPr>
      <w:r>
        <w:rPr>
          <w:noProof/>
        </w:rPr>
        <mc:AlternateContent>
          <mc:Choice Requires="wps">
            <w:drawing>
              <wp:inline distT="0" distB="0" distL="0" distR="0" wp14:anchorId="7F3F1789" wp14:editId="67A83830">
                <wp:extent cx="3267075" cy="4724400"/>
                <wp:effectExtent l="0" t="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724400"/>
                        </a:xfrm>
                        <a:prstGeom prst="rect">
                          <a:avLst/>
                        </a:prstGeom>
                        <a:solidFill>
                          <a:srgbClr val="FEEAD2"/>
                        </a:solidFill>
                        <a:ln w="6350">
                          <a:solidFill>
                            <a:srgbClr val="FEEAD2"/>
                          </a:solidFill>
                          <a:miter lim="800000"/>
                          <a:headEnd/>
                          <a:tailEnd/>
                        </a:ln>
                      </wps:spPr>
                      <wps:txbx>
                        <w:txbxContent>
                          <w:p w14:paraId="48CD5509" w14:textId="77777777" w:rsidR="00FE267D" w:rsidRPr="004D6898" w:rsidRDefault="00FE267D" w:rsidP="00FE267D">
                            <w:pPr>
                              <w:pStyle w:val="PulloutHeading"/>
                            </w:pPr>
                            <w:r>
                              <w:t>Case study</w:t>
                            </w:r>
                          </w:p>
                          <w:p w14:paraId="08442007" w14:textId="77777777" w:rsidR="00FE267D" w:rsidRDefault="00FE267D" w:rsidP="00FE267D">
                            <w:pPr>
                              <w:pStyle w:val="PulloutText"/>
                            </w:pPr>
                            <w:r>
                              <w:t>One patient had a stroke that resulted in chronic weakness in his left side, contractures and changes in his posture.</w:t>
                            </w:r>
                          </w:p>
                          <w:p w14:paraId="388D5348" w14:textId="77777777" w:rsidR="00FE267D" w:rsidRDefault="00FE267D" w:rsidP="00FE267D">
                            <w:pPr>
                              <w:pStyle w:val="PulloutText"/>
                            </w:pPr>
                            <w:r>
                              <w:t>Under the RBT MOC, the patient made functional improvements, despite five years having passed since his stroke.</w:t>
                            </w:r>
                          </w:p>
                          <w:p w14:paraId="20C0C77A" w14:textId="77777777" w:rsidR="00FE267D" w:rsidRDefault="00FE267D" w:rsidP="00FE267D">
                            <w:pPr>
                              <w:pStyle w:val="PulloutText"/>
                            </w:pPr>
                            <w:r>
                              <w:t xml:space="preserve">The patient’s sitting posture also improved. No other </w:t>
                            </w:r>
                            <w:r w:rsidRPr="00D72358">
                              <w:t>therapy occurred during this time</w:t>
                            </w:r>
                            <w:r>
                              <w:t>, so it was likely that this was due to working intensively on the upper limb, including practising many bilateral tasks using the robotic devices.</w:t>
                            </w:r>
                          </w:p>
                          <w:p w14:paraId="1EB15064" w14:textId="77777777" w:rsidR="00FE267D" w:rsidRDefault="00FE267D" w:rsidP="00FE267D">
                            <w:pPr>
                              <w:pStyle w:val="PulloutText"/>
                            </w:pPr>
                            <w:r>
                              <w:t>Prior to joining the RBT group, the patient had been considering purchasing a customised wheelchair. After completing one six-week block of RBT, his postural improvements meant a customised wheelchair was no longer required.</w:t>
                            </w:r>
                          </w:p>
                          <w:p w14:paraId="658F9882" w14:textId="77777777" w:rsidR="00FE267D" w:rsidRPr="00A83A37" w:rsidRDefault="00FE267D" w:rsidP="00FE267D">
                            <w:pPr>
                              <w:pStyle w:val="Quote"/>
                            </w:pPr>
                            <w:r w:rsidRPr="00A83A37">
                              <w:t xml:space="preserve">‘Staff had a great understanding of my needs and the program was interesting. I now understand the need for repetitions to get better.’ </w:t>
                            </w:r>
                          </w:p>
                          <w:p w14:paraId="1365C13B" w14:textId="1AB32498" w:rsidR="00FE267D" w:rsidRPr="00A83A37" w:rsidRDefault="00FE267D" w:rsidP="00FE267D">
                            <w:pPr>
                              <w:pStyle w:val="Quote"/>
                              <w:rPr>
                                <w:b/>
                                <w:bCs/>
                              </w:rPr>
                            </w:pPr>
                            <w:r w:rsidRPr="00A83A37">
                              <w:rPr>
                                <w:b/>
                                <w:bCs/>
                              </w:rPr>
                              <w:t>– Consumer</w:t>
                            </w:r>
                          </w:p>
                        </w:txbxContent>
                      </wps:txbx>
                      <wps:bodyPr rot="0" vert="horz" wrap="square" lIns="180000" tIns="180000" rIns="144000" bIns="36000" anchor="t" anchorCtr="0">
                        <a:noAutofit/>
                      </wps:bodyPr>
                    </wps:wsp>
                  </a:graphicData>
                </a:graphic>
              </wp:inline>
            </w:drawing>
          </mc:Choice>
          <mc:Fallback>
            <w:pict>
              <v:shapetype w14:anchorId="7F3F1789" id="_x0000_t202" coordsize="21600,21600" o:spt="202" path="m,l,21600r21600,l21600,xe">
                <v:stroke joinstyle="miter"/>
                <v:path gradientshapeok="t" o:connecttype="rect"/>
              </v:shapetype>
              <v:shape id="_x0000_s1027" type="#_x0000_t202" style="width:257.2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" fillcolor="#feead2" strokecolor="#feead2" strokeweight=".5pt">
                <v:textbox inset="5mm,5mm,4mm,1mm">
                  <w:txbxContent>
                    <w:p w14:paraId="48CD5509" w14:textId="77777777" w:rsidR="00FE267D" w:rsidRPr="004D6898" w:rsidRDefault="00FE267D" w:rsidP="00FE267D">
                      <w:pPr>
                        <w:pStyle w:val="PulloutHeading"/>
                      </w:pPr>
                      <w:r>
                        <w:t>Case study</w:t>
                      </w:r>
                    </w:p>
                    <w:p w14:paraId="08442007" w14:textId="77777777" w:rsidR="00FE267D" w:rsidRDefault="00FE267D" w:rsidP="00FE267D">
                      <w:pPr>
                        <w:pStyle w:val="PulloutText"/>
                      </w:pPr>
                      <w:r>
                        <w:t>One patient had a stroke that resulted in chronic weakness in his left side, contractures and changes in his posture.</w:t>
                      </w:r>
                    </w:p>
                    <w:p w14:paraId="388D5348" w14:textId="77777777" w:rsidR="00FE267D" w:rsidRDefault="00FE267D" w:rsidP="00FE267D">
                      <w:pPr>
                        <w:pStyle w:val="PulloutText"/>
                      </w:pPr>
                      <w:r>
                        <w:t>Under the RBT MOC, the patient made functional improvements, despite five years having passed since his stroke.</w:t>
                      </w:r>
                    </w:p>
                    <w:p w14:paraId="20C0C77A" w14:textId="77777777" w:rsidR="00FE267D" w:rsidRDefault="00FE267D" w:rsidP="00FE267D">
                      <w:pPr>
                        <w:pStyle w:val="PulloutText"/>
                      </w:pPr>
                      <w:r>
                        <w:t xml:space="preserve">The patient’s sitting posture also improved. No other </w:t>
                      </w:r>
                      <w:r w:rsidRPr="00D72358">
                        <w:t>therapy occurred during this time</w:t>
                      </w:r>
                      <w:r>
                        <w:t>, so it was likely that this was due to working intensively on the upper limb, including practising many bilateral tasks using the robotic devices.</w:t>
                      </w:r>
                    </w:p>
                    <w:p w14:paraId="1EB15064" w14:textId="77777777" w:rsidR="00FE267D" w:rsidRDefault="00FE267D" w:rsidP="00FE267D">
                      <w:pPr>
                        <w:pStyle w:val="PulloutText"/>
                      </w:pPr>
                      <w:r>
                        <w:t>Prior to joining the RBT group, the patient had been considering purchasing a customised wheelchair. After completing one six-week block of RBT, his postural improvements meant a customised wheelchair was no longer required.</w:t>
                      </w:r>
                    </w:p>
                    <w:p w14:paraId="658F9882" w14:textId="77777777" w:rsidR="00FE267D" w:rsidRPr="00A83A37" w:rsidRDefault="00FE267D" w:rsidP="00FE267D">
                      <w:pPr>
                        <w:pStyle w:val="Quote"/>
                      </w:pPr>
                      <w:r w:rsidRPr="00A83A37">
                        <w:t xml:space="preserve">‘Staff had a great understanding of my needs and the program was interesting. I now understand the need for repetitions to get better.’ </w:t>
                      </w:r>
                    </w:p>
                    <w:p w14:paraId="1365C13B" w14:textId="1AB32498" w:rsidR="00FE267D" w:rsidRPr="00A83A37" w:rsidRDefault="00FE267D" w:rsidP="00FE267D">
                      <w:pPr>
                        <w:pStyle w:val="Quote"/>
                        <w:rPr>
                          <w:b/>
                          <w:bCs/>
                        </w:rPr>
                      </w:pPr>
                      <w:r w:rsidRPr="00A83A37">
                        <w:rPr>
                          <w:b/>
                          <w:bCs/>
                        </w:rPr>
                        <w:t>– Consumer</w:t>
                      </w:r>
                    </w:p>
                  </w:txbxContent>
                </v:textbox>
                <w10:anchorlock/>
              </v:shape>
            </w:pict>
          </mc:Fallback>
        </mc:AlternateContent>
      </w:r>
    </w:p>
    <w:p w14:paraId="16031D6A" w14:textId="4ADB6A28" w:rsidR="00FE267D" w:rsidRPr="00FE267D" w:rsidRDefault="00135FFA" w:rsidP="00135FFA">
      <w:pPr>
        <w:rPr>
          <w:color w:val="408ABB" w:themeColor="accent1"/>
        </w:rPr>
      </w:pPr>
      <w:r>
        <w:rPr>
          <w:noProof/>
        </w:rPr>
        <w:drawing>
          <wp:inline distT="0" distB="0" distL="0" distR="0" wp14:anchorId="292A0979" wp14:editId="215925AF">
            <wp:extent cx="3257550" cy="1792605"/>
            <wp:effectExtent l="0" t="0" r="0" b="0"/>
            <wp:docPr id="1" name="Picture 1" descr="A woman playing an RBT computer-based game that involves catching falling apples from a tree by moving a controller with you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east Robotics Development 1.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257550" cy="1792605"/>
                    </a:xfrm>
                    <a:prstGeom prst="rect">
                      <a:avLst/>
                    </a:prstGeom>
                    <a:ln>
                      <a:noFill/>
                    </a:ln>
                    <a:extLst>
                      <a:ext uri="{53640926-AAD7-44D8-BBD7-CCE9431645EC}">
                        <a14:shadowObscured xmlns:a14="http://schemas.microsoft.com/office/drawing/2010/main"/>
                      </a:ext>
                    </a:extLst>
                  </pic:spPr>
                </pic:pic>
              </a:graphicData>
            </a:graphic>
          </wp:inline>
        </w:drawing>
      </w:r>
      <w:r w:rsidRPr="00FE267D">
        <w:rPr>
          <w:color w:val="408ABB" w:themeColor="accent1"/>
        </w:rPr>
        <w:t xml:space="preserve"> </w:t>
      </w:r>
    </w:p>
    <w:sectPr w:rsidR="00FE267D" w:rsidRPr="00FE267D" w:rsidSect="005A5280">
      <w:footerReference w:type="default" r:id="rId14"/>
      <w:type w:val="continuous"/>
      <w:pgSz w:w="11906" w:h="16838" w:code="9"/>
      <w:pgMar w:top="2438" w:right="737" w:bottom="680" w:left="737" w:header="539" w:footer="62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35F14" w14:textId="77777777" w:rsidR="008616E2" w:rsidRDefault="008616E2" w:rsidP="002D711A">
      <w:pPr>
        <w:spacing w:after="0" w:line="240" w:lineRule="auto"/>
      </w:pPr>
      <w:r>
        <w:separator/>
      </w:r>
    </w:p>
  </w:endnote>
  <w:endnote w:type="continuationSeparator" w:id="0">
    <w:p w14:paraId="1B12F49B" w14:textId="77777777" w:rsidR="008616E2" w:rsidRDefault="008616E2"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CVInformationTable"/>
      <w:tblpPr w:leftFromText="181" w:rightFromText="181" w:vertAnchor="page" w:horzAnchor="page" w:tblpX="738" w:tblpY="14289"/>
      <w:tblW w:w="10432" w:type="dxa"/>
      <w:shd w:val="clear" w:color="auto" w:fill="F2F2F3"/>
      <w:tblLook w:val="0600" w:firstRow="0" w:lastRow="0" w:firstColumn="0" w:lastColumn="0" w:noHBand="1" w:noVBand="1"/>
    </w:tblPr>
    <w:tblGrid>
      <w:gridCol w:w="3515"/>
      <w:gridCol w:w="3402"/>
      <w:gridCol w:w="3515"/>
    </w:tblGrid>
    <w:tr w:rsidR="008616E2" w:rsidRPr="00736C0C" w14:paraId="74FB32AF" w14:textId="77777777" w:rsidTr="000F2A2C">
      <w:trPr>
        <w:trHeight w:val="1531"/>
      </w:trPr>
      <w:tc>
        <w:tcPr>
          <w:tcW w:w="3515" w:type="dxa"/>
          <w:tcMar>
            <w:left w:w="113" w:type="dxa"/>
          </w:tcMar>
        </w:tcPr>
        <w:p w14:paraId="1C47117C" w14:textId="649393BA" w:rsidR="008616E2" w:rsidRPr="00911408" w:rsidRDefault="008616E2" w:rsidP="00442182">
          <w:pPr>
            <w:spacing w:line="235" w:lineRule="auto"/>
            <w:rPr>
              <w:sz w:val="24"/>
              <w:szCs w:val="24"/>
            </w:rPr>
          </w:pPr>
          <w:r w:rsidRPr="00911408">
            <w:rPr>
              <w:sz w:val="24"/>
              <w:szCs w:val="24"/>
            </w:rPr>
            <w:t>To receive this publication in an accessible format phone</w:t>
          </w:r>
          <w:r>
            <w:rPr>
              <w:sz w:val="24"/>
              <w:szCs w:val="24"/>
            </w:rPr>
            <w:t xml:space="preserve"> (</w:t>
          </w:r>
          <w:r w:rsidRPr="00911408">
            <w:rPr>
              <w:sz w:val="24"/>
              <w:szCs w:val="24"/>
            </w:rPr>
            <w:t>03</w:t>
          </w:r>
          <w:r>
            <w:rPr>
              <w:sz w:val="24"/>
              <w:szCs w:val="24"/>
            </w:rPr>
            <w:t>)</w:t>
          </w:r>
          <w:r w:rsidRPr="00911408">
            <w:rPr>
              <w:sz w:val="24"/>
              <w:szCs w:val="24"/>
            </w:rPr>
            <w:t xml:space="preserve"> 9096</w:t>
          </w:r>
          <w:r>
            <w:t xml:space="preserve"> </w:t>
          </w:r>
          <w:r w:rsidRPr="005B5F0B">
            <w:rPr>
              <w:sz w:val="24"/>
              <w:szCs w:val="24"/>
            </w:rPr>
            <w:t>1384</w:t>
          </w:r>
          <w:r w:rsidRPr="00911408">
            <w:rPr>
              <w:sz w:val="24"/>
              <w:szCs w:val="24"/>
            </w:rPr>
            <w:t xml:space="preserve">, using the National Relay Service </w:t>
          </w:r>
          <w:r w:rsidRPr="00911408">
            <w:rPr>
              <w:sz w:val="24"/>
              <w:szCs w:val="24"/>
            </w:rPr>
            <w:br/>
            <w:t xml:space="preserve">13 36 77 if required, or email </w:t>
          </w:r>
          <w:hyperlink r:id="rId1" w:history="1">
            <w:r w:rsidRPr="00A131B1">
              <w:rPr>
                <w:rStyle w:val="Hyperlink"/>
                <w:b/>
                <w:bCs/>
                <w:sz w:val="24"/>
                <w:szCs w:val="24"/>
              </w:rPr>
              <w:t>info</w:t>
            </w:r>
            <w:r w:rsidRPr="00A131B1">
              <w:rPr>
                <w:rStyle w:val="Hyperlink"/>
                <w:b/>
                <w:sz w:val="24"/>
                <w:szCs w:val="24"/>
              </w:rPr>
              <w:t>@safercare.vic.gov.au</w:t>
            </w:r>
          </w:hyperlink>
        </w:p>
      </w:tc>
      <w:tc>
        <w:tcPr>
          <w:tcW w:w="3402" w:type="dxa"/>
        </w:tcPr>
        <w:p w14:paraId="6D7675E5" w14:textId="45EDE8CA" w:rsidR="008616E2" w:rsidRPr="00911408" w:rsidRDefault="008616E2" w:rsidP="00442182">
          <w:pPr>
            <w:spacing w:line="230" w:lineRule="auto"/>
            <w:rPr>
              <w:sz w:val="18"/>
              <w:szCs w:val="18"/>
            </w:rPr>
          </w:pPr>
          <w:r w:rsidRPr="00911408">
            <w:rPr>
              <w:sz w:val="18"/>
              <w:szCs w:val="18"/>
            </w:rPr>
            <w:t>Authorised and published by the Victorian Government, 1 Treasury Place, Melbourne.</w:t>
          </w:r>
        </w:p>
        <w:p w14:paraId="7495C6B4" w14:textId="6E74D99A" w:rsidR="008616E2" w:rsidRPr="00911408" w:rsidRDefault="008616E2" w:rsidP="00442182">
          <w:pPr>
            <w:spacing w:line="230" w:lineRule="auto"/>
            <w:rPr>
              <w:sz w:val="18"/>
              <w:szCs w:val="18"/>
            </w:rPr>
          </w:pPr>
          <w:r w:rsidRPr="00911408">
            <w:rPr>
              <w:sz w:val="18"/>
              <w:szCs w:val="18"/>
            </w:rPr>
            <w:t xml:space="preserve">© State of Victoria, Australia, Safer Care Victoria, </w:t>
          </w:r>
          <w:r>
            <w:rPr>
              <w:sz w:val="18"/>
              <w:szCs w:val="18"/>
            </w:rPr>
            <w:t>September 2020</w:t>
          </w:r>
        </w:p>
        <w:p w14:paraId="30F4D29D" w14:textId="77777777" w:rsidR="008616E2" w:rsidRPr="00CE61C3" w:rsidRDefault="008616E2" w:rsidP="00442182">
          <w:pPr>
            <w:spacing w:line="230" w:lineRule="auto"/>
            <w:rPr>
              <w:color w:val="FF0000"/>
              <w:sz w:val="18"/>
              <w:szCs w:val="18"/>
            </w:rPr>
          </w:pPr>
          <w:r w:rsidRPr="00CE61C3">
            <w:rPr>
              <w:color w:val="FF0000"/>
              <w:sz w:val="18"/>
              <w:szCs w:val="18"/>
              <w:highlight w:val="yellow"/>
            </w:rPr>
            <w:t>ISBN/ISSN number (online/print)</w:t>
          </w:r>
        </w:p>
        <w:p w14:paraId="06F94A07" w14:textId="1D4C6D41" w:rsidR="008616E2" w:rsidRDefault="008616E2" w:rsidP="00442182">
          <w:pPr>
            <w:spacing w:line="230" w:lineRule="auto"/>
            <w:rPr>
              <w:sz w:val="18"/>
              <w:szCs w:val="18"/>
            </w:rPr>
          </w:pPr>
          <w:r w:rsidRPr="00911408">
            <w:rPr>
              <w:sz w:val="18"/>
              <w:szCs w:val="18"/>
            </w:rPr>
            <w:t xml:space="preserve">Available at </w:t>
          </w:r>
          <w:hyperlink r:id="rId2" w:history="1">
            <w:r w:rsidRPr="00F52379">
              <w:rPr>
                <w:rStyle w:val="Hyperlink"/>
                <w:sz w:val="18"/>
                <w:szCs w:val="18"/>
              </w:rPr>
              <w:t>safercare.vic.gov.au</w:t>
            </w:r>
          </w:hyperlink>
        </w:p>
        <w:p w14:paraId="3B40A82D" w14:textId="5308783B" w:rsidR="008616E2" w:rsidRPr="007A4444" w:rsidRDefault="008616E2" w:rsidP="00442182">
          <w:pPr>
            <w:spacing w:line="230" w:lineRule="auto"/>
            <w:rPr>
              <w:sz w:val="13"/>
              <w:szCs w:val="13"/>
            </w:rPr>
          </w:pPr>
        </w:p>
      </w:tc>
      <w:tc>
        <w:tcPr>
          <w:tcW w:w="3515" w:type="dxa"/>
        </w:tcPr>
        <w:p w14:paraId="3A80A9B4" w14:textId="25DDFB9E" w:rsidR="008616E2" w:rsidRPr="00736C0C" w:rsidRDefault="008616E2" w:rsidP="000905F7">
          <w:pPr>
            <w:rPr>
              <w:szCs w:val="15"/>
            </w:rPr>
          </w:pPr>
          <w:r>
            <w:rPr>
              <w:noProof/>
              <w:szCs w:val="15"/>
            </w:rPr>
            <w:drawing>
              <wp:inline distT="0" distB="0" distL="0" distR="0" wp14:anchorId="5CB2EA93" wp14:editId="41A59989">
                <wp:extent cx="1967488" cy="510541"/>
                <wp:effectExtent l="0" t="0" r="0" b="3810"/>
                <wp:docPr id="10" name="Picture 10" descr="Safer Care Victoria and Victoria State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laimer logo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67488" cy="510541"/>
                        </a:xfrm>
                        <a:prstGeom prst="rect">
                          <a:avLst/>
                        </a:prstGeom>
                      </pic:spPr>
                    </pic:pic>
                  </a:graphicData>
                </a:graphic>
              </wp:inline>
            </w:drawing>
          </w:r>
        </w:p>
      </w:tc>
    </w:tr>
  </w:tbl>
  <w:p w14:paraId="63D44AAC" w14:textId="77777777" w:rsidR="008616E2" w:rsidRDefault="008616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64426" w14:textId="77777777" w:rsidR="008616E2" w:rsidRDefault="008616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CVInformationTable"/>
      <w:tblpPr w:leftFromText="181" w:rightFromText="181" w:vertAnchor="page" w:horzAnchor="page" w:tblpX="738" w:tblpY="14289"/>
      <w:tblW w:w="10432" w:type="dxa"/>
      <w:shd w:val="clear" w:color="auto" w:fill="F2F2F3"/>
      <w:tblLook w:val="0600" w:firstRow="0" w:lastRow="0" w:firstColumn="0" w:lastColumn="0" w:noHBand="1" w:noVBand="1"/>
    </w:tblPr>
    <w:tblGrid>
      <w:gridCol w:w="3515"/>
      <w:gridCol w:w="3402"/>
      <w:gridCol w:w="3515"/>
    </w:tblGrid>
    <w:tr w:rsidR="008616E2" w:rsidRPr="00736C0C" w14:paraId="600019E9" w14:textId="77777777" w:rsidTr="008616E2">
      <w:trPr>
        <w:trHeight w:val="1531"/>
      </w:trPr>
      <w:tc>
        <w:tcPr>
          <w:tcW w:w="3515" w:type="dxa"/>
          <w:tcMar>
            <w:left w:w="113" w:type="dxa"/>
          </w:tcMar>
        </w:tcPr>
        <w:p w14:paraId="6ABDDD2C" w14:textId="77777777" w:rsidR="008616E2" w:rsidRPr="00911408" w:rsidRDefault="008616E2" w:rsidP="0043317F">
          <w:pPr>
            <w:spacing w:line="235" w:lineRule="auto"/>
            <w:rPr>
              <w:sz w:val="24"/>
              <w:szCs w:val="24"/>
            </w:rPr>
          </w:pPr>
          <w:r w:rsidRPr="00911408">
            <w:rPr>
              <w:sz w:val="24"/>
              <w:szCs w:val="24"/>
            </w:rPr>
            <w:t>To receive this publication in an accessible format phone</w:t>
          </w:r>
          <w:r>
            <w:rPr>
              <w:sz w:val="24"/>
              <w:szCs w:val="24"/>
            </w:rPr>
            <w:t xml:space="preserve"> (</w:t>
          </w:r>
          <w:r w:rsidRPr="00911408">
            <w:rPr>
              <w:sz w:val="24"/>
              <w:szCs w:val="24"/>
            </w:rPr>
            <w:t>03</w:t>
          </w:r>
          <w:r>
            <w:rPr>
              <w:sz w:val="24"/>
              <w:szCs w:val="24"/>
            </w:rPr>
            <w:t>)</w:t>
          </w:r>
          <w:r w:rsidRPr="00911408">
            <w:rPr>
              <w:sz w:val="24"/>
              <w:szCs w:val="24"/>
            </w:rPr>
            <w:t xml:space="preserve"> 9096</w:t>
          </w:r>
          <w:r>
            <w:t xml:space="preserve"> </w:t>
          </w:r>
          <w:r w:rsidRPr="005B5F0B">
            <w:rPr>
              <w:sz w:val="24"/>
              <w:szCs w:val="24"/>
            </w:rPr>
            <w:t>1384</w:t>
          </w:r>
          <w:r w:rsidRPr="00911408">
            <w:rPr>
              <w:sz w:val="24"/>
              <w:szCs w:val="24"/>
            </w:rPr>
            <w:t xml:space="preserve">, using the National Relay Service </w:t>
          </w:r>
          <w:r w:rsidRPr="00911408">
            <w:rPr>
              <w:sz w:val="24"/>
              <w:szCs w:val="24"/>
            </w:rPr>
            <w:br/>
            <w:t xml:space="preserve">13 36 77 if required, or email </w:t>
          </w:r>
          <w:hyperlink r:id="rId1" w:history="1">
            <w:r w:rsidRPr="00A131B1">
              <w:rPr>
                <w:rStyle w:val="Hyperlink"/>
                <w:b/>
                <w:bCs/>
                <w:sz w:val="24"/>
                <w:szCs w:val="24"/>
              </w:rPr>
              <w:t>info</w:t>
            </w:r>
            <w:r w:rsidRPr="00A131B1">
              <w:rPr>
                <w:rStyle w:val="Hyperlink"/>
                <w:b/>
                <w:sz w:val="24"/>
                <w:szCs w:val="24"/>
              </w:rPr>
              <w:t>@safercare.vic.gov.au</w:t>
            </w:r>
          </w:hyperlink>
        </w:p>
      </w:tc>
      <w:tc>
        <w:tcPr>
          <w:tcW w:w="3402" w:type="dxa"/>
        </w:tcPr>
        <w:p w14:paraId="10DACBD6" w14:textId="77777777" w:rsidR="008616E2" w:rsidRPr="00911408" w:rsidRDefault="008616E2" w:rsidP="0043317F">
          <w:pPr>
            <w:spacing w:line="230" w:lineRule="auto"/>
            <w:rPr>
              <w:sz w:val="18"/>
              <w:szCs w:val="18"/>
            </w:rPr>
          </w:pPr>
          <w:r w:rsidRPr="00911408">
            <w:rPr>
              <w:sz w:val="18"/>
              <w:szCs w:val="18"/>
            </w:rPr>
            <w:t>Authorised and published by the Victorian Government, 1 Treasury Place, Melbourne.</w:t>
          </w:r>
        </w:p>
        <w:p w14:paraId="34CA84F8" w14:textId="4B1BA7D9" w:rsidR="008616E2" w:rsidRPr="00911408" w:rsidRDefault="008616E2" w:rsidP="0043317F">
          <w:pPr>
            <w:spacing w:line="230" w:lineRule="auto"/>
            <w:rPr>
              <w:sz w:val="18"/>
              <w:szCs w:val="18"/>
            </w:rPr>
          </w:pPr>
          <w:r w:rsidRPr="00911408">
            <w:rPr>
              <w:sz w:val="18"/>
              <w:szCs w:val="18"/>
            </w:rPr>
            <w:t xml:space="preserve">© State of Victoria, Australia, Safer Care Victoria, </w:t>
          </w:r>
          <w:r w:rsidR="00464470">
            <w:rPr>
              <w:sz w:val="18"/>
              <w:szCs w:val="18"/>
            </w:rPr>
            <w:t>November</w:t>
          </w:r>
          <w:r>
            <w:rPr>
              <w:sz w:val="18"/>
              <w:szCs w:val="18"/>
            </w:rPr>
            <w:t xml:space="preserve"> 2020</w:t>
          </w:r>
        </w:p>
        <w:p w14:paraId="585BE8B9" w14:textId="6D4D9D3C" w:rsidR="008616E2" w:rsidRPr="00464470" w:rsidRDefault="00464470" w:rsidP="0043317F">
          <w:pPr>
            <w:spacing w:line="230" w:lineRule="auto"/>
            <w:rPr>
              <w:color w:val="000000" w:themeColor="text1"/>
              <w:sz w:val="18"/>
              <w:szCs w:val="18"/>
            </w:rPr>
          </w:pPr>
          <w:r w:rsidRPr="00464470">
            <w:rPr>
              <w:color w:val="000000" w:themeColor="text1"/>
              <w:sz w:val="18"/>
              <w:szCs w:val="18"/>
            </w:rPr>
            <w:t>ISBN 978-1-76096-264-7</w:t>
          </w:r>
          <w:r w:rsidRPr="00464470">
            <w:rPr>
              <w:color w:val="000000" w:themeColor="text1"/>
              <w:sz w:val="18"/>
              <w:szCs w:val="18"/>
            </w:rPr>
            <w:t xml:space="preserve"> </w:t>
          </w:r>
          <w:r w:rsidRPr="00464470">
            <w:rPr>
              <w:color w:val="000000" w:themeColor="text1"/>
              <w:sz w:val="18"/>
              <w:szCs w:val="18"/>
            </w:rPr>
            <w:t>(pdf/online/MS word)</w:t>
          </w:r>
        </w:p>
        <w:p w14:paraId="5090B2B9" w14:textId="76EDC44D" w:rsidR="008616E2" w:rsidRPr="007A4444" w:rsidRDefault="008616E2" w:rsidP="00464470">
          <w:pPr>
            <w:spacing w:line="230" w:lineRule="auto"/>
            <w:rPr>
              <w:sz w:val="13"/>
              <w:szCs w:val="13"/>
            </w:rPr>
          </w:pPr>
          <w:r w:rsidRPr="00911408">
            <w:rPr>
              <w:sz w:val="18"/>
              <w:szCs w:val="18"/>
            </w:rPr>
            <w:t xml:space="preserve">Available at </w:t>
          </w:r>
          <w:hyperlink r:id="rId2" w:history="1">
            <w:r w:rsidRPr="00F52379">
              <w:rPr>
                <w:rStyle w:val="Hyperlink"/>
                <w:sz w:val="18"/>
                <w:szCs w:val="18"/>
              </w:rPr>
              <w:t>safercare.vic.gov.au</w:t>
            </w:r>
          </w:hyperlink>
          <w:r w:rsidR="00464470">
            <w:rPr>
              <w:rStyle w:val="Hyperlink"/>
              <w:sz w:val="18"/>
              <w:szCs w:val="18"/>
            </w:rPr>
            <w:br/>
          </w:r>
        </w:p>
      </w:tc>
      <w:tc>
        <w:tcPr>
          <w:tcW w:w="3515" w:type="dxa"/>
        </w:tcPr>
        <w:p w14:paraId="5A25321B" w14:textId="77777777" w:rsidR="008616E2" w:rsidRPr="00736C0C" w:rsidRDefault="008616E2" w:rsidP="0043317F">
          <w:pPr>
            <w:rPr>
              <w:szCs w:val="15"/>
            </w:rPr>
          </w:pPr>
          <w:r>
            <w:rPr>
              <w:noProof/>
              <w:szCs w:val="15"/>
            </w:rPr>
            <w:drawing>
              <wp:inline distT="0" distB="0" distL="0" distR="0" wp14:anchorId="2FF70F3B" wp14:editId="341025C6">
                <wp:extent cx="1967488" cy="510541"/>
                <wp:effectExtent l="0" t="0" r="0" b="3810"/>
                <wp:docPr id="12" name="Picture 12" descr="Safer Care Victoria and Victoria State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laimer logo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67488" cy="510541"/>
                        </a:xfrm>
                        <a:prstGeom prst="rect">
                          <a:avLst/>
                        </a:prstGeom>
                      </pic:spPr>
                    </pic:pic>
                  </a:graphicData>
                </a:graphic>
              </wp:inline>
            </w:drawing>
          </w:r>
        </w:p>
      </w:tc>
    </w:tr>
  </w:tbl>
  <w:p w14:paraId="7EEEF341" w14:textId="77777777" w:rsidR="008616E2" w:rsidRDefault="00861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C782C" w14:textId="77777777" w:rsidR="008616E2" w:rsidRDefault="008616E2" w:rsidP="00E33E08">
      <w:pPr>
        <w:spacing w:before="0" w:after="0" w:line="240" w:lineRule="auto"/>
      </w:pPr>
    </w:p>
  </w:footnote>
  <w:footnote w:type="continuationSeparator" w:id="0">
    <w:p w14:paraId="25E775FD" w14:textId="77777777" w:rsidR="008616E2" w:rsidRDefault="008616E2"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DC0" w14:textId="77777777" w:rsidR="008616E2" w:rsidRDefault="008616E2">
    <w:pPr>
      <w:pStyle w:val="Header"/>
    </w:pPr>
    <w:r>
      <w:rPr>
        <w:noProof/>
      </w:rPr>
      <w:drawing>
        <wp:anchor distT="0" distB="0" distL="114300" distR="114300" simplePos="0" relativeHeight="251659264" behindDoc="1" locked="0" layoutInCell="1" allowOverlap="1" wp14:anchorId="1E265C5D" wp14:editId="76C530D2">
          <wp:simplePos x="0" y="0"/>
          <wp:positionH relativeFrom="page">
            <wp:posOffset>23495</wp:posOffset>
          </wp:positionH>
          <wp:positionV relativeFrom="page">
            <wp:posOffset>-9525</wp:posOffset>
          </wp:positionV>
          <wp:extent cx="2127600" cy="1202400"/>
          <wp:effectExtent l="0" t="0" r="0" b="0"/>
          <wp:wrapNone/>
          <wp:docPr id="11" name="Picture 11" descr="Better 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age 1.png"/>
                  <pic:cNvPicPr/>
                </pic:nvPicPr>
                <pic:blipFill>
                  <a:blip r:embed="rId1">
                    <a:extLst>
                      <a:ext uri="{28A0092B-C50C-407E-A947-70E740481C1C}">
                        <a14:useLocalDpi xmlns:a14="http://schemas.microsoft.com/office/drawing/2010/main" val="0"/>
                      </a:ext>
                    </a:extLst>
                  </a:blip>
                  <a:stretch>
                    <a:fillRect/>
                  </a:stretch>
                </pic:blipFill>
                <pic:spPr>
                  <a:xfrm>
                    <a:off x="0" y="0"/>
                    <a:ext cx="21276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 w15:restartNumberingAfterBreak="0">
    <w:nsid w:val="393A12AA"/>
    <w:multiLevelType w:val="multilevel"/>
    <w:tmpl w:val="E962EC02"/>
    <w:lvl w:ilvl="0">
      <w:start w:val="1"/>
      <w:numFmt w:val="bullet"/>
      <w:pStyle w:val="Bullet1"/>
      <w:lvlText w:val=""/>
      <w:lvlJc w:val="left"/>
      <w:pPr>
        <w:ind w:left="284" w:hanging="284"/>
      </w:pPr>
      <w:rPr>
        <w:rFonts w:ascii="Wingdings 2" w:hAnsi="Wingdings 2" w:hint="default"/>
        <w:color w:val="FAB662"/>
        <w:position w:val="0"/>
        <w:sz w:val="20"/>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4"/>
  </w:num>
  <w:num w:numId="2">
    <w:abstractNumId w:val="4"/>
  </w:num>
  <w:num w:numId="3">
    <w:abstractNumId w:val="4"/>
  </w:num>
  <w:num w:numId="4">
    <w:abstractNumId w:val="6"/>
  </w:num>
  <w:num w:numId="5">
    <w:abstractNumId w:val="0"/>
  </w:num>
  <w:num w:numId="6">
    <w:abstractNumId w:val="3"/>
  </w:num>
  <w:num w:numId="7">
    <w:abstractNumId w:val="5"/>
  </w:num>
  <w:num w:numId="8">
    <w:abstractNumId w:val="2"/>
  </w:num>
  <w:num w:numId="9">
    <w:abstractNumId w:val="2"/>
  </w:num>
  <w:num w:numId="10">
    <w:abstractNumId w:val="1"/>
  </w:num>
  <w:num w:numId="11">
    <w:abstractNumId w:val="2"/>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81"/>
  <w:drawingGridVerticalSpacing w:val="181"/>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347"/>
    <w:rsid w:val="00011771"/>
    <w:rsid w:val="00012F6F"/>
    <w:rsid w:val="00014213"/>
    <w:rsid w:val="00014B55"/>
    <w:rsid w:val="00020E3E"/>
    <w:rsid w:val="00023457"/>
    <w:rsid w:val="00023BF3"/>
    <w:rsid w:val="00026811"/>
    <w:rsid w:val="00033432"/>
    <w:rsid w:val="00033E5B"/>
    <w:rsid w:val="00034553"/>
    <w:rsid w:val="0004185E"/>
    <w:rsid w:val="00053181"/>
    <w:rsid w:val="00056988"/>
    <w:rsid w:val="00060D97"/>
    <w:rsid w:val="00071F51"/>
    <w:rsid w:val="00072279"/>
    <w:rsid w:val="00073407"/>
    <w:rsid w:val="00075E6C"/>
    <w:rsid w:val="00081C12"/>
    <w:rsid w:val="00087D42"/>
    <w:rsid w:val="000905F7"/>
    <w:rsid w:val="00096B71"/>
    <w:rsid w:val="000A4AD0"/>
    <w:rsid w:val="000B29AD"/>
    <w:rsid w:val="000C515F"/>
    <w:rsid w:val="000C6372"/>
    <w:rsid w:val="000D7841"/>
    <w:rsid w:val="000E392D"/>
    <w:rsid w:val="000E39B6"/>
    <w:rsid w:val="000E3D05"/>
    <w:rsid w:val="000E6C1F"/>
    <w:rsid w:val="000F2A2C"/>
    <w:rsid w:val="000F4288"/>
    <w:rsid w:val="000F7165"/>
    <w:rsid w:val="001013E5"/>
    <w:rsid w:val="00102379"/>
    <w:rsid w:val="00103722"/>
    <w:rsid w:val="001065D6"/>
    <w:rsid w:val="001068D5"/>
    <w:rsid w:val="00121252"/>
    <w:rsid w:val="00121488"/>
    <w:rsid w:val="00124609"/>
    <w:rsid w:val="001254CE"/>
    <w:rsid w:val="00126804"/>
    <w:rsid w:val="00126A52"/>
    <w:rsid w:val="001308B6"/>
    <w:rsid w:val="00135FFA"/>
    <w:rsid w:val="0013637A"/>
    <w:rsid w:val="001422CC"/>
    <w:rsid w:val="00145346"/>
    <w:rsid w:val="0014580A"/>
    <w:rsid w:val="001617B6"/>
    <w:rsid w:val="00165E66"/>
    <w:rsid w:val="00171CE3"/>
    <w:rsid w:val="00186B39"/>
    <w:rsid w:val="0019100A"/>
    <w:rsid w:val="00196143"/>
    <w:rsid w:val="001A24FC"/>
    <w:rsid w:val="001B4643"/>
    <w:rsid w:val="001C60B2"/>
    <w:rsid w:val="001C6993"/>
    <w:rsid w:val="001C7BAE"/>
    <w:rsid w:val="001D022A"/>
    <w:rsid w:val="001D57BA"/>
    <w:rsid w:val="001D5C88"/>
    <w:rsid w:val="001E31FA"/>
    <w:rsid w:val="001E48F9"/>
    <w:rsid w:val="001E64F6"/>
    <w:rsid w:val="001E7AEB"/>
    <w:rsid w:val="00204B82"/>
    <w:rsid w:val="00222BEB"/>
    <w:rsid w:val="00225E60"/>
    <w:rsid w:val="00230BBB"/>
    <w:rsid w:val="0023202C"/>
    <w:rsid w:val="00234619"/>
    <w:rsid w:val="00235BE2"/>
    <w:rsid w:val="00245043"/>
    <w:rsid w:val="0026028E"/>
    <w:rsid w:val="00263C52"/>
    <w:rsid w:val="00273AF5"/>
    <w:rsid w:val="00284FA2"/>
    <w:rsid w:val="00286DFA"/>
    <w:rsid w:val="00291235"/>
    <w:rsid w:val="00292D36"/>
    <w:rsid w:val="00294A5A"/>
    <w:rsid w:val="00297281"/>
    <w:rsid w:val="00297A47"/>
    <w:rsid w:val="002A3966"/>
    <w:rsid w:val="002A5891"/>
    <w:rsid w:val="002A5F50"/>
    <w:rsid w:val="002B03F1"/>
    <w:rsid w:val="002B5C34"/>
    <w:rsid w:val="002B5E2B"/>
    <w:rsid w:val="002B6DAA"/>
    <w:rsid w:val="002C338A"/>
    <w:rsid w:val="002C6555"/>
    <w:rsid w:val="002D70F7"/>
    <w:rsid w:val="002D711A"/>
    <w:rsid w:val="002D7336"/>
    <w:rsid w:val="002E3396"/>
    <w:rsid w:val="002E6454"/>
    <w:rsid w:val="002F2953"/>
    <w:rsid w:val="002F4E84"/>
    <w:rsid w:val="0031149C"/>
    <w:rsid w:val="0031305F"/>
    <w:rsid w:val="00314DF5"/>
    <w:rsid w:val="00317246"/>
    <w:rsid w:val="00332D4F"/>
    <w:rsid w:val="003347B2"/>
    <w:rsid w:val="0036695F"/>
    <w:rsid w:val="0036778F"/>
    <w:rsid w:val="0038586C"/>
    <w:rsid w:val="0038771C"/>
    <w:rsid w:val="003A430B"/>
    <w:rsid w:val="003A541A"/>
    <w:rsid w:val="003A6923"/>
    <w:rsid w:val="003B4519"/>
    <w:rsid w:val="003C2C67"/>
    <w:rsid w:val="003C2D4C"/>
    <w:rsid w:val="003C3B3A"/>
    <w:rsid w:val="003C5BA4"/>
    <w:rsid w:val="003D2D20"/>
    <w:rsid w:val="003E069A"/>
    <w:rsid w:val="003E3E26"/>
    <w:rsid w:val="003E609E"/>
    <w:rsid w:val="003F1295"/>
    <w:rsid w:val="003F5102"/>
    <w:rsid w:val="003F76FC"/>
    <w:rsid w:val="004002EB"/>
    <w:rsid w:val="00407A79"/>
    <w:rsid w:val="004174C8"/>
    <w:rsid w:val="004221CD"/>
    <w:rsid w:val="00422749"/>
    <w:rsid w:val="00422DDC"/>
    <w:rsid w:val="004231B5"/>
    <w:rsid w:val="004236C8"/>
    <w:rsid w:val="00427681"/>
    <w:rsid w:val="0043317F"/>
    <w:rsid w:val="00433DB7"/>
    <w:rsid w:val="00442182"/>
    <w:rsid w:val="0045347E"/>
    <w:rsid w:val="00453750"/>
    <w:rsid w:val="00456941"/>
    <w:rsid w:val="004602AE"/>
    <w:rsid w:val="00460BD5"/>
    <w:rsid w:val="00464470"/>
    <w:rsid w:val="004702EA"/>
    <w:rsid w:val="0048259C"/>
    <w:rsid w:val="00482D02"/>
    <w:rsid w:val="00484326"/>
    <w:rsid w:val="00490369"/>
    <w:rsid w:val="004A4ED0"/>
    <w:rsid w:val="004A7519"/>
    <w:rsid w:val="004A7546"/>
    <w:rsid w:val="004B64B1"/>
    <w:rsid w:val="004D01AC"/>
    <w:rsid w:val="004D3518"/>
    <w:rsid w:val="004D62D6"/>
    <w:rsid w:val="004D6898"/>
    <w:rsid w:val="004D6D5F"/>
    <w:rsid w:val="004F3F4E"/>
    <w:rsid w:val="004F43A3"/>
    <w:rsid w:val="00510167"/>
    <w:rsid w:val="00513E86"/>
    <w:rsid w:val="00515CBC"/>
    <w:rsid w:val="005306A2"/>
    <w:rsid w:val="0053416C"/>
    <w:rsid w:val="00541C2F"/>
    <w:rsid w:val="005508DA"/>
    <w:rsid w:val="00551BFA"/>
    <w:rsid w:val="00552DE4"/>
    <w:rsid w:val="00555D37"/>
    <w:rsid w:val="00563527"/>
    <w:rsid w:val="0057407A"/>
    <w:rsid w:val="0058124E"/>
    <w:rsid w:val="005875A3"/>
    <w:rsid w:val="005953EA"/>
    <w:rsid w:val="005A3416"/>
    <w:rsid w:val="005A5280"/>
    <w:rsid w:val="005B061F"/>
    <w:rsid w:val="005B27FE"/>
    <w:rsid w:val="005B5F0B"/>
    <w:rsid w:val="005B6D60"/>
    <w:rsid w:val="005B76DF"/>
    <w:rsid w:val="005B79CB"/>
    <w:rsid w:val="005D4624"/>
    <w:rsid w:val="005E08D7"/>
    <w:rsid w:val="005E4C16"/>
    <w:rsid w:val="005E5947"/>
    <w:rsid w:val="005F61DF"/>
    <w:rsid w:val="0060163A"/>
    <w:rsid w:val="006023F9"/>
    <w:rsid w:val="00610559"/>
    <w:rsid w:val="00614076"/>
    <w:rsid w:val="0063178A"/>
    <w:rsid w:val="00632AAD"/>
    <w:rsid w:val="00632F2E"/>
    <w:rsid w:val="006332F6"/>
    <w:rsid w:val="006413F2"/>
    <w:rsid w:val="0064598D"/>
    <w:rsid w:val="006534B2"/>
    <w:rsid w:val="0065615D"/>
    <w:rsid w:val="00657011"/>
    <w:rsid w:val="006650B5"/>
    <w:rsid w:val="006651B1"/>
    <w:rsid w:val="00665778"/>
    <w:rsid w:val="00676E5F"/>
    <w:rsid w:val="00680577"/>
    <w:rsid w:val="006945CA"/>
    <w:rsid w:val="006A3309"/>
    <w:rsid w:val="006A3A5A"/>
    <w:rsid w:val="006A5B34"/>
    <w:rsid w:val="006B2A76"/>
    <w:rsid w:val="006C77A9"/>
    <w:rsid w:val="006D2F37"/>
    <w:rsid w:val="006D366F"/>
    <w:rsid w:val="006D4720"/>
    <w:rsid w:val="006E6CDF"/>
    <w:rsid w:val="006F37F2"/>
    <w:rsid w:val="006F459A"/>
    <w:rsid w:val="006F6693"/>
    <w:rsid w:val="00707FE8"/>
    <w:rsid w:val="00714AAE"/>
    <w:rsid w:val="00723C27"/>
    <w:rsid w:val="00724962"/>
    <w:rsid w:val="00724A0F"/>
    <w:rsid w:val="00726D2F"/>
    <w:rsid w:val="00727A5F"/>
    <w:rsid w:val="00731F28"/>
    <w:rsid w:val="007352D2"/>
    <w:rsid w:val="00736732"/>
    <w:rsid w:val="0073693B"/>
    <w:rsid w:val="00740019"/>
    <w:rsid w:val="00746426"/>
    <w:rsid w:val="00750BF9"/>
    <w:rsid w:val="00750CBE"/>
    <w:rsid w:val="007650D2"/>
    <w:rsid w:val="00766B5A"/>
    <w:rsid w:val="00772209"/>
    <w:rsid w:val="00776C9D"/>
    <w:rsid w:val="00776E2C"/>
    <w:rsid w:val="007770A5"/>
    <w:rsid w:val="00782B36"/>
    <w:rsid w:val="007834F2"/>
    <w:rsid w:val="00791020"/>
    <w:rsid w:val="00794CB7"/>
    <w:rsid w:val="007A04D2"/>
    <w:rsid w:val="007A4444"/>
    <w:rsid w:val="007A5F82"/>
    <w:rsid w:val="007D4A1E"/>
    <w:rsid w:val="007D54AD"/>
    <w:rsid w:val="007D5F9E"/>
    <w:rsid w:val="007E098F"/>
    <w:rsid w:val="007E3BA2"/>
    <w:rsid w:val="007F1A4C"/>
    <w:rsid w:val="007F723F"/>
    <w:rsid w:val="00800D26"/>
    <w:rsid w:val="008022C3"/>
    <w:rsid w:val="008041E6"/>
    <w:rsid w:val="008065D2"/>
    <w:rsid w:val="00815A8A"/>
    <w:rsid w:val="0082194C"/>
    <w:rsid w:val="008222FF"/>
    <w:rsid w:val="008241FF"/>
    <w:rsid w:val="0083362E"/>
    <w:rsid w:val="008411E9"/>
    <w:rsid w:val="00841617"/>
    <w:rsid w:val="0084200F"/>
    <w:rsid w:val="00843B2C"/>
    <w:rsid w:val="00844F16"/>
    <w:rsid w:val="00847BE1"/>
    <w:rsid w:val="008554BE"/>
    <w:rsid w:val="00855FF9"/>
    <w:rsid w:val="008616E2"/>
    <w:rsid w:val="0086277A"/>
    <w:rsid w:val="008668A8"/>
    <w:rsid w:val="008703D8"/>
    <w:rsid w:val="008768AD"/>
    <w:rsid w:val="00880AC4"/>
    <w:rsid w:val="00893E52"/>
    <w:rsid w:val="00895D65"/>
    <w:rsid w:val="00897157"/>
    <w:rsid w:val="00897447"/>
    <w:rsid w:val="008A4900"/>
    <w:rsid w:val="008A55FE"/>
    <w:rsid w:val="008A58D2"/>
    <w:rsid w:val="008B146D"/>
    <w:rsid w:val="008B42AD"/>
    <w:rsid w:val="008B5666"/>
    <w:rsid w:val="008C2C15"/>
    <w:rsid w:val="008D0281"/>
    <w:rsid w:val="008E2348"/>
    <w:rsid w:val="008F6D45"/>
    <w:rsid w:val="00911408"/>
    <w:rsid w:val="00916AD5"/>
    <w:rsid w:val="00922944"/>
    <w:rsid w:val="00935E62"/>
    <w:rsid w:val="00936479"/>
    <w:rsid w:val="00937A10"/>
    <w:rsid w:val="0094001D"/>
    <w:rsid w:val="00953A2C"/>
    <w:rsid w:val="009601C2"/>
    <w:rsid w:val="00966115"/>
    <w:rsid w:val="009671A7"/>
    <w:rsid w:val="009834C0"/>
    <w:rsid w:val="00986AAC"/>
    <w:rsid w:val="00991C00"/>
    <w:rsid w:val="00995526"/>
    <w:rsid w:val="00996E62"/>
    <w:rsid w:val="009A00CE"/>
    <w:rsid w:val="009A19E8"/>
    <w:rsid w:val="009A1DA2"/>
    <w:rsid w:val="009A3444"/>
    <w:rsid w:val="009A3704"/>
    <w:rsid w:val="009A4739"/>
    <w:rsid w:val="009A674F"/>
    <w:rsid w:val="009A6D22"/>
    <w:rsid w:val="009B199C"/>
    <w:rsid w:val="009B1BBA"/>
    <w:rsid w:val="009B61F1"/>
    <w:rsid w:val="009B62E0"/>
    <w:rsid w:val="009C3D88"/>
    <w:rsid w:val="009E0D59"/>
    <w:rsid w:val="009E1651"/>
    <w:rsid w:val="009E3858"/>
    <w:rsid w:val="009E467D"/>
    <w:rsid w:val="009E5E60"/>
    <w:rsid w:val="009E70DD"/>
    <w:rsid w:val="009F2ED9"/>
    <w:rsid w:val="009F3231"/>
    <w:rsid w:val="009F5C58"/>
    <w:rsid w:val="00A023A0"/>
    <w:rsid w:val="00A051BE"/>
    <w:rsid w:val="00A05EBC"/>
    <w:rsid w:val="00A131B1"/>
    <w:rsid w:val="00A1562B"/>
    <w:rsid w:val="00A170F4"/>
    <w:rsid w:val="00A17160"/>
    <w:rsid w:val="00A21408"/>
    <w:rsid w:val="00A2160F"/>
    <w:rsid w:val="00A21CFD"/>
    <w:rsid w:val="00A25B78"/>
    <w:rsid w:val="00A46288"/>
    <w:rsid w:val="00A46BA8"/>
    <w:rsid w:val="00A47634"/>
    <w:rsid w:val="00A51AB9"/>
    <w:rsid w:val="00A612FE"/>
    <w:rsid w:val="00A63E9F"/>
    <w:rsid w:val="00A70B49"/>
    <w:rsid w:val="00A77D11"/>
    <w:rsid w:val="00A77E9B"/>
    <w:rsid w:val="00A83A37"/>
    <w:rsid w:val="00A92D94"/>
    <w:rsid w:val="00AA26B8"/>
    <w:rsid w:val="00AA62AD"/>
    <w:rsid w:val="00AB16CB"/>
    <w:rsid w:val="00AB2774"/>
    <w:rsid w:val="00AC0B87"/>
    <w:rsid w:val="00AC2624"/>
    <w:rsid w:val="00AC32A8"/>
    <w:rsid w:val="00AD4F4F"/>
    <w:rsid w:val="00AD7E4E"/>
    <w:rsid w:val="00AF4D58"/>
    <w:rsid w:val="00AF6666"/>
    <w:rsid w:val="00AF7BC5"/>
    <w:rsid w:val="00B81B44"/>
    <w:rsid w:val="00B82D7D"/>
    <w:rsid w:val="00B9053B"/>
    <w:rsid w:val="00BA0C37"/>
    <w:rsid w:val="00BA3782"/>
    <w:rsid w:val="00BB329A"/>
    <w:rsid w:val="00BB4D98"/>
    <w:rsid w:val="00BB4EBF"/>
    <w:rsid w:val="00BB59E0"/>
    <w:rsid w:val="00BC07DF"/>
    <w:rsid w:val="00BC3422"/>
    <w:rsid w:val="00BC6E19"/>
    <w:rsid w:val="00BD11C2"/>
    <w:rsid w:val="00BD5018"/>
    <w:rsid w:val="00BE5ADC"/>
    <w:rsid w:val="00BF4F96"/>
    <w:rsid w:val="00BF75FC"/>
    <w:rsid w:val="00C015B9"/>
    <w:rsid w:val="00C022F9"/>
    <w:rsid w:val="00C032EA"/>
    <w:rsid w:val="00C06EB5"/>
    <w:rsid w:val="00C1145F"/>
    <w:rsid w:val="00C11CD1"/>
    <w:rsid w:val="00C21FD4"/>
    <w:rsid w:val="00C25739"/>
    <w:rsid w:val="00C2601D"/>
    <w:rsid w:val="00C32D49"/>
    <w:rsid w:val="00C33AD3"/>
    <w:rsid w:val="00C35D53"/>
    <w:rsid w:val="00C377B2"/>
    <w:rsid w:val="00C41B3C"/>
    <w:rsid w:val="00C43F06"/>
    <w:rsid w:val="00C51C01"/>
    <w:rsid w:val="00C637E1"/>
    <w:rsid w:val="00C67EAC"/>
    <w:rsid w:val="00C7098C"/>
    <w:rsid w:val="00C70D50"/>
    <w:rsid w:val="00C72252"/>
    <w:rsid w:val="00C821CE"/>
    <w:rsid w:val="00C907D7"/>
    <w:rsid w:val="00C9196E"/>
    <w:rsid w:val="00C92338"/>
    <w:rsid w:val="00C92D73"/>
    <w:rsid w:val="00CA05DC"/>
    <w:rsid w:val="00CA6D46"/>
    <w:rsid w:val="00CA72B7"/>
    <w:rsid w:val="00CA7B47"/>
    <w:rsid w:val="00CB3976"/>
    <w:rsid w:val="00CC0347"/>
    <w:rsid w:val="00CD0307"/>
    <w:rsid w:val="00CD08EB"/>
    <w:rsid w:val="00CD3C79"/>
    <w:rsid w:val="00CD3D1B"/>
    <w:rsid w:val="00CE590E"/>
    <w:rsid w:val="00CE61C3"/>
    <w:rsid w:val="00CE6B4B"/>
    <w:rsid w:val="00D02663"/>
    <w:rsid w:val="00D0633E"/>
    <w:rsid w:val="00D12E74"/>
    <w:rsid w:val="00D14544"/>
    <w:rsid w:val="00D2312F"/>
    <w:rsid w:val="00D23B04"/>
    <w:rsid w:val="00D269C1"/>
    <w:rsid w:val="00D26EFE"/>
    <w:rsid w:val="00D41230"/>
    <w:rsid w:val="00D41B2F"/>
    <w:rsid w:val="00D44953"/>
    <w:rsid w:val="00D50DDD"/>
    <w:rsid w:val="00D542F3"/>
    <w:rsid w:val="00D54513"/>
    <w:rsid w:val="00D54AAE"/>
    <w:rsid w:val="00D5644B"/>
    <w:rsid w:val="00D56E25"/>
    <w:rsid w:val="00D57E89"/>
    <w:rsid w:val="00D6560D"/>
    <w:rsid w:val="00D65D77"/>
    <w:rsid w:val="00D718D7"/>
    <w:rsid w:val="00D72358"/>
    <w:rsid w:val="00D76AD4"/>
    <w:rsid w:val="00D814B7"/>
    <w:rsid w:val="00D820C2"/>
    <w:rsid w:val="00D858A3"/>
    <w:rsid w:val="00D90688"/>
    <w:rsid w:val="00DA3AAD"/>
    <w:rsid w:val="00DA3F36"/>
    <w:rsid w:val="00DB312B"/>
    <w:rsid w:val="00DC5654"/>
    <w:rsid w:val="00DC658F"/>
    <w:rsid w:val="00DC674A"/>
    <w:rsid w:val="00DD3302"/>
    <w:rsid w:val="00DE60CC"/>
    <w:rsid w:val="00E03F35"/>
    <w:rsid w:val="00E04D44"/>
    <w:rsid w:val="00E20146"/>
    <w:rsid w:val="00E20FAD"/>
    <w:rsid w:val="00E26B32"/>
    <w:rsid w:val="00E31CD4"/>
    <w:rsid w:val="00E31E60"/>
    <w:rsid w:val="00E33E08"/>
    <w:rsid w:val="00E407B6"/>
    <w:rsid w:val="00E41D82"/>
    <w:rsid w:val="00E41EF1"/>
    <w:rsid w:val="00E42942"/>
    <w:rsid w:val="00E6148E"/>
    <w:rsid w:val="00E65A0A"/>
    <w:rsid w:val="00E71BDF"/>
    <w:rsid w:val="00E75CCB"/>
    <w:rsid w:val="00E81693"/>
    <w:rsid w:val="00E8245B"/>
    <w:rsid w:val="00E82C21"/>
    <w:rsid w:val="00E82F59"/>
    <w:rsid w:val="00E83CA7"/>
    <w:rsid w:val="00E92192"/>
    <w:rsid w:val="00E95A71"/>
    <w:rsid w:val="00EB7014"/>
    <w:rsid w:val="00EC5CDE"/>
    <w:rsid w:val="00EC7F2A"/>
    <w:rsid w:val="00ED3077"/>
    <w:rsid w:val="00ED487E"/>
    <w:rsid w:val="00ED64F1"/>
    <w:rsid w:val="00EE2BF0"/>
    <w:rsid w:val="00EE33A1"/>
    <w:rsid w:val="00EE7A0D"/>
    <w:rsid w:val="00F01AD9"/>
    <w:rsid w:val="00F0222C"/>
    <w:rsid w:val="00F06647"/>
    <w:rsid w:val="00F12312"/>
    <w:rsid w:val="00F12BCD"/>
    <w:rsid w:val="00F13239"/>
    <w:rsid w:val="00F1604E"/>
    <w:rsid w:val="00F17761"/>
    <w:rsid w:val="00F17CE1"/>
    <w:rsid w:val="00F2115C"/>
    <w:rsid w:val="00F22ABA"/>
    <w:rsid w:val="00F22E09"/>
    <w:rsid w:val="00F25919"/>
    <w:rsid w:val="00F25F4B"/>
    <w:rsid w:val="00F36B12"/>
    <w:rsid w:val="00F51351"/>
    <w:rsid w:val="00F60F9F"/>
    <w:rsid w:val="00F61246"/>
    <w:rsid w:val="00F64F08"/>
    <w:rsid w:val="00F65D80"/>
    <w:rsid w:val="00F70055"/>
    <w:rsid w:val="00F734F5"/>
    <w:rsid w:val="00F73B5B"/>
    <w:rsid w:val="00F746D8"/>
    <w:rsid w:val="00F76DC3"/>
    <w:rsid w:val="00F77C4C"/>
    <w:rsid w:val="00F80A39"/>
    <w:rsid w:val="00F82998"/>
    <w:rsid w:val="00F8536E"/>
    <w:rsid w:val="00F90EA5"/>
    <w:rsid w:val="00F91F5A"/>
    <w:rsid w:val="00F966B1"/>
    <w:rsid w:val="00F97D48"/>
    <w:rsid w:val="00FA0311"/>
    <w:rsid w:val="00FA1489"/>
    <w:rsid w:val="00FA1DD9"/>
    <w:rsid w:val="00FD50F0"/>
    <w:rsid w:val="00FD640F"/>
    <w:rsid w:val="00FD64EA"/>
    <w:rsid w:val="00FD6B4C"/>
    <w:rsid w:val="00FE04C6"/>
    <w:rsid w:val="00FE0553"/>
    <w:rsid w:val="00FE1F05"/>
    <w:rsid w:val="00FE234A"/>
    <w:rsid w:val="00FE25D0"/>
    <w:rsid w:val="00FE267D"/>
    <w:rsid w:val="00FE5897"/>
    <w:rsid w:val="00FE6076"/>
    <w:rsid w:val="00FE6732"/>
    <w:rsid w:val="00FE6CB3"/>
    <w:rsid w:val="00FF41A5"/>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B4B1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A05EBC"/>
  </w:style>
  <w:style w:type="paragraph" w:styleId="Heading1">
    <w:name w:val="heading 1"/>
    <w:basedOn w:val="Normal"/>
    <w:next w:val="Normalfollowingheading"/>
    <w:link w:val="Heading1Char"/>
    <w:qFormat/>
    <w:rsid w:val="0026028E"/>
    <w:pPr>
      <w:keepNext/>
      <w:keepLines/>
      <w:framePr w:wrap="around" w:vAnchor="page" w:hAnchor="margin" w:y="1022"/>
      <w:spacing w:before="0" w:after="120" w:line="240" w:lineRule="auto"/>
      <w:outlineLvl w:val="0"/>
    </w:pPr>
    <w:rPr>
      <w:rFonts w:asciiTheme="majorHAnsi" w:eastAsiaTheme="majorEastAsia" w:hAnsiTheme="majorHAnsi" w:cstheme="majorBidi"/>
      <w:b/>
      <w:bCs/>
      <w:color w:val="0063A5" w:themeColor="text2"/>
      <w:spacing w:val="-1"/>
      <w:sz w:val="48"/>
      <w:szCs w:val="28"/>
    </w:rPr>
  </w:style>
  <w:style w:type="paragraph" w:styleId="Heading2">
    <w:name w:val="heading 2"/>
    <w:basedOn w:val="Normal"/>
    <w:next w:val="Normalfollowingheading"/>
    <w:link w:val="Heading2Char"/>
    <w:qFormat/>
    <w:rsid w:val="0026028E"/>
    <w:pPr>
      <w:keepNext/>
      <w:keepLines/>
      <w:spacing w:before="280" w:after="60" w:line="240" w:lineRule="auto"/>
      <w:outlineLvl w:val="1"/>
    </w:pPr>
    <w:rPr>
      <w:rFonts w:asciiTheme="majorHAnsi" w:eastAsiaTheme="majorEastAsia" w:hAnsiTheme="majorHAnsi" w:cstheme="majorBidi"/>
      <w:b/>
      <w:bCs/>
      <w:caps/>
      <w:color w:val="0063A5" w:themeColor="text2"/>
      <w:sz w:val="24"/>
      <w:szCs w:val="26"/>
    </w:rPr>
  </w:style>
  <w:style w:type="paragraph" w:styleId="Heading3">
    <w:name w:val="heading 3"/>
    <w:basedOn w:val="Normal"/>
    <w:next w:val="Normalfollowingheading"/>
    <w:link w:val="Heading3Char"/>
    <w:qFormat/>
    <w:rsid w:val="0026028E"/>
    <w:pPr>
      <w:keepNext/>
      <w:keepLines/>
      <w:spacing w:before="240" w:after="50" w:line="240" w:lineRule="auto"/>
      <w:outlineLvl w:val="2"/>
    </w:pPr>
    <w:rPr>
      <w:rFonts w:asciiTheme="majorHAnsi" w:eastAsiaTheme="majorEastAsia" w:hAnsiTheme="majorHAnsi" w:cstheme="majorBidi"/>
      <w:b/>
      <w:bCs/>
      <w:color w:val="000000" w:themeColor="text1"/>
      <w:sz w:val="24"/>
      <w:szCs w:val="22"/>
    </w:rPr>
  </w:style>
  <w:style w:type="paragraph" w:styleId="Heading4">
    <w:name w:val="heading 4"/>
    <w:basedOn w:val="Normal"/>
    <w:next w:val="Normalfollowingheading"/>
    <w:link w:val="Heading4Char"/>
    <w:qFormat/>
    <w:rsid w:val="0026028E"/>
    <w:pPr>
      <w:keepNext/>
      <w:keepLines/>
      <w:spacing w:before="320" w:after="70" w:line="240" w:lineRule="auto"/>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55D37"/>
    <w:pPr>
      <w:spacing w:before="60" w:after="60" w:line="192" w:lineRule="atLeast"/>
    </w:pPr>
    <w:rPr>
      <w:rFonts w:eastAsiaTheme="minorHAnsi"/>
      <w:sz w:val="16"/>
      <w:szCs w:val="21"/>
      <w:lang w:eastAsia="en-US"/>
    </w:rPr>
    <w:tblPr>
      <w:tblStyleColBandSize w:val="1"/>
      <w:tblBorders>
        <w:top w:val="single" w:sz="2" w:space="0" w:color="4D92C0"/>
        <w:bottom w:val="single" w:sz="2" w:space="0" w:color="4D92C0"/>
        <w:insideH w:val="single" w:sz="2" w:space="0" w:color="4D92C0"/>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63A5" w:themeColor="text2"/>
        <w:sz w:val="16"/>
      </w:rPr>
      <w:tblPr/>
      <w:tcPr>
        <w:tcBorders>
          <w:top w:val="single" w:sz="2" w:space="0" w:color="CCE0ED"/>
          <w:left w:val="nil"/>
          <w:bottom w:val="single" w:sz="24" w:space="0" w:color="CCE0ED"/>
          <w:right w:val="nil"/>
          <w:insideH w:val="nil"/>
          <w:insideV w:val="nil"/>
          <w:tl2br w:val="nil"/>
          <w:tr2bl w:val="nil"/>
        </w:tcBorders>
        <w:shd w:val="clear" w:color="auto" w:fill="E6EFF6" w:themeFill="background2"/>
        <w:tcMar>
          <w:top w:w="79" w:type="dxa"/>
          <w:left w:w="113" w:type="dxa"/>
          <w:bottom w:w="79"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63A5"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tblBorders>
    </w:tblPr>
    <w:tblStylePr w:type="firstRow">
      <w:pPr>
        <w:spacing w:before="0" w:after="0" w:line="240" w:lineRule="auto"/>
      </w:pPr>
      <w:rPr>
        <w:b/>
        <w:bCs/>
        <w:color w:val="FFFFFF" w:themeColor="background1"/>
      </w:rPr>
      <w:tblPr/>
      <w:tcPr>
        <w:shd w:val="clear" w:color="auto" w:fill="408ABB" w:themeFill="accent1"/>
      </w:tcPr>
    </w:tblStylePr>
    <w:tblStylePr w:type="lastRow">
      <w:pPr>
        <w:spacing w:before="0" w:after="0" w:line="240" w:lineRule="auto"/>
      </w:pPr>
      <w:rPr>
        <w:b/>
        <w:bCs/>
      </w:rPr>
      <w:tblPr/>
      <w:tcPr>
        <w:tcBorders>
          <w:top w:val="double" w:sz="6" w:space="0" w:color="408ABB" w:themeColor="accent1"/>
          <w:left w:val="single" w:sz="8" w:space="0" w:color="408ABB" w:themeColor="accent1"/>
          <w:bottom w:val="single" w:sz="8" w:space="0" w:color="408ABB" w:themeColor="accent1"/>
          <w:right w:val="single" w:sz="8" w:space="0" w:color="408ABB" w:themeColor="accent1"/>
        </w:tcBorders>
      </w:tcPr>
    </w:tblStylePr>
    <w:tblStylePr w:type="firstCol">
      <w:rPr>
        <w:b/>
        <w:bCs/>
      </w:rPr>
    </w:tblStylePr>
    <w:tblStylePr w:type="lastCol">
      <w:rPr>
        <w:b/>
        <w:bCs/>
      </w:rPr>
    </w:tblStylePr>
    <w:tblStylePr w:type="band1Vert">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tcPr>
    </w:tblStylePr>
    <w:tblStylePr w:type="band1Horz">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63A5"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A05EBC"/>
    <w:rPr>
      <w:rFonts w:asciiTheme="majorHAnsi" w:eastAsiaTheme="majorEastAsia" w:hAnsiTheme="majorHAnsi" w:cstheme="majorBidi"/>
      <w:b/>
      <w:bCs/>
      <w:color w:val="0063A5" w:themeColor="text2"/>
      <w:spacing w:val="-1"/>
      <w:sz w:val="48"/>
      <w:szCs w:val="28"/>
    </w:rPr>
  </w:style>
  <w:style w:type="character" w:customStyle="1" w:styleId="Heading2Char">
    <w:name w:val="Heading 2 Char"/>
    <w:basedOn w:val="DefaultParagraphFont"/>
    <w:link w:val="Heading2"/>
    <w:rsid w:val="00A05EBC"/>
    <w:rPr>
      <w:rFonts w:asciiTheme="majorHAnsi" w:eastAsiaTheme="majorEastAsia" w:hAnsiTheme="majorHAnsi" w:cstheme="majorBidi"/>
      <w:b/>
      <w:bCs/>
      <w:caps/>
      <w:color w:val="0063A5" w:themeColor="text2"/>
      <w:sz w:val="24"/>
      <w:szCs w:val="26"/>
    </w:rPr>
  </w:style>
  <w:style w:type="paragraph" w:customStyle="1" w:styleId="Bullet1">
    <w:name w:val="Bullet 1"/>
    <w:uiPriority w:val="1"/>
    <w:qFormat/>
    <w:rsid w:val="00D76AD4"/>
    <w:pPr>
      <w:numPr>
        <w:numId w:val="12"/>
      </w:numPr>
      <w:spacing w:before="60" w:after="60"/>
    </w:pPr>
    <w:rPr>
      <w:rFonts w:eastAsia="Times New Roman" w:cs="Calibri"/>
      <w:spacing w:val="2"/>
    </w:rPr>
  </w:style>
  <w:style w:type="paragraph" w:customStyle="1" w:styleId="Bullet2">
    <w:name w:val="Bullet 2"/>
    <w:basedOn w:val="Bullet1"/>
    <w:uiPriority w:val="1"/>
    <w:qFormat/>
    <w:rsid w:val="00D76AD4"/>
    <w:pPr>
      <w:numPr>
        <w:ilvl w:val="1"/>
      </w:numPr>
    </w:pPr>
  </w:style>
  <w:style w:type="paragraph" w:styleId="Quote">
    <w:name w:val="Quote"/>
    <w:basedOn w:val="Normal"/>
    <w:next w:val="Normal"/>
    <w:link w:val="QuoteChar"/>
    <w:uiPriority w:val="1"/>
    <w:qFormat/>
    <w:rsid w:val="00121488"/>
    <w:pPr>
      <w:ind w:left="567" w:right="567"/>
      <w:jc w:val="center"/>
    </w:pPr>
    <w:rPr>
      <w:i/>
      <w:iCs/>
      <w:color w:val="408ABB" w:themeColor="accen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A05EBC"/>
    <w:rPr>
      <w:rFonts w:asciiTheme="majorHAnsi" w:eastAsiaTheme="majorEastAsia" w:hAnsiTheme="majorHAnsi" w:cstheme="majorBidi"/>
      <w:b/>
      <w:bCs/>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A05EBC"/>
    <w:rPr>
      <w:rFonts w:asciiTheme="majorHAnsi" w:eastAsiaTheme="majorEastAsia" w:hAnsiTheme="majorHAnsi" w:cstheme="majorBidi"/>
      <w:b/>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DA3F36"/>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A46288"/>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rsid w:val="00A05EB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794CB7"/>
    <w:pPr>
      <w:pBdr>
        <w:top w:val="single" w:sz="24" w:space="6" w:color="CCCCD0" w:themeColor="accent6"/>
      </w:pBdr>
      <w:spacing w:before="0" w:after="1260" w:line="240" w:lineRule="auto"/>
      <w:contextualSpacing/>
    </w:pPr>
    <w:rPr>
      <w:rFonts w:asciiTheme="majorHAnsi" w:eastAsia="Times New Roman" w:hAnsiTheme="majorHAnsi" w:cstheme="majorHAnsi"/>
      <w:b/>
      <w:caps/>
      <w:color w:val="0063A5" w:themeColor="text2"/>
      <w:sz w:val="48"/>
      <w:szCs w:val="22"/>
    </w:rPr>
  </w:style>
  <w:style w:type="character" w:customStyle="1" w:styleId="TitleChar">
    <w:name w:val="Title Char"/>
    <w:basedOn w:val="DefaultParagraphFont"/>
    <w:link w:val="Title"/>
    <w:uiPriority w:val="99"/>
    <w:rsid w:val="00794CB7"/>
    <w:rPr>
      <w:rFonts w:asciiTheme="majorHAnsi" w:eastAsia="Times New Roman" w:hAnsiTheme="majorHAnsi" w:cstheme="majorHAnsi"/>
      <w:b/>
      <w:caps/>
      <w:color w:val="0063A5" w:themeColor="text2"/>
      <w:sz w:val="48"/>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121488"/>
    <w:rPr>
      <w:i/>
      <w:iCs/>
      <w:color w:val="408ABB" w:themeColor="accen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8971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97157"/>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E7F1" w:themeFill="accent1" w:themeFillTint="33"/>
    </w:tcPr>
    <w:tblStylePr w:type="firstRow">
      <w:rPr>
        <w:b/>
        <w:bCs/>
      </w:rPr>
      <w:tblPr/>
      <w:tcPr>
        <w:shd w:val="clear" w:color="auto" w:fill="B1D0E4" w:themeFill="accent1" w:themeFillTint="66"/>
      </w:tcPr>
    </w:tblStylePr>
    <w:tblStylePr w:type="lastRow">
      <w:rPr>
        <w:b/>
        <w:bCs/>
        <w:color w:val="000000" w:themeColor="text1"/>
      </w:rPr>
      <w:tblPr/>
      <w:tcPr>
        <w:shd w:val="clear" w:color="auto" w:fill="B1D0E4" w:themeFill="accent1" w:themeFillTint="66"/>
      </w:tcPr>
    </w:tblStylePr>
    <w:tblStylePr w:type="firstCol">
      <w:rPr>
        <w:color w:val="FFFFFF" w:themeColor="background1"/>
      </w:rPr>
      <w:tblPr/>
      <w:tcPr>
        <w:shd w:val="clear" w:color="auto" w:fill="30678C" w:themeFill="accent1" w:themeFillShade="BF"/>
      </w:tcPr>
    </w:tblStylePr>
    <w:tblStylePr w:type="lastCol">
      <w:rPr>
        <w:color w:val="FFFFFF" w:themeColor="background1"/>
      </w:rPr>
      <w:tblPr/>
      <w:tcPr>
        <w:shd w:val="clear" w:color="auto" w:fill="30678C" w:themeFill="accent1" w:themeFillShade="BF"/>
      </w:tcPr>
    </w:tblStylePr>
    <w:tblStylePr w:type="band1Vert">
      <w:tblPr/>
      <w:tcPr>
        <w:shd w:val="clear" w:color="auto" w:fill="9EC4DE" w:themeFill="accent1" w:themeFillTint="7F"/>
      </w:tcPr>
    </w:tblStylePr>
    <w:tblStylePr w:type="band1Horz">
      <w:tblPr/>
      <w:tcPr>
        <w:shd w:val="clear" w:color="auto" w:fill="9EC4DE"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4"/>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63A5"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1"/>
    <w:semiHidden/>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FF6" w:themeFill="accent2" w:themeFillTint="33"/>
    </w:tcPr>
    <w:tblStylePr w:type="firstRow">
      <w:rPr>
        <w:b/>
        <w:bCs/>
      </w:rPr>
      <w:tblPr/>
      <w:tcPr>
        <w:shd w:val="clear" w:color="auto" w:fill="CCDFED" w:themeFill="accent2" w:themeFillTint="66"/>
      </w:tcPr>
    </w:tblStylePr>
    <w:tblStylePr w:type="lastRow">
      <w:rPr>
        <w:b/>
        <w:bCs/>
        <w:color w:val="000000" w:themeColor="text1"/>
      </w:rPr>
      <w:tblPr/>
      <w:tcPr>
        <w:shd w:val="clear" w:color="auto" w:fill="CCDFED" w:themeFill="accent2" w:themeFillTint="66"/>
      </w:tcPr>
    </w:tblStylePr>
    <w:tblStylePr w:type="firstCol">
      <w:rPr>
        <w:color w:val="FFFFFF" w:themeColor="background1"/>
      </w:rPr>
      <w:tblPr/>
      <w:tcPr>
        <w:shd w:val="clear" w:color="auto" w:fill="428ABA" w:themeFill="accent2" w:themeFillShade="BF"/>
      </w:tcPr>
    </w:tblStylePr>
    <w:tblStylePr w:type="lastCol">
      <w:rPr>
        <w:color w:val="FFFFFF" w:themeColor="background1"/>
      </w:rPr>
      <w:tblPr/>
      <w:tcPr>
        <w:shd w:val="clear" w:color="auto" w:fill="428ABA" w:themeFill="accent2" w:themeFillShade="BF"/>
      </w:tcPr>
    </w:tblStylePr>
    <w:tblStylePr w:type="band1Vert">
      <w:tblPr/>
      <w:tcPr>
        <w:shd w:val="clear" w:color="auto" w:fill="BFD8E8" w:themeFill="accent2" w:themeFillTint="7F"/>
      </w:tcPr>
    </w:tblStylePr>
    <w:tblStylePr w:type="band1Horz">
      <w:tblPr/>
      <w:tcPr>
        <w:shd w:val="clear" w:color="auto" w:fill="BFD8E8"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7FA" w:themeFill="accent3" w:themeFillTint="33"/>
    </w:tcPr>
    <w:tblStylePr w:type="firstRow">
      <w:rPr>
        <w:b/>
        <w:bCs/>
      </w:rPr>
      <w:tblPr/>
      <w:tcPr>
        <w:shd w:val="clear" w:color="auto" w:fill="E5EFF5" w:themeFill="accent3" w:themeFillTint="66"/>
      </w:tcPr>
    </w:tblStylePr>
    <w:tblStylePr w:type="lastRow">
      <w:rPr>
        <w:b/>
        <w:bCs/>
        <w:color w:val="000000" w:themeColor="text1"/>
      </w:rPr>
      <w:tblPr/>
      <w:tcPr>
        <w:shd w:val="clear" w:color="auto" w:fill="E5EFF5" w:themeFill="accent3" w:themeFillTint="66"/>
      </w:tcPr>
    </w:tblStylePr>
    <w:tblStylePr w:type="firstCol">
      <w:rPr>
        <w:color w:val="FFFFFF" w:themeColor="background1"/>
      </w:rPr>
      <w:tblPr/>
      <w:tcPr>
        <w:shd w:val="clear" w:color="auto" w:fill="70A8CC" w:themeFill="accent3" w:themeFillShade="BF"/>
      </w:tcPr>
    </w:tblStylePr>
    <w:tblStylePr w:type="lastCol">
      <w:rPr>
        <w:color w:val="FFFFFF" w:themeColor="background1"/>
      </w:rPr>
      <w:tblPr/>
      <w:tcPr>
        <w:shd w:val="clear" w:color="auto" w:fill="70A8CC" w:themeFill="accent3" w:themeFillShade="BF"/>
      </w:tcPr>
    </w:tblStylePr>
    <w:tblStylePr w:type="band1Vert">
      <w:tblPr/>
      <w:tcPr>
        <w:shd w:val="clear" w:color="auto" w:fill="DFEBF3" w:themeFill="accent3" w:themeFillTint="7F"/>
      </w:tcPr>
    </w:tblStylePr>
    <w:tblStylePr w:type="band1Horz">
      <w:tblPr/>
      <w:tcPr>
        <w:shd w:val="clear" w:color="auto" w:fill="DFEBF3"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63A5" w:themeColor="text2"/>
      <w:szCs w:val="18"/>
    </w:rPr>
  </w:style>
  <w:style w:type="paragraph" w:customStyle="1" w:styleId="Tablechartdiagramheading">
    <w:name w:val="Table/chart/diagram heading"/>
    <w:next w:val="Normal"/>
    <w:uiPriority w:val="2"/>
    <w:qFormat/>
    <w:rsid w:val="00897157"/>
    <w:pPr>
      <w:tabs>
        <w:tab w:val="left" w:pos="1080"/>
      </w:tabs>
      <w:spacing w:before="280" w:after="210" w:line="260" w:lineRule="atLeast"/>
    </w:pPr>
    <w:rPr>
      <w:b/>
      <w:bCs/>
      <w:color w:val="0063A5" w:themeColor="text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E03F35"/>
    <w:pPr>
      <w:spacing w:before="280" w:after="60"/>
    </w:pPr>
    <w:rPr>
      <w:b/>
      <w:color w:val="0063A5" w:themeColor="text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E92C0" w:themeFill="accent2" w:themeFillShade="CC"/>
      </w:tcPr>
    </w:tblStylePr>
    <w:tblStylePr w:type="lastRow">
      <w:rPr>
        <w:b/>
        <w:bCs/>
        <w:color w:val="4E92C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3F8" w:themeFill="accent1" w:themeFillTint="19"/>
    </w:tcPr>
    <w:tblStylePr w:type="firstRow">
      <w:rPr>
        <w:b/>
        <w:bCs/>
        <w:color w:val="FFFFFF" w:themeColor="background1"/>
      </w:rPr>
      <w:tblPr/>
      <w:tcPr>
        <w:tcBorders>
          <w:bottom w:val="single" w:sz="12" w:space="0" w:color="FFFFFF" w:themeColor="background1"/>
        </w:tcBorders>
        <w:shd w:val="clear" w:color="auto" w:fill="4E92C0" w:themeFill="accent2" w:themeFillShade="CC"/>
      </w:tcPr>
    </w:tblStylePr>
    <w:tblStylePr w:type="lastRow">
      <w:rPr>
        <w:b/>
        <w:bCs/>
        <w:color w:val="4E92C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2EE" w:themeFill="accent1" w:themeFillTint="3F"/>
      </w:tcPr>
    </w:tblStylePr>
    <w:tblStylePr w:type="band1Horz">
      <w:tblPr/>
      <w:tcPr>
        <w:shd w:val="clear" w:color="auto" w:fill="D8E7F1"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7FA" w:themeFill="accent2" w:themeFillTint="19"/>
    </w:tcPr>
    <w:tblStylePr w:type="firstRow">
      <w:rPr>
        <w:b/>
        <w:bCs/>
        <w:color w:val="FFFFFF" w:themeColor="background1"/>
      </w:rPr>
      <w:tblPr/>
      <w:tcPr>
        <w:tcBorders>
          <w:bottom w:val="single" w:sz="12" w:space="0" w:color="FFFFFF" w:themeColor="background1"/>
        </w:tcBorders>
        <w:shd w:val="clear" w:color="auto" w:fill="4E92C0" w:themeFill="accent2" w:themeFillShade="CC"/>
      </w:tcPr>
    </w:tblStylePr>
    <w:tblStylePr w:type="lastRow">
      <w:rPr>
        <w:b/>
        <w:bCs/>
        <w:color w:val="4E92C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BF3" w:themeFill="accent2" w:themeFillTint="3F"/>
      </w:tcPr>
    </w:tblStylePr>
    <w:tblStylePr w:type="band1Horz">
      <w:tblPr/>
      <w:tcPr>
        <w:shd w:val="clear" w:color="auto" w:fill="E5EFF6"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9" w:themeFill="accent3" w:themeFillTint="3F"/>
      </w:tcPr>
    </w:tblStylePr>
    <w:tblStylePr w:type="band1Horz">
      <w:tblPr/>
      <w:tcPr>
        <w:shd w:val="clear" w:color="auto" w:fill="F2F7FA"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0B1D1" w:themeFill="accent3" w:themeFillShade="CC"/>
      </w:tcPr>
    </w:tblStylePr>
    <w:tblStylePr w:type="lastRow">
      <w:rPr>
        <w:b/>
        <w:bCs/>
        <w:color w:val="80B1D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1D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1D2" w:themeColor="accent2"/>
        <w:left w:val="single" w:sz="4" w:space="0" w:color="408ABB" w:themeColor="accent1"/>
        <w:bottom w:val="single" w:sz="4" w:space="0" w:color="408ABB" w:themeColor="accent1"/>
        <w:right w:val="single" w:sz="4" w:space="0" w:color="408ABB" w:themeColor="accent1"/>
        <w:insideH w:val="single" w:sz="4" w:space="0" w:color="FFFFFF" w:themeColor="background1"/>
        <w:insideV w:val="single" w:sz="4" w:space="0" w:color="FFFFFF" w:themeColor="background1"/>
      </w:tblBorders>
    </w:tblPr>
    <w:tcPr>
      <w:shd w:val="clear" w:color="auto" w:fill="EBF3F8" w:themeFill="accent1" w:themeFillTint="19"/>
    </w:tcPr>
    <w:tblStylePr w:type="firstRow">
      <w:rPr>
        <w:b/>
        <w:bCs/>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26F" w:themeFill="accent1" w:themeFillShade="99"/>
      </w:tcPr>
    </w:tblStylePr>
    <w:tblStylePr w:type="firstCol">
      <w:rPr>
        <w:color w:val="FFFFFF" w:themeColor="background1"/>
      </w:rPr>
      <w:tblPr/>
      <w:tcPr>
        <w:tcBorders>
          <w:top w:val="nil"/>
          <w:left w:val="nil"/>
          <w:bottom w:val="nil"/>
          <w:right w:val="nil"/>
          <w:insideH w:val="single" w:sz="4" w:space="0" w:color="26526F" w:themeColor="accent1" w:themeShade="99"/>
          <w:insideV w:val="nil"/>
        </w:tcBorders>
        <w:shd w:val="clear" w:color="auto" w:fill="2652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26F" w:themeFill="accent1" w:themeFillShade="99"/>
      </w:tcPr>
    </w:tblStylePr>
    <w:tblStylePr w:type="band1Vert">
      <w:tblPr/>
      <w:tcPr>
        <w:shd w:val="clear" w:color="auto" w:fill="B1D0E4" w:themeFill="accent1" w:themeFillTint="66"/>
      </w:tcPr>
    </w:tblStylePr>
    <w:tblStylePr w:type="band1Horz">
      <w:tblPr/>
      <w:tcPr>
        <w:shd w:val="clear" w:color="auto" w:fill="9EC4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1D2" w:themeColor="accent2"/>
        <w:left w:val="single" w:sz="4" w:space="0" w:color="80B1D2" w:themeColor="accent2"/>
        <w:bottom w:val="single" w:sz="4" w:space="0" w:color="80B1D2" w:themeColor="accent2"/>
        <w:right w:val="single" w:sz="4" w:space="0" w:color="80B1D2" w:themeColor="accent2"/>
        <w:insideH w:val="single" w:sz="4" w:space="0" w:color="FFFFFF" w:themeColor="background1"/>
        <w:insideV w:val="single" w:sz="4" w:space="0" w:color="FFFFFF" w:themeColor="background1"/>
      </w:tblBorders>
    </w:tblPr>
    <w:tcPr>
      <w:shd w:val="clear" w:color="auto" w:fill="F2F7FA" w:themeFill="accent2" w:themeFillTint="19"/>
    </w:tcPr>
    <w:tblStylePr w:type="firstRow">
      <w:rPr>
        <w:b/>
        <w:bCs/>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E95" w:themeFill="accent2" w:themeFillShade="99"/>
      </w:tcPr>
    </w:tblStylePr>
    <w:tblStylePr w:type="firstCol">
      <w:rPr>
        <w:color w:val="FFFFFF" w:themeColor="background1"/>
      </w:rPr>
      <w:tblPr/>
      <w:tcPr>
        <w:tcBorders>
          <w:top w:val="nil"/>
          <w:left w:val="nil"/>
          <w:bottom w:val="nil"/>
          <w:right w:val="nil"/>
          <w:insideH w:val="single" w:sz="4" w:space="0" w:color="356E95" w:themeColor="accent2" w:themeShade="99"/>
          <w:insideV w:val="nil"/>
        </w:tcBorders>
        <w:shd w:val="clear" w:color="auto" w:fill="356E9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56E95" w:themeFill="accent2" w:themeFillShade="99"/>
      </w:tcPr>
    </w:tblStylePr>
    <w:tblStylePr w:type="band1Vert">
      <w:tblPr/>
      <w:tcPr>
        <w:shd w:val="clear" w:color="auto" w:fill="CCDFED" w:themeFill="accent2" w:themeFillTint="66"/>
      </w:tcPr>
    </w:tblStylePr>
    <w:tblStylePr w:type="band1Horz">
      <w:tblPr/>
      <w:tcPr>
        <w:shd w:val="clear" w:color="auto" w:fill="BFD8E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8E8" w:themeColor="accent3"/>
        <w:bottom w:val="single" w:sz="4" w:space="0" w:color="BFD8E8" w:themeColor="accent3"/>
        <w:right w:val="single" w:sz="4" w:space="0" w:color="BFD8E8"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BBA" w:themeFill="accent3" w:themeFillShade="99"/>
      </w:tcPr>
    </w:tblStylePr>
    <w:tblStylePr w:type="firstCol">
      <w:rPr>
        <w:color w:val="FFFFFF" w:themeColor="background1"/>
      </w:rPr>
      <w:tblPr/>
      <w:tcPr>
        <w:tcBorders>
          <w:top w:val="nil"/>
          <w:left w:val="nil"/>
          <w:bottom w:val="nil"/>
          <w:right w:val="nil"/>
          <w:insideH w:val="single" w:sz="4" w:space="0" w:color="438BBA" w:themeColor="accent3" w:themeShade="99"/>
          <w:insideV w:val="nil"/>
        </w:tcBorders>
        <w:shd w:val="clear" w:color="auto" w:fill="438BB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38BBA" w:themeFill="accent3" w:themeFillShade="99"/>
      </w:tcPr>
    </w:tblStylePr>
    <w:tblStylePr w:type="band1Vert">
      <w:tblPr/>
      <w:tcPr>
        <w:shd w:val="clear" w:color="auto" w:fill="E5EFF5" w:themeFill="accent3" w:themeFillTint="66"/>
      </w:tcPr>
    </w:tblStylePr>
    <w:tblStylePr w:type="band1Horz">
      <w:tblPr/>
      <w:tcPr>
        <w:shd w:val="clear" w:color="auto" w:fill="DFEBF3"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8E8"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8E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8AB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678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678C" w:themeFill="accent1" w:themeFillShade="BF"/>
      </w:tcPr>
    </w:tblStylePr>
    <w:tblStylePr w:type="band1Vert">
      <w:tblPr/>
      <w:tcPr>
        <w:tcBorders>
          <w:top w:val="nil"/>
          <w:left w:val="nil"/>
          <w:bottom w:val="nil"/>
          <w:right w:val="nil"/>
          <w:insideH w:val="nil"/>
          <w:insideV w:val="nil"/>
        </w:tcBorders>
        <w:shd w:val="clear" w:color="auto" w:fill="30678C" w:themeFill="accent1" w:themeFillShade="BF"/>
      </w:tcPr>
    </w:tblStylePr>
    <w:tblStylePr w:type="band1Horz">
      <w:tblPr/>
      <w:tcPr>
        <w:tcBorders>
          <w:top w:val="nil"/>
          <w:left w:val="nil"/>
          <w:bottom w:val="nil"/>
          <w:right w:val="nil"/>
          <w:insideH w:val="nil"/>
          <w:insideV w:val="nil"/>
        </w:tcBorders>
        <w:shd w:val="clear" w:color="auto" w:fill="30678C"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1D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B7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28AB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28ABA" w:themeFill="accent2" w:themeFillShade="BF"/>
      </w:tcPr>
    </w:tblStylePr>
    <w:tblStylePr w:type="band1Vert">
      <w:tblPr/>
      <w:tcPr>
        <w:tcBorders>
          <w:top w:val="nil"/>
          <w:left w:val="nil"/>
          <w:bottom w:val="nil"/>
          <w:right w:val="nil"/>
          <w:insideH w:val="nil"/>
          <w:insideV w:val="nil"/>
        </w:tcBorders>
        <w:shd w:val="clear" w:color="auto" w:fill="428ABA" w:themeFill="accent2" w:themeFillShade="BF"/>
      </w:tcPr>
    </w:tblStylePr>
    <w:tblStylePr w:type="band1Horz">
      <w:tblPr/>
      <w:tcPr>
        <w:tcBorders>
          <w:top w:val="nil"/>
          <w:left w:val="nil"/>
          <w:bottom w:val="nil"/>
          <w:right w:val="nil"/>
          <w:insideH w:val="nil"/>
          <w:insideV w:val="nil"/>
        </w:tcBorders>
        <w:shd w:val="clear" w:color="auto" w:fill="428ABA"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8E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749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A8C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A8CC" w:themeFill="accent3" w:themeFillShade="BF"/>
      </w:tcPr>
    </w:tblStylePr>
    <w:tblStylePr w:type="band1Vert">
      <w:tblPr/>
      <w:tcPr>
        <w:tcBorders>
          <w:top w:val="nil"/>
          <w:left w:val="nil"/>
          <w:bottom w:val="nil"/>
          <w:right w:val="nil"/>
          <w:insideH w:val="nil"/>
          <w:insideV w:val="nil"/>
        </w:tcBorders>
        <w:shd w:val="clear" w:color="auto" w:fill="70A8CC" w:themeFill="accent3" w:themeFillShade="BF"/>
      </w:tcPr>
    </w:tblStylePr>
    <w:tblStylePr w:type="band1Horz">
      <w:tblPr/>
      <w:tcPr>
        <w:tcBorders>
          <w:top w:val="nil"/>
          <w:left w:val="nil"/>
          <w:bottom w:val="nil"/>
          <w:right w:val="nil"/>
          <w:insideH w:val="nil"/>
          <w:insideV w:val="nil"/>
        </w:tcBorders>
        <w:shd w:val="clear" w:color="auto" w:fill="70A8CC"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B1D0E4" w:themeColor="accent1" w:themeTint="66"/>
        <w:left w:val="single" w:sz="4" w:space="0" w:color="B1D0E4" w:themeColor="accent1" w:themeTint="66"/>
        <w:bottom w:val="single" w:sz="4" w:space="0" w:color="B1D0E4" w:themeColor="accent1" w:themeTint="66"/>
        <w:right w:val="single" w:sz="4" w:space="0" w:color="B1D0E4" w:themeColor="accent1" w:themeTint="66"/>
        <w:insideH w:val="single" w:sz="4" w:space="0" w:color="B1D0E4" w:themeColor="accent1" w:themeTint="66"/>
        <w:insideV w:val="single" w:sz="4" w:space="0" w:color="B1D0E4" w:themeColor="accent1" w:themeTint="66"/>
      </w:tblBorders>
    </w:tblPr>
    <w:tblStylePr w:type="firstRow">
      <w:rPr>
        <w:b/>
        <w:bCs/>
      </w:rPr>
      <w:tblPr/>
      <w:tcPr>
        <w:tcBorders>
          <w:bottom w:val="single" w:sz="12" w:space="0" w:color="8BB8D7" w:themeColor="accent1" w:themeTint="99"/>
        </w:tcBorders>
      </w:tcPr>
    </w:tblStylePr>
    <w:tblStylePr w:type="lastRow">
      <w:rPr>
        <w:b/>
        <w:bCs/>
      </w:rPr>
      <w:tblPr/>
      <w:tcPr>
        <w:tcBorders>
          <w:top w:val="double" w:sz="2" w:space="0" w:color="8BB8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DFED" w:themeColor="accent2" w:themeTint="66"/>
        <w:left w:val="single" w:sz="4" w:space="0" w:color="CCDFED" w:themeColor="accent2" w:themeTint="66"/>
        <w:bottom w:val="single" w:sz="4" w:space="0" w:color="CCDFED" w:themeColor="accent2" w:themeTint="66"/>
        <w:right w:val="single" w:sz="4" w:space="0" w:color="CCDFED" w:themeColor="accent2" w:themeTint="66"/>
        <w:insideH w:val="single" w:sz="4" w:space="0" w:color="CCDFED" w:themeColor="accent2" w:themeTint="66"/>
        <w:insideV w:val="single" w:sz="4" w:space="0" w:color="CCDFED" w:themeColor="accent2" w:themeTint="66"/>
      </w:tblBorders>
    </w:tblPr>
    <w:tblStylePr w:type="firstRow">
      <w:rPr>
        <w:b/>
        <w:bCs/>
      </w:rPr>
      <w:tblPr/>
      <w:tcPr>
        <w:tcBorders>
          <w:bottom w:val="single" w:sz="12" w:space="0" w:color="B2D0E4" w:themeColor="accent2" w:themeTint="99"/>
        </w:tcBorders>
      </w:tcPr>
    </w:tblStylePr>
    <w:tblStylePr w:type="lastRow">
      <w:rPr>
        <w:b/>
        <w:bCs/>
      </w:rPr>
      <w:tblPr/>
      <w:tcPr>
        <w:tcBorders>
          <w:top w:val="double" w:sz="2" w:space="0" w:color="B2D0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EFF5" w:themeColor="accent3" w:themeTint="66"/>
        <w:left w:val="single" w:sz="4" w:space="0" w:color="E5EFF5" w:themeColor="accent3" w:themeTint="66"/>
        <w:bottom w:val="single" w:sz="4" w:space="0" w:color="E5EFF5" w:themeColor="accent3" w:themeTint="66"/>
        <w:right w:val="single" w:sz="4" w:space="0" w:color="E5EFF5" w:themeColor="accent3" w:themeTint="66"/>
        <w:insideH w:val="single" w:sz="4" w:space="0" w:color="E5EFF5" w:themeColor="accent3" w:themeTint="66"/>
        <w:insideV w:val="single" w:sz="4" w:space="0" w:color="E5EFF5" w:themeColor="accent3" w:themeTint="66"/>
      </w:tblBorders>
    </w:tblPr>
    <w:tblStylePr w:type="firstRow">
      <w:rPr>
        <w:b/>
        <w:bCs/>
      </w:rPr>
      <w:tblPr/>
      <w:tcPr>
        <w:tcBorders>
          <w:bottom w:val="single" w:sz="12" w:space="0" w:color="D8E7F1" w:themeColor="accent3" w:themeTint="99"/>
        </w:tcBorders>
      </w:tcPr>
    </w:tblStylePr>
    <w:tblStylePr w:type="lastRow">
      <w:rPr>
        <w:b/>
        <w:bCs/>
      </w:rPr>
      <w:tblPr/>
      <w:tcPr>
        <w:tcBorders>
          <w:top w:val="double" w:sz="2" w:space="0" w:color="D8E7F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BB8D7" w:themeColor="accent1" w:themeTint="99"/>
        <w:bottom w:val="single" w:sz="2" w:space="0" w:color="8BB8D7" w:themeColor="accent1" w:themeTint="99"/>
        <w:insideH w:val="single" w:sz="2" w:space="0" w:color="8BB8D7" w:themeColor="accent1" w:themeTint="99"/>
        <w:insideV w:val="single" w:sz="2" w:space="0" w:color="8BB8D7" w:themeColor="accent1" w:themeTint="99"/>
      </w:tblBorders>
    </w:tblPr>
    <w:tblStylePr w:type="firstRow">
      <w:rPr>
        <w:b/>
        <w:bCs/>
      </w:rPr>
      <w:tblPr/>
      <w:tcPr>
        <w:tcBorders>
          <w:top w:val="nil"/>
          <w:bottom w:val="single" w:sz="12" w:space="0" w:color="8BB8D7" w:themeColor="accent1" w:themeTint="99"/>
          <w:insideH w:val="nil"/>
          <w:insideV w:val="nil"/>
        </w:tcBorders>
        <w:shd w:val="clear" w:color="auto" w:fill="FFFFFF" w:themeFill="background1"/>
      </w:tcPr>
    </w:tblStylePr>
    <w:tblStylePr w:type="lastRow">
      <w:rPr>
        <w:b/>
        <w:bCs/>
      </w:rPr>
      <w:tblPr/>
      <w:tcPr>
        <w:tcBorders>
          <w:top w:val="double" w:sz="2" w:space="0" w:color="8BB8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0E4" w:themeColor="accent2" w:themeTint="99"/>
        <w:bottom w:val="single" w:sz="2" w:space="0" w:color="B2D0E4" w:themeColor="accent2" w:themeTint="99"/>
        <w:insideH w:val="single" w:sz="2" w:space="0" w:color="B2D0E4" w:themeColor="accent2" w:themeTint="99"/>
        <w:insideV w:val="single" w:sz="2" w:space="0" w:color="B2D0E4" w:themeColor="accent2" w:themeTint="99"/>
      </w:tblBorders>
    </w:tblPr>
    <w:tblStylePr w:type="firstRow">
      <w:rPr>
        <w:b/>
        <w:bCs/>
      </w:rPr>
      <w:tblPr/>
      <w:tcPr>
        <w:tcBorders>
          <w:top w:val="nil"/>
          <w:bottom w:val="single" w:sz="12" w:space="0" w:color="B2D0E4" w:themeColor="accent2" w:themeTint="99"/>
          <w:insideH w:val="nil"/>
          <w:insideV w:val="nil"/>
        </w:tcBorders>
        <w:shd w:val="clear" w:color="auto" w:fill="FFFFFF" w:themeFill="background1"/>
      </w:tcPr>
    </w:tblStylePr>
    <w:tblStylePr w:type="lastRow">
      <w:rPr>
        <w:b/>
        <w:bCs/>
      </w:rPr>
      <w:tblPr/>
      <w:tcPr>
        <w:tcBorders>
          <w:top w:val="double" w:sz="2" w:space="0" w:color="B2D0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7F1" w:themeColor="accent3" w:themeTint="99"/>
        <w:bottom w:val="single" w:sz="2" w:space="0" w:color="D8E7F1" w:themeColor="accent3" w:themeTint="99"/>
        <w:insideH w:val="single" w:sz="2" w:space="0" w:color="D8E7F1" w:themeColor="accent3" w:themeTint="99"/>
        <w:insideV w:val="single" w:sz="2" w:space="0" w:color="D8E7F1" w:themeColor="accent3" w:themeTint="99"/>
      </w:tblBorders>
    </w:tblPr>
    <w:tblStylePr w:type="firstRow">
      <w:rPr>
        <w:b/>
        <w:bCs/>
      </w:rPr>
      <w:tblPr/>
      <w:tcPr>
        <w:tcBorders>
          <w:top w:val="nil"/>
          <w:bottom w:val="single" w:sz="12" w:space="0" w:color="D8E7F1" w:themeColor="accent3" w:themeTint="99"/>
          <w:insideH w:val="nil"/>
          <w:insideV w:val="nil"/>
        </w:tcBorders>
        <w:shd w:val="clear" w:color="auto" w:fill="FFFFFF" w:themeFill="background1"/>
      </w:tcPr>
    </w:tblStylePr>
    <w:tblStylePr w:type="lastRow">
      <w:rPr>
        <w:b/>
        <w:bCs/>
      </w:rPr>
      <w:tblPr/>
      <w:tcPr>
        <w:tcBorders>
          <w:top w:val="double" w:sz="2" w:space="0" w:color="D8E7F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7F1" w:themeFill="accent1" w:themeFillTint="33"/>
      </w:tcPr>
    </w:tblStylePr>
    <w:tblStylePr w:type="band1Horz">
      <w:tblPr/>
      <w:tcPr>
        <w:shd w:val="clear" w:color="auto" w:fill="D8E7F1" w:themeFill="accent1" w:themeFillTint="33"/>
      </w:tcPr>
    </w:tblStylePr>
    <w:tblStylePr w:type="neCell">
      <w:tblPr/>
      <w:tcPr>
        <w:tcBorders>
          <w:bottom w:val="single" w:sz="4" w:space="0" w:color="8BB8D7" w:themeColor="accent1" w:themeTint="99"/>
        </w:tcBorders>
      </w:tcPr>
    </w:tblStylePr>
    <w:tblStylePr w:type="nwCell">
      <w:tblPr/>
      <w:tcPr>
        <w:tcBorders>
          <w:bottom w:val="single" w:sz="4" w:space="0" w:color="8BB8D7" w:themeColor="accent1" w:themeTint="99"/>
        </w:tcBorders>
      </w:tcPr>
    </w:tblStylePr>
    <w:tblStylePr w:type="seCell">
      <w:tblPr/>
      <w:tcPr>
        <w:tcBorders>
          <w:top w:val="single" w:sz="4" w:space="0" w:color="8BB8D7" w:themeColor="accent1" w:themeTint="99"/>
        </w:tcBorders>
      </w:tcPr>
    </w:tblStylePr>
    <w:tblStylePr w:type="swCell">
      <w:tblPr/>
      <w:tcPr>
        <w:tcBorders>
          <w:top w:val="single" w:sz="4" w:space="0" w:color="8BB8D7"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FF6" w:themeFill="accent2" w:themeFillTint="33"/>
      </w:tcPr>
    </w:tblStylePr>
    <w:tblStylePr w:type="band1Horz">
      <w:tblPr/>
      <w:tcPr>
        <w:shd w:val="clear" w:color="auto" w:fill="E5EFF6" w:themeFill="accent2" w:themeFillTint="33"/>
      </w:tcPr>
    </w:tblStylePr>
    <w:tblStylePr w:type="neCell">
      <w:tblPr/>
      <w:tcPr>
        <w:tcBorders>
          <w:bottom w:val="single" w:sz="4" w:space="0" w:color="B2D0E4" w:themeColor="accent2" w:themeTint="99"/>
        </w:tcBorders>
      </w:tcPr>
    </w:tblStylePr>
    <w:tblStylePr w:type="nwCell">
      <w:tblPr/>
      <w:tcPr>
        <w:tcBorders>
          <w:bottom w:val="single" w:sz="4" w:space="0" w:color="B2D0E4" w:themeColor="accent2" w:themeTint="99"/>
        </w:tcBorders>
      </w:tcPr>
    </w:tblStylePr>
    <w:tblStylePr w:type="seCell">
      <w:tblPr/>
      <w:tcPr>
        <w:tcBorders>
          <w:top w:val="single" w:sz="4" w:space="0" w:color="B2D0E4" w:themeColor="accent2" w:themeTint="99"/>
        </w:tcBorders>
      </w:tcPr>
    </w:tblStylePr>
    <w:tblStylePr w:type="swCell">
      <w:tblPr/>
      <w:tcPr>
        <w:tcBorders>
          <w:top w:val="single" w:sz="4" w:space="0" w:color="B2D0E4"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A" w:themeFill="accent3" w:themeFillTint="33"/>
      </w:tcPr>
    </w:tblStylePr>
    <w:tblStylePr w:type="band1Horz">
      <w:tblPr/>
      <w:tcPr>
        <w:shd w:val="clear" w:color="auto" w:fill="F2F7FA" w:themeFill="accent3" w:themeFillTint="33"/>
      </w:tcPr>
    </w:tblStylePr>
    <w:tblStylePr w:type="neCell">
      <w:tblPr/>
      <w:tcPr>
        <w:tcBorders>
          <w:bottom w:val="single" w:sz="4" w:space="0" w:color="D8E7F1" w:themeColor="accent3" w:themeTint="99"/>
        </w:tcBorders>
      </w:tcPr>
    </w:tblStylePr>
    <w:tblStylePr w:type="nwCell">
      <w:tblPr/>
      <w:tcPr>
        <w:tcBorders>
          <w:bottom w:val="single" w:sz="4" w:space="0" w:color="D8E7F1" w:themeColor="accent3" w:themeTint="99"/>
        </w:tcBorders>
      </w:tcPr>
    </w:tblStylePr>
    <w:tblStylePr w:type="seCell">
      <w:tblPr/>
      <w:tcPr>
        <w:tcBorders>
          <w:top w:val="single" w:sz="4" w:space="0" w:color="D8E7F1" w:themeColor="accent3" w:themeTint="99"/>
        </w:tcBorders>
      </w:tcPr>
    </w:tblStylePr>
    <w:tblStylePr w:type="swCell">
      <w:tblPr/>
      <w:tcPr>
        <w:tcBorders>
          <w:top w:val="single" w:sz="4" w:space="0" w:color="D8E7F1"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color w:val="FFFFFF" w:themeColor="background1"/>
      </w:rPr>
      <w:tblPr/>
      <w:tcPr>
        <w:tcBorders>
          <w:top w:val="single" w:sz="4" w:space="0" w:color="408ABB" w:themeColor="accent1"/>
          <w:left w:val="single" w:sz="4" w:space="0" w:color="408ABB" w:themeColor="accent1"/>
          <w:bottom w:val="single" w:sz="4" w:space="0" w:color="408ABB" w:themeColor="accent1"/>
          <w:right w:val="single" w:sz="4" w:space="0" w:color="408ABB" w:themeColor="accent1"/>
          <w:insideH w:val="nil"/>
          <w:insideV w:val="nil"/>
        </w:tcBorders>
        <w:shd w:val="clear" w:color="auto" w:fill="408ABB" w:themeFill="accent1"/>
      </w:tcPr>
    </w:tblStylePr>
    <w:tblStylePr w:type="lastRow">
      <w:rPr>
        <w:b/>
        <w:bCs/>
      </w:rPr>
      <w:tblPr/>
      <w:tcPr>
        <w:tcBorders>
          <w:top w:val="double" w:sz="4" w:space="0" w:color="408ABB" w:themeColor="accent1"/>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color w:val="FFFFFF" w:themeColor="background1"/>
      </w:rPr>
      <w:tblPr/>
      <w:tcPr>
        <w:tcBorders>
          <w:top w:val="single" w:sz="4" w:space="0" w:color="80B1D2" w:themeColor="accent2"/>
          <w:left w:val="single" w:sz="4" w:space="0" w:color="80B1D2" w:themeColor="accent2"/>
          <w:bottom w:val="single" w:sz="4" w:space="0" w:color="80B1D2" w:themeColor="accent2"/>
          <w:right w:val="single" w:sz="4" w:space="0" w:color="80B1D2" w:themeColor="accent2"/>
          <w:insideH w:val="nil"/>
          <w:insideV w:val="nil"/>
        </w:tcBorders>
        <w:shd w:val="clear" w:color="auto" w:fill="80B1D2" w:themeFill="accent2"/>
      </w:tcPr>
    </w:tblStylePr>
    <w:tblStylePr w:type="lastRow">
      <w:rPr>
        <w:b/>
        <w:bCs/>
      </w:rPr>
      <w:tblPr/>
      <w:tcPr>
        <w:tcBorders>
          <w:top w:val="double" w:sz="4" w:space="0" w:color="80B1D2" w:themeColor="accent2"/>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color w:val="FFFFFF" w:themeColor="background1"/>
      </w:rPr>
      <w:tblPr/>
      <w:tcPr>
        <w:tcBorders>
          <w:top w:val="single" w:sz="4" w:space="0" w:color="BFD8E8" w:themeColor="accent3"/>
          <w:left w:val="single" w:sz="4" w:space="0" w:color="BFD8E8" w:themeColor="accent3"/>
          <w:bottom w:val="single" w:sz="4" w:space="0" w:color="BFD8E8" w:themeColor="accent3"/>
          <w:right w:val="single" w:sz="4" w:space="0" w:color="BFD8E8" w:themeColor="accent3"/>
          <w:insideH w:val="nil"/>
          <w:insideV w:val="nil"/>
        </w:tcBorders>
        <w:shd w:val="clear" w:color="auto" w:fill="BFD8E8" w:themeFill="accent3"/>
      </w:tcPr>
    </w:tblStylePr>
    <w:tblStylePr w:type="lastRow">
      <w:rPr>
        <w:b/>
        <w:bCs/>
      </w:rPr>
      <w:tblPr/>
      <w:tcPr>
        <w:tcBorders>
          <w:top w:val="double" w:sz="4" w:space="0" w:color="BFD8E8" w:themeColor="accent3"/>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8AB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8AB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8AB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8ABB" w:themeFill="accent1"/>
      </w:tcPr>
    </w:tblStylePr>
    <w:tblStylePr w:type="band1Vert">
      <w:tblPr/>
      <w:tcPr>
        <w:shd w:val="clear" w:color="auto" w:fill="B1D0E4" w:themeFill="accent1" w:themeFillTint="66"/>
      </w:tcPr>
    </w:tblStylePr>
    <w:tblStylePr w:type="band1Horz">
      <w:tblPr/>
      <w:tcPr>
        <w:shd w:val="clear" w:color="auto" w:fill="B1D0E4"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F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1D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1D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1D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1D2" w:themeFill="accent2"/>
      </w:tcPr>
    </w:tblStylePr>
    <w:tblStylePr w:type="band1Vert">
      <w:tblPr/>
      <w:tcPr>
        <w:shd w:val="clear" w:color="auto" w:fill="CCDFED" w:themeFill="accent2" w:themeFillTint="66"/>
      </w:tcPr>
    </w:tblStylePr>
    <w:tblStylePr w:type="band1Horz">
      <w:tblPr/>
      <w:tcPr>
        <w:shd w:val="clear" w:color="auto" w:fill="CCDFED"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8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8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8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8E8" w:themeFill="accent3"/>
      </w:tcPr>
    </w:tblStylePr>
    <w:tblStylePr w:type="band1Vert">
      <w:tblPr/>
      <w:tcPr>
        <w:shd w:val="clear" w:color="auto" w:fill="E5EFF5" w:themeFill="accent3" w:themeFillTint="66"/>
      </w:tcPr>
    </w:tblStylePr>
    <w:tblStylePr w:type="band1Horz">
      <w:tblPr/>
      <w:tcPr>
        <w:shd w:val="clear" w:color="auto" w:fill="E5EFF5"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678C" w:themeColor="accent1" w:themeShade="BF"/>
    </w:r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rPr>
      <w:tblPr/>
      <w:tcPr>
        <w:tcBorders>
          <w:bottom w:val="single" w:sz="12" w:space="0" w:color="8BB8D7" w:themeColor="accent1" w:themeTint="99"/>
        </w:tcBorders>
      </w:tcPr>
    </w:tblStylePr>
    <w:tblStylePr w:type="lastRow">
      <w:rPr>
        <w:b/>
        <w:bCs/>
      </w:rPr>
      <w:tblPr/>
      <w:tcPr>
        <w:tcBorders>
          <w:top w:val="double" w:sz="4" w:space="0" w:color="8BB8D7" w:themeColor="accent1" w:themeTint="99"/>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28ABA" w:themeColor="accent2" w:themeShade="BF"/>
    </w:r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rPr>
      <w:tblPr/>
      <w:tcPr>
        <w:tcBorders>
          <w:bottom w:val="single" w:sz="12" w:space="0" w:color="B2D0E4" w:themeColor="accent2" w:themeTint="99"/>
        </w:tcBorders>
      </w:tcPr>
    </w:tblStylePr>
    <w:tblStylePr w:type="lastRow">
      <w:rPr>
        <w:b/>
        <w:bCs/>
      </w:rPr>
      <w:tblPr/>
      <w:tcPr>
        <w:tcBorders>
          <w:top w:val="double" w:sz="4" w:space="0" w:color="B2D0E4" w:themeColor="accent2" w:themeTint="99"/>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0A8CC" w:themeColor="accent3" w:themeShade="BF"/>
    </w:r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rPr>
      <w:tblPr/>
      <w:tcPr>
        <w:tcBorders>
          <w:bottom w:val="single" w:sz="12" w:space="0" w:color="D8E7F1" w:themeColor="accent3" w:themeTint="99"/>
        </w:tcBorders>
      </w:tcPr>
    </w:tblStylePr>
    <w:tblStylePr w:type="lastRow">
      <w:rPr>
        <w:b/>
        <w:bCs/>
      </w:rPr>
      <w:tblPr/>
      <w:tcPr>
        <w:tcBorders>
          <w:top w:val="double" w:sz="4" w:space="0" w:color="D8E7F1" w:themeColor="accent3" w:themeTint="99"/>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678C" w:themeColor="accent1" w:themeShade="BF"/>
    </w:r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7F1" w:themeFill="accent1" w:themeFillTint="33"/>
      </w:tcPr>
    </w:tblStylePr>
    <w:tblStylePr w:type="band1Horz">
      <w:tblPr/>
      <w:tcPr>
        <w:shd w:val="clear" w:color="auto" w:fill="D8E7F1" w:themeFill="accent1" w:themeFillTint="33"/>
      </w:tcPr>
    </w:tblStylePr>
    <w:tblStylePr w:type="neCell">
      <w:tblPr/>
      <w:tcPr>
        <w:tcBorders>
          <w:bottom w:val="single" w:sz="4" w:space="0" w:color="8BB8D7" w:themeColor="accent1" w:themeTint="99"/>
        </w:tcBorders>
      </w:tcPr>
    </w:tblStylePr>
    <w:tblStylePr w:type="nwCell">
      <w:tblPr/>
      <w:tcPr>
        <w:tcBorders>
          <w:bottom w:val="single" w:sz="4" w:space="0" w:color="8BB8D7" w:themeColor="accent1" w:themeTint="99"/>
        </w:tcBorders>
      </w:tcPr>
    </w:tblStylePr>
    <w:tblStylePr w:type="seCell">
      <w:tblPr/>
      <w:tcPr>
        <w:tcBorders>
          <w:top w:val="single" w:sz="4" w:space="0" w:color="8BB8D7" w:themeColor="accent1" w:themeTint="99"/>
        </w:tcBorders>
      </w:tcPr>
    </w:tblStylePr>
    <w:tblStylePr w:type="swCell">
      <w:tblPr/>
      <w:tcPr>
        <w:tcBorders>
          <w:top w:val="single" w:sz="4" w:space="0" w:color="8BB8D7"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28ABA" w:themeColor="accent2" w:themeShade="BF"/>
    </w:r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FF6" w:themeFill="accent2" w:themeFillTint="33"/>
      </w:tcPr>
    </w:tblStylePr>
    <w:tblStylePr w:type="band1Horz">
      <w:tblPr/>
      <w:tcPr>
        <w:shd w:val="clear" w:color="auto" w:fill="E5EFF6" w:themeFill="accent2" w:themeFillTint="33"/>
      </w:tcPr>
    </w:tblStylePr>
    <w:tblStylePr w:type="neCell">
      <w:tblPr/>
      <w:tcPr>
        <w:tcBorders>
          <w:bottom w:val="single" w:sz="4" w:space="0" w:color="B2D0E4" w:themeColor="accent2" w:themeTint="99"/>
        </w:tcBorders>
      </w:tcPr>
    </w:tblStylePr>
    <w:tblStylePr w:type="nwCell">
      <w:tblPr/>
      <w:tcPr>
        <w:tcBorders>
          <w:bottom w:val="single" w:sz="4" w:space="0" w:color="B2D0E4" w:themeColor="accent2" w:themeTint="99"/>
        </w:tcBorders>
      </w:tcPr>
    </w:tblStylePr>
    <w:tblStylePr w:type="seCell">
      <w:tblPr/>
      <w:tcPr>
        <w:tcBorders>
          <w:top w:val="single" w:sz="4" w:space="0" w:color="B2D0E4" w:themeColor="accent2" w:themeTint="99"/>
        </w:tcBorders>
      </w:tcPr>
    </w:tblStylePr>
    <w:tblStylePr w:type="swCell">
      <w:tblPr/>
      <w:tcPr>
        <w:tcBorders>
          <w:top w:val="single" w:sz="4" w:space="0" w:color="B2D0E4"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0A8CC" w:themeColor="accent3" w:themeShade="BF"/>
    </w:r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A" w:themeFill="accent3" w:themeFillTint="33"/>
      </w:tcPr>
    </w:tblStylePr>
    <w:tblStylePr w:type="band1Horz">
      <w:tblPr/>
      <w:tcPr>
        <w:shd w:val="clear" w:color="auto" w:fill="F2F7FA" w:themeFill="accent3" w:themeFillTint="33"/>
      </w:tcPr>
    </w:tblStylePr>
    <w:tblStylePr w:type="neCell">
      <w:tblPr/>
      <w:tcPr>
        <w:tcBorders>
          <w:bottom w:val="single" w:sz="4" w:space="0" w:color="D8E7F1" w:themeColor="accent3" w:themeTint="99"/>
        </w:tcBorders>
      </w:tcPr>
    </w:tblStylePr>
    <w:tblStylePr w:type="nwCell">
      <w:tblPr/>
      <w:tcPr>
        <w:tcBorders>
          <w:bottom w:val="single" w:sz="4" w:space="0" w:color="D8E7F1" w:themeColor="accent3" w:themeTint="99"/>
        </w:tcBorders>
      </w:tcPr>
    </w:tblStylePr>
    <w:tblStylePr w:type="seCell">
      <w:tblPr/>
      <w:tcPr>
        <w:tcBorders>
          <w:top w:val="single" w:sz="4" w:space="0" w:color="D8E7F1" w:themeColor="accent3" w:themeTint="99"/>
        </w:tcBorders>
      </w:tcPr>
    </w:tblStylePr>
    <w:tblStylePr w:type="swCell">
      <w:tblPr/>
      <w:tcPr>
        <w:tcBorders>
          <w:top w:val="single" w:sz="4" w:space="0" w:color="D8E7F1"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insideH w:val="single" w:sz="8" w:space="0" w:color="408ABB" w:themeColor="accent1"/>
        <w:insideV w:val="single" w:sz="8" w:space="0" w:color="408AB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8ABB" w:themeColor="accent1"/>
          <w:left w:val="single" w:sz="8" w:space="0" w:color="408ABB" w:themeColor="accent1"/>
          <w:bottom w:val="single" w:sz="18" w:space="0" w:color="408ABB" w:themeColor="accent1"/>
          <w:right w:val="single" w:sz="8" w:space="0" w:color="408ABB" w:themeColor="accent1"/>
          <w:insideH w:val="nil"/>
          <w:insideV w:val="single" w:sz="8" w:space="0" w:color="408AB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ABB" w:themeColor="accent1"/>
          <w:left w:val="single" w:sz="8" w:space="0" w:color="408ABB" w:themeColor="accent1"/>
          <w:bottom w:val="single" w:sz="8" w:space="0" w:color="408ABB" w:themeColor="accent1"/>
          <w:right w:val="single" w:sz="8" w:space="0" w:color="408ABB" w:themeColor="accent1"/>
          <w:insideH w:val="nil"/>
          <w:insideV w:val="single" w:sz="8" w:space="0" w:color="408AB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tcPr>
    </w:tblStylePr>
    <w:tblStylePr w:type="band1Vert">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shd w:val="clear" w:color="auto" w:fill="CFE2EE" w:themeFill="accent1" w:themeFillTint="3F"/>
      </w:tcPr>
    </w:tblStylePr>
    <w:tblStylePr w:type="band1Horz">
      <w:tblPr/>
      <w:tcPr>
        <w:tcBorders>
          <w:top w:val="single" w:sz="8" w:space="0" w:color="408ABB" w:themeColor="accent1"/>
          <w:left w:val="single" w:sz="8" w:space="0" w:color="408ABB" w:themeColor="accent1"/>
          <w:bottom w:val="single" w:sz="8" w:space="0" w:color="408ABB" w:themeColor="accent1"/>
          <w:right w:val="single" w:sz="8" w:space="0" w:color="408ABB" w:themeColor="accent1"/>
          <w:insideV w:val="single" w:sz="8" w:space="0" w:color="408ABB" w:themeColor="accent1"/>
        </w:tcBorders>
        <w:shd w:val="clear" w:color="auto" w:fill="CFE2EE" w:themeFill="accent1" w:themeFillTint="3F"/>
      </w:tcPr>
    </w:tblStylePr>
    <w:tblStylePr w:type="band2Horz">
      <w:tblPr/>
      <w:tcPr>
        <w:tcBorders>
          <w:top w:val="single" w:sz="8" w:space="0" w:color="408ABB" w:themeColor="accent1"/>
          <w:left w:val="single" w:sz="8" w:space="0" w:color="408ABB" w:themeColor="accent1"/>
          <w:bottom w:val="single" w:sz="8" w:space="0" w:color="408ABB" w:themeColor="accent1"/>
          <w:right w:val="single" w:sz="8" w:space="0" w:color="408ABB" w:themeColor="accent1"/>
          <w:insideV w:val="single" w:sz="8" w:space="0" w:color="408ABB"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insideH w:val="single" w:sz="8" w:space="0" w:color="80B1D2" w:themeColor="accent2"/>
        <w:insideV w:val="single" w:sz="8" w:space="0" w:color="80B1D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1D2" w:themeColor="accent2"/>
          <w:left w:val="single" w:sz="8" w:space="0" w:color="80B1D2" w:themeColor="accent2"/>
          <w:bottom w:val="single" w:sz="18" w:space="0" w:color="80B1D2" w:themeColor="accent2"/>
          <w:right w:val="single" w:sz="8" w:space="0" w:color="80B1D2" w:themeColor="accent2"/>
          <w:insideH w:val="nil"/>
          <w:insideV w:val="single" w:sz="8" w:space="0" w:color="80B1D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1D2" w:themeColor="accent2"/>
          <w:left w:val="single" w:sz="8" w:space="0" w:color="80B1D2" w:themeColor="accent2"/>
          <w:bottom w:val="single" w:sz="8" w:space="0" w:color="80B1D2" w:themeColor="accent2"/>
          <w:right w:val="single" w:sz="8" w:space="0" w:color="80B1D2" w:themeColor="accent2"/>
          <w:insideH w:val="nil"/>
          <w:insideV w:val="single" w:sz="8" w:space="0" w:color="80B1D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tcPr>
    </w:tblStylePr>
    <w:tblStylePr w:type="band1Vert">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shd w:val="clear" w:color="auto" w:fill="DFEBF3" w:themeFill="accent2" w:themeFillTint="3F"/>
      </w:tcPr>
    </w:tblStylePr>
    <w:tblStylePr w:type="band1Horz">
      <w:tblPr/>
      <w:tcPr>
        <w:tcBorders>
          <w:top w:val="single" w:sz="8" w:space="0" w:color="80B1D2" w:themeColor="accent2"/>
          <w:left w:val="single" w:sz="8" w:space="0" w:color="80B1D2" w:themeColor="accent2"/>
          <w:bottom w:val="single" w:sz="8" w:space="0" w:color="80B1D2" w:themeColor="accent2"/>
          <w:right w:val="single" w:sz="8" w:space="0" w:color="80B1D2" w:themeColor="accent2"/>
          <w:insideV w:val="single" w:sz="8" w:space="0" w:color="80B1D2" w:themeColor="accent2"/>
        </w:tcBorders>
        <w:shd w:val="clear" w:color="auto" w:fill="DFEBF3" w:themeFill="accent2" w:themeFillTint="3F"/>
      </w:tcPr>
    </w:tblStylePr>
    <w:tblStylePr w:type="band2Horz">
      <w:tblPr/>
      <w:tcPr>
        <w:tcBorders>
          <w:top w:val="single" w:sz="8" w:space="0" w:color="80B1D2" w:themeColor="accent2"/>
          <w:left w:val="single" w:sz="8" w:space="0" w:color="80B1D2" w:themeColor="accent2"/>
          <w:bottom w:val="single" w:sz="8" w:space="0" w:color="80B1D2" w:themeColor="accent2"/>
          <w:right w:val="single" w:sz="8" w:space="0" w:color="80B1D2" w:themeColor="accent2"/>
          <w:insideV w:val="single" w:sz="8" w:space="0" w:color="80B1D2"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insideH w:val="single" w:sz="8" w:space="0" w:color="BFD8E8" w:themeColor="accent3"/>
        <w:insideV w:val="single" w:sz="8" w:space="0" w:color="BFD8E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8E8" w:themeColor="accent3"/>
          <w:left w:val="single" w:sz="8" w:space="0" w:color="BFD8E8" w:themeColor="accent3"/>
          <w:bottom w:val="single" w:sz="18" w:space="0" w:color="BFD8E8" w:themeColor="accent3"/>
          <w:right w:val="single" w:sz="8" w:space="0" w:color="BFD8E8" w:themeColor="accent3"/>
          <w:insideH w:val="nil"/>
          <w:insideV w:val="single" w:sz="8" w:space="0" w:color="BFD8E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8E8" w:themeColor="accent3"/>
          <w:left w:val="single" w:sz="8" w:space="0" w:color="BFD8E8" w:themeColor="accent3"/>
          <w:bottom w:val="single" w:sz="8" w:space="0" w:color="BFD8E8" w:themeColor="accent3"/>
          <w:right w:val="single" w:sz="8" w:space="0" w:color="BFD8E8" w:themeColor="accent3"/>
          <w:insideH w:val="nil"/>
          <w:insideV w:val="single" w:sz="8" w:space="0" w:color="BFD8E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tcPr>
    </w:tblStylePr>
    <w:tblStylePr w:type="band1Vert">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shd w:val="clear" w:color="auto" w:fill="EFF5F9" w:themeFill="accent3" w:themeFillTint="3F"/>
      </w:tcPr>
    </w:tblStylePr>
    <w:tblStylePr w:type="band1Horz">
      <w:tblPr/>
      <w:tcPr>
        <w:tcBorders>
          <w:top w:val="single" w:sz="8" w:space="0" w:color="BFD8E8" w:themeColor="accent3"/>
          <w:left w:val="single" w:sz="8" w:space="0" w:color="BFD8E8" w:themeColor="accent3"/>
          <w:bottom w:val="single" w:sz="8" w:space="0" w:color="BFD8E8" w:themeColor="accent3"/>
          <w:right w:val="single" w:sz="8" w:space="0" w:color="BFD8E8" w:themeColor="accent3"/>
          <w:insideV w:val="single" w:sz="8" w:space="0" w:color="BFD8E8" w:themeColor="accent3"/>
        </w:tcBorders>
        <w:shd w:val="clear" w:color="auto" w:fill="EFF5F9" w:themeFill="accent3" w:themeFillTint="3F"/>
      </w:tcPr>
    </w:tblStylePr>
    <w:tblStylePr w:type="band2Horz">
      <w:tblPr/>
      <w:tcPr>
        <w:tcBorders>
          <w:top w:val="single" w:sz="8" w:space="0" w:color="BFD8E8" w:themeColor="accent3"/>
          <w:left w:val="single" w:sz="8" w:space="0" w:color="BFD8E8" w:themeColor="accent3"/>
          <w:bottom w:val="single" w:sz="8" w:space="0" w:color="BFD8E8" w:themeColor="accent3"/>
          <w:right w:val="single" w:sz="8" w:space="0" w:color="BFD8E8" w:themeColor="accent3"/>
          <w:insideV w:val="single" w:sz="8" w:space="0" w:color="BFD8E8"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tblBorders>
    </w:tblPr>
    <w:tblStylePr w:type="firstRow">
      <w:pPr>
        <w:spacing w:before="0" w:after="0" w:line="240" w:lineRule="auto"/>
      </w:pPr>
      <w:rPr>
        <w:b/>
        <w:bCs/>
        <w:color w:val="FFFFFF" w:themeColor="background1"/>
      </w:rPr>
      <w:tblPr/>
      <w:tcPr>
        <w:shd w:val="clear" w:color="auto" w:fill="80B1D2" w:themeFill="accent2"/>
      </w:tcPr>
    </w:tblStylePr>
    <w:tblStylePr w:type="lastRow">
      <w:pPr>
        <w:spacing w:before="0" w:after="0" w:line="240" w:lineRule="auto"/>
      </w:pPr>
      <w:rPr>
        <w:b/>
        <w:bCs/>
      </w:rPr>
      <w:tblPr/>
      <w:tcPr>
        <w:tcBorders>
          <w:top w:val="double" w:sz="6" w:space="0" w:color="80B1D2" w:themeColor="accent2"/>
          <w:left w:val="single" w:sz="8" w:space="0" w:color="80B1D2" w:themeColor="accent2"/>
          <w:bottom w:val="single" w:sz="8" w:space="0" w:color="80B1D2" w:themeColor="accent2"/>
          <w:right w:val="single" w:sz="8" w:space="0" w:color="80B1D2" w:themeColor="accent2"/>
        </w:tcBorders>
      </w:tcPr>
    </w:tblStylePr>
    <w:tblStylePr w:type="firstCol">
      <w:rPr>
        <w:b/>
        <w:bCs/>
      </w:rPr>
    </w:tblStylePr>
    <w:tblStylePr w:type="lastCol">
      <w:rPr>
        <w:b/>
        <w:bCs/>
      </w:rPr>
    </w:tblStylePr>
    <w:tblStylePr w:type="band1Vert">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tcPr>
    </w:tblStylePr>
    <w:tblStylePr w:type="band1Horz">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tblBorders>
    </w:tblPr>
    <w:tblStylePr w:type="firstRow">
      <w:pPr>
        <w:spacing w:before="0" w:after="0" w:line="240" w:lineRule="auto"/>
      </w:pPr>
      <w:rPr>
        <w:b/>
        <w:bCs/>
        <w:color w:val="FFFFFF" w:themeColor="background1"/>
      </w:rPr>
      <w:tblPr/>
      <w:tcPr>
        <w:shd w:val="clear" w:color="auto" w:fill="BFD8E8" w:themeFill="accent3"/>
      </w:tcPr>
    </w:tblStylePr>
    <w:tblStylePr w:type="lastRow">
      <w:pPr>
        <w:spacing w:before="0" w:after="0" w:line="240" w:lineRule="auto"/>
      </w:pPr>
      <w:rPr>
        <w:b/>
        <w:bCs/>
      </w:rPr>
      <w:tblPr/>
      <w:tcPr>
        <w:tcBorders>
          <w:top w:val="double" w:sz="6" w:space="0" w:color="BFD8E8" w:themeColor="accent3"/>
          <w:left w:val="single" w:sz="8" w:space="0" w:color="BFD8E8" w:themeColor="accent3"/>
          <w:bottom w:val="single" w:sz="8" w:space="0" w:color="BFD8E8" w:themeColor="accent3"/>
          <w:right w:val="single" w:sz="8" w:space="0" w:color="BFD8E8" w:themeColor="accent3"/>
        </w:tcBorders>
      </w:tcPr>
    </w:tblStylePr>
    <w:tblStylePr w:type="firstCol">
      <w:rPr>
        <w:b/>
        <w:bCs/>
      </w:rPr>
    </w:tblStylePr>
    <w:tblStylePr w:type="lastCol">
      <w:rPr>
        <w:b/>
        <w:bCs/>
      </w:rPr>
    </w:tblStylePr>
    <w:tblStylePr w:type="band1Vert">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tcPr>
    </w:tblStylePr>
    <w:tblStylePr w:type="band1Horz">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678C" w:themeColor="accent1" w:themeShade="BF"/>
    </w:rPr>
    <w:tblPr>
      <w:tblStyleRowBandSize w:val="1"/>
      <w:tblStyleColBandSize w:val="1"/>
      <w:tblBorders>
        <w:top w:val="single" w:sz="8" w:space="0" w:color="408ABB" w:themeColor="accent1"/>
        <w:bottom w:val="single" w:sz="8" w:space="0" w:color="408ABB" w:themeColor="accent1"/>
      </w:tblBorders>
    </w:tblPr>
    <w:tblStylePr w:type="firstRow">
      <w:pPr>
        <w:spacing w:before="0" w:after="0" w:line="240" w:lineRule="auto"/>
      </w:pPr>
      <w:rPr>
        <w:b/>
        <w:bCs/>
      </w:rPr>
      <w:tblPr/>
      <w:tcPr>
        <w:tcBorders>
          <w:top w:val="single" w:sz="8" w:space="0" w:color="408ABB" w:themeColor="accent1"/>
          <w:left w:val="nil"/>
          <w:bottom w:val="single" w:sz="8" w:space="0" w:color="408ABB" w:themeColor="accent1"/>
          <w:right w:val="nil"/>
          <w:insideH w:val="nil"/>
          <w:insideV w:val="nil"/>
        </w:tcBorders>
      </w:tcPr>
    </w:tblStylePr>
    <w:tblStylePr w:type="lastRow">
      <w:pPr>
        <w:spacing w:before="0" w:after="0" w:line="240" w:lineRule="auto"/>
      </w:pPr>
      <w:rPr>
        <w:b/>
        <w:bCs/>
      </w:rPr>
      <w:tblPr/>
      <w:tcPr>
        <w:tcBorders>
          <w:top w:val="single" w:sz="8" w:space="0" w:color="408ABB" w:themeColor="accent1"/>
          <w:left w:val="nil"/>
          <w:bottom w:val="single" w:sz="8" w:space="0" w:color="408AB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2EE" w:themeFill="accent1" w:themeFillTint="3F"/>
      </w:tcPr>
    </w:tblStylePr>
    <w:tblStylePr w:type="band1Horz">
      <w:tblPr/>
      <w:tcPr>
        <w:tcBorders>
          <w:left w:val="nil"/>
          <w:right w:val="nil"/>
          <w:insideH w:val="nil"/>
          <w:insideV w:val="nil"/>
        </w:tcBorders>
        <w:shd w:val="clear" w:color="auto" w:fill="CFE2EE"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28ABA" w:themeColor="accent2" w:themeShade="BF"/>
    </w:rPr>
    <w:tblPr>
      <w:tblStyleRowBandSize w:val="1"/>
      <w:tblStyleColBandSize w:val="1"/>
      <w:tblBorders>
        <w:top w:val="single" w:sz="8" w:space="0" w:color="80B1D2" w:themeColor="accent2"/>
        <w:bottom w:val="single" w:sz="8" w:space="0" w:color="80B1D2" w:themeColor="accent2"/>
      </w:tblBorders>
    </w:tblPr>
    <w:tblStylePr w:type="firstRow">
      <w:pPr>
        <w:spacing w:before="0" w:after="0" w:line="240" w:lineRule="auto"/>
      </w:pPr>
      <w:rPr>
        <w:b/>
        <w:bCs/>
      </w:rPr>
      <w:tblPr/>
      <w:tcPr>
        <w:tcBorders>
          <w:top w:val="single" w:sz="8" w:space="0" w:color="80B1D2" w:themeColor="accent2"/>
          <w:left w:val="nil"/>
          <w:bottom w:val="single" w:sz="8" w:space="0" w:color="80B1D2" w:themeColor="accent2"/>
          <w:right w:val="nil"/>
          <w:insideH w:val="nil"/>
          <w:insideV w:val="nil"/>
        </w:tcBorders>
      </w:tcPr>
    </w:tblStylePr>
    <w:tblStylePr w:type="lastRow">
      <w:pPr>
        <w:spacing w:before="0" w:after="0" w:line="240" w:lineRule="auto"/>
      </w:pPr>
      <w:rPr>
        <w:b/>
        <w:bCs/>
      </w:rPr>
      <w:tblPr/>
      <w:tcPr>
        <w:tcBorders>
          <w:top w:val="single" w:sz="8" w:space="0" w:color="80B1D2" w:themeColor="accent2"/>
          <w:left w:val="nil"/>
          <w:bottom w:val="single" w:sz="8" w:space="0" w:color="80B1D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BF3" w:themeFill="accent2" w:themeFillTint="3F"/>
      </w:tcPr>
    </w:tblStylePr>
    <w:tblStylePr w:type="band1Horz">
      <w:tblPr/>
      <w:tcPr>
        <w:tcBorders>
          <w:left w:val="nil"/>
          <w:right w:val="nil"/>
          <w:insideH w:val="nil"/>
          <w:insideV w:val="nil"/>
        </w:tcBorders>
        <w:shd w:val="clear" w:color="auto" w:fill="DFEBF3"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0A8CC" w:themeColor="accent3" w:themeShade="BF"/>
    </w:rPr>
    <w:tblPr>
      <w:tblStyleRowBandSize w:val="1"/>
      <w:tblStyleColBandSize w:val="1"/>
      <w:tblBorders>
        <w:top w:val="single" w:sz="8" w:space="0" w:color="BFD8E8" w:themeColor="accent3"/>
        <w:bottom w:val="single" w:sz="8" w:space="0" w:color="BFD8E8" w:themeColor="accent3"/>
      </w:tblBorders>
    </w:tblPr>
    <w:tblStylePr w:type="firstRow">
      <w:pPr>
        <w:spacing w:before="0" w:after="0" w:line="240" w:lineRule="auto"/>
      </w:pPr>
      <w:rPr>
        <w:b/>
        <w:bCs/>
      </w:rPr>
      <w:tblPr/>
      <w:tcPr>
        <w:tcBorders>
          <w:top w:val="single" w:sz="8" w:space="0" w:color="BFD8E8" w:themeColor="accent3"/>
          <w:left w:val="nil"/>
          <w:bottom w:val="single" w:sz="8" w:space="0" w:color="BFD8E8" w:themeColor="accent3"/>
          <w:right w:val="nil"/>
          <w:insideH w:val="nil"/>
          <w:insideV w:val="nil"/>
        </w:tcBorders>
      </w:tcPr>
    </w:tblStylePr>
    <w:tblStylePr w:type="lastRow">
      <w:pPr>
        <w:spacing w:before="0" w:after="0" w:line="240" w:lineRule="auto"/>
      </w:pPr>
      <w:rPr>
        <w:b/>
        <w:bCs/>
      </w:rPr>
      <w:tblPr/>
      <w:tcPr>
        <w:tcBorders>
          <w:top w:val="single" w:sz="8" w:space="0" w:color="BFD8E8" w:themeColor="accent3"/>
          <w:left w:val="nil"/>
          <w:bottom w:val="single" w:sz="8" w:space="0" w:color="BFD8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9" w:themeFill="accent3" w:themeFillTint="3F"/>
      </w:tcPr>
    </w:tblStylePr>
    <w:tblStylePr w:type="band1Horz">
      <w:tblPr/>
      <w:tcPr>
        <w:tcBorders>
          <w:left w:val="nil"/>
          <w:right w:val="nil"/>
          <w:insideH w:val="nil"/>
          <w:insideV w:val="nil"/>
        </w:tcBorders>
        <w:shd w:val="clear" w:color="auto" w:fill="EFF5F9"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BB8D7" w:themeColor="accent1" w:themeTint="99"/>
        </w:tcBorders>
      </w:tcPr>
    </w:tblStylePr>
    <w:tblStylePr w:type="lastRow">
      <w:rPr>
        <w:b/>
        <w:bCs/>
      </w:rPr>
      <w:tblPr/>
      <w:tcPr>
        <w:tcBorders>
          <w:top w:val="single" w:sz="4" w:space="0" w:color="8BB8D7" w:themeColor="accent1" w:themeTint="99"/>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0E4" w:themeColor="accent2" w:themeTint="99"/>
        </w:tcBorders>
      </w:tcPr>
    </w:tblStylePr>
    <w:tblStylePr w:type="lastRow">
      <w:rPr>
        <w:b/>
        <w:bCs/>
      </w:rPr>
      <w:tblPr/>
      <w:tcPr>
        <w:tcBorders>
          <w:top w:val="single" w:sz="4" w:space="0" w:color="B2D0E4" w:themeColor="accent2" w:themeTint="99"/>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7F1" w:themeColor="accent3" w:themeTint="99"/>
        </w:tcBorders>
      </w:tcPr>
    </w:tblStylePr>
    <w:tblStylePr w:type="lastRow">
      <w:rPr>
        <w:b/>
        <w:bCs/>
      </w:rPr>
      <w:tblPr/>
      <w:tcPr>
        <w:tcBorders>
          <w:top w:val="single" w:sz="4" w:space="0" w:color="D8E7F1" w:themeColor="accent3" w:themeTint="99"/>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BB8D7" w:themeColor="accent1" w:themeTint="99"/>
        <w:bottom w:val="single" w:sz="4" w:space="0" w:color="8BB8D7" w:themeColor="accent1" w:themeTint="99"/>
        <w:insideH w:val="single" w:sz="4" w:space="0" w:color="8BB8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0E4" w:themeColor="accent2" w:themeTint="99"/>
        <w:bottom w:val="single" w:sz="4" w:space="0" w:color="B2D0E4" w:themeColor="accent2" w:themeTint="99"/>
        <w:insideH w:val="single" w:sz="4" w:space="0" w:color="B2D0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7F1" w:themeColor="accent3" w:themeTint="99"/>
        <w:bottom w:val="single" w:sz="4" w:space="0" w:color="D8E7F1" w:themeColor="accent3" w:themeTint="99"/>
        <w:insideH w:val="single" w:sz="4" w:space="0" w:color="D8E7F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8ABB" w:themeColor="accent1"/>
        <w:left w:val="single" w:sz="4" w:space="0" w:color="408ABB" w:themeColor="accent1"/>
        <w:bottom w:val="single" w:sz="4" w:space="0" w:color="408ABB" w:themeColor="accent1"/>
        <w:right w:val="single" w:sz="4" w:space="0" w:color="408ABB" w:themeColor="accent1"/>
      </w:tblBorders>
    </w:tblPr>
    <w:tblStylePr w:type="firstRow">
      <w:rPr>
        <w:b/>
        <w:bCs/>
        <w:color w:val="FFFFFF" w:themeColor="background1"/>
      </w:rPr>
      <w:tblPr/>
      <w:tcPr>
        <w:shd w:val="clear" w:color="auto" w:fill="408ABB" w:themeFill="accent1"/>
      </w:tcPr>
    </w:tblStylePr>
    <w:tblStylePr w:type="lastRow">
      <w:rPr>
        <w:b/>
        <w:bCs/>
      </w:rPr>
      <w:tblPr/>
      <w:tcPr>
        <w:tcBorders>
          <w:top w:val="double" w:sz="4" w:space="0" w:color="408AB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8ABB" w:themeColor="accent1"/>
          <w:right w:val="single" w:sz="4" w:space="0" w:color="408ABB" w:themeColor="accent1"/>
        </w:tcBorders>
      </w:tcPr>
    </w:tblStylePr>
    <w:tblStylePr w:type="band1Horz">
      <w:tblPr/>
      <w:tcPr>
        <w:tcBorders>
          <w:top w:val="single" w:sz="4" w:space="0" w:color="408ABB" w:themeColor="accent1"/>
          <w:bottom w:val="single" w:sz="4" w:space="0" w:color="408A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8ABB" w:themeColor="accent1"/>
          <w:left w:val="nil"/>
        </w:tcBorders>
      </w:tcPr>
    </w:tblStylePr>
    <w:tblStylePr w:type="swCell">
      <w:tblPr/>
      <w:tcPr>
        <w:tcBorders>
          <w:top w:val="double" w:sz="4" w:space="0" w:color="408ABB"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1D2" w:themeColor="accent2"/>
        <w:left w:val="single" w:sz="4" w:space="0" w:color="80B1D2" w:themeColor="accent2"/>
        <w:bottom w:val="single" w:sz="4" w:space="0" w:color="80B1D2" w:themeColor="accent2"/>
        <w:right w:val="single" w:sz="4" w:space="0" w:color="80B1D2" w:themeColor="accent2"/>
      </w:tblBorders>
    </w:tblPr>
    <w:tblStylePr w:type="firstRow">
      <w:rPr>
        <w:b/>
        <w:bCs/>
        <w:color w:val="FFFFFF" w:themeColor="background1"/>
      </w:rPr>
      <w:tblPr/>
      <w:tcPr>
        <w:shd w:val="clear" w:color="auto" w:fill="80B1D2" w:themeFill="accent2"/>
      </w:tcPr>
    </w:tblStylePr>
    <w:tblStylePr w:type="lastRow">
      <w:rPr>
        <w:b/>
        <w:bCs/>
      </w:rPr>
      <w:tblPr/>
      <w:tcPr>
        <w:tcBorders>
          <w:top w:val="double" w:sz="4" w:space="0" w:color="80B1D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1D2" w:themeColor="accent2"/>
          <w:right w:val="single" w:sz="4" w:space="0" w:color="80B1D2" w:themeColor="accent2"/>
        </w:tcBorders>
      </w:tcPr>
    </w:tblStylePr>
    <w:tblStylePr w:type="band1Horz">
      <w:tblPr/>
      <w:tcPr>
        <w:tcBorders>
          <w:top w:val="single" w:sz="4" w:space="0" w:color="80B1D2" w:themeColor="accent2"/>
          <w:bottom w:val="single" w:sz="4" w:space="0" w:color="80B1D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1D2" w:themeColor="accent2"/>
          <w:left w:val="nil"/>
        </w:tcBorders>
      </w:tcPr>
    </w:tblStylePr>
    <w:tblStylePr w:type="swCell">
      <w:tblPr/>
      <w:tcPr>
        <w:tcBorders>
          <w:top w:val="double" w:sz="4" w:space="0" w:color="80B1D2"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8E8" w:themeColor="accent3"/>
        <w:left w:val="single" w:sz="4" w:space="0" w:color="BFD8E8" w:themeColor="accent3"/>
        <w:bottom w:val="single" w:sz="4" w:space="0" w:color="BFD8E8" w:themeColor="accent3"/>
        <w:right w:val="single" w:sz="4" w:space="0" w:color="BFD8E8" w:themeColor="accent3"/>
      </w:tblBorders>
    </w:tblPr>
    <w:tblStylePr w:type="firstRow">
      <w:rPr>
        <w:b/>
        <w:bCs/>
        <w:color w:val="FFFFFF" w:themeColor="background1"/>
      </w:rPr>
      <w:tblPr/>
      <w:tcPr>
        <w:shd w:val="clear" w:color="auto" w:fill="BFD8E8" w:themeFill="accent3"/>
      </w:tcPr>
    </w:tblStylePr>
    <w:tblStylePr w:type="lastRow">
      <w:rPr>
        <w:b/>
        <w:bCs/>
      </w:rPr>
      <w:tblPr/>
      <w:tcPr>
        <w:tcBorders>
          <w:top w:val="double" w:sz="4" w:space="0" w:color="BFD8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8E8" w:themeColor="accent3"/>
          <w:right w:val="single" w:sz="4" w:space="0" w:color="BFD8E8" w:themeColor="accent3"/>
        </w:tcBorders>
      </w:tcPr>
    </w:tblStylePr>
    <w:tblStylePr w:type="band1Horz">
      <w:tblPr/>
      <w:tcPr>
        <w:tcBorders>
          <w:top w:val="single" w:sz="4" w:space="0" w:color="BFD8E8" w:themeColor="accent3"/>
          <w:bottom w:val="single" w:sz="4" w:space="0" w:color="BFD8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8E8" w:themeColor="accent3"/>
          <w:left w:val="nil"/>
        </w:tcBorders>
      </w:tcPr>
    </w:tblStylePr>
    <w:tblStylePr w:type="swCell">
      <w:tblPr/>
      <w:tcPr>
        <w:tcBorders>
          <w:top w:val="double" w:sz="4" w:space="0" w:color="BFD8E8"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tblBorders>
    </w:tblPr>
    <w:tblStylePr w:type="firstRow">
      <w:rPr>
        <w:b/>
        <w:bCs/>
        <w:color w:val="FFFFFF" w:themeColor="background1"/>
      </w:rPr>
      <w:tblPr/>
      <w:tcPr>
        <w:tcBorders>
          <w:top w:val="single" w:sz="4" w:space="0" w:color="408ABB" w:themeColor="accent1"/>
          <w:left w:val="single" w:sz="4" w:space="0" w:color="408ABB" w:themeColor="accent1"/>
          <w:bottom w:val="single" w:sz="4" w:space="0" w:color="408ABB" w:themeColor="accent1"/>
          <w:right w:val="single" w:sz="4" w:space="0" w:color="408ABB" w:themeColor="accent1"/>
          <w:insideH w:val="nil"/>
        </w:tcBorders>
        <w:shd w:val="clear" w:color="auto" w:fill="408ABB" w:themeFill="accent1"/>
      </w:tcPr>
    </w:tblStylePr>
    <w:tblStylePr w:type="lastRow">
      <w:rPr>
        <w:b/>
        <w:bCs/>
      </w:rPr>
      <w:tblPr/>
      <w:tcPr>
        <w:tcBorders>
          <w:top w:val="double" w:sz="4" w:space="0" w:color="8BB8D7" w:themeColor="accent1" w:themeTint="99"/>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tblBorders>
    </w:tblPr>
    <w:tblStylePr w:type="firstRow">
      <w:rPr>
        <w:b/>
        <w:bCs/>
        <w:color w:val="FFFFFF" w:themeColor="background1"/>
      </w:rPr>
      <w:tblPr/>
      <w:tcPr>
        <w:tcBorders>
          <w:top w:val="single" w:sz="4" w:space="0" w:color="80B1D2" w:themeColor="accent2"/>
          <w:left w:val="single" w:sz="4" w:space="0" w:color="80B1D2" w:themeColor="accent2"/>
          <w:bottom w:val="single" w:sz="4" w:space="0" w:color="80B1D2" w:themeColor="accent2"/>
          <w:right w:val="single" w:sz="4" w:space="0" w:color="80B1D2" w:themeColor="accent2"/>
          <w:insideH w:val="nil"/>
        </w:tcBorders>
        <w:shd w:val="clear" w:color="auto" w:fill="80B1D2" w:themeFill="accent2"/>
      </w:tcPr>
    </w:tblStylePr>
    <w:tblStylePr w:type="lastRow">
      <w:rPr>
        <w:b/>
        <w:bCs/>
      </w:rPr>
      <w:tblPr/>
      <w:tcPr>
        <w:tcBorders>
          <w:top w:val="double" w:sz="4" w:space="0" w:color="B2D0E4" w:themeColor="accent2" w:themeTint="99"/>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tblBorders>
    </w:tblPr>
    <w:tblStylePr w:type="firstRow">
      <w:rPr>
        <w:b/>
        <w:bCs/>
        <w:color w:val="FFFFFF" w:themeColor="background1"/>
      </w:rPr>
      <w:tblPr/>
      <w:tcPr>
        <w:tcBorders>
          <w:top w:val="single" w:sz="4" w:space="0" w:color="BFD8E8" w:themeColor="accent3"/>
          <w:left w:val="single" w:sz="4" w:space="0" w:color="BFD8E8" w:themeColor="accent3"/>
          <w:bottom w:val="single" w:sz="4" w:space="0" w:color="BFD8E8" w:themeColor="accent3"/>
          <w:right w:val="single" w:sz="4" w:space="0" w:color="BFD8E8" w:themeColor="accent3"/>
          <w:insideH w:val="nil"/>
        </w:tcBorders>
        <w:shd w:val="clear" w:color="auto" w:fill="BFD8E8" w:themeFill="accent3"/>
      </w:tcPr>
    </w:tblStylePr>
    <w:tblStylePr w:type="lastRow">
      <w:rPr>
        <w:b/>
        <w:bCs/>
      </w:rPr>
      <w:tblPr/>
      <w:tcPr>
        <w:tcBorders>
          <w:top w:val="double" w:sz="4" w:space="0" w:color="D8E7F1" w:themeColor="accent3" w:themeTint="99"/>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8ABB" w:themeColor="accent1"/>
        <w:left w:val="single" w:sz="24" w:space="0" w:color="408ABB" w:themeColor="accent1"/>
        <w:bottom w:val="single" w:sz="24" w:space="0" w:color="408ABB" w:themeColor="accent1"/>
        <w:right w:val="single" w:sz="24" w:space="0" w:color="408ABB" w:themeColor="accent1"/>
      </w:tblBorders>
    </w:tblPr>
    <w:tcPr>
      <w:shd w:val="clear" w:color="auto" w:fill="408AB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1D2" w:themeColor="accent2"/>
        <w:left w:val="single" w:sz="24" w:space="0" w:color="80B1D2" w:themeColor="accent2"/>
        <w:bottom w:val="single" w:sz="24" w:space="0" w:color="80B1D2" w:themeColor="accent2"/>
        <w:right w:val="single" w:sz="24" w:space="0" w:color="80B1D2" w:themeColor="accent2"/>
      </w:tblBorders>
    </w:tblPr>
    <w:tcPr>
      <w:shd w:val="clear" w:color="auto" w:fill="80B1D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8E8" w:themeColor="accent3"/>
        <w:left w:val="single" w:sz="24" w:space="0" w:color="BFD8E8" w:themeColor="accent3"/>
        <w:bottom w:val="single" w:sz="24" w:space="0" w:color="BFD8E8" w:themeColor="accent3"/>
        <w:right w:val="single" w:sz="24" w:space="0" w:color="BFD8E8" w:themeColor="accent3"/>
      </w:tblBorders>
    </w:tblPr>
    <w:tcPr>
      <w:shd w:val="clear" w:color="auto" w:fill="BFD8E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678C" w:themeColor="accent1" w:themeShade="BF"/>
    </w:rPr>
    <w:tblPr>
      <w:tblStyleRowBandSize w:val="1"/>
      <w:tblStyleColBandSize w:val="1"/>
      <w:tblBorders>
        <w:top w:val="single" w:sz="4" w:space="0" w:color="408ABB" w:themeColor="accent1"/>
        <w:bottom w:val="single" w:sz="4" w:space="0" w:color="408ABB" w:themeColor="accent1"/>
      </w:tblBorders>
    </w:tblPr>
    <w:tblStylePr w:type="firstRow">
      <w:rPr>
        <w:b/>
        <w:bCs/>
      </w:rPr>
      <w:tblPr/>
      <w:tcPr>
        <w:tcBorders>
          <w:bottom w:val="single" w:sz="4" w:space="0" w:color="408ABB" w:themeColor="accent1"/>
        </w:tcBorders>
      </w:tcPr>
    </w:tblStylePr>
    <w:tblStylePr w:type="lastRow">
      <w:rPr>
        <w:b/>
        <w:bCs/>
      </w:rPr>
      <w:tblPr/>
      <w:tcPr>
        <w:tcBorders>
          <w:top w:val="double" w:sz="4" w:space="0" w:color="408ABB" w:themeColor="accent1"/>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28ABA" w:themeColor="accent2" w:themeShade="BF"/>
    </w:rPr>
    <w:tblPr>
      <w:tblStyleRowBandSize w:val="1"/>
      <w:tblStyleColBandSize w:val="1"/>
      <w:tblBorders>
        <w:top w:val="single" w:sz="4" w:space="0" w:color="80B1D2" w:themeColor="accent2"/>
        <w:bottom w:val="single" w:sz="4" w:space="0" w:color="80B1D2" w:themeColor="accent2"/>
      </w:tblBorders>
    </w:tblPr>
    <w:tblStylePr w:type="firstRow">
      <w:rPr>
        <w:b/>
        <w:bCs/>
      </w:rPr>
      <w:tblPr/>
      <w:tcPr>
        <w:tcBorders>
          <w:bottom w:val="single" w:sz="4" w:space="0" w:color="80B1D2" w:themeColor="accent2"/>
        </w:tcBorders>
      </w:tcPr>
    </w:tblStylePr>
    <w:tblStylePr w:type="lastRow">
      <w:rPr>
        <w:b/>
        <w:bCs/>
      </w:rPr>
      <w:tblPr/>
      <w:tcPr>
        <w:tcBorders>
          <w:top w:val="double" w:sz="4" w:space="0" w:color="80B1D2" w:themeColor="accent2"/>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0A8CC" w:themeColor="accent3" w:themeShade="BF"/>
    </w:rPr>
    <w:tblPr>
      <w:tblStyleRowBandSize w:val="1"/>
      <w:tblStyleColBandSize w:val="1"/>
      <w:tblBorders>
        <w:top w:val="single" w:sz="4" w:space="0" w:color="BFD8E8" w:themeColor="accent3"/>
        <w:bottom w:val="single" w:sz="4" w:space="0" w:color="BFD8E8" w:themeColor="accent3"/>
      </w:tblBorders>
    </w:tblPr>
    <w:tblStylePr w:type="firstRow">
      <w:rPr>
        <w:b/>
        <w:bCs/>
      </w:rPr>
      <w:tblPr/>
      <w:tcPr>
        <w:tcBorders>
          <w:bottom w:val="single" w:sz="4" w:space="0" w:color="BFD8E8" w:themeColor="accent3"/>
        </w:tcBorders>
      </w:tcPr>
    </w:tblStylePr>
    <w:tblStylePr w:type="lastRow">
      <w:rPr>
        <w:b/>
        <w:bCs/>
      </w:rPr>
      <w:tblPr/>
      <w:tcPr>
        <w:tcBorders>
          <w:top w:val="double" w:sz="4" w:space="0" w:color="BFD8E8" w:themeColor="accent3"/>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67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8AB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8AB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8AB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8ABB" w:themeColor="accent1"/>
        </w:tcBorders>
        <w:shd w:val="clear" w:color="auto" w:fill="FFFFFF" w:themeFill="background1"/>
      </w:tcPr>
    </w:tblStylePr>
    <w:tblStylePr w:type="band1Vert">
      <w:tblPr/>
      <w:tcPr>
        <w:shd w:val="clear" w:color="auto" w:fill="D8E7F1" w:themeFill="accent1" w:themeFillTint="33"/>
      </w:tcPr>
    </w:tblStylePr>
    <w:tblStylePr w:type="band1Horz">
      <w:tblPr/>
      <w:tcPr>
        <w:shd w:val="clear" w:color="auto" w:fill="D8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28AB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1D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1D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1D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1D2" w:themeColor="accent2"/>
        </w:tcBorders>
        <w:shd w:val="clear" w:color="auto" w:fill="FFFFFF" w:themeFill="background1"/>
      </w:tcPr>
    </w:tblStylePr>
    <w:tblStylePr w:type="band1Vert">
      <w:tblPr/>
      <w:tcPr>
        <w:shd w:val="clear" w:color="auto" w:fill="E5EFF6" w:themeFill="accent2" w:themeFillTint="33"/>
      </w:tcPr>
    </w:tblStylePr>
    <w:tblStylePr w:type="band1Horz">
      <w:tblPr/>
      <w:tcPr>
        <w:shd w:val="clear" w:color="auto" w:fill="E5EF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0A8C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8E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8E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8E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8E8" w:themeColor="accent3"/>
        </w:tcBorders>
        <w:shd w:val="clear" w:color="auto" w:fill="FFFFFF" w:themeFill="background1"/>
      </w:tcPr>
    </w:tblStylePr>
    <w:tblStylePr w:type="band1Vert">
      <w:tblPr/>
      <w:tcPr>
        <w:shd w:val="clear" w:color="auto" w:fill="F2F7FA" w:themeFill="accent3" w:themeFillTint="33"/>
      </w:tcPr>
    </w:tblStylePr>
    <w:tblStylePr w:type="band1Horz">
      <w:tblPr/>
      <w:tcPr>
        <w:shd w:val="clear" w:color="auto" w:fill="F2F7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single" w:sz="8" w:space="0" w:color="6EA7CD" w:themeColor="accent1" w:themeTint="BF"/>
        <w:insideV w:val="single" w:sz="8" w:space="0" w:color="6EA7CD" w:themeColor="accent1" w:themeTint="BF"/>
      </w:tblBorders>
    </w:tblPr>
    <w:tcPr>
      <w:shd w:val="clear" w:color="auto" w:fill="CFE2EE" w:themeFill="accent1" w:themeFillTint="3F"/>
    </w:tcPr>
    <w:tblStylePr w:type="firstRow">
      <w:rPr>
        <w:b/>
        <w:bCs/>
      </w:rPr>
    </w:tblStylePr>
    <w:tblStylePr w:type="lastRow">
      <w:rPr>
        <w:b/>
        <w:bCs/>
      </w:rPr>
      <w:tblPr/>
      <w:tcPr>
        <w:tcBorders>
          <w:top w:val="single" w:sz="18" w:space="0" w:color="6EA7CD" w:themeColor="accent1" w:themeTint="BF"/>
        </w:tcBorders>
      </w:tcPr>
    </w:tblStylePr>
    <w:tblStylePr w:type="firstCol">
      <w:rPr>
        <w:b/>
        <w:bCs/>
      </w:rPr>
    </w:tblStylePr>
    <w:tblStylePr w:type="lastCol">
      <w:rPr>
        <w:b/>
        <w:bCs/>
      </w:rPr>
    </w:tblStylePr>
    <w:tblStylePr w:type="band1Vert">
      <w:tblPr/>
      <w:tcPr>
        <w:shd w:val="clear" w:color="auto" w:fill="9EC4DE" w:themeFill="accent1" w:themeFillTint="7F"/>
      </w:tcPr>
    </w:tblStylePr>
    <w:tblStylePr w:type="band1Horz">
      <w:tblPr/>
      <w:tcPr>
        <w:shd w:val="clear" w:color="auto" w:fill="9EC4DE"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single" w:sz="8" w:space="0" w:color="9FC4DD" w:themeColor="accent2" w:themeTint="BF"/>
        <w:insideV w:val="single" w:sz="8" w:space="0" w:color="9FC4DD" w:themeColor="accent2" w:themeTint="BF"/>
      </w:tblBorders>
    </w:tblPr>
    <w:tcPr>
      <w:shd w:val="clear" w:color="auto" w:fill="DFEBF3" w:themeFill="accent2" w:themeFillTint="3F"/>
    </w:tcPr>
    <w:tblStylePr w:type="firstRow">
      <w:rPr>
        <w:b/>
        <w:bCs/>
      </w:rPr>
    </w:tblStylePr>
    <w:tblStylePr w:type="lastRow">
      <w:rPr>
        <w:b/>
        <w:bCs/>
      </w:rPr>
      <w:tblPr/>
      <w:tcPr>
        <w:tcBorders>
          <w:top w:val="single" w:sz="18" w:space="0" w:color="9FC4DD" w:themeColor="accent2" w:themeTint="BF"/>
        </w:tcBorders>
      </w:tcPr>
    </w:tblStylePr>
    <w:tblStylePr w:type="firstCol">
      <w:rPr>
        <w:b/>
        <w:bCs/>
      </w:rPr>
    </w:tblStylePr>
    <w:tblStylePr w:type="lastCol">
      <w:rPr>
        <w:b/>
        <w:bCs/>
      </w:rPr>
    </w:tblStylePr>
    <w:tblStylePr w:type="band1Vert">
      <w:tblPr/>
      <w:tcPr>
        <w:shd w:val="clear" w:color="auto" w:fill="BFD8E8" w:themeFill="accent2" w:themeFillTint="7F"/>
      </w:tcPr>
    </w:tblStylePr>
    <w:tblStylePr w:type="band1Horz">
      <w:tblPr/>
      <w:tcPr>
        <w:shd w:val="clear" w:color="auto" w:fill="BFD8E8"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single" w:sz="8" w:space="0" w:color="CEE1ED" w:themeColor="accent3" w:themeTint="BF"/>
        <w:insideV w:val="single" w:sz="8" w:space="0" w:color="CEE1ED" w:themeColor="accent3" w:themeTint="BF"/>
      </w:tblBorders>
    </w:tblPr>
    <w:tcPr>
      <w:shd w:val="clear" w:color="auto" w:fill="EFF5F9" w:themeFill="accent3" w:themeFillTint="3F"/>
    </w:tcPr>
    <w:tblStylePr w:type="firstRow">
      <w:rPr>
        <w:b/>
        <w:bCs/>
      </w:rPr>
    </w:tblStylePr>
    <w:tblStylePr w:type="lastRow">
      <w:rPr>
        <w:b/>
        <w:bCs/>
      </w:rPr>
      <w:tblPr/>
      <w:tcPr>
        <w:tcBorders>
          <w:top w:val="single" w:sz="18" w:space="0" w:color="CEE1ED" w:themeColor="accent3" w:themeTint="BF"/>
        </w:tcBorders>
      </w:tcPr>
    </w:tblStylePr>
    <w:tblStylePr w:type="firstCol">
      <w:rPr>
        <w:b/>
        <w:bCs/>
      </w:rPr>
    </w:tblStylePr>
    <w:tblStylePr w:type="lastCol">
      <w:rPr>
        <w:b/>
        <w:bCs/>
      </w:rPr>
    </w:tblStylePr>
    <w:tblStylePr w:type="band1Vert">
      <w:tblPr/>
      <w:tcPr>
        <w:shd w:val="clear" w:color="auto" w:fill="DFEBF3" w:themeFill="accent3" w:themeFillTint="7F"/>
      </w:tcPr>
    </w:tblStylePr>
    <w:tblStylePr w:type="band1Horz">
      <w:tblPr/>
      <w:tcPr>
        <w:shd w:val="clear" w:color="auto" w:fill="DFEBF3"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insideH w:val="single" w:sz="8" w:space="0" w:color="408ABB" w:themeColor="accent1"/>
        <w:insideV w:val="single" w:sz="8" w:space="0" w:color="408ABB" w:themeColor="accent1"/>
      </w:tblBorders>
    </w:tblPr>
    <w:tcPr>
      <w:shd w:val="clear" w:color="auto" w:fill="CFE2EE" w:themeFill="accent1" w:themeFillTint="3F"/>
    </w:tcPr>
    <w:tblStylePr w:type="firstRow">
      <w:rPr>
        <w:b/>
        <w:bCs/>
        <w:color w:val="000000" w:themeColor="text1"/>
      </w:rPr>
      <w:tblPr/>
      <w:tcPr>
        <w:shd w:val="clear" w:color="auto" w:fill="EB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7F1" w:themeFill="accent1" w:themeFillTint="33"/>
      </w:tcPr>
    </w:tblStylePr>
    <w:tblStylePr w:type="band1Vert">
      <w:tblPr/>
      <w:tcPr>
        <w:shd w:val="clear" w:color="auto" w:fill="9EC4DE" w:themeFill="accent1" w:themeFillTint="7F"/>
      </w:tcPr>
    </w:tblStylePr>
    <w:tblStylePr w:type="band1Horz">
      <w:tblPr/>
      <w:tcPr>
        <w:tcBorders>
          <w:insideH w:val="single" w:sz="6" w:space="0" w:color="408ABB" w:themeColor="accent1"/>
          <w:insideV w:val="single" w:sz="6" w:space="0" w:color="408ABB" w:themeColor="accent1"/>
        </w:tcBorders>
        <w:shd w:val="clear" w:color="auto" w:fill="9EC4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insideH w:val="single" w:sz="8" w:space="0" w:color="80B1D2" w:themeColor="accent2"/>
        <w:insideV w:val="single" w:sz="8" w:space="0" w:color="80B1D2" w:themeColor="accent2"/>
      </w:tblBorders>
    </w:tblPr>
    <w:tcPr>
      <w:shd w:val="clear" w:color="auto" w:fill="DFEBF3" w:themeFill="accent2" w:themeFillTint="3F"/>
    </w:tcPr>
    <w:tblStylePr w:type="firstRow">
      <w:rPr>
        <w:b/>
        <w:bCs/>
        <w:color w:val="000000" w:themeColor="text1"/>
      </w:rPr>
      <w:tblPr/>
      <w:tcPr>
        <w:shd w:val="clear" w:color="auto" w:fill="F2F7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FF6" w:themeFill="accent2" w:themeFillTint="33"/>
      </w:tcPr>
    </w:tblStylePr>
    <w:tblStylePr w:type="band1Vert">
      <w:tblPr/>
      <w:tcPr>
        <w:shd w:val="clear" w:color="auto" w:fill="BFD8E8" w:themeFill="accent2" w:themeFillTint="7F"/>
      </w:tcPr>
    </w:tblStylePr>
    <w:tblStylePr w:type="band1Horz">
      <w:tblPr/>
      <w:tcPr>
        <w:tcBorders>
          <w:insideH w:val="single" w:sz="6" w:space="0" w:color="80B1D2" w:themeColor="accent2"/>
          <w:insideV w:val="single" w:sz="6" w:space="0" w:color="80B1D2" w:themeColor="accent2"/>
        </w:tcBorders>
        <w:shd w:val="clear" w:color="auto" w:fill="BFD8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insideH w:val="single" w:sz="8" w:space="0" w:color="BFD8E8" w:themeColor="accent3"/>
        <w:insideV w:val="single" w:sz="8" w:space="0" w:color="BFD8E8" w:themeColor="accent3"/>
      </w:tblBorders>
    </w:tblPr>
    <w:tcPr>
      <w:shd w:val="clear" w:color="auto" w:fill="EFF5F9"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7FA" w:themeFill="accent3" w:themeFillTint="33"/>
      </w:tcPr>
    </w:tblStylePr>
    <w:tblStylePr w:type="band1Vert">
      <w:tblPr/>
      <w:tcPr>
        <w:shd w:val="clear" w:color="auto" w:fill="DFEBF3" w:themeFill="accent3" w:themeFillTint="7F"/>
      </w:tcPr>
    </w:tblStylePr>
    <w:tblStylePr w:type="band1Horz">
      <w:tblPr/>
      <w:tcPr>
        <w:tcBorders>
          <w:insideH w:val="single" w:sz="6" w:space="0" w:color="BFD8E8" w:themeColor="accent3"/>
          <w:insideV w:val="single" w:sz="6" w:space="0" w:color="BFD8E8" w:themeColor="accent3"/>
        </w:tcBorders>
        <w:shd w:val="clear" w:color="auto" w:fill="DFEB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8AB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8AB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8AB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8AB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C4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C4DE"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B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1D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1D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1D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1D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8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8E8"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8E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8E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8E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8E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B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BF3"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63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8ABB" w:themeColor="accent1"/>
        <w:bottom w:val="single" w:sz="8" w:space="0" w:color="408ABB" w:themeColor="accent1"/>
      </w:tblBorders>
    </w:tblPr>
    <w:tblStylePr w:type="firstRow">
      <w:rPr>
        <w:rFonts w:asciiTheme="majorHAnsi" w:eastAsiaTheme="majorEastAsia" w:hAnsiTheme="majorHAnsi" w:cstheme="majorBidi"/>
      </w:rPr>
      <w:tblPr/>
      <w:tcPr>
        <w:tcBorders>
          <w:top w:val="nil"/>
          <w:bottom w:val="single" w:sz="8" w:space="0" w:color="408ABB" w:themeColor="accent1"/>
        </w:tcBorders>
      </w:tcPr>
    </w:tblStylePr>
    <w:tblStylePr w:type="lastRow">
      <w:rPr>
        <w:b/>
        <w:bCs/>
        <w:color w:val="0063A5" w:themeColor="text2"/>
      </w:rPr>
      <w:tblPr/>
      <w:tcPr>
        <w:tcBorders>
          <w:top w:val="single" w:sz="8" w:space="0" w:color="408ABB" w:themeColor="accent1"/>
          <w:bottom w:val="single" w:sz="8" w:space="0" w:color="408ABB" w:themeColor="accent1"/>
        </w:tcBorders>
      </w:tcPr>
    </w:tblStylePr>
    <w:tblStylePr w:type="firstCol">
      <w:rPr>
        <w:b/>
        <w:bCs/>
      </w:rPr>
    </w:tblStylePr>
    <w:tblStylePr w:type="lastCol">
      <w:rPr>
        <w:b/>
        <w:bCs/>
      </w:rPr>
      <w:tblPr/>
      <w:tcPr>
        <w:tcBorders>
          <w:top w:val="single" w:sz="8" w:space="0" w:color="408ABB" w:themeColor="accent1"/>
          <w:bottom w:val="single" w:sz="8" w:space="0" w:color="408ABB" w:themeColor="accent1"/>
        </w:tcBorders>
      </w:tcPr>
    </w:tblStylePr>
    <w:tblStylePr w:type="band1Vert">
      <w:tblPr/>
      <w:tcPr>
        <w:shd w:val="clear" w:color="auto" w:fill="CFE2EE" w:themeFill="accent1" w:themeFillTint="3F"/>
      </w:tcPr>
    </w:tblStylePr>
    <w:tblStylePr w:type="band1Horz">
      <w:tblPr/>
      <w:tcPr>
        <w:shd w:val="clear" w:color="auto" w:fill="CFE2EE"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1D2" w:themeColor="accent2"/>
        <w:bottom w:val="single" w:sz="8" w:space="0" w:color="80B1D2" w:themeColor="accent2"/>
      </w:tblBorders>
    </w:tblPr>
    <w:tblStylePr w:type="firstRow">
      <w:rPr>
        <w:rFonts w:asciiTheme="majorHAnsi" w:eastAsiaTheme="majorEastAsia" w:hAnsiTheme="majorHAnsi" w:cstheme="majorBidi"/>
      </w:rPr>
      <w:tblPr/>
      <w:tcPr>
        <w:tcBorders>
          <w:top w:val="nil"/>
          <w:bottom w:val="single" w:sz="8" w:space="0" w:color="80B1D2" w:themeColor="accent2"/>
        </w:tcBorders>
      </w:tcPr>
    </w:tblStylePr>
    <w:tblStylePr w:type="lastRow">
      <w:rPr>
        <w:b/>
        <w:bCs/>
        <w:color w:val="0063A5" w:themeColor="text2"/>
      </w:rPr>
      <w:tblPr/>
      <w:tcPr>
        <w:tcBorders>
          <w:top w:val="single" w:sz="8" w:space="0" w:color="80B1D2" w:themeColor="accent2"/>
          <w:bottom w:val="single" w:sz="8" w:space="0" w:color="80B1D2" w:themeColor="accent2"/>
        </w:tcBorders>
      </w:tcPr>
    </w:tblStylePr>
    <w:tblStylePr w:type="firstCol">
      <w:rPr>
        <w:b/>
        <w:bCs/>
      </w:rPr>
    </w:tblStylePr>
    <w:tblStylePr w:type="lastCol">
      <w:rPr>
        <w:b/>
        <w:bCs/>
      </w:rPr>
      <w:tblPr/>
      <w:tcPr>
        <w:tcBorders>
          <w:top w:val="single" w:sz="8" w:space="0" w:color="80B1D2" w:themeColor="accent2"/>
          <w:bottom w:val="single" w:sz="8" w:space="0" w:color="80B1D2" w:themeColor="accent2"/>
        </w:tcBorders>
      </w:tcPr>
    </w:tblStylePr>
    <w:tblStylePr w:type="band1Vert">
      <w:tblPr/>
      <w:tcPr>
        <w:shd w:val="clear" w:color="auto" w:fill="DFEBF3" w:themeFill="accent2" w:themeFillTint="3F"/>
      </w:tcPr>
    </w:tblStylePr>
    <w:tblStylePr w:type="band1Horz">
      <w:tblPr/>
      <w:tcPr>
        <w:shd w:val="clear" w:color="auto" w:fill="DFEBF3"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8E8" w:themeColor="accent3"/>
        <w:bottom w:val="single" w:sz="8" w:space="0" w:color="BFD8E8" w:themeColor="accent3"/>
      </w:tblBorders>
    </w:tblPr>
    <w:tblStylePr w:type="firstRow">
      <w:rPr>
        <w:rFonts w:asciiTheme="majorHAnsi" w:eastAsiaTheme="majorEastAsia" w:hAnsiTheme="majorHAnsi" w:cstheme="majorBidi"/>
      </w:rPr>
      <w:tblPr/>
      <w:tcPr>
        <w:tcBorders>
          <w:top w:val="nil"/>
          <w:bottom w:val="single" w:sz="8" w:space="0" w:color="BFD8E8" w:themeColor="accent3"/>
        </w:tcBorders>
      </w:tcPr>
    </w:tblStylePr>
    <w:tblStylePr w:type="lastRow">
      <w:rPr>
        <w:b/>
        <w:bCs/>
        <w:color w:val="0063A5" w:themeColor="text2"/>
      </w:rPr>
      <w:tblPr/>
      <w:tcPr>
        <w:tcBorders>
          <w:top w:val="single" w:sz="8" w:space="0" w:color="BFD8E8" w:themeColor="accent3"/>
          <w:bottom w:val="single" w:sz="8" w:space="0" w:color="BFD8E8" w:themeColor="accent3"/>
        </w:tcBorders>
      </w:tcPr>
    </w:tblStylePr>
    <w:tblStylePr w:type="firstCol">
      <w:rPr>
        <w:b/>
        <w:bCs/>
      </w:rPr>
    </w:tblStylePr>
    <w:tblStylePr w:type="lastCol">
      <w:rPr>
        <w:b/>
        <w:bCs/>
      </w:rPr>
      <w:tblPr/>
      <w:tcPr>
        <w:tcBorders>
          <w:top w:val="single" w:sz="8" w:space="0" w:color="BFD8E8" w:themeColor="accent3"/>
          <w:bottom w:val="single" w:sz="8" w:space="0" w:color="BFD8E8" w:themeColor="accent3"/>
        </w:tcBorders>
      </w:tcPr>
    </w:tblStylePr>
    <w:tblStylePr w:type="band1Vert">
      <w:tblPr/>
      <w:tcPr>
        <w:shd w:val="clear" w:color="auto" w:fill="EFF5F9" w:themeFill="accent3" w:themeFillTint="3F"/>
      </w:tcPr>
    </w:tblStylePr>
    <w:tblStylePr w:type="band1Horz">
      <w:tblPr/>
      <w:tcPr>
        <w:shd w:val="clear" w:color="auto" w:fill="EFF5F9"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63A5"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63A5"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63A5"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tblBorders>
    </w:tblPr>
    <w:tblStylePr w:type="firstRow">
      <w:rPr>
        <w:sz w:val="24"/>
        <w:szCs w:val="24"/>
      </w:rPr>
      <w:tblPr/>
      <w:tcPr>
        <w:tcBorders>
          <w:top w:val="nil"/>
          <w:left w:val="nil"/>
          <w:bottom w:val="single" w:sz="24" w:space="0" w:color="408ABB" w:themeColor="accent1"/>
          <w:right w:val="nil"/>
          <w:insideH w:val="nil"/>
          <w:insideV w:val="nil"/>
        </w:tcBorders>
        <w:shd w:val="clear" w:color="auto" w:fill="FFFFFF" w:themeFill="background1"/>
      </w:tcPr>
    </w:tblStylePr>
    <w:tblStylePr w:type="lastRow">
      <w:tblPr/>
      <w:tcPr>
        <w:tcBorders>
          <w:top w:val="single" w:sz="8" w:space="0" w:color="408AB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ABB" w:themeColor="accent1"/>
          <w:insideH w:val="nil"/>
          <w:insideV w:val="nil"/>
        </w:tcBorders>
        <w:shd w:val="clear" w:color="auto" w:fill="FFFFFF" w:themeFill="background1"/>
      </w:tcPr>
    </w:tblStylePr>
    <w:tblStylePr w:type="lastCol">
      <w:tblPr/>
      <w:tcPr>
        <w:tcBorders>
          <w:top w:val="nil"/>
          <w:left w:val="single" w:sz="8" w:space="0" w:color="408AB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2EE" w:themeFill="accent1" w:themeFillTint="3F"/>
      </w:tcPr>
    </w:tblStylePr>
    <w:tblStylePr w:type="band1Horz">
      <w:tblPr/>
      <w:tcPr>
        <w:tcBorders>
          <w:top w:val="nil"/>
          <w:bottom w:val="nil"/>
          <w:insideH w:val="nil"/>
          <w:insideV w:val="nil"/>
        </w:tcBorders>
        <w:shd w:val="clear" w:color="auto" w:fill="CF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tblBorders>
    </w:tblPr>
    <w:tblStylePr w:type="firstRow">
      <w:rPr>
        <w:sz w:val="24"/>
        <w:szCs w:val="24"/>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tblPr/>
      <w:tcPr>
        <w:tcBorders>
          <w:top w:val="single" w:sz="8" w:space="0" w:color="80B1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1D2" w:themeColor="accent2"/>
          <w:insideH w:val="nil"/>
          <w:insideV w:val="nil"/>
        </w:tcBorders>
        <w:shd w:val="clear" w:color="auto" w:fill="FFFFFF" w:themeFill="background1"/>
      </w:tcPr>
    </w:tblStylePr>
    <w:tblStylePr w:type="lastCol">
      <w:tblPr/>
      <w:tcPr>
        <w:tcBorders>
          <w:top w:val="nil"/>
          <w:left w:val="single" w:sz="8" w:space="0" w:color="80B1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BF3" w:themeFill="accent2" w:themeFillTint="3F"/>
      </w:tcPr>
    </w:tblStylePr>
    <w:tblStylePr w:type="band1Horz">
      <w:tblPr/>
      <w:tcPr>
        <w:tcBorders>
          <w:top w:val="nil"/>
          <w:bottom w:val="nil"/>
          <w:insideH w:val="nil"/>
          <w:insideV w:val="nil"/>
        </w:tcBorders>
        <w:shd w:val="clear" w:color="auto" w:fill="DFEB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tblBorders>
    </w:tblPr>
    <w:tblStylePr w:type="firstRow">
      <w:rPr>
        <w:sz w:val="24"/>
        <w:szCs w:val="24"/>
      </w:rPr>
      <w:tblPr/>
      <w:tcPr>
        <w:tcBorders>
          <w:top w:val="nil"/>
          <w:left w:val="nil"/>
          <w:bottom w:val="single" w:sz="24" w:space="0" w:color="BFD8E8" w:themeColor="accent3"/>
          <w:right w:val="nil"/>
          <w:insideH w:val="nil"/>
          <w:insideV w:val="nil"/>
        </w:tcBorders>
        <w:shd w:val="clear" w:color="auto" w:fill="FFFFFF" w:themeFill="background1"/>
      </w:tcPr>
    </w:tblStylePr>
    <w:tblStylePr w:type="lastRow">
      <w:tblPr/>
      <w:tcPr>
        <w:tcBorders>
          <w:top w:val="single" w:sz="8" w:space="0" w:color="BFD8E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8E8" w:themeColor="accent3"/>
          <w:insideH w:val="nil"/>
          <w:insideV w:val="nil"/>
        </w:tcBorders>
        <w:shd w:val="clear" w:color="auto" w:fill="FFFFFF" w:themeFill="background1"/>
      </w:tcPr>
    </w:tblStylePr>
    <w:tblStylePr w:type="lastCol">
      <w:tblPr/>
      <w:tcPr>
        <w:tcBorders>
          <w:top w:val="nil"/>
          <w:left w:val="single" w:sz="8" w:space="0" w:color="BFD8E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9" w:themeFill="accent3" w:themeFillTint="3F"/>
      </w:tcPr>
    </w:tblStylePr>
    <w:tblStylePr w:type="band1Horz">
      <w:tblPr/>
      <w:tcPr>
        <w:tcBorders>
          <w:top w:val="nil"/>
          <w:bottom w:val="nil"/>
          <w:insideH w:val="nil"/>
          <w:insideV w:val="nil"/>
        </w:tcBorders>
        <w:shd w:val="clear" w:color="auto" w:fill="EFF5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single" w:sz="8" w:space="0" w:color="6EA7CD" w:themeColor="accent1" w:themeTint="BF"/>
      </w:tblBorders>
    </w:tblPr>
    <w:tblStylePr w:type="firstRow">
      <w:pPr>
        <w:spacing w:before="0" w:after="0" w:line="240" w:lineRule="auto"/>
      </w:pPr>
      <w:rPr>
        <w:b/>
        <w:bCs/>
        <w:color w:val="FFFFFF" w:themeColor="background1"/>
      </w:rPr>
      <w:tblPr/>
      <w:tcPr>
        <w:tcBorders>
          <w:top w:val="single" w:sz="8"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nil"/>
          <w:insideV w:val="nil"/>
        </w:tcBorders>
        <w:shd w:val="clear" w:color="auto" w:fill="408ABB" w:themeFill="accent1"/>
      </w:tcPr>
    </w:tblStylePr>
    <w:tblStylePr w:type="lastRow">
      <w:pPr>
        <w:spacing w:before="0" w:after="0" w:line="240" w:lineRule="auto"/>
      </w:pPr>
      <w:rPr>
        <w:b/>
        <w:bCs/>
      </w:rPr>
      <w:tblPr/>
      <w:tcPr>
        <w:tcBorders>
          <w:top w:val="double" w:sz="6"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2EE" w:themeFill="accent1" w:themeFillTint="3F"/>
      </w:tcPr>
    </w:tblStylePr>
    <w:tblStylePr w:type="band1Horz">
      <w:tblPr/>
      <w:tcPr>
        <w:tcBorders>
          <w:insideH w:val="nil"/>
          <w:insideV w:val="nil"/>
        </w:tcBorders>
        <w:shd w:val="clear" w:color="auto" w:fill="CFE2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single" w:sz="8" w:space="0" w:color="9FC4DD" w:themeColor="accent2" w:themeTint="BF"/>
      </w:tblBorders>
    </w:tblPr>
    <w:tblStylePr w:type="firstRow">
      <w:pPr>
        <w:spacing w:before="0" w:after="0" w:line="240" w:lineRule="auto"/>
      </w:pPr>
      <w:rPr>
        <w:b/>
        <w:bCs/>
        <w:color w:val="FFFFFF" w:themeColor="background1"/>
      </w:rPr>
      <w:tblPr/>
      <w:tcPr>
        <w:tcBorders>
          <w:top w:val="single" w:sz="8"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nil"/>
          <w:insideV w:val="nil"/>
        </w:tcBorders>
        <w:shd w:val="clear" w:color="auto" w:fill="80B1D2" w:themeFill="accent2"/>
      </w:tcPr>
    </w:tblStylePr>
    <w:tblStylePr w:type="lastRow">
      <w:pPr>
        <w:spacing w:before="0" w:after="0" w:line="240" w:lineRule="auto"/>
      </w:pPr>
      <w:rPr>
        <w:b/>
        <w:bCs/>
      </w:rPr>
      <w:tblPr/>
      <w:tcPr>
        <w:tcBorders>
          <w:top w:val="double" w:sz="6"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BF3" w:themeFill="accent2" w:themeFillTint="3F"/>
      </w:tcPr>
    </w:tblStylePr>
    <w:tblStylePr w:type="band1Horz">
      <w:tblPr/>
      <w:tcPr>
        <w:tcBorders>
          <w:insideH w:val="nil"/>
          <w:insideV w:val="nil"/>
        </w:tcBorders>
        <w:shd w:val="clear" w:color="auto" w:fill="DFEB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single" w:sz="8" w:space="0" w:color="CEE1ED" w:themeColor="accent3" w:themeTint="BF"/>
      </w:tblBorders>
    </w:tblPr>
    <w:tblStylePr w:type="firstRow">
      <w:pPr>
        <w:spacing w:before="0" w:after="0" w:line="240" w:lineRule="auto"/>
      </w:pPr>
      <w:rPr>
        <w:b/>
        <w:bCs/>
        <w:color w:val="FFFFFF" w:themeColor="background1"/>
      </w:rPr>
      <w:tblPr/>
      <w:tcPr>
        <w:tcBorders>
          <w:top w:val="single" w:sz="8"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nil"/>
          <w:insideV w:val="nil"/>
        </w:tcBorders>
        <w:shd w:val="clear" w:color="auto" w:fill="BFD8E8" w:themeFill="accent3"/>
      </w:tcPr>
    </w:tblStylePr>
    <w:tblStylePr w:type="lastRow">
      <w:pPr>
        <w:spacing w:before="0" w:after="0" w:line="240" w:lineRule="auto"/>
      </w:pPr>
      <w:rPr>
        <w:b/>
        <w:bCs/>
      </w:rPr>
      <w:tblPr/>
      <w:tcPr>
        <w:tcBorders>
          <w:top w:val="double" w:sz="6"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5F9" w:themeFill="accent3" w:themeFillTint="3F"/>
      </w:tcPr>
    </w:tblStylePr>
    <w:tblStylePr w:type="band1Horz">
      <w:tblPr/>
      <w:tcPr>
        <w:tcBorders>
          <w:insideH w:val="nil"/>
          <w:insideV w:val="nil"/>
        </w:tcBorders>
        <w:shd w:val="clear" w:color="auto" w:fill="EFF5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8AB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8ABB" w:themeFill="accent1"/>
      </w:tcPr>
    </w:tblStylePr>
    <w:tblStylePr w:type="lastCol">
      <w:rPr>
        <w:b/>
        <w:bCs/>
        <w:color w:val="FFFFFF" w:themeColor="background1"/>
      </w:rPr>
      <w:tblPr/>
      <w:tcPr>
        <w:tcBorders>
          <w:left w:val="nil"/>
          <w:right w:val="nil"/>
          <w:insideH w:val="nil"/>
          <w:insideV w:val="nil"/>
        </w:tcBorders>
        <w:shd w:val="clear" w:color="auto" w:fill="408AB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1D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1D2" w:themeFill="accent2"/>
      </w:tcPr>
    </w:tblStylePr>
    <w:tblStylePr w:type="lastCol">
      <w:rPr>
        <w:b/>
        <w:bCs/>
        <w:color w:val="FFFFFF" w:themeColor="background1"/>
      </w:rPr>
      <w:tblPr/>
      <w:tcPr>
        <w:tcBorders>
          <w:left w:val="nil"/>
          <w:right w:val="nil"/>
          <w:insideH w:val="nil"/>
          <w:insideV w:val="nil"/>
        </w:tcBorders>
        <w:shd w:val="clear" w:color="auto" w:fill="80B1D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8E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8E8" w:themeFill="accent3"/>
      </w:tcPr>
    </w:tblStylePr>
    <w:tblStylePr w:type="lastCol">
      <w:rPr>
        <w:b/>
        <w:bCs/>
        <w:color w:val="FFFFFF" w:themeColor="background1"/>
      </w:rPr>
      <w:tblPr/>
      <w:tcPr>
        <w:tcBorders>
          <w:left w:val="nil"/>
          <w:right w:val="nil"/>
          <w:insideH w:val="nil"/>
          <w:insideV w:val="nil"/>
        </w:tcBorders>
        <w:shd w:val="clear" w:color="auto" w:fill="BFD8E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D76AD4"/>
    <w:pPr>
      <w:spacing w:before="100" w:after="100"/>
    </w:pPr>
  </w:style>
  <w:style w:type="paragraph" w:customStyle="1" w:styleId="PulloutHeading">
    <w:name w:val="Pullout Heading"/>
    <w:basedOn w:val="PulloutText"/>
    <w:next w:val="PulloutText"/>
    <w:uiPriority w:val="1"/>
    <w:qFormat/>
    <w:rsid w:val="00D76AD4"/>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character" w:styleId="UnresolvedMention">
    <w:name w:val="Unresolved Mention"/>
    <w:basedOn w:val="DefaultParagraphFont"/>
    <w:uiPriority w:val="99"/>
    <w:semiHidden/>
    <w:unhideWhenUsed/>
    <w:rsid w:val="00911408"/>
    <w:rPr>
      <w:color w:val="605E5C"/>
      <w:shd w:val="clear" w:color="auto" w:fill="E1DFDD"/>
    </w:rPr>
  </w:style>
  <w:style w:type="character" w:styleId="CommentReference">
    <w:name w:val="annotation reference"/>
    <w:basedOn w:val="DefaultParagraphFont"/>
    <w:uiPriority w:val="1"/>
    <w:semiHidden/>
    <w:unhideWhenUsed/>
    <w:rsid w:val="00171CE3"/>
    <w:rPr>
      <w:sz w:val="16"/>
      <w:szCs w:val="16"/>
    </w:rPr>
  </w:style>
  <w:style w:type="paragraph" w:styleId="CommentText">
    <w:name w:val="annotation text"/>
    <w:basedOn w:val="Normal"/>
    <w:link w:val="CommentTextChar"/>
    <w:uiPriority w:val="1"/>
    <w:semiHidden/>
    <w:unhideWhenUsed/>
    <w:rsid w:val="00171CE3"/>
    <w:pPr>
      <w:spacing w:line="240" w:lineRule="auto"/>
    </w:pPr>
  </w:style>
  <w:style w:type="character" w:customStyle="1" w:styleId="CommentTextChar">
    <w:name w:val="Comment Text Char"/>
    <w:basedOn w:val="DefaultParagraphFont"/>
    <w:link w:val="CommentText"/>
    <w:uiPriority w:val="1"/>
    <w:semiHidden/>
    <w:rsid w:val="00171CE3"/>
  </w:style>
  <w:style w:type="paragraph" w:styleId="CommentSubject">
    <w:name w:val="annotation subject"/>
    <w:basedOn w:val="CommentText"/>
    <w:next w:val="CommentText"/>
    <w:link w:val="CommentSubjectChar"/>
    <w:uiPriority w:val="1"/>
    <w:semiHidden/>
    <w:unhideWhenUsed/>
    <w:rsid w:val="00171CE3"/>
    <w:rPr>
      <w:b/>
      <w:bCs/>
    </w:rPr>
  </w:style>
  <w:style w:type="character" w:customStyle="1" w:styleId="CommentSubjectChar">
    <w:name w:val="Comment Subject Char"/>
    <w:basedOn w:val="CommentTextChar"/>
    <w:link w:val="CommentSubject"/>
    <w:uiPriority w:val="1"/>
    <w:semiHidden/>
    <w:rsid w:val="00171CE3"/>
    <w:rPr>
      <w:b/>
      <w:bCs/>
    </w:rPr>
  </w:style>
  <w:style w:type="character" w:styleId="FollowedHyperlink">
    <w:name w:val="FollowedHyperlink"/>
    <w:basedOn w:val="DefaultParagraphFont"/>
    <w:uiPriority w:val="1"/>
    <w:semiHidden/>
    <w:unhideWhenUsed/>
    <w:rsid w:val="00EE2BF0"/>
    <w:rPr>
      <w:color w:val="0063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64319">
      <w:bodyDiv w:val="1"/>
      <w:marLeft w:val="0"/>
      <w:marRight w:val="0"/>
      <w:marTop w:val="0"/>
      <w:marBottom w:val="0"/>
      <w:divBdr>
        <w:top w:val="none" w:sz="0" w:space="0" w:color="auto"/>
        <w:left w:val="none" w:sz="0" w:space="0" w:color="auto"/>
        <w:bottom w:val="none" w:sz="0" w:space="0" w:color="auto"/>
        <w:right w:val="none" w:sz="0" w:space="0" w:color="auto"/>
      </w:divBdr>
    </w:div>
    <w:div w:id="1201629398">
      <w:bodyDiv w:val="1"/>
      <w:marLeft w:val="0"/>
      <w:marRight w:val="0"/>
      <w:marTop w:val="0"/>
      <w:marBottom w:val="0"/>
      <w:divBdr>
        <w:top w:val="none" w:sz="0" w:space="0" w:color="auto"/>
        <w:left w:val="none" w:sz="0" w:space="0" w:color="auto"/>
        <w:bottom w:val="none" w:sz="0" w:space="0" w:color="auto"/>
        <w:right w:val="none" w:sz="0" w:space="0" w:color="auto"/>
      </w:divBdr>
    </w:div>
    <w:div w:id="1613904144">
      <w:bodyDiv w:val="1"/>
      <w:marLeft w:val="0"/>
      <w:marRight w:val="0"/>
      <w:marTop w:val="0"/>
      <w:marBottom w:val="0"/>
      <w:divBdr>
        <w:top w:val="none" w:sz="0" w:space="0" w:color="auto"/>
        <w:left w:val="none" w:sz="0" w:space="0" w:color="auto"/>
        <w:bottom w:val="none" w:sz="0" w:space="0" w:color="auto"/>
        <w:right w:val="none" w:sz="0" w:space="0" w:color="auto"/>
      </w:divBdr>
    </w:div>
    <w:div w:id="19029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safercare.vic.gov.au" TargetMode="External"/><Relationship Id="rId1" Type="http://schemas.openxmlformats.org/officeDocument/2006/relationships/hyperlink" Target="mailto:info@safercare.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safercare.vic.gov.au" TargetMode="External"/><Relationship Id="rId1" Type="http://schemas.openxmlformats.org/officeDocument/2006/relationships/hyperlink" Target="mailto:info@safercare.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V BCV">
  <a:themeElements>
    <a:clrScheme name="SCV BCV">
      <a:dk1>
        <a:srgbClr val="000000"/>
      </a:dk1>
      <a:lt1>
        <a:srgbClr val="FFFFFF"/>
      </a:lt1>
      <a:dk2>
        <a:srgbClr val="0063A5"/>
      </a:dk2>
      <a:lt2>
        <a:srgbClr val="E6EFF6"/>
      </a:lt2>
      <a:accent1>
        <a:srgbClr val="408ABB"/>
      </a:accent1>
      <a:accent2>
        <a:srgbClr val="80B1D2"/>
      </a:accent2>
      <a:accent3>
        <a:srgbClr val="BFD8E8"/>
      </a:accent3>
      <a:accent4>
        <a:srgbClr val="404050"/>
      </a:accent4>
      <a:accent5>
        <a:srgbClr val="80808B"/>
      </a:accent5>
      <a:accent6>
        <a:srgbClr val="CCCCD0"/>
      </a:accent6>
      <a:hlink>
        <a:srgbClr val="000000"/>
      </a:hlink>
      <a:folHlink>
        <a:srgbClr val="0063A5"/>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Vic Gov Blue 100%">
      <a:srgbClr val="0063A5"/>
    </a:custClr>
    <a:custClr name="vic Gov Blue 70%">
      <a:srgbClr val="4D92C0"/>
    </a:custClr>
    <a:custClr name="Vic Gov Blue 20%">
      <a:srgbClr val="CCE0ED"/>
    </a:custClr>
    <a:custClr name="Yellow 100%">
      <a:srgbClr val="FAB662"/>
    </a:custClr>
    <a:custClr name="Yellow 75%">
      <a:srgbClr val="FAB157"/>
    </a:custClr>
    <a:custClr name="Yellow 50%">
      <a:srgbClr val="FBCB8F"/>
    </a:custClr>
    <a:custClr name="Yellow 20%">
      <a:srgbClr val="FEEAD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2CC18-5154-4618-BB73-BE78F7BF6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SUMMARY North east robotics development</dc:title>
  <dc:subject/>
  <dc:creator>Safer Care Victoria</dc:creator>
  <cp:keywords>Safer Care Victoria, Better Care Victoria Innovation Fund, Better Care Victoria, Innovation Fund, BCV, SCV, innovation project, healthcare innovation, healthcare, innovation</cp:keywords>
  <cp:lastModifiedBy/>
  <cp:revision>1</cp:revision>
  <dcterms:created xsi:type="dcterms:W3CDTF">2020-12-15T00:36:00Z</dcterms:created>
  <dcterms:modified xsi:type="dcterms:W3CDTF">2020-12-15T00:37:00Z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2020-12-15T00:37:11Z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19ff72c8-b3e5-44e7-998d-70a4e768d0be</vt:lpwstr>
  </property>
  <property fmtid="{D5CDD505-2E9C-101B-9397-08002B2CF9AE}" pid="8" name="MSIP_Label_efdf5488-3066-4b6c-8fea-9472b8a1f34c_ContentBits">
    <vt:lpwstr>0</vt:lpwstr>
  </property>
</Properties>
</file>