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9D13" w14:textId="19DD9017" w:rsidR="00A46288" w:rsidRPr="00DA3F36" w:rsidRDefault="00994E1C" w:rsidP="007A4444">
      <w:pPr>
        <w:pStyle w:val="Title"/>
      </w:pPr>
      <w:r>
        <w:t>Timely, effective</w:t>
      </w:r>
      <w:r w:rsidR="002D3BDF">
        <w:t xml:space="preserve"> </w:t>
      </w:r>
      <w:r w:rsidR="00561B99">
        <w:t xml:space="preserve">care for </w:t>
      </w:r>
      <w:r w:rsidR="001E2CE8">
        <w:t>gastrointestinal disorder</w:t>
      </w:r>
      <w:r w:rsidR="00561B99">
        <w:t>s</w:t>
      </w:r>
    </w:p>
    <w:p w14:paraId="5D29FC12" w14:textId="0F9ED7AE" w:rsidR="00287701" w:rsidRDefault="00F64F9F" w:rsidP="00E03F35">
      <w:pPr>
        <w:pStyle w:val="IntroductoryText"/>
      </w:pPr>
      <w:r>
        <w:t>For</w:t>
      </w:r>
      <w:r w:rsidR="004F138F">
        <w:t xml:space="preserve"> functional gastrointestinal disorders </w:t>
      </w:r>
      <w:r>
        <w:t>such as i</w:t>
      </w:r>
      <w:r w:rsidRPr="00F64F9F">
        <w:t>rritable bowel syndrome</w:t>
      </w:r>
      <w:r w:rsidR="004F138F">
        <w:t xml:space="preserve">, </w:t>
      </w:r>
      <w:r w:rsidR="003D65F8">
        <w:t xml:space="preserve">medical intervention is not always necessary; </w:t>
      </w:r>
      <w:r w:rsidR="00690030">
        <w:t>sometimes</w:t>
      </w:r>
      <w:r w:rsidR="00287701">
        <w:t xml:space="preserve"> </w:t>
      </w:r>
      <w:r w:rsidR="004F138F">
        <w:t xml:space="preserve">evidence-based allied health interventions can be more effective and economical. </w:t>
      </w:r>
      <w:r w:rsidR="00994E1C">
        <w:t>T</w:t>
      </w:r>
      <w:r w:rsidR="00287701">
        <w:t xml:space="preserve">o provide more timely, effective and person-centred care, </w:t>
      </w:r>
      <w:r w:rsidR="004F138F">
        <w:t xml:space="preserve">Alfred Health </w:t>
      </w:r>
      <w:r w:rsidR="00287701">
        <w:t xml:space="preserve">implemented a </w:t>
      </w:r>
      <w:r w:rsidR="00B13794">
        <w:t xml:space="preserve">nurse and allied health-led model of care </w:t>
      </w:r>
      <w:r w:rsidR="00287701">
        <w:t>to more effectively triage patients</w:t>
      </w:r>
      <w:r w:rsidR="00994E1C">
        <w:t xml:space="preserve"> referred to its </w:t>
      </w:r>
      <w:r w:rsidR="00690030">
        <w:t xml:space="preserve">functional gastrointestinal disorders </w:t>
      </w:r>
      <w:r w:rsidR="00994E1C">
        <w:t>clinic</w:t>
      </w:r>
      <w:r w:rsidR="00287701">
        <w:t xml:space="preserve">. </w:t>
      </w:r>
    </w:p>
    <w:p w14:paraId="7E23E5B8" w14:textId="3FD4F0B8" w:rsidR="007A4444" w:rsidRDefault="007A4444" w:rsidP="007A4444">
      <w:pPr>
        <w:pStyle w:val="NoSpacing"/>
      </w:pPr>
    </w:p>
    <w:p w14:paraId="4230C339" w14:textId="77777777" w:rsidR="007A4444" w:rsidRDefault="007A4444" w:rsidP="00794CB7">
      <w:pPr>
        <w:sectPr w:rsidR="007A4444" w:rsidSect="006975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14:paraId="08B76A1A" w14:textId="30D2B9DC" w:rsidR="00911408" w:rsidRDefault="000C515F" w:rsidP="00911408">
      <w:pPr>
        <w:pStyle w:val="Heading2"/>
      </w:pPr>
      <w:r>
        <w:t>Background</w:t>
      </w:r>
    </w:p>
    <w:p w14:paraId="025E0018" w14:textId="7204F739" w:rsidR="00781A1A" w:rsidRDefault="00DD23F5" w:rsidP="00DD23F5">
      <w:pPr>
        <w:pStyle w:val="Normalfollowingheading"/>
      </w:pPr>
      <w:r>
        <w:t xml:space="preserve">Gastrointestinal symptoms suggestive of </w:t>
      </w:r>
      <w:r w:rsidR="00690030">
        <w:t>i</w:t>
      </w:r>
      <w:r w:rsidR="00690030" w:rsidRPr="00F64F9F">
        <w:t>rritable bowel syndrome</w:t>
      </w:r>
      <w:r w:rsidR="00690030">
        <w:t xml:space="preserve"> </w:t>
      </w:r>
      <w:r>
        <w:t>are one of the most frequent presenting complaints to Australian general practitioners and the most common reason for specialist referral to a gastroenterologist</w:t>
      </w:r>
      <w:r w:rsidR="00CF0075">
        <w:t xml:space="preserve">. </w:t>
      </w:r>
    </w:p>
    <w:p w14:paraId="6D707633" w14:textId="13E1A10F" w:rsidR="00AD24F2" w:rsidRDefault="00DD23F5" w:rsidP="00DD23F5">
      <w:pPr>
        <w:pStyle w:val="Normalfollowingheading"/>
      </w:pPr>
      <w:r>
        <w:t xml:space="preserve">However, many of these </w:t>
      </w:r>
      <w:r w:rsidR="001222B8">
        <w:t xml:space="preserve">patients do not require </w:t>
      </w:r>
      <w:r w:rsidR="00CC07AD" w:rsidRPr="00CC07AD">
        <w:t>a gastroenterologist</w:t>
      </w:r>
      <w:r w:rsidR="001222B8">
        <w:t xml:space="preserve">’s </w:t>
      </w:r>
      <w:r w:rsidR="001222B8" w:rsidRPr="001222B8">
        <w:t>intervention</w:t>
      </w:r>
      <w:r w:rsidR="00AD24F2">
        <w:t xml:space="preserve"> as a variety of largely non-medical therapies have been proven to be effective in managing </w:t>
      </w:r>
      <w:r w:rsidR="00690030">
        <w:t>functional gastrointestinal disorders (FGID</w:t>
      </w:r>
      <w:r w:rsidR="00E01864">
        <w:t>s</w:t>
      </w:r>
      <w:r w:rsidR="00690030">
        <w:t>)</w:t>
      </w:r>
      <w:r w:rsidR="00AD24F2">
        <w:t xml:space="preserve">. These include dietary interventions, gut-directed hypnotherapy, psychological therapies and biofeedback. </w:t>
      </w:r>
    </w:p>
    <w:p w14:paraId="7E436129" w14:textId="778105F9" w:rsidR="00CC07AD" w:rsidRDefault="005D0A16" w:rsidP="00C73E2D">
      <w:pPr>
        <w:pStyle w:val="Normalfollowingheading"/>
      </w:pPr>
      <w:r>
        <w:t xml:space="preserve">Unnecessary referrals can result in an </w:t>
      </w:r>
      <w:r w:rsidR="00C73E2D">
        <w:t xml:space="preserve">increased burden on public </w:t>
      </w:r>
      <w:r w:rsidR="00CC07AD" w:rsidRPr="00CC07AD">
        <w:t>gastroenterology outpatient clinics</w:t>
      </w:r>
      <w:r>
        <w:t xml:space="preserve">, which </w:t>
      </w:r>
      <w:r w:rsidR="00B13794">
        <w:t xml:space="preserve">can, in turn, </w:t>
      </w:r>
      <w:r>
        <w:t xml:space="preserve">delay </w:t>
      </w:r>
      <w:r w:rsidR="00CC07AD" w:rsidRPr="00CC07AD">
        <w:t>timely</w:t>
      </w:r>
      <w:r>
        <w:t xml:space="preserve"> and</w:t>
      </w:r>
      <w:r w:rsidR="00CC07AD" w:rsidRPr="00CC07AD">
        <w:t xml:space="preserve"> effective care for all</w:t>
      </w:r>
      <w:r>
        <w:t xml:space="preserve"> patients</w:t>
      </w:r>
      <w:r w:rsidR="00CC07AD" w:rsidRPr="00CC07AD">
        <w:t xml:space="preserve">. </w:t>
      </w:r>
    </w:p>
    <w:p w14:paraId="0CF68094" w14:textId="39852AF8" w:rsidR="0067651C" w:rsidRDefault="00264BD1" w:rsidP="0067651C">
      <w:r>
        <w:t xml:space="preserve">In 2017, patients were experiencing a 9–12 month wait to access </w:t>
      </w:r>
      <w:r w:rsidR="000E1021">
        <w:t>Alfred Health</w:t>
      </w:r>
      <w:r>
        <w:t xml:space="preserve">’s </w:t>
      </w:r>
      <w:r w:rsidR="000E1021" w:rsidRPr="000E1021">
        <w:t>Functional Gut Clinic</w:t>
      </w:r>
      <w:r w:rsidR="00D411B0">
        <w:t xml:space="preserve">, </w:t>
      </w:r>
      <w:r w:rsidR="000E1021" w:rsidRPr="000E1021">
        <w:t>a weekly</w:t>
      </w:r>
      <w:r w:rsidR="00BA552D">
        <w:t>,</w:t>
      </w:r>
      <w:r w:rsidR="000E1021" w:rsidRPr="000E1021">
        <w:t xml:space="preserve"> multidisciplinary clinic that provide</w:t>
      </w:r>
      <w:r w:rsidR="00BA552D">
        <w:t>s</w:t>
      </w:r>
      <w:r w:rsidR="000E1021" w:rsidRPr="000E1021">
        <w:t xml:space="preserve"> dietetic therapy, hypnotherapy and psychological support</w:t>
      </w:r>
      <w:r w:rsidR="00D411B0">
        <w:t xml:space="preserve">. </w:t>
      </w:r>
      <w:r>
        <w:t xml:space="preserve">There was a </w:t>
      </w:r>
      <w:r w:rsidR="00D411B0">
        <w:t>further six</w:t>
      </w:r>
      <w:r w:rsidR="0067651C">
        <w:t>-</w:t>
      </w:r>
      <w:r w:rsidR="00D411B0">
        <w:t xml:space="preserve">month wait to access allied health services after the initial medical consultation. </w:t>
      </w:r>
    </w:p>
    <w:p w14:paraId="402A6574" w14:textId="7AC0E1DF" w:rsidR="00926C21" w:rsidRDefault="0067651C" w:rsidP="0067651C">
      <w:r>
        <w:t xml:space="preserve">To address this, Alfred Health </w:t>
      </w:r>
      <w:r w:rsidR="00113110">
        <w:t xml:space="preserve">implemented </w:t>
      </w:r>
      <w:r>
        <w:t>a nurse</w:t>
      </w:r>
      <w:r w:rsidR="00F85C48">
        <w:t xml:space="preserve"> and allied health-</w:t>
      </w:r>
      <w:r>
        <w:t>led triage program</w:t>
      </w:r>
      <w:r w:rsidR="00B13794">
        <w:t xml:space="preserve">. This was designed to </w:t>
      </w:r>
      <w:r>
        <w:t>fast-track FGID patients towards effective allied health interventions</w:t>
      </w:r>
      <w:r w:rsidR="006C411B">
        <w:t xml:space="preserve"> and ensure medical reviews were targeted to </w:t>
      </w:r>
      <w:r>
        <w:t xml:space="preserve">complex </w:t>
      </w:r>
      <w:r w:rsidR="006C411B">
        <w:t>cases</w:t>
      </w:r>
      <w:r>
        <w:t>.</w:t>
      </w:r>
      <w:r w:rsidR="00113110">
        <w:t xml:space="preserve"> The health service also established group dietary education sessions to optimise clinic efficiency and a direct email ‘helpline’ to improve patient access to clinicians outside of clinic hours.</w:t>
      </w:r>
    </w:p>
    <w:p w14:paraId="4339E4C3" w14:textId="22CA6705" w:rsidR="00CF0075" w:rsidRDefault="00BD7652" w:rsidP="0067651C">
      <w:r>
        <w:br w:type="column"/>
      </w:r>
      <w:r w:rsidR="00926C21">
        <w:t xml:space="preserve">By optimising the clinic’s efficiency, enhancing support and providing better patient education, Alfred Health aimed to achieve better patient health outcomes faster, provide </w:t>
      </w:r>
      <w:r w:rsidR="004E245F">
        <w:t>timelier</w:t>
      </w:r>
      <w:r w:rsidR="00926C21">
        <w:t xml:space="preserve"> access to care, and improve the overall patient journey</w:t>
      </w:r>
      <w:r w:rsidR="00D42C9A">
        <w:t xml:space="preserve">. </w:t>
      </w:r>
    </w:p>
    <w:p w14:paraId="2CF90F0E" w14:textId="77777777" w:rsidR="006975E6" w:rsidRDefault="00CF0075" w:rsidP="0067651C">
      <w:pPr>
        <w:rPr>
          <w:i/>
          <w:iCs/>
        </w:rPr>
        <w:sectPr w:rsidR="006975E6" w:rsidSect="006975E6">
          <w:footerReference w:type="default" r:id="rId14"/>
          <w:type w:val="continuous"/>
          <w:pgSz w:w="11906" w:h="16838" w:code="9"/>
          <w:pgMar w:top="2438" w:right="737" w:bottom="680" w:left="737" w:header="539" w:footer="624" w:gutter="0"/>
          <w:cols w:num="2" w:space="284"/>
          <w:docGrid w:linePitch="360"/>
        </w:sectPr>
      </w:pPr>
      <w:r w:rsidRPr="00C821CE">
        <w:rPr>
          <w:i/>
          <w:iCs/>
          <w:noProof/>
        </w:rPr>
        <mc:AlternateContent>
          <mc:Choice Requires="wps">
            <w:drawing>
              <wp:inline distT="0" distB="0" distL="0" distR="0" wp14:anchorId="18F97E75" wp14:editId="6FD2055E">
                <wp:extent cx="3230245" cy="4886325"/>
                <wp:effectExtent l="0" t="0" r="2730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4886325"/>
                        </a:xfrm>
                        <a:prstGeom prst="rect">
                          <a:avLst/>
                        </a:prstGeom>
                        <a:solidFill>
                          <a:srgbClr val="FEEAD2"/>
                        </a:solidFill>
                        <a:ln w="6350">
                          <a:solidFill>
                            <a:srgbClr val="FEEAD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23AF8" w14:textId="77777777" w:rsidR="00CF0075" w:rsidRPr="004D6898" w:rsidRDefault="00CF0075" w:rsidP="00CF0075">
                            <w:pPr>
                              <w:pStyle w:val="PulloutHeading"/>
                            </w:pPr>
                            <w:r w:rsidRPr="00AD551D">
                              <w:t>Novel models of care for patients with functional gastrointestinal disorders</w:t>
                            </w:r>
                          </w:p>
                          <w:p w14:paraId="407D272B" w14:textId="77777777" w:rsidR="00CF0075" w:rsidRDefault="00CF0075" w:rsidP="00CF0075">
                            <w:pPr>
                              <w:pStyle w:val="PulloutText"/>
                            </w:pPr>
                            <w:r w:rsidRPr="00186B39">
                              <w:rPr>
                                <w:b/>
                                <w:bCs/>
                              </w:rPr>
                              <w:t>Lead</w:t>
                            </w:r>
                            <w:r>
                              <w:t xml:space="preserve"> Alfred Health</w:t>
                            </w:r>
                          </w:p>
                          <w:p w14:paraId="1C5465C1" w14:textId="77777777" w:rsidR="00CF0075" w:rsidRDefault="00CF0075" w:rsidP="00CF0075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>Partner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929E1">
                              <w:t>Monash University Department of Translational Nutrition</w:t>
                            </w:r>
                          </w:p>
                          <w:p w14:paraId="6CD05B60" w14:textId="77777777" w:rsidR="00CF0075" w:rsidRPr="002B6FCA" w:rsidRDefault="00CF0075" w:rsidP="00CF0075">
                            <w:pPr>
                              <w:pStyle w:val="PulloutTex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Duration </w:t>
                            </w:r>
                            <w:r>
                              <w:t>November 2017 – November 2018</w:t>
                            </w:r>
                          </w:p>
                          <w:p w14:paraId="104E6FE8" w14:textId="77777777" w:rsidR="00CF0075" w:rsidRDefault="00CF0075" w:rsidP="00CF0075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bCs/>
                              </w:rPr>
                              <w:t>outcomes</w:t>
                            </w:r>
                          </w:p>
                          <w:p w14:paraId="3C7726BC" w14:textId="49DF0076" w:rsidR="00BD7652" w:rsidRDefault="00690030" w:rsidP="00BD7652">
                            <w:pPr>
                              <w:pStyle w:val="Bullet1"/>
                            </w:pPr>
                            <w:r>
                              <w:t xml:space="preserve">Saw </w:t>
                            </w:r>
                            <w:r w:rsidR="00BD7652">
                              <w:t>2.75 times more new patients under the new model of care and increase</w:t>
                            </w:r>
                            <w:r w:rsidR="004E245F">
                              <w:t>d</w:t>
                            </w:r>
                            <w:r w:rsidR="00BD7652">
                              <w:t xml:space="preserve"> </w:t>
                            </w:r>
                            <w:r>
                              <w:t xml:space="preserve">the </w:t>
                            </w:r>
                            <w:r w:rsidR="00BD7652">
                              <w:t>total number of patients seen</w:t>
                            </w:r>
                            <w:r>
                              <w:t xml:space="preserve"> by </w:t>
                            </w:r>
                            <w:r w:rsidRPr="00690030">
                              <w:t>almost 50 per cent</w:t>
                            </w:r>
                          </w:p>
                          <w:p w14:paraId="4215D3B0" w14:textId="540FAB8B" w:rsidR="00BD7652" w:rsidRDefault="00690030" w:rsidP="00BD7652">
                            <w:pPr>
                              <w:pStyle w:val="Bullet1"/>
                            </w:pPr>
                            <w:r>
                              <w:t>Achieved a</w:t>
                            </w:r>
                            <w:r w:rsidR="00BD7652">
                              <w:t>n almost three-fold reduction in wait times</w:t>
                            </w:r>
                            <w:r>
                              <w:t xml:space="preserve"> and decreased </w:t>
                            </w:r>
                            <w:r w:rsidR="00BD7652">
                              <w:t>time to first clinic appointment from 345 to 120 days</w:t>
                            </w:r>
                          </w:p>
                          <w:p w14:paraId="5A66D529" w14:textId="28B0CE3F" w:rsidR="00BD7652" w:rsidRDefault="00690030" w:rsidP="00BD7652">
                            <w:pPr>
                              <w:pStyle w:val="Bullet1"/>
                            </w:pPr>
                            <w:r>
                              <w:t xml:space="preserve">Decreased </w:t>
                            </w:r>
                            <w:r w:rsidR="00BD7652">
                              <w:t xml:space="preserve">symptom severity for patients seen in the nurse and allied health-led clinic </w:t>
                            </w:r>
                            <w:r>
                              <w:t>by 21.6</w:t>
                            </w:r>
                            <w:r w:rsidR="00E01864">
                              <w:t> </w:t>
                            </w:r>
                            <w:r>
                              <w:t>per cent</w:t>
                            </w:r>
                            <w:r w:rsidR="00BD7652">
                              <w:t xml:space="preserve"> </w:t>
                            </w:r>
                          </w:p>
                          <w:p w14:paraId="360C7803" w14:textId="17C9AF11" w:rsidR="00BD7652" w:rsidRDefault="00690030" w:rsidP="00BD7652">
                            <w:pPr>
                              <w:pStyle w:val="Bullet1"/>
                            </w:pPr>
                            <w:r>
                              <w:t xml:space="preserve">Reduced </w:t>
                            </w:r>
                            <w:r w:rsidR="00BD7652">
                              <w:t xml:space="preserve">the </w:t>
                            </w:r>
                            <w:r w:rsidR="00150EB1">
                              <w:t xml:space="preserve">number of </w:t>
                            </w:r>
                            <w:r w:rsidR="00BD7652">
                              <w:t>patients requiring medical review</w:t>
                            </w:r>
                            <w:r>
                              <w:t xml:space="preserve"> by 36 per cent</w:t>
                            </w:r>
                          </w:p>
                          <w:p w14:paraId="1764D712" w14:textId="3FBF588C" w:rsidR="00BD7652" w:rsidRDefault="00690030" w:rsidP="00BD7652">
                            <w:pPr>
                              <w:pStyle w:val="Bullet1"/>
                            </w:pPr>
                            <w:r>
                              <w:t xml:space="preserve">Almost halved </w:t>
                            </w:r>
                            <w:r w:rsidR="00BD7652">
                              <w:t>the cost per new patient from $887 to $484</w:t>
                            </w:r>
                          </w:p>
                          <w:p w14:paraId="09065BFA" w14:textId="68CA2EEE" w:rsidR="00CF0075" w:rsidRPr="00911408" w:rsidRDefault="00690030" w:rsidP="00E05523">
                            <w:pPr>
                              <w:pStyle w:val="Bullet1"/>
                            </w:pPr>
                            <w:r>
                              <w:t>Received h</w:t>
                            </w:r>
                            <w:r w:rsidR="00BD7652">
                              <w:t xml:space="preserve">igh patient satisfaction scores and </w:t>
                            </w:r>
                            <w:r>
                              <w:t xml:space="preserve">reduced </w:t>
                            </w:r>
                            <w:r w:rsidR="00BD7652">
                              <w:t>‘did not attend’ rates from 13.</w:t>
                            </w:r>
                            <w:r w:rsidR="00BD7652" w:rsidRPr="00150EB1">
                              <w:t>5</w:t>
                            </w:r>
                            <w:r w:rsidR="00E01864">
                              <w:t> </w:t>
                            </w:r>
                            <w:r w:rsidR="00BD7652" w:rsidRPr="00150EB1">
                              <w:t>per</w:t>
                            </w:r>
                            <w:r w:rsidR="00E01864">
                              <w:t> </w:t>
                            </w:r>
                            <w:r w:rsidR="00BD7652">
                              <w:t>cent to 3 per cent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F97E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4.35pt;height:3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" fillcolor="#feead2" strokecolor="#feead2" strokeweight=".5pt">
                <v:textbox inset="5mm,5mm,4mm,1mm">
                  <w:txbxContent>
                    <w:p w14:paraId="51623AF8" w14:textId="77777777" w:rsidR="00CF0075" w:rsidRPr="004D6898" w:rsidRDefault="00CF0075" w:rsidP="00CF0075">
                      <w:pPr>
                        <w:pStyle w:val="PulloutHeading"/>
                      </w:pPr>
                      <w:r w:rsidRPr="00AD551D">
                        <w:t>Novel models of care for patients with functional gastrointestinal disorders</w:t>
                      </w:r>
                    </w:p>
                    <w:p w14:paraId="407D272B" w14:textId="77777777" w:rsidR="00CF0075" w:rsidRDefault="00CF0075" w:rsidP="00CF0075">
                      <w:pPr>
                        <w:pStyle w:val="PulloutText"/>
                      </w:pPr>
                      <w:r w:rsidRPr="00186B39">
                        <w:rPr>
                          <w:b/>
                          <w:bCs/>
                        </w:rPr>
                        <w:t>Lead</w:t>
                      </w:r>
                      <w:r>
                        <w:t xml:space="preserve"> Alfred Health</w:t>
                      </w:r>
                    </w:p>
                    <w:p w14:paraId="1C5465C1" w14:textId="77777777" w:rsidR="00CF0075" w:rsidRDefault="00CF0075" w:rsidP="00CF0075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911408">
                        <w:rPr>
                          <w:b/>
                          <w:bCs/>
                        </w:rPr>
                        <w:t>Partner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929E1">
                        <w:t>Monash University Department of Translational Nutrition</w:t>
                      </w:r>
                    </w:p>
                    <w:p w14:paraId="6CD05B60" w14:textId="77777777" w:rsidR="00CF0075" w:rsidRPr="002B6FCA" w:rsidRDefault="00CF0075" w:rsidP="00CF0075">
                      <w:pPr>
                        <w:pStyle w:val="PulloutText"/>
                      </w:pPr>
                      <w:r>
                        <w:rPr>
                          <w:b/>
                          <w:bCs/>
                        </w:rPr>
                        <w:t xml:space="preserve">Duration </w:t>
                      </w:r>
                      <w:r>
                        <w:t>November 2017 – November 2018</w:t>
                      </w:r>
                    </w:p>
                    <w:p w14:paraId="104E6FE8" w14:textId="77777777" w:rsidR="00CF0075" w:rsidRDefault="00CF0075" w:rsidP="00CF0075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911408">
                        <w:rPr>
                          <w:b/>
                          <w:bCs/>
                        </w:rPr>
                        <w:t xml:space="preserve">Key </w:t>
                      </w:r>
                      <w:r>
                        <w:rPr>
                          <w:b/>
                          <w:bCs/>
                        </w:rPr>
                        <w:t>outcomes</w:t>
                      </w:r>
                    </w:p>
                    <w:p w14:paraId="3C7726BC" w14:textId="49DF0076" w:rsidR="00BD7652" w:rsidRDefault="00690030" w:rsidP="00BD7652">
                      <w:pPr>
                        <w:pStyle w:val="Bullet1"/>
                      </w:pPr>
                      <w:r>
                        <w:t xml:space="preserve">Saw </w:t>
                      </w:r>
                      <w:r w:rsidR="00BD7652">
                        <w:t>2.75 times more new patients under the new model of care and increase</w:t>
                      </w:r>
                      <w:r w:rsidR="004E245F">
                        <w:t>d</w:t>
                      </w:r>
                      <w:r w:rsidR="00BD7652">
                        <w:t xml:space="preserve"> </w:t>
                      </w:r>
                      <w:r>
                        <w:t xml:space="preserve">the </w:t>
                      </w:r>
                      <w:r w:rsidR="00BD7652">
                        <w:t>total number of patients seen</w:t>
                      </w:r>
                      <w:r>
                        <w:t xml:space="preserve"> by </w:t>
                      </w:r>
                      <w:r w:rsidRPr="00690030">
                        <w:t>almost 50 per cent</w:t>
                      </w:r>
                    </w:p>
                    <w:p w14:paraId="4215D3B0" w14:textId="540FAB8B" w:rsidR="00BD7652" w:rsidRDefault="00690030" w:rsidP="00BD7652">
                      <w:pPr>
                        <w:pStyle w:val="Bullet1"/>
                      </w:pPr>
                      <w:r>
                        <w:t>Achieved a</w:t>
                      </w:r>
                      <w:r w:rsidR="00BD7652">
                        <w:t>n almost three-fold reduction in wait times</w:t>
                      </w:r>
                      <w:r>
                        <w:t xml:space="preserve"> and decreased </w:t>
                      </w:r>
                      <w:r w:rsidR="00BD7652">
                        <w:t>time to first clinic appointment from 345 to 120 days</w:t>
                      </w:r>
                    </w:p>
                    <w:p w14:paraId="5A66D529" w14:textId="28B0CE3F" w:rsidR="00BD7652" w:rsidRDefault="00690030" w:rsidP="00BD7652">
                      <w:pPr>
                        <w:pStyle w:val="Bullet1"/>
                      </w:pPr>
                      <w:r>
                        <w:t xml:space="preserve">Decreased </w:t>
                      </w:r>
                      <w:r w:rsidR="00BD7652">
                        <w:t xml:space="preserve">symptom severity for patients seen in the nurse and allied health-led clinic </w:t>
                      </w:r>
                      <w:r>
                        <w:t>by 21.6</w:t>
                      </w:r>
                      <w:r w:rsidR="00E01864">
                        <w:t> </w:t>
                      </w:r>
                      <w:r>
                        <w:t>per cent</w:t>
                      </w:r>
                      <w:r w:rsidR="00BD7652">
                        <w:t xml:space="preserve"> </w:t>
                      </w:r>
                    </w:p>
                    <w:p w14:paraId="360C7803" w14:textId="17C9AF11" w:rsidR="00BD7652" w:rsidRDefault="00690030" w:rsidP="00BD7652">
                      <w:pPr>
                        <w:pStyle w:val="Bullet1"/>
                      </w:pPr>
                      <w:r>
                        <w:t xml:space="preserve">Reduced </w:t>
                      </w:r>
                      <w:r w:rsidR="00BD7652">
                        <w:t xml:space="preserve">the </w:t>
                      </w:r>
                      <w:r w:rsidR="00150EB1">
                        <w:t xml:space="preserve">number of </w:t>
                      </w:r>
                      <w:r w:rsidR="00BD7652">
                        <w:t>patients requiring medical review</w:t>
                      </w:r>
                      <w:r>
                        <w:t xml:space="preserve"> by 36 per cent</w:t>
                      </w:r>
                    </w:p>
                    <w:p w14:paraId="1764D712" w14:textId="3FBF588C" w:rsidR="00BD7652" w:rsidRDefault="00690030" w:rsidP="00BD7652">
                      <w:pPr>
                        <w:pStyle w:val="Bullet1"/>
                      </w:pPr>
                      <w:r>
                        <w:t xml:space="preserve">Almost halved </w:t>
                      </w:r>
                      <w:r w:rsidR="00BD7652">
                        <w:t>the cost per new patient from $887 to $484</w:t>
                      </w:r>
                    </w:p>
                    <w:p w14:paraId="09065BFA" w14:textId="68CA2EEE" w:rsidR="00CF0075" w:rsidRPr="00911408" w:rsidRDefault="00690030" w:rsidP="00E05523">
                      <w:pPr>
                        <w:pStyle w:val="Bullet1"/>
                      </w:pPr>
                      <w:r>
                        <w:t>Received h</w:t>
                      </w:r>
                      <w:r w:rsidR="00BD7652">
                        <w:t xml:space="preserve">igh patient satisfaction scores and </w:t>
                      </w:r>
                      <w:r>
                        <w:t xml:space="preserve">reduced </w:t>
                      </w:r>
                      <w:r w:rsidR="00BD7652">
                        <w:t>‘did not attend’ rates from 13.</w:t>
                      </w:r>
                      <w:r w:rsidR="00BD7652" w:rsidRPr="00150EB1">
                        <w:t>5</w:t>
                      </w:r>
                      <w:r w:rsidR="00E01864">
                        <w:t> </w:t>
                      </w:r>
                      <w:r w:rsidR="00BD7652" w:rsidRPr="00150EB1">
                        <w:t>per</w:t>
                      </w:r>
                      <w:r w:rsidR="00E01864">
                        <w:t> </w:t>
                      </w:r>
                      <w:r w:rsidR="00BD7652">
                        <w:t>cent to 3 per cent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A60E98" w14:textId="50331851" w:rsidR="00794CB7" w:rsidRDefault="00765FF7" w:rsidP="004A4ED0">
      <w:pPr>
        <w:pStyle w:val="Heading2"/>
      </w:pPr>
      <w:r>
        <w:lastRenderedPageBreak/>
        <w:t>Key activity</w:t>
      </w:r>
    </w:p>
    <w:p w14:paraId="3E40472A" w14:textId="68164C8F" w:rsidR="00375F6D" w:rsidRDefault="0048750E" w:rsidP="0048750E">
      <w:pPr>
        <w:pStyle w:val="Normalfollowingheading"/>
      </w:pPr>
      <w:r>
        <w:t>Alfred Health d</w:t>
      </w:r>
      <w:r w:rsidR="00375F6D">
        <w:t xml:space="preserve">eveloped and implemented a new model of care </w:t>
      </w:r>
      <w:r>
        <w:t xml:space="preserve">to operate alongside its </w:t>
      </w:r>
      <w:r w:rsidR="00375F6D">
        <w:t>standard medical service</w:t>
      </w:r>
      <w:r>
        <w:t xml:space="preserve"> where </w:t>
      </w:r>
      <w:r w:rsidR="00375F6D">
        <w:t>a clinical nurse specialist review</w:t>
      </w:r>
      <w:r>
        <w:t>ed</w:t>
      </w:r>
      <w:r w:rsidR="00375F6D">
        <w:t xml:space="preserve"> and triage</w:t>
      </w:r>
      <w:r>
        <w:t>d</w:t>
      </w:r>
      <w:r w:rsidR="00375F6D">
        <w:t xml:space="preserve"> all referrals to the Functional Gut Clinic</w:t>
      </w:r>
      <w:r w:rsidR="00060ED7" w:rsidRPr="00060ED7">
        <w:t>.</w:t>
      </w:r>
      <w:r w:rsidR="00375F6D">
        <w:t xml:space="preserve"> This process was overseen by a gastroenterology consultant. </w:t>
      </w:r>
    </w:p>
    <w:p w14:paraId="58D9A2D7" w14:textId="79A90A36" w:rsidR="00060ED7" w:rsidRDefault="00375F6D" w:rsidP="0048750E">
      <w:pPr>
        <w:pStyle w:val="Normalfollowingheading"/>
      </w:pPr>
      <w:r>
        <w:t xml:space="preserve">Patients were sent a comprehensive symptom and risk-factor questionnaire and pathology request slip, and </w:t>
      </w:r>
      <w:r w:rsidR="00FE04FE">
        <w:t xml:space="preserve">based on their </w:t>
      </w:r>
      <w:r>
        <w:t>responses, the specialist nurse would triage them as into the following categories:</w:t>
      </w:r>
    </w:p>
    <w:p w14:paraId="2C1EC434" w14:textId="64F9BB3E" w:rsidR="00375F6D" w:rsidRDefault="00375F6D" w:rsidP="0048750E">
      <w:pPr>
        <w:pStyle w:val="Bullet1"/>
      </w:pPr>
      <w:r w:rsidRPr="00375F6D">
        <w:rPr>
          <w:b/>
          <w:bCs/>
        </w:rPr>
        <w:t xml:space="preserve">high-risk – </w:t>
      </w:r>
      <w:r w:rsidRPr="00375F6D">
        <w:t xml:space="preserve">examples of patients in this category </w:t>
      </w:r>
      <w:r>
        <w:t xml:space="preserve">included those who had </w:t>
      </w:r>
      <w:r w:rsidR="003F4CF1">
        <w:t>weight loss, atypical features</w:t>
      </w:r>
      <w:r>
        <w:t xml:space="preserve">, and </w:t>
      </w:r>
      <w:r w:rsidR="003F4CF1">
        <w:t>abnormal test</w:t>
      </w:r>
      <w:r>
        <w:t xml:space="preserve"> results. </w:t>
      </w:r>
      <w:r w:rsidR="003F4CF1">
        <w:t>These patients received an urgent appointment with a</w:t>
      </w:r>
      <w:r w:rsidR="005F1B5D">
        <w:t>n</w:t>
      </w:r>
      <w:r w:rsidR="003F4CF1">
        <w:t xml:space="preserve"> </w:t>
      </w:r>
      <w:r>
        <w:t xml:space="preserve">FGID </w:t>
      </w:r>
      <w:r w:rsidR="003F4CF1">
        <w:t>specialist</w:t>
      </w:r>
      <w:r w:rsidR="00431551">
        <w:t xml:space="preserve"> </w:t>
      </w:r>
      <w:r w:rsidR="009122EA">
        <w:t xml:space="preserve">in the medical service </w:t>
      </w:r>
      <w:r w:rsidR="0048750E">
        <w:t>within 30 days</w:t>
      </w:r>
    </w:p>
    <w:p w14:paraId="41DA727C" w14:textId="613764DB" w:rsidR="005F1B5D" w:rsidRDefault="00375F6D" w:rsidP="0048750E">
      <w:pPr>
        <w:pStyle w:val="Bullet1"/>
      </w:pPr>
      <w:r w:rsidRPr="00375F6D">
        <w:rPr>
          <w:b/>
          <w:bCs/>
        </w:rPr>
        <w:t>low-risk with complex clinical needs –</w:t>
      </w:r>
      <w:r>
        <w:rPr>
          <w:b/>
          <w:bCs/>
        </w:rPr>
        <w:t xml:space="preserve"> </w:t>
      </w:r>
      <w:r w:rsidR="00C926A8" w:rsidRPr="00C926A8">
        <w:t>low-risk</w:t>
      </w:r>
      <w:r w:rsidR="00C926A8">
        <w:rPr>
          <w:b/>
          <w:bCs/>
        </w:rPr>
        <w:t xml:space="preserve"> </w:t>
      </w:r>
      <w:r>
        <w:t xml:space="preserve">patients determined </w:t>
      </w:r>
      <w:r w:rsidR="00C926A8">
        <w:t xml:space="preserve">to require </w:t>
      </w:r>
      <w:r w:rsidR="003F4CF1">
        <w:t>tertiary assessment</w:t>
      </w:r>
      <w:r>
        <w:t xml:space="preserve"> </w:t>
      </w:r>
      <w:r w:rsidR="0048750E">
        <w:t xml:space="preserve">received </w:t>
      </w:r>
      <w:r w:rsidR="005F1B5D">
        <w:t xml:space="preserve">the next available </w:t>
      </w:r>
      <w:r w:rsidR="003F4CF1">
        <w:t>appointment with a</w:t>
      </w:r>
      <w:r w:rsidR="005F1B5D">
        <w:t>n</w:t>
      </w:r>
      <w:r w:rsidR="003F4CF1">
        <w:t xml:space="preserve"> FGID specialist</w:t>
      </w:r>
      <w:r>
        <w:t xml:space="preserve">. These individuals </w:t>
      </w:r>
      <w:r w:rsidR="005F1B5D">
        <w:t xml:space="preserve">typically </w:t>
      </w:r>
      <w:r w:rsidR="00C926A8">
        <w:t xml:space="preserve">had organic disorders excluded by their referring gastroenterologist and </w:t>
      </w:r>
      <w:r w:rsidR="005F1B5D">
        <w:t xml:space="preserve">had no high-risk features </w:t>
      </w:r>
    </w:p>
    <w:p w14:paraId="7E588CFC" w14:textId="429F91BC" w:rsidR="003F4CF1" w:rsidRDefault="005F1B5D" w:rsidP="0048750E">
      <w:pPr>
        <w:pStyle w:val="Bullet1"/>
      </w:pPr>
      <w:r w:rsidRPr="007444D7">
        <w:rPr>
          <w:b/>
          <w:bCs/>
        </w:rPr>
        <w:t xml:space="preserve">low-risk – </w:t>
      </w:r>
      <w:r>
        <w:t xml:space="preserve">these patients would receive an appointment with a </w:t>
      </w:r>
      <w:r w:rsidR="003F4CF1">
        <w:t xml:space="preserve">nurse </w:t>
      </w:r>
      <w:r w:rsidR="00431551">
        <w:t xml:space="preserve">specialist </w:t>
      </w:r>
      <w:r>
        <w:t xml:space="preserve">who would confirm </w:t>
      </w:r>
      <w:r w:rsidR="00C926A8">
        <w:t xml:space="preserve">their </w:t>
      </w:r>
      <w:r>
        <w:t xml:space="preserve">FGID </w:t>
      </w:r>
      <w:r w:rsidR="003F4CF1">
        <w:t xml:space="preserve">diagnosis and </w:t>
      </w:r>
      <w:r w:rsidR="00C926A8">
        <w:t xml:space="preserve">discuss suitable </w:t>
      </w:r>
      <w:r w:rsidR="003F4CF1">
        <w:t>treatment</w:t>
      </w:r>
      <w:r w:rsidR="00C926A8">
        <w:t xml:space="preserve"> options</w:t>
      </w:r>
      <w:r w:rsidR="003F4CF1">
        <w:t xml:space="preserve">. </w:t>
      </w:r>
      <w:r w:rsidR="007444D7">
        <w:t xml:space="preserve">Patients confirmed to have FGID would </w:t>
      </w:r>
      <w:r w:rsidR="0048750E">
        <w:t xml:space="preserve">receive a direct referral for </w:t>
      </w:r>
      <w:r w:rsidR="007444D7">
        <w:t xml:space="preserve">one of the following </w:t>
      </w:r>
      <w:r w:rsidR="003F4CF1">
        <w:t xml:space="preserve">evidence-based </w:t>
      </w:r>
      <w:r w:rsidR="007444D7">
        <w:t xml:space="preserve">allied health </w:t>
      </w:r>
      <w:r w:rsidR="003F4CF1">
        <w:t>intervention</w:t>
      </w:r>
      <w:r w:rsidR="007444D7">
        <w:t>s</w:t>
      </w:r>
      <w:r w:rsidR="003F4CF1">
        <w:t xml:space="preserve"> of their </w:t>
      </w:r>
      <w:r w:rsidR="007444D7">
        <w:t>choosing: g</w:t>
      </w:r>
      <w:r w:rsidR="003F4CF1">
        <w:t>roup dietary intervention</w:t>
      </w:r>
      <w:r w:rsidR="0048750E">
        <w:t>,</w:t>
      </w:r>
      <w:r w:rsidR="007444D7">
        <w:t xml:space="preserve"> o</w:t>
      </w:r>
      <w:r w:rsidR="003F4CF1">
        <w:t>ne-on-one dietary intervention</w:t>
      </w:r>
      <w:r w:rsidR="0048750E">
        <w:t>,</w:t>
      </w:r>
      <w:r w:rsidR="007444D7">
        <w:t xml:space="preserve"> g</w:t>
      </w:r>
      <w:r w:rsidR="003F4CF1">
        <w:t>ut-directed hypnotherapy</w:t>
      </w:r>
      <w:r w:rsidR="0048750E">
        <w:t>,</w:t>
      </w:r>
      <w:r w:rsidR="007444D7">
        <w:t xml:space="preserve"> p</w:t>
      </w:r>
      <w:r w:rsidR="003F4CF1">
        <w:t>sychological intervention</w:t>
      </w:r>
      <w:r w:rsidR="0048750E">
        <w:t>,</w:t>
      </w:r>
      <w:r w:rsidR="003F4CF1">
        <w:t xml:space="preserve"> or</w:t>
      </w:r>
      <w:r w:rsidR="007444D7">
        <w:t xml:space="preserve"> p</w:t>
      </w:r>
      <w:r w:rsidR="003F4CF1">
        <w:t>elvic floor physiotherapy/biofeedback</w:t>
      </w:r>
      <w:r w:rsidR="007444D7">
        <w:t xml:space="preserve">. </w:t>
      </w:r>
    </w:p>
    <w:p w14:paraId="76F80419" w14:textId="6C14B3EE" w:rsidR="003F4CF1" w:rsidRDefault="007444D7" w:rsidP="00713373">
      <w:r>
        <w:t xml:space="preserve">Patients were reviewed post-intervention and if they were well, would be discharged. If symptoms persisted and/or if medical therapy was proposed, they would be referred to see an </w:t>
      </w:r>
      <w:r w:rsidR="003F4CF1">
        <w:t>FGID specialist.</w:t>
      </w:r>
    </w:p>
    <w:p w14:paraId="485E5545" w14:textId="5DD9538E" w:rsidR="005F7DEB" w:rsidRDefault="005F7DEB" w:rsidP="005F7DEB">
      <w:r>
        <w:t>Other components of the project included:</w:t>
      </w:r>
    </w:p>
    <w:p w14:paraId="1EBEF812" w14:textId="37063731" w:rsidR="0048750E" w:rsidRDefault="005F7DEB" w:rsidP="0048750E">
      <w:pPr>
        <w:pStyle w:val="Bullet1"/>
      </w:pPr>
      <w:r>
        <w:rPr>
          <w:b/>
          <w:bCs/>
        </w:rPr>
        <w:t>g</w:t>
      </w:r>
      <w:r w:rsidR="00D43C16" w:rsidRPr="005F7DEB">
        <w:rPr>
          <w:b/>
          <w:bCs/>
        </w:rPr>
        <w:t xml:space="preserve">roup </w:t>
      </w:r>
      <w:r w:rsidR="00AD6B0A" w:rsidRPr="005F7DEB">
        <w:rPr>
          <w:b/>
          <w:bCs/>
        </w:rPr>
        <w:t xml:space="preserve">dietary </w:t>
      </w:r>
      <w:r w:rsidR="00D43C16" w:rsidRPr="005F7DEB">
        <w:rPr>
          <w:b/>
          <w:bCs/>
        </w:rPr>
        <w:t>education sessions</w:t>
      </w:r>
      <w:r w:rsidRPr="005F7DEB">
        <w:rPr>
          <w:b/>
          <w:bCs/>
        </w:rPr>
        <w:t xml:space="preserve"> – </w:t>
      </w:r>
      <w:r w:rsidRPr="005F7DEB">
        <w:t>a</w:t>
      </w:r>
      <w:r w:rsidR="0048750E" w:rsidRPr="005F7DEB">
        <w:t>n</w:t>
      </w:r>
      <w:r w:rsidR="0048750E">
        <w:t xml:space="preserve"> experienced dietician delivered a low ‘FODMAP’ diet education program to groups of up to 10 patients per week to </w:t>
      </w:r>
      <w:r w:rsidR="00FE04FE">
        <w:t xml:space="preserve">give more patients </w:t>
      </w:r>
      <w:r w:rsidR="00E01864">
        <w:t>timelier</w:t>
      </w:r>
      <w:r w:rsidR="00FE04FE">
        <w:t xml:space="preserve"> access </w:t>
      </w:r>
      <w:r w:rsidR="00AD6B0A">
        <w:t xml:space="preserve">to this </w:t>
      </w:r>
      <w:r w:rsidR="0048750E">
        <w:t xml:space="preserve">information </w:t>
      </w:r>
    </w:p>
    <w:p w14:paraId="23396154" w14:textId="3C7CDCE0" w:rsidR="005F7DEB" w:rsidRDefault="00C45B7B" w:rsidP="0048750E">
      <w:pPr>
        <w:pStyle w:val="Bullet1"/>
      </w:pPr>
      <w:r>
        <w:rPr>
          <w:b/>
          <w:bCs/>
        </w:rPr>
        <w:br w:type="column"/>
      </w:r>
      <w:r w:rsidR="005F7DEB" w:rsidRPr="005F7DEB">
        <w:rPr>
          <w:b/>
          <w:bCs/>
        </w:rPr>
        <w:t xml:space="preserve">multidisciplinary meetings for complex patients – </w:t>
      </w:r>
      <w:r w:rsidR="005F7DEB">
        <w:t xml:space="preserve">virtual multidisciplinary meetings were held on a monthly basis </w:t>
      </w:r>
      <w:r w:rsidR="005F7DEB" w:rsidRPr="005F7DEB">
        <w:t>for complex patients with high healthcare utilisation</w:t>
      </w:r>
    </w:p>
    <w:p w14:paraId="78EE51B2" w14:textId="3AC84E29" w:rsidR="005F7DEB" w:rsidRDefault="005F7DEB" w:rsidP="005F7DEB">
      <w:pPr>
        <w:pStyle w:val="Bullet1"/>
      </w:pPr>
      <w:r>
        <w:rPr>
          <w:b/>
          <w:bCs/>
        </w:rPr>
        <w:t xml:space="preserve">creation of a </w:t>
      </w:r>
      <w:r w:rsidR="00052D93">
        <w:rPr>
          <w:b/>
          <w:bCs/>
        </w:rPr>
        <w:t xml:space="preserve">support </w:t>
      </w:r>
      <w:r>
        <w:rPr>
          <w:b/>
          <w:bCs/>
        </w:rPr>
        <w:t>line –</w:t>
      </w:r>
      <w:r>
        <w:t xml:space="preserve"> </w:t>
      </w:r>
      <w:r w:rsidRPr="005F7DEB">
        <w:t>a</w:t>
      </w:r>
      <w:r>
        <w:t>n email</w:t>
      </w:r>
      <w:r w:rsidRPr="005F7DEB">
        <w:t xml:space="preserve"> </w:t>
      </w:r>
      <w:r>
        <w:t>‘</w:t>
      </w:r>
      <w:r w:rsidRPr="005F7DEB">
        <w:t>helpline</w:t>
      </w:r>
      <w:r>
        <w:t xml:space="preserve">’ </w:t>
      </w:r>
      <w:r w:rsidRPr="005F7DEB">
        <w:t>was established</w:t>
      </w:r>
      <w:r>
        <w:t xml:space="preserve"> to provide patients with access to clinicians outside of clinic hours, such as </w:t>
      </w:r>
      <w:r w:rsidR="004D1BB5">
        <w:t xml:space="preserve">when </w:t>
      </w:r>
      <w:r>
        <w:t>their symptoms deteriorated</w:t>
      </w:r>
      <w:r w:rsidR="00FE04FE">
        <w:t xml:space="preserve">. This </w:t>
      </w:r>
      <w:r w:rsidR="009D6436">
        <w:t>was monitored by the nurse specialist</w:t>
      </w:r>
      <w:r>
        <w:t>.</w:t>
      </w:r>
    </w:p>
    <w:p w14:paraId="022DE866" w14:textId="150300AF" w:rsidR="00606538" w:rsidRDefault="008246E8" w:rsidP="00606538">
      <w:pPr>
        <w:pStyle w:val="Heading2"/>
      </w:pPr>
      <w:r>
        <w:t>O</w:t>
      </w:r>
      <w:r w:rsidR="00606538" w:rsidRPr="00F80A39">
        <w:t>utcomes</w:t>
      </w:r>
    </w:p>
    <w:p w14:paraId="2C6FB307" w14:textId="7B93C6E0" w:rsidR="00C45B7B" w:rsidRDefault="00765FF7" w:rsidP="00C45B7B">
      <w:pPr>
        <w:pStyle w:val="Tablechartdiagramheading"/>
      </w:pPr>
      <w:r>
        <w:t xml:space="preserve">Table </w:t>
      </w:r>
      <w:r w:rsidR="00C45B7B">
        <w:t>1. Comparison of clinical activity under old (2017) and new (2018) models of care</w:t>
      </w:r>
    </w:p>
    <w:tbl>
      <w:tblPr>
        <w:tblStyle w:val="TableGrid"/>
        <w:tblW w:w="5040" w:type="dxa"/>
        <w:tblLayout w:type="fixed"/>
        <w:tblLook w:val="0420" w:firstRow="1" w:lastRow="0" w:firstColumn="0" w:lastColumn="0" w:noHBand="0" w:noVBand="1"/>
      </w:tblPr>
      <w:tblGrid>
        <w:gridCol w:w="1843"/>
        <w:gridCol w:w="1039"/>
        <w:gridCol w:w="1040"/>
        <w:gridCol w:w="1118"/>
      </w:tblGrid>
      <w:tr w:rsidR="006975E6" w:rsidRPr="00606538" w14:paraId="72AA36B7" w14:textId="77777777" w:rsidTr="00733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843" w:type="dxa"/>
            <w:noWrap/>
            <w:vAlign w:val="center"/>
            <w:hideMark/>
          </w:tcPr>
          <w:p w14:paraId="5433CC7D" w14:textId="77777777" w:rsidR="00C45B7B" w:rsidRPr="00606538" w:rsidRDefault="00C45B7B" w:rsidP="00BD16B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  <w:hideMark/>
          </w:tcPr>
          <w:p w14:paraId="6238B30C" w14:textId="77777777" w:rsidR="00C45B7B" w:rsidRPr="00606538" w:rsidRDefault="00C45B7B" w:rsidP="00BD16BB">
            <w:pPr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06538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040" w:type="dxa"/>
            <w:noWrap/>
            <w:vAlign w:val="center"/>
            <w:hideMark/>
          </w:tcPr>
          <w:p w14:paraId="3439B2D2" w14:textId="77777777" w:rsidR="00C45B7B" w:rsidRPr="00606538" w:rsidRDefault="00C45B7B" w:rsidP="00BD16BB">
            <w:pPr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06538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18" w:type="dxa"/>
            <w:noWrap/>
            <w:vAlign w:val="center"/>
            <w:hideMark/>
          </w:tcPr>
          <w:p w14:paraId="248DE580" w14:textId="77777777" w:rsidR="00C45B7B" w:rsidRPr="00606538" w:rsidRDefault="00C45B7B" w:rsidP="00BD16BB">
            <w:pPr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06538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% change</w:t>
            </w:r>
          </w:p>
        </w:tc>
      </w:tr>
      <w:tr w:rsidR="006975E6" w:rsidRPr="00606538" w14:paraId="3487D8D8" w14:textId="77777777" w:rsidTr="007333D0">
        <w:trPr>
          <w:trHeight w:val="300"/>
        </w:trPr>
        <w:tc>
          <w:tcPr>
            <w:tcW w:w="1843" w:type="dxa"/>
            <w:noWrap/>
            <w:hideMark/>
          </w:tcPr>
          <w:p w14:paraId="0701F4CF" w14:textId="77777777" w:rsidR="00C45B7B" w:rsidRPr="00606538" w:rsidRDefault="00C45B7B" w:rsidP="00BD16BB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53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Number of new patients seen</w:t>
            </w:r>
          </w:p>
        </w:tc>
        <w:tc>
          <w:tcPr>
            <w:tcW w:w="1039" w:type="dxa"/>
            <w:noWrap/>
            <w:hideMark/>
          </w:tcPr>
          <w:p w14:paraId="71195315" w14:textId="77777777" w:rsidR="00C45B7B" w:rsidRPr="00606538" w:rsidRDefault="00C45B7B" w:rsidP="00BD16B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538">
              <w:rPr>
                <w:rFonts w:eastAsia="Times New Roman" w:cstheme="minorHAns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040" w:type="dxa"/>
            <w:noWrap/>
            <w:hideMark/>
          </w:tcPr>
          <w:p w14:paraId="73953B12" w14:textId="77777777" w:rsidR="00C45B7B" w:rsidRPr="00606538" w:rsidRDefault="00C45B7B" w:rsidP="00BD16B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538">
              <w:rPr>
                <w:rFonts w:eastAsia="Times New Roman" w:cstheme="minorHAnsi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1118" w:type="dxa"/>
            <w:noWrap/>
            <w:hideMark/>
          </w:tcPr>
          <w:p w14:paraId="3F0817DA" w14:textId="77777777" w:rsidR="00C45B7B" w:rsidRPr="00606538" w:rsidRDefault="00C45B7B" w:rsidP="00BD16B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538">
              <w:rPr>
                <w:rFonts w:eastAsia="Times New Roman" w:cstheme="minorHAnsi"/>
                <w:color w:val="000000"/>
                <w:sz w:val="18"/>
                <w:szCs w:val="18"/>
              </w:rPr>
              <w:t>175.0%</w:t>
            </w:r>
          </w:p>
        </w:tc>
      </w:tr>
      <w:tr w:rsidR="006975E6" w:rsidRPr="00606538" w14:paraId="3071E252" w14:textId="77777777" w:rsidTr="007333D0">
        <w:trPr>
          <w:trHeight w:val="300"/>
        </w:trPr>
        <w:tc>
          <w:tcPr>
            <w:tcW w:w="1843" w:type="dxa"/>
            <w:noWrap/>
            <w:hideMark/>
          </w:tcPr>
          <w:p w14:paraId="5A96975B" w14:textId="77777777" w:rsidR="00C45B7B" w:rsidRPr="00606538" w:rsidRDefault="00C45B7B" w:rsidP="00BD16BB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53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Total number of patients seen</w:t>
            </w:r>
          </w:p>
        </w:tc>
        <w:tc>
          <w:tcPr>
            <w:tcW w:w="1039" w:type="dxa"/>
            <w:noWrap/>
            <w:hideMark/>
          </w:tcPr>
          <w:p w14:paraId="5E39636F" w14:textId="77777777" w:rsidR="00C45B7B" w:rsidRPr="00606538" w:rsidRDefault="00C45B7B" w:rsidP="00BD16B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538">
              <w:rPr>
                <w:rFonts w:eastAsia="Times New Roman" w:cstheme="minorHAnsi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1040" w:type="dxa"/>
            <w:noWrap/>
            <w:hideMark/>
          </w:tcPr>
          <w:p w14:paraId="5AA8904F" w14:textId="77777777" w:rsidR="00C45B7B" w:rsidRPr="00606538" w:rsidRDefault="00C45B7B" w:rsidP="00BD16B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538">
              <w:rPr>
                <w:rFonts w:eastAsia="Times New Roman" w:cstheme="minorHAns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118" w:type="dxa"/>
            <w:noWrap/>
            <w:hideMark/>
          </w:tcPr>
          <w:p w14:paraId="0FB511A0" w14:textId="77777777" w:rsidR="00C45B7B" w:rsidRPr="00606538" w:rsidRDefault="00C45B7B" w:rsidP="00BD16B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538">
              <w:rPr>
                <w:rFonts w:eastAsia="Times New Roman" w:cstheme="minorHAnsi"/>
                <w:color w:val="000000"/>
                <w:sz w:val="18"/>
                <w:szCs w:val="18"/>
              </w:rPr>
              <w:t>47.5%</w:t>
            </w:r>
          </w:p>
        </w:tc>
      </w:tr>
      <w:tr w:rsidR="006975E6" w:rsidRPr="00606538" w14:paraId="231D5917" w14:textId="77777777" w:rsidTr="007333D0">
        <w:trPr>
          <w:trHeight w:val="300"/>
        </w:trPr>
        <w:tc>
          <w:tcPr>
            <w:tcW w:w="1843" w:type="dxa"/>
            <w:noWrap/>
            <w:hideMark/>
          </w:tcPr>
          <w:p w14:paraId="1C042A4D" w14:textId="77777777" w:rsidR="00C45B7B" w:rsidRPr="00606538" w:rsidRDefault="00C45B7B" w:rsidP="00BD16BB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53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Total number of patient occasions of care</w:t>
            </w:r>
          </w:p>
        </w:tc>
        <w:tc>
          <w:tcPr>
            <w:tcW w:w="1039" w:type="dxa"/>
            <w:noWrap/>
            <w:hideMark/>
          </w:tcPr>
          <w:p w14:paraId="66D77C86" w14:textId="77777777" w:rsidR="00C45B7B" w:rsidRPr="00606538" w:rsidRDefault="00C45B7B" w:rsidP="00BD16B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538">
              <w:rPr>
                <w:rFonts w:eastAsia="Times New Roman" w:cstheme="minorHAnsi"/>
                <w:color w:val="000000"/>
                <w:sz w:val="18"/>
                <w:szCs w:val="18"/>
              </w:rPr>
              <w:t>1,358</w:t>
            </w:r>
          </w:p>
        </w:tc>
        <w:tc>
          <w:tcPr>
            <w:tcW w:w="1040" w:type="dxa"/>
            <w:noWrap/>
            <w:hideMark/>
          </w:tcPr>
          <w:p w14:paraId="73D1157D" w14:textId="77777777" w:rsidR="00C45B7B" w:rsidRPr="00606538" w:rsidRDefault="00C45B7B" w:rsidP="00BD16B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538">
              <w:rPr>
                <w:rFonts w:eastAsia="Times New Roman" w:cstheme="minorHAnsi"/>
                <w:color w:val="000000"/>
                <w:sz w:val="18"/>
                <w:szCs w:val="18"/>
              </w:rPr>
              <w:t>2,482</w:t>
            </w:r>
          </w:p>
        </w:tc>
        <w:tc>
          <w:tcPr>
            <w:tcW w:w="1118" w:type="dxa"/>
            <w:noWrap/>
            <w:hideMark/>
          </w:tcPr>
          <w:p w14:paraId="3732636F" w14:textId="77777777" w:rsidR="00C45B7B" w:rsidRPr="00606538" w:rsidRDefault="00C45B7B" w:rsidP="00BD16B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538">
              <w:rPr>
                <w:rFonts w:eastAsia="Times New Roman" w:cstheme="minorHAnsi"/>
                <w:color w:val="000000"/>
                <w:sz w:val="18"/>
                <w:szCs w:val="18"/>
              </w:rPr>
              <w:t>82.8%</w:t>
            </w:r>
          </w:p>
        </w:tc>
      </w:tr>
    </w:tbl>
    <w:p w14:paraId="167401BA" w14:textId="4F391166" w:rsidR="0047555E" w:rsidRDefault="0047555E" w:rsidP="00765FF7">
      <w:pPr>
        <w:pStyle w:val="Bullet1"/>
        <w:spacing w:before="280"/>
      </w:pPr>
      <w:r>
        <w:t xml:space="preserve">Almost </w:t>
      </w:r>
      <w:r w:rsidR="00203297">
        <w:t xml:space="preserve">triple the number of </w:t>
      </w:r>
      <w:r w:rsidRPr="005E0A7A">
        <w:t xml:space="preserve">new patients </w:t>
      </w:r>
      <w:r>
        <w:t xml:space="preserve">accessed Alfred Health’s Functional Gut Clinic in 2018 under the new model of care </w:t>
      </w:r>
      <w:r w:rsidR="008030E7">
        <w:t xml:space="preserve">than in </w:t>
      </w:r>
      <w:r>
        <w:t xml:space="preserve">2017 (see </w:t>
      </w:r>
      <w:r w:rsidR="00765FF7">
        <w:t>Table</w:t>
      </w:r>
      <w:r>
        <w:t xml:space="preserve"> 1). The total number of patients seen by the clinic also increased by almost 50 per cent. </w:t>
      </w:r>
    </w:p>
    <w:p w14:paraId="35027CBF" w14:textId="6E711DB4" w:rsidR="00C45B7B" w:rsidRDefault="00C45B7B" w:rsidP="00BB6CB0">
      <w:pPr>
        <w:pStyle w:val="Bullet1"/>
      </w:pPr>
      <w:r>
        <w:t xml:space="preserve">Wait times were significantly reduced. Time to first clinic appointment decreased </w:t>
      </w:r>
      <w:r w:rsidR="00B13794">
        <w:t xml:space="preserve">65.2 per cent </w:t>
      </w:r>
      <w:r>
        <w:t>from 345 to 120 days</w:t>
      </w:r>
      <w:r w:rsidR="00016BE1">
        <w:t>,</w:t>
      </w:r>
      <w:r>
        <w:t xml:space="preserve"> and time to first therapeutic intervention decreased</w:t>
      </w:r>
      <w:r w:rsidR="00016BE1">
        <w:t xml:space="preserve"> 64.9 per cent</w:t>
      </w:r>
      <w:r>
        <w:t xml:space="preserve"> from 387 to 136 days.</w:t>
      </w:r>
    </w:p>
    <w:p w14:paraId="36B04E8E" w14:textId="048025D3" w:rsidR="00606538" w:rsidRDefault="002E691F" w:rsidP="002E691F">
      <w:pPr>
        <w:pStyle w:val="Bullet1"/>
      </w:pPr>
      <w:r>
        <w:t xml:space="preserve">Patients had better health outcomes under the new model of care, showing a </w:t>
      </w:r>
      <w:r w:rsidR="00606538">
        <w:t xml:space="preserve">21.6 per cent </w:t>
      </w:r>
      <w:r w:rsidR="00715331">
        <w:t>decrease</w:t>
      </w:r>
      <w:r w:rsidR="00606538">
        <w:t xml:space="preserve"> in symptom severity compared with a 9 per cent increase under the old model of care.</w:t>
      </w:r>
      <w:r>
        <w:t xml:space="preserve"> Therapeutic response rates also </w:t>
      </w:r>
      <w:r w:rsidR="00715331">
        <w:t xml:space="preserve">rose </w:t>
      </w:r>
      <w:r>
        <w:t>from 20.2 per cent to 34.3</w:t>
      </w:r>
      <w:r w:rsidR="00E01864">
        <w:t> </w:t>
      </w:r>
      <w:r>
        <w:t>per cent.</w:t>
      </w:r>
      <w:r w:rsidR="00606538">
        <w:t xml:space="preserve"> </w:t>
      </w:r>
    </w:p>
    <w:p w14:paraId="39F0C85A" w14:textId="4337CD05" w:rsidR="00C45B7B" w:rsidRDefault="006E1473" w:rsidP="00CB4027">
      <w:pPr>
        <w:pStyle w:val="Bullet1"/>
        <w:sectPr w:rsidR="00C45B7B" w:rsidSect="006975E6">
          <w:type w:val="continuous"/>
          <w:pgSz w:w="11906" w:h="16838" w:code="9"/>
          <w:pgMar w:top="2438" w:right="737" w:bottom="680" w:left="737" w:header="539" w:footer="624" w:gutter="0"/>
          <w:cols w:num="2" w:space="284"/>
          <w:docGrid w:linePitch="360"/>
        </w:sectPr>
      </w:pPr>
      <w:r>
        <w:t xml:space="preserve">Overall, 36 per cent fewer patients required medical review </w:t>
      </w:r>
      <w:r w:rsidR="00CE706C">
        <w:t>on first clinic presentation compared to 100</w:t>
      </w:r>
      <w:r w:rsidR="00E01864">
        <w:t> </w:t>
      </w:r>
      <w:r w:rsidR="00CE706C">
        <w:t xml:space="preserve">per cent under the old model of care. Under the new model of care, 58 per cent were first seen via the medical team, 9 per cent were referred directly to allied health and 33 per cent were seen by the nurse specialist. Of the latter subset, only 35 per cent required </w:t>
      </w:r>
      <w:r w:rsidR="00C45B7B">
        <w:t>medical review</w:t>
      </w:r>
      <w:r w:rsidR="00B37925">
        <w:t xml:space="preserve">, with the rest successfully managed through allied health (see Figure </w:t>
      </w:r>
      <w:r w:rsidR="00765FF7">
        <w:t>1</w:t>
      </w:r>
      <w:r w:rsidR="00B37925">
        <w:t>)</w:t>
      </w:r>
      <w:r w:rsidR="00C45B7B">
        <w:t>.</w:t>
      </w:r>
    </w:p>
    <w:p w14:paraId="55AAF93B" w14:textId="32E01C67" w:rsidR="00C45B7B" w:rsidRDefault="00C45B7B" w:rsidP="00C45B7B">
      <w:pPr>
        <w:pStyle w:val="Tablechartdiagramheading"/>
      </w:pPr>
      <w:r>
        <w:lastRenderedPageBreak/>
        <w:t xml:space="preserve">Figure </w:t>
      </w:r>
      <w:r w:rsidR="00765FF7">
        <w:t>1</w:t>
      </w:r>
      <w:r>
        <w:t>. Initial patient care destination under new model of care</w:t>
      </w:r>
    </w:p>
    <w:p w14:paraId="1B282E84" w14:textId="77777777" w:rsidR="00C45B7B" w:rsidRDefault="00C45B7B" w:rsidP="002C3126">
      <w:pPr>
        <w:pStyle w:val="Normalfollowingheading"/>
      </w:pPr>
      <w:r w:rsidRPr="00812C74">
        <w:rPr>
          <w:noProof/>
        </w:rPr>
        <w:drawing>
          <wp:inline distT="0" distB="0" distL="0" distR="0" wp14:anchorId="6F8D4EE0" wp14:editId="2DD7BCFA">
            <wp:extent cx="3221990" cy="2695575"/>
            <wp:effectExtent l="19050" t="19050" r="19050" b="13335"/>
            <wp:docPr id="13" name="Picture 13" descr="Pie chart showing that 58% of clinic patients were referred to the medical team, 9% to allied health, and 33% to the nurse specialist. Of the nurse specialist subset, 65% of patients were referred to allied health and 35% for medical revie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21990" cy="2695575"/>
                    </a:xfrm>
                    <a:prstGeom prst="rect">
                      <a:avLst/>
                    </a:prstGeom>
                    <a:ln>
                      <a:solidFill>
                        <a:srgbClr val="DADADA"/>
                      </a:solidFill>
                    </a:ln>
                  </pic:spPr>
                </pic:pic>
              </a:graphicData>
            </a:graphic>
          </wp:inline>
        </w:drawing>
      </w:r>
    </w:p>
    <w:p w14:paraId="0EAC9D32" w14:textId="20CAD3A1" w:rsidR="00606538" w:rsidRDefault="00994E3A" w:rsidP="00606538">
      <w:pPr>
        <w:pStyle w:val="Bullet1"/>
      </w:pPr>
      <w:r>
        <w:t xml:space="preserve">The cost per new patient </w:t>
      </w:r>
      <w:r w:rsidR="00715331">
        <w:t xml:space="preserve">almost halved </w:t>
      </w:r>
      <w:r w:rsidR="00606538">
        <w:t>under the new model of care</w:t>
      </w:r>
      <w:r w:rsidR="00715331">
        <w:t>,</w:t>
      </w:r>
      <w:r>
        <w:t xml:space="preserve"> </w:t>
      </w:r>
      <w:r w:rsidR="00715331">
        <w:t xml:space="preserve">decreasing 45 per cent </w:t>
      </w:r>
      <w:r>
        <w:t>from $887 to $484</w:t>
      </w:r>
      <w:r w:rsidR="00606538">
        <w:t>.</w:t>
      </w:r>
    </w:p>
    <w:p w14:paraId="7B177B11" w14:textId="77777777" w:rsidR="00765FF7" w:rsidRDefault="00C45B7B" w:rsidP="005845DC">
      <w:pPr>
        <w:pStyle w:val="Bullet1"/>
      </w:pPr>
      <w:r>
        <w:t>Patients were extremely happy with the education, information and treatment plan provided to them by the nurse</w:t>
      </w:r>
      <w:r w:rsidR="003B1D86">
        <w:t xml:space="preserve"> specialist</w:t>
      </w:r>
      <w:r>
        <w:t xml:space="preserve">, with a median satisfaction score of 97/100. </w:t>
      </w:r>
    </w:p>
    <w:p w14:paraId="7EA54B89" w14:textId="5E99B85A" w:rsidR="00765FF7" w:rsidRDefault="00C45B7B" w:rsidP="00765FF7">
      <w:pPr>
        <w:pStyle w:val="Bullet1"/>
        <w:numPr>
          <w:ilvl w:val="0"/>
          <w:numId w:val="0"/>
        </w:numPr>
        <w:ind w:left="284"/>
      </w:pPr>
      <w:r>
        <w:t>This high level of patient satisfaction likely contributed to the reduction in the ‘did not attend’ rate, which decreased from 12.5 per cent to 3</w:t>
      </w:r>
      <w:r w:rsidR="00E01864">
        <w:t> </w:t>
      </w:r>
      <w:r>
        <w:t>per</w:t>
      </w:r>
      <w:r w:rsidR="00E01864">
        <w:t> </w:t>
      </w:r>
      <w:r>
        <w:t xml:space="preserve">cent of all appointments. </w:t>
      </w:r>
    </w:p>
    <w:p w14:paraId="4EC406AB" w14:textId="4ED93A7A" w:rsidR="00C45B7B" w:rsidRDefault="00C45B7B" w:rsidP="00765FF7">
      <w:pPr>
        <w:pStyle w:val="Bullet1"/>
        <w:numPr>
          <w:ilvl w:val="0"/>
          <w:numId w:val="0"/>
        </w:numPr>
        <w:ind w:left="284"/>
      </w:pPr>
      <w:r>
        <w:t>The group dietary education sessions were also well received, with an overall median patient satisfaction score of 87/100.</w:t>
      </w:r>
    </w:p>
    <w:p w14:paraId="72F0D36B" w14:textId="77777777" w:rsidR="00606538" w:rsidRDefault="00606538" w:rsidP="00606538">
      <w:pPr>
        <w:pStyle w:val="Quote"/>
      </w:pPr>
      <w:r>
        <w:t xml:space="preserve"> ‘</w:t>
      </w:r>
      <w:r w:rsidRPr="0090425B">
        <w:t>I was very impressed with the thoroughness of the examination</w:t>
      </w:r>
      <w:r>
        <w:t>.’</w:t>
      </w:r>
    </w:p>
    <w:p w14:paraId="1BEBA43D" w14:textId="4A422E02" w:rsidR="00606538" w:rsidRDefault="00606538" w:rsidP="00606538">
      <w:pPr>
        <w:pStyle w:val="Quote"/>
        <w:rPr>
          <w:b/>
          <w:bCs/>
        </w:rPr>
      </w:pPr>
      <w:r w:rsidRPr="0090425B">
        <w:rPr>
          <w:b/>
          <w:bCs/>
        </w:rPr>
        <w:t xml:space="preserve">– </w:t>
      </w:r>
      <w:r w:rsidR="00E01864">
        <w:rPr>
          <w:b/>
          <w:bCs/>
        </w:rPr>
        <w:t>Patient</w:t>
      </w:r>
    </w:p>
    <w:p w14:paraId="3A086F15" w14:textId="77777777" w:rsidR="00606538" w:rsidRDefault="00606538" w:rsidP="00606538">
      <w:pPr>
        <w:pStyle w:val="Quote"/>
      </w:pPr>
      <w:r>
        <w:t>‘</w:t>
      </w:r>
      <w:r w:rsidRPr="007872D5">
        <w:t>Lots of [treatment] options offered</w:t>
      </w:r>
      <w:r>
        <w:t xml:space="preserve">.’ </w:t>
      </w:r>
    </w:p>
    <w:p w14:paraId="709A57EF" w14:textId="67EBF058" w:rsidR="00606538" w:rsidRDefault="00606538" w:rsidP="00606538">
      <w:pPr>
        <w:pStyle w:val="Quote"/>
      </w:pPr>
      <w:r w:rsidRPr="007872D5">
        <w:rPr>
          <w:b/>
          <w:bCs/>
        </w:rPr>
        <w:t xml:space="preserve">– </w:t>
      </w:r>
      <w:r w:rsidR="00E01864">
        <w:rPr>
          <w:b/>
          <w:bCs/>
        </w:rPr>
        <w:t>Patient</w:t>
      </w:r>
    </w:p>
    <w:p w14:paraId="4C3EF40D" w14:textId="429ABE20" w:rsidR="002B5C34" w:rsidRDefault="001C60B2" w:rsidP="004A4ED0">
      <w:pPr>
        <w:pStyle w:val="Heading2"/>
      </w:pPr>
      <w:r>
        <w:t>Key learnings</w:t>
      </w:r>
    </w:p>
    <w:p w14:paraId="5F63B214" w14:textId="77777777" w:rsidR="00765FF7" w:rsidRDefault="00EF7457" w:rsidP="005E0F3C">
      <w:pPr>
        <w:pStyle w:val="Bullet1"/>
      </w:pPr>
      <w:r>
        <w:t xml:space="preserve">The </w:t>
      </w:r>
      <w:r w:rsidR="001F051D">
        <w:t xml:space="preserve">nurse specialist </w:t>
      </w:r>
      <w:r w:rsidR="00F50B79">
        <w:t xml:space="preserve">role in this model of care </w:t>
      </w:r>
      <w:r>
        <w:t>requires a high level of experience in the clinical assessment of patients</w:t>
      </w:r>
      <w:r w:rsidR="00C40140">
        <w:t xml:space="preserve">, particularly in clinical examination and history taking. </w:t>
      </w:r>
    </w:p>
    <w:p w14:paraId="1995BE22" w14:textId="4EF9C768" w:rsidR="00EF7457" w:rsidRDefault="00052D93" w:rsidP="00765FF7">
      <w:pPr>
        <w:pStyle w:val="Bullet1"/>
        <w:numPr>
          <w:ilvl w:val="0"/>
          <w:numId w:val="0"/>
        </w:numPr>
        <w:ind w:left="284"/>
      </w:pPr>
      <w:r>
        <w:t xml:space="preserve">They </w:t>
      </w:r>
      <w:r w:rsidR="00C40140">
        <w:t xml:space="preserve">must </w:t>
      </w:r>
      <w:r w:rsidR="00C55857">
        <w:t xml:space="preserve">be able to </w:t>
      </w:r>
      <w:r w:rsidR="00EF7457">
        <w:t xml:space="preserve">detect clinical alarm features </w:t>
      </w:r>
      <w:r w:rsidR="00C55857">
        <w:t xml:space="preserve">while </w:t>
      </w:r>
      <w:r w:rsidR="00C40140">
        <w:t xml:space="preserve">also being able to appreciate </w:t>
      </w:r>
      <w:r w:rsidR="009D1157">
        <w:t xml:space="preserve">the </w:t>
      </w:r>
      <w:r w:rsidR="00C55857">
        <w:t xml:space="preserve">limits of </w:t>
      </w:r>
      <w:r w:rsidR="009D1157">
        <w:t>their skills and knowledge</w:t>
      </w:r>
      <w:r>
        <w:t xml:space="preserve"> to ensure appropriate referral of patients</w:t>
      </w:r>
      <w:r w:rsidR="00EF7457">
        <w:t>.</w:t>
      </w:r>
      <w:r w:rsidR="00C40140">
        <w:t xml:space="preserve"> </w:t>
      </w:r>
    </w:p>
    <w:p w14:paraId="228EE5B4" w14:textId="5F0EEBF4" w:rsidR="0028019B" w:rsidRDefault="0028019B" w:rsidP="005E0F3C">
      <w:pPr>
        <w:pStyle w:val="Bullet1"/>
      </w:pPr>
      <w:r>
        <w:t>Paper triage questionnaires were poorly returned, which impacted timely access to the clinic. To address this, Alfred Health dev</w:t>
      </w:r>
      <w:bookmarkStart w:id="0" w:name="_GoBack"/>
      <w:bookmarkEnd w:id="0"/>
      <w:r>
        <w:t>eloped an electronic triage tool, which improved tracking of completion and minimised administrative work. A paper option continued to be available for those who preferred it.</w:t>
      </w:r>
    </w:p>
    <w:p w14:paraId="3895BB71" w14:textId="374FD7F1" w:rsidR="00765FF7" w:rsidRDefault="00AC100C" w:rsidP="00395A21">
      <w:pPr>
        <w:pStyle w:val="Bullet1"/>
        <w:numPr>
          <w:ilvl w:val="0"/>
          <w:numId w:val="0"/>
        </w:numPr>
        <w:ind w:left="284"/>
      </w:pPr>
      <w:r>
        <w:t xml:space="preserve">Despite </w:t>
      </w:r>
      <w:r w:rsidR="00052D93">
        <w:t xml:space="preserve">positive patient ratings for </w:t>
      </w:r>
      <w:r w:rsidR="00887C2A">
        <w:t xml:space="preserve">the </w:t>
      </w:r>
      <w:r>
        <w:t xml:space="preserve">first group dietary education session, </w:t>
      </w:r>
      <w:r w:rsidR="0028019B">
        <w:t xml:space="preserve">many patients did not attend </w:t>
      </w:r>
      <w:r>
        <w:t xml:space="preserve">the second. </w:t>
      </w:r>
      <w:r w:rsidR="00655407">
        <w:t xml:space="preserve">Patients with FGID are often </w:t>
      </w:r>
      <w:r>
        <w:t>young</w:t>
      </w:r>
      <w:r w:rsidR="00655407">
        <w:t xml:space="preserve"> and work </w:t>
      </w:r>
      <w:r>
        <w:t>full-time</w:t>
      </w:r>
      <w:r w:rsidR="00655407">
        <w:t xml:space="preserve">, and many </w:t>
      </w:r>
      <w:r w:rsidR="00052D93">
        <w:t xml:space="preserve">patients said they </w:t>
      </w:r>
      <w:r>
        <w:t xml:space="preserve">were unable to take time off work to attend. </w:t>
      </w:r>
    </w:p>
    <w:p w14:paraId="035E5FBD" w14:textId="69FD6197" w:rsidR="00AC100C" w:rsidRDefault="00E833FB" w:rsidP="00765FF7">
      <w:pPr>
        <w:pStyle w:val="Bullet1"/>
        <w:numPr>
          <w:ilvl w:val="0"/>
          <w:numId w:val="0"/>
        </w:numPr>
        <w:ind w:left="284"/>
      </w:pPr>
      <w:r>
        <w:t xml:space="preserve">Post-project, </w:t>
      </w:r>
      <w:r w:rsidR="0045195F">
        <w:t xml:space="preserve">Alfred Health </w:t>
      </w:r>
      <w:r w:rsidR="0028019B">
        <w:t xml:space="preserve">changed the </w:t>
      </w:r>
      <w:r w:rsidR="0045195F">
        <w:t xml:space="preserve">format </w:t>
      </w:r>
      <w:r w:rsidR="0028019B">
        <w:t xml:space="preserve">to </w:t>
      </w:r>
      <w:r w:rsidR="0045195F">
        <w:t xml:space="preserve">a </w:t>
      </w:r>
      <w:r w:rsidR="00AC100C">
        <w:t xml:space="preserve">single group </w:t>
      </w:r>
      <w:r w:rsidR="00AA5184">
        <w:t xml:space="preserve">education </w:t>
      </w:r>
      <w:r w:rsidR="00AC100C">
        <w:t xml:space="preserve">session </w:t>
      </w:r>
      <w:r w:rsidR="00AA5184">
        <w:t xml:space="preserve">with a </w:t>
      </w:r>
      <w:r w:rsidR="00400215">
        <w:t xml:space="preserve">second </w:t>
      </w:r>
      <w:r w:rsidR="00AA5184">
        <w:t xml:space="preserve">follow-up </w:t>
      </w:r>
      <w:r w:rsidR="00F50B79">
        <w:t xml:space="preserve">appointment held at the </w:t>
      </w:r>
      <w:r w:rsidR="00AA5184">
        <w:t xml:space="preserve">patient’s </w:t>
      </w:r>
      <w:r w:rsidR="00F50B79">
        <w:t xml:space="preserve">convenience. </w:t>
      </w:r>
    </w:p>
    <w:p w14:paraId="2FAA6792" w14:textId="2DA7FADC" w:rsidR="00765FF7" w:rsidRDefault="00216517" w:rsidP="0028019B">
      <w:pPr>
        <w:pStyle w:val="Bullet1"/>
      </w:pPr>
      <w:r>
        <w:t xml:space="preserve">The helpline proved useful for patient and clinician communication and </w:t>
      </w:r>
      <w:r w:rsidR="00895277">
        <w:t xml:space="preserve">was </w:t>
      </w:r>
      <w:r>
        <w:t xml:space="preserve">a </w:t>
      </w:r>
      <w:r w:rsidRPr="00052D93">
        <w:t>valuable source of feedback</w:t>
      </w:r>
      <w:r w:rsidR="00D66516">
        <w:t xml:space="preserve">. </w:t>
      </w:r>
      <w:r w:rsidR="00895277">
        <w:t>O</w:t>
      </w:r>
      <w:r w:rsidR="00052D93">
        <w:t xml:space="preserve">f the </w:t>
      </w:r>
      <w:r w:rsidR="00052D93" w:rsidRPr="00052D93">
        <w:t>180 emails</w:t>
      </w:r>
      <w:r w:rsidR="00052D93">
        <w:t xml:space="preserve"> received, </w:t>
      </w:r>
      <w:r w:rsidR="005C0AA3">
        <w:t xml:space="preserve">only </w:t>
      </w:r>
      <w:r w:rsidR="00052D93">
        <w:t>30</w:t>
      </w:r>
      <w:r w:rsidR="00E01864">
        <w:t> </w:t>
      </w:r>
      <w:r w:rsidR="00052D93">
        <w:t>per</w:t>
      </w:r>
      <w:r w:rsidR="00E01864">
        <w:t> </w:t>
      </w:r>
      <w:r w:rsidR="00052D93">
        <w:t xml:space="preserve">cent </w:t>
      </w:r>
      <w:r w:rsidR="005C0AA3">
        <w:t xml:space="preserve">required </w:t>
      </w:r>
      <w:r w:rsidR="00052D93">
        <w:t>clinical expertise</w:t>
      </w:r>
      <w:r w:rsidR="00895277">
        <w:t>, with the rest resolved by the administrative team</w:t>
      </w:r>
      <w:r w:rsidR="00052D93">
        <w:t>.</w:t>
      </w:r>
      <w:r w:rsidR="005C0AA3">
        <w:t xml:space="preserve"> </w:t>
      </w:r>
    </w:p>
    <w:p w14:paraId="0646C3E8" w14:textId="0CB24FC1" w:rsidR="000402EC" w:rsidRDefault="00E833FB" w:rsidP="00765FF7">
      <w:pPr>
        <w:pStyle w:val="Bullet1"/>
        <w:numPr>
          <w:ilvl w:val="0"/>
          <w:numId w:val="0"/>
        </w:numPr>
        <w:ind w:left="284"/>
      </w:pPr>
      <w:r>
        <w:t xml:space="preserve">After the project, Alfred Health transferred monitoring of the helpline </w:t>
      </w:r>
      <w:r w:rsidR="00484CEF">
        <w:t xml:space="preserve">to </w:t>
      </w:r>
      <w:r>
        <w:t xml:space="preserve">an </w:t>
      </w:r>
      <w:r w:rsidR="00052D93" w:rsidRPr="00052D93">
        <w:t>administrative assistant</w:t>
      </w:r>
      <w:r>
        <w:t xml:space="preserve">, with </w:t>
      </w:r>
      <w:r w:rsidR="00484CEF">
        <w:t xml:space="preserve">all </w:t>
      </w:r>
      <w:r>
        <w:t>administrative queries actioned</w:t>
      </w:r>
      <w:r w:rsidR="002E76AF">
        <w:t xml:space="preserve"> prior </w:t>
      </w:r>
      <w:r w:rsidR="00D66516">
        <w:t xml:space="preserve">to involving </w:t>
      </w:r>
      <w:r w:rsidR="00052D93" w:rsidRPr="00052D93">
        <w:t>the clinical team</w:t>
      </w:r>
      <w:r w:rsidR="00895277">
        <w:t>.</w:t>
      </w:r>
    </w:p>
    <w:p w14:paraId="30C9990B" w14:textId="3F1DDEEC" w:rsidR="0028019B" w:rsidRDefault="00093C50" w:rsidP="0028019B">
      <w:pPr>
        <w:pStyle w:val="Bullet1"/>
      </w:pPr>
      <w:r>
        <w:t xml:space="preserve">The new model of care, particularly the triage and booking of patients, involved a significant increase in administrative workload. It is important to plan for this early in the project. </w:t>
      </w:r>
    </w:p>
    <w:sectPr w:rsidR="0028019B" w:rsidSect="006975E6">
      <w:footerReference w:type="default" r:id="rId16"/>
      <w:type w:val="continuous"/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3DDD8" w14:textId="77777777" w:rsidR="00157942" w:rsidRDefault="00157942" w:rsidP="002D711A">
      <w:pPr>
        <w:spacing w:after="0" w:line="240" w:lineRule="auto"/>
      </w:pPr>
      <w:r>
        <w:separator/>
      </w:r>
    </w:p>
  </w:endnote>
  <w:endnote w:type="continuationSeparator" w:id="0">
    <w:p w14:paraId="437FE8EB" w14:textId="77777777" w:rsidR="00157942" w:rsidRDefault="00157942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BB77E" w14:textId="77777777" w:rsidR="004E245F" w:rsidRDefault="004E2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442182" w:rsidRPr="00736C0C" w14:paraId="74FB32AF" w14:textId="77777777" w:rsidTr="000F2A2C">
      <w:trPr>
        <w:trHeight w:val="1531"/>
      </w:trPr>
      <w:tc>
        <w:tcPr>
          <w:tcW w:w="3515" w:type="dxa"/>
          <w:tcMar>
            <w:left w:w="113" w:type="dxa"/>
          </w:tcMar>
        </w:tcPr>
        <w:p w14:paraId="1C47117C" w14:textId="649393BA" w:rsidR="00442182" w:rsidRPr="00911408" w:rsidRDefault="00442182" w:rsidP="00442182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 w:rsidR="00911408">
            <w:rPr>
              <w:sz w:val="24"/>
              <w:szCs w:val="24"/>
            </w:rPr>
            <w:t xml:space="preserve"> (</w:t>
          </w:r>
          <w:r w:rsidR="00911408" w:rsidRPr="00911408">
            <w:rPr>
              <w:sz w:val="24"/>
              <w:szCs w:val="24"/>
            </w:rPr>
            <w:t>03</w:t>
          </w:r>
          <w:r w:rsidR="00911408">
            <w:rPr>
              <w:sz w:val="24"/>
              <w:szCs w:val="24"/>
            </w:rPr>
            <w:t>)</w:t>
          </w:r>
          <w:r w:rsidR="00911408" w:rsidRPr="00911408">
            <w:rPr>
              <w:sz w:val="24"/>
              <w:szCs w:val="24"/>
            </w:rPr>
            <w:t xml:space="preserve"> 9096</w:t>
          </w:r>
          <w:r w:rsidR="005B5F0B">
            <w:t xml:space="preserve"> </w:t>
          </w:r>
          <w:r w:rsidR="005B5F0B"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="005B5F0B"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6D7675E5" w14:textId="45EDE8C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7495C6B4" w14:textId="6E74D99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2A5F50">
            <w:rPr>
              <w:sz w:val="18"/>
              <w:szCs w:val="18"/>
            </w:rPr>
            <w:t>September</w:t>
          </w:r>
          <w:r w:rsidR="00911408">
            <w:rPr>
              <w:sz w:val="18"/>
              <w:szCs w:val="18"/>
            </w:rPr>
            <w:t xml:space="preserve"> 2020</w:t>
          </w:r>
        </w:p>
        <w:p w14:paraId="30F4D29D" w14:textId="77777777" w:rsidR="00442182" w:rsidRPr="00CE61C3" w:rsidRDefault="00442182" w:rsidP="00442182">
          <w:pPr>
            <w:spacing w:line="230" w:lineRule="auto"/>
            <w:rPr>
              <w:color w:val="FF0000"/>
              <w:sz w:val="18"/>
              <w:szCs w:val="18"/>
            </w:rPr>
          </w:pPr>
          <w:r w:rsidRPr="00CE61C3">
            <w:rPr>
              <w:color w:val="FF0000"/>
              <w:sz w:val="18"/>
              <w:szCs w:val="18"/>
              <w:highlight w:val="yellow"/>
            </w:rPr>
            <w:t>ISBN/ISSN number (online/print)</w:t>
          </w:r>
        </w:p>
        <w:p w14:paraId="06F94A07" w14:textId="1D4C6D41" w:rsidR="00442182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="00911408"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</w:p>
        <w:p w14:paraId="3B40A82D" w14:textId="5308783B" w:rsidR="00911408" w:rsidRPr="007A4444" w:rsidRDefault="00911408" w:rsidP="00442182">
          <w:pPr>
            <w:spacing w:line="230" w:lineRule="auto"/>
            <w:rPr>
              <w:sz w:val="13"/>
              <w:szCs w:val="13"/>
            </w:rPr>
          </w:pPr>
        </w:p>
      </w:tc>
      <w:tc>
        <w:tcPr>
          <w:tcW w:w="3515" w:type="dxa"/>
        </w:tcPr>
        <w:p w14:paraId="3A80A9B4" w14:textId="25DDFB9E" w:rsidR="00442182" w:rsidRPr="00736C0C" w:rsidRDefault="00442182" w:rsidP="000905F7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5CB2EA93" wp14:editId="41A59989">
                <wp:extent cx="1967488" cy="510541"/>
                <wp:effectExtent l="0" t="0" r="0" b="3810"/>
                <wp:docPr id="18" name="Picture 18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D44AAC" w14:textId="77777777" w:rsidR="000905F7" w:rsidRDefault="000905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CAC2A" w14:textId="77777777" w:rsidR="004E245F" w:rsidRDefault="004E245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64426" w14:textId="77777777" w:rsidR="00F80A39" w:rsidRDefault="00F80A3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C821CE" w:rsidRPr="00736C0C" w14:paraId="600019E9" w14:textId="77777777" w:rsidTr="00126727">
      <w:trPr>
        <w:trHeight w:val="1531"/>
      </w:trPr>
      <w:tc>
        <w:tcPr>
          <w:tcW w:w="3515" w:type="dxa"/>
          <w:tcMar>
            <w:left w:w="113" w:type="dxa"/>
          </w:tcMar>
        </w:tcPr>
        <w:p w14:paraId="6ABDDD2C" w14:textId="77777777" w:rsidR="00C821CE" w:rsidRPr="00911408" w:rsidRDefault="00C821CE" w:rsidP="0043317F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>
            <w:rPr>
              <w:sz w:val="24"/>
              <w:szCs w:val="24"/>
            </w:rPr>
            <w:t xml:space="preserve"> (</w:t>
          </w:r>
          <w:r w:rsidRPr="00911408">
            <w:rPr>
              <w:sz w:val="24"/>
              <w:szCs w:val="24"/>
            </w:rPr>
            <w:t>03</w:t>
          </w:r>
          <w:r>
            <w:rPr>
              <w:sz w:val="24"/>
              <w:szCs w:val="24"/>
            </w:rPr>
            <w:t>)</w:t>
          </w:r>
          <w:r w:rsidRPr="00911408">
            <w:rPr>
              <w:sz w:val="24"/>
              <w:szCs w:val="24"/>
            </w:rPr>
            <w:t xml:space="preserve"> 9096</w:t>
          </w:r>
          <w:r>
            <w:t xml:space="preserve"> </w:t>
          </w:r>
          <w:r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10DACBD6" w14:textId="77777777" w:rsidR="00C821CE" w:rsidRPr="00911408" w:rsidRDefault="00C821CE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34CA84F8" w14:textId="204F87F7" w:rsidR="00C821CE" w:rsidRPr="00713373" w:rsidRDefault="00C821CE" w:rsidP="0043317F">
          <w:pPr>
            <w:spacing w:line="230" w:lineRule="auto"/>
            <w:rPr>
              <w:color w:val="000000" w:themeColor="text1"/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</w:t>
          </w:r>
          <w:r w:rsidRPr="00713373">
            <w:rPr>
              <w:color w:val="000000" w:themeColor="text1"/>
              <w:sz w:val="18"/>
              <w:szCs w:val="18"/>
            </w:rPr>
            <w:t xml:space="preserve">Victoria, </w:t>
          </w:r>
          <w:r w:rsidR="00E01864" w:rsidRPr="00713373">
            <w:rPr>
              <w:color w:val="000000" w:themeColor="text1"/>
              <w:sz w:val="18"/>
              <w:szCs w:val="18"/>
            </w:rPr>
            <w:t xml:space="preserve">November </w:t>
          </w:r>
          <w:r w:rsidRPr="00713373">
            <w:rPr>
              <w:color w:val="000000" w:themeColor="text1"/>
              <w:sz w:val="18"/>
              <w:szCs w:val="18"/>
            </w:rPr>
            <w:t>2020</w:t>
          </w:r>
        </w:p>
        <w:p w14:paraId="585BE8B9" w14:textId="261FD17E" w:rsidR="00C821CE" w:rsidRPr="00713373" w:rsidRDefault="00E01864" w:rsidP="0043317F">
          <w:pPr>
            <w:spacing w:line="230" w:lineRule="auto"/>
            <w:rPr>
              <w:color w:val="000000" w:themeColor="text1"/>
              <w:sz w:val="18"/>
              <w:szCs w:val="18"/>
            </w:rPr>
          </w:pPr>
          <w:r w:rsidRPr="00713373">
            <w:rPr>
              <w:color w:val="000000" w:themeColor="text1"/>
              <w:sz w:val="18"/>
              <w:szCs w:val="18"/>
            </w:rPr>
            <w:t>ISBN 978-1-76096-282-1 (pdf/online/MS word)</w:t>
          </w:r>
        </w:p>
        <w:p w14:paraId="5090B2B9" w14:textId="13045801" w:rsidR="00C821CE" w:rsidRPr="007A4444" w:rsidRDefault="00C821CE" w:rsidP="00E01864">
          <w:pPr>
            <w:spacing w:line="230" w:lineRule="auto"/>
            <w:rPr>
              <w:sz w:val="13"/>
              <w:szCs w:val="13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  <w:r w:rsidR="00E01864">
            <w:rPr>
              <w:sz w:val="13"/>
              <w:szCs w:val="13"/>
            </w:rPr>
            <w:br/>
          </w:r>
        </w:p>
      </w:tc>
      <w:tc>
        <w:tcPr>
          <w:tcW w:w="3515" w:type="dxa"/>
        </w:tcPr>
        <w:p w14:paraId="5A25321B" w14:textId="77777777" w:rsidR="00C821CE" w:rsidRPr="00736C0C" w:rsidRDefault="00C821CE" w:rsidP="0043317F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2FF70F3B" wp14:editId="341025C6">
                <wp:extent cx="1967488" cy="510541"/>
                <wp:effectExtent l="0" t="0" r="0" b="3810"/>
                <wp:docPr id="20" name="Picture 20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EEF341" w14:textId="77777777" w:rsidR="00C821CE" w:rsidRDefault="00C82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13ACF" w14:textId="77777777" w:rsidR="00157942" w:rsidRDefault="00157942" w:rsidP="00E33E08">
      <w:pPr>
        <w:spacing w:before="0" w:after="0" w:line="240" w:lineRule="auto"/>
      </w:pPr>
    </w:p>
  </w:footnote>
  <w:footnote w:type="continuationSeparator" w:id="0">
    <w:p w14:paraId="1A061D6B" w14:textId="77777777" w:rsidR="00157942" w:rsidRDefault="00157942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4BC7E" w14:textId="77777777" w:rsidR="004E245F" w:rsidRDefault="004E2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04039" w14:textId="77777777" w:rsidR="004E245F" w:rsidRDefault="004E24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3DC0" w14:textId="77777777" w:rsidR="000905F7" w:rsidRDefault="00794C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65C5D" wp14:editId="6AE1D2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27600" cy="1202400"/>
          <wp:effectExtent l="0" t="0" r="0" b="0"/>
          <wp:wrapNone/>
          <wp:docPr id="19" name="Picture 19" descr="Better Care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g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12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93A12AA"/>
    <w:multiLevelType w:val="multilevel"/>
    <w:tmpl w:val="E962EC02"/>
    <w:lvl w:ilvl="0">
      <w:start w:val="1"/>
      <w:numFmt w:val="bullet"/>
      <w:pStyle w:val="Bullet1"/>
      <w:lvlText w:val=""/>
      <w:lvlJc w:val="left"/>
      <w:pPr>
        <w:ind w:left="284" w:hanging="284"/>
      </w:pPr>
      <w:rPr>
        <w:rFonts w:ascii="Wingdings 2" w:hAnsi="Wingdings 2" w:hint="default"/>
        <w:color w:val="FAB662"/>
        <w:position w:val="0"/>
        <w:sz w:val="20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2"/>
  </w:num>
  <w:num w:numId="10">
    <w:abstractNumId w:val="1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7"/>
    <w:rsid w:val="00000FDB"/>
    <w:rsid w:val="00012F6F"/>
    <w:rsid w:val="00014213"/>
    <w:rsid w:val="00014B55"/>
    <w:rsid w:val="00016BE1"/>
    <w:rsid w:val="00020E3E"/>
    <w:rsid w:val="00023457"/>
    <w:rsid w:val="00023BF3"/>
    <w:rsid w:val="00026811"/>
    <w:rsid w:val="000402EC"/>
    <w:rsid w:val="0004185E"/>
    <w:rsid w:val="00052D93"/>
    <w:rsid w:val="00053181"/>
    <w:rsid w:val="00056988"/>
    <w:rsid w:val="00060D97"/>
    <w:rsid w:val="00060ED7"/>
    <w:rsid w:val="00071F51"/>
    <w:rsid w:val="00072279"/>
    <w:rsid w:val="00073407"/>
    <w:rsid w:val="00075E6C"/>
    <w:rsid w:val="00081C12"/>
    <w:rsid w:val="00087D42"/>
    <w:rsid w:val="000905F7"/>
    <w:rsid w:val="00093C50"/>
    <w:rsid w:val="000B29AD"/>
    <w:rsid w:val="000C0764"/>
    <w:rsid w:val="000C515F"/>
    <w:rsid w:val="000C6372"/>
    <w:rsid w:val="000D7841"/>
    <w:rsid w:val="000E1021"/>
    <w:rsid w:val="000E392D"/>
    <w:rsid w:val="000E39B6"/>
    <w:rsid w:val="000E3D05"/>
    <w:rsid w:val="000F2A2C"/>
    <w:rsid w:val="000F4288"/>
    <w:rsid w:val="000F7165"/>
    <w:rsid w:val="001021F1"/>
    <w:rsid w:val="00102379"/>
    <w:rsid w:val="0010351B"/>
    <w:rsid w:val="00103722"/>
    <w:rsid w:val="001065D6"/>
    <w:rsid w:val="001068D5"/>
    <w:rsid w:val="00110EDB"/>
    <w:rsid w:val="00113110"/>
    <w:rsid w:val="00114C29"/>
    <w:rsid w:val="00115D06"/>
    <w:rsid w:val="00121252"/>
    <w:rsid w:val="00121488"/>
    <w:rsid w:val="0012164F"/>
    <w:rsid w:val="001222B8"/>
    <w:rsid w:val="00124609"/>
    <w:rsid w:val="001254CE"/>
    <w:rsid w:val="0013637A"/>
    <w:rsid w:val="001422CC"/>
    <w:rsid w:val="00145346"/>
    <w:rsid w:val="0015009C"/>
    <w:rsid w:val="0015089C"/>
    <w:rsid w:val="00150EB1"/>
    <w:rsid w:val="00157942"/>
    <w:rsid w:val="001617B6"/>
    <w:rsid w:val="00165E66"/>
    <w:rsid w:val="00186B39"/>
    <w:rsid w:val="00190DC9"/>
    <w:rsid w:val="00196143"/>
    <w:rsid w:val="001A07CE"/>
    <w:rsid w:val="001A24FC"/>
    <w:rsid w:val="001C5EFE"/>
    <w:rsid w:val="001C60B2"/>
    <w:rsid w:val="001C6993"/>
    <w:rsid w:val="001C7BAE"/>
    <w:rsid w:val="001E2CE8"/>
    <w:rsid w:val="001E31FA"/>
    <w:rsid w:val="001E48F9"/>
    <w:rsid w:val="001E64F6"/>
    <w:rsid w:val="001E7AEB"/>
    <w:rsid w:val="001F051D"/>
    <w:rsid w:val="00201662"/>
    <w:rsid w:val="00203297"/>
    <w:rsid w:val="00203EDC"/>
    <w:rsid w:val="00204B82"/>
    <w:rsid w:val="00213445"/>
    <w:rsid w:val="00216517"/>
    <w:rsid w:val="00222BEB"/>
    <w:rsid w:val="00225E60"/>
    <w:rsid w:val="00226540"/>
    <w:rsid w:val="00230BBB"/>
    <w:rsid w:val="0023202C"/>
    <w:rsid w:val="00234619"/>
    <w:rsid w:val="00235BE2"/>
    <w:rsid w:val="00245043"/>
    <w:rsid w:val="0026028E"/>
    <w:rsid w:val="00264BD1"/>
    <w:rsid w:val="00273AF5"/>
    <w:rsid w:val="0028019B"/>
    <w:rsid w:val="00284FA2"/>
    <w:rsid w:val="00287701"/>
    <w:rsid w:val="002914C9"/>
    <w:rsid w:val="00292D36"/>
    <w:rsid w:val="00294A5A"/>
    <w:rsid w:val="00297281"/>
    <w:rsid w:val="00297A47"/>
    <w:rsid w:val="002A5891"/>
    <w:rsid w:val="002A5F50"/>
    <w:rsid w:val="002B03F1"/>
    <w:rsid w:val="002B5C34"/>
    <w:rsid w:val="002B5E2B"/>
    <w:rsid w:val="002B6DAA"/>
    <w:rsid w:val="002B6FCA"/>
    <w:rsid w:val="002C3126"/>
    <w:rsid w:val="002C338A"/>
    <w:rsid w:val="002D3BDF"/>
    <w:rsid w:val="002D70F7"/>
    <w:rsid w:val="002D711A"/>
    <w:rsid w:val="002D7336"/>
    <w:rsid w:val="002E3396"/>
    <w:rsid w:val="002E5A7A"/>
    <w:rsid w:val="002E6454"/>
    <w:rsid w:val="002E691F"/>
    <w:rsid w:val="002E76AF"/>
    <w:rsid w:val="002F2203"/>
    <w:rsid w:val="002F2953"/>
    <w:rsid w:val="002F4E84"/>
    <w:rsid w:val="002F5528"/>
    <w:rsid w:val="00306CD1"/>
    <w:rsid w:val="0031149C"/>
    <w:rsid w:val="003246EF"/>
    <w:rsid w:val="00332D4F"/>
    <w:rsid w:val="003334AD"/>
    <w:rsid w:val="003347B2"/>
    <w:rsid w:val="00346932"/>
    <w:rsid w:val="00354364"/>
    <w:rsid w:val="0036778F"/>
    <w:rsid w:val="00375F6D"/>
    <w:rsid w:val="003771C7"/>
    <w:rsid w:val="0038771C"/>
    <w:rsid w:val="003A430B"/>
    <w:rsid w:val="003A541A"/>
    <w:rsid w:val="003A6923"/>
    <w:rsid w:val="003B0BA5"/>
    <w:rsid w:val="003B1D86"/>
    <w:rsid w:val="003C2C67"/>
    <w:rsid w:val="003C2D4C"/>
    <w:rsid w:val="003C3B3A"/>
    <w:rsid w:val="003C5BA4"/>
    <w:rsid w:val="003D15E1"/>
    <w:rsid w:val="003D65F8"/>
    <w:rsid w:val="003E3E26"/>
    <w:rsid w:val="003F1295"/>
    <w:rsid w:val="003F4CF1"/>
    <w:rsid w:val="003F5102"/>
    <w:rsid w:val="003F76FC"/>
    <w:rsid w:val="00400215"/>
    <w:rsid w:val="004002EB"/>
    <w:rsid w:val="00407A79"/>
    <w:rsid w:val="00422DDC"/>
    <w:rsid w:val="004231B5"/>
    <w:rsid w:val="004236C8"/>
    <w:rsid w:val="00423AE2"/>
    <w:rsid w:val="00427681"/>
    <w:rsid w:val="00431551"/>
    <w:rsid w:val="0043317F"/>
    <w:rsid w:val="00433DB7"/>
    <w:rsid w:val="00435BCE"/>
    <w:rsid w:val="00436E28"/>
    <w:rsid w:val="00442182"/>
    <w:rsid w:val="0045195F"/>
    <w:rsid w:val="0045347E"/>
    <w:rsid w:val="00453750"/>
    <w:rsid w:val="00456941"/>
    <w:rsid w:val="00460BD5"/>
    <w:rsid w:val="004702EA"/>
    <w:rsid w:val="0047555E"/>
    <w:rsid w:val="0048259C"/>
    <w:rsid w:val="00482D02"/>
    <w:rsid w:val="00484326"/>
    <w:rsid w:val="00484CEF"/>
    <w:rsid w:val="0048750E"/>
    <w:rsid w:val="00490369"/>
    <w:rsid w:val="00494AA1"/>
    <w:rsid w:val="004A4ED0"/>
    <w:rsid w:val="004A69E6"/>
    <w:rsid w:val="004A7519"/>
    <w:rsid w:val="004B64B1"/>
    <w:rsid w:val="004C1F68"/>
    <w:rsid w:val="004D01AC"/>
    <w:rsid w:val="004D1BB5"/>
    <w:rsid w:val="004D3518"/>
    <w:rsid w:val="004D62D6"/>
    <w:rsid w:val="004D6898"/>
    <w:rsid w:val="004E245F"/>
    <w:rsid w:val="004F0E45"/>
    <w:rsid w:val="004F138F"/>
    <w:rsid w:val="004F3F4E"/>
    <w:rsid w:val="00510167"/>
    <w:rsid w:val="00511CDA"/>
    <w:rsid w:val="00513E86"/>
    <w:rsid w:val="00514890"/>
    <w:rsid w:val="00515CD8"/>
    <w:rsid w:val="00516307"/>
    <w:rsid w:val="005306A2"/>
    <w:rsid w:val="0053416C"/>
    <w:rsid w:val="00541C2F"/>
    <w:rsid w:val="00552DE4"/>
    <w:rsid w:val="00555D37"/>
    <w:rsid w:val="00557A08"/>
    <w:rsid w:val="00561B99"/>
    <w:rsid w:val="00563527"/>
    <w:rsid w:val="0057407A"/>
    <w:rsid w:val="0058124E"/>
    <w:rsid w:val="005875A3"/>
    <w:rsid w:val="005953EA"/>
    <w:rsid w:val="005A05B2"/>
    <w:rsid w:val="005A3416"/>
    <w:rsid w:val="005B061F"/>
    <w:rsid w:val="005B27FE"/>
    <w:rsid w:val="005B3FAE"/>
    <w:rsid w:val="005B5F0B"/>
    <w:rsid w:val="005B76DF"/>
    <w:rsid w:val="005B79CB"/>
    <w:rsid w:val="005C0AA3"/>
    <w:rsid w:val="005D0A16"/>
    <w:rsid w:val="005E08D7"/>
    <w:rsid w:val="005E0A7A"/>
    <w:rsid w:val="005E16CD"/>
    <w:rsid w:val="005E4C16"/>
    <w:rsid w:val="005E5947"/>
    <w:rsid w:val="005F1B5D"/>
    <w:rsid w:val="005F60B8"/>
    <w:rsid w:val="005F61DF"/>
    <w:rsid w:val="005F7DEB"/>
    <w:rsid w:val="0060163A"/>
    <w:rsid w:val="006023F9"/>
    <w:rsid w:val="00606538"/>
    <w:rsid w:val="00610559"/>
    <w:rsid w:val="006128B1"/>
    <w:rsid w:val="006138F7"/>
    <w:rsid w:val="00614076"/>
    <w:rsid w:val="00617626"/>
    <w:rsid w:val="00632F2E"/>
    <w:rsid w:val="006332F6"/>
    <w:rsid w:val="006413F2"/>
    <w:rsid w:val="0064196A"/>
    <w:rsid w:val="0064598D"/>
    <w:rsid w:val="006534B2"/>
    <w:rsid w:val="00655407"/>
    <w:rsid w:val="0065615D"/>
    <w:rsid w:val="00657011"/>
    <w:rsid w:val="00662087"/>
    <w:rsid w:val="006650B5"/>
    <w:rsid w:val="006651B1"/>
    <w:rsid w:val="00665778"/>
    <w:rsid w:val="00670FEA"/>
    <w:rsid w:val="0067651C"/>
    <w:rsid w:val="00676E5F"/>
    <w:rsid w:val="00680577"/>
    <w:rsid w:val="0068414A"/>
    <w:rsid w:val="00690030"/>
    <w:rsid w:val="006945CA"/>
    <w:rsid w:val="006975E6"/>
    <w:rsid w:val="006A01DD"/>
    <w:rsid w:val="006A3309"/>
    <w:rsid w:val="006A3A5A"/>
    <w:rsid w:val="006A5B34"/>
    <w:rsid w:val="006B2A76"/>
    <w:rsid w:val="006B3D06"/>
    <w:rsid w:val="006C2C62"/>
    <w:rsid w:val="006C411B"/>
    <w:rsid w:val="006C77A9"/>
    <w:rsid w:val="006D2F37"/>
    <w:rsid w:val="006D4720"/>
    <w:rsid w:val="006D62C3"/>
    <w:rsid w:val="006E1473"/>
    <w:rsid w:val="006E6CDF"/>
    <w:rsid w:val="006F37F2"/>
    <w:rsid w:val="006F6693"/>
    <w:rsid w:val="007051F3"/>
    <w:rsid w:val="00707FE8"/>
    <w:rsid w:val="00713373"/>
    <w:rsid w:val="00714AAE"/>
    <w:rsid w:val="00715331"/>
    <w:rsid w:val="00724962"/>
    <w:rsid w:val="00724A0F"/>
    <w:rsid w:val="00726D2F"/>
    <w:rsid w:val="007333D0"/>
    <w:rsid w:val="007352D2"/>
    <w:rsid w:val="00735DE4"/>
    <w:rsid w:val="00736732"/>
    <w:rsid w:val="00740019"/>
    <w:rsid w:val="007444D7"/>
    <w:rsid w:val="00746426"/>
    <w:rsid w:val="00750BF9"/>
    <w:rsid w:val="00750CBE"/>
    <w:rsid w:val="007650D2"/>
    <w:rsid w:val="00765FF7"/>
    <w:rsid w:val="00766B5A"/>
    <w:rsid w:val="00772209"/>
    <w:rsid w:val="007724B9"/>
    <w:rsid w:val="00773352"/>
    <w:rsid w:val="007770A5"/>
    <w:rsid w:val="00781A1A"/>
    <w:rsid w:val="007834F2"/>
    <w:rsid w:val="007872D5"/>
    <w:rsid w:val="0078779B"/>
    <w:rsid w:val="00791020"/>
    <w:rsid w:val="007929E1"/>
    <w:rsid w:val="00794CB7"/>
    <w:rsid w:val="007A04D2"/>
    <w:rsid w:val="007A4444"/>
    <w:rsid w:val="007A5F82"/>
    <w:rsid w:val="007D4A1E"/>
    <w:rsid w:val="007D5F9E"/>
    <w:rsid w:val="007E098F"/>
    <w:rsid w:val="007E3BA2"/>
    <w:rsid w:val="007E71A2"/>
    <w:rsid w:val="007F1A4C"/>
    <w:rsid w:val="007F723F"/>
    <w:rsid w:val="007F7440"/>
    <w:rsid w:val="008022C3"/>
    <w:rsid w:val="008030E7"/>
    <w:rsid w:val="008041E6"/>
    <w:rsid w:val="008065D2"/>
    <w:rsid w:val="00810626"/>
    <w:rsid w:val="00812C74"/>
    <w:rsid w:val="00815A8A"/>
    <w:rsid w:val="0082194C"/>
    <w:rsid w:val="008222FF"/>
    <w:rsid w:val="008241FF"/>
    <w:rsid w:val="008246E8"/>
    <w:rsid w:val="008411E9"/>
    <w:rsid w:val="00841617"/>
    <w:rsid w:val="0084200F"/>
    <w:rsid w:val="00843B2C"/>
    <w:rsid w:val="00844F16"/>
    <w:rsid w:val="00847BE1"/>
    <w:rsid w:val="00855FF9"/>
    <w:rsid w:val="0086277A"/>
    <w:rsid w:val="008668A8"/>
    <w:rsid w:val="008703D8"/>
    <w:rsid w:val="00872F68"/>
    <w:rsid w:val="008768AD"/>
    <w:rsid w:val="00880AC4"/>
    <w:rsid w:val="00887C2A"/>
    <w:rsid w:val="00893E52"/>
    <w:rsid w:val="00895277"/>
    <w:rsid w:val="00897157"/>
    <w:rsid w:val="00897447"/>
    <w:rsid w:val="008A4900"/>
    <w:rsid w:val="008A55FE"/>
    <w:rsid w:val="008A58D2"/>
    <w:rsid w:val="008B146D"/>
    <w:rsid w:val="008B42AD"/>
    <w:rsid w:val="008B5666"/>
    <w:rsid w:val="008C2C15"/>
    <w:rsid w:val="008D0281"/>
    <w:rsid w:val="008D105D"/>
    <w:rsid w:val="008E2348"/>
    <w:rsid w:val="008F6D45"/>
    <w:rsid w:val="0090425B"/>
    <w:rsid w:val="00911408"/>
    <w:rsid w:val="009122EA"/>
    <w:rsid w:val="00916AD5"/>
    <w:rsid w:val="00922944"/>
    <w:rsid w:val="00926C21"/>
    <w:rsid w:val="00931E51"/>
    <w:rsid w:val="00936479"/>
    <w:rsid w:val="00937A10"/>
    <w:rsid w:val="00946B1F"/>
    <w:rsid w:val="00953A2C"/>
    <w:rsid w:val="0096181A"/>
    <w:rsid w:val="00966115"/>
    <w:rsid w:val="009711D3"/>
    <w:rsid w:val="0097789D"/>
    <w:rsid w:val="009834C0"/>
    <w:rsid w:val="00986AAC"/>
    <w:rsid w:val="00991C00"/>
    <w:rsid w:val="00994E1C"/>
    <w:rsid w:val="00994E3A"/>
    <w:rsid w:val="00995526"/>
    <w:rsid w:val="00996E62"/>
    <w:rsid w:val="009A1DA2"/>
    <w:rsid w:val="009A3704"/>
    <w:rsid w:val="009A4739"/>
    <w:rsid w:val="009A674F"/>
    <w:rsid w:val="009A6D22"/>
    <w:rsid w:val="009B199C"/>
    <w:rsid w:val="009B1BBA"/>
    <w:rsid w:val="009B61F1"/>
    <w:rsid w:val="009B62E0"/>
    <w:rsid w:val="009B69E3"/>
    <w:rsid w:val="009C3D88"/>
    <w:rsid w:val="009D0D00"/>
    <w:rsid w:val="009D1157"/>
    <w:rsid w:val="009D6436"/>
    <w:rsid w:val="009E09B2"/>
    <w:rsid w:val="009E0D59"/>
    <w:rsid w:val="009E1651"/>
    <w:rsid w:val="009E3858"/>
    <w:rsid w:val="009E467D"/>
    <w:rsid w:val="009E5E60"/>
    <w:rsid w:val="009E70DD"/>
    <w:rsid w:val="009F2ED9"/>
    <w:rsid w:val="009F3231"/>
    <w:rsid w:val="009F5C58"/>
    <w:rsid w:val="00A023A0"/>
    <w:rsid w:val="00A05EBC"/>
    <w:rsid w:val="00A131B1"/>
    <w:rsid w:val="00A1562B"/>
    <w:rsid w:val="00A170F4"/>
    <w:rsid w:val="00A209C6"/>
    <w:rsid w:val="00A21408"/>
    <w:rsid w:val="00A2160F"/>
    <w:rsid w:val="00A21CFD"/>
    <w:rsid w:val="00A25B78"/>
    <w:rsid w:val="00A25C47"/>
    <w:rsid w:val="00A46288"/>
    <w:rsid w:val="00A46BA8"/>
    <w:rsid w:val="00A47634"/>
    <w:rsid w:val="00A612FE"/>
    <w:rsid w:val="00A70B49"/>
    <w:rsid w:val="00A92D94"/>
    <w:rsid w:val="00AA26B8"/>
    <w:rsid w:val="00AA5184"/>
    <w:rsid w:val="00AB063E"/>
    <w:rsid w:val="00AC0B87"/>
    <w:rsid w:val="00AC100C"/>
    <w:rsid w:val="00AC2624"/>
    <w:rsid w:val="00AC32A8"/>
    <w:rsid w:val="00AD24F2"/>
    <w:rsid w:val="00AD551D"/>
    <w:rsid w:val="00AD6B0A"/>
    <w:rsid w:val="00AD7E4E"/>
    <w:rsid w:val="00AF3339"/>
    <w:rsid w:val="00AF4D58"/>
    <w:rsid w:val="00AF6666"/>
    <w:rsid w:val="00AF6B54"/>
    <w:rsid w:val="00AF7BC5"/>
    <w:rsid w:val="00B02F5A"/>
    <w:rsid w:val="00B13794"/>
    <w:rsid w:val="00B37925"/>
    <w:rsid w:val="00B535C4"/>
    <w:rsid w:val="00B547C2"/>
    <w:rsid w:val="00B81B44"/>
    <w:rsid w:val="00B9053B"/>
    <w:rsid w:val="00B97B21"/>
    <w:rsid w:val="00BA0C37"/>
    <w:rsid w:val="00BA3782"/>
    <w:rsid w:val="00BA552D"/>
    <w:rsid w:val="00BB4D98"/>
    <w:rsid w:val="00BB4EBF"/>
    <w:rsid w:val="00BB59E0"/>
    <w:rsid w:val="00BC07DF"/>
    <w:rsid w:val="00BC3422"/>
    <w:rsid w:val="00BC6E19"/>
    <w:rsid w:val="00BD11C2"/>
    <w:rsid w:val="00BD5018"/>
    <w:rsid w:val="00BD5AEA"/>
    <w:rsid w:val="00BD7652"/>
    <w:rsid w:val="00BD78EF"/>
    <w:rsid w:val="00BE5ADC"/>
    <w:rsid w:val="00BF4F96"/>
    <w:rsid w:val="00C015B9"/>
    <w:rsid w:val="00C020B1"/>
    <w:rsid w:val="00C022F9"/>
    <w:rsid w:val="00C032EA"/>
    <w:rsid w:val="00C06EB5"/>
    <w:rsid w:val="00C1145F"/>
    <w:rsid w:val="00C11CD1"/>
    <w:rsid w:val="00C32D49"/>
    <w:rsid w:val="00C33AD3"/>
    <w:rsid w:val="00C35D53"/>
    <w:rsid w:val="00C40140"/>
    <w:rsid w:val="00C41B3C"/>
    <w:rsid w:val="00C43F06"/>
    <w:rsid w:val="00C45B7B"/>
    <w:rsid w:val="00C51C01"/>
    <w:rsid w:val="00C55857"/>
    <w:rsid w:val="00C637E1"/>
    <w:rsid w:val="00C67EAC"/>
    <w:rsid w:val="00C7098C"/>
    <w:rsid w:val="00C70D50"/>
    <w:rsid w:val="00C72252"/>
    <w:rsid w:val="00C73E2D"/>
    <w:rsid w:val="00C81644"/>
    <w:rsid w:val="00C818F4"/>
    <w:rsid w:val="00C821CE"/>
    <w:rsid w:val="00C907D7"/>
    <w:rsid w:val="00C92338"/>
    <w:rsid w:val="00C926A8"/>
    <w:rsid w:val="00CA05DC"/>
    <w:rsid w:val="00CA2D7D"/>
    <w:rsid w:val="00CA7B47"/>
    <w:rsid w:val="00CB3976"/>
    <w:rsid w:val="00CB458A"/>
    <w:rsid w:val="00CC0347"/>
    <w:rsid w:val="00CC07AD"/>
    <w:rsid w:val="00CC2697"/>
    <w:rsid w:val="00CD0307"/>
    <w:rsid w:val="00CD3C79"/>
    <w:rsid w:val="00CD3D1B"/>
    <w:rsid w:val="00CE590E"/>
    <w:rsid w:val="00CE61C3"/>
    <w:rsid w:val="00CE706C"/>
    <w:rsid w:val="00CF0075"/>
    <w:rsid w:val="00D02663"/>
    <w:rsid w:val="00D0633E"/>
    <w:rsid w:val="00D12E74"/>
    <w:rsid w:val="00D2312F"/>
    <w:rsid w:val="00D23B04"/>
    <w:rsid w:val="00D269C1"/>
    <w:rsid w:val="00D30EC2"/>
    <w:rsid w:val="00D411B0"/>
    <w:rsid w:val="00D41230"/>
    <w:rsid w:val="00D41B2F"/>
    <w:rsid w:val="00D42C9A"/>
    <w:rsid w:val="00D43C16"/>
    <w:rsid w:val="00D44953"/>
    <w:rsid w:val="00D542F3"/>
    <w:rsid w:val="00D54513"/>
    <w:rsid w:val="00D54AAE"/>
    <w:rsid w:val="00D5644B"/>
    <w:rsid w:val="00D56E25"/>
    <w:rsid w:val="00D57E89"/>
    <w:rsid w:val="00D651B7"/>
    <w:rsid w:val="00D6560D"/>
    <w:rsid w:val="00D65D77"/>
    <w:rsid w:val="00D66516"/>
    <w:rsid w:val="00D718D7"/>
    <w:rsid w:val="00D73FA1"/>
    <w:rsid w:val="00D760DB"/>
    <w:rsid w:val="00D76AD4"/>
    <w:rsid w:val="00D77A42"/>
    <w:rsid w:val="00D814B7"/>
    <w:rsid w:val="00D858A3"/>
    <w:rsid w:val="00D90688"/>
    <w:rsid w:val="00DA3AAD"/>
    <w:rsid w:val="00DA3F36"/>
    <w:rsid w:val="00DB312B"/>
    <w:rsid w:val="00DB7DF3"/>
    <w:rsid w:val="00DC5654"/>
    <w:rsid w:val="00DC658F"/>
    <w:rsid w:val="00DC674A"/>
    <w:rsid w:val="00DD23F5"/>
    <w:rsid w:val="00DE60CC"/>
    <w:rsid w:val="00DF2705"/>
    <w:rsid w:val="00DF2A5F"/>
    <w:rsid w:val="00E01864"/>
    <w:rsid w:val="00E03F35"/>
    <w:rsid w:val="00E26B32"/>
    <w:rsid w:val="00E31CD4"/>
    <w:rsid w:val="00E31E60"/>
    <w:rsid w:val="00E33E08"/>
    <w:rsid w:val="00E407B6"/>
    <w:rsid w:val="00E41D82"/>
    <w:rsid w:val="00E41EF1"/>
    <w:rsid w:val="00E42942"/>
    <w:rsid w:val="00E520A3"/>
    <w:rsid w:val="00E6148E"/>
    <w:rsid w:val="00E6431F"/>
    <w:rsid w:val="00E65A0A"/>
    <w:rsid w:val="00E70096"/>
    <w:rsid w:val="00E71BDF"/>
    <w:rsid w:val="00E745C9"/>
    <w:rsid w:val="00E756F3"/>
    <w:rsid w:val="00E75CCB"/>
    <w:rsid w:val="00E8245B"/>
    <w:rsid w:val="00E82C21"/>
    <w:rsid w:val="00E82F59"/>
    <w:rsid w:val="00E833FB"/>
    <w:rsid w:val="00E83CA7"/>
    <w:rsid w:val="00E86DF2"/>
    <w:rsid w:val="00E92192"/>
    <w:rsid w:val="00E94BDC"/>
    <w:rsid w:val="00E95A71"/>
    <w:rsid w:val="00EA0038"/>
    <w:rsid w:val="00EB7014"/>
    <w:rsid w:val="00EC5CDE"/>
    <w:rsid w:val="00EC7F2A"/>
    <w:rsid w:val="00ED3077"/>
    <w:rsid w:val="00ED487E"/>
    <w:rsid w:val="00ED64F1"/>
    <w:rsid w:val="00EE33A1"/>
    <w:rsid w:val="00EE7A0D"/>
    <w:rsid w:val="00EF7457"/>
    <w:rsid w:val="00F0222C"/>
    <w:rsid w:val="00F06647"/>
    <w:rsid w:val="00F12312"/>
    <w:rsid w:val="00F12BCD"/>
    <w:rsid w:val="00F13239"/>
    <w:rsid w:val="00F17CE1"/>
    <w:rsid w:val="00F2115C"/>
    <w:rsid w:val="00F22ABA"/>
    <w:rsid w:val="00F25919"/>
    <w:rsid w:val="00F25F4B"/>
    <w:rsid w:val="00F36B12"/>
    <w:rsid w:val="00F50B79"/>
    <w:rsid w:val="00F60AF3"/>
    <w:rsid w:val="00F60F9F"/>
    <w:rsid w:val="00F61246"/>
    <w:rsid w:val="00F64F08"/>
    <w:rsid w:val="00F64F9F"/>
    <w:rsid w:val="00F677AD"/>
    <w:rsid w:val="00F70055"/>
    <w:rsid w:val="00F734F5"/>
    <w:rsid w:val="00F73B5B"/>
    <w:rsid w:val="00F80524"/>
    <w:rsid w:val="00F80A39"/>
    <w:rsid w:val="00F8536E"/>
    <w:rsid w:val="00F85C48"/>
    <w:rsid w:val="00F90EA5"/>
    <w:rsid w:val="00F91859"/>
    <w:rsid w:val="00F91F5A"/>
    <w:rsid w:val="00F966B1"/>
    <w:rsid w:val="00F97D48"/>
    <w:rsid w:val="00FA0311"/>
    <w:rsid w:val="00FA1489"/>
    <w:rsid w:val="00FB027F"/>
    <w:rsid w:val="00FB1AA8"/>
    <w:rsid w:val="00FD50F0"/>
    <w:rsid w:val="00FD640F"/>
    <w:rsid w:val="00FD6B4C"/>
    <w:rsid w:val="00FE04C6"/>
    <w:rsid w:val="00FE04FE"/>
    <w:rsid w:val="00FE0553"/>
    <w:rsid w:val="00FE25D0"/>
    <w:rsid w:val="00FE6CB3"/>
    <w:rsid w:val="00FF41A5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4B1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55D37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4D92C0"/>
        <w:bottom w:val="single" w:sz="2" w:space="0" w:color="4D92C0"/>
        <w:insideH w:val="single" w:sz="2" w:space="0" w:color="4D92C0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63A5" w:themeColor="text2"/>
        <w:sz w:val="16"/>
      </w:rPr>
      <w:tblPr/>
      <w:tcPr>
        <w:tcBorders>
          <w:top w:val="single" w:sz="2" w:space="0" w:color="CCE0ED"/>
          <w:left w:val="nil"/>
          <w:bottom w:val="single" w:sz="24" w:space="0" w:color="CCE0ED"/>
          <w:right w:val="nil"/>
          <w:insideH w:val="nil"/>
          <w:insideV w:val="nil"/>
          <w:tl2br w:val="nil"/>
          <w:tr2bl w:val="nil"/>
        </w:tcBorders>
        <w:shd w:val="clear" w:color="auto" w:fill="E6EFF6" w:themeFill="background2"/>
        <w:tcMar>
          <w:top w:w="79" w:type="dxa"/>
          <w:left w:w="113" w:type="dxa"/>
          <w:bottom w:w="79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63A5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63A5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customStyle="1" w:styleId="Bullet1">
    <w:name w:val="Bullet 1"/>
    <w:uiPriority w:val="1"/>
    <w:qFormat/>
    <w:rsid w:val="00D76AD4"/>
    <w:pPr>
      <w:numPr>
        <w:numId w:val="12"/>
      </w:numPr>
      <w:spacing w:before="60" w:after="60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D76AD4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121488"/>
    <w:pPr>
      <w:ind w:left="567" w:right="567"/>
      <w:jc w:val="center"/>
    </w:pPr>
    <w:rPr>
      <w:i/>
      <w:iCs/>
      <w:color w:val="408ABB" w:themeColor="accen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94CB7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94CB7"/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121488"/>
    <w:rPr>
      <w:i/>
      <w:iCs/>
      <w:color w:val="408ABB" w:themeColor="accen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</w:rPr>
      <w:tblPr/>
      <w:tcPr>
        <w:shd w:val="clear" w:color="auto" w:fill="B1D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D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63A5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</w:rPr>
      <w:tblPr/>
      <w:tcPr>
        <w:shd w:val="clear" w:color="auto" w:fill="CCDF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F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</w:rPr>
      <w:tblPr/>
      <w:tcPr>
        <w:shd w:val="clear" w:color="auto" w:fill="E5EF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F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63A5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63A5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63A5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B1D1" w:themeFill="accent3" w:themeFillShade="CC"/>
      </w:tcPr>
    </w:tblStylePr>
    <w:tblStylePr w:type="lastRow">
      <w:rPr>
        <w:b/>
        <w:bCs/>
        <w:color w:val="80B1D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2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26F" w:themeColor="accent1" w:themeShade="99"/>
          <w:insideV w:val="nil"/>
        </w:tcBorders>
        <w:shd w:val="clear" w:color="auto" w:fill="2652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26F" w:themeFill="accent1" w:themeFillShade="99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9EC4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E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E95" w:themeColor="accent2" w:themeShade="99"/>
          <w:insideV w:val="nil"/>
        </w:tcBorders>
        <w:shd w:val="clear" w:color="auto" w:fill="356E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E95" w:themeFill="accent2" w:themeFillShade="99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BFD8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BB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BBA" w:themeColor="accent3" w:themeShade="99"/>
          <w:insideV w:val="nil"/>
        </w:tcBorders>
        <w:shd w:val="clear" w:color="auto" w:fill="438BB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BBA" w:themeFill="accent3" w:themeFillShade="99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8E8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B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A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749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A8C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1D0E4" w:themeColor="accent1" w:themeTint="66"/>
        <w:left w:val="single" w:sz="4" w:space="0" w:color="B1D0E4" w:themeColor="accent1" w:themeTint="66"/>
        <w:bottom w:val="single" w:sz="4" w:space="0" w:color="B1D0E4" w:themeColor="accent1" w:themeTint="66"/>
        <w:right w:val="single" w:sz="4" w:space="0" w:color="B1D0E4" w:themeColor="accent1" w:themeTint="66"/>
        <w:insideH w:val="single" w:sz="4" w:space="0" w:color="B1D0E4" w:themeColor="accent1" w:themeTint="66"/>
        <w:insideV w:val="single" w:sz="4" w:space="0" w:color="B1D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DFED" w:themeColor="accent2" w:themeTint="66"/>
        <w:left w:val="single" w:sz="4" w:space="0" w:color="CCDFED" w:themeColor="accent2" w:themeTint="66"/>
        <w:bottom w:val="single" w:sz="4" w:space="0" w:color="CCDFED" w:themeColor="accent2" w:themeTint="66"/>
        <w:right w:val="single" w:sz="4" w:space="0" w:color="CCDFED" w:themeColor="accent2" w:themeTint="66"/>
        <w:insideH w:val="single" w:sz="4" w:space="0" w:color="CCDFED" w:themeColor="accent2" w:themeTint="66"/>
        <w:insideV w:val="single" w:sz="4" w:space="0" w:color="CCDF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EFF5" w:themeColor="accent3" w:themeTint="66"/>
        <w:left w:val="single" w:sz="4" w:space="0" w:color="E5EFF5" w:themeColor="accent3" w:themeTint="66"/>
        <w:bottom w:val="single" w:sz="4" w:space="0" w:color="E5EFF5" w:themeColor="accent3" w:themeTint="66"/>
        <w:right w:val="single" w:sz="4" w:space="0" w:color="E5EFF5" w:themeColor="accent3" w:themeTint="66"/>
        <w:insideH w:val="single" w:sz="4" w:space="0" w:color="E5EFF5" w:themeColor="accent3" w:themeTint="66"/>
        <w:insideV w:val="single" w:sz="4" w:space="0" w:color="E5EF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BB8D7" w:themeColor="accent1" w:themeTint="99"/>
        <w:bottom w:val="single" w:sz="2" w:space="0" w:color="8BB8D7" w:themeColor="accent1" w:themeTint="99"/>
        <w:insideH w:val="single" w:sz="2" w:space="0" w:color="8BB8D7" w:themeColor="accent1" w:themeTint="99"/>
        <w:insideV w:val="single" w:sz="2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B8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0E4" w:themeColor="accent2" w:themeTint="99"/>
        <w:bottom w:val="single" w:sz="2" w:space="0" w:color="B2D0E4" w:themeColor="accent2" w:themeTint="99"/>
        <w:insideH w:val="single" w:sz="2" w:space="0" w:color="B2D0E4" w:themeColor="accent2" w:themeTint="99"/>
        <w:insideV w:val="single" w:sz="2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0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7F1" w:themeColor="accent3" w:themeTint="99"/>
        <w:bottom w:val="single" w:sz="2" w:space="0" w:color="D8E7F1" w:themeColor="accent3" w:themeTint="99"/>
        <w:insideH w:val="single" w:sz="2" w:space="0" w:color="D8E7F1" w:themeColor="accent3" w:themeTint="99"/>
        <w:insideV w:val="single" w:sz="2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7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B1D0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CCDF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E5EF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1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  <w:shd w:val="clear" w:color="auto" w:fill="CFE2EE" w:themeFill="accent1" w:themeFillTint="3F"/>
      </w:tcPr>
    </w:tblStylePr>
    <w:tblStylePr w:type="band2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1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  <w:shd w:val="clear" w:color="auto" w:fill="DFEBF3" w:themeFill="accent2" w:themeFillTint="3F"/>
      </w:tcPr>
    </w:tblStylePr>
    <w:tblStylePr w:type="band2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1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  <w:shd w:val="clear" w:color="auto" w:fill="EFF5F9" w:themeFill="accent3" w:themeFillTint="3F"/>
      </w:tcPr>
    </w:tblStylePr>
    <w:tblStylePr w:type="band2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bottom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bottom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bottom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8ABB" w:themeColor="accent1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8ABB" w:themeColor="accent1"/>
          <w:right w:val="single" w:sz="4" w:space="0" w:color="408ABB" w:themeColor="accent1"/>
        </w:tcBorders>
      </w:tcPr>
    </w:tblStylePr>
    <w:tblStylePr w:type="band1Horz">
      <w:tblPr/>
      <w:tcPr>
        <w:tcBorders>
          <w:top w:val="single" w:sz="4" w:space="0" w:color="408ABB" w:themeColor="accent1"/>
          <w:bottom w:val="single" w:sz="4" w:space="0" w:color="408A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8ABB" w:themeColor="accent1"/>
          <w:left w:val="nil"/>
        </w:tcBorders>
      </w:tcPr>
    </w:tblStylePr>
    <w:tblStylePr w:type="swCell">
      <w:tblPr/>
      <w:tcPr>
        <w:tcBorders>
          <w:top w:val="double" w:sz="4" w:space="0" w:color="408AB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1D2" w:themeColor="accent2"/>
          <w:right w:val="single" w:sz="4" w:space="0" w:color="80B1D2" w:themeColor="accent2"/>
        </w:tcBorders>
      </w:tcPr>
    </w:tblStylePr>
    <w:tblStylePr w:type="band1Horz">
      <w:tblPr/>
      <w:tcPr>
        <w:tcBorders>
          <w:top w:val="single" w:sz="4" w:space="0" w:color="80B1D2" w:themeColor="accent2"/>
          <w:bottom w:val="single" w:sz="4" w:space="0" w:color="80B1D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1D2" w:themeColor="accent2"/>
          <w:left w:val="nil"/>
        </w:tcBorders>
      </w:tcPr>
    </w:tblStylePr>
    <w:tblStylePr w:type="swCell">
      <w:tblPr/>
      <w:tcPr>
        <w:tcBorders>
          <w:top w:val="double" w:sz="4" w:space="0" w:color="80B1D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8E8" w:themeColor="accent3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8E8" w:themeColor="accent3"/>
          <w:right w:val="single" w:sz="4" w:space="0" w:color="BFD8E8" w:themeColor="accent3"/>
        </w:tcBorders>
      </w:tcPr>
    </w:tblStylePr>
    <w:tblStylePr w:type="band1Horz">
      <w:tblPr/>
      <w:tcPr>
        <w:tcBorders>
          <w:top w:val="single" w:sz="4" w:space="0" w:color="BFD8E8" w:themeColor="accent3"/>
          <w:bottom w:val="single" w:sz="4" w:space="0" w:color="BFD8E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8E8" w:themeColor="accent3"/>
          <w:left w:val="nil"/>
        </w:tcBorders>
      </w:tcPr>
    </w:tblStylePr>
    <w:tblStylePr w:type="swCell">
      <w:tblPr/>
      <w:tcPr>
        <w:tcBorders>
          <w:top w:val="double" w:sz="4" w:space="0" w:color="BFD8E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8ABB" w:themeColor="accent1"/>
        <w:left w:val="single" w:sz="24" w:space="0" w:color="408ABB" w:themeColor="accent1"/>
        <w:bottom w:val="single" w:sz="24" w:space="0" w:color="408ABB" w:themeColor="accent1"/>
        <w:right w:val="single" w:sz="24" w:space="0" w:color="408ABB" w:themeColor="accent1"/>
      </w:tblBorders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1D2" w:themeColor="accent2"/>
        <w:left w:val="single" w:sz="24" w:space="0" w:color="80B1D2" w:themeColor="accent2"/>
        <w:bottom w:val="single" w:sz="24" w:space="0" w:color="80B1D2" w:themeColor="accent2"/>
        <w:right w:val="single" w:sz="24" w:space="0" w:color="80B1D2" w:themeColor="accent2"/>
      </w:tblBorders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8E8" w:themeColor="accent3"/>
        <w:left w:val="single" w:sz="24" w:space="0" w:color="BFD8E8" w:themeColor="accent3"/>
        <w:bottom w:val="single" w:sz="24" w:space="0" w:color="BFD8E8" w:themeColor="accent3"/>
        <w:right w:val="single" w:sz="24" w:space="0" w:color="BFD8E8" w:themeColor="accent3"/>
      </w:tblBorders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408ABB" w:themeColor="accent1"/>
        <w:bottom w:val="single" w:sz="4" w:space="0" w:color="408A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8A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80B1D2" w:themeColor="accent2"/>
        <w:bottom w:val="single" w:sz="4" w:space="0" w:color="80B1D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1D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BFD8E8" w:themeColor="accent3"/>
        <w:bottom w:val="single" w:sz="4" w:space="0" w:color="BFD8E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8E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8A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8A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8A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8A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1D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1D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1D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1D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8E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8E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8E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8E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  <w:insideV w:val="single" w:sz="8" w:space="0" w:color="6EA7CD" w:themeColor="accent1" w:themeTint="BF"/>
      </w:tblBorders>
    </w:tblPr>
    <w:tcPr>
      <w:shd w:val="clear" w:color="auto" w:fill="CFE2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A7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  <w:insideV w:val="single" w:sz="8" w:space="0" w:color="9FC4DD" w:themeColor="accent2" w:themeTint="BF"/>
      </w:tblBorders>
    </w:tblPr>
    <w:tcPr>
      <w:shd w:val="clear" w:color="auto" w:fill="DFEB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4D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  <w:insideV w:val="single" w:sz="8" w:space="0" w:color="CEE1ED" w:themeColor="accent3" w:themeTint="BF"/>
      </w:tblBorders>
    </w:tblPr>
    <w:tcPr>
      <w:shd w:val="clear" w:color="auto" w:fill="EFF5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cPr>
      <w:shd w:val="clear" w:color="auto" w:fill="CFE2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F1" w:themeFill="accent1" w:themeFillTint="33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tcBorders>
          <w:insideH w:val="single" w:sz="6" w:space="0" w:color="408ABB" w:themeColor="accent1"/>
          <w:insideV w:val="single" w:sz="6" w:space="0" w:color="408ABB" w:themeColor="accent1"/>
        </w:tcBorders>
        <w:shd w:val="clear" w:color="auto" w:fill="9EC4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cPr>
      <w:shd w:val="clear" w:color="auto" w:fill="DFEB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FF6" w:themeFill="accent2" w:themeFillTint="33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tcBorders>
          <w:insideH w:val="single" w:sz="6" w:space="0" w:color="80B1D2" w:themeColor="accent2"/>
          <w:insideV w:val="single" w:sz="6" w:space="0" w:color="80B1D2" w:themeColor="accent2"/>
        </w:tcBorders>
        <w:shd w:val="clear" w:color="auto" w:fill="BFD8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cPr>
      <w:shd w:val="clear" w:color="auto" w:fill="EFF5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FA" w:themeFill="accent3" w:themeFillTint="33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tcBorders>
          <w:insideH w:val="single" w:sz="6" w:space="0" w:color="BFD8E8" w:themeColor="accent3"/>
          <w:insideV w:val="single" w:sz="6" w:space="0" w:color="BFD8E8" w:themeColor="accent3"/>
        </w:tcBorders>
        <w:shd w:val="clear" w:color="auto" w:fill="DFEB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2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B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8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B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B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8ABB" w:themeColor="accen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shd w:val="clear" w:color="auto" w:fill="CFE2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1D2" w:themeColor="accent2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shd w:val="clear" w:color="auto" w:fill="DFEB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8E8" w:themeColor="accent3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shd w:val="clear" w:color="auto" w:fill="EFF5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8A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8AB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8A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8A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2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1D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1D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1D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B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8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8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8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2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B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D76AD4"/>
    <w:pPr>
      <w:spacing w:before="100" w:after="100"/>
    </w:pPr>
  </w:style>
  <w:style w:type="paragraph" w:customStyle="1" w:styleId="PulloutHeading">
    <w:name w:val="Pullout Heading"/>
    <w:basedOn w:val="PulloutText"/>
    <w:next w:val="PulloutText"/>
    <w:uiPriority w:val="1"/>
    <w:qFormat/>
    <w:rsid w:val="00D76AD4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character" w:styleId="UnresolvedMention">
    <w:name w:val="Unresolved Mention"/>
    <w:basedOn w:val="DefaultParagraphFont"/>
    <w:uiPriority w:val="99"/>
    <w:semiHidden/>
    <w:unhideWhenUsed/>
    <w:rsid w:val="009114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1"/>
    <w:semiHidden/>
    <w:unhideWhenUsed/>
    <w:rsid w:val="00016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016BE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016BE1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016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016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CV BCV">
  <a:themeElements>
    <a:clrScheme name="SCV BCV">
      <a:dk1>
        <a:srgbClr val="000000"/>
      </a:dk1>
      <a:lt1>
        <a:srgbClr val="FFFFFF"/>
      </a:lt1>
      <a:dk2>
        <a:srgbClr val="0063A5"/>
      </a:dk2>
      <a:lt2>
        <a:srgbClr val="E6EFF6"/>
      </a:lt2>
      <a:accent1>
        <a:srgbClr val="408ABB"/>
      </a:accent1>
      <a:accent2>
        <a:srgbClr val="80B1D2"/>
      </a:accent2>
      <a:accent3>
        <a:srgbClr val="BFD8E8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63A5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Vic Gov Blue 100%">
      <a:srgbClr val="0063A5"/>
    </a:custClr>
    <a:custClr name="vic Gov Blue 70%">
      <a:srgbClr val="4D92C0"/>
    </a:custClr>
    <a:custClr name="Vic Gov Blue 20%">
      <a:srgbClr val="CCE0ED"/>
    </a:custClr>
    <a:custClr name="Yellow 100%">
      <a:srgbClr val="FAB662"/>
    </a:custClr>
    <a:custClr name="Yellow 75%">
      <a:srgbClr val="FAB157"/>
    </a:custClr>
    <a:custClr name="Yellow 50%">
      <a:srgbClr val="FBCB8F"/>
    </a:custClr>
    <a:custClr name="Yellow 20%">
      <a:srgbClr val="FEEAD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ACDD2-5F03-416F-951A-1470E76F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 Novel models of care for patients with functional gastrointestinal disorders</dc:title>
  <dc:subject/>
  <dc:creator>Safer Care Victoria</dc:creator>
  <cp:keywords>Safer Care Victoria, Better Care Victoria Innovation Fund, Better Care Victoria, Innovation Fund, BCV, SCV, innovation project, healthcare innovation, healthcare, innovation</cp:keywords>
  <cp:lastModifiedBy/>
  <cp:revision>1</cp:revision>
  <dcterms:created xsi:type="dcterms:W3CDTF">2020-12-18T08:39:00Z</dcterms:created>
  <dcterms:modified xsi:type="dcterms:W3CDTF">2020-12-18T08:54:00Z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2020-12-18T08:40:09Z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69276bac-6668-4dba-bd8f-ffc8c4bd1591</vt:lpwstr>
  </property>
  <property fmtid="{D5CDD505-2E9C-101B-9397-08002B2CF9AE}" pid="8" name="MSIP_Label_efdf5488-3066-4b6c-8fea-9472b8a1f34c_ContentBits">
    <vt:lpwstr>0</vt:lpwstr>
  </property>
</Properties>
</file>