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05003A5F" w:rsidR="00A46288" w:rsidRPr="00DA3F36" w:rsidRDefault="00994947" w:rsidP="007A4444">
      <w:pPr>
        <w:pStyle w:val="Title"/>
      </w:pPr>
      <w:r>
        <w:t xml:space="preserve">facilitating </w:t>
      </w:r>
      <w:r w:rsidRPr="00994947">
        <w:t>Osteoarthritis</w:t>
      </w:r>
      <w:r>
        <w:t xml:space="preserve"> </w:t>
      </w:r>
      <w:r w:rsidRPr="00994947">
        <w:t xml:space="preserve">management </w:t>
      </w:r>
      <w:r>
        <w:t>in the community</w:t>
      </w:r>
    </w:p>
    <w:p w14:paraId="6800B4C5" w14:textId="51C50009" w:rsidR="00897157" w:rsidRDefault="00B927D9" w:rsidP="00E03F35">
      <w:pPr>
        <w:pStyle w:val="IntroductoryText"/>
      </w:pPr>
      <w:r>
        <w:t xml:space="preserve">St Vincent’s Hospital Melbourne </w:t>
      </w:r>
      <w:r w:rsidR="0081778B">
        <w:t xml:space="preserve">trialled </w:t>
      </w:r>
      <w:r w:rsidR="0081778B" w:rsidRPr="0081778B">
        <w:t xml:space="preserve">a community-based clinic to assess and support patients with osteoarthritis of the knee. The project </w:t>
      </w:r>
      <w:r w:rsidR="0081778B">
        <w:t xml:space="preserve">aimed </w:t>
      </w:r>
      <w:r w:rsidR="0081778B" w:rsidRPr="0081778B">
        <w:t xml:space="preserve">to </w:t>
      </w:r>
      <w:r w:rsidR="00233AE6">
        <w:t xml:space="preserve">increase </w:t>
      </w:r>
      <w:r w:rsidR="0081778B" w:rsidRPr="0081778B">
        <w:t>capacity for musculoskeletal management in the community</w:t>
      </w:r>
      <w:r w:rsidR="00233AE6">
        <w:t xml:space="preserve"> to improve patient outcomes by </w:t>
      </w:r>
      <w:r w:rsidR="0081778B">
        <w:t xml:space="preserve">providing more timely </w:t>
      </w:r>
      <w:r w:rsidR="0081778B" w:rsidRPr="0081778B">
        <w:t xml:space="preserve">access for patients </w:t>
      </w:r>
      <w:r w:rsidR="00783442">
        <w:t xml:space="preserve">in need of </w:t>
      </w:r>
      <w:r w:rsidR="0081778B" w:rsidRPr="0081778B">
        <w:t>joint replacement surgery</w:t>
      </w:r>
      <w:r w:rsidR="00233AE6">
        <w:t xml:space="preserve"> and/or offering non-surgical management options where appropriate</w:t>
      </w:r>
      <w:r w:rsidR="0081778B" w:rsidRPr="0081778B">
        <w:t xml:space="preserve">. </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footerReference w:type="first" r:id="rId10"/>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731320B6" w14:textId="07C1B923" w:rsidR="00493236" w:rsidRDefault="00493236" w:rsidP="007A4444">
      <w:pPr>
        <w:pStyle w:val="Normalfollowingheading"/>
      </w:pPr>
      <w:r>
        <w:t>O</w:t>
      </w:r>
      <w:r w:rsidRPr="00493236">
        <w:t>steoarthritis (OA)</w:t>
      </w:r>
      <w:r>
        <w:t xml:space="preserve"> </w:t>
      </w:r>
      <w:r w:rsidR="00C44BD8">
        <w:t xml:space="preserve">can have </w:t>
      </w:r>
      <w:r w:rsidRPr="00493236">
        <w:t>an enormous impact on quality of life, psychological distress and work</w:t>
      </w:r>
      <w:r>
        <w:t xml:space="preserve"> </w:t>
      </w:r>
      <w:r w:rsidRPr="00493236">
        <w:t>disability.</w:t>
      </w:r>
      <w:r w:rsidR="00541693" w:rsidRPr="00AC75FE">
        <w:rPr>
          <w:vertAlign w:val="superscript"/>
        </w:rPr>
        <w:t>1</w:t>
      </w:r>
      <w:r w:rsidR="00C44BD8">
        <w:t xml:space="preserve"> </w:t>
      </w:r>
      <w:r>
        <w:t xml:space="preserve">In 2016, </w:t>
      </w:r>
      <w:r w:rsidRPr="00493236">
        <w:t xml:space="preserve">OA </w:t>
      </w:r>
      <w:r>
        <w:t xml:space="preserve">was </w:t>
      </w:r>
      <w:r w:rsidRPr="00493236">
        <w:t xml:space="preserve">a leading cause of pain and disability in Australia and </w:t>
      </w:r>
      <w:r>
        <w:t xml:space="preserve">was </w:t>
      </w:r>
      <w:r w:rsidR="00C44BD8">
        <w:t xml:space="preserve">one of the </w:t>
      </w:r>
      <w:r w:rsidRPr="00493236">
        <w:t xml:space="preserve">most </w:t>
      </w:r>
      <w:r w:rsidR="00C44BD8">
        <w:t xml:space="preserve">common conditions managed </w:t>
      </w:r>
      <w:r w:rsidRPr="00493236">
        <w:t xml:space="preserve">in general practice. </w:t>
      </w:r>
    </w:p>
    <w:p w14:paraId="776EA23F" w14:textId="2DE81B34" w:rsidR="004C362A" w:rsidRDefault="00F30C43" w:rsidP="002005BC">
      <w:r>
        <w:t xml:space="preserve">General practitioners (GPs) </w:t>
      </w:r>
      <w:r w:rsidR="00F23DDF">
        <w:t>at times</w:t>
      </w:r>
      <w:r>
        <w:t xml:space="preserve"> recommend surgery to treat </w:t>
      </w:r>
      <w:r w:rsidR="004C362A">
        <w:t xml:space="preserve">OA </w:t>
      </w:r>
      <w:r>
        <w:t xml:space="preserve">over </w:t>
      </w:r>
      <w:r w:rsidR="004C362A">
        <w:t>non-surgical management</w:t>
      </w:r>
      <w:r>
        <w:t xml:space="preserve"> options</w:t>
      </w:r>
      <w:r w:rsidR="004C362A">
        <w:t xml:space="preserve"> such as </w:t>
      </w:r>
      <w:r w:rsidR="004C362A" w:rsidRPr="004C362A">
        <w:t xml:space="preserve">physiotherapy, </w:t>
      </w:r>
      <w:r w:rsidR="004C362A">
        <w:t>changes in diet</w:t>
      </w:r>
      <w:r w:rsidR="00C94A3B">
        <w:t>,</w:t>
      </w:r>
      <w:r w:rsidR="004C362A">
        <w:t xml:space="preserve"> </w:t>
      </w:r>
      <w:r w:rsidR="00C94A3B">
        <w:t xml:space="preserve">and </w:t>
      </w:r>
      <w:r w:rsidR="004C362A" w:rsidRPr="004C362A">
        <w:t>counselling</w:t>
      </w:r>
      <w:r w:rsidR="004C362A">
        <w:t xml:space="preserve">, </w:t>
      </w:r>
      <w:r w:rsidR="004C362A" w:rsidRPr="004C362A">
        <w:t>advice</w:t>
      </w:r>
      <w:r w:rsidR="004C362A">
        <w:t xml:space="preserve"> and </w:t>
      </w:r>
      <w:r w:rsidR="004C362A" w:rsidRPr="004C362A">
        <w:t>education</w:t>
      </w:r>
      <w:r w:rsidR="002005BC">
        <w:t>.</w:t>
      </w:r>
      <w:r w:rsidR="004C362A">
        <w:t xml:space="preserve"> This can </w:t>
      </w:r>
      <w:r>
        <w:t xml:space="preserve">sometimes </w:t>
      </w:r>
      <w:r w:rsidR="004C362A">
        <w:t xml:space="preserve">lead to patients being inappropriately referred to an orthopaedic surgeon. </w:t>
      </w:r>
    </w:p>
    <w:p w14:paraId="40013CD8" w14:textId="15E8C574" w:rsidR="002005BC" w:rsidRDefault="002005BC" w:rsidP="002005BC">
      <w:r>
        <w:t>High demand for specialist clinics for non-urgent patients and limited access to these services in the community contribute</w:t>
      </w:r>
      <w:r w:rsidR="005740D7">
        <w:t>s</w:t>
      </w:r>
      <w:r>
        <w:t xml:space="preserve"> to long delays in accessing care</w:t>
      </w:r>
      <w:r w:rsidR="00233AE6">
        <w:t xml:space="preserve">, which can negatively impact a </w:t>
      </w:r>
      <w:r>
        <w:t xml:space="preserve">patient’s condition. </w:t>
      </w:r>
    </w:p>
    <w:p w14:paraId="63BE3374" w14:textId="2512C049" w:rsidR="00493236" w:rsidRDefault="002005BC" w:rsidP="00493236">
      <w:pPr>
        <w:pStyle w:val="Normalfollowingheading"/>
      </w:pPr>
      <w:r>
        <w:t xml:space="preserve">Inappropriate referral can </w:t>
      </w:r>
      <w:r w:rsidR="00F30C43">
        <w:t xml:space="preserve">also </w:t>
      </w:r>
      <w:r w:rsidR="00C94A3B">
        <w:t xml:space="preserve">result in </w:t>
      </w:r>
      <w:r>
        <w:t xml:space="preserve">a patient </w:t>
      </w:r>
      <w:r w:rsidR="00F30C43">
        <w:t xml:space="preserve">having </w:t>
      </w:r>
      <w:r>
        <w:t xml:space="preserve">surgery </w:t>
      </w:r>
      <w:r w:rsidR="00F30C43">
        <w:t xml:space="preserve">with little </w:t>
      </w:r>
      <w:r>
        <w:t xml:space="preserve">benefit. Research </w:t>
      </w:r>
      <w:r w:rsidR="00C94A3B">
        <w:t xml:space="preserve">shows </w:t>
      </w:r>
      <w:r>
        <w:t xml:space="preserve">that </w:t>
      </w:r>
      <w:r w:rsidR="00493236">
        <w:t xml:space="preserve">at least 15 per cent of all patients who receive </w:t>
      </w:r>
      <w:r>
        <w:t xml:space="preserve">a </w:t>
      </w:r>
      <w:r w:rsidR="00493236">
        <w:t>total knee joint replacement report no meaningful improvement from surgery</w:t>
      </w:r>
      <w:r>
        <w:t xml:space="preserve">. Furthermore, </w:t>
      </w:r>
      <w:r w:rsidR="00493236">
        <w:t>up to 20</w:t>
      </w:r>
      <w:r w:rsidR="00C94A3B">
        <w:t> </w:t>
      </w:r>
      <w:r w:rsidR="00493236">
        <w:t>per</w:t>
      </w:r>
      <w:r w:rsidR="00C94A3B">
        <w:t> </w:t>
      </w:r>
      <w:r w:rsidR="00493236">
        <w:t xml:space="preserve">cent of patients </w:t>
      </w:r>
      <w:r w:rsidR="00C94A3B">
        <w:t xml:space="preserve">experience </w:t>
      </w:r>
      <w:r w:rsidR="00493236">
        <w:t xml:space="preserve">ongoing pain and poor </w:t>
      </w:r>
      <w:r w:rsidR="00C94A3B">
        <w:t xml:space="preserve">joint </w:t>
      </w:r>
      <w:r w:rsidR="00493236">
        <w:t>function</w:t>
      </w:r>
      <w:r w:rsidR="005740D7">
        <w:t xml:space="preserve"> post-surgery</w:t>
      </w:r>
      <w:r w:rsidR="00493236">
        <w:t>.</w:t>
      </w:r>
      <w:r w:rsidR="00541693" w:rsidRPr="00AC75FE">
        <w:rPr>
          <w:vertAlign w:val="superscript"/>
        </w:rPr>
        <w:t>2</w:t>
      </w:r>
      <w:r w:rsidR="004A3986">
        <w:rPr>
          <w:vertAlign w:val="superscript"/>
        </w:rPr>
        <w:t>–5</w:t>
      </w:r>
      <w:r w:rsidR="00F23DDF">
        <w:t xml:space="preserve"> </w:t>
      </w:r>
      <w:bookmarkStart w:id="0" w:name="_GoBack"/>
      <w:bookmarkEnd w:id="0"/>
    </w:p>
    <w:p w14:paraId="455DD938" w14:textId="7F2A098C" w:rsidR="00414F9C" w:rsidRDefault="000D1994">
      <w:r>
        <w:t xml:space="preserve">To </w:t>
      </w:r>
      <w:r w:rsidRPr="000D1994">
        <w:t>improve the delivery of best practice, holistic care for people with OA</w:t>
      </w:r>
      <w:r>
        <w:t xml:space="preserve">, St Vincent’s Hospital Melbourne (SVHM) </w:t>
      </w:r>
      <w:r w:rsidR="00F30C43">
        <w:t xml:space="preserve">trialled a community-based </w:t>
      </w:r>
      <w:r w:rsidRPr="000D1994">
        <w:t xml:space="preserve">specialist OA </w:t>
      </w:r>
      <w:r w:rsidR="00F30C43">
        <w:t>clinic</w:t>
      </w:r>
      <w:r w:rsidR="0004124F">
        <w:t xml:space="preserve"> </w:t>
      </w:r>
      <w:r w:rsidR="0004124F" w:rsidRPr="000D1994">
        <w:t>away from the hospital setting</w:t>
      </w:r>
      <w:r w:rsidR="0004124F">
        <w:t xml:space="preserve">. This aimed to provide patients with </w:t>
      </w:r>
      <w:r w:rsidRPr="000D1994">
        <w:t xml:space="preserve">assessment and </w:t>
      </w:r>
      <w:r w:rsidR="0004124F">
        <w:t xml:space="preserve">access to treatment faster while reducing wait lists at the SVHM outpatient clinics. The clinic also featured </w:t>
      </w:r>
      <w:r w:rsidR="00F30C43">
        <w:t>a multidisciplinary team to facilitate non-surgical management as appropriate</w:t>
      </w:r>
      <w:r>
        <w:t>.</w:t>
      </w:r>
    </w:p>
    <w:p w14:paraId="17AC57C9" w14:textId="2496B9AD" w:rsidR="00E41D82" w:rsidRDefault="00C7098C">
      <w:pPr>
        <w:rPr>
          <w:rFonts w:asciiTheme="majorHAnsi" w:eastAsiaTheme="majorEastAsia" w:hAnsiTheme="majorHAnsi" w:cstheme="majorBidi"/>
          <w:b/>
          <w:bCs/>
          <w:caps/>
          <w:color w:val="0063A5" w:themeColor="text2"/>
          <w:sz w:val="24"/>
          <w:szCs w:val="26"/>
        </w:rPr>
      </w:pPr>
      <w:r w:rsidRPr="00C821CE">
        <w:rPr>
          <w:i/>
          <w:iCs/>
          <w:noProof/>
        </w:rPr>
        <mc:AlternateContent>
          <mc:Choice Requires="wps">
            <w:drawing>
              <wp:inline distT="0" distB="0" distL="0" distR="0" wp14:anchorId="7E5AC192" wp14:editId="5FD2E283">
                <wp:extent cx="3230245" cy="4848225"/>
                <wp:effectExtent l="0" t="0" r="2730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848225"/>
                        </a:xfrm>
                        <a:prstGeom prst="rect">
                          <a:avLst/>
                        </a:prstGeom>
                        <a:solidFill>
                          <a:srgbClr val="FEEAD2"/>
                        </a:solidFill>
                        <a:ln w="6350">
                          <a:solidFill>
                            <a:srgbClr val="FEEAD2"/>
                          </a:solidFill>
                          <a:miter lim="800000"/>
                          <a:headEnd/>
                          <a:tailEnd/>
                        </a:ln>
                      </wps:spPr>
                      <wps:txbx>
                        <w:txbxContent>
                          <w:p w14:paraId="14988FB7" w14:textId="514D99A3" w:rsidR="00F23DDF" w:rsidRPr="004D6898" w:rsidRDefault="00F23DDF" w:rsidP="00C7098C">
                            <w:pPr>
                              <w:pStyle w:val="PulloutHeading"/>
                            </w:pPr>
                            <w:r w:rsidRPr="0006051C">
                              <w:t xml:space="preserve">Rapid access musculoskeletal care </w:t>
                            </w:r>
                          </w:p>
                          <w:p w14:paraId="3BCE2E88" w14:textId="2A0FCC33" w:rsidR="00F23DDF" w:rsidRDefault="00F23DDF" w:rsidP="00C7098C">
                            <w:pPr>
                              <w:pStyle w:val="PulloutText"/>
                            </w:pPr>
                            <w:r w:rsidRPr="00186B39">
                              <w:rPr>
                                <w:b/>
                                <w:bCs/>
                              </w:rPr>
                              <w:t>Lead</w:t>
                            </w:r>
                            <w:r>
                              <w:t xml:space="preserve"> </w:t>
                            </w:r>
                            <w:r w:rsidRPr="0006051C">
                              <w:t>St Vincent’s Hospital Melbourne</w:t>
                            </w:r>
                          </w:p>
                          <w:p w14:paraId="6FDBE315" w14:textId="5EFD2639" w:rsidR="00F23DDF" w:rsidRDefault="00F23DDF" w:rsidP="00C7098C">
                            <w:pPr>
                              <w:pStyle w:val="PulloutText"/>
                              <w:rPr>
                                <w:b/>
                                <w:bCs/>
                              </w:rPr>
                            </w:pPr>
                            <w:r w:rsidRPr="00911408">
                              <w:rPr>
                                <w:b/>
                                <w:bCs/>
                              </w:rPr>
                              <w:t>Partner</w:t>
                            </w:r>
                            <w:r>
                              <w:rPr>
                                <w:b/>
                                <w:bCs/>
                              </w:rPr>
                              <w:t xml:space="preserve">s </w:t>
                            </w:r>
                            <w:r w:rsidRPr="0006051C">
                              <w:t>North West Metropolitan Primary Health Network</w:t>
                            </w:r>
                            <w:r>
                              <w:t xml:space="preserve">, </w:t>
                            </w:r>
                            <w:r w:rsidRPr="006A4E8C">
                              <w:t>Merri Health</w:t>
                            </w:r>
                          </w:p>
                          <w:p w14:paraId="59A54D14" w14:textId="52C02A0D" w:rsidR="00F23DDF" w:rsidRPr="0006051C" w:rsidRDefault="00F23DDF" w:rsidP="00C7098C">
                            <w:pPr>
                              <w:pStyle w:val="PulloutText"/>
                            </w:pPr>
                            <w:r>
                              <w:rPr>
                                <w:b/>
                                <w:bCs/>
                              </w:rPr>
                              <w:t xml:space="preserve">Duration </w:t>
                            </w:r>
                            <w:r>
                              <w:t>August 2016 – February 2018</w:t>
                            </w:r>
                          </w:p>
                          <w:p w14:paraId="29DC0549" w14:textId="7327B8A6" w:rsidR="00F23DDF" w:rsidRDefault="00F23DDF" w:rsidP="00C7098C">
                            <w:pPr>
                              <w:pStyle w:val="PulloutText"/>
                              <w:rPr>
                                <w:b/>
                                <w:bCs/>
                              </w:rPr>
                            </w:pPr>
                            <w:r w:rsidRPr="00911408">
                              <w:rPr>
                                <w:b/>
                                <w:bCs/>
                              </w:rPr>
                              <w:t xml:space="preserve">Key </w:t>
                            </w:r>
                            <w:r>
                              <w:rPr>
                                <w:b/>
                                <w:bCs/>
                              </w:rPr>
                              <w:t>outcomes</w:t>
                            </w:r>
                          </w:p>
                          <w:p w14:paraId="66F95A0A" w14:textId="09A91668" w:rsidR="00F23DDF" w:rsidRDefault="00F23DDF" w:rsidP="00894B49">
                            <w:pPr>
                              <w:pStyle w:val="Bullet1"/>
                            </w:pPr>
                            <w:r>
                              <w:t xml:space="preserve">Demonstrated </w:t>
                            </w:r>
                            <w:r w:rsidRPr="00316CF1">
                              <w:t xml:space="preserve">that a </w:t>
                            </w:r>
                            <w:r>
                              <w:t xml:space="preserve">community-based </w:t>
                            </w:r>
                            <w:r w:rsidRPr="00316CF1">
                              <w:t>multidisciplinary specialist clinic can deliver</w:t>
                            </w:r>
                            <w:r>
                              <w:t>:</w:t>
                            </w:r>
                          </w:p>
                          <w:p w14:paraId="07002840" w14:textId="4DFFE418" w:rsidR="00F23DDF" w:rsidRDefault="00F23DDF" w:rsidP="00894B49">
                            <w:pPr>
                              <w:pStyle w:val="Bullet2"/>
                            </w:pPr>
                            <w:r w:rsidRPr="00316CF1">
                              <w:t>a high uptake of ongoing therapy (84</w:t>
                            </w:r>
                            <w:r>
                              <w:t> per cent</w:t>
                            </w:r>
                            <w:r w:rsidRPr="00316CF1">
                              <w:t>)</w:t>
                            </w:r>
                          </w:p>
                          <w:p w14:paraId="2C14C0F8" w14:textId="77777777" w:rsidR="00F23DDF" w:rsidRDefault="00F23DDF" w:rsidP="00894B49">
                            <w:pPr>
                              <w:pStyle w:val="Bullet2"/>
                            </w:pPr>
                            <w:r w:rsidRPr="00316CF1">
                              <w:t>a low (12</w:t>
                            </w:r>
                            <w:r>
                              <w:t xml:space="preserve"> per cent</w:t>
                            </w:r>
                            <w:r w:rsidRPr="00316CF1">
                              <w:t xml:space="preserve">) referral rate to </w:t>
                            </w:r>
                            <w:r>
                              <w:t xml:space="preserve">surgery </w:t>
                            </w:r>
                          </w:p>
                          <w:p w14:paraId="333BB9E5" w14:textId="77777777" w:rsidR="00F23DDF" w:rsidRPr="00911408" w:rsidRDefault="00F23DDF" w:rsidP="00894B49">
                            <w:pPr>
                              <w:pStyle w:val="Bullet2"/>
                            </w:pPr>
                            <w:r>
                              <w:t xml:space="preserve">a </w:t>
                            </w:r>
                            <w:r w:rsidRPr="00316CF1">
                              <w:t>high patient discharge rate from a clinic to the care of a GP</w:t>
                            </w:r>
                          </w:p>
                          <w:p w14:paraId="2F127D25" w14:textId="68F0B3D6" w:rsidR="00F23DDF" w:rsidRDefault="00F23DDF" w:rsidP="006A4E8C">
                            <w:pPr>
                              <w:pStyle w:val="Bullet1"/>
                            </w:pPr>
                            <w:r>
                              <w:t>Achieved p</w:t>
                            </w:r>
                            <w:r w:rsidRPr="006A4E8C">
                              <w:t xml:space="preserve">atient satisfaction </w:t>
                            </w:r>
                            <w:r>
                              <w:t xml:space="preserve">levels comparable to </w:t>
                            </w:r>
                            <w:r w:rsidRPr="006A4E8C">
                              <w:t>similar hospital-based clinics</w:t>
                            </w:r>
                          </w:p>
                          <w:p w14:paraId="55E3B12A" w14:textId="257ED7E1" w:rsidR="00F23DDF" w:rsidRDefault="00F23DDF" w:rsidP="006A4E8C">
                            <w:pPr>
                              <w:pStyle w:val="Bullet1"/>
                            </w:pPr>
                            <w:r>
                              <w:t xml:space="preserve">Achieved high satisfaction ratings of the service from </w:t>
                            </w:r>
                            <w:r w:rsidRPr="006A4E8C">
                              <w:t>GPs</w:t>
                            </w:r>
                          </w:p>
                          <w:p w14:paraId="0E2CA5C3" w14:textId="61DFE734" w:rsidR="00F23DDF" w:rsidRDefault="00F23DDF" w:rsidP="00894B49">
                            <w:pPr>
                              <w:pStyle w:val="Bullet1"/>
                            </w:pPr>
                            <w:r>
                              <w:t>Developed and tested the use of the ‘SMART tool’, a decision aid that converts evidence-based outcome measures into a numeric score to determine the likelihood a patient will not respond to total joint replacement surgery</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" fillcolor="#feead2" strokecolor="#feead2" strokeweight=".5pt">
                <v:textbox inset="5mm,5mm,4mm,1mm">
                  <w:txbxContent>
                    <w:p w14:paraId="14988FB7" w14:textId="514D99A3" w:rsidR="00F23DDF" w:rsidRPr="004D6898" w:rsidRDefault="00F23DDF" w:rsidP="00C7098C">
                      <w:pPr>
                        <w:pStyle w:val="PulloutHeading"/>
                      </w:pPr>
                      <w:r w:rsidRPr="0006051C">
                        <w:t xml:space="preserve">Rapid access musculoskeletal care </w:t>
                      </w:r>
                    </w:p>
                    <w:p w14:paraId="3BCE2E88" w14:textId="2A0FCC33" w:rsidR="00F23DDF" w:rsidRDefault="00F23DDF" w:rsidP="00C7098C">
                      <w:pPr>
                        <w:pStyle w:val="PulloutText"/>
                      </w:pPr>
                      <w:r w:rsidRPr="00186B39">
                        <w:rPr>
                          <w:b/>
                          <w:bCs/>
                        </w:rPr>
                        <w:t>Lead</w:t>
                      </w:r>
                      <w:r>
                        <w:t xml:space="preserve"> </w:t>
                      </w:r>
                      <w:r w:rsidRPr="0006051C">
                        <w:t>St Vincent’s Hospital Melbourne</w:t>
                      </w:r>
                    </w:p>
                    <w:p w14:paraId="6FDBE315" w14:textId="5EFD2639" w:rsidR="00F23DDF" w:rsidRDefault="00F23DDF" w:rsidP="00C7098C">
                      <w:pPr>
                        <w:pStyle w:val="PulloutText"/>
                        <w:rPr>
                          <w:b/>
                          <w:bCs/>
                        </w:rPr>
                      </w:pPr>
                      <w:r w:rsidRPr="00911408">
                        <w:rPr>
                          <w:b/>
                          <w:bCs/>
                        </w:rPr>
                        <w:t>Partner</w:t>
                      </w:r>
                      <w:r>
                        <w:rPr>
                          <w:b/>
                          <w:bCs/>
                        </w:rPr>
                        <w:t xml:space="preserve">s </w:t>
                      </w:r>
                      <w:r w:rsidRPr="0006051C">
                        <w:t>North West Metropolitan Primary Health Network</w:t>
                      </w:r>
                      <w:r>
                        <w:t xml:space="preserve">, </w:t>
                      </w:r>
                      <w:r w:rsidRPr="006A4E8C">
                        <w:t>Merri Health</w:t>
                      </w:r>
                    </w:p>
                    <w:p w14:paraId="59A54D14" w14:textId="52C02A0D" w:rsidR="00F23DDF" w:rsidRPr="0006051C" w:rsidRDefault="00F23DDF" w:rsidP="00C7098C">
                      <w:pPr>
                        <w:pStyle w:val="PulloutText"/>
                      </w:pPr>
                      <w:r>
                        <w:rPr>
                          <w:b/>
                          <w:bCs/>
                        </w:rPr>
                        <w:t xml:space="preserve">Duration </w:t>
                      </w:r>
                      <w:r>
                        <w:t>August 2016 – February 2018</w:t>
                      </w:r>
                    </w:p>
                    <w:p w14:paraId="29DC0549" w14:textId="7327B8A6" w:rsidR="00F23DDF" w:rsidRDefault="00F23DDF" w:rsidP="00C7098C">
                      <w:pPr>
                        <w:pStyle w:val="PulloutText"/>
                        <w:rPr>
                          <w:b/>
                          <w:bCs/>
                        </w:rPr>
                      </w:pPr>
                      <w:r w:rsidRPr="00911408">
                        <w:rPr>
                          <w:b/>
                          <w:bCs/>
                        </w:rPr>
                        <w:t xml:space="preserve">Key </w:t>
                      </w:r>
                      <w:r>
                        <w:rPr>
                          <w:b/>
                          <w:bCs/>
                        </w:rPr>
                        <w:t>outcomes</w:t>
                      </w:r>
                    </w:p>
                    <w:p w14:paraId="66F95A0A" w14:textId="09A91668" w:rsidR="00F23DDF" w:rsidRDefault="00F23DDF" w:rsidP="00894B49">
                      <w:pPr>
                        <w:pStyle w:val="Bullet1"/>
                      </w:pPr>
                      <w:r>
                        <w:t xml:space="preserve">Demonstrated </w:t>
                      </w:r>
                      <w:r w:rsidRPr="00316CF1">
                        <w:t xml:space="preserve">that a </w:t>
                      </w:r>
                      <w:r>
                        <w:t xml:space="preserve">community-based </w:t>
                      </w:r>
                      <w:r w:rsidRPr="00316CF1">
                        <w:t>multidisciplinary specialist clinic can deliver</w:t>
                      </w:r>
                      <w:r>
                        <w:t>:</w:t>
                      </w:r>
                    </w:p>
                    <w:p w14:paraId="07002840" w14:textId="4DFFE418" w:rsidR="00F23DDF" w:rsidRDefault="00F23DDF" w:rsidP="00894B49">
                      <w:pPr>
                        <w:pStyle w:val="Bullet2"/>
                      </w:pPr>
                      <w:r w:rsidRPr="00316CF1">
                        <w:t>a high uptake of ongoing therapy (84</w:t>
                      </w:r>
                      <w:r>
                        <w:t> per cent</w:t>
                      </w:r>
                      <w:r w:rsidRPr="00316CF1">
                        <w:t>)</w:t>
                      </w:r>
                    </w:p>
                    <w:p w14:paraId="2C14C0F8" w14:textId="77777777" w:rsidR="00F23DDF" w:rsidRDefault="00F23DDF" w:rsidP="00894B49">
                      <w:pPr>
                        <w:pStyle w:val="Bullet2"/>
                      </w:pPr>
                      <w:r w:rsidRPr="00316CF1">
                        <w:t>a low (12</w:t>
                      </w:r>
                      <w:r>
                        <w:t xml:space="preserve"> per cent</w:t>
                      </w:r>
                      <w:r w:rsidRPr="00316CF1">
                        <w:t xml:space="preserve">) referral rate to </w:t>
                      </w:r>
                      <w:r>
                        <w:t xml:space="preserve">surgery </w:t>
                      </w:r>
                    </w:p>
                    <w:p w14:paraId="333BB9E5" w14:textId="77777777" w:rsidR="00F23DDF" w:rsidRPr="00911408" w:rsidRDefault="00F23DDF" w:rsidP="00894B49">
                      <w:pPr>
                        <w:pStyle w:val="Bullet2"/>
                      </w:pPr>
                      <w:r>
                        <w:t xml:space="preserve">a </w:t>
                      </w:r>
                      <w:r w:rsidRPr="00316CF1">
                        <w:t>high patient discharge rate from a clinic to the care of a GP</w:t>
                      </w:r>
                    </w:p>
                    <w:p w14:paraId="2F127D25" w14:textId="68F0B3D6" w:rsidR="00F23DDF" w:rsidRDefault="00F23DDF" w:rsidP="006A4E8C">
                      <w:pPr>
                        <w:pStyle w:val="Bullet1"/>
                      </w:pPr>
                      <w:r>
                        <w:t>Achieved p</w:t>
                      </w:r>
                      <w:r w:rsidRPr="006A4E8C">
                        <w:t xml:space="preserve">atient satisfaction </w:t>
                      </w:r>
                      <w:r>
                        <w:t xml:space="preserve">levels comparable to </w:t>
                      </w:r>
                      <w:r w:rsidRPr="006A4E8C">
                        <w:t>similar hospital-based clinics</w:t>
                      </w:r>
                    </w:p>
                    <w:p w14:paraId="55E3B12A" w14:textId="257ED7E1" w:rsidR="00F23DDF" w:rsidRDefault="00F23DDF" w:rsidP="006A4E8C">
                      <w:pPr>
                        <w:pStyle w:val="Bullet1"/>
                      </w:pPr>
                      <w:r>
                        <w:t xml:space="preserve">Achieved high satisfaction ratings of the service from </w:t>
                      </w:r>
                      <w:r w:rsidRPr="006A4E8C">
                        <w:t>GPs</w:t>
                      </w:r>
                    </w:p>
                    <w:p w14:paraId="0E2CA5C3" w14:textId="61DFE734" w:rsidR="00F23DDF" w:rsidRDefault="00F23DDF" w:rsidP="00894B49">
                      <w:pPr>
                        <w:pStyle w:val="Bullet1"/>
                      </w:pPr>
                      <w:r>
                        <w:t>Developed and tested the use of the ‘SMART tool’, a decision aid that converts evidence-based outcome measures into a numeric score to determine the likelihood a patient will not respond to total joint replacement surgery</w:t>
                      </w:r>
                    </w:p>
                  </w:txbxContent>
                </v:textbox>
                <w10:anchorlock/>
              </v:shape>
            </w:pict>
          </mc:Fallback>
        </mc:AlternateContent>
      </w:r>
      <w:r w:rsidR="00E41D82">
        <w:br w:type="page"/>
      </w:r>
    </w:p>
    <w:p w14:paraId="3DA60E98" w14:textId="68199D41" w:rsidR="00794CB7" w:rsidRDefault="006512FE" w:rsidP="004A4ED0">
      <w:pPr>
        <w:pStyle w:val="Heading2"/>
      </w:pPr>
      <w:r>
        <w:lastRenderedPageBreak/>
        <w:t>Key activity</w:t>
      </w:r>
    </w:p>
    <w:p w14:paraId="55E3F548" w14:textId="18DFB497" w:rsidR="00004A4B" w:rsidRDefault="00004A4B" w:rsidP="00004A4B">
      <w:pPr>
        <w:pStyle w:val="Normalfollowingheading"/>
      </w:pPr>
      <w:r>
        <w:t xml:space="preserve">The project was conducted </w:t>
      </w:r>
      <w:r w:rsidR="0059369F">
        <w:t xml:space="preserve">in inner-city Melbourne </w:t>
      </w:r>
      <w:r>
        <w:t>and</w:t>
      </w:r>
      <w:r w:rsidR="0059369F">
        <w:t xml:space="preserve"> </w:t>
      </w:r>
      <w:r>
        <w:t>implemented in two phases.</w:t>
      </w:r>
    </w:p>
    <w:p w14:paraId="13BBEEC5" w14:textId="05CB05A8" w:rsidR="00004A4B" w:rsidRDefault="00004A4B" w:rsidP="00004A4B">
      <w:pPr>
        <w:pStyle w:val="Heading3"/>
      </w:pPr>
      <w:r>
        <w:t xml:space="preserve">Phase one – RAPID clinic </w:t>
      </w:r>
    </w:p>
    <w:p w14:paraId="27F7ED95" w14:textId="3D74BCF7" w:rsidR="008F35A4" w:rsidRDefault="0010153A" w:rsidP="0032643A">
      <w:pPr>
        <w:pStyle w:val="Normalfollowingheading"/>
      </w:pPr>
      <w:r>
        <w:t>A short-term rapid assessment (RAPID) clinic</w:t>
      </w:r>
      <w:r w:rsidR="00D30ED5">
        <w:t xml:space="preserve"> </w:t>
      </w:r>
      <w:r w:rsidR="008F35A4">
        <w:t xml:space="preserve">ran from October to December 2016 </w:t>
      </w:r>
      <w:r w:rsidR="00D30ED5">
        <w:t>from the SVHM’s Fitzroy campus</w:t>
      </w:r>
      <w:r>
        <w:t xml:space="preserve"> with </w:t>
      </w:r>
      <w:r w:rsidR="008F35A4">
        <w:t>the aim of:</w:t>
      </w:r>
    </w:p>
    <w:p w14:paraId="5CF9D6C2" w14:textId="2AC7B996" w:rsidR="008F35A4" w:rsidRDefault="008F35A4" w:rsidP="0032643A">
      <w:pPr>
        <w:pStyle w:val="Bullet1"/>
      </w:pPr>
      <w:r>
        <w:t xml:space="preserve">testing components of </w:t>
      </w:r>
      <w:r w:rsidR="009D3D4E">
        <w:t xml:space="preserve">the </w:t>
      </w:r>
      <w:r>
        <w:t xml:space="preserve">new </w:t>
      </w:r>
      <w:r w:rsidR="002E07AD">
        <w:t xml:space="preserve">specialist clinic </w:t>
      </w:r>
      <w:r>
        <w:t xml:space="preserve">model of care prior to </w:t>
      </w:r>
      <w:r w:rsidR="009D3D4E">
        <w:t xml:space="preserve">its </w:t>
      </w:r>
      <w:r>
        <w:t xml:space="preserve">launch in </w:t>
      </w:r>
      <w:r w:rsidR="002E07AD">
        <w:t xml:space="preserve">a </w:t>
      </w:r>
      <w:r>
        <w:t>community</w:t>
      </w:r>
      <w:r w:rsidR="002E07AD">
        <w:t xml:space="preserve"> location</w:t>
      </w:r>
      <w:r>
        <w:t xml:space="preserve"> </w:t>
      </w:r>
    </w:p>
    <w:p w14:paraId="6A29827F" w14:textId="2223C5EE" w:rsidR="008F35A4" w:rsidRDefault="008F35A4" w:rsidP="0032643A">
      <w:pPr>
        <w:pStyle w:val="Bullet1"/>
      </w:pPr>
      <w:r>
        <w:t>reduc</w:t>
      </w:r>
      <w:r w:rsidR="0010153A">
        <w:t>ing</w:t>
      </w:r>
      <w:r>
        <w:t xml:space="preserve"> </w:t>
      </w:r>
      <w:r w:rsidR="002E07AD">
        <w:t xml:space="preserve">SVHM </w:t>
      </w:r>
      <w:r>
        <w:t>specialist clinic wait list</w:t>
      </w:r>
      <w:r w:rsidR="002E07AD">
        <w:t>s</w:t>
      </w:r>
      <w:r>
        <w:t>.</w:t>
      </w:r>
    </w:p>
    <w:p w14:paraId="13382C1F" w14:textId="5959C92F" w:rsidR="007021CC" w:rsidRDefault="008F35A4" w:rsidP="0032643A">
      <w:r>
        <w:t xml:space="preserve">The RAPID clinic was </w:t>
      </w:r>
      <w:r w:rsidR="007021CC">
        <w:t>run by six a</w:t>
      </w:r>
      <w:r w:rsidR="007021CC" w:rsidRPr="007021CC">
        <w:t xml:space="preserve">dvance </w:t>
      </w:r>
      <w:r w:rsidR="007021CC">
        <w:t>p</w:t>
      </w:r>
      <w:r w:rsidR="007021CC" w:rsidRPr="007021CC">
        <w:t xml:space="preserve">ractice </w:t>
      </w:r>
      <w:r w:rsidR="007021CC">
        <w:t>m</w:t>
      </w:r>
      <w:r w:rsidR="007021CC" w:rsidRPr="007021CC">
        <w:t xml:space="preserve">usculoskeletal </w:t>
      </w:r>
      <w:r w:rsidR="007021CC">
        <w:t>p</w:t>
      </w:r>
      <w:r w:rsidR="007021CC" w:rsidRPr="007021CC">
        <w:t>hysiotherapists</w:t>
      </w:r>
      <w:r w:rsidR="007021CC">
        <w:t xml:space="preserve"> (AMP) </w:t>
      </w:r>
      <w:r w:rsidR="009D0DED">
        <w:t xml:space="preserve">two days </w:t>
      </w:r>
      <w:r>
        <w:t xml:space="preserve">a </w:t>
      </w:r>
      <w:r w:rsidR="009D0DED">
        <w:t>week</w:t>
      </w:r>
      <w:r w:rsidR="007021CC">
        <w:t>,</w:t>
      </w:r>
      <w:r w:rsidR="009D0DED">
        <w:t xml:space="preserve"> with an orthopaedic surgeon </w:t>
      </w:r>
      <w:r w:rsidR="007021CC">
        <w:t xml:space="preserve">available for </w:t>
      </w:r>
      <w:r w:rsidR="009D0DED">
        <w:t xml:space="preserve">one hour </w:t>
      </w:r>
      <w:r w:rsidR="007021CC">
        <w:t xml:space="preserve">during </w:t>
      </w:r>
      <w:r w:rsidR="009D0DED">
        <w:t xml:space="preserve">each clinic. </w:t>
      </w:r>
    </w:p>
    <w:p w14:paraId="02468C0A" w14:textId="4EFDD0A5" w:rsidR="008F35A4" w:rsidRDefault="008F35A4" w:rsidP="002038E4">
      <w:pPr>
        <w:pStyle w:val="Normalfollowingheading"/>
      </w:pPr>
      <w:r>
        <w:t xml:space="preserve">The clinic saw patients aged over 40 years who were waiting for a non-urgent specialist appointment for a knee-related problem. Eligible patients were contacted via phone and offered their choice of an in-person or telehealth appointment. </w:t>
      </w:r>
    </w:p>
    <w:p w14:paraId="7C95198A" w14:textId="6BE3D07A" w:rsidR="008F35A4" w:rsidRDefault="0032643A" w:rsidP="0032643A">
      <w:pPr>
        <w:pStyle w:val="Normalfollowingheading"/>
      </w:pPr>
      <w:r>
        <w:t>In the clinic, p</w:t>
      </w:r>
      <w:r w:rsidR="008F35A4">
        <w:t xml:space="preserve">atients received an advanced OA assessment from an AMP. </w:t>
      </w:r>
      <w:r w:rsidR="005C4188">
        <w:t xml:space="preserve">When </w:t>
      </w:r>
      <w:r w:rsidR="008F35A4">
        <w:t xml:space="preserve">further assessment </w:t>
      </w:r>
      <w:r w:rsidR="005C4188">
        <w:t xml:space="preserve">was needed </w:t>
      </w:r>
      <w:r w:rsidR="008F35A4">
        <w:t xml:space="preserve">to identify </w:t>
      </w:r>
      <w:r w:rsidR="002E07AD">
        <w:t xml:space="preserve">optimal </w:t>
      </w:r>
      <w:r w:rsidR="008F35A4">
        <w:t>treatment</w:t>
      </w:r>
      <w:r w:rsidR="005C4188">
        <w:t xml:space="preserve">, the patient was </w:t>
      </w:r>
      <w:r w:rsidR="008F35A4">
        <w:t>reviewed by the orthopaedic surgeon</w:t>
      </w:r>
      <w:r w:rsidR="005C4188">
        <w:t xml:space="preserve"> </w:t>
      </w:r>
      <w:r w:rsidR="008F35A4">
        <w:t xml:space="preserve">either directly or via a case review between the AMP and the surgeon. </w:t>
      </w:r>
    </w:p>
    <w:p w14:paraId="06D1FD2C" w14:textId="4ADC345B" w:rsidR="00004A4B" w:rsidRDefault="00004A4B" w:rsidP="00004A4B">
      <w:pPr>
        <w:pStyle w:val="Heading3"/>
      </w:pPr>
      <w:r>
        <w:t xml:space="preserve">Phase two – COMET clinic </w:t>
      </w:r>
    </w:p>
    <w:p w14:paraId="0638925C" w14:textId="2F485D20" w:rsidR="00733172" w:rsidRDefault="00733172" w:rsidP="00624FD0">
      <w:pPr>
        <w:pStyle w:val="Normalfollowingheading"/>
      </w:pPr>
      <w:r>
        <w:t>Building on the information gained from the first phase, SVHM and the North West Melbourne Primary Health Network established a specialist OA clinic at Merri Health, a metropolitan community health service in Brunswick</w:t>
      </w:r>
      <w:r w:rsidR="00191EB7">
        <w:t>, that included coordination of non-surgical management</w:t>
      </w:r>
      <w:r>
        <w:t>.</w:t>
      </w:r>
    </w:p>
    <w:p w14:paraId="413289F1" w14:textId="77777777" w:rsidR="00BB0065" w:rsidRDefault="00624FD0" w:rsidP="00BB0065">
      <w:pPr>
        <w:pStyle w:val="Normalfollowingheading"/>
      </w:pPr>
      <w:r>
        <w:t xml:space="preserve">The COMET clinic was </w:t>
      </w:r>
      <w:r w:rsidR="00D502B9">
        <w:t xml:space="preserve">conducted once </w:t>
      </w:r>
      <w:r w:rsidR="00BB0065">
        <w:t xml:space="preserve">a </w:t>
      </w:r>
      <w:r w:rsidR="00D502B9">
        <w:t xml:space="preserve">week </w:t>
      </w:r>
      <w:r>
        <w:t>from April to December 2017</w:t>
      </w:r>
      <w:r w:rsidR="00BB0065">
        <w:t xml:space="preserve">. It </w:t>
      </w:r>
      <w:r w:rsidR="00733172">
        <w:t xml:space="preserve">was </w:t>
      </w:r>
      <w:r w:rsidR="00D502B9">
        <w:t>staffed by AMPs,</w:t>
      </w:r>
      <w:r w:rsidR="004066D6">
        <w:t xml:space="preserve"> general practitioners (</w:t>
      </w:r>
      <w:r w:rsidR="00D502B9">
        <w:t>GPs</w:t>
      </w:r>
      <w:r w:rsidR="004066D6">
        <w:t>)</w:t>
      </w:r>
      <w:r w:rsidR="00D502B9">
        <w:t>, a dietician, a care coordinator, an administration officer</w:t>
      </w:r>
      <w:r w:rsidR="00733172">
        <w:t>,</w:t>
      </w:r>
      <w:r w:rsidR="00D502B9">
        <w:t xml:space="preserve"> </w:t>
      </w:r>
      <w:r w:rsidR="00BB0065">
        <w:t xml:space="preserve">and </w:t>
      </w:r>
      <w:r w:rsidR="00D502B9">
        <w:t xml:space="preserve">an orthopaedic surgeon who visited once a month for one hour. </w:t>
      </w:r>
      <w:r w:rsidR="00126185">
        <w:t xml:space="preserve">The care coordinator </w:t>
      </w:r>
      <w:r w:rsidR="00BB0065">
        <w:t xml:space="preserve">role </w:t>
      </w:r>
      <w:r w:rsidR="00126185" w:rsidRPr="00126185">
        <w:t>facilitated timely, streamlined access to non-surgical management and support</w:t>
      </w:r>
      <w:r w:rsidR="00126185">
        <w:t>.</w:t>
      </w:r>
    </w:p>
    <w:p w14:paraId="74B5F8C7" w14:textId="77777777" w:rsidR="00BB0065" w:rsidRDefault="00733172" w:rsidP="00BB0065">
      <w:pPr>
        <w:pStyle w:val="Normalfollowingheading"/>
      </w:pPr>
      <w:r>
        <w:t>The clinic saw patients from northwest Melbourne who were aged over 40 years and who had a knee problem caused by OA.</w:t>
      </w:r>
      <w:r w:rsidR="00191EB7">
        <w:t xml:space="preserve"> </w:t>
      </w:r>
    </w:p>
    <w:p w14:paraId="39733879" w14:textId="649C4AFB" w:rsidR="00D502B9" w:rsidRDefault="00BB0065" w:rsidP="00BB0065">
      <w:pPr>
        <w:pStyle w:val="Normalfollowingheading"/>
      </w:pPr>
      <w:r>
        <w:t xml:space="preserve">Referrals came direct from </w:t>
      </w:r>
      <w:r w:rsidR="00733172">
        <w:t>GP</w:t>
      </w:r>
      <w:r w:rsidR="0038160F">
        <w:t>s as well as</w:t>
      </w:r>
      <w:r w:rsidR="00624FD0">
        <w:t xml:space="preserve"> from existing SVHM orthopaedic and OA knee and hip service (OAKHS) clinics</w:t>
      </w:r>
      <w:r w:rsidR="00D502B9">
        <w:t xml:space="preserve">. </w:t>
      </w:r>
    </w:p>
    <w:p w14:paraId="2F034012" w14:textId="65507798" w:rsidR="00624FD0" w:rsidRDefault="00D502B9" w:rsidP="00D502B9">
      <w:pPr>
        <w:pStyle w:val="Normalfollowingheading"/>
      </w:pPr>
      <w:r>
        <w:t xml:space="preserve">Patients had to </w:t>
      </w:r>
      <w:r w:rsidR="0038160F">
        <w:t xml:space="preserve">bring </w:t>
      </w:r>
      <w:r w:rsidR="002038E4">
        <w:t xml:space="preserve">to their initial consultation </w:t>
      </w:r>
      <w:r w:rsidR="0038160F">
        <w:t xml:space="preserve">a recent knee x-ray and </w:t>
      </w:r>
      <w:r>
        <w:t xml:space="preserve">two </w:t>
      </w:r>
      <w:r w:rsidR="002038E4">
        <w:t xml:space="preserve">completed </w:t>
      </w:r>
      <w:r>
        <w:t>questionnaires self-assess</w:t>
      </w:r>
      <w:r w:rsidR="002038E4">
        <w:t>ing</w:t>
      </w:r>
      <w:r>
        <w:t xml:space="preserve"> their general health and the condition of their knee. </w:t>
      </w:r>
    </w:p>
    <w:p w14:paraId="60B11668" w14:textId="7AD68E7F" w:rsidR="002038E4" w:rsidRDefault="00BB0065" w:rsidP="00FA460E">
      <w:pPr>
        <w:pStyle w:val="Normalfollowingheading"/>
      </w:pPr>
      <w:r>
        <w:t xml:space="preserve">Appointments were booked interchangeably with a </w:t>
      </w:r>
      <w:r w:rsidR="00D502B9">
        <w:t>GP or AMP</w:t>
      </w:r>
      <w:r>
        <w:t xml:space="preserve">, </w:t>
      </w:r>
      <w:r w:rsidR="00733172">
        <w:t xml:space="preserve">and a care plan </w:t>
      </w:r>
      <w:r>
        <w:t xml:space="preserve">was </w:t>
      </w:r>
      <w:r w:rsidR="00733172">
        <w:t>developed</w:t>
      </w:r>
      <w:r>
        <w:t xml:space="preserve"> depending on the individual’s needs</w:t>
      </w:r>
      <w:r w:rsidR="0038160F">
        <w:t>. Patients who were recommended both surgical and non-surgical management</w:t>
      </w:r>
      <w:r w:rsidR="0038160F" w:rsidRPr="003335C4">
        <w:t xml:space="preserve"> </w:t>
      </w:r>
      <w:r w:rsidR="0038160F">
        <w:t xml:space="preserve">were advised </w:t>
      </w:r>
      <w:r w:rsidR="003335C4" w:rsidRPr="003335C4">
        <w:t>to continue or commence therapy while waiting for a surgical decision</w:t>
      </w:r>
      <w:r w:rsidR="002038E4">
        <w:t xml:space="preserve"> to maximise health outcomes</w:t>
      </w:r>
      <w:r w:rsidR="003335C4" w:rsidRPr="003335C4">
        <w:t>.</w:t>
      </w:r>
      <w:r w:rsidR="00FA460E">
        <w:t xml:space="preserve"> </w:t>
      </w:r>
    </w:p>
    <w:p w14:paraId="0761983B" w14:textId="7FEB2334" w:rsidR="003335C4" w:rsidRPr="003335C4" w:rsidRDefault="00BB0065" w:rsidP="00FA460E">
      <w:pPr>
        <w:pStyle w:val="Normalfollowingheading"/>
      </w:pPr>
      <w:r>
        <w:t>P</w:t>
      </w:r>
      <w:r w:rsidR="00FA460E">
        <w:t>atient</w:t>
      </w:r>
      <w:r>
        <w:t>s</w:t>
      </w:r>
      <w:r w:rsidR="00FA460E">
        <w:t xml:space="preserve"> </w:t>
      </w:r>
      <w:r w:rsidR="000476C0">
        <w:t>were</w:t>
      </w:r>
      <w:r w:rsidR="00FA460E">
        <w:t xml:space="preserve"> directed to further appointments with the dietician or care coordinator at the COMET clinic</w:t>
      </w:r>
      <w:r w:rsidR="006F12AC">
        <w:t>,</w:t>
      </w:r>
      <w:r w:rsidR="0038160F">
        <w:t xml:space="preserve"> </w:t>
      </w:r>
      <w:r w:rsidR="000476C0">
        <w:t>or with</w:t>
      </w:r>
      <w:r w:rsidR="006F12AC">
        <w:t xml:space="preserve"> a</w:t>
      </w:r>
      <w:r w:rsidR="000476C0">
        <w:t xml:space="preserve"> clinician closer to home</w:t>
      </w:r>
      <w:r w:rsidR="006F12AC">
        <w:t>,</w:t>
      </w:r>
      <w:r w:rsidR="000476C0">
        <w:t xml:space="preserve"> </w:t>
      </w:r>
      <w:r w:rsidR="0038160F">
        <w:t>for non-surgical management</w:t>
      </w:r>
      <w:r w:rsidR="002038E4">
        <w:t xml:space="preserve"> as appropriate</w:t>
      </w:r>
      <w:r w:rsidR="00FA460E">
        <w:t xml:space="preserve">. </w:t>
      </w:r>
    </w:p>
    <w:p w14:paraId="6376CFEC" w14:textId="184E82D2" w:rsidR="00553D60" w:rsidRDefault="00553D60" w:rsidP="007E576F">
      <w:pPr>
        <w:pStyle w:val="Heading3"/>
      </w:pPr>
      <w:r>
        <w:t>Other initiatives</w:t>
      </w:r>
    </w:p>
    <w:p w14:paraId="3EFAA1C8" w14:textId="7AB290A1" w:rsidR="00985905" w:rsidRDefault="00985905" w:rsidP="00004A4B">
      <w:pPr>
        <w:pStyle w:val="Bullet1"/>
      </w:pPr>
      <w:r>
        <w:t xml:space="preserve">The project included development of the </w:t>
      </w:r>
      <w:r w:rsidRPr="00AC75FE">
        <w:rPr>
          <w:b/>
          <w:bCs/>
        </w:rPr>
        <w:t>S</w:t>
      </w:r>
      <w:r w:rsidRPr="00985905">
        <w:t xml:space="preserve">t Vincent’s </w:t>
      </w:r>
      <w:r w:rsidRPr="00AC75FE">
        <w:rPr>
          <w:b/>
          <w:bCs/>
        </w:rPr>
        <w:t>M</w:t>
      </w:r>
      <w:r w:rsidRPr="00985905">
        <w:t xml:space="preserve">elbourne </w:t>
      </w:r>
      <w:r w:rsidRPr="00AC75FE">
        <w:rPr>
          <w:b/>
          <w:bCs/>
        </w:rPr>
        <w:t>Art</w:t>
      </w:r>
      <w:r w:rsidRPr="00985905">
        <w:t>hroplasty</w:t>
      </w:r>
      <w:r>
        <w:t xml:space="preserve"> (SMART) tool</w:t>
      </w:r>
      <w:r w:rsidR="00BB0065">
        <w:t xml:space="preserve">, a </w:t>
      </w:r>
      <w:r>
        <w:t xml:space="preserve">web-based </w:t>
      </w:r>
      <w:r w:rsidR="00004A4B">
        <w:t>decision</w:t>
      </w:r>
      <w:r w:rsidR="007E576F">
        <w:t>-</w:t>
      </w:r>
      <w:r w:rsidR="00004A4B">
        <w:t>making aid</w:t>
      </w:r>
      <w:r w:rsidR="007E576F">
        <w:t xml:space="preserve"> </w:t>
      </w:r>
      <w:r w:rsidR="00103F90">
        <w:t>used in the COMET clinic</w:t>
      </w:r>
      <w:r w:rsidR="00BB0065">
        <w:t xml:space="preserve">. The tool </w:t>
      </w:r>
      <w:r>
        <w:t>helped determine the probability a patient with OA would benefit from total joint replacement surgery</w:t>
      </w:r>
      <w:r w:rsidR="00103F90">
        <w:t xml:space="preserve">. This was </w:t>
      </w:r>
      <w:r>
        <w:t xml:space="preserve">based on data </w:t>
      </w:r>
      <w:r w:rsidR="00BB0065">
        <w:t>entered by the administration officer</w:t>
      </w:r>
      <w:r w:rsidR="006F12AC">
        <w:t>,</w:t>
      </w:r>
      <w:r w:rsidR="00BB0065">
        <w:t xml:space="preserve"> </w:t>
      </w:r>
      <w:r w:rsidR="000476C0">
        <w:t>including</w:t>
      </w:r>
      <w:r>
        <w:t xml:space="preserve"> </w:t>
      </w:r>
      <w:r w:rsidRPr="00985905">
        <w:t xml:space="preserve">the patient's body mass index score, information from </w:t>
      </w:r>
      <w:r>
        <w:t xml:space="preserve">the </w:t>
      </w:r>
      <w:r w:rsidRPr="00985905">
        <w:t>two pre-consultation questionnaires, and from the patient's knee x-ray.</w:t>
      </w:r>
      <w:r>
        <w:t xml:space="preserve"> </w:t>
      </w:r>
    </w:p>
    <w:p w14:paraId="3B109285" w14:textId="0669EE34" w:rsidR="00366D65" w:rsidRDefault="006F12AC" w:rsidP="00004A4B">
      <w:pPr>
        <w:pStyle w:val="Bullet1"/>
      </w:pPr>
      <w:r>
        <w:t xml:space="preserve">The </w:t>
      </w:r>
      <w:r w:rsidR="00985905">
        <w:t>Good Life with OA in Denmark (GLA:D) program</w:t>
      </w:r>
      <w:r>
        <w:t xml:space="preserve"> was reviewed and subsequently introduced. GLA:D is </w:t>
      </w:r>
      <w:r w:rsidR="00985905">
        <w:t>an internationally recognised, evidence-based program developed in Denmark that aimed to improve health outcomes for OA patients through education and exercise delivered by a certified physiotherapist.</w:t>
      </w:r>
    </w:p>
    <w:p w14:paraId="04E0243A" w14:textId="46FC5F4D" w:rsidR="00366D65" w:rsidRDefault="00366D65" w:rsidP="00366D65">
      <w:r>
        <w:rPr>
          <w:noProof/>
        </w:rPr>
        <w:drawing>
          <wp:inline distT="0" distB="0" distL="0" distR="0" wp14:anchorId="5AE0EF6D" wp14:editId="1F74BDC0">
            <wp:extent cx="3221990" cy="1781175"/>
            <wp:effectExtent l="0" t="0" r="0" b="9525"/>
            <wp:docPr id="6" name="Picture 6" descr="A taped knee being examined by two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nee-2768834_1920.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221990" cy="1781175"/>
                    </a:xfrm>
                    <a:prstGeom prst="rect">
                      <a:avLst/>
                    </a:prstGeom>
                    <a:ln>
                      <a:noFill/>
                    </a:ln>
                    <a:extLst>
                      <a:ext uri="{53640926-AAD7-44D8-BBD7-CCE9431645EC}">
                        <a14:shadowObscured xmlns:a14="http://schemas.microsoft.com/office/drawing/2010/main"/>
                      </a:ext>
                    </a:extLst>
                  </pic:spPr>
                </pic:pic>
              </a:graphicData>
            </a:graphic>
          </wp:inline>
        </w:drawing>
      </w:r>
    </w:p>
    <w:p w14:paraId="1068E3E6" w14:textId="30DA2029" w:rsidR="00366D65" w:rsidRDefault="00366D65" w:rsidP="00366D65">
      <w:pPr>
        <w:pStyle w:val="Bullet1"/>
        <w:numPr>
          <w:ilvl w:val="0"/>
          <w:numId w:val="0"/>
        </w:numPr>
        <w:sectPr w:rsidR="00366D65" w:rsidSect="003D596D">
          <w:footerReference w:type="default" r:id="rId12"/>
          <w:type w:val="continuous"/>
          <w:pgSz w:w="11906" w:h="16838" w:code="9"/>
          <w:pgMar w:top="2438" w:right="737" w:bottom="680" w:left="737" w:header="539" w:footer="624" w:gutter="0"/>
          <w:cols w:num="2" w:space="284"/>
          <w:docGrid w:linePitch="360"/>
        </w:sectPr>
      </w:pPr>
    </w:p>
    <w:p w14:paraId="4DCFB341" w14:textId="52061064" w:rsidR="002B5C34" w:rsidRPr="00F80A39" w:rsidRDefault="00435805" w:rsidP="00365461">
      <w:pPr>
        <w:pStyle w:val="Heading2"/>
        <w:spacing w:before="0"/>
      </w:pPr>
      <w:r>
        <w:lastRenderedPageBreak/>
        <w:t>O</w:t>
      </w:r>
      <w:r w:rsidR="009B1BBA" w:rsidRPr="00F80A39">
        <w:t>utcomes</w:t>
      </w:r>
    </w:p>
    <w:p w14:paraId="2FD2FABE" w14:textId="29006C99" w:rsidR="00665765" w:rsidRDefault="00665765" w:rsidP="00800BF2">
      <w:pPr>
        <w:pStyle w:val="Heading3"/>
      </w:pPr>
      <w:r>
        <w:t>RAPID clinic</w:t>
      </w:r>
    </w:p>
    <w:p w14:paraId="49B1C763" w14:textId="7F6339F7" w:rsidR="00D8416D" w:rsidRPr="00CD71C4" w:rsidRDefault="00800BF2" w:rsidP="00CD71C4">
      <w:pPr>
        <w:pStyle w:val="Bullet1"/>
      </w:pPr>
      <w:r w:rsidRPr="00CD71C4">
        <w:t>S</w:t>
      </w:r>
      <w:r w:rsidR="002736CE" w:rsidRPr="00CD71C4">
        <w:t xml:space="preserve">aw </w:t>
      </w:r>
      <w:r w:rsidR="00665765" w:rsidRPr="00CD71C4">
        <w:t>316 patients</w:t>
      </w:r>
      <w:r w:rsidR="002736CE" w:rsidRPr="00CD71C4">
        <w:t xml:space="preserve">, providing them with more </w:t>
      </w:r>
      <w:r w:rsidR="00665765" w:rsidRPr="00CD71C4">
        <w:t>timely access to assessment</w:t>
      </w:r>
      <w:r w:rsidR="002736CE" w:rsidRPr="00CD71C4">
        <w:t xml:space="preserve"> and </w:t>
      </w:r>
      <w:r w:rsidR="00374632" w:rsidRPr="00CD71C4">
        <w:t>treatment/management</w:t>
      </w:r>
      <w:r w:rsidR="00550D45" w:rsidRPr="00CD71C4">
        <w:t xml:space="preserve">. </w:t>
      </w:r>
    </w:p>
    <w:p w14:paraId="3589355F" w14:textId="305A8835" w:rsidR="008D0B40" w:rsidRPr="00CD71C4" w:rsidRDefault="008D0B40" w:rsidP="00CD71C4">
      <w:pPr>
        <w:pStyle w:val="Bullet1"/>
      </w:pPr>
      <w:r w:rsidRPr="00CD71C4">
        <w:t xml:space="preserve">172 </w:t>
      </w:r>
      <w:r w:rsidR="00374632" w:rsidRPr="00CD71C4">
        <w:t xml:space="preserve">patients </w:t>
      </w:r>
      <w:r w:rsidRPr="00CD71C4">
        <w:t>were discharged to their GP for ongoing non-surgical management</w:t>
      </w:r>
      <w:r w:rsidR="00550D45" w:rsidRPr="00CD71C4">
        <w:t xml:space="preserve">, </w:t>
      </w:r>
      <w:r w:rsidRPr="00CD71C4">
        <w:t>112 were referred to orthopaedic clinics for surgical opinion</w:t>
      </w:r>
      <w:r w:rsidR="00550D45" w:rsidRPr="00CD71C4">
        <w:t xml:space="preserve">, and </w:t>
      </w:r>
      <w:r w:rsidRPr="00CD71C4">
        <w:t>42 were referred to other specialist clinics, mainly for non-surgical management</w:t>
      </w:r>
      <w:r w:rsidR="00550D45" w:rsidRPr="00CD71C4">
        <w:t>.</w:t>
      </w:r>
    </w:p>
    <w:p w14:paraId="0B39E23B" w14:textId="70F5F85B" w:rsidR="00E27629" w:rsidRPr="00CD71C4" w:rsidRDefault="00E27629" w:rsidP="00CD71C4">
      <w:pPr>
        <w:pStyle w:val="Bullet1"/>
      </w:pPr>
      <w:r w:rsidRPr="00CD71C4">
        <w:t xml:space="preserve">Overall, 5 per cent of the patients </w:t>
      </w:r>
      <w:r w:rsidR="00800BF2" w:rsidRPr="00CD71C4">
        <w:t xml:space="preserve">seen </w:t>
      </w:r>
      <w:r w:rsidRPr="00CD71C4">
        <w:t xml:space="preserve">at the RAPID clinic went on to have </w:t>
      </w:r>
      <w:r w:rsidR="00800BF2" w:rsidRPr="00CD71C4">
        <w:t xml:space="preserve">joint replacement </w:t>
      </w:r>
      <w:r w:rsidRPr="00CD71C4">
        <w:t>surgery and 4 per cent resulted in other orthopaedic procedures including arthroscopy</w:t>
      </w:r>
      <w:r w:rsidR="00800BF2" w:rsidRPr="00CD71C4">
        <w:t xml:space="preserve">. </w:t>
      </w:r>
    </w:p>
    <w:p w14:paraId="0C7A82DC" w14:textId="28899CC9" w:rsidR="00800BF2" w:rsidRPr="00CD71C4" w:rsidRDefault="00800BF2" w:rsidP="00CD71C4">
      <w:pPr>
        <w:pStyle w:val="Bullet1"/>
      </w:pPr>
      <w:r w:rsidRPr="00CD71C4">
        <w:t xml:space="preserve">The specialist clinic wait list was reduced by </w:t>
      </w:r>
      <w:r w:rsidR="00B2343F" w:rsidRPr="00CD71C4">
        <w:t>75</w:t>
      </w:r>
      <w:r w:rsidR="00365461">
        <w:t> </w:t>
      </w:r>
      <w:r w:rsidR="00B2343F" w:rsidRPr="00CD71C4">
        <w:t>per</w:t>
      </w:r>
      <w:r w:rsidR="00365461">
        <w:t> </w:t>
      </w:r>
      <w:r w:rsidR="00B2343F" w:rsidRPr="00CD71C4">
        <w:t>cent for patients over 40 years of age</w:t>
      </w:r>
      <w:r w:rsidRPr="00CD71C4">
        <w:t>. This included the removal of 247 patients who no longer needed an appointment.</w:t>
      </w:r>
    </w:p>
    <w:p w14:paraId="5AF786D1" w14:textId="0483864F" w:rsidR="002736CE" w:rsidRPr="00CD71C4" w:rsidRDefault="00241A7B" w:rsidP="00CD71C4">
      <w:pPr>
        <w:pStyle w:val="Bullet1"/>
      </w:pPr>
      <w:r w:rsidRPr="00CD71C4">
        <w:t xml:space="preserve">93 per cent </w:t>
      </w:r>
      <w:r w:rsidR="00F50E44" w:rsidRPr="00CD71C4">
        <w:t xml:space="preserve">of patients surveyed </w:t>
      </w:r>
      <w:r w:rsidRPr="00CD71C4">
        <w:t xml:space="preserve">said they were satisfied or very satisfied with the care received </w:t>
      </w:r>
      <w:r w:rsidR="00972D82" w:rsidRPr="00CD71C4">
        <w:t>and 90 per cent said they had a clear plan for managing their health condition</w:t>
      </w:r>
      <w:r w:rsidR="007A5274" w:rsidRPr="00CD71C4">
        <w:t>.</w:t>
      </w:r>
    </w:p>
    <w:p w14:paraId="38AC0977" w14:textId="436C9A7E" w:rsidR="005B2BE0" w:rsidRDefault="005B2BE0" w:rsidP="00800BF2">
      <w:pPr>
        <w:pStyle w:val="Heading3"/>
      </w:pPr>
      <w:r>
        <w:t>COMET clinic</w:t>
      </w:r>
    </w:p>
    <w:p w14:paraId="25EB200D" w14:textId="77777777" w:rsidR="00D8416D" w:rsidRPr="00CD71C4" w:rsidRDefault="00724F30" w:rsidP="00CD71C4">
      <w:pPr>
        <w:pStyle w:val="Bullet1"/>
      </w:pPr>
      <w:r w:rsidRPr="00CD71C4">
        <w:t xml:space="preserve">153 patients were </w:t>
      </w:r>
      <w:r w:rsidR="00F12E10" w:rsidRPr="00CD71C4">
        <w:t>assessed over 32 weekly clinics</w:t>
      </w:r>
      <w:r w:rsidR="00D8416D" w:rsidRPr="00CD71C4">
        <w:t xml:space="preserve">. </w:t>
      </w:r>
    </w:p>
    <w:p w14:paraId="7164D789" w14:textId="4DB219D8" w:rsidR="00D32583" w:rsidRPr="00CD71C4" w:rsidRDefault="0012257C" w:rsidP="00CD71C4">
      <w:pPr>
        <w:pStyle w:val="Bullet1"/>
      </w:pPr>
      <w:r w:rsidRPr="00CD71C4">
        <w:t xml:space="preserve">53 </w:t>
      </w:r>
      <w:r w:rsidR="00F12E10" w:rsidRPr="00CD71C4">
        <w:t xml:space="preserve">patients received a dietitian </w:t>
      </w:r>
      <w:r w:rsidR="00800BF2" w:rsidRPr="00CD71C4">
        <w:t>consultation</w:t>
      </w:r>
      <w:r w:rsidR="00D8416D" w:rsidRPr="00CD71C4">
        <w:t xml:space="preserve">, </w:t>
      </w:r>
      <w:r w:rsidRPr="00CD71C4">
        <w:t>111 patients had a care coordinator consultation</w:t>
      </w:r>
      <w:r w:rsidR="00D32583" w:rsidRPr="00CD71C4">
        <w:t xml:space="preserve">, </w:t>
      </w:r>
      <w:r w:rsidR="00D8416D" w:rsidRPr="00CD71C4">
        <w:t xml:space="preserve">and 19 patients were referred </w:t>
      </w:r>
      <w:r w:rsidR="000476C0" w:rsidRPr="00CD71C4">
        <w:t xml:space="preserve">for </w:t>
      </w:r>
      <w:r w:rsidR="00D8416D" w:rsidRPr="00CD71C4">
        <w:t>surgery. Six patients had a total joint replacement.</w:t>
      </w:r>
    </w:p>
    <w:p w14:paraId="384D7A89" w14:textId="44964F7B" w:rsidR="00567773" w:rsidRPr="00CD71C4" w:rsidRDefault="00F50E44" w:rsidP="00CD71C4">
      <w:pPr>
        <w:pStyle w:val="Bullet1"/>
      </w:pPr>
      <w:r w:rsidRPr="00CD71C4">
        <w:t xml:space="preserve">The clinic increased referrals to non-surgical management. 84 per cent of patients accessed ongoing therapy and </w:t>
      </w:r>
      <w:r w:rsidR="007A5274" w:rsidRPr="00CD71C4">
        <w:t xml:space="preserve">almost all </w:t>
      </w:r>
      <w:r w:rsidRPr="00CD71C4">
        <w:t>(98 per cent) patients referred for community physiotherapy attended a therapy session at least once, compared to</w:t>
      </w:r>
      <w:r w:rsidR="00365461">
        <w:t xml:space="preserve"> </w:t>
      </w:r>
      <w:r w:rsidRPr="00CD71C4">
        <w:t>33</w:t>
      </w:r>
      <w:r w:rsidR="007A5274" w:rsidRPr="00CD71C4">
        <w:t> </w:t>
      </w:r>
      <w:r w:rsidRPr="00CD71C4">
        <w:t>per</w:t>
      </w:r>
      <w:r w:rsidR="007A5274" w:rsidRPr="00CD71C4">
        <w:t> </w:t>
      </w:r>
      <w:r w:rsidRPr="00CD71C4">
        <w:t xml:space="preserve">cent of patients attending </w:t>
      </w:r>
      <w:r w:rsidR="000476C0" w:rsidRPr="00CD71C4">
        <w:t xml:space="preserve">equivalent </w:t>
      </w:r>
      <w:r w:rsidRPr="00CD71C4">
        <w:t xml:space="preserve">SVHM specialist clinics. </w:t>
      </w:r>
    </w:p>
    <w:p w14:paraId="6BF5F297" w14:textId="6DCAB31B" w:rsidR="00985A2F" w:rsidRPr="00CD71C4" w:rsidRDefault="00985A2F" w:rsidP="00CD71C4">
      <w:pPr>
        <w:pStyle w:val="Bullet1"/>
      </w:pPr>
      <w:r w:rsidRPr="00CD71C4">
        <w:t xml:space="preserve">Due to the new nature of the clinic, patients had a short wait time of about two weeks compared to 180–750 days at other </w:t>
      </w:r>
      <w:r w:rsidR="000476C0" w:rsidRPr="00CD71C4">
        <w:t xml:space="preserve">equivalent </w:t>
      </w:r>
      <w:r w:rsidRPr="00CD71C4">
        <w:t>SVHM specialist clinics.</w:t>
      </w:r>
    </w:p>
    <w:p w14:paraId="52AB94BA" w14:textId="7698D5E6" w:rsidR="00985A2F" w:rsidRPr="00CD71C4" w:rsidRDefault="00985A2F" w:rsidP="00CD71C4">
      <w:pPr>
        <w:pStyle w:val="Bullet1"/>
      </w:pPr>
      <w:r w:rsidRPr="00CD71C4">
        <w:t xml:space="preserve">The discharge rate from the COMET clinic was 58 per cent, significantly higher than the </w:t>
      </w:r>
      <w:r w:rsidR="006F12AC" w:rsidRPr="00CD71C4">
        <w:t xml:space="preserve">OAHKs and orthopaedic clinic </w:t>
      </w:r>
      <w:r w:rsidRPr="00CD71C4">
        <w:t>combined average</w:t>
      </w:r>
      <w:r w:rsidR="006F12AC" w:rsidRPr="00CD71C4">
        <w:t xml:space="preserve"> </w:t>
      </w:r>
      <w:r w:rsidRPr="00CD71C4">
        <w:t>discharge rate of 14 per cent.</w:t>
      </w:r>
    </w:p>
    <w:p w14:paraId="39E16E62" w14:textId="19EE2E21" w:rsidR="0095569C" w:rsidRPr="00CD71C4" w:rsidRDefault="00F50E44" w:rsidP="00CD71C4">
      <w:pPr>
        <w:pStyle w:val="Bullet1"/>
      </w:pPr>
      <w:r w:rsidRPr="00CD71C4">
        <w:t xml:space="preserve">95 per cent of patients surveyed were </w:t>
      </w:r>
      <w:r w:rsidR="0095569C" w:rsidRPr="00CD71C4">
        <w:t>satisfied or very satisfied with the care they received and 98</w:t>
      </w:r>
      <w:r w:rsidRPr="00CD71C4">
        <w:t xml:space="preserve"> per cent </w:t>
      </w:r>
      <w:r w:rsidR="0095569C" w:rsidRPr="00CD71C4">
        <w:t>felt they had a clear plan for managing their condition</w:t>
      </w:r>
      <w:r w:rsidRPr="00CD71C4">
        <w:t xml:space="preserve">. </w:t>
      </w:r>
    </w:p>
    <w:p w14:paraId="0E11509B" w14:textId="77777777" w:rsidR="00F50E44" w:rsidRPr="00CD71C4" w:rsidRDefault="001E5801" w:rsidP="00CD71C4">
      <w:pPr>
        <w:pStyle w:val="Bullet1"/>
      </w:pPr>
      <w:r w:rsidRPr="00CD71C4">
        <w:t xml:space="preserve">All COMET staff </w:t>
      </w:r>
      <w:r w:rsidR="00F50E44" w:rsidRPr="00CD71C4">
        <w:t xml:space="preserve">said they were </w:t>
      </w:r>
      <w:r w:rsidRPr="00CD71C4">
        <w:t xml:space="preserve">satisfied or very satisfied with the way their professional skills were </w:t>
      </w:r>
      <w:r w:rsidR="00F50E44" w:rsidRPr="00CD71C4">
        <w:t xml:space="preserve">used </w:t>
      </w:r>
      <w:r w:rsidRPr="00CD71C4">
        <w:t>in the clinic</w:t>
      </w:r>
      <w:r w:rsidR="00F50E44" w:rsidRPr="00CD71C4">
        <w:t xml:space="preserve">. </w:t>
      </w:r>
    </w:p>
    <w:p w14:paraId="18D9CC09" w14:textId="06F57AF1" w:rsidR="001E5801" w:rsidRPr="00CD71C4" w:rsidRDefault="001E5801" w:rsidP="00CD71C4">
      <w:pPr>
        <w:pStyle w:val="Bullet1"/>
      </w:pPr>
      <w:r w:rsidRPr="00CD71C4">
        <w:t>90</w:t>
      </w:r>
      <w:r w:rsidR="00F50E44" w:rsidRPr="00CD71C4">
        <w:t xml:space="preserve"> per cent</w:t>
      </w:r>
      <w:r w:rsidRPr="00CD71C4">
        <w:t xml:space="preserve"> of referring GPs </w:t>
      </w:r>
      <w:r w:rsidR="00F50E44" w:rsidRPr="00CD71C4">
        <w:t xml:space="preserve">surveyed </w:t>
      </w:r>
      <w:r w:rsidRPr="00CD71C4">
        <w:t>said they would refer to the COMET clinic again</w:t>
      </w:r>
      <w:r w:rsidR="00AA5647" w:rsidRPr="00CD71C4">
        <w:t xml:space="preserve"> and 83</w:t>
      </w:r>
      <w:r w:rsidR="00985A2F" w:rsidRPr="00CD71C4">
        <w:t> </w:t>
      </w:r>
      <w:r w:rsidR="00F50E44" w:rsidRPr="00CD71C4">
        <w:t>per</w:t>
      </w:r>
      <w:r w:rsidR="00985A2F" w:rsidRPr="00CD71C4">
        <w:t> </w:t>
      </w:r>
      <w:r w:rsidR="00F50E44" w:rsidRPr="00CD71C4">
        <w:t xml:space="preserve">cent </w:t>
      </w:r>
      <w:r w:rsidR="00AA5647" w:rsidRPr="00CD71C4">
        <w:t xml:space="preserve">said </w:t>
      </w:r>
      <w:r w:rsidR="00F50E44" w:rsidRPr="00CD71C4">
        <w:t xml:space="preserve">the </w:t>
      </w:r>
      <w:r w:rsidR="00AA5647" w:rsidRPr="00CD71C4">
        <w:t>clinic facilitated better management for their patient</w:t>
      </w:r>
      <w:r w:rsidR="00985A2F" w:rsidRPr="00CD71C4">
        <w:t xml:space="preserve"> </w:t>
      </w:r>
      <w:r w:rsidR="00AA5647" w:rsidRPr="00CD71C4">
        <w:t>than usual pathways</w:t>
      </w:r>
      <w:r w:rsidR="00F50E44" w:rsidRPr="00CD71C4">
        <w:t>.</w:t>
      </w:r>
    </w:p>
    <w:p w14:paraId="2485892E" w14:textId="77777777" w:rsidR="00435805" w:rsidRDefault="00435805" w:rsidP="00435805">
      <w:pPr>
        <w:pStyle w:val="Heading2"/>
      </w:pPr>
      <w:r>
        <w:t>Key learnings</w:t>
      </w:r>
    </w:p>
    <w:p w14:paraId="3F3E7DC0" w14:textId="0C88BF27" w:rsidR="00CB7970" w:rsidRDefault="00CB7970" w:rsidP="00CB7970">
      <w:pPr>
        <w:pStyle w:val="Bullet1"/>
      </w:pPr>
      <w:r>
        <w:t xml:space="preserve">Offering community-based management of OA has the potential to </w:t>
      </w:r>
      <w:r w:rsidR="00985A2F">
        <w:t xml:space="preserve">give </w:t>
      </w:r>
      <w:r>
        <w:t xml:space="preserve">patients </w:t>
      </w:r>
      <w:r w:rsidR="00985A2F">
        <w:t xml:space="preserve">faster </w:t>
      </w:r>
      <w:r>
        <w:t xml:space="preserve">access to </w:t>
      </w:r>
      <w:r w:rsidR="00985A2F">
        <w:t xml:space="preserve">clinical </w:t>
      </w:r>
      <w:r>
        <w:t>care closer to their home</w:t>
      </w:r>
      <w:r w:rsidR="00985A2F">
        <w:t xml:space="preserve">, with amenities such as </w:t>
      </w:r>
      <w:r>
        <w:t xml:space="preserve">easier parking. </w:t>
      </w:r>
      <w:r w:rsidR="00985A2F">
        <w:t>The non-</w:t>
      </w:r>
      <w:r w:rsidR="0023498B">
        <w:t xml:space="preserve">hospital </w:t>
      </w:r>
      <w:r w:rsidR="00985A2F">
        <w:t xml:space="preserve">location </w:t>
      </w:r>
      <w:r w:rsidR="0023498B">
        <w:t xml:space="preserve">can also </w:t>
      </w:r>
      <w:r w:rsidR="00985A2F">
        <w:t xml:space="preserve">positively influence </w:t>
      </w:r>
      <w:r w:rsidR="0023498B">
        <w:t xml:space="preserve">uptake of non-surgical therapy. </w:t>
      </w:r>
    </w:p>
    <w:p w14:paraId="5DBEC4DD" w14:textId="64106AB5" w:rsidR="00985A2F" w:rsidRDefault="00985A2F" w:rsidP="00CB7970">
      <w:pPr>
        <w:pStyle w:val="Bullet1"/>
      </w:pPr>
      <w:r>
        <w:t xml:space="preserve">The </w:t>
      </w:r>
      <w:r w:rsidR="00000E69">
        <w:t xml:space="preserve">new </w:t>
      </w:r>
      <w:r>
        <w:t xml:space="preserve">care coordinator role likely helped to support uptake of </w:t>
      </w:r>
      <w:r w:rsidRPr="00ED7245">
        <w:t>therapy</w:t>
      </w:r>
      <w:r>
        <w:t xml:space="preserve"> by helping patients to identify suitable service providers and organising referral soon after </w:t>
      </w:r>
      <w:r w:rsidRPr="00ED7245">
        <w:t xml:space="preserve">the recommendations </w:t>
      </w:r>
      <w:r>
        <w:t xml:space="preserve">were </w:t>
      </w:r>
      <w:r w:rsidRPr="00ED7245">
        <w:t xml:space="preserve">made </w:t>
      </w:r>
      <w:r w:rsidR="000476C0">
        <w:t xml:space="preserve">by the clinician undertaking the initial </w:t>
      </w:r>
      <w:r w:rsidRPr="00ED7245">
        <w:t>assessment.</w:t>
      </w:r>
    </w:p>
    <w:p w14:paraId="1FA6869E" w14:textId="64DA834F" w:rsidR="00000E69" w:rsidRDefault="00000E69" w:rsidP="00000E69">
      <w:pPr>
        <w:pStyle w:val="Bullet1"/>
      </w:pPr>
      <w:r>
        <w:t xml:space="preserve">After being booked into an appointment at the COMET clinic, patients </w:t>
      </w:r>
      <w:r w:rsidR="000476C0">
        <w:t>were</w:t>
      </w:r>
      <w:r>
        <w:t xml:space="preserve"> sent a clinic-specific letter confirming their appointment time. However, due to the short wait list, some patients had not received the letter by the time of their appointment and subsequently did not attend. An alternative method for confirming an appointment time is recommended. </w:t>
      </w:r>
    </w:p>
    <w:p w14:paraId="67E1DD48" w14:textId="350DDD70" w:rsidR="00CB7970" w:rsidRDefault="00CB7970" w:rsidP="00ED7245">
      <w:pPr>
        <w:pStyle w:val="Bullet1"/>
      </w:pPr>
      <w:r w:rsidRPr="00CB7970">
        <w:t xml:space="preserve">A new referral process takes time to embed. </w:t>
      </w:r>
      <w:r>
        <w:t xml:space="preserve">Using </w:t>
      </w:r>
      <w:r w:rsidRPr="00CB7970">
        <w:t>the existing referral pathway known to GPs rather than introducing a new pathway may have been a more effective way to maximise the number of patients assessed in the clinic</w:t>
      </w:r>
      <w:r>
        <w:t xml:space="preserve">. </w:t>
      </w:r>
    </w:p>
    <w:sectPr w:rsidR="00CB7970" w:rsidSect="00366D65">
      <w:footerReference w:type="default" r:id="rId13"/>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F23DDF" w:rsidRDefault="00F23DDF" w:rsidP="002D711A">
      <w:pPr>
        <w:spacing w:after="0" w:line="240" w:lineRule="auto"/>
      </w:pPr>
      <w:r>
        <w:separator/>
      </w:r>
    </w:p>
  </w:endnote>
  <w:endnote w:type="continuationSeparator" w:id="0">
    <w:p w14:paraId="1B12F49B" w14:textId="77777777" w:rsidR="00F23DDF" w:rsidRDefault="00F23DD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F23DDF" w:rsidRPr="00736C0C" w14:paraId="74FB32AF" w14:textId="77777777" w:rsidTr="000F2A2C">
      <w:trPr>
        <w:trHeight w:val="1531"/>
      </w:trPr>
      <w:tc>
        <w:tcPr>
          <w:tcW w:w="3515" w:type="dxa"/>
          <w:tcMar>
            <w:left w:w="113" w:type="dxa"/>
          </w:tcMar>
        </w:tcPr>
        <w:p w14:paraId="1C47117C" w14:textId="649393BA" w:rsidR="00F23DDF" w:rsidRPr="00911408" w:rsidRDefault="00F23DDF" w:rsidP="00442182">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F23DDF" w:rsidRPr="00911408" w:rsidRDefault="00F23DDF"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F23DDF" w:rsidRPr="00911408" w:rsidRDefault="00F23DDF" w:rsidP="00442182">
          <w:pPr>
            <w:spacing w:line="230" w:lineRule="auto"/>
            <w:rPr>
              <w:sz w:val="18"/>
              <w:szCs w:val="18"/>
            </w:rPr>
          </w:pPr>
          <w:r w:rsidRPr="00911408">
            <w:rPr>
              <w:sz w:val="18"/>
              <w:szCs w:val="18"/>
            </w:rPr>
            <w:t xml:space="preserve">© State of Victoria, Australia, Safer Care Victoria, </w:t>
          </w:r>
          <w:r>
            <w:rPr>
              <w:sz w:val="18"/>
              <w:szCs w:val="18"/>
            </w:rPr>
            <w:t>September 2020</w:t>
          </w:r>
        </w:p>
        <w:p w14:paraId="30F4D29D" w14:textId="77777777" w:rsidR="00F23DDF" w:rsidRPr="00CE61C3" w:rsidRDefault="00F23DDF"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F23DDF" w:rsidRDefault="00F23DDF" w:rsidP="00442182">
          <w:pPr>
            <w:spacing w:line="230" w:lineRule="auto"/>
            <w:rPr>
              <w:sz w:val="18"/>
              <w:szCs w:val="18"/>
            </w:rPr>
          </w:pPr>
          <w:r w:rsidRPr="00911408">
            <w:rPr>
              <w:sz w:val="18"/>
              <w:szCs w:val="18"/>
            </w:rPr>
            <w:t xml:space="preserve">Available at </w:t>
          </w:r>
          <w:hyperlink r:id="rId2" w:history="1">
            <w:r w:rsidRPr="00F52379">
              <w:rPr>
                <w:rStyle w:val="Hyperlink"/>
                <w:sz w:val="18"/>
                <w:szCs w:val="18"/>
              </w:rPr>
              <w:t>safercare.vic.gov.au</w:t>
            </w:r>
          </w:hyperlink>
        </w:p>
        <w:p w14:paraId="3B40A82D" w14:textId="5308783B" w:rsidR="00F23DDF" w:rsidRPr="007A4444" w:rsidRDefault="00F23DDF" w:rsidP="00442182">
          <w:pPr>
            <w:spacing w:line="230" w:lineRule="auto"/>
            <w:rPr>
              <w:sz w:val="13"/>
              <w:szCs w:val="13"/>
            </w:rPr>
          </w:pPr>
        </w:p>
      </w:tc>
      <w:tc>
        <w:tcPr>
          <w:tcW w:w="3515" w:type="dxa"/>
        </w:tcPr>
        <w:p w14:paraId="3A80A9B4" w14:textId="25DDFB9E" w:rsidR="00F23DDF" w:rsidRPr="00736C0C" w:rsidRDefault="00F23DDF" w:rsidP="000905F7">
          <w:pPr>
            <w:rPr>
              <w:szCs w:val="15"/>
            </w:rPr>
          </w:pPr>
          <w:r>
            <w:rPr>
              <w:noProof/>
              <w:szCs w:val="15"/>
            </w:rPr>
            <w:drawing>
              <wp:inline distT="0" distB="0" distL="0" distR="0" wp14:anchorId="5CB2EA93" wp14:editId="41A59989">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F23DDF" w:rsidRDefault="00F23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CD36" w14:textId="3D55F498" w:rsidR="00F22C82" w:rsidRDefault="00506B65">
    <w:pPr>
      <w:pStyle w:val="Footer"/>
    </w:pPr>
    <w:r>
      <w:t xml:space="preserve">Full references available at </w:t>
    </w:r>
    <w:r w:rsidRPr="00506B65">
      <w:t>bettersafercare.vic.gov.au/improvement/projects/pfoct/rapid-access-musculoskeletal-care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F23DDF" w:rsidRDefault="00F23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F23DDF" w:rsidRPr="00736C0C" w14:paraId="5B5E3EB2" w14:textId="77777777" w:rsidTr="00CD71C4">
      <w:trPr>
        <w:trHeight w:val="1946"/>
      </w:trPr>
      <w:tc>
        <w:tcPr>
          <w:tcW w:w="3515" w:type="dxa"/>
          <w:tcMar>
            <w:left w:w="113" w:type="dxa"/>
          </w:tcMar>
        </w:tcPr>
        <w:p w14:paraId="78E75070" w14:textId="77777777" w:rsidR="00F23DDF" w:rsidRPr="00911408" w:rsidRDefault="00F23DDF"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5D05DCDC" w14:textId="77777777" w:rsidR="00F23DDF" w:rsidRPr="00911408" w:rsidRDefault="00F23DDF" w:rsidP="0043317F">
          <w:pPr>
            <w:spacing w:line="230" w:lineRule="auto"/>
            <w:rPr>
              <w:sz w:val="18"/>
              <w:szCs w:val="18"/>
            </w:rPr>
          </w:pPr>
          <w:r w:rsidRPr="00911408">
            <w:rPr>
              <w:sz w:val="18"/>
              <w:szCs w:val="18"/>
            </w:rPr>
            <w:t>Authorised and published by the Victorian Government, 1 Treasury Place, Melbourne.</w:t>
          </w:r>
        </w:p>
        <w:p w14:paraId="44F6CDA5" w14:textId="77777777" w:rsidR="00F23DDF" w:rsidRPr="00911408" w:rsidRDefault="00F23DDF" w:rsidP="0043317F">
          <w:pPr>
            <w:spacing w:line="230" w:lineRule="auto"/>
            <w:rPr>
              <w:sz w:val="18"/>
              <w:szCs w:val="18"/>
            </w:rPr>
          </w:pPr>
          <w:r w:rsidRPr="00911408">
            <w:rPr>
              <w:sz w:val="18"/>
              <w:szCs w:val="18"/>
            </w:rPr>
            <w:t xml:space="preserve">© State of Victoria, Australia, Safer Care Victoria, </w:t>
          </w:r>
          <w:r>
            <w:rPr>
              <w:sz w:val="18"/>
              <w:szCs w:val="18"/>
            </w:rPr>
            <w:t>November 2020</w:t>
          </w:r>
        </w:p>
        <w:p w14:paraId="4B3C1818" w14:textId="2DEC5A92" w:rsidR="00F23DDF" w:rsidRPr="00AC75FE" w:rsidRDefault="00FC4610" w:rsidP="0043317F">
          <w:pPr>
            <w:spacing w:line="230" w:lineRule="auto"/>
            <w:rPr>
              <w:color w:val="000000" w:themeColor="text1"/>
              <w:sz w:val="18"/>
              <w:szCs w:val="18"/>
            </w:rPr>
          </w:pPr>
          <w:r w:rsidRPr="00AC75FE">
            <w:rPr>
              <w:color w:val="000000" w:themeColor="text1"/>
              <w:sz w:val="18"/>
              <w:szCs w:val="18"/>
            </w:rPr>
            <w:t>ISBN 978-1-76096-288-3 (pdf/online/MS word)</w:t>
          </w:r>
        </w:p>
        <w:p w14:paraId="3A2AB365" w14:textId="082404CD" w:rsidR="00F23DDF" w:rsidRPr="007A4444" w:rsidRDefault="00F23DDF" w:rsidP="00FC4610">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FC4610">
            <w:rPr>
              <w:sz w:val="13"/>
              <w:szCs w:val="13"/>
            </w:rPr>
            <w:br/>
          </w:r>
        </w:p>
      </w:tc>
      <w:tc>
        <w:tcPr>
          <w:tcW w:w="3515" w:type="dxa"/>
        </w:tcPr>
        <w:p w14:paraId="13310A21" w14:textId="77777777" w:rsidR="00F23DDF" w:rsidRPr="00736C0C" w:rsidRDefault="00F23DDF" w:rsidP="0043317F">
          <w:pPr>
            <w:rPr>
              <w:szCs w:val="15"/>
            </w:rPr>
          </w:pPr>
          <w:r>
            <w:rPr>
              <w:noProof/>
              <w:szCs w:val="15"/>
            </w:rPr>
            <w:drawing>
              <wp:inline distT="0" distB="0" distL="0" distR="0" wp14:anchorId="6C381F19" wp14:editId="400DF133">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49982108" w14:textId="77777777" w:rsidR="00F23DDF" w:rsidRDefault="00F2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F23DDF" w:rsidRDefault="00F23DDF" w:rsidP="00E33E08">
      <w:pPr>
        <w:spacing w:before="0" w:after="0" w:line="240" w:lineRule="auto"/>
      </w:pPr>
    </w:p>
  </w:footnote>
  <w:footnote w:type="continuationSeparator" w:id="0">
    <w:p w14:paraId="25E775FD" w14:textId="77777777" w:rsidR="00F23DDF" w:rsidRDefault="00F23DDF"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F23DDF" w:rsidRDefault="00F23DDF">
    <w:pPr>
      <w:pStyle w:val="Header"/>
    </w:pPr>
    <w:r>
      <w:rPr>
        <w:noProof/>
      </w:rPr>
      <w:drawing>
        <wp:anchor distT="0" distB="0" distL="114300" distR="114300" simplePos="0" relativeHeight="251659264" behindDoc="1" locked="0" layoutInCell="1" allowOverlap="1" wp14:anchorId="1E265C5D" wp14:editId="425C014B">
          <wp:simplePos x="0" y="0"/>
          <wp:positionH relativeFrom="page">
            <wp:posOffset>-5080</wp:posOffset>
          </wp:positionH>
          <wp:positionV relativeFrom="page">
            <wp:posOffset>0</wp:posOffset>
          </wp:positionV>
          <wp:extent cx="2127600" cy="1202400"/>
          <wp:effectExtent l="0" t="0" r="0" b="0"/>
          <wp:wrapNone/>
          <wp:docPr id="7" name="Picture 7"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0F84"/>
    <w:multiLevelType w:val="multilevel"/>
    <w:tmpl w:val="FCFA88C2"/>
    <w:lvl w:ilvl="0">
      <w:start w:val="1"/>
      <w:numFmt w:val="decimal"/>
      <w:lvlText w:val="%1."/>
      <w:lvlJc w:val="left"/>
      <w:pPr>
        <w:ind w:left="852" w:hanging="284"/>
      </w:pPr>
      <w:rPr>
        <w:rFonts w:hint="default"/>
      </w:rPr>
    </w:lvl>
    <w:lvl w:ilvl="1">
      <w:start w:val="1"/>
      <w:numFmt w:val="bullet"/>
      <w:lvlRestart w:val="0"/>
      <w:lvlText w:val="•"/>
      <w:lvlJc w:val="left"/>
      <w:pPr>
        <w:ind w:left="852" w:hanging="284"/>
      </w:pPr>
      <w:rPr>
        <w:rFonts w:ascii="Calibri" w:hAnsi="Calibri" w:hint="default"/>
      </w:rPr>
    </w:lvl>
    <w:lvl w:ilvl="2">
      <w:start w:val="1"/>
      <w:numFmt w:val="bullet"/>
      <w:lvlRestart w:val="0"/>
      <w:lvlText w:val="–"/>
      <w:lvlJc w:val="left"/>
      <w:pPr>
        <w:ind w:left="1135" w:hanging="283"/>
      </w:pPr>
      <w:rPr>
        <w:rFonts w:ascii="Arial" w:hAnsi="Arial" w:hint="default"/>
      </w:rPr>
    </w:lvl>
    <w:lvl w:ilvl="3">
      <w:start w:val="1"/>
      <w:numFmt w:val="bullet"/>
      <w:lvlRestart w:val="0"/>
      <w:lvlText w:val="–"/>
      <w:lvlJc w:val="left"/>
      <w:pPr>
        <w:ind w:left="1135" w:hanging="283"/>
      </w:pPr>
      <w:rPr>
        <w:rFonts w:ascii="Arial" w:hAnsi="Arial" w:hint="default"/>
      </w:rPr>
    </w:lvl>
    <w:lvl w:ilvl="4">
      <w:start w:val="1"/>
      <w:numFmt w:val="bullet"/>
      <w:lvlRestart w:val="0"/>
      <w:lvlText w:val="•"/>
      <w:lvlJc w:val="left"/>
      <w:pPr>
        <w:ind w:left="1248" w:hanging="283"/>
      </w:pPr>
      <w:rPr>
        <w:rFonts w:ascii="Calibri" w:hAnsi="Calibri" w:hint="default"/>
      </w:rPr>
    </w:lvl>
    <w:lvl w:ilvl="5">
      <w:start w:val="1"/>
      <w:numFmt w:val="bullet"/>
      <w:lvlRestart w:val="0"/>
      <w:lvlText w:val="•"/>
      <w:lvlJc w:val="left"/>
      <w:pPr>
        <w:ind w:left="1248" w:hanging="283"/>
      </w:pPr>
      <w:rPr>
        <w:rFonts w:ascii="Calibri" w:hAnsi="Calibri" w:hint="default"/>
      </w:rPr>
    </w:lvl>
    <w:lvl w:ilvl="6">
      <w:start w:val="1"/>
      <w:numFmt w:val="bullet"/>
      <w:lvlRestart w:val="0"/>
      <w:lvlText w:val="•"/>
      <w:lvlJc w:val="left"/>
      <w:pPr>
        <w:ind w:left="795" w:hanging="227"/>
      </w:pPr>
      <w:rPr>
        <w:rFonts w:ascii="Calibri" w:hAnsi="Calibri"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852" w:hanging="284"/>
      </w:pPr>
      <w:rPr>
        <w:rFonts w:ascii="Calibri" w:hAnsi="Calibri" w:hint="default"/>
      </w:rPr>
    </w:lvl>
    <w:lvl w:ilvl="1">
      <w:start w:val="1"/>
      <w:numFmt w:val="bullet"/>
      <w:lvlRestart w:val="0"/>
      <w:pStyle w:val="DHHSbullet1lastline"/>
      <w:lvlText w:val="•"/>
      <w:lvlJc w:val="left"/>
      <w:pPr>
        <w:ind w:left="852" w:hanging="284"/>
      </w:pPr>
      <w:rPr>
        <w:rFonts w:ascii="Calibri" w:hAnsi="Calibri" w:hint="default"/>
      </w:rPr>
    </w:lvl>
    <w:lvl w:ilvl="2">
      <w:start w:val="1"/>
      <w:numFmt w:val="bullet"/>
      <w:lvlRestart w:val="0"/>
      <w:pStyle w:val="DHHSbullet2"/>
      <w:lvlText w:val="–"/>
      <w:lvlJc w:val="left"/>
      <w:pPr>
        <w:ind w:left="1135" w:hanging="283"/>
      </w:pPr>
      <w:rPr>
        <w:rFonts w:ascii="Arial" w:hAnsi="Arial" w:hint="default"/>
      </w:rPr>
    </w:lvl>
    <w:lvl w:ilvl="3">
      <w:start w:val="1"/>
      <w:numFmt w:val="bullet"/>
      <w:lvlRestart w:val="0"/>
      <w:pStyle w:val="DHHSbullet2lastline"/>
      <w:lvlText w:val="–"/>
      <w:lvlJc w:val="left"/>
      <w:pPr>
        <w:ind w:left="1135" w:hanging="283"/>
      </w:pPr>
      <w:rPr>
        <w:rFonts w:ascii="Arial" w:hAnsi="Arial" w:hint="default"/>
      </w:rPr>
    </w:lvl>
    <w:lvl w:ilvl="4">
      <w:start w:val="1"/>
      <w:numFmt w:val="bullet"/>
      <w:lvlRestart w:val="0"/>
      <w:pStyle w:val="DHHSbulletindent"/>
      <w:lvlText w:val="•"/>
      <w:lvlJc w:val="left"/>
      <w:pPr>
        <w:ind w:left="1248" w:hanging="283"/>
      </w:pPr>
      <w:rPr>
        <w:rFonts w:ascii="Calibri" w:hAnsi="Calibri" w:hint="default"/>
      </w:rPr>
    </w:lvl>
    <w:lvl w:ilvl="5">
      <w:start w:val="1"/>
      <w:numFmt w:val="bullet"/>
      <w:lvlRestart w:val="0"/>
      <w:pStyle w:val="DHHSbulletindentlastline"/>
      <w:lvlText w:val="•"/>
      <w:lvlJc w:val="left"/>
      <w:pPr>
        <w:ind w:left="1248" w:hanging="283"/>
      </w:pPr>
      <w:rPr>
        <w:rFonts w:ascii="Calibri" w:hAnsi="Calibri" w:hint="default"/>
      </w:rPr>
    </w:lvl>
    <w:lvl w:ilvl="6">
      <w:start w:val="1"/>
      <w:numFmt w:val="bullet"/>
      <w:lvlRestart w:val="0"/>
      <w:pStyle w:val="DHHStablebullet"/>
      <w:lvlText w:val="•"/>
      <w:lvlJc w:val="left"/>
      <w:pPr>
        <w:ind w:left="795" w:hanging="227"/>
      </w:pPr>
      <w:rPr>
        <w:rFonts w:ascii="Calibri" w:hAnsi="Calibri"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8"/>
  </w:num>
  <w:num w:numId="5">
    <w:abstractNumId w:val="1"/>
  </w:num>
  <w:num w:numId="6">
    <w:abstractNumId w:val="4"/>
  </w:num>
  <w:num w:numId="7">
    <w:abstractNumId w:val="7"/>
  </w:num>
  <w:num w:numId="8">
    <w:abstractNumId w:val="3"/>
  </w:num>
  <w:num w:numId="9">
    <w:abstractNumId w:val="3"/>
  </w:num>
  <w:num w:numId="10">
    <w:abstractNumId w:val="2"/>
  </w:num>
  <w:num w:numId="11">
    <w:abstractNumId w:val="3"/>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0E69"/>
    <w:rsid w:val="00004A4B"/>
    <w:rsid w:val="00012F6F"/>
    <w:rsid w:val="00014213"/>
    <w:rsid w:val="00014B55"/>
    <w:rsid w:val="00020E3E"/>
    <w:rsid w:val="00023457"/>
    <w:rsid w:val="00023BF3"/>
    <w:rsid w:val="00026811"/>
    <w:rsid w:val="0003014B"/>
    <w:rsid w:val="0004124F"/>
    <w:rsid w:val="0004185E"/>
    <w:rsid w:val="00044706"/>
    <w:rsid w:val="00044F69"/>
    <w:rsid w:val="000476C0"/>
    <w:rsid w:val="00053181"/>
    <w:rsid w:val="00056988"/>
    <w:rsid w:val="0006051C"/>
    <w:rsid w:val="00060D97"/>
    <w:rsid w:val="00071F51"/>
    <w:rsid w:val="00072279"/>
    <w:rsid w:val="00073407"/>
    <w:rsid w:val="00075E6C"/>
    <w:rsid w:val="00081C12"/>
    <w:rsid w:val="00087D42"/>
    <w:rsid w:val="000905F7"/>
    <w:rsid w:val="000B29AD"/>
    <w:rsid w:val="000C515F"/>
    <w:rsid w:val="000C6372"/>
    <w:rsid w:val="000D1994"/>
    <w:rsid w:val="000D48E6"/>
    <w:rsid w:val="000D7841"/>
    <w:rsid w:val="000E392D"/>
    <w:rsid w:val="000E39B6"/>
    <w:rsid w:val="000E3D05"/>
    <w:rsid w:val="000F2A2C"/>
    <w:rsid w:val="000F4288"/>
    <w:rsid w:val="000F7165"/>
    <w:rsid w:val="0010153A"/>
    <w:rsid w:val="00102379"/>
    <w:rsid w:val="00103722"/>
    <w:rsid w:val="00103F90"/>
    <w:rsid w:val="001065D6"/>
    <w:rsid w:val="001068D5"/>
    <w:rsid w:val="00121252"/>
    <w:rsid w:val="00121488"/>
    <w:rsid w:val="0012257C"/>
    <w:rsid w:val="00124609"/>
    <w:rsid w:val="001254CE"/>
    <w:rsid w:val="00126185"/>
    <w:rsid w:val="0013637A"/>
    <w:rsid w:val="001422CC"/>
    <w:rsid w:val="00145346"/>
    <w:rsid w:val="0016051D"/>
    <w:rsid w:val="001617B6"/>
    <w:rsid w:val="00165E66"/>
    <w:rsid w:val="00186B39"/>
    <w:rsid w:val="00191EB7"/>
    <w:rsid w:val="00196143"/>
    <w:rsid w:val="001A246E"/>
    <w:rsid w:val="001A24FC"/>
    <w:rsid w:val="001B59A6"/>
    <w:rsid w:val="001C60B2"/>
    <w:rsid w:val="001C6993"/>
    <w:rsid w:val="001C7BAE"/>
    <w:rsid w:val="001E31FA"/>
    <w:rsid w:val="001E48F9"/>
    <w:rsid w:val="001E5801"/>
    <w:rsid w:val="001E64F6"/>
    <w:rsid w:val="001E7AEB"/>
    <w:rsid w:val="002005BC"/>
    <w:rsid w:val="002038E4"/>
    <w:rsid w:val="00204B82"/>
    <w:rsid w:val="00220CC4"/>
    <w:rsid w:val="00222BEB"/>
    <w:rsid w:val="00225E60"/>
    <w:rsid w:val="00230BBB"/>
    <w:rsid w:val="0023202C"/>
    <w:rsid w:val="00233AE6"/>
    <w:rsid w:val="00234619"/>
    <w:rsid w:val="0023498B"/>
    <w:rsid w:val="00235BE2"/>
    <w:rsid w:val="00241A7B"/>
    <w:rsid w:val="00245043"/>
    <w:rsid w:val="0026028E"/>
    <w:rsid w:val="002736CE"/>
    <w:rsid w:val="00273AF5"/>
    <w:rsid w:val="00274A7D"/>
    <w:rsid w:val="00284FA2"/>
    <w:rsid w:val="00286580"/>
    <w:rsid w:val="00292D36"/>
    <w:rsid w:val="00294A5A"/>
    <w:rsid w:val="00297281"/>
    <w:rsid w:val="00297A47"/>
    <w:rsid w:val="002A2FF0"/>
    <w:rsid w:val="002A45E2"/>
    <w:rsid w:val="002A5891"/>
    <w:rsid w:val="002A5F50"/>
    <w:rsid w:val="002B03F1"/>
    <w:rsid w:val="002B5C34"/>
    <w:rsid w:val="002B5E2B"/>
    <w:rsid w:val="002B6DAA"/>
    <w:rsid w:val="002C338A"/>
    <w:rsid w:val="002D70F7"/>
    <w:rsid w:val="002D711A"/>
    <w:rsid w:val="002D7336"/>
    <w:rsid w:val="002E07AD"/>
    <w:rsid w:val="002E3396"/>
    <w:rsid w:val="002E6454"/>
    <w:rsid w:val="002F2953"/>
    <w:rsid w:val="002F4E84"/>
    <w:rsid w:val="0031149C"/>
    <w:rsid w:val="00315263"/>
    <w:rsid w:val="00316CF1"/>
    <w:rsid w:val="00321D6D"/>
    <w:rsid w:val="0032643A"/>
    <w:rsid w:val="00332D4F"/>
    <w:rsid w:val="003335C4"/>
    <w:rsid w:val="003347B2"/>
    <w:rsid w:val="00344C49"/>
    <w:rsid w:val="00365461"/>
    <w:rsid w:val="00366D65"/>
    <w:rsid w:val="0036778F"/>
    <w:rsid w:val="00374632"/>
    <w:rsid w:val="0038160F"/>
    <w:rsid w:val="0038771C"/>
    <w:rsid w:val="00392B5D"/>
    <w:rsid w:val="003A0B95"/>
    <w:rsid w:val="003A430B"/>
    <w:rsid w:val="003A541A"/>
    <w:rsid w:val="003A6923"/>
    <w:rsid w:val="003C22C4"/>
    <w:rsid w:val="003C2C67"/>
    <w:rsid w:val="003C2D4C"/>
    <w:rsid w:val="003C3B3A"/>
    <w:rsid w:val="003C5BA4"/>
    <w:rsid w:val="003D596D"/>
    <w:rsid w:val="003E3E26"/>
    <w:rsid w:val="003F1295"/>
    <w:rsid w:val="003F5102"/>
    <w:rsid w:val="003F76FC"/>
    <w:rsid w:val="004002EB"/>
    <w:rsid w:val="004066D6"/>
    <w:rsid w:val="00407A79"/>
    <w:rsid w:val="00414F9C"/>
    <w:rsid w:val="00422DDC"/>
    <w:rsid w:val="004231B5"/>
    <w:rsid w:val="004236C8"/>
    <w:rsid w:val="00427681"/>
    <w:rsid w:val="0043317F"/>
    <w:rsid w:val="00433DB7"/>
    <w:rsid w:val="00435805"/>
    <w:rsid w:val="00442182"/>
    <w:rsid w:val="0045347E"/>
    <w:rsid w:val="00453750"/>
    <w:rsid w:val="00456941"/>
    <w:rsid w:val="00460BD5"/>
    <w:rsid w:val="00467C06"/>
    <w:rsid w:val="004702EA"/>
    <w:rsid w:val="004751C6"/>
    <w:rsid w:val="0048259C"/>
    <w:rsid w:val="00482D02"/>
    <w:rsid w:val="00484326"/>
    <w:rsid w:val="00490369"/>
    <w:rsid w:val="00493236"/>
    <w:rsid w:val="004A3986"/>
    <w:rsid w:val="004A4ED0"/>
    <w:rsid w:val="004A7519"/>
    <w:rsid w:val="004B64B1"/>
    <w:rsid w:val="004C362A"/>
    <w:rsid w:val="004D01AC"/>
    <w:rsid w:val="004D3518"/>
    <w:rsid w:val="004D62D6"/>
    <w:rsid w:val="004D6898"/>
    <w:rsid w:val="004E2B7E"/>
    <w:rsid w:val="004F3F4E"/>
    <w:rsid w:val="00506B65"/>
    <w:rsid w:val="00510167"/>
    <w:rsid w:val="00513E86"/>
    <w:rsid w:val="005306A2"/>
    <w:rsid w:val="0053416C"/>
    <w:rsid w:val="00541693"/>
    <w:rsid w:val="00541C2F"/>
    <w:rsid w:val="00550D45"/>
    <w:rsid w:val="00552DE4"/>
    <w:rsid w:val="00553D60"/>
    <w:rsid w:val="005548AA"/>
    <w:rsid w:val="00555D37"/>
    <w:rsid w:val="00563527"/>
    <w:rsid w:val="00567773"/>
    <w:rsid w:val="0057407A"/>
    <w:rsid w:val="005740D7"/>
    <w:rsid w:val="0058124E"/>
    <w:rsid w:val="005875A3"/>
    <w:rsid w:val="0059369F"/>
    <w:rsid w:val="005953EA"/>
    <w:rsid w:val="005A3416"/>
    <w:rsid w:val="005B061F"/>
    <w:rsid w:val="005B27FE"/>
    <w:rsid w:val="005B2BE0"/>
    <w:rsid w:val="005B327A"/>
    <w:rsid w:val="005B5F0B"/>
    <w:rsid w:val="005B76DF"/>
    <w:rsid w:val="005B79CB"/>
    <w:rsid w:val="005C4188"/>
    <w:rsid w:val="005E08D7"/>
    <w:rsid w:val="005E20D9"/>
    <w:rsid w:val="005E4C16"/>
    <w:rsid w:val="005E5947"/>
    <w:rsid w:val="005F61DF"/>
    <w:rsid w:val="0060163A"/>
    <w:rsid w:val="006023F9"/>
    <w:rsid w:val="00610559"/>
    <w:rsid w:val="00614076"/>
    <w:rsid w:val="00624FD0"/>
    <w:rsid w:val="00632F2E"/>
    <w:rsid w:val="006332F6"/>
    <w:rsid w:val="006413F2"/>
    <w:rsid w:val="0064598D"/>
    <w:rsid w:val="006512FE"/>
    <w:rsid w:val="006534B2"/>
    <w:rsid w:val="0065615D"/>
    <w:rsid w:val="00657011"/>
    <w:rsid w:val="006650B5"/>
    <w:rsid w:val="006651B1"/>
    <w:rsid w:val="00665765"/>
    <w:rsid w:val="00665778"/>
    <w:rsid w:val="00676E5F"/>
    <w:rsid w:val="00680577"/>
    <w:rsid w:val="00686913"/>
    <w:rsid w:val="006945CA"/>
    <w:rsid w:val="006A3309"/>
    <w:rsid w:val="006A3A5A"/>
    <w:rsid w:val="006A4E8C"/>
    <w:rsid w:val="006A5B34"/>
    <w:rsid w:val="006B239C"/>
    <w:rsid w:val="006B2A76"/>
    <w:rsid w:val="006C030D"/>
    <w:rsid w:val="006C6BF7"/>
    <w:rsid w:val="006C7758"/>
    <w:rsid w:val="006C77A9"/>
    <w:rsid w:val="006D2F37"/>
    <w:rsid w:val="006D4720"/>
    <w:rsid w:val="006E6CDF"/>
    <w:rsid w:val="006F12AC"/>
    <w:rsid w:val="006F37F2"/>
    <w:rsid w:val="006F6693"/>
    <w:rsid w:val="007021CC"/>
    <w:rsid w:val="00707FE8"/>
    <w:rsid w:val="00714AAE"/>
    <w:rsid w:val="0072230C"/>
    <w:rsid w:val="00724962"/>
    <w:rsid w:val="00724A0F"/>
    <w:rsid w:val="00724F30"/>
    <w:rsid w:val="00726D2F"/>
    <w:rsid w:val="00733172"/>
    <w:rsid w:val="007352D2"/>
    <w:rsid w:val="00736732"/>
    <w:rsid w:val="00740019"/>
    <w:rsid w:val="00746426"/>
    <w:rsid w:val="00750BF9"/>
    <w:rsid w:val="00750CBE"/>
    <w:rsid w:val="007650D2"/>
    <w:rsid w:val="00766B5A"/>
    <w:rsid w:val="00772209"/>
    <w:rsid w:val="007770A5"/>
    <w:rsid w:val="0078328E"/>
    <w:rsid w:val="00783442"/>
    <w:rsid w:val="007834F2"/>
    <w:rsid w:val="007862BB"/>
    <w:rsid w:val="00791020"/>
    <w:rsid w:val="00794CB7"/>
    <w:rsid w:val="007A04D2"/>
    <w:rsid w:val="007A41A6"/>
    <w:rsid w:val="007A4444"/>
    <w:rsid w:val="007A5274"/>
    <w:rsid w:val="007A5F82"/>
    <w:rsid w:val="007C3946"/>
    <w:rsid w:val="007C6C1C"/>
    <w:rsid w:val="007D4A1E"/>
    <w:rsid w:val="007D5F9E"/>
    <w:rsid w:val="007E098F"/>
    <w:rsid w:val="007E3BA2"/>
    <w:rsid w:val="007E576F"/>
    <w:rsid w:val="007F1A4C"/>
    <w:rsid w:val="007F723F"/>
    <w:rsid w:val="00800BF2"/>
    <w:rsid w:val="008022C3"/>
    <w:rsid w:val="008041E6"/>
    <w:rsid w:val="008065D2"/>
    <w:rsid w:val="00815A8A"/>
    <w:rsid w:val="0081778B"/>
    <w:rsid w:val="0082194C"/>
    <w:rsid w:val="008222FF"/>
    <w:rsid w:val="008241FF"/>
    <w:rsid w:val="008411E9"/>
    <w:rsid w:val="00841617"/>
    <w:rsid w:val="0084200F"/>
    <w:rsid w:val="00843B2C"/>
    <w:rsid w:val="00844F16"/>
    <w:rsid w:val="00847BE1"/>
    <w:rsid w:val="00855FF9"/>
    <w:rsid w:val="0086277A"/>
    <w:rsid w:val="008668A8"/>
    <w:rsid w:val="008703D8"/>
    <w:rsid w:val="00870AE6"/>
    <w:rsid w:val="008768AD"/>
    <w:rsid w:val="00880AC4"/>
    <w:rsid w:val="00893E52"/>
    <w:rsid w:val="00894B49"/>
    <w:rsid w:val="00897157"/>
    <w:rsid w:val="00897447"/>
    <w:rsid w:val="008A0F79"/>
    <w:rsid w:val="008A306C"/>
    <w:rsid w:val="008A4900"/>
    <w:rsid w:val="008A55FE"/>
    <w:rsid w:val="008A58D2"/>
    <w:rsid w:val="008B0454"/>
    <w:rsid w:val="008B146D"/>
    <w:rsid w:val="008B42AD"/>
    <w:rsid w:val="008B5666"/>
    <w:rsid w:val="008C2C15"/>
    <w:rsid w:val="008C33FB"/>
    <w:rsid w:val="008D0281"/>
    <w:rsid w:val="008D0B40"/>
    <w:rsid w:val="008D39A9"/>
    <w:rsid w:val="008E2348"/>
    <w:rsid w:val="008F35A4"/>
    <w:rsid w:val="008F6D45"/>
    <w:rsid w:val="00911408"/>
    <w:rsid w:val="00916AD5"/>
    <w:rsid w:val="00922944"/>
    <w:rsid w:val="00936479"/>
    <w:rsid w:val="00937A10"/>
    <w:rsid w:val="00953A2C"/>
    <w:rsid w:val="0095569C"/>
    <w:rsid w:val="00966115"/>
    <w:rsid w:val="00972D82"/>
    <w:rsid w:val="009834C0"/>
    <w:rsid w:val="009844FD"/>
    <w:rsid w:val="00985905"/>
    <w:rsid w:val="00985A2F"/>
    <w:rsid w:val="00986AAC"/>
    <w:rsid w:val="00991C00"/>
    <w:rsid w:val="00994947"/>
    <w:rsid w:val="00995526"/>
    <w:rsid w:val="00996E62"/>
    <w:rsid w:val="009A1DA2"/>
    <w:rsid w:val="009A3704"/>
    <w:rsid w:val="009A4739"/>
    <w:rsid w:val="009A674F"/>
    <w:rsid w:val="009A6D22"/>
    <w:rsid w:val="009B1770"/>
    <w:rsid w:val="009B199C"/>
    <w:rsid w:val="009B1BBA"/>
    <w:rsid w:val="009B27E2"/>
    <w:rsid w:val="009B61F1"/>
    <w:rsid w:val="009B62E0"/>
    <w:rsid w:val="009C3D88"/>
    <w:rsid w:val="009D0DED"/>
    <w:rsid w:val="009D3D4E"/>
    <w:rsid w:val="009E0D59"/>
    <w:rsid w:val="009E1651"/>
    <w:rsid w:val="009E3858"/>
    <w:rsid w:val="009E467D"/>
    <w:rsid w:val="009E5E60"/>
    <w:rsid w:val="009E70DD"/>
    <w:rsid w:val="009F2ED9"/>
    <w:rsid w:val="009F3231"/>
    <w:rsid w:val="009F5C58"/>
    <w:rsid w:val="00A023A0"/>
    <w:rsid w:val="00A05EBC"/>
    <w:rsid w:val="00A131B1"/>
    <w:rsid w:val="00A1562B"/>
    <w:rsid w:val="00A170F4"/>
    <w:rsid w:val="00A21408"/>
    <w:rsid w:val="00A2160F"/>
    <w:rsid w:val="00A21CFD"/>
    <w:rsid w:val="00A25B78"/>
    <w:rsid w:val="00A46288"/>
    <w:rsid w:val="00A46A7C"/>
    <w:rsid w:val="00A46BA8"/>
    <w:rsid w:val="00A47634"/>
    <w:rsid w:val="00A612FE"/>
    <w:rsid w:val="00A70B49"/>
    <w:rsid w:val="00A92D94"/>
    <w:rsid w:val="00A968C5"/>
    <w:rsid w:val="00AA26B8"/>
    <w:rsid w:val="00AA5647"/>
    <w:rsid w:val="00AC0B87"/>
    <w:rsid w:val="00AC2624"/>
    <w:rsid w:val="00AC32A8"/>
    <w:rsid w:val="00AC75FE"/>
    <w:rsid w:val="00AD7E4E"/>
    <w:rsid w:val="00AE21D6"/>
    <w:rsid w:val="00AF4D58"/>
    <w:rsid w:val="00AF6666"/>
    <w:rsid w:val="00AF7BC5"/>
    <w:rsid w:val="00B2343F"/>
    <w:rsid w:val="00B81B44"/>
    <w:rsid w:val="00B9053B"/>
    <w:rsid w:val="00B927D9"/>
    <w:rsid w:val="00BA0C37"/>
    <w:rsid w:val="00BA3782"/>
    <w:rsid w:val="00BB0065"/>
    <w:rsid w:val="00BB4D98"/>
    <w:rsid w:val="00BB4EBF"/>
    <w:rsid w:val="00BB59E0"/>
    <w:rsid w:val="00BC07DF"/>
    <w:rsid w:val="00BC3422"/>
    <w:rsid w:val="00BC6E19"/>
    <w:rsid w:val="00BD11C2"/>
    <w:rsid w:val="00BD5018"/>
    <w:rsid w:val="00BE5ADC"/>
    <w:rsid w:val="00BF4F96"/>
    <w:rsid w:val="00C015B9"/>
    <w:rsid w:val="00C022F9"/>
    <w:rsid w:val="00C032EA"/>
    <w:rsid w:val="00C06EB5"/>
    <w:rsid w:val="00C1145F"/>
    <w:rsid w:val="00C11CD1"/>
    <w:rsid w:val="00C1705E"/>
    <w:rsid w:val="00C2089F"/>
    <w:rsid w:val="00C32D49"/>
    <w:rsid w:val="00C33AD3"/>
    <w:rsid w:val="00C35D53"/>
    <w:rsid w:val="00C41B3C"/>
    <w:rsid w:val="00C43F06"/>
    <w:rsid w:val="00C44BD8"/>
    <w:rsid w:val="00C51C01"/>
    <w:rsid w:val="00C637E1"/>
    <w:rsid w:val="00C67EAC"/>
    <w:rsid w:val="00C7098C"/>
    <w:rsid w:val="00C70D50"/>
    <w:rsid w:val="00C72252"/>
    <w:rsid w:val="00C821CE"/>
    <w:rsid w:val="00C907D7"/>
    <w:rsid w:val="00C92338"/>
    <w:rsid w:val="00C94A3B"/>
    <w:rsid w:val="00CA05DC"/>
    <w:rsid w:val="00CA7B47"/>
    <w:rsid w:val="00CB3976"/>
    <w:rsid w:val="00CB3BE8"/>
    <w:rsid w:val="00CB7970"/>
    <w:rsid w:val="00CC0347"/>
    <w:rsid w:val="00CD0307"/>
    <w:rsid w:val="00CD3C79"/>
    <w:rsid w:val="00CD3D1B"/>
    <w:rsid w:val="00CD71C4"/>
    <w:rsid w:val="00CE590E"/>
    <w:rsid w:val="00CE61C3"/>
    <w:rsid w:val="00D02663"/>
    <w:rsid w:val="00D0633E"/>
    <w:rsid w:val="00D12E74"/>
    <w:rsid w:val="00D2312F"/>
    <w:rsid w:val="00D23B04"/>
    <w:rsid w:val="00D269C1"/>
    <w:rsid w:val="00D30ED5"/>
    <w:rsid w:val="00D310AC"/>
    <w:rsid w:val="00D32583"/>
    <w:rsid w:val="00D41230"/>
    <w:rsid w:val="00D41B2F"/>
    <w:rsid w:val="00D44953"/>
    <w:rsid w:val="00D502B9"/>
    <w:rsid w:val="00D542F3"/>
    <w:rsid w:val="00D54513"/>
    <w:rsid w:val="00D54AAE"/>
    <w:rsid w:val="00D5644B"/>
    <w:rsid w:val="00D56E25"/>
    <w:rsid w:val="00D57E89"/>
    <w:rsid w:val="00D6560D"/>
    <w:rsid w:val="00D65D77"/>
    <w:rsid w:val="00D718D7"/>
    <w:rsid w:val="00D76AD4"/>
    <w:rsid w:val="00D814B7"/>
    <w:rsid w:val="00D8416D"/>
    <w:rsid w:val="00D858A3"/>
    <w:rsid w:val="00D878D1"/>
    <w:rsid w:val="00D90688"/>
    <w:rsid w:val="00D975DC"/>
    <w:rsid w:val="00DA3AAD"/>
    <w:rsid w:val="00DA3F36"/>
    <w:rsid w:val="00DB312B"/>
    <w:rsid w:val="00DB62AA"/>
    <w:rsid w:val="00DC5654"/>
    <w:rsid w:val="00DC658F"/>
    <w:rsid w:val="00DC674A"/>
    <w:rsid w:val="00DE60CC"/>
    <w:rsid w:val="00E03F35"/>
    <w:rsid w:val="00E26B32"/>
    <w:rsid w:val="00E27629"/>
    <w:rsid w:val="00E3072D"/>
    <w:rsid w:val="00E31CD4"/>
    <w:rsid w:val="00E31E60"/>
    <w:rsid w:val="00E33E08"/>
    <w:rsid w:val="00E407B6"/>
    <w:rsid w:val="00E41D82"/>
    <w:rsid w:val="00E41EF1"/>
    <w:rsid w:val="00E42942"/>
    <w:rsid w:val="00E6148E"/>
    <w:rsid w:val="00E65A0A"/>
    <w:rsid w:val="00E71BDF"/>
    <w:rsid w:val="00E75CCB"/>
    <w:rsid w:val="00E8245B"/>
    <w:rsid w:val="00E82C21"/>
    <w:rsid w:val="00E82F59"/>
    <w:rsid w:val="00E83CA7"/>
    <w:rsid w:val="00E90DB9"/>
    <w:rsid w:val="00E92192"/>
    <w:rsid w:val="00E95A71"/>
    <w:rsid w:val="00EB7014"/>
    <w:rsid w:val="00EC5CDE"/>
    <w:rsid w:val="00EC7F2A"/>
    <w:rsid w:val="00ED0999"/>
    <w:rsid w:val="00ED3077"/>
    <w:rsid w:val="00ED487E"/>
    <w:rsid w:val="00ED64F1"/>
    <w:rsid w:val="00ED7245"/>
    <w:rsid w:val="00EE33A1"/>
    <w:rsid w:val="00EE7A0D"/>
    <w:rsid w:val="00F0222C"/>
    <w:rsid w:val="00F06647"/>
    <w:rsid w:val="00F12312"/>
    <w:rsid w:val="00F12BCD"/>
    <w:rsid w:val="00F12E10"/>
    <w:rsid w:val="00F13239"/>
    <w:rsid w:val="00F17CE1"/>
    <w:rsid w:val="00F2115C"/>
    <w:rsid w:val="00F22ABA"/>
    <w:rsid w:val="00F22C82"/>
    <w:rsid w:val="00F23DDF"/>
    <w:rsid w:val="00F25919"/>
    <w:rsid w:val="00F25F4B"/>
    <w:rsid w:val="00F30C43"/>
    <w:rsid w:val="00F36B12"/>
    <w:rsid w:val="00F50E44"/>
    <w:rsid w:val="00F56E9F"/>
    <w:rsid w:val="00F60F9F"/>
    <w:rsid w:val="00F61246"/>
    <w:rsid w:val="00F64F08"/>
    <w:rsid w:val="00F70055"/>
    <w:rsid w:val="00F734F5"/>
    <w:rsid w:val="00F73B5B"/>
    <w:rsid w:val="00F80A39"/>
    <w:rsid w:val="00F8536E"/>
    <w:rsid w:val="00F90EA5"/>
    <w:rsid w:val="00F91F5A"/>
    <w:rsid w:val="00F9294F"/>
    <w:rsid w:val="00F966B1"/>
    <w:rsid w:val="00F97D48"/>
    <w:rsid w:val="00FA0311"/>
    <w:rsid w:val="00FA1489"/>
    <w:rsid w:val="00FA460E"/>
    <w:rsid w:val="00FB663B"/>
    <w:rsid w:val="00FC4610"/>
    <w:rsid w:val="00FD50F0"/>
    <w:rsid w:val="00FD640F"/>
    <w:rsid w:val="00FD6B4C"/>
    <w:rsid w:val="00FE04C6"/>
    <w:rsid w:val="00FE0553"/>
    <w:rsid w:val="00FE25D0"/>
    <w:rsid w:val="00FE4EE3"/>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paragraph" w:customStyle="1" w:styleId="DHHSbullet1">
    <w:name w:val="DHHS bullet 1"/>
    <w:basedOn w:val="Normal"/>
    <w:qFormat/>
    <w:rsid w:val="00F23DDF"/>
    <w:pPr>
      <w:numPr>
        <w:numId w:val="13"/>
      </w:numPr>
      <w:spacing w:before="0" w:after="40" w:line="270" w:lineRule="atLeast"/>
    </w:pPr>
    <w:rPr>
      <w:rFonts w:ascii="Arial" w:eastAsia="Times" w:hAnsi="Arial" w:cs="Times New Roman"/>
      <w:lang w:eastAsia="en-US"/>
    </w:rPr>
  </w:style>
  <w:style w:type="paragraph" w:customStyle="1" w:styleId="DHHSbullet2">
    <w:name w:val="DHHS bullet 2"/>
    <w:basedOn w:val="Normal"/>
    <w:uiPriority w:val="2"/>
    <w:qFormat/>
    <w:rsid w:val="00F23DDF"/>
    <w:pPr>
      <w:numPr>
        <w:ilvl w:val="2"/>
        <w:numId w:val="13"/>
      </w:numPr>
      <w:spacing w:before="0" w:after="40" w:line="270" w:lineRule="atLeast"/>
    </w:pPr>
    <w:rPr>
      <w:rFonts w:ascii="Arial" w:eastAsia="Times" w:hAnsi="Arial" w:cs="Times New Roman"/>
      <w:lang w:eastAsia="en-US"/>
    </w:rPr>
  </w:style>
  <w:style w:type="paragraph" w:customStyle="1" w:styleId="DHHSbullet1lastline">
    <w:name w:val="DHHS bullet 1 last line"/>
    <w:basedOn w:val="DHHSbullet1"/>
    <w:qFormat/>
    <w:rsid w:val="00F23DDF"/>
    <w:pPr>
      <w:numPr>
        <w:ilvl w:val="1"/>
      </w:numPr>
      <w:spacing w:after="120"/>
    </w:pPr>
  </w:style>
  <w:style w:type="paragraph" w:customStyle="1" w:styleId="DHHSbullet2lastline">
    <w:name w:val="DHHS bullet 2 last line"/>
    <w:basedOn w:val="DHHSbullet2"/>
    <w:uiPriority w:val="2"/>
    <w:qFormat/>
    <w:rsid w:val="00F23DDF"/>
    <w:pPr>
      <w:numPr>
        <w:ilvl w:val="3"/>
      </w:numPr>
      <w:spacing w:after="120"/>
    </w:pPr>
  </w:style>
  <w:style w:type="paragraph" w:customStyle="1" w:styleId="DHHStablebullet">
    <w:name w:val="DHHS table bullet"/>
    <w:basedOn w:val="Normal"/>
    <w:uiPriority w:val="3"/>
    <w:qFormat/>
    <w:rsid w:val="00F23DDF"/>
    <w:pPr>
      <w:numPr>
        <w:ilvl w:val="6"/>
        <w:numId w:val="13"/>
      </w:numPr>
      <w:spacing w:before="80" w:after="60" w:line="240" w:lineRule="auto"/>
    </w:pPr>
    <w:rPr>
      <w:rFonts w:ascii="Arial" w:eastAsia="Times New Roman" w:hAnsi="Arial" w:cs="Times New Roman"/>
      <w:lang w:eastAsia="en-US"/>
    </w:rPr>
  </w:style>
  <w:style w:type="numbering" w:customStyle="1" w:styleId="ZZBullets">
    <w:name w:val="ZZ Bullets"/>
    <w:rsid w:val="00F23DDF"/>
    <w:pPr>
      <w:numPr>
        <w:numId w:val="13"/>
      </w:numPr>
    </w:pPr>
  </w:style>
  <w:style w:type="paragraph" w:customStyle="1" w:styleId="DHHSbulletindent">
    <w:name w:val="DHHS bullet indent"/>
    <w:basedOn w:val="Normal"/>
    <w:uiPriority w:val="4"/>
    <w:rsid w:val="00F23DDF"/>
    <w:pPr>
      <w:numPr>
        <w:ilvl w:val="4"/>
        <w:numId w:val="13"/>
      </w:numPr>
      <w:spacing w:before="0" w:after="40" w:line="270" w:lineRule="atLeast"/>
    </w:pPr>
    <w:rPr>
      <w:rFonts w:ascii="Arial" w:eastAsia="Times" w:hAnsi="Arial" w:cs="Times New Roman"/>
      <w:lang w:eastAsia="en-US"/>
    </w:rPr>
  </w:style>
  <w:style w:type="paragraph" w:customStyle="1" w:styleId="DHHSbulletindentlastline">
    <w:name w:val="DHHS bullet indent last line"/>
    <w:basedOn w:val="Normal"/>
    <w:uiPriority w:val="4"/>
    <w:rsid w:val="00F23DDF"/>
    <w:pPr>
      <w:numPr>
        <w:ilvl w:val="5"/>
        <w:numId w:val="13"/>
      </w:numPr>
      <w:spacing w:before="0" w:after="120" w:line="270" w:lineRule="atLeast"/>
    </w:pPr>
    <w:rPr>
      <w:rFonts w:ascii="Arial" w:eastAsia="Times"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4A8D-B694-4059-BB18-FAC3A05B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Rapid access musculoskeletal care</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2020-12-18T01:02:00Z</dcterms:created>
  <dcterms:modified xsi:type="dcterms:W3CDTF">2020-12-18T01:13:00Z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2020-12-18T01:03:11Z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c92fd352-1e47-4840-aeff-87b37651b271</vt:lpwstr>
  </property>
  <property fmtid="{D5CDD505-2E9C-101B-9397-08002B2CF9AE}" pid="8" name="MSIP_Label_efdf5488-3066-4b6c-8fea-9472b8a1f34c_ContentBits">
    <vt:lpwstr>0</vt:lpwstr>
  </property>
</Properties>
</file>