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794CD114" w:rsidR="00A46288" w:rsidRPr="00DA3F36" w:rsidRDefault="00FF1200" w:rsidP="007A4444">
      <w:pPr>
        <w:pStyle w:val="Title"/>
      </w:pPr>
      <w:bookmarkStart w:id="0" w:name="_GoBack"/>
      <w:bookmarkEnd w:id="0"/>
      <w:r>
        <w:t>increasing rural access to support for alcohol and other drugs</w:t>
      </w:r>
    </w:p>
    <w:p w14:paraId="6800B4C5" w14:textId="46F3E717" w:rsidR="00897157" w:rsidRDefault="004C66F1" w:rsidP="00E03F35">
      <w:pPr>
        <w:pStyle w:val="IntroductoryText"/>
      </w:pPr>
      <w:r>
        <w:t xml:space="preserve">In 2016, drug and alcohol abuse was a growing </w:t>
      </w:r>
      <w:r w:rsidR="002878FD" w:rsidRPr="002878FD">
        <w:t xml:space="preserve">concern for </w:t>
      </w:r>
      <w:r>
        <w:t>the Southern Otways region</w:t>
      </w:r>
      <w:r w:rsidR="009E595E">
        <w:t xml:space="preserve"> in rural Victoria. However, </w:t>
      </w:r>
      <w:r w:rsidR="001B2A56">
        <w:t>access to specialised services to provide support for these issues</w:t>
      </w:r>
      <w:r w:rsidR="009E595E">
        <w:t xml:space="preserve"> was limited</w:t>
      </w:r>
      <w:r w:rsidR="001B2A56">
        <w:t xml:space="preserve">. </w:t>
      </w:r>
      <w:r w:rsidR="00A73FE0">
        <w:t xml:space="preserve">To address this, </w:t>
      </w:r>
      <w:r w:rsidR="001B2A56">
        <w:t xml:space="preserve">two small </w:t>
      </w:r>
      <w:r w:rsidR="00A73FE0">
        <w:t xml:space="preserve">health services </w:t>
      </w:r>
      <w:r w:rsidR="001B2A56">
        <w:t>in the region partnered with a major drug and alcohol recovery facility</w:t>
      </w:r>
      <w:r w:rsidR="00360C0B">
        <w:t xml:space="preserve">, </w:t>
      </w:r>
      <w:r w:rsidR="00A73FE0">
        <w:t>design</w:t>
      </w:r>
      <w:r w:rsidR="00360C0B">
        <w:t>ing</w:t>
      </w:r>
      <w:r w:rsidR="00A73FE0">
        <w:t xml:space="preserve"> a</w:t>
      </w:r>
      <w:r w:rsidR="001B2A56">
        <w:t xml:space="preserve"> </w:t>
      </w:r>
      <w:r w:rsidR="002878FD" w:rsidRPr="002878FD">
        <w:t xml:space="preserve">telehealth service model </w:t>
      </w:r>
      <w:r w:rsidR="001B2A56">
        <w:t xml:space="preserve">to </w:t>
      </w:r>
      <w:r w:rsidR="002878FD" w:rsidRPr="002878FD">
        <w:t>improve access to specialist care.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6C266F14" w14:textId="762C60CE" w:rsidR="00A73FE0" w:rsidRDefault="0048720C" w:rsidP="002878FD">
      <w:pPr>
        <w:pStyle w:val="Normalfollowingheading"/>
      </w:pPr>
      <w:r>
        <w:t>In 2016, t</w:t>
      </w:r>
      <w:r w:rsidR="002878FD">
        <w:t xml:space="preserve">he number of Colac Otway Shire residents undergoing drug and alcohol treatment </w:t>
      </w:r>
      <w:r>
        <w:t xml:space="preserve">was </w:t>
      </w:r>
      <w:r w:rsidR="002878FD">
        <w:t>9.2 per 1,000</w:t>
      </w:r>
      <w:r>
        <w:t xml:space="preserve"> people</w:t>
      </w:r>
      <w:r w:rsidR="002878FD">
        <w:t xml:space="preserve">, </w:t>
      </w:r>
      <w:r>
        <w:t xml:space="preserve">almost </w:t>
      </w:r>
      <w:r w:rsidR="004D6696">
        <w:t xml:space="preserve">two times </w:t>
      </w:r>
      <w:r w:rsidR="002878FD">
        <w:t xml:space="preserve">the Victorian average. </w:t>
      </w:r>
      <w:r w:rsidR="00A73FE0">
        <w:t>D</w:t>
      </w:r>
      <w:r w:rsidR="00A73FE0" w:rsidRPr="002878FD">
        <w:t xml:space="preserve">rug use and possession </w:t>
      </w:r>
      <w:r w:rsidR="00A73FE0">
        <w:t xml:space="preserve">convictions had doubled and </w:t>
      </w:r>
      <w:r w:rsidR="00A73FE0" w:rsidRPr="002878FD">
        <w:t xml:space="preserve">episodes of care for methamphetamine misuse </w:t>
      </w:r>
      <w:r w:rsidR="00A73FE0">
        <w:t xml:space="preserve">had </w:t>
      </w:r>
      <w:r>
        <w:t xml:space="preserve">also </w:t>
      </w:r>
      <w:r w:rsidR="00A73FE0">
        <w:t>increased by more than 40 per cent.</w:t>
      </w:r>
      <w:r w:rsidR="00A73FE0" w:rsidRPr="002878FD">
        <w:t xml:space="preserve"> </w:t>
      </w:r>
    </w:p>
    <w:p w14:paraId="353FCDF9" w14:textId="38053984" w:rsidR="0044173E" w:rsidRDefault="004D6696" w:rsidP="0044173E">
      <w:r>
        <w:t>T</w:t>
      </w:r>
      <w:r w:rsidR="001B2A56">
        <w:t xml:space="preserve">he local health services, </w:t>
      </w:r>
      <w:r w:rsidR="001B2A56" w:rsidRPr="001B2A56">
        <w:t>Otway Health and Lorne Community Hospital</w:t>
      </w:r>
      <w:r>
        <w:t>,</w:t>
      </w:r>
      <w:r w:rsidR="001B2A56" w:rsidRPr="001B2A56">
        <w:t xml:space="preserve"> </w:t>
      </w:r>
      <w:r w:rsidR="001B2A56">
        <w:t xml:space="preserve">had </w:t>
      </w:r>
      <w:r w:rsidR="001B2A56" w:rsidRPr="001B2A56">
        <w:t>limited capacity to deliver targeted or mandated drug and alcohol support to the local community</w:t>
      </w:r>
      <w:r>
        <w:t>. Travel</w:t>
      </w:r>
      <w:r w:rsidR="001B2A56">
        <w:t xml:space="preserve">, particularly a lack of public transport, </w:t>
      </w:r>
      <w:r>
        <w:t xml:space="preserve">also </w:t>
      </w:r>
      <w:r w:rsidR="001B2A56">
        <w:t xml:space="preserve">posed a significant barrier to people </w:t>
      </w:r>
      <w:r>
        <w:t xml:space="preserve">seeking access to </w:t>
      </w:r>
      <w:r w:rsidR="002941FF">
        <w:t>support services for alcohol and other drugs (AoD)</w:t>
      </w:r>
      <w:r w:rsidR="001B2A56">
        <w:t>.</w:t>
      </w:r>
    </w:p>
    <w:p w14:paraId="7E2DB271" w14:textId="64F1141D" w:rsidR="00A310FA" w:rsidRDefault="006426A0" w:rsidP="00360C0B">
      <w:r>
        <w:t xml:space="preserve">The two health services joined with </w:t>
      </w:r>
      <w:r w:rsidR="002878FD">
        <w:t>Windana Drug and Alcohol Recovery</w:t>
      </w:r>
      <w:r w:rsidR="009E595E">
        <w:t xml:space="preserve">, </w:t>
      </w:r>
      <w:r w:rsidR="009E595E" w:rsidRPr="009E595E">
        <w:t>a statewide specialist AoD service located in Melbourne</w:t>
      </w:r>
      <w:r w:rsidR="009E595E">
        <w:t>,</w:t>
      </w:r>
      <w:r w:rsidR="002878FD">
        <w:t xml:space="preserve"> to </w:t>
      </w:r>
      <w:r w:rsidR="00AF0871">
        <w:t xml:space="preserve">enable clients to </w:t>
      </w:r>
      <w:r w:rsidR="00A310FA">
        <w:t>access</w:t>
      </w:r>
      <w:r w:rsidR="00AF0871">
        <w:t xml:space="preserve"> specialised </w:t>
      </w:r>
      <w:r w:rsidR="002941FF">
        <w:t xml:space="preserve">AoD </w:t>
      </w:r>
      <w:r w:rsidR="00AF0871">
        <w:t xml:space="preserve">support </w:t>
      </w:r>
      <w:r w:rsidR="00A310FA">
        <w:t xml:space="preserve">from </w:t>
      </w:r>
      <w:r w:rsidR="00AF0871">
        <w:t xml:space="preserve">their home or local health service via telehealth. </w:t>
      </w:r>
      <w:r w:rsidR="00A310FA" w:rsidRPr="008E2A02">
        <w:t xml:space="preserve">The project </w:t>
      </w:r>
      <w:r w:rsidR="00A310FA">
        <w:t xml:space="preserve">focussed </w:t>
      </w:r>
      <w:r w:rsidR="00A310FA" w:rsidRPr="008E2A02">
        <w:t>on building regional capacity through education and formalised pathways of care.</w:t>
      </w:r>
    </w:p>
    <w:p w14:paraId="127181A7" w14:textId="239AA160" w:rsidR="002878FD" w:rsidRDefault="00A310FA" w:rsidP="002878FD">
      <w:pPr>
        <w:pStyle w:val="Normalfollowingheading"/>
      </w:pPr>
      <w:r>
        <w:t xml:space="preserve">In establishing the new </w:t>
      </w:r>
      <w:r w:rsidR="002878FD">
        <w:t xml:space="preserve">telehealth </w:t>
      </w:r>
      <w:r>
        <w:t>service model, the project team aimed to</w:t>
      </w:r>
      <w:r w:rsidR="002878FD">
        <w:t xml:space="preserve">:  </w:t>
      </w:r>
    </w:p>
    <w:p w14:paraId="278794AC" w14:textId="19313A11" w:rsidR="002878FD" w:rsidRDefault="00A310FA" w:rsidP="00A310FA">
      <w:pPr>
        <w:pStyle w:val="Bullet1"/>
      </w:pPr>
      <w:r>
        <w:t>p</w:t>
      </w:r>
      <w:r w:rsidR="002878FD">
        <w:t>rovide an alternative to face-to-face service deliver</w:t>
      </w:r>
      <w:r>
        <w:t>y</w:t>
      </w:r>
      <w:r w:rsidR="002878FD">
        <w:t xml:space="preserve"> to enhance accessibility</w:t>
      </w:r>
    </w:p>
    <w:p w14:paraId="175F5C62" w14:textId="26AC1902" w:rsidR="002878FD" w:rsidRDefault="002878FD" w:rsidP="00A310FA">
      <w:pPr>
        <w:pStyle w:val="Bullet1"/>
      </w:pPr>
      <w:r>
        <w:t>reduce the burden of travel and associated costs</w:t>
      </w:r>
    </w:p>
    <w:p w14:paraId="4067E388" w14:textId="1E01D201" w:rsidR="002878FD" w:rsidRDefault="002878FD" w:rsidP="00A310FA">
      <w:pPr>
        <w:pStyle w:val="Bullet1"/>
      </w:pPr>
      <w:r>
        <w:t xml:space="preserve">ensure greater compliance with </w:t>
      </w:r>
      <w:r w:rsidR="00A310FA">
        <w:t xml:space="preserve">rehabilitation </w:t>
      </w:r>
      <w:r>
        <w:t>program</w:t>
      </w:r>
      <w:r w:rsidR="00A310FA">
        <w:t>s</w:t>
      </w:r>
      <w:r>
        <w:t xml:space="preserve"> and successful completion of treatment.</w:t>
      </w:r>
    </w:p>
    <w:p w14:paraId="39D87DE4" w14:textId="7913BD49" w:rsidR="008E2A02" w:rsidRPr="008E2A02" w:rsidRDefault="008E2A02" w:rsidP="008E2A02"/>
    <w:p w14:paraId="17AC57C9" w14:textId="7BDE749F" w:rsidR="00E41D82" w:rsidRDefault="00A2160F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br w:type="column"/>
      </w:r>
      <w:r w:rsidR="00C7098C"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5BE8AB60">
                <wp:extent cx="3230245" cy="42767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42767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FB7" w14:textId="24DD09C6" w:rsidR="00C7098C" w:rsidRPr="004D6898" w:rsidRDefault="00485D29" w:rsidP="00C7098C">
                            <w:pPr>
                              <w:pStyle w:val="PulloutHeading"/>
                            </w:pPr>
                            <w:r w:rsidRPr="00485D29">
                              <w:t xml:space="preserve">Remote </w:t>
                            </w:r>
                            <w:r>
                              <w:t>d</w:t>
                            </w:r>
                            <w:r w:rsidRPr="00485D29">
                              <w:t xml:space="preserve">rug and </w:t>
                            </w:r>
                            <w:r>
                              <w:t>a</w:t>
                            </w:r>
                            <w:r w:rsidRPr="00485D29">
                              <w:t xml:space="preserve">lcohol </w:t>
                            </w:r>
                            <w:r>
                              <w:t>r</w:t>
                            </w:r>
                            <w:r w:rsidRPr="00485D29">
                              <w:t xml:space="preserve">ecovery for the Southern Otways </w:t>
                            </w:r>
                            <w:r>
                              <w:t>r</w:t>
                            </w:r>
                            <w:r w:rsidRPr="00485D29">
                              <w:t xml:space="preserve">egion </w:t>
                            </w:r>
                          </w:p>
                          <w:p w14:paraId="3BCE2E88" w14:textId="006B8BC1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485D29">
                              <w:t>Otway Health</w:t>
                            </w:r>
                          </w:p>
                          <w:p w14:paraId="6FDBE315" w14:textId="415B12CA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485D29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r w:rsidR="00485D29" w:rsidRPr="00485D29">
                              <w:t>Lorne Community Hospital</w:t>
                            </w:r>
                            <w:r w:rsidR="00485D29">
                              <w:t xml:space="preserve">, </w:t>
                            </w:r>
                            <w:r w:rsidR="00485D29" w:rsidRPr="00485D29">
                              <w:t>Windana Drug and Alcohol Recovery Inc.</w:t>
                            </w:r>
                          </w:p>
                          <w:p w14:paraId="59A54D14" w14:textId="03818902" w:rsidR="00C7098C" w:rsidRPr="00485D29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485D2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85D29">
                              <w:t>August 2016 – March 2018</w:t>
                            </w:r>
                          </w:p>
                          <w:p w14:paraId="29DC0549" w14:textId="349191F1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05A31DBA" w14:textId="1B854BBC" w:rsidR="000451F8" w:rsidRDefault="000451F8" w:rsidP="00A306E8">
                            <w:pPr>
                              <w:pStyle w:val="Bullet1"/>
                            </w:pPr>
                            <w:r>
                              <w:t xml:space="preserve">Increased local clinicians’ confidence </w:t>
                            </w:r>
                            <w:r w:rsidR="00360C0B">
                              <w:t xml:space="preserve">in </w:t>
                            </w:r>
                            <w:r>
                              <w:t>discuss</w:t>
                            </w:r>
                            <w:r w:rsidR="00360C0B">
                              <w:t>ing</w:t>
                            </w:r>
                            <w:r>
                              <w:t xml:space="preserve"> </w:t>
                            </w:r>
                            <w:r w:rsidR="00E414C2">
                              <w:t xml:space="preserve">AoD </w:t>
                            </w:r>
                            <w:r>
                              <w:t>issues with clients and refer</w:t>
                            </w:r>
                            <w:r w:rsidR="00360C0B">
                              <w:t>ring</w:t>
                            </w:r>
                            <w:r>
                              <w:t xml:space="preserve"> them to appropriate services</w:t>
                            </w:r>
                          </w:p>
                          <w:p w14:paraId="6C8071D0" w14:textId="57E4F729" w:rsidR="00E414C2" w:rsidRDefault="00E414C2" w:rsidP="006F3FCD">
                            <w:pPr>
                              <w:pStyle w:val="Bullet1"/>
                            </w:pPr>
                            <w:r>
                              <w:t xml:space="preserve">Identified valuable </w:t>
                            </w:r>
                            <w:r w:rsidRPr="00E414C2">
                              <w:t>learning</w:t>
                            </w:r>
                            <w:r>
                              <w:t xml:space="preserve">s about the AoD client cohort that can be used to </w:t>
                            </w:r>
                            <w:r w:rsidRPr="00E414C2">
                              <w:t>inform the roll out of future telehealth and AoD services in regional areas of Australia</w:t>
                            </w:r>
                            <w:r>
                              <w:t>, including:</w:t>
                            </w:r>
                          </w:p>
                          <w:p w14:paraId="05EAB5EB" w14:textId="11B54BC9" w:rsidR="00E414C2" w:rsidRDefault="00E414C2" w:rsidP="00E414C2">
                            <w:pPr>
                              <w:pStyle w:val="Bullet2"/>
                            </w:pPr>
                            <w:r>
                              <w:t xml:space="preserve">the </w:t>
                            </w:r>
                            <w:r w:rsidR="009F3FE4">
                              <w:t xml:space="preserve">importance </w:t>
                            </w:r>
                            <w:r>
                              <w:t>of building trust and rapport through initial face-to-face engagement</w:t>
                            </w:r>
                            <w:r w:rsidR="009F3FE4">
                              <w:t xml:space="preserve"> with a</w:t>
                            </w:r>
                            <w:r w:rsidR="00360C0B">
                              <w:t xml:space="preserve"> qualified </w:t>
                            </w:r>
                            <w:r w:rsidR="009F3FE4">
                              <w:t xml:space="preserve">AoD </w:t>
                            </w:r>
                            <w:r w:rsidR="00360C0B">
                              <w:t>outreach worker</w:t>
                            </w:r>
                          </w:p>
                          <w:p w14:paraId="44E4E9ED" w14:textId="219404D7" w:rsidR="009F3FE4" w:rsidRPr="00911408" w:rsidRDefault="009F3FE4" w:rsidP="00E414C2">
                            <w:pPr>
                              <w:pStyle w:val="Bullet2"/>
                            </w:pPr>
                            <w:r>
                              <w:t xml:space="preserve">the need to provide </w:t>
                            </w:r>
                            <w:r w:rsidRPr="009F3FE4">
                              <w:t>individual client pathway</w:t>
                            </w:r>
                            <w:r>
                              <w:t xml:space="preserve"> planning to provide more person-centred care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" fillcolor="#feead2" strokecolor="#feead2" strokeweight=".5pt">
                <v:textbox inset="5mm,5mm,4mm,1mm">
                  <w:txbxContent>
                    <w:p w14:paraId="14988FB7" w14:textId="24DD09C6" w:rsidR="00C7098C" w:rsidRPr="004D6898" w:rsidRDefault="00485D29" w:rsidP="00C7098C">
                      <w:pPr>
                        <w:pStyle w:val="PulloutHeading"/>
                      </w:pPr>
                      <w:r w:rsidRPr="00485D29">
                        <w:t xml:space="preserve">Remote </w:t>
                      </w:r>
                      <w:r>
                        <w:t>d</w:t>
                      </w:r>
                      <w:r w:rsidRPr="00485D29">
                        <w:t xml:space="preserve">rug and </w:t>
                      </w:r>
                      <w:r>
                        <w:t>a</w:t>
                      </w:r>
                      <w:r w:rsidRPr="00485D29">
                        <w:t xml:space="preserve">lcohol </w:t>
                      </w:r>
                      <w:r>
                        <w:t>r</w:t>
                      </w:r>
                      <w:r w:rsidRPr="00485D29">
                        <w:t xml:space="preserve">ecovery for the Southern </w:t>
                      </w:r>
                      <w:proofErr w:type="spellStart"/>
                      <w:r w:rsidRPr="00485D29">
                        <w:t>Otways</w:t>
                      </w:r>
                      <w:proofErr w:type="spellEnd"/>
                      <w:r w:rsidRPr="00485D29">
                        <w:t xml:space="preserve"> </w:t>
                      </w:r>
                      <w:r>
                        <w:t>r</w:t>
                      </w:r>
                      <w:r w:rsidRPr="00485D29">
                        <w:t xml:space="preserve">egion </w:t>
                      </w:r>
                    </w:p>
                    <w:p w14:paraId="3BCE2E88" w14:textId="006B8BC1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485D29">
                        <w:t>Otway Health</w:t>
                      </w:r>
                    </w:p>
                    <w:p w14:paraId="6FDBE315" w14:textId="415B12CA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485D29">
                        <w:rPr>
                          <w:b/>
                          <w:bCs/>
                        </w:rPr>
                        <w:t xml:space="preserve">s </w:t>
                      </w:r>
                      <w:r w:rsidR="00485D29" w:rsidRPr="00485D29">
                        <w:t>Lorne Community Hospital</w:t>
                      </w:r>
                      <w:r w:rsidR="00485D29">
                        <w:t xml:space="preserve">, </w:t>
                      </w:r>
                      <w:proofErr w:type="spellStart"/>
                      <w:r w:rsidR="00485D29" w:rsidRPr="00485D29">
                        <w:t>Windana</w:t>
                      </w:r>
                      <w:proofErr w:type="spellEnd"/>
                      <w:r w:rsidR="00485D29" w:rsidRPr="00485D29">
                        <w:t xml:space="preserve"> Drug and Alcohol Recovery Inc.</w:t>
                      </w:r>
                    </w:p>
                    <w:p w14:paraId="59A54D14" w14:textId="03818902" w:rsidR="00C7098C" w:rsidRPr="00485D29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485D29">
                        <w:rPr>
                          <w:b/>
                          <w:bCs/>
                        </w:rPr>
                        <w:t xml:space="preserve"> </w:t>
                      </w:r>
                      <w:r w:rsidR="00485D29">
                        <w:t>August 2016 – March 2018</w:t>
                      </w:r>
                    </w:p>
                    <w:p w14:paraId="29DC0549" w14:textId="349191F1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05A31DBA" w14:textId="1B854BBC" w:rsidR="000451F8" w:rsidRDefault="000451F8" w:rsidP="00A306E8">
                      <w:pPr>
                        <w:pStyle w:val="Bullet1"/>
                      </w:pPr>
                      <w:r>
                        <w:t xml:space="preserve">Increased local clinicians’ confidence </w:t>
                      </w:r>
                      <w:r w:rsidR="00360C0B">
                        <w:t xml:space="preserve">in </w:t>
                      </w:r>
                      <w:r>
                        <w:t>discuss</w:t>
                      </w:r>
                      <w:r w:rsidR="00360C0B">
                        <w:t>ing</w:t>
                      </w:r>
                      <w:r>
                        <w:t xml:space="preserve"> </w:t>
                      </w:r>
                      <w:proofErr w:type="spellStart"/>
                      <w:r w:rsidR="00E414C2">
                        <w:t>AoD</w:t>
                      </w:r>
                      <w:proofErr w:type="spellEnd"/>
                      <w:r w:rsidR="00E414C2">
                        <w:t xml:space="preserve"> </w:t>
                      </w:r>
                      <w:r>
                        <w:t>issues with clients and refer</w:t>
                      </w:r>
                      <w:r w:rsidR="00360C0B">
                        <w:t>ring</w:t>
                      </w:r>
                      <w:r>
                        <w:t xml:space="preserve"> them to appropriate services</w:t>
                      </w:r>
                    </w:p>
                    <w:p w14:paraId="6C8071D0" w14:textId="57E4F729" w:rsidR="00E414C2" w:rsidRDefault="00E414C2" w:rsidP="006F3FCD">
                      <w:pPr>
                        <w:pStyle w:val="Bullet1"/>
                      </w:pPr>
                      <w:r>
                        <w:t xml:space="preserve">Identified valuable </w:t>
                      </w:r>
                      <w:r w:rsidRPr="00E414C2">
                        <w:t>learning</w:t>
                      </w:r>
                      <w:r>
                        <w:t xml:space="preserve">s about the </w:t>
                      </w:r>
                      <w:proofErr w:type="spellStart"/>
                      <w:r>
                        <w:t>AoD</w:t>
                      </w:r>
                      <w:proofErr w:type="spellEnd"/>
                      <w:r>
                        <w:t xml:space="preserve"> client cohort that can be used to </w:t>
                      </w:r>
                      <w:r w:rsidRPr="00E414C2">
                        <w:t xml:space="preserve">inform the roll out of future telehealth and </w:t>
                      </w:r>
                      <w:proofErr w:type="spellStart"/>
                      <w:r w:rsidRPr="00E414C2">
                        <w:t>AoD</w:t>
                      </w:r>
                      <w:proofErr w:type="spellEnd"/>
                      <w:r w:rsidRPr="00E414C2">
                        <w:t xml:space="preserve"> services in regional areas of Australia</w:t>
                      </w:r>
                      <w:r>
                        <w:t>, including:</w:t>
                      </w:r>
                    </w:p>
                    <w:p w14:paraId="05EAB5EB" w14:textId="11B54BC9" w:rsidR="00E414C2" w:rsidRDefault="00E414C2" w:rsidP="00E414C2">
                      <w:pPr>
                        <w:pStyle w:val="Bullet2"/>
                      </w:pPr>
                      <w:r>
                        <w:t xml:space="preserve">the </w:t>
                      </w:r>
                      <w:r w:rsidR="009F3FE4">
                        <w:t xml:space="preserve">importance </w:t>
                      </w:r>
                      <w:r>
                        <w:t>of building trust and rapport through initial face-to-face engagement</w:t>
                      </w:r>
                      <w:r w:rsidR="009F3FE4">
                        <w:t xml:space="preserve"> with a</w:t>
                      </w:r>
                      <w:r w:rsidR="00360C0B">
                        <w:t xml:space="preserve"> qualified </w:t>
                      </w:r>
                      <w:proofErr w:type="spellStart"/>
                      <w:r w:rsidR="009F3FE4">
                        <w:t>AoD</w:t>
                      </w:r>
                      <w:proofErr w:type="spellEnd"/>
                      <w:r w:rsidR="009F3FE4">
                        <w:t xml:space="preserve"> </w:t>
                      </w:r>
                      <w:r w:rsidR="00360C0B">
                        <w:t>outreach worker</w:t>
                      </w:r>
                    </w:p>
                    <w:p w14:paraId="44E4E9ED" w14:textId="219404D7" w:rsidR="009F3FE4" w:rsidRPr="00911408" w:rsidRDefault="009F3FE4" w:rsidP="00E414C2">
                      <w:pPr>
                        <w:pStyle w:val="Bullet2"/>
                      </w:pPr>
                      <w:r>
                        <w:t xml:space="preserve">the need to provide </w:t>
                      </w:r>
                      <w:r w:rsidRPr="009F3FE4">
                        <w:t>individual client pathway</w:t>
                      </w:r>
                      <w:r>
                        <w:t xml:space="preserve"> planning to provide more person-centred care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1D82">
        <w:br w:type="page"/>
      </w:r>
    </w:p>
    <w:p w14:paraId="3DA60E98" w14:textId="68199D41" w:rsidR="00794CB7" w:rsidRDefault="006512FE" w:rsidP="004A4ED0">
      <w:pPr>
        <w:pStyle w:val="Heading2"/>
      </w:pPr>
      <w:r>
        <w:lastRenderedPageBreak/>
        <w:t>Key activity</w:t>
      </w:r>
    </w:p>
    <w:p w14:paraId="5201ACD7" w14:textId="77777777" w:rsidR="00EB5725" w:rsidRDefault="00EB5725" w:rsidP="00EB5725">
      <w:pPr>
        <w:pStyle w:val="Heading3"/>
      </w:pPr>
      <w:r>
        <w:t>Initial model</w:t>
      </w:r>
    </w:p>
    <w:p w14:paraId="58867537" w14:textId="7A560B6F" w:rsidR="005F64C6" w:rsidRDefault="005F64C6" w:rsidP="005F64C6">
      <w:pPr>
        <w:pStyle w:val="Normalfollowingheading"/>
      </w:pPr>
      <w:r>
        <w:t>The initial service model was designed to operate as follows:</w:t>
      </w:r>
    </w:p>
    <w:p w14:paraId="750176AE" w14:textId="37BE905A" w:rsidR="005F64C6" w:rsidRDefault="00A37E71" w:rsidP="005F64C6">
      <w:pPr>
        <w:pStyle w:val="Bullet1"/>
        <w:rPr>
          <w:rFonts w:eastAsiaTheme="minorEastAsia"/>
        </w:rPr>
      </w:pPr>
      <w:r>
        <w:rPr>
          <w:rFonts w:eastAsiaTheme="minorEastAsia"/>
        </w:rPr>
        <w:t>T</w:t>
      </w:r>
      <w:r w:rsidR="005F64C6">
        <w:rPr>
          <w:rFonts w:eastAsiaTheme="minorEastAsia"/>
        </w:rPr>
        <w:t xml:space="preserve">elehealth consultations were facilitated between AoD clients in the </w:t>
      </w:r>
      <w:r w:rsidR="005F64C6" w:rsidRPr="005F64C6">
        <w:rPr>
          <w:rFonts w:eastAsiaTheme="minorEastAsia"/>
        </w:rPr>
        <w:t xml:space="preserve">Southern Otways </w:t>
      </w:r>
      <w:r w:rsidR="005F64C6">
        <w:rPr>
          <w:rFonts w:eastAsiaTheme="minorEastAsia"/>
        </w:rPr>
        <w:t xml:space="preserve">and </w:t>
      </w:r>
      <w:r w:rsidR="005F64C6" w:rsidRPr="005F64C6">
        <w:rPr>
          <w:rFonts w:eastAsiaTheme="minorEastAsia"/>
        </w:rPr>
        <w:t>Windana</w:t>
      </w:r>
      <w:r w:rsidR="005F64C6">
        <w:rPr>
          <w:rFonts w:eastAsiaTheme="minorEastAsia"/>
        </w:rPr>
        <w:t xml:space="preserve"> </w:t>
      </w:r>
      <w:r w:rsidR="00E45253">
        <w:rPr>
          <w:rFonts w:eastAsiaTheme="minorEastAsia"/>
        </w:rPr>
        <w:t xml:space="preserve">clinicians </w:t>
      </w:r>
      <w:r w:rsidR="005F64C6">
        <w:rPr>
          <w:rFonts w:eastAsiaTheme="minorEastAsia"/>
        </w:rPr>
        <w:t xml:space="preserve">in Melbourne via </w:t>
      </w:r>
      <w:r w:rsidR="00E45253">
        <w:rPr>
          <w:rFonts w:eastAsiaTheme="minorEastAsia"/>
        </w:rPr>
        <w:t xml:space="preserve">a </w:t>
      </w:r>
      <w:r w:rsidR="005F64C6">
        <w:rPr>
          <w:rFonts w:eastAsiaTheme="minorEastAsia"/>
        </w:rPr>
        <w:t>video</w:t>
      </w:r>
      <w:r w:rsidR="00E45253">
        <w:rPr>
          <w:rFonts w:eastAsiaTheme="minorEastAsia"/>
        </w:rPr>
        <w:t xml:space="preserve"> platform.</w:t>
      </w:r>
    </w:p>
    <w:p w14:paraId="1257830F" w14:textId="58364E76" w:rsidR="005F64C6" w:rsidRDefault="00A37E71" w:rsidP="005F64C6">
      <w:pPr>
        <w:pStyle w:val="Bullet1"/>
        <w:rPr>
          <w:rFonts w:eastAsiaTheme="minorEastAsia"/>
        </w:rPr>
      </w:pPr>
      <w:r>
        <w:rPr>
          <w:rFonts w:eastAsiaTheme="minorEastAsia"/>
        </w:rPr>
        <w:t>D</w:t>
      </w:r>
      <w:r w:rsidR="005F64C6">
        <w:rPr>
          <w:rFonts w:eastAsiaTheme="minorEastAsia"/>
        </w:rPr>
        <w:t>epending on the client’s preference and telehealth capability, the consultation would take place at one of the following locations:</w:t>
      </w:r>
    </w:p>
    <w:p w14:paraId="5653E2C7" w14:textId="77777777" w:rsidR="005F64C6" w:rsidRDefault="005F64C6" w:rsidP="005F64C6">
      <w:pPr>
        <w:pStyle w:val="Bullet2"/>
        <w:rPr>
          <w:rFonts w:eastAsiaTheme="minorEastAsia"/>
        </w:rPr>
      </w:pPr>
      <w:r>
        <w:rPr>
          <w:rFonts w:eastAsiaTheme="minorEastAsia"/>
        </w:rPr>
        <w:t>Otway Health</w:t>
      </w:r>
    </w:p>
    <w:p w14:paraId="63D3D254" w14:textId="77777777" w:rsidR="005F64C6" w:rsidRDefault="005F64C6" w:rsidP="005F64C6">
      <w:pPr>
        <w:pStyle w:val="Bullet2"/>
        <w:rPr>
          <w:rFonts w:eastAsiaTheme="minorEastAsia"/>
        </w:rPr>
      </w:pPr>
      <w:r>
        <w:rPr>
          <w:rFonts w:eastAsiaTheme="minorEastAsia"/>
        </w:rPr>
        <w:t>Lorne Community Hospital</w:t>
      </w:r>
    </w:p>
    <w:p w14:paraId="44EABF70" w14:textId="27A98651" w:rsidR="005F64C6" w:rsidRDefault="005F64C6" w:rsidP="005F64C6">
      <w:pPr>
        <w:pStyle w:val="Bullet2"/>
        <w:rPr>
          <w:rFonts w:eastAsiaTheme="minorEastAsia"/>
        </w:rPr>
      </w:pPr>
      <w:r>
        <w:rPr>
          <w:rFonts w:eastAsiaTheme="minorEastAsia"/>
        </w:rPr>
        <w:t xml:space="preserve">a local general practice clinic, with the client’s </w:t>
      </w:r>
      <w:r w:rsidR="00E45253">
        <w:rPr>
          <w:rFonts w:eastAsiaTheme="minorEastAsia"/>
        </w:rPr>
        <w:t xml:space="preserve">general practitioner (GP) </w:t>
      </w:r>
      <w:r>
        <w:rPr>
          <w:rFonts w:eastAsiaTheme="minorEastAsia"/>
        </w:rPr>
        <w:t>also attending</w:t>
      </w:r>
    </w:p>
    <w:p w14:paraId="3361E10B" w14:textId="366CED18" w:rsidR="005F64C6" w:rsidRDefault="005F64C6" w:rsidP="005F64C6">
      <w:pPr>
        <w:pStyle w:val="Bullet2"/>
        <w:rPr>
          <w:rFonts w:eastAsiaTheme="minorEastAsia"/>
        </w:rPr>
      </w:pPr>
      <w:r>
        <w:rPr>
          <w:rFonts w:eastAsiaTheme="minorEastAsia"/>
        </w:rPr>
        <w:t>the client’s home or other preferred location</w:t>
      </w:r>
      <w:r w:rsidR="00A37E71">
        <w:rPr>
          <w:rFonts w:eastAsiaTheme="minorEastAsia"/>
        </w:rPr>
        <w:t>.</w:t>
      </w:r>
    </w:p>
    <w:p w14:paraId="49FB7E6B" w14:textId="545E9C04" w:rsidR="005F64C6" w:rsidRDefault="00A37E71" w:rsidP="005F64C6">
      <w:pPr>
        <w:pStyle w:val="Bullet1"/>
      </w:pPr>
      <w:r>
        <w:rPr>
          <w:rFonts w:eastAsiaTheme="minorEastAsia"/>
        </w:rPr>
        <w:t xml:space="preserve">Over </w:t>
      </w:r>
      <w:r w:rsidR="00E45253">
        <w:rPr>
          <w:rFonts w:eastAsiaTheme="minorEastAsia"/>
        </w:rPr>
        <w:t xml:space="preserve">the course of </w:t>
      </w:r>
      <w:r w:rsidR="005F64C6" w:rsidRPr="005F64C6">
        <w:rPr>
          <w:rFonts w:eastAsiaTheme="minorEastAsia"/>
        </w:rPr>
        <w:t>approximately three telehealth consultations</w:t>
      </w:r>
      <w:r>
        <w:rPr>
          <w:rFonts w:eastAsiaTheme="minorEastAsia"/>
        </w:rPr>
        <w:t xml:space="preserve">, clients would receive a </w:t>
      </w:r>
      <w:r w:rsidR="005F64C6" w:rsidRPr="005F64C6">
        <w:rPr>
          <w:rFonts w:eastAsiaTheme="minorEastAsia"/>
        </w:rPr>
        <w:t xml:space="preserve">comprehensive </w:t>
      </w:r>
      <w:r w:rsidR="005F64C6" w:rsidRPr="005F64C6">
        <w:t>assessment</w:t>
      </w:r>
      <w:r w:rsidR="005F64C6" w:rsidRPr="005F64C6">
        <w:rPr>
          <w:rFonts w:eastAsiaTheme="minorEastAsia"/>
        </w:rPr>
        <w:t xml:space="preserve"> and treatment </w:t>
      </w:r>
      <w:r>
        <w:rPr>
          <w:rFonts w:eastAsiaTheme="minorEastAsia"/>
        </w:rPr>
        <w:t xml:space="preserve">from </w:t>
      </w:r>
      <w:r w:rsidRPr="005F64C6">
        <w:rPr>
          <w:rFonts w:eastAsiaTheme="minorEastAsia"/>
        </w:rPr>
        <w:t>Windana clinicians</w:t>
      </w:r>
      <w:r>
        <w:rPr>
          <w:rFonts w:eastAsiaTheme="minorEastAsia"/>
        </w:rPr>
        <w:t xml:space="preserve"> </w:t>
      </w:r>
      <w:r w:rsidR="005F64C6" w:rsidRPr="005F64C6">
        <w:rPr>
          <w:rFonts w:eastAsiaTheme="minorEastAsia"/>
        </w:rPr>
        <w:t xml:space="preserve">before being referred to further </w:t>
      </w:r>
      <w:r w:rsidR="005F64C6" w:rsidRPr="005F64C6">
        <w:t>services as needed, such as counselling, withdrawal services</w:t>
      </w:r>
      <w:r w:rsidR="00E45253">
        <w:t>,</w:t>
      </w:r>
      <w:r w:rsidR="005F64C6" w:rsidRPr="005F64C6">
        <w:t xml:space="preserve"> and rehabilitation programs. </w:t>
      </w:r>
    </w:p>
    <w:p w14:paraId="29081ED2" w14:textId="02812798" w:rsidR="003B6B93" w:rsidRDefault="004E280F" w:rsidP="00A37E71">
      <w:r>
        <w:t>Windana delivered t</w:t>
      </w:r>
      <w:r w:rsidR="003B6B93">
        <w:t>wo rounds of training to clinicians in the Southern Otways region</w:t>
      </w:r>
      <w:r w:rsidR="00A746C1">
        <w:t xml:space="preserve"> </w:t>
      </w:r>
      <w:r>
        <w:t>on the assessment of AoD clients and the telehealth referral process</w:t>
      </w:r>
      <w:r w:rsidR="00E45253">
        <w:t xml:space="preserve"> – </w:t>
      </w:r>
      <w:r>
        <w:t xml:space="preserve">one session </w:t>
      </w:r>
      <w:r w:rsidR="003B6B93">
        <w:t>prior to the launch of the telehealth service and one after.</w:t>
      </w:r>
    </w:p>
    <w:p w14:paraId="14CA5A34" w14:textId="780FF97D" w:rsidR="00A37E71" w:rsidRDefault="00A37E71" w:rsidP="00E45253">
      <w:pPr>
        <w:pStyle w:val="Normalfollowingheading"/>
      </w:pPr>
      <w:r>
        <w:t xml:space="preserve">The project team </w:t>
      </w:r>
      <w:r w:rsidR="004E280F">
        <w:t xml:space="preserve">also </w:t>
      </w:r>
      <w:r>
        <w:t xml:space="preserve">raised community awareness of AoD issues and the availability of the new telehealth service through a variety </w:t>
      </w:r>
      <w:r w:rsidR="00E45253">
        <w:t>channels</w:t>
      </w:r>
      <w:r w:rsidR="00092A1C">
        <w:t>, including</w:t>
      </w:r>
      <w:r>
        <w:t xml:space="preserve">: </w:t>
      </w:r>
    </w:p>
    <w:p w14:paraId="642373FA" w14:textId="4B39E575" w:rsidR="00A37E71" w:rsidRDefault="00A37E71" w:rsidP="00A37E71">
      <w:pPr>
        <w:pStyle w:val="Bullet1"/>
      </w:pPr>
      <w:r>
        <w:t>posters on community notice boards</w:t>
      </w:r>
    </w:p>
    <w:p w14:paraId="07249273" w14:textId="2A06275E" w:rsidR="00A37E71" w:rsidRDefault="00A37E71" w:rsidP="00A37E71">
      <w:pPr>
        <w:pStyle w:val="Bullet1"/>
      </w:pPr>
      <w:r>
        <w:t>flyers for health services and community groups</w:t>
      </w:r>
    </w:p>
    <w:p w14:paraId="75CE62F0" w14:textId="77777777" w:rsidR="00092A1C" w:rsidRDefault="00A37E71" w:rsidP="006D29B6">
      <w:pPr>
        <w:pStyle w:val="Bullet1"/>
      </w:pPr>
      <w:r>
        <w:t>local media outlets, including radio</w:t>
      </w:r>
    </w:p>
    <w:p w14:paraId="7230BBAC" w14:textId="30C44D18" w:rsidR="00A37E71" w:rsidRDefault="00A37E71" w:rsidP="006D29B6">
      <w:pPr>
        <w:pStyle w:val="Bullet1"/>
      </w:pPr>
      <w:r>
        <w:t>social media</w:t>
      </w:r>
    </w:p>
    <w:p w14:paraId="24469B5C" w14:textId="09B68D7F" w:rsidR="00A37E71" w:rsidRDefault="00A37E71" w:rsidP="00A37E71">
      <w:pPr>
        <w:pStyle w:val="Bullet1"/>
      </w:pPr>
      <w:r>
        <w:t>a mental health forum hosted by Lorne Community Hospital during mental health week</w:t>
      </w:r>
    </w:p>
    <w:p w14:paraId="699BD3B6" w14:textId="1558A9F3" w:rsidR="00A37E71" w:rsidRPr="005F64C6" w:rsidRDefault="00A37E71" w:rsidP="00A37E71">
      <w:pPr>
        <w:pStyle w:val="Bullet1"/>
      </w:pPr>
      <w:r>
        <w:t xml:space="preserve">a community information session held at </w:t>
      </w:r>
      <w:r w:rsidR="00E45253">
        <w:t xml:space="preserve">a local </w:t>
      </w:r>
      <w:r>
        <w:t>community house.</w:t>
      </w:r>
    </w:p>
    <w:p w14:paraId="7609071D" w14:textId="057C841B" w:rsidR="00EB5725" w:rsidRDefault="00E45253" w:rsidP="00EB5725">
      <w:pPr>
        <w:pStyle w:val="Heading3"/>
      </w:pPr>
      <w:r>
        <w:br w:type="column"/>
      </w:r>
      <w:r w:rsidR="00EB5725">
        <w:t>Evolution to include community liaison nurse</w:t>
      </w:r>
    </w:p>
    <w:p w14:paraId="02A2A04F" w14:textId="59C5525B" w:rsidR="005F64C6" w:rsidRPr="00B91F01" w:rsidRDefault="005F64C6" w:rsidP="00B91F01">
      <w:pPr>
        <w:pStyle w:val="Normalfollowingheading"/>
      </w:pPr>
      <w:r w:rsidRPr="00B91F01">
        <w:t xml:space="preserve">Due to low engagement, the service model was revised to incorporate a community liaison nurse </w:t>
      </w:r>
      <w:r w:rsidR="00071F54" w:rsidRPr="00B91F01">
        <w:t>with AoD expertise</w:t>
      </w:r>
      <w:r w:rsidR="00A32694" w:rsidRPr="00B91F01">
        <w:t xml:space="preserve">. </w:t>
      </w:r>
    </w:p>
    <w:p w14:paraId="0DB938B0" w14:textId="77777777" w:rsidR="00A32694" w:rsidRPr="00B91F01" w:rsidRDefault="005F64C6" w:rsidP="00B91F01">
      <w:pPr>
        <w:pStyle w:val="Normalfollowingheading"/>
      </w:pPr>
      <w:r w:rsidRPr="00B91F01">
        <w:t xml:space="preserve">Initially, </w:t>
      </w:r>
      <w:r w:rsidR="00092A1C" w:rsidRPr="00B91F01">
        <w:t xml:space="preserve">this </w:t>
      </w:r>
      <w:r w:rsidRPr="00B91F01">
        <w:t xml:space="preserve">role was intended to identify if there were additional potential AoD clients in the region by liaising with local institutions </w:t>
      </w:r>
      <w:r w:rsidR="00092A1C" w:rsidRPr="00B91F01">
        <w:t xml:space="preserve">– </w:t>
      </w:r>
      <w:r w:rsidRPr="00B91F01">
        <w:t>such as the police, justice system and ambulance service</w:t>
      </w:r>
      <w:r w:rsidR="00092A1C" w:rsidRPr="00B91F01">
        <w:t xml:space="preserve"> –</w:t>
      </w:r>
      <w:r w:rsidRPr="00B91F01">
        <w:t xml:space="preserve"> and through increased engagement with local health service</w:t>
      </w:r>
      <w:r w:rsidR="00092A1C" w:rsidRPr="00B91F01">
        <w:t xml:space="preserve"> staff</w:t>
      </w:r>
      <w:r w:rsidRPr="00B91F01">
        <w:t xml:space="preserve">. </w:t>
      </w:r>
    </w:p>
    <w:p w14:paraId="104F6372" w14:textId="77777777" w:rsidR="00EB5725" w:rsidRPr="00B91F01" w:rsidRDefault="005F64C6" w:rsidP="00B91F01">
      <w:pPr>
        <w:pStyle w:val="Normalfollowingheading"/>
      </w:pPr>
      <w:r w:rsidRPr="00B91F01">
        <w:t xml:space="preserve">However, the role evolved to include initial engagement with clients. </w:t>
      </w:r>
    </w:p>
    <w:p w14:paraId="17FF144D" w14:textId="77777777" w:rsidR="00EB5725" w:rsidRPr="00B91F01" w:rsidRDefault="00EB5725" w:rsidP="00B91F01">
      <w:pPr>
        <w:pStyle w:val="Normalfollowingheading"/>
      </w:pPr>
      <w:r w:rsidRPr="00B91F01">
        <w:t xml:space="preserve">Under the revised model: </w:t>
      </w:r>
    </w:p>
    <w:p w14:paraId="7D964BCB" w14:textId="77777777" w:rsidR="00EB5725" w:rsidRPr="00EB5725" w:rsidRDefault="005F64C6" w:rsidP="00EB5725">
      <w:pPr>
        <w:pStyle w:val="Bullet1"/>
        <w:rPr>
          <w:rFonts w:eastAsiaTheme="minorEastAsia"/>
          <w:b/>
          <w:bCs/>
          <w:caps/>
        </w:rPr>
      </w:pPr>
      <w:r w:rsidRPr="005F64C6">
        <w:rPr>
          <w:rFonts w:eastAsiaTheme="minorEastAsia"/>
        </w:rPr>
        <w:t>a local clinician would see a client with a potential AoD issue and ask for the client</w:t>
      </w:r>
      <w:r w:rsidR="00EB5725">
        <w:t>’</w:t>
      </w:r>
      <w:r w:rsidRPr="005F64C6">
        <w:rPr>
          <w:rFonts w:eastAsiaTheme="minorEastAsia"/>
        </w:rPr>
        <w:t>s consent to pass their contact details to the community liaison nurse</w:t>
      </w:r>
    </w:p>
    <w:p w14:paraId="1BA5F935" w14:textId="77777777" w:rsidR="00EB5725" w:rsidRPr="00EB5725" w:rsidRDefault="00EB5725" w:rsidP="00EB5725">
      <w:pPr>
        <w:pStyle w:val="Bullet1"/>
        <w:rPr>
          <w:rFonts w:eastAsiaTheme="minorEastAsia"/>
          <w:b/>
          <w:bCs/>
          <w:caps/>
        </w:rPr>
      </w:pPr>
      <w:r>
        <w:rPr>
          <w:rFonts w:eastAsiaTheme="minorEastAsia"/>
        </w:rPr>
        <w:t xml:space="preserve">the </w:t>
      </w:r>
      <w:r w:rsidR="005F64C6" w:rsidRPr="005F64C6">
        <w:rPr>
          <w:rFonts w:eastAsiaTheme="minorEastAsia"/>
        </w:rPr>
        <w:t>nurse would contact the client via phone and arrange to meet them at the local health service or in the client’s home</w:t>
      </w:r>
    </w:p>
    <w:p w14:paraId="22107CF5" w14:textId="4F6EA8CC" w:rsidR="005F64C6" w:rsidRPr="00092A1C" w:rsidRDefault="00EB5725" w:rsidP="005D5E86">
      <w:pPr>
        <w:pStyle w:val="Bullet1"/>
        <w:rPr>
          <w:rFonts w:eastAsiaTheme="minorEastAsia"/>
          <w:b/>
          <w:bCs/>
          <w:caps/>
        </w:rPr>
      </w:pPr>
      <w:r w:rsidRPr="00092A1C">
        <w:rPr>
          <w:rFonts w:eastAsiaTheme="minorEastAsia"/>
        </w:rPr>
        <w:t xml:space="preserve">during the meeting, </w:t>
      </w:r>
      <w:r w:rsidR="005F64C6" w:rsidRPr="00092A1C">
        <w:rPr>
          <w:rFonts w:eastAsiaTheme="minorEastAsia"/>
        </w:rPr>
        <w:t xml:space="preserve">the nurse would informally or formally assess the client and design a care plan </w:t>
      </w:r>
      <w:r w:rsidR="00092A1C" w:rsidRPr="00092A1C">
        <w:rPr>
          <w:rFonts w:eastAsiaTheme="minorEastAsia"/>
        </w:rPr>
        <w:t>according</w:t>
      </w:r>
      <w:r w:rsidR="00B91F01">
        <w:rPr>
          <w:rFonts w:eastAsiaTheme="minorEastAsia"/>
        </w:rPr>
        <w:t xml:space="preserve"> to their needs</w:t>
      </w:r>
      <w:r w:rsidR="00092A1C" w:rsidRPr="00092A1C">
        <w:rPr>
          <w:rFonts w:eastAsiaTheme="minorEastAsia"/>
        </w:rPr>
        <w:t xml:space="preserve">. </w:t>
      </w:r>
      <w:r w:rsidR="00092A1C">
        <w:rPr>
          <w:rFonts w:eastAsiaTheme="minorEastAsia"/>
        </w:rPr>
        <w:t>T</w:t>
      </w:r>
      <w:r w:rsidRPr="00092A1C">
        <w:rPr>
          <w:rFonts w:eastAsiaTheme="minorEastAsia"/>
        </w:rPr>
        <w:t xml:space="preserve">he care plan </w:t>
      </w:r>
      <w:r w:rsidR="005F64C6" w:rsidRPr="00092A1C">
        <w:rPr>
          <w:rFonts w:eastAsiaTheme="minorEastAsia"/>
        </w:rPr>
        <w:t xml:space="preserve">could include referral to the telehealth service </w:t>
      </w:r>
      <w:r w:rsidR="00092A1C">
        <w:rPr>
          <w:rFonts w:eastAsiaTheme="minorEastAsia"/>
        </w:rPr>
        <w:t xml:space="preserve">established as part of the project </w:t>
      </w:r>
      <w:r w:rsidRPr="00092A1C">
        <w:rPr>
          <w:rFonts w:eastAsiaTheme="minorEastAsia"/>
        </w:rPr>
        <w:t xml:space="preserve">but </w:t>
      </w:r>
      <w:r w:rsidR="00092A1C">
        <w:rPr>
          <w:rFonts w:eastAsiaTheme="minorEastAsia"/>
        </w:rPr>
        <w:t xml:space="preserve">could </w:t>
      </w:r>
      <w:r w:rsidR="005F64C6" w:rsidRPr="00092A1C">
        <w:rPr>
          <w:rFonts w:eastAsiaTheme="minorEastAsia"/>
        </w:rPr>
        <w:t>also include other care pathways</w:t>
      </w:r>
      <w:r w:rsidRPr="00092A1C">
        <w:rPr>
          <w:rFonts w:eastAsiaTheme="minorEastAsia"/>
        </w:rPr>
        <w:t>,</w:t>
      </w:r>
      <w:r w:rsidR="005F64C6" w:rsidRPr="00092A1C">
        <w:rPr>
          <w:rFonts w:eastAsiaTheme="minorEastAsia"/>
        </w:rPr>
        <w:t xml:space="preserve"> such as </w:t>
      </w:r>
      <w:r w:rsidR="00092A1C">
        <w:rPr>
          <w:rFonts w:eastAsiaTheme="minorEastAsia"/>
        </w:rPr>
        <w:t xml:space="preserve">management by the client’s </w:t>
      </w:r>
      <w:r w:rsidR="005F64C6" w:rsidRPr="00092A1C">
        <w:rPr>
          <w:rFonts w:eastAsiaTheme="minorEastAsia"/>
        </w:rPr>
        <w:t>local GP and referral into residential AoD services or other specialist services</w:t>
      </w:r>
      <w:r w:rsidR="00B91F01">
        <w:rPr>
          <w:rFonts w:eastAsiaTheme="minorEastAsia"/>
        </w:rPr>
        <w:t>,</w:t>
      </w:r>
      <w:r w:rsidR="005F64C6" w:rsidRPr="00092A1C">
        <w:rPr>
          <w:rFonts w:eastAsiaTheme="minorEastAsia"/>
        </w:rPr>
        <w:t xml:space="preserve"> </w:t>
      </w:r>
      <w:r w:rsidR="00F951E5">
        <w:rPr>
          <w:rFonts w:eastAsiaTheme="minorEastAsia"/>
        </w:rPr>
        <w:t xml:space="preserve">depending on </w:t>
      </w:r>
      <w:r w:rsidR="00B91F01">
        <w:rPr>
          <w:rFonts w:eastAsiaTheme="minorEastAsia"/>
        </w:rPr>
        <w:t xml:space="preserve">the </w:t>
      </w:r>
      <w:r w:rsidR="00F951E5">
        <w:rPr>
          <w:rFonts w:eastAsiaTheme="minorEastAsia"/>
        </w:rPr>
        <w:t>client</w:t>
      </w:r>
      <w:r w:rsidR="00B91F01">
        <w:rPr>
          <w:rFonts w:eastAsiaTheme="minorEastAsia"/>
        </w:rPr>
        <w:t>’s</w:t>
      </w:r>
      <w:r w:rsidR="00F951E5">
        <w:rPr>
          <w:rFonts w:eastAsiaTheme="minorEastAsia"/>
        </w:rPr>
        <w:t xml:space="preserve"> preference</w:t>
      </w:r>
      <w:r w:rsidRPr="00092A1C">
        <w:rPr>
          <w:rFonts w:eastAsiaTheme="minorEastAsia"/>
        </w:rPr>
        <w:t>.</w:t>
      </w:r>
    </w:p>
    <w:p w14:paraId="4DCFB341" w14:textId="5C59AF3D" w:rsidR="002B5C34" w:rsidRPr="00F80A39" w:rsidRDefault="00435805" w:rsidP="00DB3607">
      <w:pPr>
        <w:pStyle w:val="Heading2"/>
      </w:pPr>
      <w:r>
        <w:t>O</w:t>
      </w:r>
      <w:r w:rsidR="009B1BBA" w:rsidRPr="00F80A39">
        <w:t>utcomes</w:t>
      </w:r>
    </w:p>
    <w:p w14:paraId="18E943F4" w14:textId="77777777" w:rsidR="00A676BA" w:rsidRDefault="00A676BA" w:rsidP="003B6B93">
      <w:pPr>
        <w:pStyle w:val="Normalfollowingheading"/>
      </w:pPr>
      <w:r>
        <w:t>From June 2017 to January 2018, under the initial service model:</w:t>
      </w:r>
    </w:p>
    <w:p w14:paraId="2CD5644C" w14:textId="5117AB97" w:rsidR="00A676BA" w:rsidRDefault="00A676BA" w:rsidP="003B6B93">
      <w:pPr>
        <w:pStyle w:val="Bullet1"/>
        <w:rPr>
          <w:rFonts w:eastAsiaTheme="minorEastAsia"/>
        </w:rPr>
      </w:pPr>
      <w:r>
        <w:rPr>
          <w:rFonts w:eastAsiaTheme="minorEastAsia"/>
        </w:rPr>
        <w:t xml:space="preserve">12 </w:t>
      </w:r>
      <w:r w:rsidR="00071F54" w:rsidRPr="00DB3607">
        <w:rPr>
          <w:rFonts w:eastAsiaTheme="minorEastAsia"/>
        </w:rPr>
        <w:t xml:space="preserve">clients </w:t>
      </w:r>
      <w:r>
        <w:rPr>
          <w:rFonts w:eastAsiaTheme="minorEastAsia"/>
        </w:rPr>
        <w:t xml:space="preserve">at participating Southern Otways health </w:t>
      </w:r>
      <w:r w:rsidR="003B6B93">
        <w:rPr>
          <w:rFonts w:eastAsiaTheme="minorEastAsia"/>
        </w:rPr>
        <w:t xml:space="preserve">services </w:t>
      </w:r>
      <w:r>
        <w:rPr>
          <w:rFonts w:eastAsiaTheme="minorEastAsia"/>
        </w:rPr>
        <w:t>were identified as potentially having an AoD issue</w:t>
      </w:r>
    </w:p>
    <w:p w14:paraId="7432D42D" w14:textId="38ACD87C" w:rsidR="00A676BA" w:rsidRDefault="00A676BA" w:rsidP="003B6B93">
      <w:pPr>
        <w:pStyle w:val="Bullet1"/>
        <w:rPr>
          <w:rFonts w:eastAsiaTheme="minorEastAsia"/>
        </w:rPr>
      </w:pPr>
      <w:r>
        <w:rPr>
          <w:rFonts w:eastAsiaTheme="minorEastAsia"/>
        </w:rPr>
        <w:t xml:space="preserve">five </w:t>
      </w:r>
      <w:r w:rsidR="003B6B93">
        <w:rPr>
          <w:rFonts w:eastAsiaTheme="minorEastAsia"/>
        </w:rPr>
        <w:t xml:space="preserve">of those clients </w:t>
      </w:r>
      <w:r>
        <w:rPr>
          <w:rFonts w:eastAsiaTheme="minorEastAsia"/>
        </w:rPr>
        <w:t>(42 per cent) were referred to the telehealth service</w:t>
      </w:r>
    </w:p>
    <w:p w14:paraId="0D1EEBD7" w14:textId="5965F710" w:rsidR="00071F54" w:rsidRPr="00DB3607" w:rsidRDefault="00A676BA" w:rsidP="003B6B93">
      <w:pPr>
        <w:pStyle w:val="Bullet1"/>
        <w:rPr>
          <w:rFonts w:eastAsiaTheme="minorEastAsia"/>
        </w:rPr>
      </w:pPr>
      <w:r>
        <w:rPr>
          <w:rFonts w:eastAsiaTheme="minorEastAsia"/>
        </w:rPr>
        <w:t>two of those clients (40 per cent of those referred) had an initial consultation with Windana via phone</w:t>
      </w:r>
      <w:r w:rsidR="003B6B93">
        <w:rPr>
          <w:rFonts w:eastAsiaTheme="minorEastAsia"/>
        </w:rPr>
        <w:t xml:space="preserve"> but did not use the </w:t>
      </w:r>
      <w:r w:rsidR="00F61691">
        <w:rPr>
          <w:rFonts w:eastAsiaTheme="minorEastAsia"/>
        </w:rPr>
        <w:t xml:space="preserve">video </w:t>
      </w:r>
      <w:r>
        <w:rPr>
          <w:rFonts w:eastAsiaTheme="minorEastAsia"/>
        </w:rPr>
        <w:t>telehealth platform</w:t>
      </w:r>
      <w:r w:rsidR="003B6B93">
        <w:rPr>
          <w:rFonts w:eastAsiaTheme="minorEastAsia"/>
        </w:rPr>
        <w:t xml:space="preserve"> developed as part of the project</w:t>
      </w:r>
      <w:r>
        <w:rPr>
          <w:rFonts w:eastAsiaTheme="minorEastAsia"/>
        </w:rPr>
        <w:t xml:space="preserve">. </w:t>
      </w:r>
    </w:p>
    <w:p w14:paraId="67F1E527" w14:textId="77777777" w:rsidR="00B36DF9" w:rsidRDefault="00B36DF9" w:rsidP="003B6B93">
      <w:pPr>
        <w:sectPr w:rsidR="00B36DF9" w:rsidSect="00435805">
          <w:footerReference w:type="default" r:id="rId10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  <w15:footnoteColumns w:val="1"/>
        </w:sectPr>
      </w:pPr>
    </w:p>
    <w:p w14:paraId="43F35B87" w14:textId="34A2E32C" w:rsidR="00BF373F" w:rsidRDefault="00BF373F" w:rsidP="00F94161">
      <w:r>
        <w:lastRenderedPageBreak/>
        <w:t>From February 2018 to March 2018 under the revised model with the community liaison nurse:</w:t>
      </w:r>
    </w:p>
    <w:p w14:paraId="6B307DA9" w14:textId="20CFEFF8" w:rsidR="00BF373F" w:rsidRDefault="00BF373F" w:rsidP="003B6B93">
      <w:pPr>
        <w:pStyle w:val="Bullet1"/>
      </w:pPr>
      <w:r>
        <w:t>seven clients were identified with a potential AoD issue</w:t>
      </w:r>
    </w:p>
    <w:p w14:paraId="6435B464" w14:textId="719FB1CF" w:rsidR="00BF373F" w:rsidRDefault="00BF373F" w:rsidP="003B6B93">
      <w:pPr>
        <w:pStyle w:val="Bullet1"/>
      </w:pPr>
      <w:r>
        <w:t>all seven (100 per cent) received at least one consultation with the community liaison nurse</w:t>
      </w:r>
    </w:p>
    <w:p w14:paraId="16753AA7" w14:textId="54F0327A" w:rsidR="00BF373F" w:rsidRDefault="00BF373F" w:rsidP="003B6B93">
      <w:pPr>
        <w:pStyle w:val="Bullet1"/>
      </w:pPr>
      <w:r>
        <w:t xml:space="preserve">five clients (71 per cent) received referrals to further AoD services, however none of the clients were referred to receive further services via telehealth. </w:t>
      </w:r>
    </w:p>
    <w:p w14:paraId="79D302AC" w14:textId="70D0FF3A" w:rsidR="009D328F" w:rsidRDefault="00F61691" w:rsidP="003B6B93">
      <w:r>
        <w:t xml:space="preserve">While the effectiveness of the telehealth model could not be evaluated due to low </w:t>
      </w:r>
      <w:r w:rsidR="008D1F7B">
        <w:t>c</w:t>
      </w:r>
      <w:r w:rsidR="00F94161">
        <w:t>lient numbers</w:t>
      </w:r>
      <w:r>
        <w:t xml:space="preserve">, the </w:t>
      </w:r>
      <w:r w:rsidR="009D328F">
        <w:t xml:space="preserve">project </w:t>
      </w:r>
      <w:r w:rsidR="003B6B93">
        <w:t>had a positive impact in other areas</w:t>
      </w:r>
      <w:r w:rsidR="009D328F">
        <w:t xml:space="preserve">, including: </w:t>
      </w:r>
    </w:p>
    <w:p w14:paraId="56BCCCE6" w14:textId="38DDB077" w:rsidR="00B36DF9" w:rsidRDefault="003B6B93" w:rsidP="003B6B93">
      <w:pPr>
        <w:pStyle w:val="Bullet1"/>
      </w:pPr>
      <w:r>
        <w:t xml:space="preserve">improving clinicians’ confidence in identifying clients with AoD issues, </w:t>
      </w:r>
      <w:r w:rsidR="00B36DF9">
        <w:t xml:space="preserve">how to refer them, and </w:t>
      </w:r>
      <w:r>
        <w:t>where to find support and advice when working with them</w:t>
      </w:r>
      <w:r w:rsidR="007E6543">
        <w:t xml:space="preserve"> </w:t>
      </w:r>
      <w:r w:rsidR="00D55E49">
        <w:t xml:space="preserve">as a result of </w:t>
      </w:r>
      <w:r w:rsidR="00B36DF9">
        <w:t>the two training sessions provided by Windana</w:t>
      </w:r>
    </w:p>
    <w:p w14:paraId="186A0913" w14:textId="36EAEBD4" w:rsidR="007E6543" w:rsidRDefault="007E6543" w:rsidP="003B6B93">
      <w:pPr>
        <w:pStyle w:val="Bullet1"/>
        <w:rPr>
          <w:noProof/>
        </w:rPr>
      </w:pPr>
      <w:r>
        <w:rPr>
          <w:noProof/>
        </w:rPr>
        <w:t>demonstrating through the community liaison nurse role the value and need for individual client pathway planing to provide more person-centred care</w:t>
      </w:r>
    </w:p>
    <w:p w14:paraId="66A2992A" w14:textId="057FF1C0" w:rsidR="009D328F" w:rsidRDefault="00B36DF9" w:rsidP="003B6B93">
      <w:pPr>
        <w:pStyle w:val="Bullet1"/>
        <w:rPr>
          <w:noProof/>
        </w:rPr>
      </w:pPr>
      <w:r>
        <w:rPr>
          <w:noProof/>
        </w:rPr>
        <w:t xml:space="preserve">gaining </w:t>
      </w:r>
      <w:r w:rsidR="009D328F">
        <w:rPr>
          <w:noProof/>
        </w:rPr>
        <w:t xml:space="preserve">a greater understanding of the complexity in the lives of AoD clients, which allowed the </w:t>
      </w:r>
      <w:r w:rsidR="007E6543">
        <w:rPr>
          <w:noProof/>
        </w:rPr>
        <w:t xml:space="preserve">health services </w:t>
      </w:r>
      <w:r w:rsidR="009D328F">
        <w:rPr>
          <w:noProof/>
        </w:rPr>
        <w:t xml:space="preserve">to map services </w:t>
      </w:r>
      <w:r w:rsidR="00BC0331">
        <w:rPr>
          <w:noProof/>
        </w:rPr>
        <w:t xml:space="preserve">and resources required both now and in the future </w:t>
      </w:r>
      <w:r w:rsidR="009D328F">
        <w:rPr>
          <w:noProof/>
        </w:rPr>
        <w:t xml:space="preserve">for each client </w:t>
      </w:r>
    </w:p>
    <w:p w14:paraId="32DDFD10" w14:textId="55AB6C36" w:rsidR="009D328F" w:rsidRDefault="00B36DF9" w:rsidP="003B6B93">
      <w:pPr>
        <w:pStyle w:val="Bullet1"/>
        <w:rPr>
          <w:noProof/>
        </w:rPr>
      </w:pPr>
      <w:r>
        <w:rPr>
          <w:noProof/>
        </w:rPr>
        <w:t xml:space="preserve">identifying </w:t>
      </w:r>
      <w:r w:rsidR="009D328F">
        <w:rPr>
          <w:noProof/>
        </w:rPr>
        <w:t>a need for greater social work in the region</w:t>
      </w:r>
    </w:p>
    <w:p w14:paraId="3B2B0EAC" w14:textId="78056CE0" w:rsidR="00656997" w:rsidRDefault="00B36DF9" w:rsidP="008570CB">
      <w:pPr>
        <w:pStyle w:val="Bullet1"/>
        <w:rPr>
          <w:noProof/>
        </w:rPr>
      </w:pPr>
      <w:r>
        <w:rPr>
          <w:noProof/>
        </w:rPr>
        <w:t xml:space="preserve">identifying </w:t>
      </w:r>
      <w:r w:rsidR="006C32B4" w:rsidRPr="006C32B4">
        <w:rPr>
          <w:noProof/>
        </w:rPr>
        <w:t>how a telehealth service for AoD could be developed and included within a package of care for AoD clients in regional areas</w:t>
      </w:r>
      <w:r>
        <w:rPr>
          <w:noProof/>
        </w:rPr>
        <w:t>.</w:t>
      </w:r>
    </w:p>
    <w:p w14:paraId="2485892E" w14:textId="76FCD651" w:rsidR="00435805" w:rsidRDefault="00435805" w:rsidP="00435805">
      <w:pPr>
        <w:pStyle w:val="Heading2"/>
      </w:pPr>
      <w:r>
        <w:t>Key learnings</w:t>
      </w:r>
    </w:p>
    <w:p w14:paraId="163D22E5" w14:textId="6371465B" w:rsidR="00B36DF9" w:rsidRDefault="00B36DF9" w:rsidP="00B36DF9">
      <w:pPr>
        <w:pStyle w:val="Bullet1"/>
      </w:pPr>
      <w:r>
        <w:rPr>
          <w:noProof/>
        </w:rPr>
        <w:t xml:space="preserve">Clients responded better to face-to-face and telephone contact for initial consultations. </w:t>
      </w:r>
      <w:r w:rsidR="009A763A">
        <w:rPr>
          <w:noProof/>
        </w:rPr>
        <w:t xml:space="preserve">This alowed </w:t>
      </w:r>
      <w:r>
        <w:rPr>
          <w:noProof/>
        </w:rPr>
        <w:t xml:space="preserve">clients </w:t>
      </w:r>
      <w:r w:rsidR="009A763A">
        <w:rPr>
          <w:noProof/>
        </w:rPr>
        <w:t xml:space="preserve">to build </w:t>
      </w:r>
      <w:r>
        <w:rPr>
          <w:noProof/>
        </w:rPr>
        <w:t xml:space="preserve">trust and rapport with AoD clinicians. </w:t>
      </w:r>
      <w:r>
        <w:t>C</w:t>
      </w:r>
      <w:r w:rsidRPr="006C32B4">
        <w:t xml:space="preserve">lients </w:t>
      </w:r>
      <w:r>
        <w:t xml:space="preserve">were </w:t>
      </w:r>
      <w:r w:rsidR="00AC596D">
        <w:t xml:space="preserve">also </w:t>
      </w:r>
      <w:r>
        <w:t xml:space="preserve">more </w:t>
      </w:r>
      <w:r w:rsidRPr="006C32B4">
        <w:t>engaged when they were able to meet with the AoD clinician either at home or in the</w:t>
      </w:r>
      <w:r w:rsidR="00AC596D">
        <w:t>ir</w:t>
      </w:r>
      <w:r w:rsidRPr="006C32B4">
        <w:t xml:space="preserve"> local GP clinic.</w:t>
      </w:r>
      <w:r>
        <w:t xml:space="preserve"> </w:t>
      </w:r>
      <w:r w:rsidRPr="00D564A8">
        <w:t>Telehealth should be considered for follow-up appointments once rapport is established.</w:t>
      </w:r>
    </w:p>
    <w:p w14:paraId="2FDE63FE" w14:textId="77777777" w:rsidR="00B36DF9" w:rsidRDefault="006C32B4" w:rsidP="006F60BA">
      <w:pPr>
        <w:pStyle w:val="Bullet1"/>
      </w:pPr>
      <w:r w:rsidRPr="006C32B4">
        <w:t xml:space="preserve">When clinicians had </w:t>
      </w:r>
      <w:r w:rsidR="00B36DF9" w:rsidRPr="006C32B4">
        <w:t xml:space="preserve">face-to-face </w:t>
      </w:r>
      <w:r w:rsidRPr="006C32B4">
        <w:t xml:space="preserve">access to a qualified AoD </w:t>
      </w:r>
      <w:r w:rsidR="00B36DF9">
        <w:t xml:space="preserve">community liaison </w:t>
      </w:r>
      <w:r w:rsidRPr="006C32B4">
        <w:t>nurse, they were more likely to refer clients with AoD misuse issues.</w:t>
      </w:r>
    </w:p>
    <w:p w14:paraId="0C26239F" w14:textId="3FFFB058" w:rsidR="00D564A8" w:rsidRDefault="00B36DF9" w:rsidP="006F60BA">
      <w:pPr>
        <w:pStyle w:val="Bullet1"/>
      </w:pPr>
      <w:r>
        <w:t xml:space="preserve">Widespread </w:t>
      </w:r>
      <w:r w:rsidR="00D564A8" w:rsidRPr="00D564A8">
        <w:t>promotion</w:t>
      </w:r>
      <w:r w:rsidR="00ED7CE0">
        <w:t>al</w:t>
      </w:r>
      <w:r w:rsidR="00D564A8" w:rsidRPr="00D564A8">
        <w:t xml:space="preserve"> activities</w:t>
      </w:r>
      <w:r w:rsidR="00ED7CE0">
        <w:t xml:space="preserve"> such as distributing posters and flyers in public areas</w:t>
      </w:r>
      <w:r w:rsidR="00D564A8" w:rsidRPr="00D564A8">
        <w:t xml:space="preserve"> proved ineffective in engaging community members with AoD issues.</w:t>
      </w:r>
      <w:r w:rsidR="00ED7CE0">
        <w:t xml:space="preserve"> Direct marketing and referral</w:t>
      </w:r>
      <w:r w:rsidR="00AC596D">
        <w:t>s</w:t>
      </w:r>
      <w:r w:rsidR="00ED7CE0">
        <w:t xml:space="preserve"> from GP</w:t>
      </w:r>
      <w:r w:rsidR="00AC596D">
        <w:t>s</w:t>
      </w:r>
      <w:r w:rsidR="00ED7CE0">
        <w:t xml:space="preserve"> were </w:t>
      </w:r>
      <w:r w:rsidR="00D564A8" w:rsidRPr="00D564A8">
        <w:t>more effective</w:t>
      </w:r>
      <w:r w:rsidR="00ED7CE0">
        <w:t xml:space="preserve"> methods of recruiting clients</w:t>
      </w:r>
      <w:r w:rsidR="00D564A8" w:rsidRPr="00D564A8">
        <w:t>.</w:t>
      </w:r>
    </w:p>
    <w:p w14:paraId="7CA6B5C5" w14:textId="2D62FBAE" w:rsidR="009A763A" w:rsidRDefault="007379ED" w:rsidP="006F60BA">
      <w:pPr>
        <w:pStyle w:val="Bullet1"/>
      </w:pPr>
      <w:r>
        <w:t>Clinician feedback revealed that a</w:t>
      </w:r>
      <w:r w:rsidR="009A763A">
        <w:t xml:space="preserve"> barrier to client engagement </w:t>
      </w:r>
      <w:r w:rsidR="009A763A" w:rsidRPr="009A763A">
        <w:t xml:space="preserve">related to the stigma of AoD issues in a small town where everyone </w:t>
      </w:r>
      <w:r w:rsidR="009A763A">
        <w:t xml:space="preserve">knew </w:t>
      </w:r>
      <w:r w:rsidR="009A763A" w:rsidRPr="009A763A">
        <w:t>each other</w:t>
      </w:r>
      <w:r w:rsidR="009A763A">
        <w:t xml:space="preserve">. There was also a lack of </w:t>
      </w:r>
      <w:r w:rsidR="009A763A" w:rsidRPr="009A763A">
        <w:t xml:space="preserve">community trust in the </w:t>
      </w:r>
      <w:r w:rsidR="009A763A">
        <w:t xml:space="preserve">confidentiality of the </w:t>
      </w:r>
      <w:r w:rsidR="009A763A" w:rsidRPr="009A763A">
        <w:t>local health services</w:t>
      </w:r>
      <w:r w:rsidR="009A763A">
        <w:t xml:space="preserve">, making potential clients reluctant to attend </w:t>
      </w:r>
      <w:r w:rsidR="009A763A" w:rsidRPr="009A763A">
        <w:t>for an AoD issue</w:t>
      </w:r>
      <w:r w:rsidR="009A763A">
        <w:t>.</w:t>
      </w:r>
    </w:p>
    <w:p w14:paraId="3FA7FAFB" w14:textId="5C5180DC" w:rsidR="00952999" w:rsidRPr="009A763A" w:rsidRDefault="009A763A" w:rsidP="009A763A">
      <w:pPr>
        <w:pStyle w:val="Bullet1"/>
      </w:pPr>
      <w:r w:rsidRPr="009A763A">
        <w:t xml:space="preserve">Although the project involved input from participating organisations, </w:t>
      </w:r>
      <w:r w:rsidR="00B16BEF" w:rsidRPr="009A763A">
        <w:t xml:space="preserve">some </w:t>
      </w:r>
      <w:r w:rsidRPr="009A763A">
        <w:t xml:space="preserve">of the </w:t>
      </w:r>
      <w:r w:rsidR="00B16BEF" w:rsidRPr="009A763A">
        <w:t xml:space="preserve">challenges experienced </w:t>
      </w:r>
      <w:r w:rsidRPr="009A763A">
        <w:t xml:space="preserve">could have been </w:t>
      </w:r>
      <w:r w:rsidR="00B16BEF" w:rsidRPr="009A763A">
        <w:t xml:space="preserve">identified earlier and averted </w:t>
      </w:r>
      <w:r w:rsidRPr="009A763A">
        <w:t xml:space="preserve">if there had been </w:t>
      </w:r>
      <w:r w:rsidR="00B16BEF" w:rsidRPr="009A763A">
        <w:t xml:space="preserve">greater involvement </w:t>
      </w:r>
      <w:r w:rsidRPr="009A763A">
        <w:t xml:space="preserve">in the planning stages </w:t>
      </w:r>
      <w:r w:rsidR="00B16BEF" w:rsidRPr="009A763A">
        <w:t xml:space="preserve">from </w:t>
      </w:r>
      <w:r w:rsidR="002D6AA2">
        <w:t xml:space="preserve">AoD </w:t>
      </w:r>
      <w:r w:rsidR="007379ED" w:rsidRPr="009A763A">
        <w:t>expert</w:t>
      </w:r>
      <w:r w:rsidR="002D6AA2">
        <w:t>s</w:t>
      </w:r>
      <w:r w:rsidR="007379ED">
        <w:t>, including</w:t>
      </w:r>
      <w:r w:rsidR="007379ED" w:rsidRPr="009A763A">
        <w:t xml:space="preserve"> </w:t>
      </w:r>
      <w:r w:rsidR="00B16BEF" w:rsidRPr="009A763A">
        <w:t xml:space="preserve">both </w:t>
      </w:r>
      <w:r w:rsidRPr="009A763A">
        <w:t>clients and clinicians</w:t>
      </w:r>
      <w:r w:rsidR="00B16BEF" w:rsidRPr="009A763A">
        <w:t xml:space="preserve">. </w:t>
      </w:r>
    </w:p>
    <w:p w14:paraId="59A44F91" w14:textId="5078054B" w:rsidR="006F60BA" w:rsidRDefault="009A763A" w:rsidP="006F60BA">
      <w:pPr>
        <w:pStyle w:val="Bullet1"/>
      </w:pPr>
      <w:r>
        <w:t xml:space="preserve">It took between 2–3 </w:t>
      </w:r>
      <w:r w:rsidR="006F60BA">
        <w:t>hours</w:t>
      </w:r>
      <w:r>
        <w:t xml:space="preserve"> for </w:t>
      </w:r>
      <w:r w:rsidR="006F60BA">
        <w:t>AoD clinician</w:t>
      </w:r>
      <w:r>
        <w:t xml:space="preserve">s to </w:t>
      </w:r>
      <w:r w:rsidR="006F60BA">
        <w:t xml:space="preserve">document a detailed history of </w:t>
      </w:r>
      <w:r w:rsidR="007379ED">
        <w:t xml:space="preserve">a </w:t>
      </w:r>
      <w:r w:rsidR="006F60BA">
        <w:t>client</w:t>
      </w:r>
      <w:r w:rsidR="007379ED">
        <w:t>’</w:t>
      </w:r>
      <w:r w:rsidR="006F60BA">
        <w:t xml:space="preserve">s ‘life story’ </w:t>
      </w:r>
      <w:r>
        <w:t xml:space="preserve">as part of initial engagement. This is </w:t>
      </w:r>
      <w:r w:rsidR="006F60BA">
        <w:t>an integral part of building rapport and planning a successful recovery pathway</w:t>
      </w:r>
      <w:r>
        <w:t xml:space="preserve">, so where possible, </w:t>
      </w:r>
      <w:r w:rsidR="007379ED">
        <w:t xml:space="preserve">avoid imposing </w:t>
      </w:r>
      <w:r>
        <w:t>time limits on initial engagement</w:t>
      </w:r>
      <w:r w:rsidR="007379ED">
        <w:t>.</w:t>
      </w:r>
    </w:p>
    <w:p w14:paraId="0F8D427F" w14:textId="6983D801" w:rsidR="006F60BA" w:rsidRDefault="00BC0331" w:rsidP="008243BD">
      <w:pPr>
        <w:pStyle w:val="Bullet1"/>
        <w:spacing w:before="0"/>
      </w:pPr>
      <w:r>
        <w:t xml:space="preserve">The most common suggestion from clinicians on how to improve the service was to have </w:t>
      </w:r>
      <w:r w:rsidR="006F60BA">
        <w:t xml:space="preserve">an experienced AoD clinician </w:t>
      </w:r>
      <w:r>
        <w:t xml:space="preserve">with an ‘on the ground’ presence </w:t>
      </w:r>
      <w:r w:rsidR="006F60BA">
        <w:t>act</w:t>
      </w:r>
      <w:r>
        <w:t>ing</w:t>
      </w:r>
      <w:r w:rsidR="006F60BA">
        <w:t xml:space="preserve"> as a local champion </w:t>
      </w:r>
      <w:r>
        <w:t xml:space="preserve">to build and </w:t>
      </w:r>
      <w:r w:rsidR="007379ED">
        <w:t xml:space="preserve">maintain </w:t>
      </w:r>
      <w:r>
        <w:t xml:space="preserve">relationships with the local health services and drive </w:t>
      </w:r>
      <w:r w:rsidR="006F60BA">
        <w:t>clinician engagement.</w:t>
      </w:r>
    </w:p>
    <w:p w14:paraId="02029175" w14:textId="4821FCA9" w:rsidR="002D6AA2" w:rsidRDefault="002D6AA2" w:rsidP="009377C0">
      <w:pPr>
        <w:pStyle w:val="Bullet1"/>
        <w:spacing w:before="0"/>
      </w:pPr>
      <w:r>
        <w:t xml:space="preserve">The project team experienced challenges in accessing data to accurately predict potential demand for the service. A needs assessment using data and information from local stakeholders and experts should be collated prior to the project to ensure any service developed meets local needs and capabilities. </w:t>
      </w:r>
    </w:p>
    <w:sectPr w:rsidR="002D6AA2" w:rsidSect="00B36DF9">
      <w:footerReference w:type="default" r:id="rId11"/>
      <w:pgSz w:w="11906" w:h="16838" w:code="9"/>
      <w:pgMar w:top="2438" w:right="737" w:bottom="680" w:left="737" w:header="539" w:footer="624" w:gutter="0"/>
      <w:cols w:num="2"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77777777" w:rsidR="00C821CE" w:rsidRDefault="00C8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B36DF9" w:rsidRPr="00736C0C" w14:paraId="607B4A0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47553A85" w14:textId="77777777" w:rsidR="00B36DF9" w:rsidRPr="00911408" w:rsidRDefault="00B36DF9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2BB2E82B" w14:textId="77777777" w:rsidR="00B36DF9" w:rsidRPr="00911408" w:rsidRDefault="00B36DF9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09818A06" w14:textId="77777777" w:rsidR="00B36DF9" w:rsidRPr="00911408" w:rsidRDefault="00B36DF9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>
            <w:rPr>
              <w:sz w:val="18"/>
              <w:szCs w:val="18"/>
            </w:rPr>
            <w:t>November 2020</w:t>
          </w:r>
        </w:p>
        <w:p w14:paraId="4998B7D5" w14:textId="75200567" w:rsidR="00B36DF9" w:rsidRPr="00D55E49" w:rsidRDefault="00D55E49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D55E49">
            <w:rPr>
              <w:color w:val="000000" w:themeColor="text1"/>
              <w:sz w:val="18"/>
              <w:szCs w:val="18"/>
            </w:rPr>
            <w:t>ISBN 978-1-76096-290-6 (pdf/online/MS word)</w:t>
          </w:r>
        </w:p>
        <w:p w14:paraId="339BD35B" w14:textId="06E81D2D" w:rsidR="00B36DF9" w:rsidRPr="007A4444" w:rsidRDefault="00B36DF9" w:rsidP="00D55E49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D55E49">
            <w:rPr>
              <w:rStyle w:val="Hyperlink"/>
              <w:sz w:val="18"/>
              <w:szCs w:val="18"/>
            </w:rPr>
            <w:br/>
          </w:r>
        </w:p>
      </w:tc>
      <w:tc>
        <w:tcPr>
          <w:tcW w:w="3515" w:type="dxa"/>
        </w:tcPr>
        <w:p w14:paraId="7C082B8A" w14:textId="77777777" w:rsidR="00B36DF9" w:rsidRPr="00736C0C" w:rsidRDefault="00B36DF9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0BCF7015" wp14:editId="300B8F66">
                <wp:extent cx="1967488" cy="510541"/>
                <wp:effectExtent l="0" t="0" r="0" b="3810"/>
                <wp:docPr id="5" name="Picture 5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D433AD" w14:textId="77777777" w:rsidR="00B36DF9" w:rsidRDefault="00B36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0D7168C1">
          <wp:simplePos x="0" y="0"/>
          <wp:positionH relativeFrom="page">
            <wp:posOffset>4445</wp:posOffset>
          </wp:positionH>
          <wp:positionV relativeFrom="page">
            <wp:posOffset>9525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6811"/>
    <w:rsid w:val="0004185E"/>
    <w:rsid w:val="00041C6B"/>
    <w:rsid w:val="00042A0F"/>
    <w:rsid w:val="000451F8"/>
    <w:rsid w:val="00053181"/>
    <w:rsid w:val="00056988"/>
    <w:rsid w:val="00060D97"/>
    <w:rsid w:val="00071F51"/>
    <w:rsid w:val="00071F54"/>
    <w:rsid w:val="00072279"/>
    <w:rsid w:val="00073407"/>
    <w:rsid w:val="00075E6C"/>
    <w:rsid w:val="00081C12"/>
    <w:rsid w:val="00087D42"/>
    <w:rsid w:val="000905F7"/>
    <w:rsid w:val="00092A1C"/>
    <w:rsid w:val="000B29AD"/>
    <w:rsid w:val="000C515F"/>
    <w:rsid w:val="000C6372"/>
    <w:rsid w:val="000D7841"/>
    <w:rsid w:val="000E392D"/>
    <w:rsid w:val="000E39B6"/>
    <w:rsid w:val="000E3D05"/>
    <w:rsid w:val="000F2A2C"/>
    <w:rsid w:val="000F4288"/>
    <w:rsid w:val="000F7165"/>
    <w:rsid w:val="00102379"/>
    <w:rsid w:val="00103722"/>
    <w:rsid w:val="001065D6"/>
    <w:rsid w:val="001068D5"/>
    <w:rsid w:val="00121252"/>
    <w:rsid w:val="00121488"/>
    <w:rsid w:val="00124609"/>
    <w:rsid w:val="001254CE"/>
    <w:rsid w:val="0013637A"/>
    <w:rsid w:val="001422CC"/>
    <w:rsid w:val="00145346"/>
    <w:rsid w:val="00153D8E"/>
    <w:rsid w:val="001617B6"/>
    <w:rsid w:val="00165E66"/>
    <w:rsid w:val="00184395"/>
    <w:rsid w:val="00186B39"/>
    <w:rsid w:val="00196143"/>
    <w:rsid w:val="001A24FC"/>
    <w:rsid w:val="001A36A9"/>
    <w:rsid w:val="001B2A56"/>
    <w:rsid w:val="001C60B2"/>
    <w:rsid w:val="001C6993"/>
    <w:rsid w:val="001C7BAE"/>
    <w:rsid w:val="001E31FA"/>
    <w:rsid w:val="001E48F9"/>
    <w:rsid w:val="001E64F6"/>
    <w:rsid w:val="001E7AEB"/>
    <w:rsid w:val="00204B82"/>
    <w:rsid w:val="00222BEB"/>
    <w:rsid w:val="00225E60"/>
    <w:rsid w:val="00230BBB"/>
    <w:rsid w:val="0023202C"/>
    <w:rsid w:val="00234619"/>
    <w:rsid w:val="00235BE2"/>
    <w:rsid w:val="00245043"/>
    <w:rsid w:val="0026028E"/>
    <w:rsid w:val="00273AF5"/>
    <w:rsid w:val="00284FA2"/>
    <w:rsid w:val="00286580"/>
    <w:rsid w:val="002878FD"/>
    <w:rsid w:val="00292D36"/>
    <w:rsid w:val="002941FF"/>
    <w:rsid w:val="00294A5A"/>
    <w:rsid w:val="00297281"/>
    <w:rsid w:val="00297A47"/>
    <w:rsid w:val="002A2FF0"/>
    <w:rsid w:val="002A5891"/>
    <w:rsid w:val="002A5F50"/>
    <w:rsid w:val="002B03F1"/>
    <w:rsid w:val="002B5C34"/>
    <w:rsid w:val="002B5E2B"/>
    <w:rsid w:val="002B6DAA"/>
    <w:rsid w:val="002C338A"/>
    <w:rsid w:val="002D6AA2"/>
    <w:rsid w:val="002D70F7"/>
    <w:rsid w:val="002D711A"/>
    <w:rsid w:val="002D7336"/>
    <w:rsid w:val="002E3396"/>
    <w:rsid w:val="002E6454"/>
    <w:rsid w:val="002F2953"/>
    <w:rsid w:val="002F4E84"/>
    <w:rsid w:val="0031149C"/>
    <w:rsid w:val="00315263"/>
    <w:rsid w:val="00327F40"/>
    <w:rsid w:val="00332D4F"/>
    <w:rsid w:val="003347B2"/>
    <w:rsid w:val="00360C0B"/>
    <w:rsid w:val="0036778F"/>
    <w:rsid w:val="0037160E"/>
    <w:rsid w:val="0038771C"/>
    <w:rsid w:val="003A430B"/>
    <w:rsid w:val="003A541A"/>
    <w:rsid w:val="003A6923"/>
    <w:rsid w:val="003B6B93"/>
    <w:rsid w:val="003C1D5B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17F"/>
    <w:rsid w:val="00433DB7"/>
    <w:rsid w:val="00435805"/>
    <w:rsid w:val="0044173E"/>
    <w:rsid w:val="00442182"/>
    <w:rsid w:val="0045347E"/>
    <w:rsid w:val="00453750"/>
    <w:rsid w:val="00456941"/>
    <w:rsid w:val="00460BD5"/>
    <w:rsid w:val="004702EA"/>
    <w:rsid w:val="0048259C"/>
    <w:rsid w:val="00482D02"/>
    <w:rsid w:val="00484326"/>
    <w:rsid w:val="00485D29"/>
    <w:rsid w:val="0048720C"/>
    <w:rsid w:val="00490369"/>
    <w:rsid w:val="004A4ED0"/>
    <w:rsid w:val="004A7519"/>
    <w:rsid w:val="004B64B1"/>
    <w:rsid w:val="004C66F1"/>
    <w:rsid w:val="004D01AC"/>
    <w:rsid w:val="004D3518"/>
    <w:rsid w:val="004D62D6"/>
    <w:rsid w:val="004D6696"/>
    <w:rsid w:val="004D6898"/>
    <w:rsid w:val="004E280F"/>
    <w:rsid w:val="004F3F4E"/>
    <w:rsid w:val="00510167"/>
    <w:rsid w:val="00513E86"/>
    <w:rsid w:val="005306A2"/>
    <w:rsid w:val="0053416C"/>
    <w:rsid w:val="00541C2F"/>
    <w:rsid w:val="00552DE4"/>
    <w:rsid w:val="00555D37"/>
    <w:rsid w:val="00563527"/>
    <w:rsid w:val="0057407A"/>
    <w:rsid w:val="0058124E"/>
    <w:rsid w:val="005875A3"/>
    <w:rsid w:val="00590E67"/>
    <w:rsid w:val="005953EA"/>
    <w:rsid w:val="005A3416"/>
    <w:rsid w:val="005B061F"/>
    <w:rsid w:val="005B27FE"/>
    <w:rsid w:val="005B327A"/>
    <w:rsid w:val="005B5F0B"/>
    <w:rsid w:val="005B76DF"/>
    <w:rsid w:val="005B79CB"/>
    <w:rsid w:val="005E08D7"/>
    <w:rsid w:val="005E4C16"/>
    <w:rsid w:val="005E5947"/>
    <w:rsid w:val="005F61DF"/>
    <w:rsid w:val="005F64C6"/>
    <w:rsid w:val="0060163A"/>
    <w:rsid w:val="006023F9"/>
    <w:rsid w:val="00610559"/>
    <w:rsid w:val="00614076"/>
    <w:rsid w:val="00624112"/>
    <w:rsid w:val="00632F2E"/>
    <w:rsid w:val="006332F6"/>
    <w:rsid w:val="006413F2"/>
    <w:rsid w:val="006426A0"/>
    <w:rsid w:val="0064598D"/>
    <w:rsid w:val="006512FE"/>
    <w:rsid w:val="006534B2"/>
    <w:rsid w:val="0065615D"/>
    <w:rsid w:val="00656997"/>
    <w:rsid w:val="00657011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B2A76"/>
    <w:rsid w:val="006C32B4"/>
    <w:rsid w:val="006C77A9"/>
    <w:rsid w:val="006D2F37"/>
    <w:rsid w:val="006D4720"/>
    <w:rsid w:val="006E6CDF"/>
    <w:rsid w:val="006F37F2"/>
    <w:rsid w:val="006F60BA"/>
    <w:rsid w:val="006F6693"/>
    <w:rsid w:val="00707FE8"/>
    <w:rsid w:val="00714AAE"/>
    <w:rsid w:val="00724962"/>
    <w:rsid w:val="00724A0F"/>
    <w:rsid w:val="00726D2F"/>
    <w:rsid w:val="007352D2"/>
    <w:rsid w:val="00736732"/>
    <w:rsid w:val="007379ED"/>
    <w:rsid w:val="00740019"/>
    <w:rsid w:val="00746426"/>
    <w:rsid w:val="00750BF9"/>
    <w:rsid w:val="00750CBE"/>
    <w:rsid w:val="007566B8"/>
    <w:rsid w:val="007650D2"/>
    <w:rsid w:val="00766B5A"/>
    <w:rsid w:val="00772209"/>
    <w:rsid w:val="007770A5"/>
    <w:rsid w:val="007834F2"/>
    <w:rsid w:val="00791020"/>
    <w:rsid w:val="00794CB7"/>
    <w:rsid w:val="007A04D2"/>
    <w:rsid w:val="007A4444"/>
    <w:rsid w:val="007A5F82"/>
    <w:rsid w:val="007C3946"/>
    <w:rsid w:val="007D4A1E"/>
    <w:rsid w:val="007D5F9E"/>
    <w:rsid w:val="007E098F"/>
    <w:rsid w:val="007E3BA2"/>
    <w:rsid w:val="007E6543"/>
    <w:rsid w:val="007F1A4C"/>
    <w:rsid w:val="007F26B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47BE1"/>
    <w:rsid w:val="00855FF9"/>
    <w:rsid w:val="0086277A"/>
    <w:rsid w:val="008668A8"/>
    <w:rsid w:val="008703D8"/>
    <w:rsid w:val="008768AD"/>
    <w:rsid w:val="00880AC4"/>
    <w:rsid w:val="00893E52"/>
    <w:rsid w:val="00897157"/>
    <w:rsid w:val="00897447"/>
    <w:rsid w:val="008A306C"/>
    <w:rsid w:val="008A4900"/>
    <w:rsid w:val="008A55FE"/>
    <w:rsid w:val="008A58D2"/>
    <w:rsid w:val="008B146D"/>
    <w:rsid w:val="008B42AD"/>
    <w:rsid w:val="008B5666"/>
    <w:rsid w:val="008C2C15"/>
    <w:rsid w:val="008D0281"/>
    <w:rsid w:val="008D1F7B"/>
    <w:rsid w:val="008E2348"/>
    <w:rsid w:val="008E2A02"/>
    <w:rsid w:val="008F6D45"/>
    <w:rsid w:val="00911408"/>
    <w:rsid w:val="009161CE"/>
    <w:rsid w:val="00916AD5"/>
    <w:rsid w:val="00922944"/>
    <w:rsid w:val="009262EC"/>
    <w:rsid w:val="00936479"/>
    <w:rsid w:val="00937A10"/>
    <w:rsid w:val="00952999"/>
    <w:rsid w:val="0095381D"/>
    <w:rsid w:val="00953A2C"/>
    <w:rsid w:val="00954B75"/>
    <w:rsid w:val="0096513B"/>
    <w:rsid w:val="00966115"/>
    <w:rsid w:val="009834C0"/>
    <w:rsid w:val="00986AAC"/>
    <w:rsid w:val="00991C00"/>
    <w:rsid w:val="00995526"/>
    <w:rsid w:val="00996E62"/>
    <w:rsid w:val="009A1DA2"/>
    <w:rsid w:val="009A3704"/>
    <w:rsid w:val="009A4739"/>
    <w:rsid w:val="009A674F"/>
    <w:rsid w:val="009A6D22"/>
    <w:rsid w:val="009A763A"/>
    <w:rsid w:val="009B199C"/>
    <w:rsid w:val="009B1BBA"/>
    <w:rsid w:val="009B61F1"/>
    <w:rsid w:val="009B62E0"/>
    <w:rsid w:val="009C3D88"/>
    <w:rsid w:val="009D328F"/>
    <w:rsid w:val="009E0D59"/>
    <w:rsid w:val="009E1651"/>
    <w:rsid w:val="009E3858"/>
    <w:rsid w:val="009E467D"/>
    <w:rsid w:val="009E595E"/>
    <w:rsid w:val="009E5E60"/>
    <w:rsid w:val="009E70DD"/>
    <w:rsid w:val="009F2ED9"/>
    <w:rsid w:val="009F3231"/>
    <w:rsid w:val="009F3FE4"/>
    <w:rsid w:val="009F5C58"/>
    <w:rsid w:val="00A023A0"/>
    <w:rsid w:val="00A05EBC"/>
    <w:rsid w:val="00A131B1"/>
    <w:rsid w:val="00A1562B"/>
    <w:rsid w:val="00A170F4"/>
    <w:rsid w:val="00A21408"/>
    <w:rsid w:val="00A2160F"/>
    <w:rsid w:val="00A21CFD"/>
    <w:rsid w:val="00A25B78"/>
    <w:rsid w:val="00A306E8"/>
    <w:rsid w:val="00A310FA"/>
    <w:rsid w:val="00A32694"/>
    <w:rsid w:val="00A37E71"/>
    <w:rsid w:val="00A46288"/>
    <w:rsid w:val="00A46BA8"/>
    <w:rsid w:val="00A47634"/>
    <w:rsid w:val="00A612FE"/>
    <w:rsid w:val="00A676BA"/>
    <w:rsid w:val="00A70B49"/>
    <w:rsid w:val="00A73FE0"/>
    <w:rsid w:val="00A746C1"/>
    <w:rsid w:val="00A92D94"/>
    <w:rsid w:val="00AA26B8"/>
    <w:rsid w:val="00AC0B87"/>
    <w:rsid w:val="00AC2624"/>
    <w:rsid w:val="00AC32A8"/>
    <w:rsid w:val="00AC596D"/>
    <w:rsid w:val="00AD7E4E"/>
    <w:rsid w:val="00AF0871"/>
    <w:rsid w:val="00AF4D58"/>
    <w:rsid w:val="00AF6666"/>
    <w:rsid w:val="00AF7BC5"/>
    <w:rsid w:val="00B16BEF"/>
    <w:rsid w:val="00B36DF9"/>
    <w:rsid w:val="00B81B44"/>
    <w:rsid w:val="00B9053B"/>
    <w:rsid w:val="00B91F01"/>
    <w:rsid w:val="00BA0C37"/>
    <w:rsid w:val="00BA3782"/>
    <w:rsid w:val="00BB4D98"/>
    <w:rsid w:val="00BB4EBF"/>
    <w:rsid w:val="00BB59E0"/>
    <w:rsid w:val="00BC0331"/>
    <w:rsid w:val="00BC07DF"/>
    <w:rsid w:val="00BC3422"/>
    <w:rsid w:val="00BC6E19"/>
    <w:rsid w:val="00BD11C2"/>
    <w:rsid w:val="00BD5018"/>
    <w:rsid w:val="00BD6A69"/>
    <w:rsid w:val="00BE5ADC"/>
    <w:rsid w:val="00BF373F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45516"/>
    <w:rsid w:val="00C51C01"/>
    <w:rsid w:val="00C637E1"/>
    <w:rsid w:val="00C67EAC"/>
    <w:rsid w:val="00C7098C"/>
    <w:rsid w:val="00C70D50"/>
    <w:rsid w:val="00C72252"/>
    <w:rsid w:val="00C821CE"/>
    <w:rsid w:val="00C907D7"/>
    <w:rsid w:val="00C92338"/>
    <w:rsid w:val="00CA05DC"/>
    <w:rsid w:val="00CA7B47"/>
    <w:rsid w:val="00CB3976"/>
    <w:rsid w:val="00CC0347"/>
    <w:rsid w:val="00CD0307"/>
    <w:rsid w:val="00CD3C79"/>
    <w:rsid w:val="00CD3D1B"/>
    <w:rsid w:val="00CE590E"/>
    <w:rsid w:val="00CE61C3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5E49"/>
    <w:rsid w:val="00D5644B"/>
    <w:rsid w:val="00D564A8"/>
    <w:rsid w:val="00D56E25"/>
    <w:rsid w:val="00D57E89"/>
    <w:rsid w:val="00D6560D"/>
    <w:rsid w:val="00D65D77"/>
    <w:rsid w:val="00D718D7"/>
    <w:rsid w:val="00D76AD4"/>
    <w:rsid w:val="00D814B7"/>
    <w:rsid w:val="00D858A3"/>
    <w:rsid w:val="00D90688"/>
    <w:rsid w:val="00DA3AAD"/>
    <w:rsid w:val="00DA3F36"/>
    <w:rsid w:val="00DB312B"/>
    <w:rsid w:val="00DB3607"/>
    <w:rsid w:val="00DC5654"/>
    <w:rsid w:val="00DC658F"/>
    <w:rsid w:val="00DC674A"/>
    <w:rsid w:val="00DE60CC"/>
    <w:rsid w:val="00E03F35"/>
    <w:rsid w:val="00E26B32"/>
    <w:rsid w:val="00E31CD4"/>
    <w:rsid w:val="00E31E60"/>
    <w:rsid w:val="00E33E08"/>
    <w:rsid w:val="00E407B6"/>
    <w:rsid w:val="00E414C2"/>
    <w:rsid w:val="00E41D82"/>
    <w:rsid w:val="00E41EF1"/>
    <w:rsid w:val="00E42942"/>
    <w:rsid w:val="00E45253"/>
    <w:rsid w:val="00E521A0"/>
    <w:rsid w:val="00E54EB6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960F6"/>
    <w:rsid w:val="00EB5725"/>
    <w:rsid w:val="00EB7014"/>
    <w:rsid w:val="00EC5CDE"/>
    <w:rsid w:val="00EC7DA1"/>
    <w:rsid w:val="00EC7F2A"/>
    <w:rsid w:val="00ED3077"/>
    <w:rsid w:val="00ED487E"/>
    <w:rsid w:val="00ED64F1"/>
    <w:rsid w:val="00ED7CE0"/>
    <w:rsid w:val="00EE33A1"/>
    <w:rsid w:val="00EE7A0D"/>
    <w:rsid w:val="00F0222C"/>
    <w:rsid w:val="00F06647"/>
    <w:rsid w:val="00F12312"/>
    <w:rsid w:val="00F12BCD"/>
    <w:rsid w:val="00F13239"/>
    <w:rsid w:val="00F17CE1"/>
    <w:rsid w:val="00F2115C"/>
    <w:rsid w:val="00F22ABA"/>
    <w:rsid w:val="00F25919"/>
    <w:rsid w:val="00F25F4B"/>
    <w:rsid w:val="00F36B12"/>
    <w:rsid w:val="00F51B1B"/>
    <w:rsid w:val="00F60F9F"/>
    <w:rsid w:val="00F61246"/>
    <w:rsid w:val="00F61691"/>
    <w:rsid w:val="00F64F08"/>
    <w:rsid w:val="00F70055"/>
    <w:rsid w:val="00F734F5"/>
    <w:rsid w:val="00F73B5B"/>
    <w:rsid w:val="00F74E9E"/>
    <w:rsid w:val="00F80A39"/>
    <w:rsid w:val="00F8536E"/>
    <w:rsid w:val="00F90EA5"/>
    <w:rsid w:val="00F91F5A"/>
    <w:rsid w:val="00F94161"/>
    <w:rsid w:val="00F951E5"/>
    <w:rsid w:val="00F966B1"/>
    <w:rsid w:val="00F97D48"/>
    <w:rsid w:val="00FA0311"/>
    <w:rsid w:val="00FA1489"/>
    <w:rsid w:val="00FB34EC"/>
    <w:rsid w:val="00FD50F0"/>
    <w:rsid w:val="00FD640F"/>
    <w:rsid w:val="00FD6B4C"/>
    <w:rsid w:val="00FE04C6"/>
    <w:rsid w:val="00FE0553"/>
    <w:rsid w:val="00FE25D0"/>
    <w:rsid w:val="00FE6CB3"/>
    <w:rsid w:val="00FF1200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B5EF-592A-4EBB-B12C-B786F56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Remote drug and alcohol recovery for the Southern Otways region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2020-12-18T00:15:00Z</dcterms:created>
  <dcterms:modified xsi:type="dcterms:W3CDTF">2020-12-18T00:15:00Z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2020-12-18T00:15:57Z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902449c1-da43-4b36-a644-c5e1c50b7666</vt:lpwstr>
  </property>
  <property fmtid="{D5CDD505-2E9C-101B-9397-08002B2CF9AE}" pid="8" name="MSIP_Label_efdf5488-3066-4b6c-8fea-9472b8a1f34c_ContentBits">
    <vt:lpwstr>0</vt:lpwstr>
  </property>
</Properties>
</file>