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Title"/>
        <w:tag w:val=""/>
        <w:id w:val="-1540807229"/>
        <w:placeholder>
          <w:docPart w:val="A5B70EB72AB14594A02DD4A7ACB3225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19A4E6A" w14:textId="71EB138B" w:rsidR="00E131C8" w:rsidRPr="00E131C8" w:rsidRDefault="00AE35C6" w:rsidP="001F3F3C">
          <w:pPr>
            <w:pStyle w:val="Title"/>
          </w:pPr>
          <w:r>
            <w:t>Better births for women collaborative – Phase 2</w:t>
          </w:r>
          <w:r w:rsidR="009675B8">
            <w:t xml:space="preserve"> Charter</w:t>
          </w:r>
        </w:p>
      </w:sdtContent>
    </w:sdt>
    <w:p w14:paraId="705550FB" w14:textId="77777777" w:rsidR="00C56F30" w:rsidRDefault="000B36A4" w:rsidP="000B36A4">
      <w:pPr>
        <w:pStyle w:val="Heading2"/>
      </w:pPr>
      <w:r w:rsidRPr="000B36A4">
        <w:t>W</w:t>
      </w:r>
      <w:r w:rsidR="00C56F30">
        <w:t>hat will the Better Births for Women Collaborative accomplish?</w:t>
      </w:r>
    </w:p>
    <w:p w14:paraId="3EC8D0CC" w14:textId="6792E5F2" w:rsidR="000B36A4" w:rsidRDefault="000B36A4" w:rsidP="000B36A4">
      <w:pPr>
        <w:pStyle w:val="Heading3"/>
      </w:pPr>
      <w:r>
        <w:t xml:space="preserve">By </w:t>
      </w:r>
      <w:r w:rsidR="00664458">
        <w:t xml:space="preserve">June </w:t>
      </w:r>
      <w:r w:rsidR="006B7842">
        <w:t>2021</w:t>
      </w:r>
      <w:r>
        <w:t xml:space="preserve"> we intend to reduce</w:t>
      </w:r>
      <w:r w:rsidR="00664458">
        <w:t xml:space="preserve"> harm to women by reducing</w:t>
      </w:r>
      <w:r>
        <w:t xml:space="preserve"> the rate of </w:t>
      </w:r>
      <w:r w:rsidR="00AE35C6">
        <w:t>3</w:t>
      </w:r>
      <w:r w:rsidR="00AE35C6" w:rsidRPr="00664458">
        <w:rPr>
          <w:vertAlign w:val="superscript"/>
        </w:rPr>
        <w:t>r</w:t>
      </w:r>
      <w:r w:rsidR="00B36D8C" w:rsidRPr="00664458">
        <w:rPr>
          <w:vertAlign w:val="superscript"/>
        </w:rPr>
        <w:t>d</w:t>
      </w:r>
      <w:r w:rsidR="00B36D8C">
        <w:t xml:space="preserve"> and 4</w:t>
      </w:r>
      <w:r w:rsidR="00B36D8C" w:rsidRPr="00664458">
        <w:rPr>
          <w:vertAlign w:val="superscript"/>
        </w:rPr>
        <w:t>th</w:t>
      </w:r>
      <w:r w:rsidR="00B36D8C">
        <w:t xml:space="preserve"> degree perineal tears</w:t>
      </w:r>
      <w:r w:rsidR="00664458">
        <w:t xml:space="preserve"> by 50</w:t>
      </w:r>
      <w:r w:rsidR="00C56F30">
        <w:t xml:space="preserve"> per cent</w:t>
      </w:r>
    </w:p>
    <w:p w14:paraId="05406291" w14:textId="36035B1F" w:rsidR="00F255DC" w:rsidRDefault="00F255DC" w:rsidP="00F255DC">
      <w:r>
        <w:t>This will be accomplished by focusing on:</w:t>
      </w:r>
    </w:p>
    <w:p w14:paraId="1696286B" w14:textId="39CB8EC7" w:rsidR="009F54F6" w:rsidRDefault="002C3FEA" w:rsidP="00C56F30">
      <w:pPr>
        <w:pStyle w:val="Bullet1"/>
      </w:pPr>
      <w:r>
        <w:t>Consistent, reliable use of the bundle of clinical care:</w:t>
      </w:r>
    </w:p>
    <w:p w14:paraId="51312BF4" w14:textId="7CC91443" w:rsidR="002C3FEA" w:rsidRDefault="005F6DC7" w:rsidP="00C56F30">
      <w:pPr>
        <w:pStyle w:val="Bullet2"/>
      </w:pPr>
      <w:r>
        <w:t>warm perineal compresses;</w:t>
      </w:r>
    </w:p>
    <w:p w14:paraId="491B49D2" w14:textId="7DB563EB" w:rsidR="005F6DC7" w:rsidRDefault="005F6DC7" w:rsidP="00C56F30">
      <w:pPr>
        <w:pStyle w:val="Bullet2"/>
      </w:pPr>
      <w:r>
        <w:t>hands-on technique;</w:t>
      </w:r>
      <w:r w:rsidR="002E39FD">
        <w:t xml:space="preserve"> </w:t>
      </w:r>
    </w:p>
    <w:p w14:paraId="51FAEC33" w14:textId="7B679F75" w:rsidR="005F6DC7" w:rsidRDefault="005F6DC7" w:rsidP="00C56F30">
      <w:pPr>
        <w:pStyle w:val="Bullet2"/>
      </w:pPr>
      <w:r>
        <w:t>episiotomy when indicated, with correct technique;</w:t>
      </w:r>
    </w:p>
    <w:p w14:paraId="515D3A9F" w14:textId="2DEC2D14" w:rsidR="005F6DC7" w:rsidRDefault="00EC68D5" w:rsidP="00C56F30">
      <w:pPr>
        <w:pStyle w:val="Bullet2"/>
      </w:pPr>
      <w:proofErr w:type="spellStart"/>
      <w:r>
        <w:t>genitoanal</w:t>
      </w:r>
      <w:proofErr w:type="spellEnd"/>
      <w:r>
        <w:t xml:space="preserve"> examination for all women after vaginal birth, and;</w:t>
      </w:r>
    </w:p>
    <w:p w14:paraId="510B2AB2" w14:textId="43044A6E" w:rsidR="00EC68D5" w:rsidRDefault="00EC68D5" w:rsidP="00C56F30">
      <w:pPr>
        <w:pStyle w:val="Bullet2"/>
      </w:pPr>
      <w:r>
        <w:t>examination and grading of all perineal trauma by two experienced clinicians.</w:t>
      </w:r>
    </w:p>
    <w:p w14:paraId="6BFB363D" w14:textId="7AF09176" w:rsidR="001862D1" w:rsidRPr="00F255DC" w:rsidRDefault="004378A9" w:rsidP="00C56F30">
      <w:pPr>
        <w:pStyle w:val="Bullet1"/>
      </w:pPr>
      <w:r>
        <w:t xml:space="preserve">Partnering with women during pregnancy, labour and birth, and immediately after birth, to </w:t>
      </w:r>
      <w:r w:rsidR="001862D1">
        <w:t xml:space="preserve">support </w:t>
      </w:r>
      <w:r w:rsidR="00C1238C">
        <w:t xml:space="preserve">identification of risk factors and </w:t>
      </w:r>
      <w:r w:rsidR="001862D1">
        <w:t>shared decision making</w:t>
      </w:r>
      <w:r w:rsidR="00EC68D5">
        <w:t>.</w:t>
      </w:r>
    </w:p>
    <w:p w14:paraId="1F4B1FB8" w14:textId="4B80CFDD" w:rsidR="00C36F9F" w:rsidRPr="000B36A4" w:rsidRDefault="00C36F9F" w:rsidP="00C36F9F">
      <w:pPr>
        <w:pStyle w:val="Heading2"/>
      </w:pPr>
      <w:r w:rsidRPr="000B36A4">
        <w:t>B</w:t>
      </w:r>
      <w:r w:rsidR="00C56F30">
        <w:t>ackground information</w:t>
      </w:r>
    </w:p>
    <w:p w14:paraId="1DDCEADE" w14:textId="50A5A2EB" w:rsidR="00C36F9F" w:rsidRPr="00BA65E5" w:rsidRDefault="00C36F9F" w:rsidP="00C56F30">
      <w:pPr>
        <w:pStyle w:val="Normalfollowingheading"/>
        <w:rPr>
          <w:rFonts w:eastAsiaTheme="majorEastAsia"/>
        </w:rPr>
      </w:pPr>
      <w:r>
        <w:rPr>
          <w:rFonts w:eastAsiaTheme="majorEastAsia"/>
        </w:rPr>
        <w:t>Prior to Phase 1 of the Better births for women collaborative</w:t>
      </w:r>
      <w:r w:rsidR="009675B8">
        <w:rPr>
          <w:rFonts w:eastAsiaTheme="majorEastAsia"/>
        </w:rPr>
        <w:t>, Victorian data demonstrated that</w:t>
      </w:r>
      <w:r>
        <w:rPr>
          <w:rFonts w:eastAsiaTheme="majorEastAsia"/>
        </w:rPr>
        <w:t xml:space="preserve"> w</w:t>
      </w:r>
      <w:r w:rsidRPr="00BA65E5">
        <w:rPr>
          <w:rFonts w:eastAsiaTheme="majorEastAsia"/>
        </w:rPr>
        <w:t xml:space="preserve">omen having their first </w:t>
      </w:r>
      <w:r w:rsidR="009675B8">
        <w:rPr>
          <w:rFonts w:eastAsiaTheme="majorEastAsia"/>
        </w:rPr>
        <w:t xml:space="preserve">vaginal </w:t>
      </w:r>
      <w:r w:rsidRPr="00BA65E5">
        <w:rPr>
          <w:rFonts w:eastAsiaTheme="majorEastAsia"/>
        </w:rPr>
        <w:t xml:space="preserve">birth </w:t>
      </w:r>
      <w:r>
        <w:rPr>
          <w:rFonts w:eastAsiaTheme="majorEastAsia"/>
        </w:rPr>
        <w:t>we</w:t>
      </w:r>
      <w:r w:rsidRPr="00BA65E5">
        <w:rPr>
          <w:rFonts w:eastAsiaTheme="majorEastAsia"/>
        </w:rPr>
        <w:t xml:space="preserve">re four times more likely to experience a severe perineal laceration (third- or fourth-degree tear) compared to those having a subsequent </w:t>
      </w:r>
      <w:r w:rsidR="009675B8">
        <w:rPr>
          <w:rFonts w:eastAsiaTheme="majorEastAsia"/>
        </w:rPr>
        <w:t xml:space="preserve">vaginal </w:t>
      </w:r>
      <w:r w:rsidRPr="00BA65E5">
        <w:rPr>
          <w:rFonts w:eastAsiaTheme="majorEastAsia"/>
        </w:rPr>
        <w:t>birth</w:t>
      </w:r>
      <w:r>
        <w:rPr>
          <w:rStyle w:val="FootnoteReference"/>
          <w:rFonts w:eastAsiaTheme="majorEastAsia"/>
        </w:rPr>
        <w:footnoteReference w:id="2"/>
      </w:r>
      <w:r w:rsidRPr="00BA65E5">
        <w:rPr>
          <w:rFonts w:eastAsiaTheme="majorEastAsia"/>
        </w:rPr>
        <w:t>. A third- or fourth-degree perineal tear is a significant birth-related complication. It is important these tears are prevented, and where they do happen, they are recognised so that appropriate treatment can be provided.</w:t>
      </w:r>
      <w:r w:rsidRPr="00BA65E5" w:rsidDel="009116C3">
        <w:rPr>
          <w:rFonts w:eastAsiaTheme="majorEastAsia"/>
        </w:rPr>
        <w:t xml:space="preserve"> </w:t>
      </w:r>
    </w:p>
    <w:p w14:paraId="3F2AFBFF" w14:textId="5490EB1D" w:rsidR="00C36F9F" w:rsidRPr="00BA65E5" w:rsidRDefault="00C36F9F" w:rsidP="00C36F9F">
      <w:pPr>
        <w:rPr>
          <w:rFonts w:eastAsiaTheme="majorEastAsia"/>
        </w:rPr>
      </w:pPr>
      <w:r w:rsidRPr="00BA65E5">
        <w:rPr>
          <w:rFonts w:eastAsiaTheme="majorEastAsia"/>
        </w:rPr>
        <w:t xml:space="preserve">For the women sustaining these injuries, consequences can be long-term or lifelong, and impact on their physical and psychological wellbeing. The resulting trauma has been shown to have a detrimental psychosocial impact, with many women requiring ongoing intervention. It has also been shown that the trauma of sustaining a perineal tear and its complications can affect subsequent births choices where a vaginal birth is forsaken, increasing rates of elective caesarean section. </w:t>
      </w:r>
    </w:p>
    <w:p w14:paraId="6F124C10" w14:textId="18020B4C" w:rsidR="00C36F9F" w:rsidRDefault="00C36F9F" w:rsidP="00C36F9F">
      <w:r>
        <w:t xml:space="preserve">Utilising our partnership with the Institute for Healthcare Improvement (IHI), we began the Better births for women breakthrough series collaborative in </w:t>
      </w:r>
      <w:r w:rsidR="000E6E7C">
        <w:t>August</w:t>
      </w:r>
      <w:r>
        <w:t xml:space="preserve"> 2019, with the intent to further test and spread the success of an evidence-based clinical care bundle to reduce third- and fourth- degree perineal tear rate</w:t>
      </w:r>
      <w:r w:rsidR="009E2E00">
        <w:t>s</w:t>
      </w:r>
      <w:r>
        <w:t>.</w:t>
      </w:r>
      <w:r w:rsidR="00AF18B7">
        <w:t xml:space="preserve"> </w:t>
      </w:r>
      <w:r w:rsidR="00FF1AFD">
        <w:t xml:space="preserve">Phase 1 was </w:t>
      </w:r>
      <w:proofErr w:type="gramStart"/>
      <w:r w:rsidR="00FF1AFD">
        <w:t>brought to an end</w:t>
      </w:r>
      <w:proofErr w:type="gramEnd"/>
      <w:r w:rsidR="00FF1AFD">
        <w:t xml:space="preserve"> in April 2020, due to the coronavirus (COVID-19) pandemic, </w:t>
      </w:r>
      <w:r w:rsidR="00C84319">
        <w:t>and Phase 2 is commencing in November 2020.</w:t>
      </w:r>
    </w:p>
    <w:p w14:paraId="3BEE3B11" w14:textId="08F40E9B" w:rsidR="00FB41E0" w:rsidRDefault="000218AA" w:rsidP="000218AA">
      <w:pPr>
        <w:pStyle w:val="Heading3"/>
      </w:pPr>
      <w:r>
        <w:lastRenderedPageBreak/>
        <w:t>Phase 1 – what progress did we make?</w:t>
      </w:r>
    </w:p>
    <w:p w14:paraId="65621865" w14:textId="2454CA10" w:rsidR="00934231" w:rsidRDefault="0022641E" w:rsidP="00C56F30">
      <w:pPr>
        <w:pStyle w:val="Heading4"/>
      </w:pPr>
      <w:r>
        <w:t>Progress towards our aim</w:t>
      </w:r>
    </w:p>
    <w:p w14:paraId="63D89450" w14:textId="76F2A2F5" w:rsidR="0022641E" w:rsidRDefault="00346357" w:rsidP="002A1477">
      <w:pPr>
        <w:pStyle w:val="Bullet1"/>
      </w:pPr>
      <w:r>
        <w:t>T</w:t>
      </w:r>
      <w:r w:rsidR="002A1477">
        <w:t xml:space="preserve">otal third- and fourth-degree perineal tears </w:t>
      </w:r>
      <w:r w:rsidR="002A1477" w:rsidRPr="00477D21">
        <w:rPr>
          <w:b/>
          <w:bCs/>
        </w:rPr>
        <w:t>reduced by 25 per cent</w:t>
      </w:r>
      <w:r>
        <w:t>.</w:t>
      </w:r>
    </w:p>
    <w:p w14:paraId="34DD6681" w14:textId="70AB9EC1" w:rsidR="002A1477" w:rsidRDefault="00703B0B" w:rsidP="00C56F30">
      <w:pPr>
        <w:pStyle w:val="Heading4"/>
      </w:pPr>
      <w:r>
        <w:t>Improvements in process measures</w:t>
      </w:r>
    </w:p>
    <w:p w14:paraId="54194EB9" w14:textId="70DFC0AE" w:rsidR="00703B0B" w:rsidRDefault="00703B0B" w:rsidP="00703B0B">
      <w:pPr>
        <w:pStyle w:val="Bullet1"/>
      </w:pPr>
      <w:r>
        <w:t>Application of warm perineal compresses increased from 40 percent to 60 per cent</w:t>
      </w:r>
      <w:r w:rsidR="00C56F30">
        <w:t>.</w:t>
      </w:r>
    </w:p>
    <w:p w14:paraId="33F1F042" w14:textId="52EFC028" w:rsidR="0004663C" w:rsidRDefault="0004663C" w:rsidP="00703B0B">
      <w:pPr>
        <w:pStyle w:val="Bullet1"/>
      </w:pPr>
      <w:r>
        <w:t xml:space="preserve">Use of hands-on technique and gentle verbal guidance increased from 50 per cent to </w:t>
      </w:r>
      <w:r w:rsidR="00465832">
        <w:t>87 per cent</w:t>
      </w:r>
      <w:r w:rsidR="00C56F30">
        <w:t>.</w:t>
      </w:r>
    </w:p>
    <w:p w14:paraId="02570E9C" w14:textId="52AB9C91" w:rsidR="00465832" w:rsidRDefault="00465832" w:rsidP="00703B0B">
      <w:pPr>
        <w:pStyle w:val="Bullet1"/>
      </w:pPr>
      <w:r>
        <w:t xml:space="preserve">Episiotomy when indicated increased from </w:t>
      </w:r>
      <w:r w:rsidR="00F32B6D">
        <w:t>73 per cent to 90 per cent</w:t>
      </w:r>
      <w:r w:rsidR="00C56F30">
        <w:t>.</w:t>
      </w:r>
    </w:p>
    <w:p w14:paraId="0E4C8BE5" w14:textId="1CA23EF2" w:rsidR="00F32B6D" w:rsidRDefault="00F32B6D" w:rsidP="00703B0B">
      <w:pPr>
        <w:pStyle w:val="Bullet1"/>
      </w:pPr>
      <w:r>
        <w:t xml:space="preserve">Episiotomy cut at a </w:t>
      </w:r>
      <w:r w:rsidR="00EE5E10">
        <w:t>60-degree</w:t>
      </w:r>
      <w:r>
        <w:t xml:space="preserve"> angle increased from 54 per cent to 73 per cent</w:t>
      </w:r>
      <w:r w:rsidR="00C56F30">
        <w:t>.</w:t>
      </w:r>
    </w:p>
    <w:p w14:paraId="66AE2197" w14:textId="17557C58" w:rsidR="00F32B6D" w:rsidRDefault="00EE5E10" w:rsidP="00703B0B">
      <w:pPr>
        <w:pStyle w:val="Bullet1"/>
      </w:pPr>
      <w:proofErr w:type="spellStart"/>
      <w:r>
        <w:t>Genitoanal</w:t>
      </w:r>
      <w:proofErr w:type="spellEnd"/>
      <w:r>
        <w:t xml:space="preserve"> examination for all women increased from 20 per cent to 73 per cent</w:t>
      </w:r>
      <w:r w:rsidR="00C56F30">
        <w:t>.</w:t>
      </w:r>
    </w:p>
    <w:p w14:paraId="153326C2" w14:textId="04923505" w:rsidR="00EE5E10" w:rsidRPr="00934231" w:rsidRDefault="00EE5E10" w:rsidP="00703B0B">
      <w:pPr>
        <w:pStyle w:val="Bullet1"/>
      </w:pPr>
      <w:r>
        <w:t xml:space="preserve">Examination of all perineal trauma by two experienced clinicians increased from 27 per cent to </w:t>
      </w:r>
      <w:r w:rsidR="00624022">
        <w:t>67 per cent.</w:t>
      </w:r>
    </w:p>
    <w:p w14:paraId="6546DE68" w14:textId="77777777" w:rsidR="00C56F30" w:rsidRDefault="000B36A4" w:rsidP="000B36A4">
      <w:pPr>
        <w:pStyle w:val="Heading2"/>
      </w:pPr>
      <w:r w:rsidRPr="000B36A4">
        <w:t>W</w:t>
      </w:r>
      <w:r w:rsidR="00C56F30">
        <w:t>hat does taking part in phase 2 of the collaborative mean?</w:t>
      </w:r>
    </w:p>
    <w:p w14:paraId="62CD4555" w14:textId="25444183" w:rsidR="00C36F9F" w:rsidRDefault="00C36F9F" w:rsidP="00C36F9F">
      <w:pPr>
        <w:pStyle w:val="Heading3"/>
      </w:pPr>
      <w:r>
        <w:t xml:space="preserve">Phase 2 – </w:t>
      </w:r>
      <w:r w:rsidR="00DE3946">
        <w:t>K</w:t>
      </w:r>
      <w:r>
        <w:t>ey dates</w:t>
      </w:r>
      <w:r w:rsidR="006B0B72">
        <w:t xml:space="preserve"> for our </w:t>
      </w:r>
      <w:r w:rsidR="00C56F30">
        <w:t>six</w:t>
      </w:r>
      <w:r w:rsidR="006B0B72">
        <w:t>-month program</w:t>
      </w:r>
    </w:p>
    <w:p w14:paraId="2A7D52F8" w14:textId="14D00ED5" w:rsidR="00F56A2E" w:rsidRPr="00F56A2E" w:rsidRDefault="00C36F9F" w:rsidP="00C56F30">
      <w:pPr>
        <w:pStyle w:val="Bullet1"/>
      </w:pPr>
      <w:r w:rsidRPr="006B7842">
        <w:t>2</w:t>
      </w:r>
      <w:r w:rsidR="008F7D27">
        <w:t>5</w:t>
      </w:r>
      <w:r w:rsidR="00245EFB">
        <w:t xml:space="preserve"> November </w:t>
      </w:r>
      <w:r w:rsidRPr="006B7842">
        <w:t xml:space="preserve">2020 </w:t>
      </w:r>
      <w:r w:rsidR="008F7D27">
        <w:t xml:space="preserve">– </w:t>
      </w:r>
      <w:r w:rsidR="00245EFB">
        <w:t>K</w:t>
      </w:r>
      <w:r w:rsidR="008F7D27">
        <w:t>ick off session</w:t>
      </w:r>
    </w:p>
    <w:p w14:paraId="51FC9122" w14:textId="77777777" w:rsidR="00BC2EC7" w:rsidRPr="006B7842" w:rsidRDefault="00BC2EC7" w:rsidP="00C56F30">
      <w:pPr>
        <w:pStyle w:val="Bullet1"/>
      </w:pPr>
      <w:r>
        <w:t>16 December 2020 – Virtual office (optional attendance for support and Q&amp;A)</w:t>
      </w:r>
    </w:p>
    <w:p w14:paraId="24E4C2B2" w14:textId="75A6C3B9" w:rsidR="00231E47" w:rsidRPr="00231E47" w:rsidRDefault="00C36F9F" w:rsidP="00C56F30">
      <w:pPr>
        <w:pStyle w:val="Bullet1"/>
      </w:pPr>
      <w:r w:rsidRPr="006B7842">
        <w:t>2</w:t>
      </w:r>
      <w:r w:rsidR="00DF658A">
        <w:t>1</w:t>
      </w:r>
      <w:r w:rsidR="00245EFB">
        <w:t xml:space="preserve"> January </w:t>
      </w:r>
      <w:r w:rsidRPr="006B7842">
        <w:t xml:space="preserve">2021 </w:t>
      </w:r>
      <w:r w:rsidR="00F856A9">
        <w:t xml:space="preserve">– </w:t>
      </w:r>
      <w:r w:rsidRPr="006B7842">
        <w:t>1</w:t>
      </w:r>
      <w:r w:rsidRPr="006B7842">
        <w:rPr>
          <w:vertAlign w:val="superscript"/>
        </w:rPr>
        <w:t>st</w:t>
      </w:r>
      <w:r>
        <w:t xml:space="preserve"> </w:t>
      </w:r>
      <w:r w:rsidRPr="006B7842">
        <w:t>virtual forum</w:t>
      </w:r>
      <w:r>
        <w:t xml:space="preserve"> </w:t>
      </w:r>
    </w:p>
    <w:p w14:paraId="73A98FA2" w14:textId="56B6D914" w:rsidR="00AA685C" w:rsidRPr="006B7842" w:rsidRDefault="00AA685C" w:rsidP="00C56F30">
      <w:pPr>
        <w:pStyle w:val="Bullet1"/>
      </w:pPr>
      <w:r>
        <w:t>10 February 2021 - Virtual office (optional attendance for support and Q&amp;A)</w:t>
      </w:r>
    </w:p>
    <w:p w14:paraId="770DEEE4" w14:textId="2E0B7848" w:rsidR="00C36F9F" w:rsidRPr="006B7842" w:rsidRDefault="00C36F9F" w:rsidP="00C56F30">
      <w:pPr>
        <w:pStyle w:val="Bullet1"/>
      </w:pPr>
      <w:r w:rsidRPr="006B7842">
        <w:t>2</w:t>
      </w:r>
      <w:r w:rsidR="00DF658A">
        <w:t>5</w:t>
      </w:r>
      <w:r w:rsidR="00245EFB">
        <w:t xml:space="preserve"> March </w:t>
      </w:r>
      <w:r w:rsidRPr="006B7842">
        <w:t xml:space="preserve">2021 </w:t>
      </w:r>
      <w:r w:rsidR="00F856A9">
        <w:t xml:space="preserve">– </w:t>
      </w:r>
      <w:r w:rsidRPr="006B7842">
        <w:t>2</w:t>
      </w:r>
      <w:r w:rsidRPr="006B7842">
        <w:rPr>
          <w:vertAlign w:val="superscript"/>
        </w:rPr>
        <w:t>nd</w:t>
      </w:r>
      <w:r>
        <w:t xml:space="preserve"> </w:t>
      </w:r>
      <w:r w:rsidRPr="006B7842">
        <w:t>virtual forum</w:t>
      </w:r>
    </w:p>
    <w:p w14:paraId="6C92A4ED" w14:textId="2AB0BF0B" w:rsidR="00E938F9" w:rsidRPr="00E938F9" w:rsidRDefault="00C36F9F" w:rsidP="00C56F30">
      <w:pPr>
        <w:pStyle w:val="Bullet1"/>
      </w:pPr>
      <w:r w:rsidRPr="006B7842">
        <w:t>2</w:t>
      </w:r>
      <w:r w:rsidR="00DF658A">
        <w:t>7</w:t>
      </w:r>
      <w:r w:rsidR="00245EFB">
        <w:t xml:space="preserve"> May </w:t>
      </w:r>
      <w:r w:rsidRPr="006B7842">
        <w:t xml:space="preserve">2021 </w:t>
      </w:r>
      <w:r w:rsidR="00DF658A">
        <w:t xml:space="preserve">– </w:t>
      </w:r>
      <w:r w:rsidR="00245EFB">
        <w:t>W</w:t>
      </w:r>
      <w:r w:rsidRPr="006B7842">
        <w:t>rap up</w:t>
      </w:r>
    </w:p>
    <w:p w14:paraId="74142850" w14:textId="60F1C6E3" w:rsidR="006B0B72" w:rsidRDefault="006B0B72" w:rsidP="006B0B72">
      <w:pPr>
        <w:spacing w:after="0"/>
      </w:pPr>
      <w:r>
        <w:t>Coaching calls with Improvement Advisors in training to be arranged</w:t>
      </w:r>
      <w:r w:rsidR="005E4C61">
        <w:t>.</w:t>
      </w:r>
    </w:p>
    <w:p w14:paraId="5281F5CB" w14:textId="247BCEAF" w:rsidR="000B36A4" w:rsidRPr="000B36A4" w:rsidRDefault="000B36A4" w:rsidP="00C56F30">
      <w:pPr>
        <w:pStyle w:val="Heading4"/>
      </w:pPr>
      <w:r w:rsidRPr="000B36A4">
        <w:t xml:space="preserve">Each participating service </w:t>
      </w:r>
      <w:r w:rsidR="003F2A21">
        <w:t>needs</w:t>
      </w:r>
    </w:p>
    <w:p w14:paraId="168A67D7" w14:textId="5CC6E81F" w:rsidR="009B3C52" w:rsidRDefault="000B36A4" w:rsidP="009B3C52">
      <w:pPr>
        <w:pStyle w:val="Bullet1"/>
      </w:pPr>
      <w:r>
        <w:t>An executive sponsor</w:t>
      </w:r>
      <w:r w:rsidR="00245EFB">
        <w:t xml:space="preserve"> who is</w:t>
      </w:r>
      <w:r>
        <w:t xml:space="preserve"> </w:t>
      </w:r>
      <w:r w:rsidR="009675B8">
        <w:t>supporting</w:t>
      </w:r>
      <w:r>
        <w:t xml:space="preserve"> the work and </w:t>
      </w:r>
      <w:r w:rsidR="003F2A21">
        <w:t xml:space="preserve">ideally </w:t>
      </w:r>
      <w:r w:rsidR="00245EFB">
        <w:t>able to attend</w:t>
      </w:r>
      <w:r w:rsidR="003F2A21">
        <w:t xml:space="preserve"> virtual forums</w:t>
      </w:r>
      <w:r w:rsidR="00245EFB">
        <w:t xml:space="preserve"> with the</w:t>
      </w:r>
      <w:r w:rsidR="009675B8">
        <w:t>ir</w:t>
      </w:r>
      <w:r w:rsidR="00384EB0">
        <w:t xml:space="preserve"> </w:t>
      </w:r>
      <w:r w:rsidR="00245EFB">
        <w:t>team</w:t>
      </w:r>
      <w:r w:rsidR="00384EB0">
        <w:t>.</w:t>
      </w:r>
      <w:r w:rsidR="006A3AB6">
        <w:t xml:space="preserve"> We know from Phase 1 that a</w:t>
      </w:r>
      <w:r w:rsidR="009B3C52">
        <w:t>ctive partnership between service leadership and the collaborative team is essential to achieve results. Teams succeed when a senior leader sponsors the</w:t>
      </w:r>
      <w:r w:rsidR="00EE473B">
        <w:t>ir</w:t>
      </w:r>
      <w:r w:rsidR="009B3C52">
        <w:t xml:space="preserve"> work. The executive sponsor is responsible and accountable to the service for performance and results of improvement work. They </w:t>
      </w:r>
      <w:r w:rsidR="00EE473B">
        <w:t>may</w:t>
      </w:r>
      <w:r w:rsidR="009B3C52">
        <w:t xml:space="preserve"> not</w:t>
      </w:r>
      <w:r w:rsidR="00EE473B">
        <w:t xml:space="preserve"> be</w:t>
      </w:r>
      <w:r w:rsidR="009B3C52">
        <w:t xml:space="preserve"> an active member of the collaborative team but support the team to achieve their aim</w:t>
      </w:r>
      <w:r w:rsidR="002B650B">
        <w:t xml:space="preserve"> by connecting with them regularly, removing barriers to their progress</w:t>
      </w:r>
      <w:r w:rsidR="00EE473B">
        <w:t xml:space="preserve"> and champion</w:t>
      </w:r>
      <w:r w:rsidR="002B650B">
        <w:t>ing</w:t>
      </w:r>
      <w:r w:rsidR="00EE473B">
        <w:t xml:space="preserve"> their work to others in the service</w:t>
      </w:r>
      <w:r w:rsidR="009B3C52">
        <w:t>.</w:t>
      </w:r>
    </w:p>
    <w:p w14:paraId="6A37A358" w14:textId="2786C2E6" w:rsidR="000B36A4" w:rsidRDefault="000B36A4" w:rsidP="00245EFB">
      <w:pPr>
        <w:pStyle w:val="Bullet1"/>
      </w:pPr>
      <w:r>
        <w:t>A day-to-day team leader</w:t>
      </w:r>
      <w:r w:rsidR="00384EB0">
        <w:t>.</w:t>
      </w:r>
    </w:p>
    <w:p w14:paraId="73825868" w14:textId="7E8E2A71" w:rsidR="000B36A4" w:rsidRDefault="000B36A4" w:rsidP="00245EFB">
      <w:pPr>
        <w:pStyle w:val="Bullet1"/>
      </w:pPr>
      <w:r>
        <w:t>A core team</w:t>
      </w:r>
      <w:r w:rsidR="00245EFB">
        <w:t>: This team may be comprised</w:t>
      </w:r>
      <w:r>
        <w:t xml:space="preserve"> of an obstetrician, midwife, consumer and member with quality improvement experience</w:t>
      </w:r>
      <w:r w:rsidR="00245EFB">
        <w:t>. The team is</w:t>
      </w:r>
      <w:r>
        <w:t xml:space="preserve"> responsible for identifying champions and driving change on the clinical floor</w:t>
      </w:r>
      <w:r w:rsidR="000A7AE9">
        <w:t>.</w:t>
      </w:r>
    </w:p>
    <w:p w14:paraId="7EAAF602" w14:textId="7C7368E9" w:rsidR="00245EFB" w:rsidRDefault="000B36A4" w:rsidP="00245EFB">
      <w:pPr>
        <w:pStyle w:val="Bullet1"/>
      </w:pPr>
      <w:r>
        <w:t xml:space="preserve">A wider team of </w:t>
      </w:r>
      <w:r w:rsidR="00C56F30">
        <w:t xml:space="preserve">six to </w:t>
      </w:r>
      <w:r>
        <w:t xml:space="preserve">12 members (e.g. clinicians, managers), influencers in the organisation who can drive commitment and attention to the work and support frontline staff to test changes. This group includes a member responsible for data entry. </w:t>
      </w:r>
    </w:p>
    <w:p w14:paraId="47078E09" w14:textId="1DA0921E" w:rsidR="000B36A4" w:rsidRDefault="000B36A4" w:rsidP="000A7AE9">
      <w:pPr>
        <w:pStyle w:val="Bullet1"/>
      </w:pPr>
      <w:r>
        <w:t>Time dedicated to do the work (including online meetings and site visits): in our experience, optimal results are achieved when teams can devote at least 30 hours per week to the project (shared between members)</w:t>
      </w:r>
      <w:r w:rsidR="00384EB0">
        <w:t>.</w:t>
      </w:r>
    </w:p>
    <w:p w14:paraId="07E0C764" w14:textId="2A0E3CE3" w:rsidR="000B36A4" w:rsidRDefault="000B36A4" w:rsidP="000A7AE9">
      <w:pPr>
        <w:pStyle w:val="Bullet1"/>
      </w:pPr>
      <w:r>
        <w:t xml:space="preserve">Support for the core team to attend all </w:t>
      </w:r>
      <w:r w:rsidR="006B7842">
        <w:t xml:space="preserve">virtual </w:t>
      </w:r>
      <w:r w:rsidR="003F2A21">
        <w:t>forums</w:t>
      </w:r>
      <w:r w:rsidR="00384EB0">
        <w:t>.</w:t>
      </w:r>
    </w:p>
    <w:p w14:paraId="554DEBD1" w14:textId="22FD54A1" w:rsidR="000B36A4" w:rsidRDefault="000B36A4" w:rsidP="000A7AE9">
      <w:pPr>
        <w:pStyle w:val="Bullet1"/>
      </w:pPr>
      <w:r>
        <w:t xml:space="preserve">A commitment to implement all elements of the bundle. </w:t>
      </w:r>
    </w:p>
    <w:p w14:paraId="2F3C2F46" w14:textId="77777777" w:rsidR="00C56F30" w:rsidRDefault="009675B8" w:rsidP="00D81386">
      <w:pPr>
        <w:pStyle w:val="Heading2"/>
      </w:pPr>
      <w:r>
        <w:br w:type="page"/>
      </w:r>
      <w:r w:rsidR="00F966C6" w:rsidRPr="00F966C6">
        <w:t>H</w:t>
      </w:r>
      <w:r w:rsidR="00C56F30">
        <w:t>ow will we know that change is an improvement?</w:t>
      </w:r>
    </w:p>
    <w:p w14:paraId="011390C2" w14:textId="4FEDF38C" w:rsidR="002A6EC2" w:rsidRPr="002A6EC2" w:rsidRDefault="002A6EC2" w:rsidP="00C56F30">
      <w:pPr>
        <w:pStyle w:val="Heading3"/>
      </w:pPr>
      <w:r w:rsidRPr="002A6EC2">
        <w:t>Data collection</w:t>
      </w:r>
    </w:p>
    <w:p w14:paraId="080F5070" w14:textId="77777777" w:rsidR="00527307" w:rsidRDefault="00F1503D" w:rsidP="00C56F30">
      <w:pPr>
        <w:pStyle w:val="Normalfollowingheading"/>
      </w:pPr>
      <w:r>
        <w:t xml:space="preserve">During quality improvement activities, teams collect and use data over time in order to assess change, adjust their hypotheses along the way and understand the impact of changes tested in a wide range of conditions. Data is used to </w:t>
      </w:r>
      <w:r w:rsidR="00442522">
        <w:t>understand if changes are leading to improvement and to determine teams’ next steps.</w:t>
      </w:r>
      <w:r w:rsidR="00527307">
        <w:t xml:space="preserve"> </w:t>
      </w:r>
    </w:p>
    <w:p w14:paraId="4B63AC92" w14:textId="32EE4C73" w:rsidR="00E06B54" w:rsidRDefault="007876AE" w:rsidP="007876AE">
      <w:r>
        <w:t xml:space="preserve">The following </w:t>
      </w:r>
      <w:r w:rsidR="002521E7">
        <w:t>measures will be collected by the teams throughout Phase 2 of the collaborative</w:t>
      </w:r>
      <w:r w:rsidR="00527307">
        <w:t>.</w:t>
      </w:r>
    </w:p>
    <w:p w14:paraId="3A4B12D3" w14:textId="087D4D92" w:rsidR="00CB399F" w:rsidRDefault="00F966C6" w:rsidP="00C56F30">
      <w:pPr>
        <w:pStyle w:val="Heading4"/>
      </w:pPr>
      <w:r w:rsidRPr="00F966C6">
        <w:t xml:space="preserve">Outcome </w:t>
      </w:r>
      <w:r w:rsidR="00C56F30">
        <w:t>m</w:t>
      </w:r>
      <w:r w:rsidRPr="00F966C6">
        <w:t>easures</w:t>
      </w:r>
    </w:p>
    <w:p w14:paraId="312362EC" w14:textId="7277AE2A" w:rsidR="00374FBB" w:rsidRDefault="00374FBB" w:rsidP="00CB399F">
      <w:pPr>
        <w:pStyle w:val="Bullet1"/>
      </w:pPr>
      <w:r>
        <w:t>Percentage of third- and fourth-degree perineal tears</w:t>
      </w:r>
    </w:p>
    <w:p w14:paraId="49AE9A35" w14:textId="466F2676" w:rsidR="00CB399F" w:rsidRDefault="00CB399F" w:rsidP="00CB399F">
      <w:pPr>
        <w:pStyle w:val="Bullet1"/>
      </w:pPr>
      <w:r>
        <w:t>Percentage of third- and fourth-degree perineal tears in non-instrumental assisted vaginal births</w:t>
      </w:r>
    </w:p>
    <w:p w14:paraId="69B8F82E" w14:textId="549BD130" w:rsidR="004A77FD" w:rsidRPr="00C56F30" w:rsidRDefault="00CB399F" w:rsidP="0096749B">
      <w:pPr>
        <w:pStyle w:val="Bullet1"/>
      </w:pPr>
      <w:r>
        <w:t>Percentage of third- and fourth-degree perineal tears in instrumental assisted vaginal births</w:t>
      </w:r>
    </w:p>
    <w:p w14:paraId="326E8446" w14:textId="547FAC9D" w:rsidR="00CB399F" w:rsidRDefault="00F966C6" w:rsidP="00C56F30">
      <w:pPr>
        <w:pStyle w:val="Heading4"/>
      </w:pPr>
      <w:r>
        <w:t xml:space="preserve">Process </w:t>
      </w:r>
      <w:r w:rsidR="00C56F30">
        <w:t>m</w:t>
      </w:r>
      <w:r>
        <w:t xml:space="preserve">easures </w:t>
      </w:r>
    </w:p>
    <w:p w14:paraId="625B4BE5" w14:textId="162DB464" w:rsidR="0080237A" w:rsidRDefault="0080237A" w:rsidP="0080237A">
      <w:pPr>
        <w:pStyle w:val="Bullet1"/>
      </w:pPr>
      <w:r>
        <w:t>Percentage of women who have a warm perineal compress applied during the second stage of labour</w:t>
      </w:r>
    </w:p>
    <w:p w14:paraId="726E2CFA" w14:textId="4AEFFBBA" w:rsidR="0080237A" w:rsidRDefault="0080237A" w:rsidP="0080237A">
      <w:pPr>
        <w:pStyle w:val="Bullet1"/>
      </w:pPr>
      <w:r>
        <w:t>Percentage of women who receive gentle verbal guidance and hands-on technique, from commencement of perineal stretching to birth</w:t>
      </w:r>
    </w:p>
    <w:p w14:paraId="7398F37F" w14:textId="12069F14" w:rsidR="0080237A" w:rsidRDefault="0080237A" w:rsidP="0080237A">
      <w:pPr>
        <w:pStyle w:val="Bullet1"/>
      </w:pPr>
      <w:r>
        <w:t xml:space="preserve">Percentage of assisted births, in women having their first vaginal birth, </w:t>
      </w:r>
      <w:r w:rsidR="00364A93">
        <w:t>where an episiotomy is performed</w:t>
      </w:r>
    </w:p>
    <w:p w14:paraId="23117465" w14:textId="4A57CD49" w:rsidR="00364A93" w:rsidRDefault="00364A93" w:rsidP="0080237A">
      <w:pPr>
        <w:pStyle w:val="Bullet1"/>
      </w:pPr>
      <w:r>
        <w:t>Percentage of episiotomies cut at 60-degrees from the midline</w:t>
      </w:r>
    </w:p>
    <w:p w14:paraId="256B4A1B" w14:textId="25802D72" w:rsidR="00364A93" w:rsidRDefault="00364A93" w:rsidP="0080237A">
      <w:pPr>
        <w:pStyle w:val="Bullet1"/>
      </w:pPr>
      <w:r>
        <w:t xml:space="preserve">Percentage of women </w:t>
      </w:r>
      <w:r w:rsidR="00333FBE">
        <w:t xml:space="preserve">who receive a </w:t>
      </w:r>
      <w:proofErr w:type="spellStart"/>
      <w:r w:rsidR="00333FBE">
        <w:t>genitoanal</w:t>
      </w:r>
      <w:proofErr w:type="spellEnd"/>
      <w:r w:rsidR="00333FBE">
        <w:t xml:space="preserve"> examination following vaginal birth</w:t>
      </w:r>
    </w:p>
    <w:p w14:paraId="415C2E2E" w14:textId="77348D9F" w:rsidR="00333FBE" w:rsidRDefault="00333FBE" w:rsidP="0080237A">
      <w:pPr>
        <w:pStyle w:val="Bullet1"/>
      </w:pPr>
      <w:r>
        <w:t>Percentage of women w</w:t>
      </w:r>
      <w:r w:rsidR="004A77FD">
        <w:t>hose</w:t>
      </w:r>
      <w:r>
        <w:t xml:space="preserve"> perineal traum</w:t>
      </w:r>
      <w:r w:rsidR="004A77FD">
        <w:t>a is examined and graded by two experienced clinicians</w:t>
      </w:r>
    </w:p>
    <w:p w14:paraId="7B3BD537" w14:textId="157406B4" w:rsidR="004A77FD" w:rsidRPr="00C56F30" w:rsidRDefault="009F4FCF" w:rsidP="0096749B">
      <w:pPr>
        <w:pStyle w:val="Bullet1"/>
      </w:pPr>
      <w:r>
        <w:t>Percentage of women</w:t>
      </w:r>
      <w:r w:rsidR="00445F85">
        <w:t xml:space="preserve"> for whom there is evidence in their pregnancy care record of a conversation about what to expect during birth and details of the perineal protection bundle (OPTIONAL)</w:t>
      </w:r>
    </w:p>
    <w:p w14:paraId="4F191C8D" w14:textId="55479819" w:rsidR="00F966C6" w:rsidRPr="00F966C6" w:rsidRDefault="00F966C6" w:rsidP="0096749B">
      <w:pPr>
        <w:pStyle w:val="NormalIndent"/>
      </w:pPr>
      <w:r>
        <w:rPr>
          <w:b/>
          <w:bCs/>
        </w:rPr>
        <w:t xml:space="preserve">Balance </w:t>
      </w:r>
      <w:r w:rsidR="00C56F30">
        <w:rPr>
          <w:b/>
          <w:bCs/>
        </w:rPr>
        <w:t>m</w:t>
      </w:r>
      <w:r>
        <w:rPr>
          <w:b/>
          <w:bCs/>
        </w:rPr>
        <w:t>easures</w:t>
      </w:r>
    </w:p>
    <w:p w14:paraId="1E5C290F" w14:textId="2A31A1D5" w:rsidR="00F966C6" w:rsidRDefault="00507BEA" w:rsidP="00507BEA">
      <w:pPr>
        <w:pStyle w:val="Bullet1"/>
      </w:pPr>
      <w:r>
        <w:t>Percentage of women who have an episiotomy</w:t>
      </w:r>
    </w:p>
    <w:p w14:paraId="4D1A3F25" w14:textId="541737A4" w:rsidR="0087363B" w:rsidRDefault="0087363B" w:rsidP="00507BEA">
      <w:pPr>
        <w:pStyle w:val="Bullet1"/>
      </w:pPr>
      <w:r>
        <w:t>Rate of caesarean sections</w:t>
      </w:r>
    </w:p>
    <w:p w14:paraId="270B1B59" w14:textId="41BA1FFE" w:rsidR="00507BEA" w:rsidRPr="00F966C6" w:rsidRDefault="008E25B2" w:rsidP="00507BEA">
      <w:pPr>
        <w:pStyle w:val="Bullet1"/>
      </w:pPr>
      <w:r>
        <w:t>Percentage of women who were involved as much as they wanted to be in decisions about their</w:t>
      </w:r>
      <w:r w:rsidR="00D755D5">
        <w:t xml:space="preserve"> care during labour and birth (OPTIONAL)</w:t>
      </w:r>
    </w:p>
    <w:p w14:paraId="7DAE68B8" w14:textId="77777777" w:rsidR="0096749B" w:rsidRDefault="0096749B">
      <w:pPr>
        <w:rPr>
          <w:rFonts w:asciiTheme="majorHAnsi" w:eastAsiaTheme="majorEastAsia" w:hAnsiTheme="majorHAnsi" w:cstheme="majorBidi"/>
          <w:b/>
          <w:bCs/>
          <w:caps/>
          <w:color w:val="007586" w:themeColor="text2"/>
          <w:sz w:val="24"/>
          <w:szCs w:val="26"/>
        </w:rPr>
      </w:pPr>
      <w:r>
        <w:br w:type="page"/>
      </w:r>
    </w:p>
    <w:p w14:paraId="38729980" w14:textId="77777777" w:rsidR="00FA2919" w:rsidRDefault="00FA2919" w:rsidP="007A5663">
      <w:pPr>
        <w:pStyle w:val="Heading2"/>
        <w:sectPr w:rsidR="00FA2919" w:rsidSect="00663D4D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438" w:right="1021" w:bottom="1021" w:left="1021" w:header="539" w:footer="624" w:gutter="0"/>
          <w:cols w:space="284"/>
          <w:titlePg/>
          <w:docGrid w:linePitch="360"/>
        </w:sectPr>
      </w:pPr>
    </w:p>
    <w:p w14:paraId="2064C2AD" w14:textId="337870DB" w:rsidR="007A5663" w:rsidRDefault="007A5663" w:rsidP="004833F9">
      <w:pPr>
        <w:pStyle w:val="Heading2"/>
        <w:spacing w:line="276" w:lineRule="auto"/>
      </w:pPr>
      <w:r w:rsidRPr="007A5663">
        <w:t>W</w:t>
      </w:r>
      <w:r w:rsidR="00C56F30">
        <w:t>hat changes</w:t>
      </w:r>
      <w:r w:rsidRPr="007A5663">
        <w:t xml:space="preserve"> </w:t>
      </w:r>
      <w:r w:rsidR="00D81386">
        <w:t>can we make that will lead to improvement</w:t>
      </w:r>
      <w:r w:rsidRPr="007A5663">
        <w:t>?</w:t>
      </w:r>
    </w:p>
    <w:p w14:paraId="757C5D74" w14:textId="2F22235E" w:rsidR="00013AC5" w:rsidRDefault="00013AC5" w:rsidP="002960B0">
      <w:pPr>
        <w:pStyle w:val="IntroductoryText"/>
        <w:spacing w:before="0" w:line="276" w:lineRule="auto"/>
      </w:pPr>
      <w:r>
        <w:t>Phase 2 Driver diagram</w:t>
      </w:r>
    </w:p>
    <w:tbl>
      <w:tblPr>
        <w:tblW w:w="21546" w:type="dxa"/>
        <w:tblInd w:w="108" w:type="dxa"/>
        <w:tblLook w:val="04A0" w:firstRow="1" w:lastRow="0" w:firstColumn="1" w:lastColumn="0" w:noHBand="0" w:noVBand="1"/>
      </w:tblPr>
      <w:tblGrid>
        <w:gridCol w:w="2410"/>
        <w:gridCol w:w="420"/>
        <w:gridCol w:w="2132"/>
        <w:gridCol w:w="420"/>
        <w:gridCol w:w="3118"/>
        <w:gridCol w:w="420"/>
        <w:gridCol w:w="12626"/>
      </w:tblGrid>
      <w:tr w:rsidR="002960B0" w:rsidRPr="002960B0" w14:paraId="586F8156" w14:textId="77777777" w:rsidTr="002960B0">
        <w:trPr>
          <w:trHeight w:val="340"/>
        </w:trPr>
        <w:tc>
          <w:tcPr>
            <w:tcW w:w="2410" w:type="dxa"/>
            <w:shd w:val="clear" w:color="auto" w:fill="F2F2F2"/>
            <w:vAlign w:val="center"/>
            <w:hideMark/>
          </w:tcPr>
          <w:p w14:paraId="7360763B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2960B0">
              <w:rPr>
                <w:rFonts w:ascii="Arial" w:eastAsia="Times New Roman" w:hAnsi="Arial" w:cs="Arial"/>
                <w:b/>
                <w:bCs/>
                <w:lang w:eastAsia="en-US"/>
              </w:rPr>
              <w:t>AIM</w:t>
            </w:r>
          </w:p>
        </w:tc>
        <w:tc>
          <w:tcPr>
            <w:tcW w:w="420" w:type="dxa"/>
            <w:noWrap/>
            <w:vAlign w:val="center"/>
            <w:hideMark/>
          </w:tcPr>
          <w:p w14:paraId="56A4BA21" w14:textId="77777777" w:rsidR="002960B0" w:rsidRPr="002960B0" w:rsidRDefault="002960B0" w:rsidP="002960B0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  <w:tc>
          <w:tcPr>
            <w:tcW w:w="2132" w:type="dxa"/>
            <w:shd w:val="clear" w:color="auto" w:fill="F2F2F2"/>
            <w:vAlign w:val="center"/>
            <w:hideMark/>
          </w:tcPr>
          <w:p w14:paraId="08857835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2960B0">
              <w:rPr>
                <w:rFonts w:ascii="Arial" w:eastAsia="Times New Roman" w:hAnsi="Arial" w:cs="Arial"/>
                <w:b/>
                <w:bCs/>
                <w:lang w:eastAsia="en-US"/>
              </w:rPr>
              <w:t>PRIMARY DRIVERS</w:t>
            </w:r>
          </w:p>
        </w:tc>
        <w:tc>
          <w:tcPr>
            <w:tcW w:w="420" w:type="dxa"/>
            <w:noWrap/>
            <w:vAlign w:val="center"/>
            <w:hideMark/>
          </w:tcPr>
          <w:p w14:paraId="0361322B" w14:textId="77777777" w:rsidR="002960B0" w:rsidRPr="002960B0" w:rsidRDefault="002960B0" w:rsidP="002960B0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  <w:tc>
          <w:tcPr>
            <w:tcW w:w="3118" w:type="dxa"/>
            <w:shd w:val="clear" w:color="auto" w:fill="F2F2F2"/>
            <w:vAlign w:val="center"/>
            <w:hideMark/>
          </w:tcPr>
          <w:p w14:paraId="42CE55D7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2960B0">
              <w:rPr>
                <w:rFonts w:ascii="Arial" w:eastAsia="Times New Roman" w:hAnsi="Arial" w:cs="Arial"/>
                <w:b/>
                <w:bCs/>
                <w:lang w:eastAsia="en-US"/>
              </w:rPr>
              <w:t>SECONDARY DRIVERS</w:t>
            </w:r>
          </w:p>
        </w:tc>
        <w:tc>
          <w:tcPr>
            <w:tcW w:w="420" w:type="dxa"/>
            <w:noWrap/>
            <w:vAlign w:val="center"/>
            <w:hideMark/>
          </w:tcPr>
          <w:p w14:paraId="00BFF81E" w14:textId="77777777" w:rsidR="002960B0" w:rsidRPr="002960B0" w:rsidRDefault="002960B0" w:rsidP="002960B0">
            <w:pPr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</w:tc>
        <w:tc>
          <w:tcPr>
            <w:tcW w:w="12626" w:type="dxa"/>
            <w:shd w:val="clear" w:color="auto" w:fill="F2F2F2"/>
            <w:vAlign w:val="center"/>
            <w:hideMark/>
          </w:tcPr>
          <w:p w14:paraId="5F9E56A9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2960B0">
              <w:rPr>
                <w:rFonts w:ascii="Arial" w:eastAsia="Times New Roman" w:hAnsi="Arial" w:cs="Arial"/>
                <w:b/>
                <w:bCs/>
                <w:lang w:eastAsia="en-US"/>
              </w:rPr>
              <w:t>CHANGE IDEAS</w:t>
            </w:r>
          </w:p>
        </w:tc>
      </w:tr>
      <w:tr w:rsidR="002960B0" w:rsidRPr="002960B0" w14:paraId="09DEFCC2" w14:textId="77777777" w:rsidTr="002960B0">
        <w:trPr>
          <w:trHeight w:val="20"/>
        </w:trPr>
        <w:tc>
          <w:tcPr>
            <w:tcW w:w="2410" w:type="dxa"/>
            <w:vAlign w:val="center"/>
          </w:tcPr>
          <w:p w14:paraId="48C1B3C8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4A1ADCF1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2132" w:type="dxa"/>
            <w:vAlign w:val="center"/>
          </w:tcPr>
          <w:p w14:paraId="039AE8DD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68E41B8F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14:paraId="12021C69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7608AB5A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12626" w:type="dxa"/>
            <w:vAlign w:val="center"/>
          </w:tcPr>
          <w:p w14:paraId="45A29946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en-US"/>
              </w:rPr>
            </w:pPr>
          </w:p>
        </w:tc>
      </w:tr>
      <w:tr w:rsidR="002960B0" w:rsidRPr="002960B0" w14:paraId="18EF6A6E" w14:textId="77777777" w:rsidTr="002960B0">
        <w:trPr>
          <w:trHeight w:val="1020"/>
        </w:trPr>
        <w:tc>
          <w:tcPr>
            <w:tcW w:w="2410" w:type="dxa"/>
            <w:vMerge w:val="restart"/>
            <w:shd w:val="clear" w:color="auto" w:fill="365F91"/>
            <w:vAlign w:val="center"/>
          </w:tcPr>
          <w:p w14:paraId="4A934849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lang w:eastAsia="en-US"/>
              </w:rPr>
            </w:pPr>
            <w:r w:rsidRPr="002960B0">
              <w:rPr>
                <w:rFonts w:ascii="Arial" w:eastAsia="Times New Roman" w:hAnsi="Arial" w:cs="Arial"/>
                <w:bCs/>
                <w:color w:val="FFFFFF"/>
                <w:lang w:eastAsia="en-US"/>
              </w:rPr>
              <w:t>Reduce harm to Victorian women by reducing the rate of 3rd and 4th degree perineal tears by 50 per cent, by June 2021</w:t>
            </w:r>
          </w:p>
          <w:p w14:paraId="0F490000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7E91AD8E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132" w:type="dxa"/>
            <w:vMerge w:val="restart"/>
            <w:shd w:val="clear" w:color="auto" w:fill="FDE9D9"/>
            <w:vAlign w:val="center"/>
            <w:hideMark/>
          </w:tcPr>
          <w:p w14:paraId="35BC0B36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2960B0">
              <w:rPr>
                <w:rFonts w:ascii="Arial" w:eastAsia="Times New Roman" w:hAnsi="Arial" w:cs="Arial"/>
                <w:color w:val="000000"/>
                <w:lang w:eastAsia="en-US"/>
              </w:rPr>
              <w:t xml:space="preserve">Partnering with women </w:t>
            </w:r>
          </w:p>
        </w:tc>
        <w:tc>
          <w:tcPr>
            <w:tcW w:w="420" w:type="dxa"/>
            <w:noWrap/>
            <w:vAlign w:val="center"/>
          </w:tcPr>
          <w:p w14:paraId="0A06DC61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3118" w:type="dxa"/>
            <w:shd w:val="clear" w:color="auto" w:fill="FDE9D9"/>
            <w:vAlign w:val="center"/>
            <w:hideMark/>
          </w:tcPr>
          <w:p w14:paraId="44412CD6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2960B0">
              <w:rPr>
                <w:rFonts w:ascii="Arial" w:eastAsia="Times New Roman" w:hAnsi="Arial" w:cs="Arial"/>
                <w:color w:val="000000"/>
                <w:lang w:eastAsia="en-US"/>
              </w:rPr>
              <w:t>During pregnancy</w:t>
            </w:r>
          </w:p>
        </w:tc>
        <w:tc>
          <w:tcPr>
            <w:tcW w:w="420" w:type="dxa"/>
            <w:noWrap/>
            <w:vAlign w:val="center"/>
          </w:tcPr>
          <w:p w14:paraId="1361DF0B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26" w:type="dxa"/>
            <w:shd w:val="clear" w:color="auto" w:fill="FDE9D9"/>
            <w:vAlign w:val="center"/>
            <w:hideMark/>
          </w:tcPr>
          <w:p w14:paraId="2CB65F8C" w14:textId="77777777" w:rsidR="002960B0" w:rsidRPr="002960B0" w:rsidRDefault="002960B0" w:rsidP="002960B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bCs/>
                <w:color w:val="000000"/>
                <w:lang w:eastAsia="en-US"/>
              </w:rPr>
            </w:pPr>
            <w:r w:rsidRPr="002960B0">
              <w:rPr>
                <w:rFonts w:ascii="Arial" w:eastAsia="Times New Roman" w:hAnsi="Arial" w:cs="Arial"/>
                <w:bCs/>
                <w:color w:val="000000"/>
                <w:lang w:eastAsia="en-US"/>
              </w:rPr>
              <w:t>Use the ‘Donut hesitate to ask’ tool with women during pregnancy care</w:t>
            </w:r>
          </w:p>
          <w:p w14:paraId="6B7C3A53" w14:textId="77777777" w:rsidR="002960B0" w:rsidRPr="002960B0" w:rsidRDefault="002960B0" w:rsidP="002960B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bCs/>
                <w:color w:val="000000"/>
                <w:lang w:eastAsia="en-US"/>
              </w:rPr>
            </w:pPr>
            <w:r w:rsidRPr="002960B0">
              <w:rPr>
                <w:rFonts w:ascii="Arial" w:eastAsia="Times New Roman" w:hAnsi="Arial" w:cs="Arial"/>
                <w:bCs/>
                <w:color w:val="000000"/>
                <w:lang w:eastAsia="en-US"/>
              </w:rPr>
              <w:t>Inclusion of information about the clinical bundle in childbirth education curriculum</w:t>
            </w:r>
          </w:p>
          <w:p w14:paraId="17D67266" w14:textId="77777777" w:rsidR="002960B0" w:rsidRPr="002960B0" w:rsidRDefault="002960B0" w:rsidP="002960B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bCs/>
                <w:color w:val="000000"/>
                <w:lang w:eastAsia="en-US"/>
              </w:rPr>
            </w:pPr>
            <w:r w:rsidRPr="002960B0">
              <w:rPr>
                <w:rFonts w:ascii="Arial" w:eastAsia="Times New Roman" w:hAnsi="Arial" w:cs="Arial"/>
                <w:bCs/>
                <w:color w:val="000000"/>
                <w:lang w:eastAsia="en-US"/>
              </w:rPr>
              <w:t>Planning for risk assessment and decision-making during birth</w:t>
            </w:r>
          </w:p>
        </w:tc>
      </w:tr>
      <w:tr w:rsidR="002960B0" w:rsidRPr="002960B0" w14:paraId="07D0813A" w14:textId="77777777" w:rsidTr="002960B0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33D2BA5B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3643F7F8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8CC6CC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7BB37AEA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14:paraId="2F7F580C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436193B5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26" w:type="dxa"/>
            <w:vAlign w:val="center"/>
          </w:tcPr>
          <w:p w14:paraId="116C6E4F" w14:textId="77777777" w:rsidR="002960B0" w:rsidRPr="002960B0" w:rsidRDefault="002960B0" w:rsidP="002960B0">
            <w:p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2960B0" w:rsidRPr="002960B0" w14:paraId="294C98A2" w14:textId="77777777" w:rsidTr="002960B0">
        <w:trPr>
          <w:trHeight w:val="454"/>
        </w:trPr>
        <w:tc>
          <w:tcPr>
            <w:tcW w:w="0" w:type="auto"/>
            <w:vMerge/>
            <w:vAlign w:val="center"/>
            <w:hideMark/>
          </w:tcPr>
          <w:p w14:paraId="64FA4E35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719733AC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A64751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160AD5C1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3118" w:type="dxa"/>
            <w:shd w:val="clear" w:color="auto" w:fill="FDE9D9"/>
            <w:vAlign w:val="center"/>
            <w:hideMark/>
          </w:tcPr>
          <w:p w14:paraId="38B71319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2960B0">
              <w:rPr>
                <w:rFonts w:ascii="Arial" w:eastAsia="Times New Roman" w:hAnsi="Arial" w:cs="Arial"/>
                <w:color w:val="000000"/>
                <w:lang w:eastAsia="en-US"/>
              </w:rPr>
              <w:t>During birth</w:t>
            </w:r>
          </w:p>
        </w:tc>
        <w:tc>
          <w:tcPr>
            <w:tcW w:w="420" w:type="dxa"/>
            <w:noWrap/>
            <w:vAlign w:val="center"/>
          </w:tcPr>
          <w:p w14:paraId="62647295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26" w:type="dxa"/>
            <w:shd w:val="clear" w:color="auto" w:fill="FDE9D9"/>
            <w:vAlign w:val="center"/>
            <w:hideMark/>
          </w:tcPr>
          <w:p w14:paraId="428CA96D" w14:textId="77777777" w:rsidR="002960B0" w:rsidRPr="002960B0" w:rsidRDefault="002960B0" w:rsidP="002960B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bCs/>
                <w:color w:val="000000"/>
                <w:lang w:eastAsia="en-US"/>
              </w:rPr>
            </w:pPr>
            <w:r w:rsidRPr="002960B0">
              <w:rPr>
                <w:rFonts w:ascii="Arial" w:eastAsia="Times New Roman" w:hAnsi="Arial" w:cs="Arial"/>
                <w:bCs/>
                <w:color w:val="000000"/>
                <w:lang w:eastAsia="en-US"/>
              </w:rPr>
              <w:t xml:space="preserve">Shared ongoing risk assessment and decision making </w:t>
            </w:r>
          </w:p>
        </w:tc>
      </w:tr>
      <w:tr w:rsidR="002960B0" w:rsidRPr="002960B0" w14:paraId="4C20E630" w14:textId="77777777" w:rsidTr="002960B0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A88571D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5B82F2B0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A52D38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60C48AAB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14:paraId="6F08AD57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3AEEE009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26" w:type="dxa"/>
            <w:vAlign w:val="center"/>
          </w:tcPr>
          <w:p w14:paraId="791595CE" w14:textId="77777777" w:rsidR="002960B0" w:rsidRPr="002960B0" w:rsidRDefault="002960B0" w:rsidP="002960B0">
            <w:p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bCs/>
                <w:color w:val="000000"/>
                <w:lang w:eastAsia="en-US"/>
              </w:rPr>
            </w:pPr>
          </w:p>
        </w:tc>
      </w:tr>
      <w:tr w:rsidR="002960B0" w:rsidRPr="002960B0" w14:paraId="11B28524" w14:textId="77777777" w:rsidTr="002960B0">
        <w:trPr>
          <w:trHeight w:val="794"/>
        </w:trPr>
        <w:tc>
          <w:tcPr>
            <w:tcW w:w="0" w:type="auto"/>
            <w:vMerge/>
            <w:vAlign w:val="center"/>
            <w:hideMark/>
          </w:tcPr>
          <w:p w14:paraId="252B9E13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155C0231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CCC9A0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1C5FBEF7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3118" w:type="dxa"/>
            <w:shd w:val="clear" w:color="auto" w:fill="FDE9D9"/>
            <w:vAlign w:val="center"/>
            <w:hideMark/>
          </w:tcPr>
          <w:p w14:paraId="202DDA48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2960B0">
              <w:rPr>
                <w:rFonts w:ascii="Arial" w:eastAsia="Times New Roman" w:hAnsi="Arial" w:cs="Arial"/>
                <w:color w:val="000000"/>
                <w:lang w:eastAsia="en-US"/>
              </w:rPr>
              <w:t>After birth</w:t>
            </w:r>
          </w:p>
        </w:tc>
        <w:tc>
          <w:tcPr>
            <w:tcW w:w="420" w:type="dxa"/>
            <w:noWrap/>
            <w:vAlign w:val="center"/>
          </w:tcPr>
          <w:p w14:paraId="1A1BB9C0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26" w:type="dxa"/>
            <w:shd w:val="clear" w:color="auto" w:fill="FDE9D9"/>
            <w:vAlign w:val="center"/>
            <w:hideMark/>
          </w:tcPr>
          <w:p w14:paraId="34B1BA11" w14:textId="77777777" w:rsidR="002960B0" w:rsidRPr="002960B0" w:rsidRDefault="002960B0" w:rsidP="002960B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bCs/>
                <w:color w:val="000000"/>
                <w:lang w:eastAsia="en-US"/>
              </w:rPr>
            </w:pPr>
            <w:r w:rsidRPr="002960B0">
              <w:rPr>
                <w:rFonts w:ascii="Arial" w:eastAsia="Times New Roman" w:hAnsi="Arial" w:cs="Arial"/>
                <w:bCs/>
                <w:color w:val="000000"/>
                <w:lang w:eastAsia="en-US"/>
              </w:rPr>
              <w:t>Offer all women the opportunity to discuss and ask questions about their perineal care, trauma and repair</w:t>
            </w:r>
          </w:p>
          <w:p w14:paraId="213BE450" w14:textId="77777777" w:rsidR="002960B0" w:rsidRPr="002960B0" w:rsidRDefault="002960B0" w:rsidP="002960B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bCs/>
                <w:color w:val="000000"/>
                <w:lang w:eastAsia="en-US"/>
              </w:rPr>
            </w:pPr>
            <w:r w:rsidRPr="002960B0">
              <w:rPr>
                <w:rFonts w:ascii="Arial" w:eastAsia="Times New Roman" w:hAnsi="Arial" w:cs="Arial"/>
                <w:bCs/>
                <w:color w:val="000000"/>
                <w:lang w:eastAsia="en-US"/>
              </w:rPr>
              <w:t>Ask all women whether they were involved as much as they wanted to be in decision making about their care during birth</w:t>
            </w:r>
          </w:p>
        </w:tc>
      </w:tr>
      <w:tr w:rsidR="002960B0" w:rsidRPr="002960B0" w14:paraId="3F520DCD" w14:textId="77777777" w:rsidTr="002960B0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08AA72C6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0E01CE5B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132" w:type="dxa"/>
            <w:vAlign w:val="center"/>
          </w:tcPr>
          <w:p w14:paraId="765623EA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61ACC450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14:paraId="3BF41817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1E4CFAD5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26" w:type="dxa"/>
            <w:vAlign w:val="center"/>
          </w:tcPr>
          <w:p w14:paraId="0A3F7401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000000"/>
                <w:lang w:eastAsia="en-US"/>
              </w:rPr>
            </w:pPr>
          </w:p>
        </w:tc>
      </w:tr>
      <w:tr w:rsidR="002960B0" w:rsidRPr="002960B0" w14:paraId="55359DED" w14:textId="77777777" w:rsidTr="002960B0">
        <w:trPr>
          <w:trHeight w:val="1134"/>
        </w:trPr>
        <w:tc>
          <w:tcPr>
            <w:tcW w:w="0" w:type="auto"/>
            <w:vMerge/>
            <w:vAlign w:val="center"/>
            <w:hideMark/>
          </w:tcPr>
          <w:p w14:paraId="49E8373B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6C9BB064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132" w:type="dxa"/>
            <w:vMerge w:val="restart"/>
            <w:shd w:val="clear" w:color="auto" w:fill="E5DFEC"/>
            <w:vAlign w:val="center"/>
            <w:hideMark/>
          </w:tcPr>
          <w:p w14:paraId="2BCAE3FD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2960B0">
              <w:rPr>
                <w:rFonts w:ascii="Arial" w:eastAsia="Times New Roman" w:hAnsi="Arial" w:cs="Arial"/>
                <w:color w:val="000000"/>
                <w:lang w:eastAsia="en-US"/>
              </w:rPr>
              <w:t>Application of evidence-based clinical care</w:t>
            </w:r>
          </w:p>
        </w:tc>
        <w:tc>
          <w:tcPr>
            <w:tcW w:w="420" w:type="dxa"/>
            <w:noWrap/>
            <w:vAlign w:val="center"/>
          </w:tcPr>
          <w:p w14:paraId="21993DE6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3118" w:type="dxa"/>
            <w:shd w:val="clear" w:color="auto" w:fill="E5DFEC"/>
            <w:vAlign w:val="center"/>
            <w:hideMark/>
          </w:tcPr>
          <w:p w14:paraId="0EE863FE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2960B0">
              <w:rPr>
                <w:rFonts w:ascii="Arial" w:eastAsia="Times New Roman" w:hAnsi="Arial" w:cs="Arial"/>
                <w:lang w:eastAsia="en-US"/>
              </w:rPr>
              <w:t>Routine professional development</w:t>
            </w:r>
          </w:p>
        </w:tc>
        <w:tc>
          <w:tcPr>
            <w:tcW w:w="420" w:type="dxa"/>
            <w:noWrap/>
            <w:vAlign w:val="center"/>
          </w:tcPr>
          <w:p w14:paraId="0450CD09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26" w:type="dxa"/>
            <w:shd w:val="clear" w:color="auto" w:fill="E5DFEC"/>
            <w:vAlign w:val="center"/>
            <w:hideMark/>
          </w:tcPr>
          <w:p w14:paraId="2AD689DE" w14:textId="77777777" w:rsidR="002960B0" w:rsidRPr="002960B0" w:rsidRDefault="002960B0" w:rsidP="002960B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lang w:eastAsia="en-US"/>
              </w:rPr>
            </w:pPr>
            <w:r w:rsidRPr="002960B0">
              <w:rPr>
                <w:rFonts w:ascii="Arial" w:eastAsia="Times New Roman" w:hAnsi="Arial" w:cs="Arial"/>
                <w:lang w:eastAsia="en-US"/>
              </w:rPr>
              <w:t>Incorporate education and simulation training on the five clinical interventions</w:t>
            </w:r>
          </w:p>
          <w:p w14:paraId="0373DAF3" w14:textId="77777777" w:rsidR="002960B0" w:rsidRPr="002960B0" w:rsidRDefault="002960B0" w:rsidP="002960B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lang w:eastAsia="en-US"/>
              </w:rPr>
            </w:pPr>
            <w:r w:rsidRPr="002960B0">
              <w:rPr>
                <w:rFonts w:ascii="Arial" w:eastAsia="Times New Roman" w:hAnsi="Arial" w:cs="Arial"/>
                <w:bCs/>
                <w:color w:val="000000"/>
                <w:lang w:eastAsia="en-US"/>
              </w:rPr>
              <w:t xml:space="preserve">Incorporate </w:t>
            </w:r>
            <w:r w:rsidRPr="002960B0">
              <w:rPr>
                <w:rFonts w:ascii="Arial" w:eastAsia="Times New Roman" w:hAnsi="Arial" w:cs="Arial"/>
                <w:lang w:eastAsia="en-US"/>
              </w:rPr>
              <w:t>use of clinical models and/or pig sphincters for simulation training for grading trauma</w:t>
            </w:r>
          </w:p>
          <w:p w14:paraId="0EA352D4" w14:textId="77777777" w:rsidR="002960B0" w:rsidRPr="002960B0" w:rsidRDefault="002960B0" w:rsidP="002960B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lang w:eastAsia="en-US"/>
              </w:rPr>
            </w:pPr>
            <w:r w:rsidRPr="002960B0">
              <w:rPr>
                <w:rFonts w:ascii="Arial" w:eastAsia="Times New Roman" w:hAnsi="Arial" w:cs="Arial"/>
                <w:lang w:eastAsia="en-US"/>
              </w:rPr>
              <w:t>Incorporate teach-back skills</w:t>
            </w:r>
          </w:p>
          <w:p w14:paraId="2AAD4B7C" w14:textId="77777777" w:rsidR="002960B0" w:rsidRPr="002960B0" w:rsidRDefault="002960B0" w:rsidP="002960B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lang w:eastAsia="en-US"/>
              </w:rPr>
            </w:pPr>
            <w:r w:rsidRPr="002960B0">
              <w:rPr>
                <w:rFonts w:ascii="Arial" w:eastAsia="Times New Roman" w:hAnsi="Arial" w:cs="Arial"/>
                <w:lang w:eastAsia="en-US"/>
              </w:rPr>
              <w:t>Identify opportunities for in-the-moment teaching, reflection and clinical reasoning development</w:t>
            </w:r>
          </w:p>
        </w:tc>
      </w:tr>
      <w:tr w:rsidR="002960B0" w:rsidRPr="002960B0" w14:paraId="7B247552" w14:textId="77777777" w:rsidTr="002960B0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04F86AB0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49219065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AD3DD9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3C2A686D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14:paraId="41F4F916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6E049283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26" w:type="dxa"/>
            <w:vAlign w:val="center"/>
          </w:tcPr>
          <w:p w14:paraId="40759D68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2960B0" w:rsidRPr="002960B0" w14:paraId="435ABE66" w14:textId="77777777" w:rsidTr="002960B0">
        <w:trPr>
          <w:trHeight w:val="1644"/>
        </w:trPr>
        <w:tc>
          <w:tcPr>
            <w:tcW w:w="0" w:type="auto"/>
            <w:vMerge/>
            <w:vAlign w:val="center"/>
            <w:hideMark/>
          </w:tcPr>
          <w:p w14:paraId="40B5C320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180B71AD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14C587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59EA910D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3118" w:type="dxa"/>
            <w:vMerge w:val="restart"/>
            <w:shd w:val="clear" w:color="auto" w:fill="E5DFEC"/>
            <w:vAlign w:val="center"/>
            <w:hideMark/>
          </w:tcPr>
          <w:p w14:paraId="16CB84BB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2960B0">
              <w:rPr>
                <w:rFonts w:ascii="Arial" w:eastAsia="Times New Roman" w:hAnsi="Arial" w:cs="Arial"/>
                <w:lang w:eastAsia="en-US"/>
              </w:rPr>
              <w:t>Second stage of labour</w:t>
            </w:r>
          </w:p>
        </w:tc>
        <w:tc>
          <w:tcPr>
            <w:tcW w:w="420" w:type="dxa"/>
            <w:noWrap/>
            <w:vAlign w:val="center"/>
          </w:tcPr>
          <w:p w14:paraId="18AFA7B8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26" w:type="dxa"/>
            <w:shd w:val="clear" w:color="auto" w:fill="E5DFEC"/>
            <w:vAlign w:val="center"/>
            <w:hideMark/>
          </w:tcPr>
          <w:p w14:paraId="25C1F0A6" w14:textId="77777777" w:rsidR="002960B0" w:rsidRPr="002960B0" w:rsidRDefault="002960B0" w:rsidP="002960B0">
            <w:pPr>
              <w:spacing w:before="0" w:line="240" w:lineRule="auto"/>
              <w:rPr>
                <w:rFonts w:ascii="Arial" w:eastAsia="Times New Roman" w:hAnsi="Arial" w:cs="Arial"/>
                <w:bCs/>
                <w:i/>
                <w:iCs/>
                <w:lang w:eastAsia="en-US"/>
              </w:rPr>
            </w:pPr>
            <w:r w:rsidRPr="002960B0">
              <w:rPr>
                <w:rFonts w:ascii="Arial" w:eastAsia="Times New Roman" w:hAnsi="Arial" w:cs="Arial"/>
                <w:b/>
                <w:i/>
                <w:iCs/>
                <w:lang w:eastAsia="en-US"/>
              </w:rPr>
              <w:t xml:space="preserve">Intervention 1: Warm compresses - </w:t>
            </w:r>
            <w:r w:rsidRPr="002960B0">
              <w:rPr>
                <w:rFonts w:ascii="Arial" w:eastAsia="Times New Roman" w:hAnsi="Arial" w:cs="Arial"/>
                <w:bCs/>
                <w:i/>
                <w:iCs/>
                <w:lang w:eastAsia="en-US"/>
              </w:rPr>
              <w:t>Apply warm perineal compresses during the second stage of labour at the commencement of perineal stretching</w:t>
            </w:r>
          </w:p>
          <w:p w14:paraId="1C39C9A1" w14:textId="77777777" w:rsidR="002960B0" w:rsidRPr="002960B0" w:rsidRDefault="002960B0" w:rsidP="00C56F3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lang w:eastAsia="en-US"/>
              </w:rPr>
            </w:pPr>
            <w:r w:rsidRPr="002960B0">
              <w:rPr>
                <w:rFonts w:ascii="Arial" w:eastAsia="Times New Roman" w:hAnsi="Arial" w:cs="Arial"/>
                <w:lang w:eastAsia="en-US"/>
              </w:rPr>
              <w:t>Set up birthing environment to support use of warm compress</w:t>
            </w:r>
          </w:p>
          <w:p w14:paraId="6FF8D73D" w14:textId="77777777" w:rsidR="002960B0" w:rsidRPr="002960B0" w:rsidRDefault="002960B0" w:rsidP="00C56F3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lang w:eastAsia="en-US"/>
              </w:rPr>
            </w:pPr>
            <w:r w:rsidRPr="002960B0">
              <w:rPr>
                <w:rFonts w:ascii="Arial" w:eastAsia="Times New Roman" w:hAnsi="Arial" w:cs="Arial"/>
                <w:lang w:eastAsia="en-US"/>
              </w:rPr>
              <w:t xml:space="preserve">Provide necessary equipment for warm compress </w:t>
            </w:r>
          </w:p>
          <w:p w14:paraId="38663061" w14:textId="77777777" w:rsidR="002960B0" w:rsidRPr="002960B0" w:rsidRDefault="002960B0" w:rsidP="00C56F3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lang w:eastAsia="en-US"/>
              </w:rPr>
            </w:pPr>
            <w:r w:rsidRPr="002960B0">
              <w:rPr>
                <w:rFonts w:ascii="Arial" w:eastAsia="Times New Roman" w:hAnsi="Arial" w:cs="Arial"/>
                <w:lang w:eastAsia="en-US"/>
              </w:rPr>
              <w:t>Use ‘toe warmers’ or ‘hand warmers’ inside a peri-pad as warm compresses</w:t>
            </w:r>
          </w:p>
        </w:tc>
      </w:tr>
      <w:tr w:rsidR="002960B0" w:rsidRPr="002960B0" w14:paraId="795AF414" w14:textId="77777777" w:rsidTr="002960B0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0B471BA3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41FBE1C1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108306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4F7F7C2F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CBEC6A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72399A70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26" w:type="dxa"/>
            <w:vAlign w:val="center"/>
          </w:tcPr>
          <w:p w14:paraId="26E6A52A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000000"/>
                <w:lang w:eastAsia="en-US"/>
              </w:rPr>
            </w:pPr>
          </w:p>
        </w:tc>
      </w:tr>
      <w:tr w:rsidR="002960B0" w:rsidRPr="002960B0" w14:paraId="03BD570D" w14:textId="77777777" w:rsidTr="002960B0">
        <w:trPr>
          <w:trHeight w:val="1609"/>
        </w:trPr>
        <w:tc>
          <w:tcPr>
            <w:tcW w:w="0" w:type="auto"/>
            <w:vMerge/>
            <w:vAlign w:val="center"/>
            <w:hideMark/>
          </w:tcPr>
          <w:p w14:paraId="31528978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46709124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7CF608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3FF77696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8D1EA1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27DCBA91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26" w:type="dxa"/>
            <w:shd w:val="clear" w:color="auto" w:fill="E5DFEC"/>
            <w:vAlign w:val="center"/>
            <w:hideMark/>
          </w:tcPr>
          <w:p w14:paraId="59EE095E" w14:textId="77777777" w:rsidR="002960B0" w:rsidRPr="002960B0" w:rsidRDefault="002960B0" w:rsidP="002960B0">
            <w:pPr>
              <w:spacing w:before="0" w:line="240" w:lineRule="auto"/>
              <w:rPr>
                <w:rFonts w:ascii="Arial" w:eastAsia="Times New Roman" w:hAnsi="Arial" w:cs="Arial"/>
                <w:i/>
                <w:iCs/>
                <w:lang w:eastAsia="en-US"/>
              </w:rPr>
            </w:pPr>
            <w:r w:rsidRPr="002960B0">
              <w:rPr>
                <w:rFonts w:ascii="Arial" w:eastAsia="Times New Roman" w:hAnsi="Arial" w:cs="Arial"/>
                <w:b/>
                <w:i/>
                <w:iCs/>
                <w:lang w:eastAsia="en-US"/>
              </w:rPr>
              <w:t xml:space="preserve">Intervention 2: Hands on technique - </w:t>
            </w:r>
            <w:r w:rsidRPr="002960B0">
              <w:rPr>
                <w:rFonts w:ascii="Arial" w:eastAsia="Times New Roman" w:hAnsi="Arial" w:cs="Arial"/>
                <w:i/>
                <w:iCs/>
                <w:lang w:eastAsia="en-US"/>
              </w:rPr>
              <w:t xml:space="preserve">Encourage a slow controlled birth of the </w:t>
            </w:r>
            <w:proofErr w:type="spellStart"/>
            <w:r w:rsidRPr="002960B0">
              <w:rPr>
                <w:rFonts w:ascii="Arial" w:eastAsia="Times New Roman" w:hAnsi="Arial" w:cs="Arial"/>
                <w:i/>
                <w:iCs/>
                <w:lang w:eastAsia="en-US"/>
              </w:rPr>
              <w:t>fetal</w:t>
            </w:r>
            <w:proofErr w:type="spellEnd"/>
            <w:r w:rsidRPr="002960B0">
              <w:rPr>
                <w:rFonts w:ascii="Arial" w:eastAsia="Times New Roman" w:hAnsi="Arial" w:cs="Arial"/>
                <w:i/>
                <w:iCs/>
                <w:lang w:eastAsia="en-US"/>
              </w:rPr>
              <w:t xml:space="preserve"> head and shoulders for all vaginal births, using gentle verbal guidance, support the perineum with the dominant hand, apply counter-pressure on the </w:t>
            </w:r>
            <w:proofErr w:type="spellStart"/>
            <w:r w:rsidRPr="002960B0">
              <w:rPr>
                <w:rFonts w:ascii="Arial" w:eastAsia="Times New Roman" w:hAnsi="Arial" w:cs="Arial"/>
                <w:i/>
                <w:iCs/>
                <w:lang w:eastAsia="en-US"/>
              </w:rPr>
              <w:t>fetal</w:t>
            </w:r>
            <w:proofErr w:type="spellEnd"/>
            <w:r w:rsidRPr="002960B0">
              <w:rPr>
                <w:rFonts w:ascii="Arial" w:eastAsia="Times New Roman" w:hAnsi="Arial" w:cs="Arial"/>
                <w:i/>
                <w:iCs/>
                <w:lang w:eastAsia="en-US"/>
              </w:rPr>
              <w:t xml:space="preserve"> head with the non-dominant hand, if needed, apply gentle traction to release the anterior shoulder, allow posterior shoulder to be released following the curve of </w:t>
            </w:r>
            <w:proofErr w:type="spellStart"/>
            <w:r w:rsidRPr="002960B0">
              <w:rPr>
                <w:rFonts w:ascii="Arial" w:eastAsia="Times New Roman" w:hAnsi="Arial" w:cs="Arial"/>
                <w:i/>
                <w:iCs/>
                <w:lang w:eastAsia="en-US"/>
              </w:rPr>
              <w:t>Carus</w:t>
            </w:r>
            <w:proofErr w:type="spellEnd"/>
          </w:p>
          <w:p w14:paraId="1BEA39EF" w14:textId="77777777" w:rsidR="002960B0" w:rsidRPr="002960B0" w:rsidRDefault="002960B0" w:rsidP="00C56F30">
            <w:pPr>
              <w:numPr>
                <w:ilvl w:val="0"/>
                <w:numId w:val="31"/>
              </w:numPr>
              <w:spacing w:before="0" w:after="0" w:line="240" w:lineRule="auto"/>
              <w:ind w:left="433" w:hanging="350"/>
              <w:contextualSpacing/>
              <w:rPr>
                <w:rFonts w:ascii="Arial" w:eastAsia="Times New Roman" w:hAnsi="Arial" w:cs="Arial"/>
                <w:lang w:eastAsia="en-US"/>
              </w:rPr>
            </w:pPr>
            <w:r w:rsidRPr="002960B0">
              <w:rPr>
                <w:rFonts w:ascii="Arial" w:eastAsia="Times New Roman" w:hAnsi="Arial" w:cs="Arial"/>
                <w:lang w:eastAsia="en-US"/>
              </w:rPr>
              <w:t>Develop a video on hands-on technique, to share with all clinicians</w:t>
            </w:r>
          </w:p>
        </w:tc>
      </w:tr>
      <w:tr w:rsidR="002960B0" w:rsidRPr="002960B0" w14:paraId="773A2396" w14:textId="77777777" w:rsidTr="002960B0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11C13D4E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3D5999ED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72E29B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1F6C0F0E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8A4F26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480B2E16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26" w:type="dxa"/>
            <w:vAlign w:val="center"/>
          </w:tcPr>
          <w:p w14:paraId="6FF3CE31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000000"/>
                <w:sz w:val="10"/>
                <w:szCs w:val="10"/>
                <w:lang w:eastAsia="en-US"/>
              </w:rPr>
            </w:pPr>
          </w:p>
        </w:tc>
      </w:tr>
      <w:tr w:rsidR="002960B0" w:rsidRPr="002960B0" w14:paraId="0A46025B" w14:textId="77777777" w:rsidTr="002960B0">
        <w:trPr>
          <w:trHeight w:val="1701"/>
        </w:trPr>
        <w:tc>
          <w:tcPr>
            <w:tcW w:w="0" w:type="auto"/>
            <w:vMerge/>
            <w:vAlign w:val="center"/>
            <w:hideMark/>
          </w:tcPr>
          <w:p w14:paraId="0C742004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5DFCE9EE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A73D4E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0CE7BE1E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754424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7AC3D83D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26" w:type="dxa"/>
            <w:shd w:val="clear" w:color="auto" w:fill="E5DFEC"/>
            <w:vAlign w:val="center"/>
            <w:hideMark/>
          </w:tcPr>
          <w:p w14:paraId="464BA115" w14:textId="77777777" w:rsidR="002960B0" w:rsidRPr="002960B0" w:rsidRDefault="002960B0" w:rsidP="002960B0">
            <w:pPr>
              <w:spacing w:before="0" w:line="240" w:lineRule="auto"/>
              <w:rPr>
                <w:rFonts w:ascii="Arial" w:eastAsia="Times New Roman" w:hAnsi="Arial" w:cs="Arial"/>
                <w:i/>
                <w:iCs/>
                <w:lang w:eastAsia="en-US"/>
              </w:rPr>
            </w:pPr>
            <w:r w:rsidRPr="002960B0">
              <w:rPr>
                <w:rFonts w:ascii="Arial" w:eastAsia="Times New Roman" w:hAnsi="Arial" w:cs="Arial"/>
                <w:b/>
                <w:i/>
                <w:iCs/>
                <w:lang w:eastAsia="en-US"/>
              </w:rPr>
              <w:t xml:space="preserve">Intervention 3: Episiotomy technique used when indicated - </w:t>
            </w:r>
            <w:r w:rsidRPr="002960B0">
              <w:rPr>
                <w:rFonts w:ascii="Arial" w:eastAsia="Times New Roman" w:hAnsi="Arial" w:cs="Arial"/>
                <w:i/>
                <w:iCs/>
                <w:lang w:eastAsia="en-US"/>
              </w:rPr>
              <w:t xml:space="preserve">Episiotomy should be performed: at crowning of the </w:t>
            </w:r>
            <w:proofErr w:type="spellStart"/>
            <w:r w:rsidRPr="002960B0">
              <w:rPr>
                <w:rFonts w:ascii="Arial" w:eastAsia="Times New Roman" w:hAnsi="Arial" w:cs="Arial"/>
                <w:i/>
                <w:iCs/>
                <w:lang w:eastAsia="en-US"/>
              </w:rPr>
              <w:t>fetal</w:t>
            </w:r>
            <w:proofErr w:type="spellEnd"/>
            <w:r w:rsidRPr="002960B0">
              <w:rPr>
                <w:rFonts w:ascii="Arial" w:eastAsia="Times New Roman" w:hAnsi="Arial" w:cs="Arial"/>
                <w:i/>
                <w:iCs/>
                <w:lang w:eastAsia="en-US"/>
              </w:rPr>
              <w:t xml:space="preserve"> head, using a medio-lateral incision, at a minimum 60-degree angle from the posterior fourchette</w:t>
            </w:r>
          </w:p>
          <w:p w14:paraId="5E6F8575" w14:textId="77777777" w:rsidR="002960B0" w:rsidRPr="002960B0" w:rsidRDefault="002960B0" w:rsidP="00C56F3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lang w:eastAsia="en-US"/>
              </w:rPr>
            </w:pPr>
            <w:r w:rsidRPr="002960B0">
              <w:rPr>
                <w:rFonts w:ascii="Arial" w:eastAsia="Times New Roman" w:hAnsi="Arial" w:cs="Arial"/>
                <w:lang w:eastAsia="en-US"/>
              </w:rPr>
              <w:t>Introduce post-repair episiotomy angle measurement</w:t>
            </w:r>
          </w:p>
          <w:p w14:paraId="775FC9BE" w14:textId="77777777" w:rsidR="002960B0" w:rsidRPr="002960B0" w:rsidRDefault="002960B0" w:rsidP="00C56F3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lang w:eastAsia="en-US"/>
              </w:rPr>
            </w:pPr>
            <w:r w:rsidRPr="002960B0">
              <w:rPr>
                <w:rFonts w:ascii="Arial" w:eastAsia="Times New Roman" w:hAnsi="Arial" w:cs="Arial"/>
                <w:lang w:eastAsia="en-US"/>
              </w:rPr>
              <w:t xml:space="preserve">Use </w:t>
            </w:r>
            <w:proofErr w:type="spellStart"/>
            <w:r w:rsidRPr="002960B0">
              <w:rPr>
                <w:rFonts w:ascii="Arial" w:eastAsia="Times New Roman" w:hAnsi="Arial" w:cs="Arial"/>
                <w:lang w:eastAsia="en-US"/>
              </w:rPr>
              <w:t>Episcissors</w:t>
            </w:r>
            <w:proofErr w:type="spellEnd"/>
            <w:r w:rsidRPr="002960B0">
              <w:rPr>
                <w:rFonts w:ascii="Arial" w:eastAsia="Times New Roman" w:hAnsi="Arial" w:cs="Arial"/>
                <w:lang w:eastAsia="en-US"/>
              </w:rPr>
              <w:t xml:space="preserve"> for cutting episiotomies</w:t>
            </w:r>
          </w:p>
          <w:p w14:paraId="30CB81F9" w14:textId="77777777" w:rsidR="002960B0" w:rsidRPr="002960B0" w:rsidRDefault="002960B0" w:rsidP="00C56F3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lang w:eastAsia="en-US"/>
              </w:rPr>
            </w:pPr>
            <w:r w:rsidRPr="002960B0">
              <w:rPr>
                <w:rFonts w:ascii="Arial" w:eastAsia="Times New Roman" w:hAnsi="Arial" w:cs="Arial"/>
                <w:lang w:eastAsia="en-US"/>
              </w:rPr>
              <w:t xml:space="preserve">Use cord-clamps to guide a 60-degree angle episiotomy when using mayo scissors </w:t>
            </w:r>
          </w:p>
        </w:tc>
      </w:tr>
      <w:tr w:rsidR="002960B0" w:rsidRPr="002960B0" w14:paraId="73028CC4" w14:textId="77777777" w:rsidTr="002960B0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3AD508D1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19C016C4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3612B3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2A785165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14:paraId="64D7469D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31BCD458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26" w:type="dxa"/>
            <w:vAlign w:val="center"/>
          </w:tcPr>
          <w:p w14:paraId="342B0F9B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2960B0" w:rsidRPr="002960B0" w14:paraId="7C81836F" w14:textId="77777777" w:rsidTr="004833F9">
        <w:trPr>
          <w:trHeight w:val="794"/>
        </w:trPr>
        <w:tc>
          <w:tcPr>
            <w:tcW w:w="0" w:type="auto"/>
            <w:vMerge/>
            <w:vAlign w:val="center"/>
            <w:hideMark/>
          </w:tcPr>
          <w:p w14:paraId="43DF24C7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6292BD95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7FEE6C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70EA7149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3118" w:type="dxa"/>
            <w:vMerge w:val="restart"/>
            <w:shd w:val="clear" w:color="auto" w:fill="E5DFEC"/>
            <w:vAlign w:val="center"/>
            <w:hideMark/>
          </w:tcPr>
          <w:p w14:paraId="6D08E55E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2960B0">
              <w:rPr>
                <w:rFonts w:ascii="Arial" w:eastAsia="Times New Roman" w:hAnsi="Arial" w:cs="Arial"/>
                <w:lang w:eastAsia="en-US"/>
              </w:rPr>
              <w:t>After birth</w:t>
            </w:r>
          </w:p>
        </w:tc>
        <w:tc>
          <w:tcPr>
            <w:tcW w:w="420" w:type="dxa"/>
            <w:noWrap/>
            <w:vAlign w:val="center"/>
          </w:tcPr>
          <w:p w14:paraId="09543E10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26" w:type="dxa"/>
            <w:shd w:val="clear" w:color="auto" w:fill="E5DFEC"/>
            <w:vAlign w:val="center"/>
          </w:tcPr>
          <w:p w14:paraId="7FDDA97A" w14:textId="77777777" w:rsidR="002960B0" w:rsidRPr="002960B0" w:rsidRDefault="002960B0" w:rsidP="002960B0">
            <w:pPr>
              <w:spacing w:before="0" w:line="240" w:lineRule="auto"/>
              <w:rPr>
                <w:rFonts w:ascii="Arial" w:eastAsia="Times New Roman" w:hAnsi="Arial" w:cs="Arial"/>
                <w:i/>
                <w:iCs/>
                <w:lang w:eastAsia="en-US"/>
              </w:rPr>
            </w:pPr>
            <w:r w:rsidRPr="002960B0">
              <w:rPr>
                <w:rFonts w:ascii="Arial" w:eastAsia="Times New Roman" w:hAnsi="Arial" w:cs="Arial"/>
                <w:b/>
                <w:i/>
                <w:iCs/>
                <w:lang w:eastAsia="en-US"/>
              </w:rPr>
              <w:t xml:space="preserve">Intervention 4: Genito-anal examination - </w:t>
            </w:r>
            <w:r w:rsidRPr="002960B0">
              <w:rPr>
                <w:rFonts w:ascii="Arial" w:eastAsia="Times New Roman" w:hAnsi="Arial" w:cs="Arial"/>
                <w:i/>
                <w:iCs/>
                <w:lang w:eastAsia="en-US"/>
              </w:rPr>
              <w:t>A per-rectum examination for all women, including those with an intact perineum</w:t>
            </w:r>
          </w:p>
          <w:p w14:paraId="390E8142" w14:textId="77777777" w:rsidR="002960B0" w:rsidRPr="002960B0" w:rsidRDefault="002960B0" w:rsidP="00C56F3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2960B0" w:rsidRPr="002960B0" w14:paraId="0A0997FE" w14:textId="77777777" w:rsidTr="002960B0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0F9C3DF3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78015A3B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EF8A29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0E942322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1499D4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055E48FD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26" w:type="dxa"/>
            <w:vAlign w:val="center"/>
          </w:tcPr>
          <w:p w14:paraId="0D22C5C4" w14:textId="77777777" w:rsidR="002960B0" w:rsidRPr="002960B0" w:rsidRDefault="002960B0" w:rsidP="002960B0">
            <w:pPr>
              <w:spacing w:before="0" w:after="0" w:line="240" w:lineRule="auto"/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2960B0" w:rsidRPr="002960B0" w14:paraId="4EFB5A3F" w14:textId="77777777" w:rsidTr="002960B0">
        <w:trPr>
          <w:trHeight w:val="1134"/>
        </w:trPr>
        <w:tc>
          <w:tcPr>
            <w:tcW w:w="0" w:type="auto"/>
            <w:vMerge/>
            <w:vAlign w:val="center"/>
            <w:hideMark/>
          </w:tcPr>
          <w:p w14:paraId="2D18B00F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2726FF8D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267E5F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45CAB430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6F7FB0" w14:textId="77777777" w:rsidR="002960B0" w:rsidRPr="002960B0" w:rsidRDefault="002960B0" w:rsidP="002960B0">
            <w:pPr>
              <w:spacing w:before="0" w:after="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420" w:type="dxa"/>
            <w:noWrap/>
            <w:vAlign w:val="center"/>
          </w:tcPr>
          <w:p w14:paraId="2C824C25" w14:textId="77777777" w:rsidR="002960B0" w:rsidRPr="002960B0" w:rsidRDefault="002960B0" w:rsidP="002960B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26" w:type="dxa"/>
            <w:shd w:val="clear" w:color="auto" w:fill="E5DFEC"/>
            <w:vAlign w:val="center"/>
            <w:hideMark/>
          </w:tcPr>
          <w:p w14:paraId="1DAFECAD" w14:textId="77777777" w:rsidR="002960B0" w:rsidRPr="002960B0" w:rsidRDefault="002960B0" w:rsidP="002960B0">
            <w:pPr>
              <w:spacing w:before="0" w:line="240" w:lineRule="auto"/>
              <w:rPr>
                <w:rFonts w:ascii="Arial" w:eastAsia="Times New Roman" w:hAnsi="Arial" w:cs="Arial"/>
                <w:b/>
                <w:i/>
                <w:iCs/>
                <w:lang w:eastAsia="en-US"/>
              </w:rPr>
            </w:pPr>
            <w:r w:rsidRPr="002960B0">
              <w:rPr>
                <w:rFonts w:ascii="Arial" w:eastAsia="Times New Roman" w:hAnsi="Arial" w:cs="Arial"/>
                <w:b/>
                <w:i/>
                <w:iCs/>
                <w:lang w:eastAsia="en-US"/>
              </w:rPr>
              <w:t>Intervention 5: Review of tear and grading – all perineal trauma to be reviewed by a second experienced clinician</w:t>
            </w:r>
          </w:p>
          <w:p w14:paraId="01177C66" w14:textId="77777777" w:rsidR="002960B0" w:rsidRPr="00C56F30" w:rsidRDefault="002960B0" w:rsidP="00C56F3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lang w:eastAsia="en-US"/>
              </w:rPr>
            </w:pPr>
            <w:r w:rsidRPr="002960B0">
              <w:rPr>
                <w:rFonts w:ascii="Arial" w:eastAsia="Times New Roman" w:hAnsi="Arial" w:cs="Arial"/>
                <w:lang w:eastAsia="en-US"/>
              </w:rPr>
              <w:t>Use the RCOG grading scale</w:t>
            </w:r>
          </w:p>
          <w:p w14:paraId="7D0BF678" w14:textId="77777777" w:rsidR="002960B0" w:rsidRPr="002960B0" w:rsidRDefault="002960B0" w:rsidP="00C56F30">
            <w:pPr>
              <w:numPr>
                <w:ilvl w:val="0"/>
                <w:numId w:val="30"/>
              </w:numPr>
              <w:spacing w:before="0" w:after="0" w:line="240" w:lineRule="auto"/>
              <w:ind w:left="433"/>
              <w:contextualSpacing/>
              <w:rPr>
                <w:rFonts w:ascii="Arial" w:eastAsia="Times New Roman" w:hAnsi="Arial" w:cs="Arial"/>
                <w:b/>
                <w:lang w:eastAsia="en-US"/>
              </w:rPr>
            </w:pPr>
            <w:r w:rsidRPr="002960B0">
              <w:rPr>
                <w:rFonts w:ascii="Arial" w:eastAsia="Times New Roman" w:hAnsi="Arial" w:cs="Arial"/>
                <w:lang w:eastAsia="en-US"/>
              </w:rPr>
              <w:t>Develop local operational definitions for ‘experienced clinicians’</w:t>
            </w:r>
          </w:p>
        </w:tc>
      </w:tr>
    </w:tbl>
    <w:p w14:paraId="18EDA1B4" w14:textId="7CFD59F3" w:rsidR="001D3D7D" w:rsidRPr="00C56F30" w:rsidRDefault="001D3D7D" w:rsidP="00C56F30">
      <w:pPr>
        <w:spacing w:before="0" w:after="0" w:line="240" w:lineRule="auto"/>
        <w:rPr>
          <w:sz w:val="14"/>
          <w:szCs w:val="14"/>
        </w:rPr>
      </w:pPr>
    </w:p>
    <w:sectPr w:rsidR="001D3D7D" w:rsidRPr="00C56F30" w:rsidSect="004833F9">
      <w:pgSz w:w="23808" w:h="16840" w:orient="landscape" w:code="8"/>
      <w:pgMar w:top="1985" w:right="720" w:bottom="720" w:left="720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3A0C5" w14:textId="77777777" w:rsidR="00C21BBF" w:rsidRDefault="00C21BBF" w:rsidP="002D711A">
      <w:pPr>
        <w:spacing w:after="0" w:line="240" w:lineRule="auto"/>
      </w:pPr>
      <w:r>
        <w:separator/>
      </w:r>
    </w:p>
  </w:endnote>
  <w:endnote w:type="continuationSeparator" w:id="0">
    <w:p w14:paraId="31CB92BB" w14:textId="77777777" w:rsidR="00C21BBF" w:rsidRDefault="00C21BBF" w:rsidP="002D711A">
      <w:pPr>
        <w:spacing w:after="0" w:line="240" w:lineRule="auto"/>
      </w:pPr>
      <w:r>
        <w:continuationSeparator/>
      </w:r>
    </w:p>
  </w:endnote>
  <w:endnote w:type="continuationNotice" w:id="1">
    <w:p w14:paraId="5AF3EBA7" w14:textId="77777777" w:rsidR="00C21BBF" w:rsidRDefault="00C21BB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DFEF5" w14:textId="23763243" w:rsidR="00663D4D" w:rsidRDefault="00663D4D">
    <w:pPr>
      <w:pStyle w:val="Footer"/>
      <w:jc w:val="right"/>
      <w:rPr>
        <w:noProof w:val="0"/>
        <w:sz w:val="20"/>
        <w:szCs w:val="20"/>
      </w:rPr>
    </w:pPr>
  </w:p>
  <w:p w14:paraId="21BAC8C2" w14:textId="13EA4253" w:rsidR="00663D4D" w:rsidRPr="00663D4D" w:rsidRDefault="00C21BBF" w:rsidP="00C56F30">
    <w:pPr>
      <w:pStyle w:val="Footer"/>
      <w:spacing w:line="200" w:lineRule="exact"/>
      <w:jc w:val="right"/>
      <w:rPr>
        <w:sz w:val="20"/>
        <w:szCs w:val="20"/>
      </w:rPr>
    </w:pPr>
    <w:sdt>
      <w:sdtPr>
        <w:rPr>
          <w:noProof w:val="0"/>
        </w:rPr>
        <w:id w:val="1538702247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663D4D" w:rsidRPr="00663D4D">
          <w:rPr>
            <w:noProof w:val="0"/>
            <w:sz w:val="20"/>
            <w:szCs w:val="20"/>
          </w:rPr>
          <w:fldChar w:fldCharType="begin"/>
        </w:r>
        <w:r w:rsidR="00663D4D" w:rsidRPr="00663D4D">
          <w:rPr>
            <w:sz w:val="20"/>
            <w:szCs w:val="20"/>
          </w:rPr>
          <w:instrText xml:space="preserve"> PAGE   \* MERGEFORMAT </w:instrText>
        </w:r>
        <w:r w:rsidR="00663D4D" w:rsidRPr="00663D4D">
          <w:rPr>
            <w:noProof w:val="0"/>
            <w:sz w:val="20"/>
            <w:szCs w:val="20"/>
          </w:rPr>
          <w:fldChar w:fldCharType="separate"/>
        </w:r>
        <w:r w:rsidR="007E6EF5">
          <w:rPr>
            <w:sz w:val="20"/>
            <w:szCs w:val="20"/>
          </w:rPr>
          <w:t>2</w:t>
        </w:r>
        <w:r w:rsidR="00663D4D" w:rsidRPr="00663D4D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73AB" w14:textId="00AA5F5B" w:rsidR="000B36A4" w:rsidRDefault="00D63954">
    <w:pPr>
      <w:pStyle w:val="Foo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2318D737" wp14:editId="752DE8D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2" name="MSIPCMd09b4908b793ce07427f86f2" descr="{&quot;HashCode&quot;:904758361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A1B754" w14:textId="4BB81A8F" w:rsidR="00D63954" w:rsidRPr="00D63954" w:rsidRDefault="00D63954" w:rsidP="00D63954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8D737" id="_x0000_t202" coordsize="21600,21600" o:spt="202" path="m,l,21600r21600,l21600,xe">
              <v:stroke joinstyle="miter"/>
              <v:path gradientshapeok="t" o:connecttype="rect"/>
            </v:shapetype>
            <v:shape id="MSIPCMd09b4908b793ce07427f86f2" o:spid="_x0000_s1026" type="#_x0000_t202" alt="{&quot;HashCode&quot;:904758361,&quot;Height&quot;:9999999.0,&quot;Width&quot;:9999999.0,&quot;Placement&quot;:&quot;Footer&quot;,&quot;Index&quot;:&quot;FirstPage&quot;,&quot;Section&quot;:1,&quot;Top&quot;:0.0,&quot;Left&quot;:0.0}" style="position:absolute;margin-left:0;margin-top:0;width:612pt;height:39.55pt;z-index:25166028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" o:allowincell="f" filled="f" stroked="f" strokeweight=".5pt">
              <v:textbox inset=",0,,0">
                <w:txbxContent>
                  <w:p w14:paraId="5CA1B754" w14:textId="4BB81A8F" w:rsidR="00D63954" w:rsidRPr="00D63954" w:rsidRDefault="00D63954" w:rsidP="00D63954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7E31B" w14:textId="77777777" w:rsidR="00C21BBF" w:rsidRDefault="00C21BBF" w:rsidP="00E33E08">
      <w:pPr>
        <w:spacing w:before="0" w:after="0" w:line="240" w:lineRule="auto"/>
      </w:pPr>
    </w:p>
  </w:footnote>
  <w:footnote w:type="continuationSeparator" w:id="0">
    <w:p w14:paraId="22692E7A" w14:textId="77777777" w:rsidR="00C21BBF" w:rsidRDefault="00C21BBF" w:rsidP="00E33E08">
      <w:pPr>
        <w:spacing w:before="0" w:after="0" w:line="240" w:lineRule="auto"/>
      </w:pPr>
    </w:p>
  </w:footnote>
  <w:footnote w:type="continuationNotice" w:id="1">
    <w:p w14:paraId="0DC93ECF" w14:textId="77777777" w:rsidR="00C21BBF" w:rsidRDefault="00C21BBF">
      <w:pPr>
        <w:spacing w:before="0" w:after="0" w:line="240" w:lineRule="auto"/>
      </w:pPr>
    </w:p>
  </w:footnote>
  <w:footnote w:id="2">
    <w:p w14:paraId="2BFCE744" w14:textId="77777777" w:rsidR="00C36F9F" w:rsidRPr="00495DE9" w:rsidRDefault="00C36F9F" w:rsidP="00C36F9F">
      <w:pPr>
        <w:pStyle w:val="Default"/>
        <w:rPr>
          <w:rFonts w:ascii="VIC" w:hAnsi="VIC" w:cs="VIC"/>
          <w:sz w:val="13"/>
          <w:szCs w:val="13"/>
        </w:rPr>
      </w:pPr>
      <w:r w:rsidRPr="00495DE9">
        <w:rPr>
          <w:rStyle w:val="FootnoteReference"/>
          <w:rFonts w:asciiTheme="minorHAnsi" w:hAnsiTheme="minorHAnsi" w:cstheme="minorBidi"/>
          <w:color w:val="auto"/>
          <w:sz w:val="13"/>
          <w:szCs w:val="20"/>
        </w:rPr>
        <w:footnoteRef/>
      </w:r>
      <w:r w:rsidRPr="00495DE9">
        <w:rPr>
          <w:rStyle w:val="FootnoteReference"/>
          <w:rFonts w:asciiTheme="minorHAnsi" w:hAnsiTheme="minorHAnsi" w:cstheme="minorBidi"/>
          <w:color w:val="auto"/>
          <w:szCs w:val="20"/>
        </w:rPr>
        <w:t xml:space="preserve"> </w:t>
      </w:r>
      <w:r w:rsidRPr="00495DE9">
        <w:rPr>
          <w:rFonts w:ascii="VIC" w:hAnsi="VIC" w:cs="VIC"/>
          <w:sz w:val="13"/>
          <w:szCs w:val="13"/>
        </w:rPr>
        <w:t xml:space="preserve">The Consultative Council on Obstetric and Paediatric Mortality and Morbidity, 2017, Victoria’s Mothers, Babies and Children, Safer Care Victoria, Victorian Government, Melbourne.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6F106" w14:textId="77777777" w:rsidR="000905F7" w:rsidRDefault="000905F7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E192F52" wp14:editId="6739413A">
          <wp:simplePos x="0" y="0"/>
          <wp:positionH relativeFrom="page">
            <wp:posOffset>180975</wp:posOffset>
          </wp:positionH>
          <wp:positionV relativeFrom="page">
            <wp:posOffset>9525</wp:posOffset>
          </wp:positionV>
          <wp:extent cx="1522800" cy="1206000"/>
          <wp:effectExtent l="0" t="0" r="127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35A2C7"/>
    <w:multiLevelType w:val="hybridMultilevel"/>
    <w:tmpl w:val="E89585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388CF3"/>
    <w:multiLevelType w:val="hybridMultilevel"/>
    <w:tmpl w:val="6DF13A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EB79C6"/>
    <w:multiLevelType w:val="hybridMultilevel"/>
    <w:tmpl w:val="D23CEBD4"/>
    <w:lvl w:ilvl="0" w:tplc="F116937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4D3C37"/>
    <w:multiLevelType w:val="hybridMultilevel"/>
    <w:tmpl w:val="8794CFE8"/>
    <w:lvl w:ilvl="0" w:tplc="883614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1EEC"/>
    <w:multiLevelType w:val="hybridMultilevel"/>
    <w:tmpl w:val="0960F8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115B83"/>
    <w:multiLevelType w:val="hybridMultilevel"/>
    <w:tmpl w:val="FCC6DBC2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40B11B8"/>
    <w:multiLevelType w:val="hybridMultilevel"/>
    <w:tmpl w:val="FD2C20D0"/>
    <w:lvl w:ilvl="0" w:tplc="F11693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F11693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A23EC"/>
    <w:multiLevelType w:val="multilevel"/>
    <w:tmpl w:val="5FC8F35C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196A2910"/>
    <w:multiLevelType w:val="hybridMultilevel"/>
    <w:tmpl w:val="E65CE154"/>
    <w:lvl w:ilvl="0" w:tplc="883614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C1ECE"/>
    <w:multiLevelType w:val="hybridMultilevel"/>
    <w:tmpl w:val="06EAA05A"/>
    <w:lvl w:ilvl="0" w:tplc="FFFFFFFF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A9AEC"/>
    <w:multiLevelType w:val="hybridMultilevel"/>
    <w:tmpl w:val="A7B8C4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453C08F"/>
    <w:multiLevelType w:val="hybridMultilevel"/>
    <w:tmpl w:val="71CAF4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6456FFD"/>
    <w:multiLevelType w:val="hybridMultilevel"/>
    <w:tmpl w:val="47D41E60"/>
    <w:lvl w:ilvl="0" w:tplc="228CCB2C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 w:tplc="FEDA8EB6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 w:tplc="6FA2F734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2F5C4B74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 w:tplc="155A84B8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 w:tplc="1AE2C4E0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 w:tplc="45260DB4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 w:tplc="2C52A148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 w:tplc="E164623E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A1D5E5C"/>
    <w:multiLevelType w:val="hybridMultilevel"/>
    <w:tmpl w:val="926E23B2"/>
    <w:lvl w:ilvl="0" w:tplc="883614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615B0"/>
    <w:multiLevelType w:val="multilevel"/>
    <w:tmpl w:val="90B4CD14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393A12AA"/>
    <w:multiLevelType w:val="hybridMultilevel"/>
    <w:tmpl w:val="AF1C315A"/>
    <w:lvl w:ilvl="0" w:tplc="D908C836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 w:tplc="3F5650B8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 w:tplc="3200ABAA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 w:tplc="452E787C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 w:tplc="9800C4DA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 w:tplc="66147A7E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 w:tplc="BCD00D7E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 w:tplc="FA5C444A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 w:tplc="4D645D2C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412EAAC0"/>
    <w:multiLevelType w:val="hybridMultilevel"/>
    <w:tmpl w:val="C70DF7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3BF2BD2"/>
    <w:multiLevelType w:val="hybridMultilevel"/>
    <w:tmpl w:val="0C09001D"/>
    <w:lvl w:ilvl="0" w:tplc="365E3160">
      <w:start w:val="1"/>
      <w:numFmt w:val="decimal"/>
      <w:lvlText w:val="%1)"/>
      <w:lvlJc w:val="left"/>
      <w:pPr>
        <w:ind w:left="360" w:hanging="360"/>
      </w:pPr>
    </w:lvl>
    <w:lvl w:ilvl="1" w:tplc="9F5E8134">
      <w:start w:val="1"/>
      <w:numFmt w:val="lowerLetter"/>
      <w:lvlText w:val="%2)"/>
      <w:lvlJc w:val="left"/>
      <w:pPr>
        <w:ind w:left="720" w:hanging="360"/>
      </w:pPr>
    </w:lvl>
    <w:lvl w:ilvl="2" w:tplc="0EECD1AE">
      <w:start w:val="1"/>
      <w:numFmt w:val="lowerRoman"/>
      <w:lvlText w:val="%3)"/>
      <w:lvlJc w:val="left"/>
      <w:pPr>
        <w:ind w:left="1080" w:hanging="360"/>
      </w:pPr>
    </w:lvl>
    <w:lvl w:ilvl="3" w:tplc="9AA40118">
      <w:start w:val="1"/>
      <w:numFmt w:val="decimal"/>
      <w:lvlText w:val="(%4)"/>
      <w:lvlJc w:val="left"/>
      <w:pPr>
        <w:ind w:left="1440" w:hanging="360"/>
      </w:pPr>
    </w:lvl>
    <w:lvl w:ilvl="4" w:tplc="3126F9E8">
      <w:start w:val="1"/>
      <w:numFmt w:val="lowerLetter"/>
      <w:lvlText w:val="(%5)"/>
      <w:lvlJc w:val="left"/>
      <w:pPr>
        <w:ind w:left="1800" w:hanging="360"/>
      </w:pPr>
    </w:lvl>
    <w:lvl w:ilvl="5" w:tplc="0394C462">
      <w:start w:val="1"/>
      <w:numFmt w:val="lowerRoman"/>
      <w:lvlText w:val="(%6)"/>
      <w:lvlJc w:val="left"/>
      <w:pPr>
        <w:ind w:left="2160" w:hanging="360"/>
      </w:pPr>
    </w:lvl>
    <w:lvl w:ilvl="6" w:tplc="95BCCCCA">
      <w:start w:val="1"/>
      <w:numFmt w:val="decimal"/>
      <w:lvlText w:val="%7."/>
      <w:lvlJc w:val="left"/>
      <w:pPr>
        <w:ind w:left="2520" w:hanging="360"/>
      </w:pPr>
    </w:lvl>
    <w:lvl w:ilvl="7" w:tplc="0C7C2F44">
      <w:start w:val="1"/>
      <w:numFmt w:val="lowerLetter"/>
      <w:lvlText w:val="%8."/>
      <w:lvlJc w:val="left"/>
      <w:pPr>
        <w:ind w:left="2880" w:hanging="360"/>
      </w:pPr>
    </w:lvl>
    <w:lvl w:ilvl="8" w:tplc="D3E46050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6D3A6A"/>
    <w:multiLevelType w:val="hybridMultilevel"/>
    <w:tmpl w:val="F58A407A"/>
    <w:lvl w:ilvl="0" w:tplc="EE5E3D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 w:tplc="513E0B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 w:tplc="9C46A31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 w:tplc="5B3A3C96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 w:tplc="BEC2B66A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 w:tplc="AF40B272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 w:tplc="647AF77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 w:tplc="23C6C572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 w:tplc="43DA5F06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9" w15:restartNumberingAfterBreak="0">
    <w:nsid w:val="4A101DAB"/>
    <w:multiLevelType w:val="hybridMultilevel"/>
    <w:tmpl w:val="D51E6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172FA"/>
    <w:multiLevelType w:val="hybridMultilevel"/>
    <w:tmpl w:val="5A225350"/>
    <w:lvl w:ilvl="0" w:tplc="F11693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A1306"/>
    <w:multiLevelType w:val="hybridMultilevel"/>
    <w:tmpl w:val="3DEA85AE"/>
    <w:lvl w:ilvl="0" w:tplc="D780F16A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B5C2FE2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73BE4"/>
    <w:multiLevelType w:val="hybridMultilevel"/>
    <w:tmpl w:val="2C4EF182"/>
    <w:lvl w:ilvl="0" w:tplc="138EA3F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E12E5"/>
    <w:multiLevelType w:val="hybridMultilevel"/>
    <w:tmpl w:val="F74E2CE0"/>
    <w:lvl w:ilvl="0" w:tplc="A6F6B67E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 w:tplc="B4CC6F62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 w:tplc="7884DE84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 w:tplc="F4D42A4C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 w:tplc="E87EAA36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 w:tplc="598A5E30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 w:tplc="F53CA3EC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 w:tplc="29282C8E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 w:tplc="8C88E2FC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 w15:restartNumberingAfterBreak="0">
    <w:nsid w:val="7FD44514"/>
    <w:multiLevelType w:val="multilevel"/>
    <w:tmpl w:val="1B12CF44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24"/>
  </w:num>
  <w:num w:numId="5">
    <w:abstractNumId w:val="12"/>
  </w:num>
  <w:num w:numId="6">
    <w:abstractNumId w:val="17"/>
  </w:num>
  <w:num w:numId="7">
    <w:abstractNumId w:val="23"/>
  </w:num>
  <w:num w:numId="8">
    <w:abstractNumId w:val="15"/>
  </w:num>
  <w:num w:numId="9">
    <w:abstractNumId w:val="15"/>
  </w:num>
  <w:num w:numId="10">
    <w:abstractNumId w:val="14"/>
  </w:num>
  <w:num w:numId="11">
    <w:abstractNumId w:val="7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4"/>
  </w:num>
  <w:num w:numId="17">
    <w:abstractNumId w:val="15"/>
  </w:num>
  <w:num w:numId="18">
    <w:abstractNumId w:val="22"/>
  </w:num>
  <w:num w:numId="19">
    <w:abstractNumId w:val="20"/>
  </w:num>
  <w:num w:numId="20">
    <w:abstractNumId w:val="6"/>
  </w:num>
  <w:num w:numId="21">
    <w:abstractNumId w:val="2"/>
  </w:num>
  <w:num w:numId="22">
    <w:abstractNumId w:val="0"/>
  </w:num>
  <w:num w:numId="23">
    <w:abstractNumId w:val="8"/>
  </w:num>
  <w:num w:numId="24">
    <w:abstractNumId w:val="3"/>
  </w:num>
  <w:num w:numId="25">
    <w:abstractNumId w:val="13"/>
  </w:num>
  <w:num w:numId="26">
    <w:abstractNumId w:val="5"/>
  </w:num>
  <w:num w:numId="27">
    <w:abstractNumId w:val="19"/>
  </w:num>
  <w:num w:numId="28">
    <w:abstractNumId w:val="21"/>
  </w:num>
  <w:num w:numId="29">
    <w:abstractNumId w:val="9"/>
  </w:num>
  <w:num w:numId="30">
    <w:abstractNumId w:val="2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FA"/>
    <w:rsid w:val="00012F6F"/>
    <w:rsid w:val="00013AC5"/>
    <w:rsid w:val="00014213"/>
    <w:rsid w:val="00014B55"/>
    <w:rsid w:val="00020D82"/>
    <w:rsid w:val="00020E3E"/>
    <w:rsid w:val="000218AA"/>
    <w:rsid w:val="00023BF3"/>
    <w:rsid w:val="000259C6"/>
    <w:rsid w:val="00026811"/>
    <w:rsid w:val="0004185E"/>
    <w:rsid w:val="000464DF"/>
    <w:rsid w:val="0004663C"/>
    <w:rsid w:val="00053181"/>
    <w:rsid w:val="00056988"/>
    <w:rsid w:val="000678CE"/>
    <w:rsid w:val="00072279"/>
    <w:rsid w:val="00073407"/>
    <w:rsid w:val="00075E6C"/>
    <w:rsid w:val="00081C12"/>
    <w:rsid w:val="00087D42"/>
    <w:rsid w:val="000905F7"/>
    <w:rsid w:val="000A4007"/>
    <w:rsid w:val="000A7AE9"/>
    <w:rsid w:val="000B29AD"/>
    <w:rsid w:val="000B36A4"/>
    <w:rsid w:val="000C1046"/>
    <w:rsid w:val="000C140E"/>
    <w:rsid w:val="000C6372"/>
    <w:rsid w:val="000D09A8"/>
    <w:rsid w:val="000D0BFD"/>
    <w:rsid w:val="000D33FA"/>
    <w:rsid w:val="000D7841"/>
    <w:rsid w:val="000E392D"/>
    <w:rsid w:val="000E39B6"/>
    <w:rsid w:val="000E3D05"/>
    <w:rsid w:val="000E6E7C"/>
    <w:rsid w:val="000F4288"/>
    <w:rsid w:val="000F4441"/>
    <w:rsid w:val="000F7165"/>
    <w:rsid w:val="00102379"/>
    <w:rsid w:val="00103722"/>
    <w:rsid w:val="001065D6"/>
    <w:rsid w:val="001068D5"/>
    <w:rsid w:val="00121252"/>
    <w:rsid w:val="00124609"/>
    <w:rsid w:val="001254CE"/>
    <w:rsid w:val="001307D4"/>
    <w:rsid w:val="00134310"/>
    <w:rsid w:val="0013637A"/>
    <w:rsid w:val="001422CC"/>
    <w:rsid w:val="00145346"/>
    <w:rsid w:val="00155C78"/>
    <w:rsid w:val="00155FB0"/>
    <w:rsid w:val="001617B6"/>
    <w:rsid w:val="00165E66"/>
    <w:rsid w:val="001704CE"/>
    <w:rsid w:val="00183D1E"/>
    <w:rsid w:val="001862D1"/>
    <w:rsid w:val="00196143"/>
    <w:rsid w:val="001A24FC"/>
    <w:rsid w:val="001C6993"/>
    <w:rsid w:val="001C7BAE"/>
    <w:rsid w:val="001D3C87"/>
    <w:rsid w:val="001D3D7D"/>
    <w:rsid w:val="001E0435"/>
    <w:rsid w:val="001E31FA"/>
    <w:rsid w:val="001E48F9"/>
    <w:rsid w:val="001E64F6"/>
    <w:rsid w:val="001E7AEB"/>
    <w:rsid w:val="001F3F3C"/>
    <w:rsid w:val="00204B82"/>
    <w:rsid w:val="00212987"/>
    <w:rsid w:val="00222BEB"/>
    <w:rsid w:val="00225E60"/>
    <w:rsid w:val="0022641E"/>
    <w:rsid w:val="00230BBB"/>
    <w:rsid w:val="00231E47"/>
    <w:rsid w:val="0023202C"/>
    <w:rsid w:val="00234619"/>
    <w:rsid w:val="00235BE2"/>
    <w:rsid w:val="00244FCE"/>
    <w:rsid w:val="00245043"/>
    <w:rsid w:val="00245EFB"/>
    <w:rsid w:val="002521E7"/>
    <w:rsid w:val="0026028E"/>
    <w:rsid w:val="00284FA2"/>
    <w:rsid w:val="00285940"/>
    <w:rsid w:val="00292D36"/>
    <w:rsid w:val="00294A5A"/>
    <w:rsid w:val="002960B0"/>
    <w:rsid w:val="00297281"/>
    <w:rsid w:val="00297A47"/>
    <w:rsid w:val="002A1477"/>
    <w:rsid w:val="002A5891"/>
    <w:rsid w:val="002A6EC2"/>
    <w:rsid w:val="002B03F1"/>
    <w:rsid w:val="002B5C34"/>
    <w:rsid w:val="002B5E2B"/>
    <w:rsid w:val="002B650B"/>
    <w:rsid w:val="002B6DAA"/>
    <w:rsid w:val="002C0C5B"/>
    <w:rsid w:val="002C3FEA"/>
    <w:rsid w:val="002D70F7"/>
    <w:rsid w:val="002D711A"/>
    <w:rsid w:val="002D7336"/>
    <w:rsid w:val="002E3396"/>
    <w:rsid w:val="002E39FD"/>
    <w:rsid w:val="002E6454"/>
    <w:rsid w:val="002F2953"/>
    <w:rsid w:val="0031149C"/>
    <w:rsid w:val="00333FBE"/>
    <w:rsid w:val="00346357"/>
    <w:rsid w:val="00364A93"/>
    <w:rsid w:val="00364C07"/>
    <w:rsid w:val="0036778F"/>
    <w:rsid w:val="00374FBB"/>
    <w:rsid w:val="00377FB7"/>
    <w:rsid w:val="00384EB0"/>
    <w:rsid w:val="0038771C"/>
    <w:rsid w:val="003A430B"/>
    <w:rsid w:val="003A541A"/>
    <w:rsid w:val="003A6923"/>
    <w:rsid w:val="003C2C67"/>
    <w:rsid w:val="003C2D4C"/>
    <w:rsid w:val="003C3B3A"/>
    <w:rsid w:val="003C5BA4"/>
    <w:rsid w:val="003C6EFA"/>
    <w:rsid w:val="003E3E26"/>
    <w:rsid w:val="003F1295"/>
    <w:rsid w:val="003F2A21"/>
    <w:rsid w:val="003F5102"/>
    <w:rsid w:val="003F76FC"/>
    <w:rsid w:val="004002EB"/>
    <w:rsid w:val="00407A79"/>
    <w:rsid w:val="00415385"/>
    <w:rsid w:val="00422DDC"/>
    <w:rsid w:val="004231B5"/>
    <w:rsid w:val="004236C8"/>
    <w:rsid w:val="00427681"/>
    <w:rsid w:val="00433DB7"/>
    <w:rsid w:val="004378A9"/>
    <w:rsid w:val="00437CDE"/>
    <w:rsid w:val="00442522"/>
    <w:rsid w:val="00445F85"/>
    <w:rsid w:val="0045347E"/>
    <w:rsid w:val="00453750"/>
    <w:rsid w:val="00456941"/>
    <w:rsid w:val="00460BD5"/>
    <w:rsid w:val="004612AA"/>
    <w:rsid w:val="00465832"/>
    <w:rsid w:val="00470297"/>
    <w:rsid w:val="004702EA"/>
    <w:rsid w:val="00477D21"/>
    <w:rsid w:val="00482365"/>
    <w:rsid w:val="0048259C"/>
    <w:rsid w:val="00482D02"/>
    <w:rsid w:val="004833F9"/>
    <w:rsid w:val="00484326"/>
    <w:rsid w:val="00490369"/>
    <w:rsid w:val="00495DE9"/>
    <w:rsid w:val="004A228D"/>
    <w:rsid w:val="004A7519"/>
    <w:rsid w:val="004A77FD"/>
    <w:rsid w:val="004B64B1"/>
    <w:rsid w:val="004B7214"/>
    <w:rsid w:val="004D01AC"/>
    <w:rsid w:val="004D3518"/>
    <w:rsid w:val="004D62D6"/>
    <w:rsid w:val="004D6898"/>
    <w:rsid w:val="004D6D95"/>
    <w:rsid w:val="004F3F4E"/>
    <w:rsid w:val="00507A7D"/>
    <w:rsid w:val="00507BEA"/>
    <w:rsid w:val="00510167"/>
    <w:rsid w:val="00513E86"/>
    <w:rsid w:val="00527307"/>
    <w:rsid w:val="005306A2"/>
    <w:rsid w:val="0053416C"/>
    <w:rsid w:val="00541C2F"/>
    <w:rsid w:val="00552DE4"/>
    <w:rsid w:val="00554D3A"/>
    <w:rsid w:val="00557BE2"/>
    <w:rsid w:val="00563527"/>
    <w:rsid w:val="0057407A"/>
    <w:rsid w:val="00574277"/>
    <w:rsid w:val="0058124E"/>
    <w:rsid w:val="00584B8F"/>
    <w:rsid w:val="005875A3"/>
    <w:rsid w:val="005953EA"/>
    <w:rsid w:val="00597AE6"/>
    <w:rsid w:val="005A304A"/>
    <w:rsid w:val="005A3416"/>
    <w:rsid w:val="005B061F"/>
    <w:rsid w:val="005B2714"/>
    <w:rsid w:val="005B27FE"/>
    <w:rsid w:val="005B76DF"/>
    <w:rsid w:val="005B772A"/>
    <w:rsid w:val="005B79CB"/>
    <w:rsid w:val="005C3F97"/>
    <w:rsid w:val="005D2B83"/>
    <w:rsid w:val="005E08D7"/>
    <w:rsid w:val="005E4C16"/>
    <w:rsid w:val="005E4C61"/>
    <w:rsid w:val="005E5947"/>
    <w:rsid w:val="005F61DF"/>
    <w:rsid w:val="005F6DC7"/>
    <w:rsid w:val="0060163A"/>
    <w:rsid w:val="006023F9"/>
    <w:rsid w:val="00602D3C"/>
    <w:rsid w:val="00603BF8"/>
    <w:rsid w:val="00610559"/>
    <w:rsid w:val="00614076"/>
    <w:rsid w:val="00624022"/>
    <w:rsid w:val="006271B4"/>
    <w:rsid w:val="00631171"/>
    <w:rsid w:val="00632F2E"/>
    <w:rsid w:val="006332F6"/>
    <w:rsid w:val="006413F2"/>
    <w:rsid w:val="006534B2"/>
    <w:rsid w:val="0065615D"/>
    <w:rsid w:val="00657011"/>
    <w:rsid w:val="00663D4D"/>
    <w:rsid w:val="00664458"/>
    <w:rsid w:val="006650B5"/>
    <w:rsid w:val="006651B1"/>
    <w:rsid w:val="00665778"/>
    <w:rsid w:val="00676E5F"/>
    <w:rsid w:val="00680577"/>
    <w:rsid w:val="006945CA"/>
    <w:rsid w:val="006A3309"/>
    <w:rsid w:val="006A3A5A"/>
    <w:rsid w:val="006A3AB6"/>
    <w:rsid w:val="006A5B34"/>
    <w:rsid w:val="006A6CF7"/>
    <w:rsid w:val="006B0B72"/>
    <w:rsid w:val="006B7842"/>
    <w:rsid w:val="006C5B80"/>
    <w:rsid w:val="006C77A9"/>
    <w:rsid w:val="006D1AE0"/>
    <w:rsid w:val="006D4720"/>
    <w:rsid w:val="006D6829"/>
    <w:rsid w:val="006E6CDF"/>
    <w:rsid w:val="006F37F2"/>
    <w:rsid w:val="006F542D"/>
    <w:rsid w:val="006F6693"/>
    <w:rsid w:val="00700DEF"/>
    <w:rsid w:val="00703B0B"/>
    <w:rsid w:val="0070675C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50D2"/>
    <w:rsid w:val="00766B5A"/>
    <w:rsid w:val="0077103B"/>
    <w:rsid w:val="00772209"/>
    <w:rsid w:val="007770A5"/>
    <w:rsid w:val="007834F2"/>
    <w:rsid w:val="007876AE"/>
    <w:rsid w:val="00791020"/>
    <w:rsid w:val="007A04D2"/>
    <w:rsid w:val="007A4444"/>
    <w:rsid w:val="007A5663"/>
    <w:rsid w:val="007A5F82"/>
    <w:rsid w:val="007D5F9E"/>
    <w:rsid w:val="007E098F"/>
    <w:rsid w:val="007E3BA2"/>
    <w:rsid w:val="007E5F14"/>
    <w:rsid w:val="007E6EF5"/>
    <w:rsid w:val="007E6F9B"/>
    <w:rsid w:val="007F1A4C"/>
    <w:rsid w:val="007F723F"/>
    <w:rsid w:val="008022C3"/>
    <w:rsid w:val="0080237A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3EEB"/>
    <w:rsid w:val="00844F16"/>
    <w:rsid w:val="00853879"/>
    <w:rsid w:val="008549CB"/>
    <w:rsid w:val="00855FF9"/>
    <w:rsid w:val="0086277A"/>
    <w:rsid w:val="0086603A"/>
    <w:rsid w:val="008668A8"/>
    <w:rsid w:val="008703D8"/>
    <w:rsid w:val="0087363B"/>
    <w:rsid w:val="008768AD"/>
    <w:rsid w:val="00880AC4"/>
    <w:rsid w:val="008816EE"/>
    <w:rsid w:val="0089239D"/>
    <w:rsid w:val="00897157"/>
    <w:rsid w:val="00897447"/>
    <w:rsid w:val="008A007E"/>
    <w:rsid w:val="008A4900"/>
    <w:rsid w:val="008A55FE"/>
    <w:rsid w:val="008A58D2"/>
    <w:rsid w:val="008B146D"/>
    <w:rsid w:val="008B42AD"/>
    <w:rsid w:val="008B5666"/>
    <w:rsid w:val="008C154D"/>
    <w:rsid w:val="008C2C15"/>
    <w:rsid w:val="008C507E"/>
    <w:rsid w:val="008D0281"/>
    <w:rsid w:val="008E2348"/>
    <w:rsid w:val="008E25B2"/>
    <w:rsid w:val="008F6D45"/>
    <w:rsid w:val="008F7D27"/>
    <w:rsid w:val="009116C3"/>
    <w:rsid w:val="00916AD5"/>
    <w:rsid w:val="00922944"/>
    <w:rsid w:val="00934231"/>
    <w:rsid w:val="00936479"/>
    <w:rsid w:val="00937A10"/>
    <w:rsid w:val="0094165D"/>
    <w:rsid w:val="009469A2"/>
    <w:rsid w:val="0095398B"/>
    <w:rsid w:val="00953A2C"/>
    <w:rsid w:val="00966115"/>
    <w:rsid w:val="0096749B"/>
    <w:rsid w:val="009675B8"/>
    <w:rsid w:val="00982FB1"/>
    <w:rsid w:val="009834C0"/>
    <w:rsid w:val="00986AAC"/>
    <w:rsid w:val="00995526"/>
    <w:rsid w:val="009A1DA2"/>
    <w:rsid w:val="009A3704"/>
    <w:rsid w:val="009A4739"/>
    <w:rsid w:val="009A4D23"/>
    <w:rsid w:val="009A674F"/>
    <w:rsid w:val="009A6D22"/>
    <w:rsid w:val="009B199C"/>
    <w:rsid w:val="009B3123"/>
    <w:rsid w:val="009B3C52"/>
    <w:rsid w:val="009B61F1"/>
    <w:rsid w:val="009B62E0"/>
    <w:rsid w:val="009C3D88"/>
    <w:rsid w:val="009D1AE2"/>
    <w:rsid w:val="009E1651"/>
    <w:rsid w:val="009E2E00"/>
    <w:rsid w:val="009E3858"/>
    <w:rsid w:val="009E467D"/>
    <w:rsid w:val="009E70DD"/>
    <w:rsid w:val="009F2ED9"/>
    <w:rsid w:val="009F3231"/>
    <w:rsid w:val="009F4FCF"/>
    <w:rsid w:val="009F54F6"/>
    <w:rsid w:val="009F5C58"/>
    <w:rsid w:val="00A023A0"/>
    <w:rsid w:val="00A05EBC"/>
    <w:rsid w:val="00A1562B"/>
    <w:rsid w:val="00A170F4"/>
    <w:rsid w:val="00A21408"/>
    <w:rsid w:val="00A21CFD"/>
    <w:rsid w:val="00A25B78"/>
    <w:rsid w:val="00A459B5"/>
    <w:rsid w:val="00A46288"/>
    <w:rsid w:val="00A46BA8"/>
    <w:rsid w:val="00A47634"/>
    <w:rsid w:val="00A50617"/>
    <w:rsid w:val="00A612FE"/>
    <w:rsid w:val="00A70B49"/>
    <w:rsid w:val="00A9253A"/>
    <w:rsid w:val="00A92D94"/>
    <w:rsid w:val="00AA26B8"/>
    <w:rsid w:val="00AA685C"/>
    <w:rsid w:val="00AA74CA"/>
    <w:rsid w:val="00AC0B87"/>
    <w:rsid w:val="00AC2624"/>
    <w:rsid w:val="00AC32A8"/>
    <w:rsid w:val="00AD7E4E"/>
    <w:rsid w:val="00AE35C6"/>
    <w:rsid w:val="00AE7DE0"/>
    <w:rsid w:val="00AF18B7"/>
    <w:rsid w:val="00AF4D58"/>
    <w:rsid w:val="00AF6005"/>
    <w:rsid w:val="00AF6666"/>
    <w:rsid w:val="00AF7BC5"/>
    <w:rsid w:val="00B23314"/>
    <w:rsid w:val="00B2732C"/>
    <w:rsid w:val="00B35B25"/>
    <w:rsid w:val="00B36D8C"/>
    <w:rsid w:val="00B45646"/>
    <w:rsid w:val="00B81B44"/>
    <w:rsid w:val="00B8677D"/>
    <w:rsid w:val="00B9053B"/>
    <w:rsid w:val="00B94238"/>
    <w:rsid w:val="00BA09D5"/>
    <w:rsid w:val="00BA0C37"/>
    <w:rsid w:val="00BA3782"/>
    <w:rsid w:val="00BA65E5"/>
    <w:rsid w:val="00BB4D98"/>
    <w:rsid w:val="00BB4EBF"/>
    <w:rsid w:val="00BB59E0"/>
    <w:rsid w:val="00BC2EC7"/>
    <w:rsid w:val="00BC3422"/>
    <w:rsid w:val="00BC42F3"/>
    <w:rsid w:val="00BC6E19"/>
    <w:rsid w:val="00BD11C2"/>
    <w:rsid w:val="00BD5018"/>
    <w:rsid w:val="00BD6970"/>
    <w:rsid w:val="00BE5ADC"/>
    <w:rsid w:val="00BF4F96"/>
    <w:rsid w:val="00C015B9"/>
    <w:rsid w:val="00C022F9"/>
    <w:rsid w:val="00C032EA"/>
    <w:rsid w:val="00C06EB5"/>
    <w:rsid w:val="00C1145F"/>
    <w:rsid w:val="00C11CD1"/>
    <w:rsid w:val="00C1238C"/>
    <w:rsid w:val="00C21BBF"/>
    <w:rsid w:val="00C23284"/>
    <w:rsid w:val="00C32D49"/>
    <w:rsid w:val="00C33AD3"/>
    <w:rsid w:val="00C35D53"/>
    <w:rsid w:val="00C36F9F"/>
    <w:rsid w:val="00C41B3C"/>
    <w:rsid w:val="00C43F06"/>
    <w:rsid w:val="00C515A6"/>
    <w:rsid w:val="00C51C01"/>
    <w:rsid w:val="00C56F30"/>
    <w:rsid w:val="00C637E1"/>
    <w:rsid w:val="00C67EAC"/>
    <w:rsid w:val="00C70D50"/>
    <w:rsid w:val="00C72252"/>
    <w:rsid w:val="00C81BEC"/>
    <w:rsid w:val="00C84319"/>
    <w:rsid w:val="00C907D7"/>
    <w:rsid w:val="00C92338"/>
    <w:rsid w:val="00CA05DC"/>
    <w:rsid w:val="00CA7B47"/>
    <w:rsid w:val="00CB3976"/>
    <w:rsid w:val="00CB399F"/>
    <w:rsid w:val="00CD0307"/>
    <w:rsid w:val="00CD066C"/>
    <w:rsid w:val="00CD3C79"/>
    <w:rsid w:val="00CD3D1B"/>
    <w:rsid w:val="00CD631F"/>
    <w:rsid w:val="00D02663"/>
    <w:rsid w:val="00D0633E"/>
    <w:rsid w:val="00D12E74"/>
    <w:rsid w:val="00D16EB5"/>
    <w:rsid w:val="00D2312F"/>
    <w:rsid w:val="00D23B04"/>
    <w:rsid w:val="00D269C1"/>
    <w:rsid w:val="00D27682"/>
    <w:rsid w:val="00D311AE"/>
    <w:rsid w:val="00D41052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24C6"/>
    <w:rsid w:val="00D63954"/>
    <w:rsid w:val="00D6560D"/>
    <w:rsid w:val="00D65D77"/>
    <w:rsid w:val="00D718D7"/>
    <w:rsid w:val="00D755D5"/>
    <w:rsid w:val="00D81386"/>
    <w:rsid w:val="00D814B7"/>
    <w:rsid w:val="00D90688"/>
    <w:rsid w:val="00DA3AAD"/>
    <w:rsid w:val="00DA3F36"/>
    <w:rsid w:val="00DB312B"/>
    <w:rsid w:val="00DB739B"/>
    <w:rsid w:val="00DC5654"/>
    <w:rsid w:val="00DC658F"/>
    <w:rsid w:val="00DC674A"/>
    <w:rsid w:val="00DD1D15"/>
    <w:rsid w:val="00DE3946"/>
    <w:rsid w:val="00DE60CC"/>
    <w:rsid w:val="00DF658A"/>
    <w:rsid w:val="00E03F35"/>
    <w:rsid w:val="00E06B54"/>
    <w:rsid w:val="00E100AD"/>
    <w:rsid w:val="00E131C8"/>
    <w:rsid w:val="00E26B32"/>
    <w:rsid w:val="00E31641"/>
    <w:rsid w:val="00E31CD4"/>
    <w:rsid w:val="00E31E60"/>
    <w:rsid w:val="00E33E08"/>
    <w:rsid w:val="00E3738D"/>
    <w:rsid w:val="00E407B6"/>
    <w:rsid w:val="00E41EF1"/>
    <w:rsid w:val="00E42942"/>
    <w:rsid w:val="00E53C5F"/>
    <w:rsid w:val="00E60836"/>
    <w:rsid w:val="00E64600"/>
    <w:rsid w:val="00E65A0A"/>
    <w:rsid w:val="00E71BDF"/>
    <w:rsid w:val="00E75CCB"/>
    <w:rsid w:val="00E815BC"/>
    <w:rsid w:val="00E8245B"/>
    <w:rsid w:val="00E82C21"/>
    <w:rsid w:val="00E82F59"/>
    <w:rsid w:val="00E83CA7"/>
    <w:rsid w:val="00E92192"/>
    <w:rsid w:val="00E938F9"/>
    <w:rsid w:val="00E95A71"/>
    <w:rsid w:val="00EB7014"/>
    <w:rsid w:val="00EC0EF8"/>
    <w:rsid w:val="00EC5CDE"/>
    <w:rsid w:val="00EC68D5"/>
    <w:rsid w:val="00EC7F2A"/>
    <w:rsid w:val="00ED3077"/>
    <w:rsid w:val="00ED487E"/>
    <w:rsid w:val="00ED64F1"/>
    <w:rsid w:val="00EE33A1"/>
    <w:rsid w:val="00EE473B"/>
    <w:rsid w:val="00EE5E10"/>
    <w:rsid w:val="00EE7A0D"/>
    <w:rsid w:val="00F0222C"/>
    <w:rsid w:val="00F06647"/>
    <w:rsid w:val="00F12312"/>
    <w:rsid w:val="00F1503D"/>
    <w:rsid w:val="00F17CE1"/>
    <w:rsid w:val="00F2115C"/>
    <w:rsid w:val="00F22ABA"/>
    <w:rsid w:val="00F255DC"/>
    <w:rsid w:val="00F25919"/>
    <w:rsid w:val="00F25F4B"/>
    <w:rsid w:val="00F27C9D"/>
    <w:rsid w:val="00F32B6D"/>
    <w:rsid w:val="00F36B12"/>
    <w:rsid w:val="00F56A2E"/>
    <w:rsid w:val="00F57518"/>
    <w:rsid w:val="00F60F9F"/>
    <w:rsid w:val="00F61246"/>
    <w:rsid w:val="00F6250C"/>
    <w:rsid w:val="00F64F08"/>
    <w:rsid w:val="00F70055"/>
    <w:rsid w:val="00F734F5"/>
    <w:rsid w:val="00F73B5B"/>
    <w:rsid w:val="00F83325"/>
    <w:rsid w:val="00F856A9"/>
    <w:rsid w:val="00F90EA5"/>
    <w:rsid w:val="00F91F5A"/>
    <w:rsid w:val="00F966B1"/>
    <w:rsid w:val="00F966C6"/>
    <w:rsid w:val="00F97D48"/>
    <w:rsid w:val="00FA0311"/>
    <w:rsid w:val="00FA1489"/>
    <w:rsid w:val="00FA16AC"/>
    <w:rsid w:val="00FA2919"/>
    <w:rsid w:val="00FB41E0"/>
    <w:rsid w:val="00FC7E0A"/>
    <w:rsid w:val="00FD50F0"/>
    <w:rsid w:val="00FD640F"/>
    <w:rsid w:val="00FD6B4C"/>
    <w:rsid w:val="00FE04C6"/>
    <w:rsid w:val="00FE0553"/>
    <w:rsid w:val="00FE25D0"/>
    <w:rsid w:val="00FE3434"/>
    <w:rsid w:val="00FE6CB3"/>
    <w:rsid w:val="00FF1AFD"/>
    <w:rsid w:val="00FF4E99"/>
    <w:rsid w:val="00FF613A"/>
    <w:rsid w:val="16A5CD9A"/>
    <w:rsid w:val="5AF0C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AFB59"/>
  <w15:docId w15:val="{802FF5EF-E053-44E6-84C5-CC8EC39D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9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8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paragraph" w:customStyle="1" w:styleId="Default">
    <w:name w:val="Default"/>
    <w:rsid w:val="000B36A4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6B7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6B784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6B7842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6B7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6B7842"/>
    <w:rPr>
      <w:b/>
      <w:bCs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495DE9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495DE9"/>
  </w:style>
  <w:style w:type="character" w:styleId="EndnoteReference">
    <w:name w:val="endnote reference"/>
    <w:basedOn w:val="DefaultParagraphFont"/>
    <w:uiPriority w:val="1"/>
    <w:semiHidden/>
    <w:unhideWhenUsed/>
    <w:rsid w:val="00495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5B70EB72AB14594A02DD4A7ACB32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902D-19F5-4E1D-A514-614EC6292977}"/>
      </w:docPartPr>
      <w:docPartBody>
        <w:p w:rsidR="002A6126" w:rsidRDefault="0094165D">
          <w:pPr>
            <w:pStyle w:val="A5B70EB72AB14594A02DD4A7ACB32251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5D"/>
    <w:rsid w:val="002A6126"/>
    <w:rsid w:val="002E36A7"/>
    <w:rsid w:val="0094165D"/>
    <w:rsid w:val="009E764A"/>
    <w:rsid w:val="00B21020"/>
    <w:rsid w:val="00BC428A"/>
    <w:rsid w:val="00BF0616"/>
    <w:rsid w:val="00CD3101"/>
    <w:rsid w:val="00D8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A5B70EB72AB14594A02DD4A7ACB32251">
    <w:name w:val="A5B70EB72AB14594A02DD4A7ACB322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1" ma:contentTypeDescription="Create a new document." ma:contentTypeScope="" ma:versionID="bfba302294fc5ecfba278cb81bb0540f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26f422326d7245af9fd651429861fde6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8F82-5F0A-4C0E-838E-1D38D9C52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5546-3690-48A4-859A-97C7864F3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3E8CC-FC7E-492D-94F3-19F055786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0E51D5-1EC3-4987-A1F9-D996D50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births for women collaborative – Phase 2 Charter</vt:lpstr>
    </vt:vector>
  </TitlesOfParts>
  <Company>Department of Treasury and Finance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births for women collaborative – Phase 2 Charter</dc:title>
  <dc:subject/>
  <dc:creator>Gemma Wills (DHHS)</dc:creator>
  <cp:keywords/>
  <cp:lastModifiedBy>Terry T</cp:lastModifiedBy>
  <cp:revision>2</cp:revision>
  <cp:lastPrinted>2021-02-10T00:32:00Z</cp:lastPrinted>
  <dcterms:created xsi:type="dcterms:W3CDTF">2021-02-16T22:29:00Z</dcterms:created>
  <dcterms:modified xsi:type="dcterms:W3CDTF">2021-02-16T22:29:00Z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0x01010026D179483B3A4E458E2DA955233B6DD4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2021-02-16T20:43:34Z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2335142c-2ddc-49f2-8865-971ac64246a6</vt:lpwstr>
  </property>
  <property fmtid="{D5CDD505-2E9C-101B-9397-08002B2CF9AE}" pid="11" name="MSIP_Label_efdf5488-3066-4b6c-8fea-9472b8a1f34c_ContentBits">
    <vt:lpwstr>0</vt:lpwstr>
  </property>
</Properties>
</file>