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Title"/>
        <w:tag w:val=""/>
        <w:id w:val="-1540807229"/>
        <w:placeholder>
          <w:docPart w:val="A5B70EB72AB14594A02DD4A7ACB32251"/>
        </w:placeholder>
        <w:dataBinding w:prefixMappings="xmlns:ns0='http://purl.org/dc/elements/1.1/' xmlns:ns1='http://schemas.openxmlformats.org/package/2006/metadata/core-properties' " w:xpath="/ns1:coreProperties[1]/ns0:title[1]" w:storeItemID="{6C3C8BC8-F283-45AE-878A-BAB7291924A1}"/>
        <w:text/>
      </w:sdtPr>
      <w:sdtEndPr/>
      <w:sdtContent>
        <w:p w14:paraId="419A4E6A" w14:textId="050DD956" w:rsidR="00E131C8" w:rsidRPr="00E131C8" w:rsidRDefault="005A7D8B" w:rsidP="001F3F3C">
          <w:pPr>
            <w:pStyle w:val="Title"/>
          </w:pPr>
          <w:r>
            <w:t>Safer baby collaborative – Phase 2 Charter</w:t>
          </w:r>
        </w:p>
      </w:sdtContent>
    </w:sdt>
    <w:p w14:paraId="005913CC" w14:textId="1D5239AF" w:rsidR="004150A1" w:rsidRDefault="000B36A4" w:rsidP="000B36A4">
      <w:pPr>
        <w:pStyle w:val="Heading2"/>
      </w:pPr>
      <w:r w:rsidRPr="000B36A4">
        <w:t>W</w:t>
      </w:r>
      <w:r w:rsidR="004150A1">
        <w:t>hat will the Safer Baby Collaborative accomplish?</w:t>
      </w:r>
    </w:p>
    <w:p w14:paraId="3EC8D0CC" w14:textId="2E0EBABE" w:rsidR="000B36A4" w:rsidRDefault="000B36A4" w:rsidP="000B36A4">
      <w:pPr>
        <w:pStyle w:val="Heading3"/>
      </w:pPr>
      <w:r>
        <w:t xml:space="preserve">By </w:t>
      </w:r>
      <w:r w:rsidR="00A46ACA">
        <w:t xml:space="preserve">June </w:t>
      </w:r>
      <w:r w:rsidR="006B7842">
        <w:t>2021</w:t>
      </w:r>
      <w:r>
        <w:t xml:space="preserve"> we intend to reduce the rate of stillbirths in the third trimester* by 30</w:t>
      </w:r>
      <w:r w:rsidR="004150A1">
        <w:t xml:space="preserve"> per cent</w:t>
      </w:r>
      <w:r>
        <w:t xml:space="preserve"> </w:t>
      </w:r>
    </w:p>
    <w:p w14:paraId="08966B50" w14:textId="77777777" w:rsidR="000B5B4E" w:rsidRDefault="000B5B4E" w:rsidP="000B5B4E">
      <w:r>
        <w:t>This will be accomplished by focusing on:</w:t>
      </w:r>
    </w:p>
    <w:p w14:paraId="0D9F9F6D" w14:textId="657A16CA" w:rsidR="000B5B4E" w:rsidRDefault="000B5B4E" w:rsidP="004150A1">
      <w:pPr>
        <w:pStyle w:val="Bullet1"/>
      </w:pPr>
      <w:r>
        <w:t>Consistent, reliable use of the bundle of clinical care:</w:t>
      </w:r>
    </w:p>
    <w:p w14:paraId="6D8C61D3" w14:textId="67E583A4" w:rsidR="00A440A6" w:rsidRDefault="004D423C" w:rsidP="004150A1">
      <w:pPr>
        <w:pStyle w:val="Bullet2"/>
      </w:pPr>
      <w:r>
        <w:t>i</w:t>
      </w:r>
      <w:r w:rsidR="00A440A6">
        <w:t xml:space="preserve">mproving rates of smoking cessation in pregnancy </w:t>
      </w:r>
    </w:p>
    <w:p w14:paraId="3D91D483" w14:textId="44899726" w:rsidR="00A440A6" w:rsidRDefault="004D423C" w:rsidP="004150A1">
      <w:pPr>
        <w:pStyle w:val="Bullet2"/>
      </w:pPr>
      <w:r>
        <w:t>s</w:t>
      </w:r>
      <w:r w:rsidR="009C6896">
        <w:t>creening and diagnosis</w:t>
      </w:r>
      <w:r w:rsidR="00A440A6">
        <w:t xml:space="preserve"> of </w:t>
      </w:r>
      <w:proofErr w:type="spellStart"/>
      <w:r w:rsidR="00A440A6">
        <w:t>fetal</w:t>
      </w:r>
      <w:proofErr w:type="spellEnd"/>
      <w:r w:rsidR="00A440A6">
        <w:t xml:space="preserve"> growth restriction </w:t>
      </w:r>
    </w:p>
    <w:p w14:paraId="1E927EFB" w14:textId="3C887653" w:rsidR="00A440A6" w:rsidRDefault="004D423C" w:rsidP="004150A1">
      <w:pPr>
        <w:pStyle w:val="Bullet2"/>
      </w:pPr>
      <w:r>
        <w:t>i</w:t>
      </w:r>
      <w:r w:rsidR="00A440A6">
        <w:t xml:space="preserve">ncreasing awareness of the importance of </w:t>
      </w:r>
      <w:proofErr w:type="spellStart"/>
      <w:r w:rsidR="00A440A6">
        <w:t>fetal</w:t>
      </w:r>
      <w:proofErr w:type="spellEnd"/>
      <w:r w:rsidR="00A440A6">
        <w:t xml:space="preserve"> movements </w:t>
      </w:r>
    </w:p>
    <w:p w14:paraId="751E3168" w14:textId="038997D0" w:rsidR="00A440A6" w:rsidRDefault="004D423C" w:rsidP="004150A1">
      <w:pPr>
        <w:pStyle w:val="Bullet2"/>
      </w:pPr>
      <w:r>
        <w:t>r</w:t>
      </w:r>
      <w:r w:rsidR="00A440A6">
        <w:t xml:space="preserve">aising awareness of safe maternal sleep positions </w:t>
      </w:r>
    </w:p>
    <w:p w14:paraId="17C92D42" w14:textId="01AC2288" w:rsidR="00A440A6" w:rsidRDefault="004D423C" w:rsidP="004150A1">
      <w:pPr>
        <w:pStyle w:val="Bullet2"/>
      </w:pPr>
      <w:r>
        <w:t>p</w:t>
      </w:r>
      <w:r w:rsidR="00A440A6">
        <w:t xml:space="preserve">romoting shared decision-making around timing of birth. </w:t>
      </w:r>
    </w:p>
    <w:p w14:paraId="1CE94D78" w14:textId="0A59B685" w:rsidR="000B5B4E" w:rsidRPr="00F255DC" w:rsidRDefault="000B5B4E" w:rsidP="004150A1">
      <w:pPr>
        <w:pStyle w:val="Bullet1"/>
      </w:pPr>
      <w:r>
        <w:t>Partnering with women during pregnancy, to support identification of risk factors and shared decision making.</w:t>
      </w:r>
    </w:p>
    <w:p w14:paraId="26206CF7" w14:textId="4D972EE1" w:rsidR="000B36A4" w:rsidRDefault="000B36A4" w:rsidP="000B36A4">
      <w:pPr>
        <w:rPr>
          <w:i/>
          <w:iCs/>
        </w:rPr>
      </w:pPr>
      <w:r>
        <w:t>*</w:t>
      </w:r>
      <w:r>
        <w:rPr>
          <w:i/>
          <w:iCs/>
        </w:rPr>
        <w:t xml:space="preserve">This initiative is targeting stillbirth at 28 weeks or more, a period of gestation in which more cases </w:t>
      </w:r>
      <w:proofErr w:type="gramStart"/>
      <w:r>
        <w:rPr>
          <w:i/>
          <w:iCs/>
        </w:rPr>
        <w:t>are considered to be</w:t>
      </w:r>
      <w:proofErr w:type="gramEnd"/>
      <w:r>
        <w:rPr>
          <w:i/>
          <w:iCs/>
        </w:rPr>
        <w:t xml:space="preserve"> avoidable and excludes terminations and babies with lethal congenital or chromosomal abnormalities. </w:t>
      </w:r>
    </w:p>
    <w:p w14:paraId="0194FA12" w14:textId="77777777" w:rsidR="004150A1" w:rsidRDefault="000B36A4" w:rsidP="000B36A4">
      <w:pPr>
        <w:pStyle w:val="Heading2"/>
      </w:pPr>
      <w:r w:rsidRPr="000B36A4">
        <w:t>B</w:t>
      </w:r>
      <w:r w:rsidR="004150A1">
        <w:t>ackground information</w:t>
      </w:r>
    </w:p>
    <w:p w14:paraId="51E09A05" w14:textId="7DF8A666" w:rsidR="000B36A4" w:rsidRPr="00911778" w:rsidRDefault="000B36A4" w:rsidP="004150A1">
      <w:pPr>
        <w:pStyle w:val="Normalfollowingheading"/>
      </w:pPr>
      <w:r>
        <w:t>Reducing the rate of stillbirth is an Australian Government priority</w:t>
      </w:r>
      <w:r w:rsidR="000D7C2E">
        <w:t xml:space="preserve">, with work </w:t>
      </w:r>
      <w:r w:rsidR="002E28AD">
        <w:t>curr</w:t>
      </w:r>
      <w:r w:rsidR="002C2041">
        <w:t xml:space="preserve">ently </w:t>
      </w:r>
      <w:r w:rsidR="000D7C2E">
        <w:t>being undertaken</w:t>
      </w:r>
      <w:r w:rsidR="001979C8">
        <w:t xml:space="preserve"> across </w:t>
      </w:r>
      <w:r w:rsidR="00866A4E">
        <w:t>Victoria, New South Wales, Queensland</w:t>
      </w:r>
      <w:r w:rsidR="002E28AD">
        <w:t>, Western Australia and the Australian Capital Territory</w:t>
      </w:r>
      <w:r>
        <w:t xml:space="preserve">. </w:t>
      </w:r>
      <w:r w:rsidR="007A09E0">
        <w:t>Prior to</w:t>
      </w:r>
      <w:r w:rsidR="00AE31BC">
        <w:t xml:space="preserve"> Phase 1 of the Safer baby collaborative, </w:t>
      </w:r>
      <w:r w:rsidR="004B54F3">
        <w:t>201</w:t>
      </w:r>
      <w:r w:rsidR="0066778D">
        <w:t>7</w:t>
      </w:r>
      <w:r w:rsidR="004B54F3">
        <w:t xml:space="preserve"> </w:t>
      </w:r>
      <w:r w:rsidR="00AE31BC">
        <w:t>Victorian data demonstrated a</w:t>
      </w:r>
      <w:r>
        <w:t xml:space="preserve"> stillbirth rate </w:t>
      </w:r>
      <w:r w:rsidR="00AE31BC">
        <w:t>of</w:t>
      </w:r>
      <w:r>
        <w:t xml:space="preserve"> 6.</w:t>
      </w:r>
      <w:r w:rsidR="0066778D">
        <w:t>3</w:t>
      </w:r>
      <w:r>
        <w:t xml:space="preserve"> per 1000 births after 20 weeks, </w:t>
      </w:r>
      <w:r w:rsidR="0066778D">
        <w:t>with 159 stillbirths after 28 weeks</w:t>
      </w:r>
      <w:r w:rsidR="00ED344F">
        <w:rPr>
          <w:rStyle w:val="FootnoteReference"/>
        </w:rPr>
        <w:footnoteReference w:id="1"/>
      </w:r>
      <w:r>
        <w:t xml:space="preserve">. </w:t>
      </w:r>
      <w:r w:rsidR="00C21006">
        <w:t>More recently released d</w:t>
      </w:r>
      <w:r w:rsidR="00190DAF">
        <w:t>ata from 2018</w:t>
      </w:r>
      <w:r w:rsidR="00AE31BC">
        <w:t xml:space="preserve"> </w:t>
      </w:r>
      <w:r w:rsidR="00BC49FC">
        <w:t>demonstrated some improvement, with</w:t>
      </w:r>
      <w:r w:rsidR="009D4131">
        <w:t xml:space="preserve"> a total stillbirth rate of 6.0 per 100 births after 20 weeks and</w:t>
      </w:r>
      <w:r w:rsidR="00CD6EAD">
        <w:t xml:space="preserve"> the number of</w:t>
      </w:r>
      <w:r w:rsidR="00BC49FC">
        <w:t xml:space="preserve"> </w:t>
      </w:r>
      <w:r w:rsidR="00C72D2A">
        <w:t>stillbirths after 28 weeks decreasing to 116</w:t>
      </w:r>
      <w:r w:rsidR="00ED344F" w:rsidRPr="00ED344F">
        <w:rPr>
          <w:vertAlign w:val="superscript"/>
        </w:rPr>
        <w:t>1</w:t>
      </w:r>
      <w:r w:rsidR="00C21006">
        <w:t>.</w:t>
      </w:r>
      <w:r w:rsidR="00CD6EAD">
        <w:t xml:space="preserve"> </w:t>
      </w:r>
      <w:r w:rsidR="00C21006">
        <w:t>H</w:t>
      </w:r>
      <w:r w:rsidR="00CD6EAD">
        <w:t>owever</w:t>
      </w:r>
      <w:r w:rsidR="00C21006">
        <w:t>,</w:t>
      </w:r>
      <w:r w:rsidR="00CD6EAD">
        <w:t xml:space="preserve"> </w:t>
      </w:r>
      <w:r w:rsidR="00C21006">
        <w:t>a</w:t>
      </w:r>
      <w:r w:rsidR="00CD6EAD">
        <w:t xml:space="preserve">wareness of risk factors for stillbirth </w:t>
      </w:r>
      <w:r w:rsidR="00C21006">
        <w:t>is</w:t>
      </w:r>
      <w:r w:rsidR="00CD6EAD">
        <w:t xml:space="preserve"> perceived to be low and research suggest</w:t>
      </w:r>
      <w:r w:rsidR="00C21006">
        <w:t>s</w:t>
      </w:r>
      <w:r w:rsidR="00CD6EAD">
        <w:t xml:space="preserve"> many stillbirths are avoidable.</w:t>
      </w:r>
    </w:p>
    <w:p w14:paraId="6293ADE9" w14:textId="7FDF3AD3" w:rsidR="00891DD1" w:rsidRDefault="00891DD1" w:rsidP="000B36A4">
      <w:r>
        <w:t xml:space="preserve">Utilising our </w:t>
      </w:r>
      <w:r w:rsidR="000B36A4">
        <w:t>partnership with the Institute for Healthcare Improvement (IHI)</w:t>
      </w:r>
      <w:r>
        <w:t xml:space="preserve">, we </w:t>
      </w:r>
      <w:r w:rsidR="001C3437">
        <w:t>commenced</w:t>
      </w:r>
      <w:r>
        <w:t xml:space="preserve"> the Safer baby</w:t>
      </w:r>
      <w:r w:rsidR="001C3437">
        <w:t xml:space="preserve"> breakthrough series</w:t>
      </w:r>
      <w:r>
        <w:t xml:space="preserve"> collaborative in June 2019</w:t>
      </w:r>
      <w:r w:rsidR="00E01E29">
        <w:t>, with the aim of reducing the rate of stillbirth in participating services</w:t>
      </w:r>
      <w:r w:rsidR="00071BFE">
        <w:t xml:space="preserve"> through introduction of an evidence-based bundle of care</w:t>
      </w:r>
      <w:r w:rsidR="00E01E29">
        <w:t xml:space="preserve">. </w:t>
      </w:r>
      <w:r w:rsidR="00AA1386">
        <w:t>This bundle of care align</w:t>
      </w:r>
      <w:r w:rsidR="00B76F39">
        <w:t>s</w:t>
      </w:r>
      <w:r w:rsidR="00AA1386">
        <w:t xml:space="preserve"> with work undertaken in the United Kingdom as part of the Saving Babies Lives Care Bundle and with the Safer Baby Bundle work being undertaken by the Stillbirth Centre of Research Excellence. </w:t>
      </w:r>
      <w:r w:rsidR="00E01E29">
        <w:t xml:space="preserve">Phase 1 was </w:t>
      </w:r>
      <w:r w:rsidR="00B76F39">
        <w:t>ended</w:t>
      </w:r>
      <w:r w:rsidR="00E01E29">
        <w:t xml:space="preserve"> in April 2020, due to the coronavirus (COVID-19) pandemic, and Phase 2 is commencing in November 2020.</w:t>
      </w:r>
    </w:p>
    <w:p w14:paraId="6ACA7597" w14:textId="77777777" w:rsidR="003577BF" w:rsidRDefault="003577BF">
      <w:pPr>
        <w:rPr>
          <w:rFonts w:asciiTheme="majorHAnsi" w:eastAsiaTheme="majorEastAsia" w:hAnsiTheme="majorHAnsi" w:cstheme="majorBidi"/>
          <w:b/>
          <w:bCs/>
          <w:color w:val="000000" w:themeColor="text1"/>
          <w:sz w:val="24"/>
          <w:szCs w:val="22"/>
        </w:rPr>
      </w:pPr>
      <w:r>
        <w:br w:type="page"/>
      </w:r>
    </w:p>
    <w:p w14:paraId="75F4DEA4" w14:textId="74A7F763" w:rsidR="00E9519C" w:rsidRDefault="00E9519C" w:rsidP="00E9519C">
      <w:pPr>
        <w:pStyle w:val="Heading3"/>
      </w:pPr>
      <w:r>
        <w:lastRenderedPageBreak/>
        <w:t>Phase 1 – what progress did we make?</w:t>
      </w:r>
    </w:p>
    <w:p w14:paraId="5C238D92" w14:textId="77777777" w:rsidR="00272691" w:rsidRDefault="00272691" w:rsidP="004150A1">
      <w:pPr>
        <w:pStyle w:val="Heading4"/>
      </w:pPr>
      <w:r>
        <w:t>Progress towards our aim</w:t>
      </w:r>
    </w:p>
    <w:p w14:paraId="5AFAF573" w14:textId="4B4A3431" w:rsidR="00272691" w:rsidRPr="00612D39" w:rsidRDefault="006C54D8" w:rsidP="00272691">
      <w:pPr>
        <w:pStyle w:val="Bullet1"/>
        <w:numPr>
          <w:ilvl w:val="0"/>
          <w:numId w:val="8"/>
        </w:numPr>
      </w:pPr>
      <w:r w:rsidRPr="00612D39">
        <w:t>The rate of stillbirth</w:t>
      </w:r>
      <w:r w:rsidR="00612D39" w:rsidRPr="00612D39">
        <w:t xml:space="preserve"> across participating services</w:t>
      </w:r>
      <w:r w:rsidRPr="00612D39">
        <w:t xml:space="preserve"> decreased by 27 per cent</w:t>
      </w:r>
      <w:r w:rsidR="004150A1">
        <w:t>.</w:t>
      </w:r>
    </w:p>
    <w:p w14:paraId="68A72DB1" w14:textId="77777777" w:rsidR="00272691" w:rsidRDefault="00272691" w:rsidP="004150A1">
      <w:pPr>
        <w:pStyle w:val="Heading4"/>
      </w:pPr>
      <w:r>
        <w:t>Improvements in process measures</w:t>
      </w:r>
    </w:p>
    <w:p w14:paraId="55276736" w14:textId="78C129B8" w:rsidR="00272691" w:rsidRDefault="004379E5" w:rsidP="00272691">
      <w:pPr>
        <w:pStyle w:val="Bullet1"/>
        <w:numPr>
          <w:ilvl w:val="0"/>
          <w:numId w:val="8"/>
        </w:numPr>
      </w:pPr>
      <w:r>
        <w:t>Smoking cessation during pregnancy increased from 11 per cent to 28 per cent</w:t>
      </w:r>
      <w:r w:rsidR="004150A1">
        <w:t>.</w:t>
      </w:r>
    </w:p>
    <w:p w14:paraId="51749D97" w14:textId="256A6F0E" w:rsidR="00B92422" w:rsidRDefault="00B92422" w:rsidP="00272691">
      <w:pPr>
        <w:pStyle w:val="Bullet1"/>
        <w:numPr>
          <w:ilvl w:val="0"/>
          <w:numId w:val="8"/>
        </w:numPr>
      </w:pPr>
      <w:r>
        <w:t>Use of the ‘Ask Advise Help’ brief advice intervention increased from 15 per cent to 38 per cent</w:t>
      </w:r>
      <w:r w:rsidR="004150A1">
        <w:t>.</w:t>
      </w:r>
    </w:p>
    <w:p w14:paraId="47943E58" w14:textId="7F33459F" w:rsidR="008C2B70" w:rsidRDefault="008C2B70" w:rsidP="00272691">
      <w:pPr>
        <w:pStyle w:val="Bullet1"/>
        <w:numPr>
          <w:ilvl w:val="0"/>
          <w:numId w:val="8"/>
        </w:numPr>
      </w:pPr>
      <w:r>
        <w:t xml:space="preserve">Use of carbon monoxide analysis </w:t>
      </w:r>
      <w:r w:rsidR="006C54D8">
        <w:t>increased from 18 per cent to 41 per cent</w:t>
      </w:r>
      <w:r w:rsidR="004150A1">
        <w:t>.</w:t>
      </w:r>
    </w:p>
    <w:p w14:paraId="46743F2A" w14:textId="6D02E749" w:rsidR="003577BF" w:rsidRDefault="003577BF" w:rsidP="00272691">
      <w:pPr>
        <w:pStyle w:val="Bullet1"/>
        <w:numPr>
          <w:ilvl w:val="0"/>
          <w:numId w:val="8"/>
        </w:numPr>
      </w:pPr>
      <w:r>
        <w:t xml:space="preserve">Screening for </w:t>
      </w:r>
      <w:proofErr w:type="spellStart"/>
      <w:r>
        <w:t>fetal</w:t>
      </w:r>
      <w:proofErr w:type="spellEnd"/>
      <w:r>
        <w:t xml:space="preserve"> growth restriction increased from 3 per cent to 32 per cent</w:t>
      </w:r>
      <w:r w:rsidR="004150A1">
        <w:t>.</w:t>
      </w:r>
    </w:p>
    <w:p w14:paraId="39102C56" w14:textId="236FC58C" w:rsidR="003577BF" w:rsidRDefault="00B92422" w:rsidP="00272691">
      <w:pPr>
        <w:pStyle w:val="Bullet1"/>
        <w:numPr>
          <w:ilvl w:val="0"/>
          <w:numId w:val="8"/>
        </w:numPr>
      </w:pPr>
      <w:r>
        <w:t>Measurement and plotting of symphyseal fundal height (SFH) increased from 63 per cent to 88 per cent</w:t>
      </w:r>
      <w:r w:rsidR="004150A1">
        <w:t>.</w:t>
      </w:r>
    </w:p>
    <w:p w14:paraId="5FA67F1F" w14:textId="11FA403D" w:rsidR="00B92422" w:rsidRDefault="005E271E" w:rsidP="00272691">
      <w:pPr>
        <w:pStyle w:val="Bullet1"/>
        <w:numPr>
          <w:ilvl w:val="0"/>
          <w:numId w:val="8"/>
        </w:numPr>
      </w:pPr>
      <w:r>
        <w:t xml:space="preserve">Provision of information on decreased </w:t>
      </w:r>
      <w:proofErr w:type="spellStart"/>
      <w:r>
        <w:t>fetal</w:t>
      </w:r>
      <w:proofErr w:type="spellEnd"/>
      <w:r>
        <w:t xml:space="preserve"> movements increased from 23 per cent to 54 per cent</w:t>
      </w:r>
      <w:r w:rsidR="004150A1">
        <w:t>.</w:t>
      </w:r>
    </w:p>
    <w:p w14:paraId="2D7BBC24" w14:textId="487F165D" w:rsidR="005E271E" w:rsidRDefault="005E271E" w:rsidP="00272691">
      <w:pPr>
        <w:pStyle w:val="Bullet1"/>
        <w:numPr>
          <w:ilvl w:val="0"/>
          <w:numId w:val="8"/>
        </w:numPr>
      </w:pPr>
      <w:r>
        <w:t>Provision of information on maternal sleep position increased from 9 per cent to 44 per cent</w:t>
      </w:r>
      <w:r w:rsidR="004150A1">
        <w:t>.</w:t>
      </w:r>
    </w:p>
    <w:p w14:paraId="2BA9B2F8" w14:textId="51AAC304" w:rsidR="00612D39" w:rsidRPr="00934231" w:rsidRDefault="00B82DE5" w:rsidP="00612D39">
      <w:pPr>
        <w:pStyle w:val="Bullet1"/>
        <w:numPr>
          <w:ilvl w:val="0"/>
          <w:numId w:val="8"/>
        </w:numPr>
      </w:pPr>
      <w:r>
        <w:t xml:space="preserve">Percentage of women who reported being involved as much as they wanted in decision making about the timing of their baby’s birth increased </w:t>
      </w:r>
      <w:r w:rsidR="008C2B70">
        <w:t>from 18 per cent to 25 per cent</w:t>
      </w:r>
      <w:r w:rsidR="004150A1">
        <w:t>.</w:t>
      </w:r>
    </w:p>
    <w:p w14:paraId="09E753AB" w14:textId="77777777" w:rsidR="004150A1" w:rsidRDefault="000B36A4" w:rsidP="000B36A4">
      <w:pPr>
        <w:pStyle w:val="Heading2"/>
      </w:pPr>
      <w:r w:rsidRPr="000B36A4">
        <w:t>W</w:t>
      </w:r>
      <w:r w:rsidR="004150A1">
        <w:t>hat does taking part in phase 2 of the collaborative mean?</w:t>
      </w:r>
    </w:p>
    <w:p w14:paraId="71ADD38B" w14:textId="78DDA08C" w:rsidR="002B567F" w:rsidRDefault="002B567F" w:rsidP="002B567F">
      <w:pPr>
        <w:pStyle w:val="Heading3"/>
      </w:pPr>
      <w:r>
        <w:t>Phase 2 – Key dates</w:t>
      </w:r>
      <w:r w:rsidR="0028332B">
        <w:t xml:space="preserve"> for our </w:t>
      </w:r>
      <w:r w:rsidR="004150A1">
        <w:t>six</w:t>
      </w:r>
      <w:r w:rsidR="0028332B">
        <w:t>-month program</w:t>
      </w:r>
    </w:p>
    <w:p w14:paraId="4E729DB2" w14:textId="675A389B" w:rsidR="002B567F" w:rsidRDefault="002B567F" w:rsidP="004150A1">
      <w:pPr>
        <w:pStyle w:val="Bullet1"/>
      </w:pPr>
      <w:r w:rsidRPr="006B7842">
        <w:t>2</w:t>
      </w:r>
      <w:r>
        <w:t xml:space="preserve">4 November </w:t>
      </w:r>
      <w:r w:rsidRPr="006B7842">
        <w:t xml:space="preserve">2020 </w:t>
      </w:r>
      <w:r>
        <w:t>– Kick off session</w:t>
      </w:r>
    </w:p>
    <w:p w14:paraId="0B3A7F8F" w14:textId="176B6A2B" w:rsidR="00252460" w:rsidRPr="006B7842" w:rsidRDefault="00252460" w:rsidP="004150A1">
      <w:pPr>
        <w:pStyle w:val="Bullet1"/>
      </w:pPr>
      <w:r>
        <w:t xml:space="preserve">16 December 2020 – Virtual office </w:t>
      </w:r>
      <w:r w:rsidR="000442A3">
        <w:t>(optional attendance for support and Q&amp;A)</w:t>
      </w:r>
    </w:p>
    <w:p w14:paraId="1E188D1C" w14:textId="555A8642" w:rsidR="002B567F" w:rsidRDefault="002B567F" w:rsidP="004150A1">
      <w:pPr>
        <w:pStyle w:val="Bullet1"/>
      </w:pPr>
      <w:r w:rsidRPr="006B7842">
        <w:t>2</w:t>
      </w:r>
      <w:r>
        <w:t xml:space="preserve">0 January </w:t>
      </w:r>
      <w:r w:rsidRPr="006B7842">
        <w:t xml:space="preserve">2021 </w:t>
      </w:r>
      <w:r>
        <w:t xml:space="preserve">– </w:t>
      </w:r>
      <w:r w:rsidRPr="006B7842">
        <w:t>1</w:t>
      </w:r>
      <w:r w:rsidRPr="006B7842">
        <w:rPr>
          <w:vertAlign w:val="superscript"/>
        </w:rPr>
        <w:t>st</w:t>
      </w:r>
      <w:r>
        <w:t xml:space="preserve"> </w:t>
      </w:r>
      <w:r w:rsidRPr="006B7842">
        <w:t>virtual forum</w:t>
      </w:r>
      <w:r>
        <w:t xml:space="preserve"> </w:t>
      </w:r>
    </w:p>
    <w:p w14:paraId="25D15ED9" w14:textId="77777777" w:rsidR="00F549D4" w:rsidRPr="006B7842" w:rsidRDefault="00F549D4" w:rsidP="004150A1">
      <w:pPr>
        <w:pStyle w:val="Bullet1"/>
      </w:pPr>
      <w:r>
        <w:t>10 February 2021 - Virtual office (optional attendance for support and Q&amp;A)</w:t>
      </w:r>
    </w:p>
    <w:p w14:paraId="2EEA1DAD" w14:textId="2C74A0B3" w:rsidR="002B567F" w:rsidRPr="006B7842" w:rsidRDefault="002B567F" w:rsidP="004150A1">
      <w:pPr>
        <w:pStyle w:val="Bullet1"/>
      </w:pPr>
      <w:r w:rsidRPr="006B7842">
        <w:t>2</w:t>
      </w:r>
      <w:r>
        <w:t xml:space="preserve">4 March </w:t>
      </w:r>
      <w:r w:rsidRPr="006B7842">
        <w:t xml:space="preserve">2021 </w:t>
      </w:r>
      <w:r>
        <w:t xml:space="preserve">– </w:t>
      </w:r>
      <w:r w:rsidRPr="006B7842">
        <w:t>2</w:t>
      </w:r>
      <w:r w:rsidRPr="006B7842">
        <w:rPr>
          <w:vertAlign w:val="superscript"/>
        </w:rPr>
        <w:t>nd</w:t>
      </w:r>
      <w:r>
        <w:t xml:space="preserve"> </w:t>
      </w:r>
      <w:r w:rsidRPr="006B7842">
        <w:t>virtual forum</w:t>
      </w:r>
    </w:p>
    <w:p w14:paraId="668139A8" w14:textId="6D4C0EE0" w:rsidR="002B567F" w:rsidRDefault="002B567F" w:rsidP="004150A1">
      <w:pPr>
        <w:pStyle w:val="Bullet1"/>
      </w:pPr>
      <w:r w:rsidRPr="006B7842">
        <w:t>2</w:t>
      </w:r>
      <w:r>
        <w:t xml:space="preserve">6 May </w:t>
      </w:r>
      <w:r w:rsidRPr="006B7842">
        <w:t xml:space="preserve">2021 </w:t>
      </w:r>
      <w:r>
        <w:t>– W</w:t>
      </w:r>
      <w:r w:rsidRPr="006B7842">
        <w:t>rap up</w:t>
      </w:r>
    </w:p>
    <w:p w14:paraId="281FDCD3" w14:textId="77777777" w:rsidR="001F2D3C" w:rsidRDefault="001F2D3C" w:rsidP="00BE5DCB">
      <w:pPr>
        <w:spacing w:after="0"/>
      </w:pPr>
      <w:r>
        <w:t>Coaching calls with Improvement Advisors in training to be arranged.</w:t>
      </w:r>
    </w:p>
    <w:p w14:paraId="068DCAA3" w14:textId="77777777" w:rsidR="002B567F" w:rsidRPr="000B36A4" w:rsidRDefault="002B567F" w:rsidP="004150A1">
      <w:pPr>
        <w:pStyle w:val="Heading4"/>
      </w:pPr>
      <w:r w:rsidRPr="000B36A4">
        <w:t xml:space="preserve">Each participating service </w:t>
      </w:r>
      <w:r>
        <w:t>needs</w:t>
      </w:r>
    </w:p>
    <w:p w14:paraId="08A37236" w14:textId="77777777" w:rsidR="002B567F" w:rsidRDefault="002B567F" w:rsidP="002B567F">
      <w:pPr>
        <w:pStyle w:val="Bullet1"/>
        <w:numPr>
          <w:ilvl w:val="0"/>
          <w:numId w:val="8"/>
        </w:numPr>
      </w:pPr>
      <w:r>
        <w:t>An executive sponsor who is supporting the work and ideally able to attend virtual forums with their team. We know from Phase 1 that active partnership between service leadership and the collaborative team is essential to achieve results. Teams succeed when a senior leader sponsors their work. The executive sponsor is responsible and accountable to the service for performance and results of improvement work. They may not be an active member of the collaborative team but support the team to achieve their aim by connecting with them regularly, removing barriers to their progress and championing their work to others in the service.</w:t>
      </w:r>
    </w:p>
    <w:p w14:paraId="01612E6E" w14:textId="77777777" w:rsidR="002B567F" w:rsidRDefault="002B567F" w:rsidP="002B567F">
      <w:pPr>
        <w:pStyle w:val="Bullet1"/>
        <w:numPr>
          <w:ilvl w:val="0"/>
          <w:numId w:val="8"/>
        </w:numPr>
      </w:pPr>
      <w:r>
        <w:t>A day-to-day team leader.</w:t>
      </w:r>
    </w:p>
    <w:p w14:paraId="083ED6E8" w14:textId="77777777" w:rsidR="002B567F" w:rsidRDefault="002B567F" w:rsidP="002B567F">
      <w:pPr>
        <w:pStyle w:val="Bullet1"/>
        <w:numPr>
          <w:ilvl w:val="0"/>
          <w:numId w:val="8"/>
        </w:numPr>
      </w:pPr>
      <w:r>
        <w:t>A core team: This team may be comprised of an obstetrician, midwife, consumer and member with quality improvement experience. The team is responsible for identifying champions and driving change on the clinical floor.</w:t>
      </w:r>
    </w:p>
    <w:p w14:paraId="6DC72472" w14:textId="203E67AF" w:rsidR="002B567F" w:rsidRDefault="002B567F" w:rsidP="002B567F">
      <w:pPr>
        <w:pStyle w:val="Bullet1"/>
        <w:numPr>
          <w:ilvl w:val="0"/>
          <w:numId w:val="8"/>
        </w:numPr>
      </w:pPr>
      <w:r>
        <w:t xml:space="preserve">A wider team of </w:t>
      </w:r>
      <w:r w:rsidR="004150A1">
        <w:t xml:space="preserve">six to </w:t>
      </w:r>
      <w:r>
        <w:t xml:space="preserve">12 members (e.g. clinicians, managers), influencers in the organisation who can drive commitment and attention to the work and support frontline staff to test changes. This group includes a member responsible for data entry. </w:t>
      </w:r>
    </w:p>
    <w:p w14:paraId="0BCE2E87" w14:textId="77777777" w:rsidR="002B567F" w:rsidRDefault="002B567F" w:rsidP="002B567F">
      <w:pPr>
        <w:pStyle w:val="Bullet1"/>
        <w:numPr>
          <w:ilvl w:val="0"/>
          <w:numId w:val="8"/>
        </w:numPr>
      </w:pPr>
      <w:r>
        <w:t>Time dedicated to do the work (including online meetings and site visits): in our experience, optimal results are achieved when teams can devote at least 30 hours per week to the project (shared between team members).</w:t>
      </w:r>
    </w:p>
    <w:p w14:paraId="7FDBABB5" w14:textId="77777777" w:rsidR="002B567F" w:rsidRDefault="002B567F" w:rsidP="002B567F">
      <w:pPr>
        <w:pStyle w:val="Bullet1"/>
        <w:numPr>
          <w:ilvl w:val="0"/>
          <w:numId w:val="8"/>
        </w:numPr>
      </w:pPr>
      <w:r>
        <w:t>Support for the core team to attend all virtual forums.</w:t>
      </w:r>
    </w:p>
    <w:p w14:paraId="38751AB6" w14:textId="755CA90E" w:rsidR="0082157B" w:rsidRDefault="002B567F" w:rsidP="0082157B">
      <w:pPr>
        <w:pStyle w:val="Bullet1"/>
        <w:numPr>
          <w:ilvl w:val="0"/>
          <w:numId w:val="8"/>
        </w:numPr>
      </w:pPr>
      <w:r>
        <w:t xml:space="preserve">A commitment to implement all elements of the bundle. </w:t>
      </w:r>
    </w:p>
    <w:p w14:paraId="05C560B1" w14:textId="77777777" w:rsidR="004150A1" w:rsidRDefault="00F966C6" w:rsidP="00F966C6">
      <w:pPr>
        <w:pStyle w:val="Heading2"/>
      </w:pPr>
      <w:r w:rsidRPr="00F966C6">
        <w:t>H</w:t>
      </w:r>
      <w:r w:rsidR="004150A1">
        <w:t>ow will we know that change is an improvement?</w:t>
      </w:r>
    </w:p>
    <w:p w14:paraId="3B12ABF4" w14:textId="77777777" w:rsidR="00612D39" w:rsidRPr="002A6EC2" w:rsidRDefault="00612D39" w:rsidP="004150A1">
      <w:pPr>
        <w:pStyle w:val="Heading3"/>
      </w:pPr>
      <w:r w:rsidRPr="002A6EC2">
        <w:t>Data collection</w:t>
      </w:r>
    </w:p>
    <w:p w14:paraId="565B8402" w14:textId="77777777" w:rsidR="00612D39" w:rsidRDefault="00612D39" w:rsidP="004150A1">
      <w:pPr>
        <w:pStyle w:val="Normalfollowingheading"/>
      </w:pPr>
      <w:r>
        <w:t xml:space="preserve">During quality improvement activities, teams collect and use data over time in order to assess change, adjust their hypotheses along the way and understand the impact of changes tested in a wide range of conditions. Data is used to understand if changes are leading to improvement and to determine teams’ next steps. </w:t>
      </w:r>
    </w:p>
    <w:p w14:paraId="7889FC19" w14:textId="001B0C12" w:rsidR="00F363B9" w:rsidRDefault="00612D39" w:rsidP="00612D39">
      <w:r>
        <w:t>The following measures will be collected by the teams throughout Phase 2 of the collaborative.</w:t>
      </w:r>
    </w:p>
    <w:p w14:paraId="5C123D1D" w14:textId="37470322" w:rsidR="000B36A4" w:rsidRDefault="00F966C6" w:rsidP="004150A1">
      <w:pPr>
        <w:pStyle w:val="Heading4"/>
      </w:pPr>
      <w:r w:rsidRPr="00F966C6">
        <w:t xml:space="preserve">Outcome </w:t>
      </w:r>
      <w:r w:rsidR="004150A1">
        <w:t>m</w:t>
      </w:r>
      <w:r w:rsidRPr="00F966C6">
        <w:t xml:space="preserve">easures </w:t>
      </w:r>
    </w:p>
    <w:p w14:paraId="42BF7A52" w14:textId="38EFD13C" w:rsidR="00F966C6" w:rsidRDefault="00F966C6" w:rsidP="009317FE">
      <w:pPr>
        <w:pStyle w:val="Bullet1"/>
      </w:pPr>
      <w:r>
        <w:t>Number and rate of stillbirths at 28 or more weeks gestation</w:t>
      </w:r>
    </w:p>
    <w:p w14:paraId="35D3050C" w14:textId="4E4ECB9C" w:rsidR="009317FE" w:rsidRDefault="009317FE" w:rsidP="004150A1">
      <w:pPr>
        <w:pStyle w:val="Bullet1"/>
      </w:pPr>
      <w:r>
        <w:t>Percentage of women who cease smoking between conception and birth</w:t>
      </w:r>
    </w:p>
    <w:p w14:paraId="46C46E23" w14:textId="766DD391" w:rsidR="00F966C6" w:rsidRDefault="00F966C6" w:rsidP="004150A1">
      <w:pPr>
        <w:pStyle w:val="Heading4"/>
      </w:pPr>
      <w:r>
        <w:t xml:space="preserve">Process </w:t>
      </w:r>
      <w:r w:rsidR="004150A1">
        <w:t>m</w:t>
      </w:r>
      <w:r>
        <w:t xml:space="preserve">easures </w:t>
      </w:r>
    </w:p>
    <w:p w14:paraId="78C20017" w14:textId="715E5790" w:rsidR="00F966C6" w:rsidRDefault="0032387C" w:rsidP="0032387C">
      <w:pPr>
        <w:pStyle w:val="Bullet1"/>
      </w:pPr>
      <w:r>
        <w:t>Percentage of women who receive ‘Ask, Advise, Help’</w:t>
      </w:r>
      <w:r w:rsidR="00FC291E">
        <w:t xml:space="preserve"> at each antenatal visit</w:t>
      </w:r>
    </w:p>
    <w:p w14:paraId="3668F676" w14:textId="223E0B1A" w:rsidR="0032387C" w:rsidRPr="00F14F7F" w:rsidRDefault="00FB7CB1" w:rsidP="0032387C">
      <w:pPr>
        <w:pStyle w:val="Bullet1"/>
      </w:pPr>
      <w:r w:rsidRPr="00F14F7F">
        <w:t xml:space="preserve">Time between women reporting </w:t>
      </w:r>
      <w:r w:rsidR="005E3E3C" w:rsidRPr="00F14F7F">
        <w:t xml:space="preserve">decreased </w:t>
      </w:r>
      <w:proofErr w:type="spellStart"/>
      <w:r w:rsidR="005E3E3C" w:rsidRPr="00F14F7F">
        <w:t>fetal</w:t>
      </w:r>
      <w:proofErr w:type="spellEnd"/>
      <w:r w:rsidR="005E3E3C" w:rsidRPr="00F14F7F">
        <w:t xml:space="preserve"> movements (</w:t>
      </w:r>
      <w:r w:rsidRPr="00F14F7F">
        <w:t>DFM</w:t>
      </w:r>
      <w:r w:rsidR="005E3E3C" w:rsidRPr="00F14F7F">
        <w:t>)</w:t>
      </w:r>
      <w:r w:rsidRPr="00F14F7F">
        <w:t xml:space="preserve"> and commencement of a cardiotocograph (CTG)</w:t>
      </w:r>
    </w:p>
    <w:p w14:paraId="4EF5CDFA" w14:textId="4599A94A" w:rsidR="003742AB" w:rsidRPr="00F14F7F" w:rsidRDefault="003742AB" w:rsidP="0032387C">
      <w:pPr>
        <w:pStyle w:val="Bullet1"/>
      </w:pPr>
      <w:r w:rsidRPr="00F14F7F">
        <w:t xml:space="preserve">Percentage of women who are screened for FGR risk factors at </w:t>
      </w:r>
      <w:r w:rsidR="00DC1E16" w:rsidRPr="00F14F7F">
        <w:t>each antenatal visit</w:t>
      </w:r>
    </w:p>
    <w:p w14:paraId="4C3B0260" w14:textId="26741928" w:rsidR="00FB7CB1" w:rsidRPr="00F14F7F" w:rsidRDefault="00FB7CB1" w:rsidP="0032387C">
      <w:pPr>
        <w:pStyle w:val="Bullet1"/>
      </w:pPr>
      <w:r w:rsidRPr="00F14F7F">
        <w:t>Percentage of women who have their SFH meas</w:t>
      </w:r>
      <w:r w:rsidR="005E3E3C" w:rsidRPr="00F14F7F">
        <w:t>ured and plotted on a growth chart</w:t>
      </w:r>
    </w:p>
    <w:p w14:paraId="397606A4" w14:textId="3A7620D6" w:rsidR="005E3E3C" w:rsidRDefault="005E3E3C" w:rsidP="0032387C">
      <w:pPr>
        <w:pStyle w:val="Bullet1"/>
      </w:pPr>
      <w:r>
        <w:t>Percentage of women provided with DFM information and education</w:t>
      </w:r>
    </w:p>
    <w:p w14:paraId="60D6843D" w14:textId="471B8424" w:rsidR="00451282" w:rsidRDefault="00451282" w:rsidP="0032387C">
      <w:pPr>
        <w:pStyle w:val="Bullet1"/>
      </w:pPr>
      <w:r>
        <w:t>Percentage of women provided with maternal sleep position (MSP) information and education</w:t>
      </w:r>
    </w:p>
    <w:p w14:paraId="0993200E" w14:textId="40064D7F" w:rsidR="0032387C" w:rsidRPr="004150A1" w:rsidRDefault="00FC20C9" w:rsidP="004150A1">
      <w:pPr>
        <w:pStyle w:val="Bullet1"/>
      </w:pPr>
      <w:r>
        <w:t>Percentage of women who report being involved as much as they wanted to be with decision-making around timing of birth</w:t>
      </w:r>
    </w:p>
    <w:p w14:paraId="4F191C8D" w14:textId="0E912AA9" w:rsidR="00F966C6" w:rsidRPr="00F966C6" w:rsidRDefault="00F966C6" w:rsidP="004150A1">
      <w:pPr>
        <w:pStyle w:val="Heading4"/>
      </w:pPr>
      <w:r>
        <w:t xml:space="preserve">Balance </w:t>
      </w:r>
      <w:r w:rsidR="004150A1">
        <w:t>m</w:t>
      </w:r>
      <w:r>
        <w:t>easures</w:t>
      </w:r>
    </w:p>
    <w:p w14:paraId="11691BAD" w14:textId="2350BFD8" w:rsidR="00F966C6" w:rsidRPr="00F966C6" w:rsidRDefault="00D90303" w:rsidP="00D90303">
      <w:pPr>
        <w:pStyle w:val="Bullet1"/>
      </w:pPr>
      <w:r>
        <w:t>Percentage of women who give birth by induction of labour or caesarean section prior to 39 weeks</w:t>
      </w:r>
    </w:p>
    <w:p w14:paraId="231DDDB4" w14:textId="65CFBFB8" w:rsidR="0082157B" w:rsidRPr="00F363B9" w:rsidRDefault="00F966C6" w:rsidP="0024524F">
      <w:pPr>
        <w:pStyle w:val="Bullet1"/>
        <w:rPr>
          <w:rFonts w:asciiTheme="majorHAnsi" w:eastAsiaTheme="majorEastAsia" w:hAnsiTheme="majorHAnsi" w:cstheme="majorBidi"/>
          <w:b/>
          <w:bCs/>
          <w:caps/>
          <w:color w:val="007586" w:themeColor="text2"/>
          <w:sz w:val="24"/>
          <w:szCs w:val="26"/>
        </w:rPr>
      </w:pPr>
      <w:r w:rsidRPr="00F966C6">
        <w:t xml:space="preserve">Percentage of babies admitted to special care nursery after 37 weeks </w:t>
      </w:r>
      <w:r w:rsidR="0082157B">
        <w:br w:type="page"/>
      </w:r>
    </w:p>
    <w:p w14:paraId="63E4776D" w14:textId="77777777" w:rsidR="006F77C8" w:rsidRDefault="006F77C8" w:rsidP="006F77C8">
      <w:pPr>
        <w:pStyle w:val="Heading2"/>
        <w:sectPr w:rsidR="006F77C8" w:rsidSect="00663D4D">
          <w:footerReference w:type="default" r:id="rId11"/>
          <w:headerReference w:type="first" r:id="rId12"/>
          <w:type w:val="continuous"/>
          <w:pgSz w:w="11906" w:h="16838" w:code="9"/>
          <w:pgMar w:top="2438" w:right="1021" w:bottom="1021" w:left="1021" w:header="539" w:footer="624" w:gutter="0"/>
          <w:cols w:space="284"/>
          <w:titlePg/>
          <w:docGrid w:linePitch="360"/>
        </w:sectPr>
      </w:pPr>
    </w:p>
    <w:p w14:paraId="0D1544DE" w14:textId="77777777" w:rsidR="004150A1" w:rsidRDefault="006F77C8" w:rsidP="006F77C8">
      <w:pPr>
        <w:pStyle w:val="Heading2"/>
      </w:pPr>
      <w:r w:rsidRPr="007A5663">
        <w:t>W</w:t>
      </w:r>
      <w:r w:rsidR="004150A1">
        <w:t>hat changes can we make that will lead to improvement?</w:t>
      </w:r>
    </w:p>
    <w:p w14:paraId="14C1DE3F" w14:textId="77777777" w:rsidR="006F77C8" w:rsidRDefault="006F77C8" w:rsidP="006F77C8">
      <w:pPr>
        <w:pStyle w:val="IntroductoryText"/>
        <w:spacing w:before="0"/>
      </w:pPr>
      <w:r>
        <w:t>Phase 2 Driver diagram</w:t>
      </w:r>
    </w:p>
    <w:tbl>
      <w:tblPr>
        <w:tblW w:w="21438" w:type="dxa"/>
        <w:tblInd w:w="108" w:type="dxa"/>
        <w:tblLook w:val="04A0" w:firstRow="1" w:lastRow="0" w:firstColumn="1" w:lastColumn="0" w:noHBand="0" w:noVBand="1"/>
      </w:tblPr>
      <w:tblGrid>
        <w:gridCol w:w="2694"/>
        <w:gridCol w:w="300"/>
        <w:gridCol w:w="2393"/>
        <w:gridCol w:w="300"/>
        <w:gridCol w:w="5687"/>
        <w:gridCol w:w="300"/>
        <w:gridCol w:w="9764"/>
      </w:tblGrid>
      <w:tr w:rsidR="000033A0" w:rsidRPr="000033A0" w14:paraId="34F6FC31" w14:textId="77777777" w:rsidTr="000033A0">
        <w:trPr>
          <w:trHeight w:val="340"/>
        </w:trPr>
        <w:tc>
          <w:tcPr>
            <w:tcW w:w="2694" w:type="dxa"/>
            <w:tcBorders>
              <w:top w:val="nil"/>
              <w:left w:val="nil"/>
              <w:bottom w:val="nil"/>
              <w:right w:val="nil"/>
            </w:tcBorders>
            <w:shd w:val="clear" w:color="000000" w:fill="F2F2F2"/>
            <w:vAlign w:val="center"/>
            <w:hideMark/>
          </w:tcPr>
          <w:p w14:paraId="41012682" w14:textId="77777777" w:rsidR="000033A0" w:rsidRPr="000033A0" w:rsidRDefault="000033A0" w:rsidP="000033A0">
            <w:pPr>
              <w:spacing w:before="0" w:after="0" w:line="240" w:lineRule="auto"/>
              <w:jc w:val="center"/>
              <w:rPr>
                <w:rFonts w:ascii="Arial" w:eastAsia="Times New Roman" w:hAnsi="Arial" w:cs="Arial"/>
                <w:b/>
              </w:rPr>
            </w:pPr>
            <w:r w:rsidRPr="000033A0">
              <w:rPr>
                <w:rFonts w:ascii="Arial" w:eastAsia="Times New Roman" w:hAnsi="Arial" w:cs="Arial"/>
                <w:b/>
              </w:rPr>
              <w:t>AIM</w:t>
            </w:r>
          </w:p>
        </w:tc>
        <w:tc>
          <w:tcPr>
            <w:tcW w:w="300" w:type="dxa"/>
            <w:tcBorders>
              <w:top w:val="nil"/>
              <w:left w:val="nil"/>
              <w:bottom w:val="nil"/>
              <w:right w:val="nil"/>
            </w:tcBorders>
            <w:shd w:val="clear" w:color="auto" w:fill="auto"/>
            <w:noWrap/>
            <w:vAlign w:val="center"/>
            <w:hideMark/>
          </w:tcPr>
          <w:p w14:paraId="642F28FC" w14:textId="77777777" w:rsidR="000033A0" w:rsidRPr="000033A0" w:rsidRDefault="000033A0" w:rsidP="000033A0">
            <w:pPr>
              <w:spacing w:before="0" w:after="0" w:line="240" w:lineRule="auto"/>
              <w:jc w:val="center"/>
              <w:rPr>
                <w:rFonts w:ascii="Arial" w:eastAsia="Times New Roman" w:hAnsi="Arial" w:cs="Arial"/>
                <w:b/>
              </w:rPr>
            </w:pPr>
          </w:p>
        </w:tc>
        <w:tc>
          <w:tcPr>
            <w:tcW w:w="2393" w:type="dxa"/>
            <w:tcBorders>
              <w:top w:val="nil"/>
              <w:left w:val="nil"/>
              <w:bottom w:val="nil"/>
              <w:right w:val="nil"/>
            </w:tcBorders>
            <w:shd w:val="clear" w:color="000000" w:fill="F2F2F2"/>
            <w:vAlign w:val="center"/>
            <w:hideMark/>
          </w:tcPr>
          <w:p w14:paraId="00442AA3" w14:textId="77777777" w:rsidR="000033A0" w:rsidRPr="000033A0" w:rsidRDefault="000033A0" w:rsidP="000033A0">
            <w:pPr>
              <w:spacing w:before="0" w:after="0" w:line="240" w:lineRule="auto"/>
              <w:jc w:val="center"/>
              <w:rPr>
                <w:rFonts w:ascii="Arial" w:eastAsia="Times New Roman" w:hAnsi="Arial" w:cs="Arial"/>
                <w:b/>
              </w:rPr>
            </w:pPr>
            <w:r w:rsidRPr="000033A0">
              <w:rPr>
                <w:rFonts w:ascii="Arial" w:eastAsia="Times New Roman" w:hAnsi="Arial" w:cs="Arial"/>
                <w:b/>
              </w:rPr>
              <w:t>PRIMARY DRIVERS</w:t>
            </w:r>
          </w:p>
        </w:tc>
        <w:tc>
          <w:tcPr>
            <w:tcW w:w="300" w:type="dxa"/>
            <w:tcBorders>
              <w:top w:val="nil"/>
              <w:left w:val="nil"/>
              <w:bottom w:val="nil"/>
              <w:right w:val="nil"/>
            </w:tcBorders>
            <w:shd w:val="clear" w:color="auto" w:fill="auto"/>
            <w:noWrap/>
            <w:vAlign w:val="center"/>
            <w:hideMark/>
          </w:tcPr>
          <w:p w14:paraId="52244F95" w14:textId="77777777" w:rsidR="000033A0" w:rsidRPr="000033A0" w:rsidRDefault="000033A0" w:rsidP="000033A0">
            <w:pPr>
              <w:spacing w:before="0" w:after="0" w:line="240" w:lineRule="auto"/>
              <w:jc w:val="center"/>
              <w:rPr>
                <w:rFonts w:ascii="Arial" w:eastAsia="Times New Roman" w:hAnsi="Arial" w:cs="Arial"/>
                <w:b/>
              </w:rPr>
            </w:pPr>
          </w:p>
        </w:tc>
        <w:tc>
          <w:tcPr>
            <w:tcW w:w="5687" w:type="dxa"/>
            <w:tcBorders>
              <w:top w:val="nil"/>
              <w:left w:val="nil"/>
              <w:bottom w:val="nil"/>
              <w:right w:val="nil"/>
            </w:tcBorders>
            <w:shd w:val="clear" w:color="000000" w:fill="F2F2F2"/>
            <w:vAlign w:val="center"/>
            <w:hideMark/>
          </w:tcPr>
          <w:p w14:paraId="560DF2F3" w14:textId="77777777" w:rsidR="000033A0" w:rsidRPr="000033A0" w:rsidRDefault="000033A0" w:rsidP="000033A0">
            <w:pPr>
              <w:spacing w:before="0" w:after="0" w:line="240" w:lineRule="auto"/>
              <w:jc w:val="center"/>
              <w:rPr>
                <w:rFonts w:ascii="Arial" w:eastAsia="Times New Roman" w:hAnsi="Arial" w:cs="Arial"/>
                <w:b/>
              </w:rPr>
            </w:pPr>
            <w:r w:rsidRPr="000033A0">
              <w:rPr>
                <w:rFonts w:ascii="Arial" w:eastAsia="Times New Roman" w:hAnsi="Arial" w:cs="Arial"/>
                <w:b/>
              </w:rPr>
              <w:t>SECONDARY DRIVERS</w:t>
            </w:r>
          </w:p>
        </w:tc>
        <w:tc>
          <w:tcPr>
            <w:tcW w:w="300" w:type="dxa"/>
            <w:tcBorders>
              <w:top w:val="nil"/>
              <w:left w:val="nil"/>
              <w:bottom w:val="nil"/>
              <w:right w:val="nil"/>
            </w:tcBorders>
            <w:shd w:val="clear" w:color="auto" w:fill="auto"/>
            <w:noWrap/>
            <w:vAlign w:val="center"/>
            <w:hideMark/>
          </w:tcPr>
          <w:p w14:paraId="702E4B1C" w14:textId="77777777" w:rsidR="000033A0" w:rsidRPr="000033A0" w:rsidRDefault="000033A0" w:rsidP="000033A0">
            <w:pPr>
              <w:spacing w:before="0" w:after="0" w:line="240" w:lineRule="auto"/>
              <w:jc w:val="center"/>
              <w:rPr>
                <w:rFonts w:ascii="Arial" w:eastAsia="Times New Roman" w:hAnsi="Arial" w:cs="Arial"/>
                <w:b/>
              </w:rPr>
            </w:pPr>
          </w:p>
        </w:tc>
        <w:tc>
          <w:tcPr>
            <w:tcW w:w="9764" w:type="dxa"/>
            <w:tcBorders>
              <w:top w:val="nil"/>
              <w:left w:val="nil"/>
              <w:bottom w:val="nil"/>
              <w:right w:val="nil"/>
            </w:tcBorders>
            <w:shd w:val="clear" w:color="000000" w:fill="F2F2F2"/>
            <w:vAlign w:val="center"/>
            <w:hideMark/>
          </w:tcPr>
          <w:p w14:paraId="3B047486" w14:textId="77777777" w:rsidR="000033A0" w:rsidRPr="000033A0" w:rsidRDefault="000033A0" w:rsidP="000033A0">
            <w:pPr>
              <w:spacing w:before="0" w:after="0" w:line="240" w:lineRule="auto"/>
              <w:jc w:val="center"/>
              <w:rPr>
                <w:rFonts w:ascii="Arial" w:eastAsia="Times New Roman" w:hAnsi="Arial" w:cs="Arial"/>
                <w:b/>
              </w:rPr>
            </w:pPr>
            <w:r w:rsidRPr="000033A0">
              <w:rPr>
                <w:rFonts w:ascii="Arial" w:eastAsia="Times New Roman" w:hAnsi="Arial" w:cs="Arial"/>
                <w:b/>
              </w:rPr>
              <w:t>CHANGE IDEAS</w:t>
            </w:r>
          </w:p>
        </w:tc>
      </w:tr>
      <w:tr w:rsidR="000033A0" w:rsidRPr="000033A0" w14:paraId="570F2856" w14:textId="77777777" w:rsidTr="000033A0">
        <w:trPr>
          <w:trHeight w:val="170"/>
        </w:trPr>
        <w:tc>
          <w:tcPr>
            <w:tcW w:w="2694" w:type="dxa"/>
            <w:tcBorders>
              <w:top w:val="nil"/>
              <w:left w:val="nil"/>
              <w:bottom w:val="nil"/>
              <w:right w:val="nil"/>
            </w:tcBorders>
            <w:shd w:val="clear" w:color="auto" w:fill="auto"/>
            <w:vAlign w:val="center"/>
            <w:hideMark/>
          </w:tcPr>
          <w:p w14:paraId="0235B088" w14:textId="77777777" w:rsidR="000033A0" w:rsidRPr="000033A0" w:rsidRDefault="000033A0" w:rsidP="000033A0">
            <w:pPr>
              <w:spacing w:before="0" w:after="0" w:line="240" w:lineRule="auto"/>
              <w:jc w:val="center"/>
              <w:rPr>
                <w:rFonts w:ascii="Arial" w:eastAsia="Times New Roman" w:hAnsi="Arial" w:cs="Arial"/>
                <w:bCs/>
              </w:rPr>
            </w:pPr>
          </w:p>
        </w:tc>
        <w:tc>
          <w:tcPr>
            <w:tcW w:w="300" w:type="dxa"/>
            <w:tcBorders>
              <w:top w:val="nil"/>
              <w:left w:val="nil"/>
              <w:bottom w:val="nil"/>
              <w:right w:val="nil"/>
            </w:tcBorders>
            <w:shd w:val="clear" w:color="auto" w:fill="auto"/>
            <w:noWrap/>
            <w:vAlign w:val="center"/>
            <w:hideMark/>
          </w:tcPr>
          <w:p w14:paraId="60C204E1" w14:textId="77777777" w:rsidR="000033A0" w:rsidRPr="000033A0" w:rsidRDefault="000033A0" w:rsidP="000033A0">
            <w:pPr>
              <w:spacing w:before="0" w:after="0" w:line="240" w:lineRule="auto"/>
              <w:jc w:val="center"/>
              <w:rPr>
                <w:rFonts w:ascii="Arial" w:eastAsia="Times New Roman" w:hAnsi="Arial" w:cs="Arial"/>
              </w:rPr>
            </w:pPr>
          </w:p>
        </w:tc>
        <w:tc>
          <w:tcPr>
            <w:tcW w:w="2393" w:type="dxa"/>
            <w:tcBorders>
              <w:top w:val="nil"/>
              <w:left w:val="nil"/>
              <w:bottom w:val="nil"/>
              <w:right w:val="nil"/>
            </w:tcBorders>
            <w:shd w:val="clear" w:color="auto" w:fill="auto"/>
            <w:vAlign w:val="center"/>
            <w:hideMark/>
          </w:tcPr>
          <w:p w14:paraId="0E4223C7"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1A635353" w14:textId="77777777" w:rsidR="000033A0" w:rsidRPr="000033A0" w:rsidRDefault="000033A0" w:rsidP="000033A0">
            <w:pPr>
              <w:spacing w:before="0" w:after="0" w:line="240" w:lineRule="auto"/>
              <w:jc w:val="center"/>
              <w:rPr>
                <w:rFonts w:ascii="Arial" w:eastAsia="Times New Roman" w:hAnsi="Arial" w:cs="Arial"/>
              </w:rPr>
            </w:pPr>
          </w:p>
        </w:tc>
        <w:tc>
          <w:tcPr>
            <w:tcW w:w="5687" w:type="dxa"/>
            <w:tcBorders>
              <w:top w:val="nil"/>
              <w:left w:val="nil"/>
              <w:bottom w:val="nil"/>
              <w:right w:val="nil"/>
            </w:tcBorders>
            <w:shd w:val="clear" w:color="auto" w:fill="auto"/>
            <w:vAlign w:val="center"/>
            <w:hideMark/>
          </w:tcPr>
          <w:p w14:paraId="6F805C4F"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2A6235A4" w14:textId="77777777" w:rsidR="000033A0" w:rsidRPr="000033A0" w:rsidRDefault="000033A0" w:rsidP="000033A0">
            <w:pPr>
              <w:spacing w:before="0" w:after="0" w:line="240" w:lineRule="auto"/>
              <w:jc w:val="center"/>
              <w:rPr>
                <w:rFonts w:ascii="Arial" w:eastAsia="Times New Roman" w:hAnsi="Arial" w:cs="Arial"/>
              </w:rPr>
            </w:pPr>
          </w:p>
        </w:tc>
        <w:tc>
          <w:tcPr>
            <w:tcW w:w="9764" w:type="dxa"/>
            <w:tcBorders>
              <w:top w:val="nil"/>
              <w:left w:val="nil"/>
              <w:bottom w:val="nil"/>
              <w:right w:val="nil"/>
            </w:tcBorders>
            <w:shd w:val="clear" w:color="auto" w:fill="auto"/>
            <w:vAlign w:val="center"/>
            <w:hideMark/>
          </w:tcPr>
          <w:p w14:paraId="14B0A0A2" w14:textId="77777777" w:rsidR="000033A0" w:rsidRPr="000033A0" w:rsidRDefault="000033A0" w:rsidP="000033A0">
            <w:pPr>
              <w:spacing w:before="0" w:after="0" w:line="240" w:lineRule="auto"/>
              <w:rPr>
                <w:rFonts w:ascii="Arial" w:eastAsia="Times New Roman" w:hAnsi="Arial" w:cs="Arial"/>
              </w:rPr>
            </w:pPr>
          </w:p>
        </w:tc>
      </w:tr>
      <w:tr w:rsidR="000033A0" w:rsidRPr="000033A0" w14:paraId="3ED5AEF5" w14:textId="77777777" w:rsidTr="000033A0">
        <w:trPr>
          <w:trHeight w:val="1134"/>
        </w:trPr>
        <w:tc>
          <w:tcPr>
            <w:tcW w:w="2694" w:type="dxa"/>
            <w:vMerge w:val="restart"/>
            <w:tcBorders>
              <w:top w:val="nil"/>
              <w:left w:val="nil"/>
              <w:bottom w:val="nil"/>
              <w:right w:val="nil"/>
            </w:tcBorders>
            <w:shd w:val="clear" w:color="auto" w:fill="5F497A"/>
            <w:vAlign w:val="center"/>
            <w:hideMark/>
          </w:tcPr>
          <w:p w14:paraId="7B8B6200" w14:textId="77777777" w:rsidR="000033A0" w:rsidRPr="000033A0" w:rsidRDefault="000033A0" w:rsidP="000033A0">
            <w:pPr>
              <w:spacing w:before="0" w:after="0" w:line="240" w:lineRule="auto"/>
              <w:jc w:val="center"/>
              <w:rPr>
                <w:rFonts w:ascii="Arial" w:eastAsia="Times New Roman" w:hAnsi="Arial" w:cs="Arial"/>
              </w:rPr>
            </w:pPr>
            <w:r w:rsidRPr="000033A0">
              <w:rPr>
                <w:rFonts w:ascii="Arial" w:eastAsia="Times New Roman" w:hAnsi="Arial" w:cs="Arial"/>
                <w:color w:val="FFFFFF"/>
              </w:rPr>
              <w:t xml:space="preserve">By June 2021 we intend to reduce the stillbirth* rate by 30% in participating health services. </w:t>
            </w:r>
            <w:r w:rsidRPr="000033A0">
              <w:rPr>
                <w:rFonts w:ascii="Arial" w:eastAsia="Times New Roman" w:hAnsi="Arial" w:cs="Arial"/>
                <w:color w:val="FFFFFF"/>
              </w:rPr>
              <w:br/>
            </w:r>
            <w:r w:rsidRPr="000033A0">
              <w:rPr>
                <w:rFonts w:ascii="Arial" w:eastAsia="Times New Roman" w:hAnsi="Arial" w:cs="Arial"/>
                <w:color w:val="FFFFFF"/>
              </w:rPr>
              <w:br/>
            </w:r>
            <w:r w:rsidRPr="000033A0">
              <w:rPr>
                <w:rFonts w:ascii="Arial" w:eastAsia="Times New Roman" w:hAnsi="Arial" w:cs="Arial"/>
                <w:i/>
                <w:iCs/>
                <w:color w:val="FFFFFF"/>
              </w:rPr>
              <w:t>*Stillbirth is defined as birth without signs of life at 28 weeks or more, excluding terminations and lethal congenital or chromosomal abnormalities.</w:t>
            </w:r>
          </w:p>
        </w:tc>
        <w:tc>
          <w:tcPr>
            <w:tcW w:w="300" w:type="dxa"/>
            <w:tcBorders>
              <w:top w:val="nil"/>
              <w:left w:val="nil"/>
              <w:bottom w:val="nil"/>
              <w:right w:val="nil"/>
            </w:tcBorders>
            <w:shd w:val="clear" w:color="auto" w:fill="auto"/>
            <w:noWrap/>
            <w:vAlign w:val="center"/>
            <w:hideMark/>
          </w:tcPr>
          <w:p w14:paraId="2D3B9662" w14:textId="77777777" w:rsidR="000033A0" w:rsidRPr="000033A0" w:rsidRDefault="000033A0" w:rsidP="000033A0">
            <w:pPr>
              <w:spacing w:before="0" w:after="0" w:line="240" w:lineRule="auto"/>
              <w:jc w:val="center"/>
              <w:rPr>
                <w:rFonts w:ascii="Arial" w:eastAsia="Times New Roman" w:hAnsi="Arial" w:cs="Arial"/>
              </w:rPr>
            </w:pPr>
          </w:p>
        </w:tc>
        <w:tc>
          <w:tcPr>
            <w:tcW w:w="2393" w:type="dxa"/>
            <w:vMerge w:val="restart"/>
            <w:tcBorders>
              <w:top w:val="nil"/>
              <w:left w:val="nil"/>
              <w:bottom w:val="nil"/>
              <w:right w:val="nil"/>
            </w:tcBorders>
            <w:shd w:val="clear" w:color="auto" w:fill="FDE9D9"/>
            <w:vAlign w:val="center"/>
            <w:hideMark/>
          </w:tcPr>
          <w:p w14:paraId="6204F528" w14:textId="77777777" w:rsidR="000033A0" w:rsidRPr="000033A0" w:rsidRDefault="000033A0" w:rsidP="000033A0">
            <w:pPr>
              <w:spacing w:before="0" w:after="0" w:line="240" w:lineRule="auto"/>
              <w:jc w:val="center"/>
              <w:rPr>
                <w:rFonts w:ascii="Arial" w:eastAsia="Times New Roman" w:hAnsi="Arial" w:cs="Arial"/>
                <w:color w:val="000000"/>
              </w:rPr>
            </w:pPr>
            <w:r w:rsidRPr="000033A0">
              <w:rPr>
                <w:rFonts w:ascii="Arial" w:eastAsia="Times New Roman" w:hAnsi="Arial" w:cs="Arial"/>
                <w:color w:val="000000"/>
              </w:rPr>
              <w:t>Partnering with women</w:t>
            </w:r>
          </w:p>
        </w:tc>
        <w:tc>
          <w:tcPr>
            <w:tcW w:w="300" w:type="dxa"/>
            <w:tcBorders>
              <w:top w:val="nil"/>
              <w:left w:val="nil"/>
              <w:bottom w:val="nil"/>
              <w:right w:val="nil"/>
            </w:tcBorders>
            <w:shd w:val="clear" w:color="auto" w:fill="auto"/>
            <w:noWrap/>
            <w:vAlign w:val="center"/>
            <w:hideMark/>
          </w:tcPr>
          <w:p w14:paraId="733DEB46" w14:textId="77777777" w:rsidR="000033A0" w:rsidRPr="000033A0" w:rsidRDefault="000033A0" w:rsidP="000033A0">
            <w:pPr>
              <w:spacing w:before="0" w:after="0" w:line="240" w:lineRule="auto"/>
              <w:jc w:val="center"/>
              <w:rPr>
                <w:rFonts w:ascii="Arial" w:eastAsia="Times New Roman" w:hAnsi="Arial" w:cs="Arial"/>
                <w:color w:val="000000"/>
              </w:rPr>
            </w:pPr>
          </w:p>
        </w:tc>
        <w:tc>
          <w:tcPr>
            <w:tcW w:w="5687" w:type="dxa"/>
            <w:tcBorders>
              <w:top w:val="nil"/>
              <w:left w:val="nil"/>
              <w:bottom w:val="nil"/>
              <w:right w:val="nil"/>
            </w:tcBorders>
            <w:shd w:val="clear" w:color="auto" w:fill="FDE9D9"/>
            <w:vAlign w:val="center"/>
            <w:hideMark/>
          </w:tcPr>
          <w:p w14:paraId="2977E447" w14:textId="77777777" w:rsidR="000033A0" w:rsidRPr="000033A0" w:rsidRDefault="000033A0" w:rsidP="000033A0">
            <w:pPr>
              <w:spacing w:before="0" w:after="0" w:line="240" w:lineRule="auto"/>
              <w:rPr>
                <w:rFonts w:ascii="Arial" w:eastAsia="Times New Roman" w:hAnsi="Arial" w:cs="Arial"/>
              </w:rPr>
            </w:pPr>
            <w:r w:rsidRPr="000033A0">
              <w:rPr>
                <w:rFonts w:ascii="Arial" w:eastAsia="Times New Roman" w:hAnsi="Arial" w:cs="Arial"/>
              </w:rPr>
              <w:t>At booking</w:t>
            </w:r>
          </w:p>
        </w:tc>
        <w:tc>
          <w:tcPr>
            <w:tcW w:w="300" w:type="dxa"/>
            <w:tcBorders>
              <w:top w:val="nil"/>
              <w:left w:val="nil"/>
              <w:bottom w:val="nil"/>
              <w:right w:val="nil"/>
            </w:tcBorders>
            <w:shd w:val="clear" w:color="auto" w:fill="auto"/>
            <w:noWrap/>
            <w:vAlign w:val="center"/>
            <w:hideMark/>
          </w:tcPr>
          <w:p w14:paraId="777D3767"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FDE9D9"/>
            <w:vAlign w:val="center"/>
            <w:hideMark/>
          </w:tcPr>
          <w:p w14:paraId="19C372CA" w14:textId="77777777" w:rsidR="000033A0" w:rsidRPr="000033A0" w:rsidRDefault="000033A0" w:rsidP="000033A0">
            <w:pPr>
              <w:numPr>
                <w:ilvl w:val="0"/>
                <w:numId w:val="28"/>
              </w:numPr>
              <w:spacing w:before="0" w:after="0" w:line="276" w:lineRule="auto"/>
              <w:ind w:left="433"/>
              <w:contextualSpacing/>
              <w:rPr>
                <w:rFonts w:ascii="Arial" w:eastAsia="Times New Roman" w:hAnsi="Arial" w:cs="Arial"/>
              </w:rPr>
            </w:pPr>
            <w:r w:rsidRPr="000033A0">
              <w:rPr>
                <w:rFonts w:ascii="Arial" w:eastAsia="Times New Roman" w:hAnsi="Arial" w:cs="Arial"/>
              </w:rPr>
              <w:t>Discuss expected length of pregnancy with all women</w:t>
            </w:r>
          </w:p>
          <w:p w14:paraId="7A177955" w14:textId="77777777" w:rsidR="000033A0" w:rsidRPr="000033A0" w:rsidRDefault="000033A0" w:rsidP="000033A0">
            <w:pPr>
              <w:numPr>
                <w:ilvl w:val="0"/>
                <w:numId w:val="28"/>
              </w:numPr>
              <w:spacing w:before="0" w:after="0" w:line="276" w:lineRule="auto"/>
              <w:ind w:left="433"/>
              <w:contextualSpacing/>
              <w:rPr>
                <w:rFonts w:ascii="Arial" w:eastAsia="Times New Roman" w:hAnsi="Arial" w:cs="Arial"/>
              </w:rPr>
            </w:pPr>
            <w:r w:rsidRPr="000033A0">
              <w:rPr>
                <w:rFonts w:ascii="Arial" w:eastAsia="Times New Roman" w:hAnsi="Arial" w:cs="Arial"/>
              </w:rPr>
              <w:t>Include the consumer-designed poster and sticker, outlining 5 bundle elements, in all booking packs</w:t>
            </w:r>
          </w:p>
          <w:p w14:paraId="7196BCCB" w14:textId="77777777" w:rsidR="000033A0" w:rsidRPr="000033A0" w:rsidRDefault="000033A0" w:rsidP="000033A0">
            <w:pPr>
              <w:numPr>
                <w:ilvl w:val="0"/>
                <w:numId w:val="28"/>
              </w:numPr>
              <w:spacing w:before="0" w:after="0" w:line="276" w:lineRule="auto"/>
              <w:ind w:left="433"/>
              <w:contextualSpacing/>
              <w:rPr>
                <w:rFonts w:ascii="Arial" w:eastAsia="Times New Roman" w:hAnsi="Arial" w:cs="Arial"/>
              </w:rPr>
            </w:pPr>
            <w:r w:rsidRPr="000033A0">
              <w:rPr>
                <w:rFonts w:ascii="Arial" w:eastAsia="Times New Roman" w:hAnsi="Arial" w:cs="Arial"/>
              </w:rPr>
              <w:t>Include information about stillbirth risk factors (smoking, FGR, DFM, maternal sleep position)</w:t>
            </w:r>
          </w:p>
        </w:tc>
      </w:tr>
      <w:tr w:rsidR="000033A0" w:rsidRPr="000033A0" w14:paraId="05A77170" w14:textId="77777777" w:rsidTr="000033A0">
        <w:trPr>
          <w:trHeight w:val="113"/>
        </w:trPr>
        <w:tc>
          <w:tcPr>
            <w:tcW w:w="2694" w:type="dxa"/>
            <w:vMerge/>
            <w:tcBorders>
              <w:top w:val="nil"/>
              <w:left w:val="nil"/>
              <w:bottom w:val="nil"/>
              <w:right w:val="nil"/>
            </w:tcBorders>
            <w:shd w:val="clear" w:color="auto" w:fill="5F497A"/>
            <w:vAlign w:val="center"/>
            <w:hideMark/>
          </w:tcPr>
          <w:p w14:paraId="26A5C68C"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40BE9EA8"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top w:val="nil"/>
              <w:left w:val="nil"/>
              <w:bottom w:val="nil"/>
              <w:right w:val="nil"/>
            </w:tcBorders>
            <w:shd w:val="clear" w:color="auto" w:fill="FDE9D9"/>
            <w:vAlign w:val="center"/>
            <w:hideMark/>
          </w:tcPr>
          <w:p w14:paraId="6BD97CE7"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noWrap/>
            <w:vAlign w:val="center"/>
            <w:hideMark/>
          </w:tcPr>
          <w:p w14:paraId="11999D03" w14:textId="77777777" w:rsidR="000033A0" w:rsidRPr="000033A0" w:rsidRDefault="000033A0" w:rsidP="000033A0">
            <w:pPr>
              <w:spacing w:before="0" w:after="0" w:line="240" w:lineRule="auto"/>
              <w:jc w:val="center"/>
              <w:rPr>
                <w:rFonts w:ascii="Arial" w:eastAsia="Times New Roman" w:hAnsi="Arial" w:cs="Arial"/>
              </w:rPr>
            </w:pPr>
          </w:p>
        </w:tc>
        <w:tc>
          <w:tcPr>
            <w:tcW w:w="5687" w:type="dxa"/>
            <w:tcBorders>
              <w:top w:val="nil"/>
              <w:left w:val="nil"/>
              <w:bottom w:val="nil"/>
              <w:right w:val="nil"/>
            </w:tcBorders>
            <w:shd w:val="clear" w:color="auto" w:fill="auto"/>
            <w:vAlign w:val="center"/>
            <w:hideMark/>
          </w:tcPr>
          <w:p w14:paraId="4D292F91"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40129F59"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FFFFFF"/>
            <w:vAlign w:val="center"/>
            <w:hideMark/>
          </w:tcPr>
          <w:p w14:paraId="2577F2B9" w14:textId="77777777" w:rsidR="000033A0" w:rsidRPr="000033A0" w:rsidRDefault="000033A0" w:rsidP="000033A0">
            <w:pPr>
              <w:spacing w:before="0" w:after="0" w:line="240" w:lineRule="auto"/>
              <w:ind w:left="433"/>
              <w:contextualSpacing/>
              <w:rPr>
                <w:rFonts w:ascii="Arial" w:eastAsia="Times New Roman" w:hAnsi="Arial" w:cs="Arial"/>
              </w:rPr>
            </w:pPr>
          </w:p>
        </w:tc>
      </w:tr>
      <w:tr w:rsidR="000033A0" w:rsidRPr="000033A0" w14:paraId="2F0B8142" w14:textId="77777777" w:rsidTr="004150A1">
        <w:trPr>
          <w:trHeight w:val="2266"/>
        </w:trPr>
        <w:tc>
          <w:tcPr>
            <w:tcW w:w="2694" w:type="dxa"/>
            <w:vMerge/>
            <w:tcBorders>
              <w:top w:val="nil"/>
              <w:left w:val="nil"/>
              <w:bottom w:val="nil"/>
              <w:right w:val="nil"/>
            </w:tcBorders>
            <w:shd w:val="clear" w:color="auto" w:fill="5F497A"/>
            <w:vAlign w:val="center"/>
            <w:hideMark/>
          </w:tcPr>
          <w:p w14:paraId="03B77B15"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30F97A3F" w14:textId="77777777" w:rsidR="000033A0" w:rsidRPr="000033A0" w:rsidRDefault="000033A0" w:rsidP="000033A0">
            <w:pPr>
              <w:spacing w:before="0" w:after="0" w:line="240" w:lineRule="auto"/>
              <w:jc w:val="center"/>
              <w:rPr>
                <w:rFonts w:ascii="Arial" w:eastAsia="Times New Roman" w:hAnsi="Arial" w:cs="Arial"/>
              </w:rPr>
            </w:pPr>
          </w:p>
        </w:tc>
        <w:tc>
          <w:tcPr>
            <w:tcW w:w="2393" w:type="dxa"/>
            <w:vMerge/>
            <w:tcBorders>
              <w:top w:val="nil"/>
              <w:left w:val="nil"/>
              <w:bottom w:val="nil"/>
              <w:right w:val="nil"/>
            </w:tcBorders>
            <w:shd w:val="clear" w:color="auto" w:fill="FDE9D9"/>
            <w:vAlign w:val="center"/>
            <w:hideMark/>
          </w:tcPr>
          <w:p w14:paraId="6DD37D67"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noWrap/>
            <w:vAlign w:val="center"/>
            <w:hideMark/>
          </w:tcPr>
          <w:p w14:paraId="657ED34C" w14:textId="77777777" w:rsidR="000033A0" w:rsidRPr="000033A0" w:rsidRDefault="000033A0" w:rsidP="000033A0">
            <w:pPr>
              <w:spacing w:before="0" w:after="0" w:line="240" w:lineRule="auto"/>
              <w:jc w:val="center"/>
              <w:rPr>
                <w:rFonts w:ascii="Arial" w:eastAsia="Times New Roman" w:hAnsi="Arial" w:cs="Arial"/>
              </w:rPr>
            </w:pPr>
          </w:p>
        </w:tc>
        <w:tc>
          <w:tcPr>
            <w:tcW w:w="5687" w:type="dxa"/>
            <w:tcBorders>
              <w:top w:val="nil"/>
              <w:left w:val="nil"/>
              <w:bottom w:val="nil"/>
              <w:right w:val="nil"/>
            </w:tcBorders>
            <w:shd w:val="clear" w:color="auto" w:fill="FDE9D9"/>
            <w:vAlign w:val="center"/>
            <w:hideMark/>
          </w:tcPr>
          <w:p w14:paraId="4D7D069D" w14:textId="77777777" w:rsidR="000033A0" w:rsidRPr="000033A0" w:rsidRDefault="000033A0" w:rsidP="000033A0">
            <w:pPr>
              <w:spacing w:before="0" w:after="0" w:line="240" w:lineRule="auto"/>
              <w:rPr>
                <w:rFonts w:ascii="Arial" w:eastAsia="Times New Roman" w:hAnsi="Arial" w:cs="Arial"/>
              </w:rPr>
            </w:pPr>
            <w:r w:rsidRPr="000033A0">
              <w:rPr>
                <w:rFonts w:ascii="Arial" w:eastAsia="Times New Roman" w:hAnsi="Arial" w:cs="Arial"/>
              </w:rPr>
              <w:t>At pregnancy care appointments</w:t>
            </w:r>
          </w:p>
        </w:tc>
        <w:tc>
          <w:tcPr>
            <w:tcW w:w="300" w:type="dxa"/>
            <w:tcBorders>
              <w:top w:val="nil"/>
              <w:left w:val="nil"/>
              <w:bottom w:val="nil"/>
              <w:right w:val="nil"/>
            </w:tcBorders>
            <w:shd w:val="clear" w:color="auto" w:fill="auto"/>
            <w:noWrap/>
            <w:vAlign w:val="center"/>
            <w:hideMark/>
          </w:tcPr>
          <w:p w14:paraId="5073A67A"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FDE9D9"/>
            <w:vAlign w:val="center"/>
            <w:hideMark/>
          </w:tcPr>
          <w:p w14:paraId="7FC6704E"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Discuss stillbirth risk factors (smoking, FGR, DFM, maternal sleep position) at every visit</w:t>
            </w:r>
          </w:p>
          <w:p w14:paraId="0194B5DA" w14:textId="71F1B136" w:rsidR="000033A0" w:rsidRPr="004150A1" w:rsidRDefault="000033A0" w:rsidP="004150A1">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Share links to the Stillbirth CRE Safer Baby Bundle consumer site</w:t>
            </w:r>
          </w:p>
          <w:p w14:paraId="411114E2" w14:textId="77777777" w:rsidR="000033A0" w:rsidRPr="000033A0" w:rsidRDefault="000033A0" w:rsidP="004150A1">
            <w:pPr>
              <w:spacing w:before="80" w:after="80" w:line="240" w:lineRule="auto"/>
              <w:ind w:left="74"/>
              <w:rPr>
                <w:rFonts w:ascii="Arial" w:eastAsia="Times New Roman" w:hAnsi="Arial" w:cs="Arial"/>
                <w:b/>
                <w:bCs/>
                <w:i/>
                <w:iCs/>
              </w:rPr>
            </w:pPr>
            <w:r w:rsidRPr="000033A0">
              <w:rPr>
                <w:rFonts w:ascii="Arial" w:eastAsia="Times New Roman" w:hAnsi="Arial" w:cs="Arial"/>
                <w:b/>
                <w:bCs/>
                <w:i/>
                <w:iCs/>
              </w:rPr>
              <w:t xml:space="preserve">Bundle element 3: Management of decreased </w:t>
            </w:r>
            <w:proofErr w:type="spellStart"/>
            <w:r w:rsidRPr="000033A0">
              <w:rPr>
                <w:rFonts w:ascii="Arial" w:eastAsia="Times New Roman" w:hAnsi="Arial" w:cs="Arial"/>
                <w:b/>
                <w:bCs/>
                <w:i/>
                <w:iCs/>
              </w:rPr>
              <w:t>fetal</w:t>
            </w:r>
            <w:proofErr w:type="spellEnd"/>
            <w:r w:rsidRPr="000033A0">
              <w:rPr>
                <w:rFonts w:ascii="Arial" w:eastAsia="Times New Roman" w:hAnsi="Arial" w:cs="Arial"/>
                <w:b/>
                <w:bCs/>
                <w:i/>
                <w:iCs/>
              </w:rPr>
              <w:t xml:space="preserve"> movements</w:t>
            </w:r>
          </w:p>
          <w:p w14:paraId="0660E222" w14:textId="48EE0BEC" w:rsidR="000033A0" w:rsidRPr="004150A1" w:rsidRDefault="000033A0" w:rsidP="004150A1">
            <w:pPr>
              <w:numPr>
                <w:ilvl w:val="0"/>
                <w:numId w:val="30"/>
              </w:numPr>
              <w:spacing w:before="0" w:after="0" w:line="240" w:lineRule="auto"/>
              <w:contextualSpacing/>
              <w:rPr>
                <w:rFonts w:ascii="Arial" w:eastAsia="Times New Roman" w:hAnsi="Arial" w:cs="Arial"/>
              </w:rPr>
            </w:pPr>
            <w:r w:rsidRPr="000033A0">
              <w:rPr>
                <w:rFonts w:ascii="Arial" w:eastAsia="Times New Roman" w:hAnsi="Arial" w:cs="Arial"/>
              </w:rPr>
              <w:t>Share the ‘Movements matter’ resources with every woman</w:t>
            </w:r>
          </w:p>
          <w:p w14:paraId="4DCFE8F9" w14:textId="77777777" w:rsidR="000033A0" w:rsidRPr="000033A0" w:rsidRDefault="000033A0" w:rsidP="004150A1">
            <w:pPr>
              <w:spacing w:before="80" w:after="80" w:line="240" w:lineRule="auto"/>
              <w:ind w:left="74"/>
              <w:rPr>
                <w:rFonts w:ascii="Arial" w:eastAsia="Times New Roman" w:hAnsi="Arial" w:cs="Arial"/>
                <w:b/>
                <w:bCs/>
                <w:i/>
                <w:iCs/>
              </w:rPr>
            </w:pPr>
            <w:r w:rsidRPr="000033A0">
              <w:rPr>
                <w:rFonts w:ascii="Arial" w:eastAsia="Times New Roman" w:hAnsi="Arial" w:cs="Arial"/>
                <w:b/>
                <w:bCs/>
                <w:i/>
                <w:iCs/>
              </w:rPr>
              <w:t>Bundle element 4: Promoting optimal maternal sleep position</w:t>
            </w:r>
          </w:p>
          <w:p w14:paraId="3C298242" w14:textId="77777777" w:rsidR="000033A0" w:rsidRPr="000033A0" w:rsidRDefault="000033A0" w:rsidP="000033A0">
            <w:pPr>
              <w:numPr>
                <w:ilvl w:val="0"/>
                <w:numId w:val="29"/>
              </w:numPr>
              <w:spacing w:before="0" w:after="0" w:line="240" w:lineRule="auto"/>
              <w:contextualSpacing/>
              <w:rPr>
                <w:rFonts w:ascii="Arial" w:eastAsia="Times New Roman" w:hAnsi="Arial" w:cs="Arial"/>
              </w:rPr>
            </w:pPr>
            <w:r w:rsidRPr="000033A0">
              <w:rPr>
                <w:rFonts w:ascii="Arial" w:eastAsia="Times New Roman" w:hAnsi="Arial" w:cs="Arial"/>
              </w:rPr>
              <w:t>Share the ‘Sleep on side’ video and resources with every woman</w:t>
            </w:r>
          </w:p>
          <w:p w14:paraId="1F76E3BD" w14:textId="77777777" w:rsidR="000033A0" w:rsidRPr="000033A0" w:rsidRDefault="000033A0" w:rsidP="000033A0">
            <w:pPr>
              <w:numPr>
                <w:ilvl w:val="0"/>
                <w:numId w:val="29"/>
              </w:numPr>
              <w:spacing w:before="0" w:after="0" w:line="240" w:lineRule="auto"/>
              <w:contextualSpacing/>
              <w:rPr>
                <w:rFonts w:ascii="Arial" w:eastAsia="Times New Roman" w:hAnsi="Arial" w:cs="Arial"/>
              </w:rPr>
            </w:pPr>
            <w:r w:rsidRPr="000033A0">
              <w:rPr>
                <w:rFonts w:ascii="Arial" w:eastAsia="Times New Roman" w:hAnsi="Arial" w:cs="Arial"/>
              </w:rPr>
              <w:t>Ask every woman about sleep position, during pregnancy care appointments in the third trimester</w:t>
            </w:r>
          </w:p>
        </w:tc>
      </w:tr>
      <w:tr w:rsidR="000033A0" w:rsidRPr="000033A0" w14:paraId="369B35B0" w14:textId="77777777" w:rsidTr="000033A0">
        <w:trPr>
          <w:trHeight w:val="113"/>
        </w:trPr>
        <w:tc>
          <w:tcPr>
            <w:tcW w:w="2694" w:type="dxa"/>
            <w:vMerge/>
            <w:tcBorders>
              <w:top w:val="nil"/>
              <w:left w:val="nil"/>
              <w:bottom w:val="nil"/>
              <w:right w:val="nil"/>
            </w:tcBorders>
            <w:shd w:val="clear" w:color="auto" w:fill="5F497A"/>
            <w:vAlign w:val="center"/>
            <w:hideMark/>
          </w:tcPr>
          <w:p w14:paraId="676A9246"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7E7A6456" w14:textId="77777777" w:rsidR="000033A0" w:rsidRPr="000033A0" w:rsidRDefault="000033A0" w:rsidP="000033A0">
            <w:pPr>
              <w:spacing w:before="0" w:after="0" w:line="240" w:lineRule="auto"/>
              <w:jc w:val="center"/>
              <w:rPr>
                <w:rFonts w:ascii="Arial" w:eastAsia="Times New Roman" w:hAnsi="Arial" w:cs="Arial"/>
              </w:rPr>
            </w:pPr>
          </w:p>
        </w:tc>
        <w:tc>
          <w:tcPr>
            <w:tcW w:w="2393" w:type="dxa"/>
            <w:vMerge/>
            <w:tcBorders>
              <w:top w:val="nil"/>
              <w:left w:val="nil"/>
              <w:bottom w:val="nil"/>
              <w:right w:val="nil"/>
            </w:tcBorders>
            <w:shd w:val="clear" w:color="auto" w:fill="FDE9D9"/>
            <w:vAlign w:val="center"/>
            <w:hideMark/>
          </w:tcPr>
          <w:p w14:paraId="38684070"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noWrap/>
            <w:vAlign w:val="center"/>
            <w:hideMark/>
          </w:tcPr>
          <w:p w14:paraId="127CD2A5" w14:textId="77777777" w:rsidR="000033A0" w:rsidRPr="000033A0" w:rsidRDefault="000033A0" w:rsidP="000033A0">
            <w:pPr>
              <w:spacing w:before="0" w:after="0" w:line="240" w:lineRule="auto"/>
              <w:jc w:val="center"/>
              <w:rPr>
                <w:rFonts w:ascii="Arial" w:eastAsia="Times New Roman" w:hAnsi="Arial" w:cs="Arial"/>
              </w:rPr>
            </w:pPr>
          </w:p>
        </w:tc>
        <w:tc>
          <w:tcPr>
            <w:tcW w:w="5687" w:type="dxa"/>
            <w:tcBorders>
              <w:top w:val="nil"/>
              <w:left w:val="nil"/>
              <w:bottom w:val="nil"/>
              <w:right w:val="nil"/>
            </w:tcBorders>
            <w:shd w:val="clear" w:color="auto" w:fill="auto"/>
            <w:vAlign w:val="center"/>
            <w:hideMark/>
          </w:tcPr>
          <w:p w14:paraId="59A9C221"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FFFFFF"/>
            <w:noWrap/>
            <w:vAlign w:val="center"/>
            <w:hideMark/>
          </w:tcPr>
          <w:p w14:paraId="6089630C"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FFFFFF"/>
            <w:vAlign w:val="center"/>
            <w:hideMark/>
          </w:tcPr>
          <w:p w14:paraId="11A9B541" w14:textId="77777777" w:rsidR="000033A0" w:rsidRPr="000033A0" w:rsidRDefault="000033A0" w:rsidP="000033A0">
            <w:pPr>
              <w:spacing w:before="0" w:after="0" w:line="240" w:lineRule="auto"/>
              <w:ind w:left="433"/>
              <w:contextualSpacing/>
              <w:rPr>
                <w:rFonts w:ascii="Arial" w:eastAsia="Times New Roman" w:hAnsi="Arial" w:cs="Arial"/>
              </w:rPr>
            </w:pPr>
          </w:p>
        </w:tc>
      </w:tr>
      <w:tr w:rsidR="000033A0" w:rsidRPr="000033A0" w14:paraId="35657AB4" w14:textId="77777777" w:rsidTr="000033A0">
        <w:trPr>
          <w:trHeight w:val="737"/>
        </w:trPr>
        <w:tc>
          <w:tcPr>
            <w:tcW w:w="2694" w:type="dxa"/>
            <w:vMerge/>
            <w:tcBorders>
              <w:top w:val="nil"/>
              <w:left w:val="nil"/>
              <w:bottom w:val="nil"/>
              <w:right w:val="nil"/>
            </w:tcBorders>
            <w:shd w:val="clear" w:color="auto" w:fill="5F497A"/>
            <w:vAlign w:val="center"/>
            <w:hideMark/>
          </w:tcPr>
          <w:p w14:paraId="7B6767D1"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4906B6AF" w14:textId="77777777" w:rsidR="000033A0" w:rsidRPr="000033A0" w:rsidRDefault="000033A0" w:rsidP="000033A0">
            <w:pPr>
              <w:spacing w:before="0" w:after="0" w:line="240" w:lineRule="auto"/>
              <w:jc w:val="center"/>
              <w:rPr>
                <w:rFonts w:ascii="Arial" w:eastAsia="Times New Roman" w:hAnsi="Arial" w:cs="Arial"/>
              </w:rPr>
            </w:pPr>
          </w:p>
        </w:tc>
        <w:tc>
          <w:tcPr>
            <w:tcW w:w="2393" w:type="dxa"/>
            <w:vMerge/>
            <w:tcBorders>
              <w:top w:val="nil"/>
              <w:left w:val="nil"/>
              <w:bottom w:val="nil"/>
              <w:right w:val="nil"/>
            </w:tcBorders>
            <w:shd w:val="clear" w:color="auto" w:fill="FDE9D9"/>
            <w:vAlign w:val="center"/>
            <w:hideMark/>
          </w:tcPr>
          <w:p w14:paraId="219B37DC"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noWrap/>
            <w:vAlign w:val="center"/>
            <w:hideMark/>
          </w:tcPr>
          <w:p w14:paraId="5ABAB60E" w14:textId="77777777" w:rsidR="000033A0" w:rsidRPr="000033A0" w:rsidRDefault="000033A0" w:rsidP="000033A0">
            <w:pPr>
              <w:spacing w:before="0" w:after="0" w:line="240" w:lineRule="auto"/>
              <w:jc w:val="center"/>
              <w:rPr>
                <w:rFonts w:ascii="Arial" w:eastAsia="Times New Roman" w:hAnsi="Arial" w:cs="Arial"/>
              </w:rPr>
            </w:pPr>
          </w:p>
        </w:tc>
        <w:tc>
          <w:tcPr>
            <w:tcW w:w="5687" w:type="dxa"/>
            <w:vMerge w:val="restart"/>
            <w:tcBorders>
              <w:top w:val="nil"/>
              <w:left w:val="nil"/>
              <w:right w:val="nil"/>
            </w:tcBorders>
            <w:shd w:val="clear" w:color="auto" w:fill="FDE9D9"/>
            <w:vAlign w:val="center"/>
            <w:hideMark/>
          </w:tcPr>
          <w:p w14:paraId="47E72DB2" w14:textId="77777777" w:rsidR="000033A0" w:rsidRPr="000033A0" w:rsidRDefault="000033A0" w:rsidP="000033A0">
            <w:pPr>
              <w:spacing w:before="0" w:after="0" w:line="240" w:lineRule="auto"/>
              <w:rPr>
                <w:rFonts w:ascii="Arial" w:eastAsia="Times New Roman" w:hAnsi="Arial" w:cs="Arial"/>
              </w:rPr>
            </w:pPr>
            <w:r w:rsidRPr="000033A0">
              <w:rPr>
                <w:rFonts w:ascii="Arial" w:eastAsia="Times New Roman" w:hAnsi="Arial" w:cs="Arial"/>
              </w:rPr>
              <w:t>When planning for timing of birth</w:t>
            </w:r>
          </w:p>
        </w:tc>
        <w:tc>
          <w:tcPr>
            <w:tcW w:w="300" w:type="dxa"/>
            <w:tcBorders>
              <w:top w:val="nil"/>
              <w:left w:val="nil"/>
              <w:bottom w:val="nil"/>
              <w:right w:val="nil"/>
            </w:tcBorders>
            <w:shd w:val="clear" w:color="auto" w:fill="auto"/>
            <w:noWrap/>
            <w:vAlign w:val="center"/>
            <w:hideMark/>
          </w:tcPr>
          <w:p w14:paraId="0AD0F41D" w14:textId="77777777" w:rsidR="000033A0" w:rsidRPr="000033A0" w:rsidRDefault="000033A0" w:rsidP="000033A0">
            <w:pPr>
              <w:spacing w:before="0" w:after="0" w:line="240" w:lineRule="auto"/>
              <w:rPr>
                <w:rFonts w:ascii="Arial" w:eastAsia="Times New Roman" w:hAnsi="Arial" w:cs="Arial"/>
              </w:rPr>
            </w:pPr>
          </w:p>
        </w:tc>
        <w:tc>
          <w:tcPr>
            <w:tcW w:w="9764" w:type="dxa"/>
            <w:vMerge w:val="restart"/>
            <w:tcBorders>
              <w:top w:val="nil"/>
              <w:left w:val="nil"/>
              <w:right w:val="nil"/>
            </w:tcBorders>
            <w:shd w:val="clear" w:color="auto" w:fill="FDE9D9"/>
            <w:vAlign w:val="center"/>
            <w:hideMark/>
          </w:tcPr>
          <w:p w14:paraId="0D31A5F9" w14:textId="77777777" w:rsidR="000033A0" w:rsidRPr="000033A0" w:rsidRDefault="000033A0" w:rsidP="000033A0">
            <w:pPr>
              <w:spacing w:before="0" w:line="240" w:lineRule="auto"/>
              <w:rPr>
                <w:rFonts w:ascii="Arial" w:eastAsia="Times New Roman" w:hAnsi="Arial" w:cs="Arial"/>
                <w:b/>
                <w:bCs/>
                <w:i/>
                <w:iCs/>
              </w:rPr>
            </w:pPr>
            <w:r w:rsidRPr="000033A0">
              <w:rPr>
                <w:rFonts w:ascii="Arial" w:eastAsia="Times New Roman" w:hAnsi="Arial" w:cs="Arial"/>
                <w:b/>
                <w:bCs/>
                <w:i/>
                <w:iCs/>
              </w:rPr>
              <w:t>Bundle element 5: Shared decision-making around timing of birth</w:t>
            </w:r>
          </w:p>
          <w:p w14:paraId="44B90617"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Use shared decision-making tools to guide and document discussions</w:t>
            </w:r>
          </w:p>
          <w:p w14:paraId="092B88E2"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Share the ‘Every week counts’ resource with all women</w:t>
            </w:r>
          </w:p>
          <w:p w14:paraId="662F087C"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Screen for stillbirth risk at term</w:t>
            </w:r>
          </w:p>
        </w:tc>
      </w:tr>
      <w:tr w:rsidR="000033A0" w:rsidRPr="000033A0" w14:paraId="2508BEA5" w14:textId="77777777" w:rsidTr="000033A0">
        <w:trPr>
          <w:trHeight w:val="113"/>
        </w:trPr>
        <w:tc>
          <w:tcPr>
            <w:tcW w:w="2694" w:type="dxa"/>
            <w:vMerge/>
            <w:tcBorders>
              <w:top w:val="nil"/>
              <w:left w:val="nil"/>
              <w:bottom w:val="nil"/>
              <w:right w:val="nil"/>
            </w:tcBorders>
            <w:shd w:val="clear" w:color="auto" w:fill="5F497A"/>
            <w:vAlign w:val="center"/>
            <w:hideMark/>
          </w:tcPr>
          <w:p w14:paraId="11211652"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3D6213D7" w14:textId="77777777" w:rsidR="000033A0" w:rsidRPr="000033A0" w:rsidRDefault="000033A0" w:rsidP="000033A0">
            <w:pPr>
              <w:spacing w:before="0" w:after="0" w:line="240" w:lineRule="auto"/>
              <w:jc w:val="center"/>
              <w:rPr>
                <w:rFonts w:ascii="Arial" w:eastAsia="Times New Roman" w:hAnsi="Arial" w:cs="Arial"/>
              </w:rPr>
            </w:pPr>
          </w:p>
        </w:tc>
        <w:tc>
          <w:tcPr>
            <w:tcW w:w="2393" w:type="dxa"/>
            <w:vMerge/>
            <w:tcBorders>
              <w:top w:val="nil"/>
              <w:left w:val="nil"/>
              <w:bottom w:val="nil"/>
              <w:right w:val="nil"/>
            </w:tcBorders>
            <w:shd w:val="clear" w:color="auto" w:fill="FDE9D9"/>
            <w:vAlign w:val="center"/>
            <w:hideMark/>
          </w:tcPr>
          <w:p w14:paraId="76A006F4"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noWrap/>
            <w:vAlign w:val="center"/>
            <w:hideMark/>
          </w:tcPr>
          <w:p w14:paraId="7437B566" w14:textId="77777777" w:rsidR="000033A0" w:rsidRPr="000033A0" w:rsidRDefault="000033A0" w:rsidP="000033A0">
            <w:pPr>
              <w:spacing w:before="0" w:after="0" w:line="240" w:lineRule="auto"/>
              <w:jc w:val="center"/>
              <w:rPr>
                <w:rFonts w:ascii="Arial" w:eastAsia="Times New Roman" w:hAnsi="Arial" w:cs="Arial"/>
              </w:rPr>
            </w:pPr>
          </w:p>
        </w:tc>
        <w:tc>
          <w:tcPr>
            <w:tcW w:w="5687" w:type="dxa"/>
            <w:vMerge/>
            <w:tcBorders>
              <w:left w:val="nil"/>
              <w:right w:val="nil"/>
            </w:tcBorders>
            <w:shd w:val="clear" w:color="auto" w:fill="FDE9D9"/>
            <w:vAlign w:val="center"/>
            <w:hideMark/>
          </w:tcPr>
          <w:p w14:paraId="18370683"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12019E31" w14:textId="77777777" w:rsidR="000033A0" w:rsidRPr="000033A0" w:rsidRDefault="000033A0" w:rsidP="000033A0">
            <w:pPr>
              <w:spacing w:before="0" w:after="0" w:line="240" w:lineRule="auto"/>
              <w:rPr>
                <w:rFonts w:ascii="Arial" w:eastAsia="Times New Roman" w:hAnsi="Arial" w:cs="Arial"/>
              </w:rPr>
            </w:pPr>
          </w:p>
        </w:tc>
        <w:tc>
          <w:tcPr>
            <w:tcW w:w="9764" w:type="dxa"/>
            <w:vMerge/>
            <w:tcBorders>
              <w:left w:val="nil"/>
              <w:right w:val="nil"/>
            </w:tcBorders>
            <w:shd w:val="clear" w:color="auto" w:fill="FDE9D9"/>
            <w:vAlign w:val="center"/>
            <w:hideMark/>
          </w:tcPr>
          <w:p w14:paraId="631E8608"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p>
        </w:tc>
      </w:tr>
      <w:tr w:rsidR="000033A0" w:rsidRPr="000033A0" w14:paraId="19AB5C3D" w14:textId="77777777" w:rsidTr="004150A1">
        <w:trPr>
          <w:trHeight w:val="373"/>
        </w:trPr>
        <w:tc>
          <w:tcPr>
            <w:tcW w:w="2694" w:type="dxa"/>
            <w:vMerge/>
            <w:tcBorders>
              <w:top w:val="nil"/>
              <w:left w:val="nil"/>
              <w:bottom w:val="nil"/>
              <w:right w:val="nil"/>
            </w:tcBorders>
            <w:shd w:val="clear" w:color="auto" w:fill="5F497A"/>
            <w:vAlign w:val="center"/>
            <w:hideMark/>
          </w:tcPr>
          <w:p w14:paraId="5B867C55"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515CB227" w14:textId="77777777" w:rsidR="000033A0" w:rsidRPr="000033A0" w:rsidRDefault="000033A0" w:rsidP="000033A0">
            <w:pPr>
              <w:spacing w:before="0" w:after="0" w:line="240" w:lineRule="auto"/>
              <w:jc w:val="center"/>
              <w:rPr>
                <w:rFonts w:ascii="Arial" w:eastAsia="Times New Roman" w:hAnsi="Arial" w:cs="Arial"/>
              </w:rPr>
            </w:pPr>
          </w:p>
        </w:tc>
        <w:tc>
          <w:tcPr>
            <w:tcW w:w="2393" w:type="dxa"/>
            <w:vMerge/>
            <w:tcBorders>
              <w:top w:val="nil"/>
              <w:left w:val="nil"/>
              <w:bottom w:val="nil"/>
              <w:right w:val="nil"/>
            </w:tcBorders>
            <w:shd w:val="clear" w:color="auto" w:fill="FDE9D9"/>
            <w:vAlign w:val="center"/>
            <w:hideMark/>
          </w:tcPr>
          <w:p w14:paraId="6C2B63DF"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noWrap/>
            <w:vAlign w:val="center"/>
            <w:hideMark/>
          </w:tcPr>
          <w:p w14:paraId="57A35CD1" w14:textId="77777777" w:rsidR="000033A0" w:rsidRPr="000033A0" w:rsidRDefault="000033A0" w:rsidP="000033A0">
            <w:pPr>
              <w:spacing w:before="0" w:after="0" w:line="240" w:lineRule="auto"/>
              <w:jc w:val="center"/>
              <w:rPr>
                <w:rFonts w:ascii="Arial" w:eastAsia="Times New Roman" w:hAnsi="Arial" w:cs="Arial"/>
              </w:rPr>
            </w:pPr>
          </w:p>
        </w:tc>
        <w:tc>
          <w:tcPr>
            <w:tcW w:w="5687" w:type="dxa"/>
            <w:vMerge/>
            <w:tcBorders>
              <w:left w:val="nil"/>
              <w:right w:val="nil"/>
            </w:tcBorders>
            <w:shd w:val="clear" w:color="auto" w:fill="FDE9D9"/>
            <w:vAlign w:val="center"/>
          </w:tcPr>
          <w:p w14:paraId="312CB30A"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center"/>
            <w:hideMark/>
          </w:tcPr>
          <w:p w14:paraId="1ADD5CCE" w14:textId="77777777" w:rsidR="000033A0" w:rsidRPr="000033A0" w:rsidRDefault="000033A0" w:rsidP="000033A0">
            <w:pPr>
              <w:spacing w:before="0" w:after="0" w:line="240" w:lineRule="auto"/>
              <w:rPr>
                <w:rFonts w:ascii="Arial" w:eastAsia="Times New Roman" w:hAnsi="Arial" w:cs="Arial"/>
              </w:rPr>
            </w:pPr>
          </w:p>
        </w:tc>
        <w:tc>
          <w:tcPr>
            <w:tcW w:w="9764" w:type="dxa"/>
            <w:vMerge/>
            <w:tcBorders>
              <w:left w:val="nil"/>
              <w:bottom w:val="nil"/>
              <w:right w:val="nil"/>
            </w:tcBorders>
            <w:shd w:val="clear" w:color="auto" w:fill="FDE9D9"/>
            <w:vAlign w:val="center"/>
            <w:hideMark/>
          </w:tcPr>
          <w:p w14:paraId="393DF9F7"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p>
        </w:tc>
      </w:tr>
      <w:tr w:rsidR="000033A0" w:rsidRPr="000033A0" w14:paraId="50A78588" w14:textId="77777777" w:rsidTr="000033A0">
        <w:trPr>
          <w:trHeight w:val="170"/>
        </w:trPr>
        <w:tc>
          <w:tcPr>
            <w:tcW w:w="2694" w:type="dxa"/>
            <w:vMerge/>
            <w:tcBorders>
              <w:top w:val="nil"/>
              <w:left w:val="nil"/>
              <w:bottom w:val="nil"/>
              <w:right w:val="nil"/>
            </w:tcBorders>
            <w:shd w:val="clear" w:color="auto" w:fill="5F497A"/>
            <w:vAlign w:val="center"/>
            <w:hideMark/>
          </w:tcPr>
          <w:p w14:paraId="5DFE4C07"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7FB78766" w14:textId="77777777" w:rsidR="000033A0" w:rsidRPr="000033A0" w:rsidRDefault="000033A0" w:rsidP="000033A0">
            <w:pPr>
              <w:spacing w:before="0" w:after="0" w:line="240" w:lineRule="auto"/>
              <w:rPr>
                <w:rFonts w:ascii="Arial" w:eastAsia="Times New Roman" w:hAnsi="Arial" w:cs="Arial"/>
              </w:rPr>
            </w:pPr>
          </w:p>
        </w:tc>
        <w:tc>
          <w:tcPr>
            <w:tcW w:w="2393" w:type="dxa"/>
            <w:tcBorders>
              <w:top w:val="nil"/>
              <w:left w:val="nil"/>
              <w:bottom w:val="nil"/>
              <w:right w:val="nil"/>
            </w:tcBorders>
            <w:shd w:val="clear" w:color="auto" w:fill="auto"/>
            <w:vAlign w:val="bottom"/>
            <w:hideMark/>
          </w:tcPr>
          <w:p w14:paraId="3ED2529C"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25B7FC92" w14:textId="77777777" w:rsidR="000033A0" w:rsidRPr="000033A0" w:rsidRDefault="000033A0" w:rsidP="000033A0">
            <w:pPr>
              <w:spacing w:before="0" w:after="0" w:line="240" w:lineRule="auto"/>
              <w:rPr>
                <w:rFonts w:ascii="Arial" w:eastAsia="Times New Roman" w:hAnsi="Arial" w:cs="Arial"/>
              </w:rPr>
            </w:pPr>
          </w:p>
        </w:tc>
        <w:tc>
          <w:tcPr>
            <w:tcW w:w="5687" w:type="dxa"/>
            <w:tcBorders>
              <w:top w:val="nil"/>
              <w:left w:val="nil"/>
              <w:bottom w:val="nil"/>
              <w:right w:val="nil"/>
            </w:tcBorders>
            <w:shd w:val="clear" w:color="auto" w:fill="auto"/>
            <w:vAlign w:val="center"/>
            <w:hideMark/>
          </w:tcPr>
          <w:p w14:paraId="1E6134F9"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1239F652"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auto"/>
            <w:noWrap/>
            <w:vAlign w:val="center"/>
            <w:hideMark/>
          </w:tcPr>
          <w:p w14:paraId="54AB74AA" w14:textId="77777777" w:rsidR="000033A0" w:rsidRPr="000033A0" w:rsidRDefault="000033A0" w:rsidP="000033A0">
            <w:pPr>
              <w:spacing w:before="0" w:after="0" w:line="240" w:lineRule="auto"/>
              <w:ind w:left="433"/>
              <w:contextualSpacing/>
              <w:rPr>
                <w:rFonts w:ascii="Arial" w:eastAsia="Times New Roman" w:hAnsi="Arial" w:cs="Arial"/>
              </w:rPr>
            </w:pPr>
          </w:p>
        </w:tc>
      </w:tr>
      <w:tr w:rsidR="000033A0" w:rsidRPr="000033A0" w14:paraId="2DC7779F" w14:textId="77777777" w:rsidTr="004150A1">
        <w:trPr>
          <w:trHeight w:val="1432"/>
        </w:trPr>
        <w:tc>
          <w:tcPr>
            <w:tcW w:w="2694" w:type="dxa"/>
            <w:vMerge/>
            <w:tcBorders>
              <w:top w:val="nil"/>
              <w:left w:val="nil"/>
              <w:bottom w:val="nil"/>
              <w:right w:val="nil"/>
            </w:tcBorders>
            <w:shd w:val="clear" w:color="auto" w:fill="5F497A"/>
            <w:vAlign w:val="center"/>
          </w:tcPr>
          <w:p w14:paraId="45BAA233"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tcPr>
          <w:p w14:paraId="23ED58AB" w14:textId="77777777" w:rsidR="000033A0" w:rsidRPr="000033A0" w:rsidRDefault="000033A0" w:rsidP="000033A0">
            <w:pPr>
              <w:spacing w:before="0" w:after="0" w:line="240" w:lineRule="auto"/>
              <w:rPr>
                <w:rFonts w:ascii="Arial" w:eastAsia="Times New Roman" w:hAnsi="Arial" w:cs="Arial"/>
              </w:rPr>
            </w:pPr>
          </w:p>
        </w:tc>
        <w:tc>
          <w:tcPr>
            <w:tcW w:w="2393" w:type="dxa"/>
            <w:vMerge w:val="restart"/>
            <w:tcBorders>
              <w:top w:val="nil"/>
              <w:left w:val="nil"/>
              <w:right w:val="nil"/>
            </w:tcBorders>
            <w:shd w:val="clear" w:color="auto" w:fill="B6DDE8"/>
            <w:vAlign w:val="center"/>
          </w:tcPr>
          <w:p w14:paraId="636F5F4D" w14:textId="77777777" w:rsidR="000033A0" w:rsidRPr="000033A0" w:rsidRDefault="000033A0" w:rsidP="000033A0">
            <w:pPr>
              <w:spacing w:before="0" w:after="0" w:line="240" w:lineRule="auto"/>
              <w:jc w:val="center"/>
              <w:rPr>
                <w:rFonts w:ascii="Arial" w:eastAsia="Times New Roman" w:hAnsi="Arial" w:cs="Arial"/>
              </w:rPr>
            </w:pPr>
            <w:r w:rsidRPr="000033A0">
              <w:rPr>
                <w:rFonts w:ascii="Arial" w:eastAsia="Times New Roman" w:hAnsi="Arial" w:cs="Arial"/>
              </w:rPr>
              <w:t>Application of evidence-based clinical care</w:t>
            </w:r>
          </w:p>
        </w:tc>
        <w:tc>
          <w:tcPr>
            <w:tcW w:w="300" w:type="dxa"/>
            <w:tcBorders>
              <w:top w:val="nil"/>
              <w:left w:val="nil"/>
              <w:bottom w:val="nil"/>
              <w:right w:val="nil"/>
            </w:tcBorders>
            <w:shd w:val="clear" w:color="auto" w:fill="auto"/>
            <w:noWrap/>
            <w:vAlign w:val="bottom"/>
          </w:tcPr>
          <w:p w14:paraId="42A7FC3E" w14:textId="77777777" w:rsidR="000033A0" w:rsidRPr="000033A0" w:rsidRDefault="000033A0" w:rsidP="000033A0">
            <w:pPr>
              <w:spacing w:before="0" w:after="0" w:line="240" w:lineRule="auto"/>
              <w:jc w:val="center"/>
              <w:rPr>
                <w:rFonts w:ascii="Arial" w:eastAsia="Times New Roman" w:hAnsi="Arial" w:cs="Arial"/>
              </w:rPr>
            </w:pPr>
          </w:p>
        </w:tc>
        <w:tc>
          <w:tcPr>
            <w:tcW w:w="5687" w:type="dxa"/>
            <w:tcBorders>
              <w:top w:val="nil"/>
              <w:left w:val="nil"/>
              <w:bottom w:val="nil"/>
              <w:right w:val="nil"/>
            </w:tcBorders>
            <w:shd w:val="clear" w:color="auto" w:fill="B6DDE8"/>
            <w:vAlign w:val="center"/>
          </w:tcPr>
          <w:p w14:paraId="4184A63F" w14:textId="77777777" w:rsidR="000033A0" w:rsidRPr="000033A0" w:rsidRDefault="000033A0" w:rsidP="000033A0">
            <w:pPr>
              <w:spacing w:before="0" w:after="0" w:line="240" w:lineRule="auto"/>
              <w:rPr>
                <w:rFonts w:ascii="Arial" w:eastAsia="Times New Roman" w:hAnsi="Arial" w:cs="Arial"/>
                <w:lang w:val="en-US"/>
              </w:rPr>
            </w:pPr>
            <w:r w:rsidRPr="000033A0">
              <w:rPr>
                <w:rFonts w:ascii="Arial" w:eastAsia="Times New Roman" w:hAnsi="Arial" w:cs="Arial"/>
              </w:rPr>
              <w:t>Routine professional development</w:t>
            </w:r>
          </w:p>
        </w:tc>
        <w:tc>
          <w:tcPr>
            <w:tcW w:w="300" w:type="dxa"/>
            <w:tcBorders>
              <w:top w:val="nil"/>
              <w:left w:val="nil"/>
              <w:bottom w:val="nil"/>
              <w:right w:val="nil"/>
            </w:tcBorders>
            <w:shd w:val="clear" w:color="auto" w:fill="auto"/>
            <w:noWrap/>
            <w:vAlign w:val="bottom"/>
          </w:tcPr>
          <w:p w14:paraId="18EAA2EB"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B6DDE8"/>
            <w:vAlign w:val="center"/>
          </w:tcPr>
          <w:p w14:paraId="7C78D7A7"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Incorporate education and simulation training on the five clinical interventions</w:t>
            </w:r>
          </w:p>
          <w:p w14:paraId="42F60A0B"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bCs/>
                <w:color w:val="000000"/>
              </w:rPr>
              <w:t>Create training videos for the five clinical interventions</w:t>
            </w:r>
          </w:p>
          <w:p w14:paraId="73EC22E2"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 xml:space="preserve">Introduce daily SBC huddles in antenatal clinic, to gather feedback and share information </w:t>
            </w:r>
          </w:p>
          <w:p w14:paraId="45031E9A"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Incorporate teach-back skills</w:t>
            </w:r>
          </w:p>
          <w:p w14:paraId="23B9E65E"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Identify opportunities for in-the-moment teaching, reflection and clinical reasoning development</w:t>
            </w:r>
          </w:p>
        </w:tc>
      </w:tr>
      <w:tr w:rsidR="000033A0" w:rsidRPr="000033A0" w14:paraId="63EB2BCC" w14:textId="77777777" w:rsidTr="000033A0">
        <w:trPr>
          <w:trHeight w:val="57"/>
        </w:trPr>
        <w:tc>
          <w:tcPr>
            <w:tcW w:w="2694" w:type="dxa"/>
            <w:vMerge/>
            <w:tcBorders>
              <w:top w:val="nil"/>
              <w:left w:val="nil"/>
              <w:bottom w:val="nil"/>
              <w:right w:val="nil"/>
            </w:tcBorders>
            <w:shd w:val="clear" w:color="auto" w:fill="5F497A"/>
            <w:vAlign w:val="center"/>
          </w:tcPr>
          <w:p w14:paraId="5844CF93"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tcPr>
          <w:p w14:paraId="62DC18CF"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tcPr>
          <w:p w14:paraId="30B0B84F"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bottom"/>
          </w:tcPr>
          <w:p w14:paraId="069B72E3" w14:textId="77777777" w:rsidR="000033A0" w:rsidRPr="000033A0" w:rsidRDefault="000033A0" w:rsidP="000033A0">
            <w:pPr>
              <w:spacing w:before="0" w:after="0" w:line="240" w:lineRule="auto"/>
              <w:jc w:val="center"/>
              <w:rPr>
                <w:rFonts w:ascii="Arial" w:eastAsia="Times New Roman" w:hAnsi="Arial" w:cs="Arial"/>
              </w:rPr>
            </w:pPr>
          </w:p>
        </w:tc>
        <w:tc>
          <w:tcPr>
            <w:tcW w:w="5687" w:type="dxa"/>
            <w:tcBorders>
              <w:top w:val="nil"/>
              <w:left w:val="nil"/>
              <w:bottom w:val="nil"/>
              <w:right w:val="nil"/>
            </w:tcBorders>
            <w:shd w:val="clear" w:color="auto" w:fill="FFFFFF"/>
            <w:vAlign w:val="center"/>
          </w:tcPr>
          <w:p w14:paraId="14932D2F" w14:textId="77777777" w:rsidR="000033A0" w:rsidRPr="000033A0" w:rsidRDefault="000033A0" w:rsidP="000033A0">
            <w:pPr>
              <w:spacing w:before="0" w:after="0" w:line="240" w:lineRule="auto"/>
              <w:rPr>
                <w:rFonts w:ascii="Arial" w:eastAsia="Times New Roman" w:hAnsi="Arial" w:cs="Arial"/>
                <w:lang w:val="en-US"/>
              </w:rPr>
            </w:pPr>
          </w:p>
        </w:tc>
        <w:tc>
          <w:tcPr>
            <w:tcW w:w="300" w:type="dxa"/>
            <w:tcBorders>
              <w:top w:val="nil"/>
              <w:left w:val="nil"/>
              <w:bottom w:val="nil"/>
              <w:right w:val="nil"/>
            </w:tcBorders>
            <w:shd w:val="clear" w:color="auto" w:fill="FFFFFF"/>
            <w:noWrap/>
            <w:vAlign w:val="bottom"/>
          </w:tcPr>
          <w:p w14:paraId="6D3918D2"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FFFFFF"/>
            <w:vAlign w:val="center"/>
          </w:tcPr>
          <w:p w14:paraId="427A2BB2" w14:textId="77777777" w:rsidR="000033A0" w:rsidRPr="000033A0" w:rsidRDefault="000033A0" w:rsidP="000033A0">
            <w:pPr>
              <w:spacing w:before="0" w:after="0" w:line="240" w:lineRule="auto"/>
              <w:rPr>
                <w:rFonts w:ascii="Arial" w:eastAsia="Times New Roman" w:hAnsi="Arial" w:cs="Arial"/>
              </w:rPr>
            </w:pPr>
          </w:p>
        </w:tc>
      </w:tr>
      <w:tr w:rsidR="000033A0" w:rsidRPr="000033A0" w14:paraId="49E74FC5" w14:textId="77777777" w:rsidTr="004150A1">
        <w:trPr>
          <w:trHeight w:val="1497"/>
        </w:trPr>
        <w:tc>
          <w:tcPr>
            <w:tcW w:w="2694" w:type="dxa"/>
            <w:vMerge/>
            <w:tcBorders>
              <w:top w:val="nil"/>
              <w:left w:val="nil"/>
              <w:bottom w:val="nil"/>
              <w:right w:val="nil"/>
            </w:tcBorders>
            <w:shd w:val="clear" w:color="auto" w:fill="5F497A"/>
            <w:vAlign w:val="center"/>
            <w:hideMark/>
          </w:tcPr>
          <w:p w14:paraId="4FFC0CAC"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137EFAFA"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096F1028"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04CB7F04" w14:textId="77777777" w:rsidR="000033A0" w:rsidRPr="000033A0" w:rsidRDefault="000033A0" w:rsidP="000033A0">
            <w:pPr>
              <w:spacing w:before="0" w:after="0" w:line="240" w:lineRule="auto"/>
              <w:jc w:val="center"/>
              <w:rPr>
                <w:rFonts w:ascii="Arial" w:eastAsia="Times New Roman" w:hAnsi="Arial" w:cs="Arial"/>
              </w:rPr>
            </w:pPr>
          </w:p>
        </w:tc>
        <w:tc>
          <w:tcPr>
            <w:tcW w:w="5687" w:type="dxa"/>
            <w:vMerge w:val="restart"/>
            <w:tcBorders>
              <w:top w:val="nil"/>
              <w:left w:val="nil"/>
              <w:right w:val="nil"/>
            </w:tcBorders>
            <w:shd w:val="clear" w:color="auto" w:fill="B6DDE8"/>
            <w:vAlign w:val="center"/>
          </w:tcPr>
          <w:p w14:paraId="0DD45D93" w14:textId="77777777" w:rsidR="000033A0" w:rsidRPr="000033A0" w:rsidRDefault="000033A0" w:rsidP="000033A0">
            <w:pPr>
              <w:spacing w:before="0" w:after="0" w:line="240" w:lineRule="auto"/>
              <w:rPr>
                <w:rFonts w:ascii="Arial" w:eastAsia="Times New Roman" w:hAnsi="Arial" w:cs="Arial"/>
                <w:lang w:val="en-US"/>
              </w:rPr>
            </w:pPr>
            <w:r w:rsidRPr="000033A0">
              <w:rPr>
                <w:rFonts w:ascii="Arial" w:eastAsia="Times New Roman" w:hAnsi="Arial" w:cs="Arial"/>
                <w:lang w:val="en-US"/>
              </w:rPr>
              <w:t>Every episode of care</w:t>
            </w:r>
          </w:p>
        </w:tc>
        <w:tc>
          <w:tcPr>
            <w:tcW w:w="300" w:type="dxa"/>
            <w:tcBorders>
              <w:top w:val="nil"/>
              <w:left w:val="nil"/>
              <w:bottom w:val="nil"/>
              <w:right w:val="nil"/>
            </w:tcBorders>
            <w:shd w:val="clear" w:color="auto" w:fill="auto"/>
            <w:noWrap/>
            <w:vAlign w:val="bottom"/>
            <w:hideMark/>
          </w:tcPr>
          <w:p w14:paraId="27168ED2"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B6DDE8"/>
            <w:vAlign w:val="center"/>
            <w:hideMark/>
          </w:tcPr>
          <w:p w14:paraId="2771CD88" w14:textId="77777777" w:rsidR="000033A0" w:rsidRPr="000033A0" w:rsidRDefault="000033A0" w:rsidP="004150A1">
            <w:pPr>
              <w:spacing w:before="0" w:after="80" w:line="240" w:lineRule="auto"/>
              <w:rPr>
                <w:rFonts w:ascii="Arial" w:eastAsia="Times New Roman" w:hAnsi="Arial" w:cs="Arial"/>
                <w:b/>
                <w:bCs/>
                <w:i/>
                <w:iCs/>
              </w:rPr>
            </w:pPr>
            <w:r w:rsidRPr="000033A0">
              <w:rPr>
                <w:rFonts w:ascii="Arial" w:eastAsia="Times New Roman" w:hAnsi="Arial" w:cs="Arial"/>
                <w:b/>
                <w:bCs/>
                <w:i/>
                <w:iCs/>
                <w:lang w:val="en-US"/>
              </w:rPr>
              <w:t>Bundle element 1: Promoting smoking cessation</w:t>
            </w:r>
          </w:p>
          <w:p w14:paraId="53E69992"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Screen for smoking behaviours using the Ask, Advise, Help brief advice intervention</w:t>
            </w:r>
          </w:p>
          <w:p w14:paraId="509E5499"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Refer to Quit services</w:t>
            </w:r>
          </w:p>
          <w:p w14:paraId="65205443"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Include partners and other family members in screening and referral</w:t>
            </w:r>
          </w:p>
          <w:p w14:paraId="244D70A6"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Share information with GPs</w:t>
            </w:r>
          </w:p>
        </w:tc>
      </w:tr>
      <w:tr w:rsidR="000033A0" w:rsidRPr="000033A0" w14:paraId="0C44C4DD" w14:textId="77777777" w:rsidTr="000033A0">
        <w:trPr>
          <w:trHeight w:val="113"/>
        </w:trPr>
        <w:tc>
          <w:tcPr>
            <w:tcW w:w="2694" w:type="dxa"/>
            <w:vMerge/>
            <w:tcBorders>
              <w:top w:val="nil"/>
              <w:left w:val="nil"/>
              <w:bottom w:val="nil"/>
              <w:right w:val="nil"/>
            </w:tcBorders>
            <w:shd w:val="clear" w:color="auto" w:fill="5F497A"/>
            <w:vAlign w:val="center"/>
            <w:hideMark/>
          </w:tcPr>
          <w:p w14:paraId="49EC0CA3"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7FAD9B68"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422FEEF3"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43EEB805" w14:textId="77777777" w:rsidR="000033A0" w:rsidRPr="000033A0" w:rsidRDefault="000033A0" w:rsidP="000033A0">
            <w:pPr>
              <w:spacing w:before="0" w:after="0" w:line="240" w:lineRule="auto"/>
              <w:rPr>
                <w:rFonts w:ascii="Arial" w:eastAsia="Times New Roman" w:hAnsi="Arial" w:cs="Arial"/>
              </w:rPr>
            </w:pPr>
          </w:p>
        </w:tc>
        <w:tc>
          <w:tcPr>
            <w:tcW w:w="5687" w:type="dxa"/>
            <w:vMerge/>
            <w:tcBorders>
              <w:left w:val="nil"/>
              <w:right w:val="nil"/>
            </w:tcBorders>
            <w:shd w:val="clear" w:color="auto" w:fill="B6DDE8"/>
            <w:vAlign w:val="center"/>
            <w:hideMark/>
          </w:tcPr>
          <w:p w14:paraId="38166631"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4E5B3F7D"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auto"/>
            <w:vAlign w:val="center"/>
            <w:hideMark/>
          </w:tcPr>
          <w:p w14:paraId="1D9F8883" w14:textId="77777777" w:rsidR="000033A0" w:rsidRPr="000033A0" w:rsidRDefault="000033A0" w:rsidP="000033A0">
            <w:pPr>
              <w:spacing w:before="0" w:after="0" w:line="240" w:lineRule="auto"/>
              <w:ind w:left="433"/>
              <w:contextualSpacing/>
              <w:rPr>
                <w:rFonts w:ascii="Arial" w:eastAsia="Times New Roman" w:hAnsi="Arial" w:cs="Arial"/>
              </w:rPr>
            </w:pPr>
          </w:p>
        </w:tc>
      </w:tr>
      <w:tr w:rsidR="000033A0" w:rsidRPr="000033A0" w14:paraId="13638A61" w14:textId="77777777" w:rsidTr="004150A1">
        <w:trPr>
          <w:trHeight w:val="1195"/>
        </w:trPr>
        <w:tc>
          <w:tcPr>
            <w:tcW w:w="2694" w:type="dxa"/>
            <w:vMerge/>
            <w:tcBorders>
              <w:top w:val="nil"/>
              <w:left w:val="nil"/>
              <w:bottom w:val="nil"/>
              <w:right w:val="nil"/>
            </w:tcBorders>
            <w:shd w:val="clear" w:color="auto" w:fill="5F497A"/>
            <w:vAlign w:val="center"/>
            <w:hideMark/>
          </w:tcPr>
          <w:p w14:paraId="4540F966"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68AC90D9"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3F3DCA05"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407BFEF4" w14:textId="77777777" w:rsidR="000033A0" w:rsidRPr="000033A0" w:rsidRDefault="000033A0" w:rsidP="000033A0">
            <w:pPr>
              <w:spacing w:before="0" w:after="0" w:line="240" w:lineRule="auto"/>
              <w:rPr>
                <w:rFonts w:ascii="Arial" w:eastAsia="Times New Roman" w:hAnsi="Arial" w:cs="Arial"/>
              </w:rPr>
            </w:pPr>
          </w:p>
        </w:tc>
        <w:tc>
          <w:tcPr>
            <w:tcW w:w="5687" w:type="dxa"/>
            <w:vMerge/>
            <w:tcBorders>
              <w:left w:val="nil"/>
              <w:bottom w:val="nil"/>
              <w:right w:val="nil"/>
            </w:tcBorders>
            <w:shd w:val="clear" w:color="auto" w:fill="B6DDE8"/>
            <w:vAlign w:val="center"/>
            <w:hideMark/>
          </w:tcPr>
          <w:p w14:paraId="6FF0A803"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7E6A5EF7"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B6DDE8"/>
            <w:vAlign w:val="center"/>
            <w:hideMark/>
          </w:tcPr>
          <w:p w14:paraId="51CA2EE1" w14:textId="77777777" w:rsidR="000033A0" w:rsidRPr="000033A0" w:rsidRDefault="000033A0" w:rsidP="004150A1">
            <w:pPr>
              <w:spacing w:before="0" w:after="80" w:line="240" w:lineRule="auto"/>
              <w:rPr>
                <w:rFonts w:ascii="Arial" w:eastAsia="Times New Roman" w:hAnsi="Arial" w:cs="Arial"/>
                <w:b/>
                <w:bCs/>
                <w:i/>
                <w:iCs/>
              </w:rPr>
            </w:pPr>
            <w:r w:rsidRPr="000033A0">
              <w:rPr>
                <w:rFonts w:ascii="Arial" w:eastAsia="Times New Roman" w:hAnsi="Arial" w:cs="Arial"/>
                <w:b/>
                <w:bCs/>
                <w:i/>
                <w:iCs/>
                <w:lang w:val="en-US"/>
              </w:rPr>
              <w:t>Bundle element 2: Detection and management of fetal growth restriction (FGR)</w:t>
            </w:r>
          </w:p>
          <w:p w14:paraId="54753F09"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Screen all women for their risk of FGR</w:t>
            </w:r>
          </w:p>
          <w:p w14:paraId="3100192F"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Use a consistent technique for measuring symphyseal fundal height (SFH)</w:t>
            </w:r>
          </w:p>
          <w:p w14:paraId="6BD2DC8A"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 xml:space="preserve">Plot symphyseal fundal height (SFH) and estimated </w:t>
            </w:r>
            <w:proofErr w:type="spellStart"/>
            <w:r w:rsidRPr="000033A0">
              <w:rPr>
                <w:rFonts w:ascii="Arial" w:eastAsia="Times New Roman" w:hAnsi="Arial" w:cs="Arial"/>
              </w:rPr>
              <w:t>fetal</w:t>
            </w:r>
            <w:proofErr w:type="spellEnd"/>
            <w:r w:rsidRPr="000033A0">
              <w:rPr>
                <w:rFonts w:ascii="Arial" w:eastAsia="Times New Roman" w:hAnsi="Arial" w:cs="Arial"/>
              </w:rPr>
              <w:t xml:space="preserve"> weight (EFW) on growth charts</w:t>
            </w:r>
          </w:p>
        </w:tc>
      </w:tr>
      <w:tr w:rsidR="000033A0" w:rsidRPr="000033A0" w14:paraId="1D6E113C" w14:textId="77777777" w:rsidTr="000033A0">
        <w:trPr>
          <w:trHeight w:val="113"/>
        </w:trPr>
        <w:tc>
          <w:tcPr>
            <w:tcW w:w="2694" w:type="dxa"/>
            <w:vMerge/>
            <w:tcBorders>
              <w:top w:val="nil"/>
              <w:left w:val="nil"/>
              <w:bottom w:val="nil"/>
              <w:right w:val="nil"/>
            </w:tcBorders>
            <w:shd w:val="clear" w:color="auto" w:fill="5F497A"/>
            <w:vAlign w:val="center"/>
            <w:hideMark/>
          </w:tcPr>
          <w:p w14:paraId="6CC0629C"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2B93DD6E"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62A28805"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10491776" w14:textId="77777777" w:rsidR="000033A0" w:rsidRPr="000033A0" w:rsidRDefault="000033A0" w:rsidP="000033A0">
            <w:pPr>
              <w:spacing w:before="0" w:after="0" w:line="240" w:lineRule="auto"/>
              <w:rPr>
                <w:rFonts w:ascii="Arial" w:eastAsia="Times New Roman" w:hAnsi="Arial" w:cs="Arial"/>
              </w:rPr>
            </w:pPr>
          </w:p>
        </w:tc>
        <w:tc>
          <w:tcPr>
            <w:tcW w:w="5687" w:type="dxa"/>
            <w:tcBorders>
              <w:top w:val="nil"/>
              <w:left w:val="nil"/>
              <w:bottom w:val="nil"/>
              <w:right w:val="nil"/>
            </w:tcBorders>
            <w:shd w:val="clear" w:color="auto" w:fill="auto"/>
            <w:vAlign w:val="center"/>
            <w:hideMark/>
          </w:tcPr>
          <w:p w14:paraId="5F15D611"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63C23FF6" w14:textId="77777777" w:rsidR="000033A0" w:rsidRPr="000033A0" w:rsidRDefault="000033A0" w:rsidP="000033A0">
            <w:pPr>
              <w:spacing w:before="0" w:after="0" w:line="240" w:lineRule="auto"/>
              <w:rPr>
                <w:rFonts w:ascii="Arial" w:eastAsia="Times New Roman" w:hAnsi="Arial" w:cs="Arial"/>
              </w:rPr>
            </w:pPr>
          </w:p>
        </w:tc>
        <w:tc>
          <w:tcPr>
            <w:tcW w:w="9764" w:type="dxa"/>
            <w:tcBorders>
              <w:top w:val="nil"/>
              <w:left w:val="nil"/>
              <w:bottom w:val="nil"/>
              <w:right w:val="nil"/>
            </w:tcBorders>
            <w:shd w:val="clear" w:color="auto" w:fill="auto"/>
            <w:vAlign w:val="center"/>
            <w:hideMark/>
          </w:tcPr>
          <w:p w14:paraId="2E1CAEE3" w14:textId="77777777" w:rsidR="000033A0" w:rsidRPr="000033A0" w:rsidRDefault="000033A0" w:rsidP="000033A0">
            <w:pPr>
              <w:spacing w:before="0" w:after="0" w:line="240" w:lineRule="auto"/>
              <w:rPr>
                <w:rFonts w:ascii="Arial" w:eastAsia="Times New Roman" w:hAnsi="Arial" w:cs="Arial"/>
              </w:rPr>
            </w:pPr>
          </w:p>
        </w:tc>
      </w:tr>
      <w:tr w:rsidR="000033A0" w:rsidRPr="000033A0" w14:paraId="636CD19E" w14:textId="77777777" w:rsidTr="00D90303">
        <w:trPr>
          <w:trHeight w:val="794"/>
        </w:trPr>
        <w:tc>
          <w:tcPr>
            <w:tcW w:w="2694" w:type="dxa"/>
            <w:vMerge/>
            <w:tcBorders>
              <w:top w:val="nil"/>
              <w:left w:val="nil"/>
              <w:bottom w:val="nil"/>
              <w:right w:val="nil"/>
            </w:tcBorders>
            <w:shd w:val="clear" w:color="auto" w:fill="5F497A"/>
            <w:vAlign w:val="center"/>
            <w:hideMark/>
          </w:tcPr>
          <w:p w14:paraId="2297EB50"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392B1E99"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4641B8CF"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625BC63F" w14:textId="77777777" w:rsidR="000033A0" w:rsidRPr="000033A0" w:rsidRDefault="000033A0" w:rsidP="000033A0">
            <w:pPr>
              <w:spacing w:before="0" w:after="0" w:line="240" w:lineRule="auto"/>
              <w:rPr>
                <w:rFonts w:ascii="Arial" w:eastAsia="Times New Roman" w:hAnsi="Arial" w:cs="Arial"/>
              </w:rPr>
            </w:pPr>
          </w:p>
        </w:tc>
        <w:tc>
          <w:tcPr>
            <w:tcW w:w="5687" w:type="dxa"/>
            <w:vMerge w:val="restart"/>
            <w:tcBorders>
              <w:top w:val="nil"/>
              <w:left w:val="nil"/>
              <w:right w:val="nil"/>
            </w:tcBorders>
            <w:shd w:val="clear" w:color="auto" w:fill="B6DDE8"/>
            <w:vAlign w:val="center"/>
            <w:hideMark/>
          </w:tcPr>
          <w:p w14:paraId="75D1520C" w14:textId="77777777" w:rsidR="000033A0" w:rsidRPr="000033A0" w:rsidRDefault="000033A0" w:rsidP="000033A0">
            <w:pPr>
              <w:spacing w:before="0" w:after="0" w:line="240" w:lineRule="auto"/>
              <w:rPr>
                <w:rFonts w:ascii="Arial" w:eastAsia="Times New Roman" w:hAnsi="Arial" w:cs="Arial"/>
              </w:rPr>
            </w:pPr>
            <w:r w:rsidRPr="000033A0">
              <w:rPr>
                <w:rFonts w:ascii="Arial" w:eastAsia="Times New Roman" w:hAnsi="Arial" w:cs="Arial"/>
              </w:rPr>
              <w:t>When reported</w:t>
            </w:r>
          </w:p>
        </w:tc>
        <w:tc>
          <w:tcPr>
            <w:tcW w:w="300" w:type="dxa"/>
            <w:tcBorders>
              <w:top w:val="nil"/>
              <w:left w:val="nil"/>
              <w:bottom w:val="nil"/>
              <w:right w:val="nil"/>
            </w:tcBorders>
            <w:shd w:val="clear" w:color="auto" w:fill="auto"/>
            <w:noWrap/>
            <w:vAlign w:val="bottom"/>
            <w:hideMark/>
          </w:tcPr>
          <w:p w14:paraId="7A459D87" w14:textId="77777777" w:rsidR="000033A0" w:rsidRPr="000033A0" w:rsidRDefault="000033A0" w:rsidP="000033A0">
            <w:pPr>
              <w:spacing w:before="0" w:after="0" w:line="240" w:lineRule="auto"/>
              <w:rPr>
                <w:rFonts w:ascii="Arial" w:eastAsia="Times New Roman" w:hAnsi="Arial" w:cs="Arial"/>
              </w:rPr>
            </w:pPr>
          </w:p>
        </w:tc>
        <w:tc>
          <w:tcPr>
            <w:tcW w:w="9764" w:type="dxa"/>
            <w:vMerge w:val="restart"/>
            <w:tcBorders>
              <w:top w:val="nil"/>
              <w:left w:val="nil"/>
              <w:right w:val="nil"/>
            </w:tcBorders>
            <w:shd w:val="clear" w:color="auto" w:fill="B6DDE8"/>
            <w:vAlign w:val="center"/>
            <w:hideMark/>
          </w:tcPr>
          <w:p w14:paraId="5BB937F5" w14:textId="77777777" w:rsidR="000033A0" w:rsidRPr="000033A0" w:rsidRDefault="000033A0" w:rsidP="004150A1">
            <w:pPr>
              <w:spacing w:before="0" w:after="80" w:line="240" w:lineRule="auto"/>
              <w:rPr>
                <w:rFonts w:ascii="Arial" w:eastAsia="Times New Roman" w:hAnsi="Arial" w:cs="Arial"/>
                <w:b/>
                <w:bCs/>
                <w:i/>
                <w:iCs/>
              </w:rPr>
            </w:pPr>
            <w:r w:rsidRPr="000033A0">
              <w:rPr>
                <w:rFonts w:ascii="Arial" w:eastAsia="Times New Roman" w:hAnsi="Arial" w:cs="Arial"/>
                <w:b/>
                <w:bCs/>
                <w:i/>
                <w:iCs/>
              </w:rPr>
              <w:t xml:space="preserve">Bundle element 3: Management of decreased </w:t>
            </w:r>
            <w:proofErr w:type="spellStart"/>
            <w:r w:rsidRPr="000033A0">
              <w:rPr>
                <w:rFonts w:ascii="Arial" w:eastAsia="Times New Roman" w:hAnsi="Arial" w:cs="Arial"/>
                <w:b/>
                <w:bCs/>
                <w:i/>
                <w:iCs/>
              </w:rPr>
              <w:t>fetal</w:t>
            </w:r>
            <w:proofErr w:type="spellEnd"/>
            <w:r w:rsidRPr="000033A0">
              <w:rPr>
                <w:rFonts w:ascii="Arial" w:eastAsia="Times New Roman" w:hAnsi="Arial" w:cs="Arial"/>
                <w:b/>
                <w:bCs/>
                <w:i/>
                <w:iCs/>
              </w:rPr>
              <w:t xml:space="preserve"> movements</w:t>
            </w:r>
          </w:p>
          <w:p w14:paraId="6BA48BD7"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Assess all women who report DFM as soon as possible</w:t>
            </w:r>
          </w:p>
          <w:p w14:paraId="2295AF25" w14:textId="77777777" w:rsidR="000033A0" w:rsidRPr="000033A0" w:rsidRDefault="000033A0" w:rsidP="000033A0">
            <w:pPr>
              <w:numPr>
                <w:ilvl w:val="0"/>
                <w:numId w:val="28"/>
              </w:numPr>
              <w:spacing w:before="0" w:after="0" w:line="240" w:lineRule="auto"/>
              <w:ind w:left="433"/>
              <w:contextualSpacing/>
              <w:rPr>
                <w:rFonts w:ascii="Arial" w:eastAsia="Times New Roman" w:hAnsi="Arial" w:cs="Arial"/>
              </w:rPr>
            </w:pPr>
            <w:r w:rsidRPr="000033A0">
              <w:rPr>
                <w:rFonts w:ascii="Arial" w:eastAsia="Times New Roman" w:hAnsi="Arial" w:cs="Arial"/>
              </w:rPr>
              <w:t>Ask every woman how long has passed since she first perceived DFM</w:t>
            </w:r>
          </w:p>
        </w:tc>
      </w:tr>
      <w:tr w:rsidR="000033A0" w:rsidRPr="000033A0" w14:paraId="54D87A06" w14:textId="77777777" w:rsidTr="000033A0">
        <w:trPr>
          <w:trHeight w:val="113"/>
        </w:trPr>
        <w:tc>
          <w:tcPr>
            <w:tcW w:w="2694" w:type="dxa"/>
            <w:vMerge/>
            <w:tcBorders>
              <w:top w:val="nil"/>
              <w:left w:val="nil"/>
              <w:bottom w:val="nil"/>
              <w:right w:val="nil"/>
            </w:tcBorders>
            <w:shd w:val="clear" w:color="auto" w:fill="5F497A"/>
            <w:vAlign w:val="center"/>
            <w:hideMark/>
          </w:tcPr>
          <w:p w14:paraId="60B2768F"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397B35D3"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46CCAC61"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34FDDF14" w14:textId="77777777" w:rsidR="000033A0" w:rsidRPr="000033A0" w:rsidRDefault="000033A0" w:rsidP="000033A0">
            <w:pPr>
              <w:spacing w:before="0" w:after="0" w:line="240" w:lineRule="auto"/>
              <w:rPr>
                <w:rFonts w:ascii="Arial" w:eastAsia="Times New Roman" w:hAnsi="Arial" w:cs="Arial"/>
              </w:rPr>
            </w:pPr>
          </w:p>
        </w:tc>
        <w:tc>
          <w:tcPr>
            <w:tcW w:w="5687" w:type="dxa"/>
            <w:vMerge/>
            <w:tcBorders>
              <w:left w:val="nil"/>
              <w:right w:val="nil"/>
            </w:tcBorders>
            <w:shd w:val="clear" w:color="auto" w:fill="B6DDE8"/>
            <w:vAlign w:val="center"/>
            <w:hideMark/>
          </w:tcPr>
          <w:p w14:paraId="0A63D3F1"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32C67794" w14:textId="77777777" w:rsidR="000033A0" w:rsidRPr="000033A0" w:rsidRDefault="000033A0" w:rsidP="000033A0">
            <w:pPr>
              <w:spacing w:before="0" w:after="0" w:line="240" w:lineRule="auto"/>
              <w:rPr>
                <w:rFonts w:ascii="Arial" w:eastAsia="Times New Roman" w:hAnsi="Arial" w:cs="Arial"/>
              </w:rPr>
            </w:pPr>
          </w:p>
        </w:tc>
        <w:tc>
          <w:tcPr>
            <w:tcW w:w="9764" w:type="dxa"/>
            <w:vMerge/>
            <w:tcBorders>
              <w:left w:val="nil"/>
              <w:right w:val="nil"/>
            </w:tcBorders>
            <w:shd w:val="clear" w:color="auto" w:fill="B6DDE8"/>
            <w:noWrap/>
            <w:vAlign w:val="center"/>
            <w:hideMark/>
          </w:tcPr>
          <w:p w14:paraId="02E636FF" w14:textId="77777777" w:rsidR="000033A0" w:rsidRPr="000033A0" w:rsidRDefault="000033A0" w:rsidP="000033A0">
            <w:pPr>
              <w:spacing w:before="0" w:after="0" w:line="240" w:lineRule="auto"/>
              <w:ind w:left="433"/>
              <w:contextualSpacing/>
              <w:rPr>
                <w:rFonts w:ascii="Arial" w:eastAsia="Times New Roman" w:hAnsi="Arial" w:cs="Arial"/>
              </w:rPr>
            </w:pPr>
          </w:p>
        </w:tc>
      </w:tr>
      <w:tr w:rsidR="000033A0" w:rsidRPr="000033A0" w14:paraId="0E705B76" w14:textId="77777777" w:rsidTr="000033A0">
        <w:trPr>
          <w:trHeight w:val="113"/>
        </w:trPr>
        <w:tc>
          <w:tcPr>
            <w:tcW w:w="2694" w:type="dxa"/>
            <w:vMerge/>
            <w:tcBorders>
              <w:top w:val="nil"/>
              <w:left w:val="nil"/>
              <w:bottom w:val="nil"/>
              <w:right w:val="nil"/>
            </w:tcBorders>
            <w:shd w:val="clear" w:color="auto" w:fill="5F497A"/>
            <w:vAlign w:val="center"/>
            <w:hideMark/>
          </w:tcPr>
          <w:p w14:paraId="0FCE2A87"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73422833"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4C0D1E58"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2E51EC83" w14:textId="77777777" w:rsidR="000033A0" w:rsidRPr="000033A0" w:rsidRDefault="000033A0" w:rsidP="000033A0">
            <w:pPr>
              <w:spacing w:before="0" w:after="0" w:line="240" w:lineRule="auto"/>
              <w:rPr>
                <w:rFonts w:ascii="Arial" w:eastAsia="Times New Roman" w:hAnsi="Arial" w:cs="Arial"/>
              </w:rPr>
            </w:pPr>
          </w:p>
        </w:tc>
        <w:tc>
          <w:tcPr>
            <w:tcW w:w="5687" w:type="dxa"/>
            <w:vMerge/>
            <w:tcBorders>
              <w:left w:val="nil"/>
              <w:right w:val="nil"/>
            </w:tcBorders>
            <w:shd w:val="clear" w:color="auto" w:fill="B6DDE8"/>
            <w:vAlign w:val="center"/>
            <w:hideMark/>
          </w:tcPr>
          <w:p w14:paraId="17EB2F90"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348C7637" w14:textId="77777777" w:rsidR="000033A0" w:rsidRPr="000033A0" w:rsidRDefault="000033A0" w:rsidP="000033A0">
            <w:pPr>
              <w:spacing w:before="0" w:after="0" w:line="240" w:lineRule="auto"/>
              <w:rPr>
                <w:rFonts w:ascii="Arial" w:eastAsia="Times New Roman" w:hAnsi="Arial" w:cs="Arial"/>
              </w:rPr>
            </w:pPr>
          </w:p>
        </w:tc>
        <w:tc>
          <w:tcPr>
            <w:tcW w:w="9764" w:type="dxa"/>
            <w:vMerge/>
            <w:tcBorders>
              <w:left w:val="nil"/>
              <w:right w:val="nil"/>
            </w:tcBorders>
            <w:shd w:val="clear" w:color="auto" w:fill="B6DDE8"/>
            <w:noWrap/>
            <w:vAlign w:val="center"/>
            <w:hideMark/>
          </w:tcPr>
          <w:p w14:paraId="0B9FD9BA" w14:textId="77777777" w:rsidR="000033A0" w:rsidRPr="000033A0" w:rsidRDefault="000033A0" w:rsidP="000033A0">
            <w:pPr>
              <w:spacing w:before="0" w:after="0" w:line="240" w:lineRule="auto"/>
              <w:ind w:left="433"/>
              <w:contextualSpacing/>
              <w:rPr>
                <w:rFonts w:ascii="Arial" w:eastAsia="Times New Roman" w:hAnsi="Arial" w:cs="Arial"/>
              </w:rPr>
            </w:pPr>
          </w:p>
        </w:tc>
      </w:tr>
      <w:tr w:rsidR="000033A0" w:rsidRPr="000033A0" w14:paraId="5A4859B7" w14:textId="77777777" w:rsidTr="004150A1">
        <w:trPr>
          <w:trHeight w:val="119"/>
        </w:trPr>
        <w:tc>
          <w:tcPr>
            <w:tcW w:w="2694" w:type="dxa"/>
            <w:vMerge/>
            <w:tcBorders>
              <w:top w:val="nil"/>
              <w:left w:val="nil"/>
              <w:bottom w:val="nil"/>
              <w:right w:val="nil"/>
            </w:tcBorders>
            <w:shd w:val="clear" w:color="auto" w:fill="5F497A"/>
            <w:vAlign w:val="center"/>
            <w:hideMark/>
          </w:tcPr>
          <w:p w14:paraId="07717BC3" w14:textId="77777777" w:rsidR="000033A0" w:rsidRPr="000033A0" w:rsidRDefault="000033A0" w:rsidP="000033A0">
            <w:pPr>
              <w:spacing w:before="0" w:after="0" w:line="240" w:lineRule="auto"/>
              <w:rPr>
                <w:rFonts w:ascii="Arial" w:eastAsia="Times New Roman" w:hAnsi="Arial" w:cs="Arial"/>
              </w:rPr>
            </w:pPr>
          </w:p>
        </w:tc>
        <w:tc>
          <w:tcPr>
            <w:tcW w:w="300" w:type="dxa"/>
            <w:tcBorders>
              <w:top w:val="nil"/>
              <w:left w:val="nil"/>
              <w:bottom w:val="nil"/>
              <w:right w:val="nil"/>
            </w:tcBorders>
            <w:shd w:val="clear" w:color="auto" w:fill="auto"/>
            <w:vAlign w:val="center"/>
            <w:hideMark/>
          </w:tcPr>
          <w:p w14:paraId="27A59CAB" w14:textId="77777777" w:rsidR="000033A0" w:rsidRPr="000033A0" w:rsidRDefault="000033A0" w:rsidP="000033A0">
            <w:pPr>
              <w:spacing w:before="0" w:after="0" w:line="240" w:lineRule="auto"/>
              <w:rPr>
                <w:rFonts w:ascii="Arial" w:eastAsia="Times New Roman" w:hAnsi="Arial" w:cs="Arial"/>
              </w:rPr>
            </w:pPr>
          </w:p>
        </w:tc>
        <w:tc>
          <w:tcPr>
            <w:tcW w:w="2393" w:type="dxa"/>
            <w:vMerge/>
            <w:tcBorders>
              <w:left w:val="nil"/>
              <w:right w:val="nil"/>
            </w:tcBorders>
            <w:shd w:val="clear" w:color="auto" w:fill="B6DDE8"/>
            <w:vAlign w:val="center"/>
            <w:hideMark/>
          </w:tcPr>
          <w:p w14:paraId="177801C6" w14:textId="77777777" w:rsidR="000033A0" w:rsidRPr="000033A0" w:rsidRDefault="000033A0" w:rsidP="000033A0">
            <w:pPr>
              <w:spacing w:before="0" w:after="0" w:line="240" w:lineRule="auto"/>
              <w:rPr>
                <w:rFonts w:ascii="Arial" w:eastAsia="Times New Roman" w:hAnsi="Arial" w:cs="Arial"/>
                <w:color w:val="000000"/>
              </w:rPr>
            </w:pPr>
          </w:p>
        </w:tc>
        <w:tc>
          <w:tcPr>
            <w:tcW w:w="300" w:type="dxa"/>
            <w:tcBorders>
              <w:top w:val="nil"/>
              <w:left w:val="nil"/>
              <w:bottom w:val="nil"/>
              <w:right w:val="nil"/>
            </w:tcBorders>
            <w:shd w:val="clear" w:color="auto" w:fill="auto"/>
            <w:vAlign w:val="center"/>
            <w:hideMark/>
          </w:tcPr>
          <w:p w14:paraId="71E8BE80" w14:textId="77777777" w:rsidR="000033A0" w:rsidRPr="000033A0" w:rsidRDefault="000033A0" w:rsidP="000033A0">
            <w:pPr>
              <w:spacing w:before="0" w:after="0" w:line="240" w:lineRule="auto"/>
              <w:jc w:val="center"/>
              <w:rPr>
                <w:rFonts w:ascii="Arial" w:eastAsia="Times New Roman" w:hAnsi="Arial" w:cs="Arial"/>
              </w:rPr>
            </w:pPr>
          </w:p>
        </w:tc>
        <w:tc>
          <w:tcPr>
            <w:tcW w:w="5687" w:type="dxa"/>
            <w:vMerge/>
            <w:tcBorders>
              <w:left w:val="nil"/>
              <w:right w:val="nil"/>
            </w:tcBorders>
            <w:shd w:val="clear" w:color="auto" w:fill="B6DDE8"/>
            <w:noWrap/>
            <w:vAlign w:val="center"/>
            <w:hideMark/>
          </w:tcPr>
          <w:p w14:paraId="08E12FD6" w14:textId="77777777" w:rsidR="000033A0" w:rsidRPr="000033A0" w:rsidRDefault="000033A0" w:rsidP="000033A0">
            <w:pPr>
              <w:spacing w:before="0" w:after="0" w:line="240" w:lineRule="auto"/>
              <w:jc w:val="center"/>
              <w:rPr>
                <w:rFonts w:ascii="Arial" w:eastAsia="Times New Roman" w:hAnsi="Arial" w:cs="Arial"/>
              </w:rPr>
            </w:pPr>
          </w:p>
        </w:tc>
        <w:tc>
          <w:tcPr>
            <w:tcW w:w="300" w:type="dxa"/>
            <w:tcBorders>
              <w:top w:val="nil"/>
              <w:left w:val="nil"/>
              <w:bottom w:val="nil"/>
              <w:right w:val="nil"/>
            </w:tcBorders>
            <w:shd w:val="clear" w:color="auto" w:fill="auto"/>
            <w:noWrap/>
            <w:vAlign w:val="bottom"/>
            <w:hideMark/>
          </w:tcPr>
          <w:p w14:paraId="41F4D79E" w14:textId="77777777" w:rsidR="000033A0" w:rsidRPr="000033A0" w:rsidRDefault="000033A0" w:rsidP="000033A0">
            <w:pPr>
              <w:spacing w:before="0" w:after="0" w:line="240" w:lineRule="auto"/>
              <w:rPr>
                <w:rFonts w:ascii="Arial" w:eastAsia="Times New Roman" w:hAnsi="Arial" w:cs="Arial"/>
              </w:rPr>
            </w:pPr>
          </w:p>
        </w:tc>
        <w:tc>
          <w:tcPr>
            <w:tcW w:w="9764" w:type="dxa"/>
            <w:vMerge/>
            <w:tcBorders>
              <w:left w:val="nil"/>
              <w:right w:val="nil"/>
            </w:tcBorders>
            <w:shd w:val="clear" w:color="auto" w:fill="B6DDE8"/>
            <w:vAlign w:val="center"/>
            <w:hideMark/>
          </w:tcPr>
          <w:p w14:paraId="6900AF0C" w14:textId="77777777" w:rsidR="000033A0" w:rsidRPr="000033A0" w:rsidRDefault="000033A0" w:rsidP="000033A0">
            <w:pPr>
              <w:spacing w:before="0" w:after="0" w:line="240" w:lineRule="auto"/>
              <w:rPr>
                <w:rFonts w:ascii="Arial" w:eastAsia="Times New Roman" w:hAnsi="Arial" w:cs="Arial"/>
                <w:bCs/>
                <w:color w:val="000000"/>
              </w:rPr>
            </w:pPr>
          </w:p>
        </w:tc>
      </w:tr>
    </w:tbl>
    <w:p w14:paraId="0E0257BC" w14:textId="7C9AE6AF" w:rsidR="007A5663" w:rsidRPr="00F966C6" w:rsidRDefault="007A5663" w:rsidP="00D90303"/>
    <w:sectPr w:rsidR="007A5663" w:rsidRPr="00F966C6" w:rsidSect="00D90303">
      <w:type w:val="continuous"/>
      <w:pgSz w:w="23808" w:h="16840" w:orient="landscape" w:code="8"/>
      <w:pgMar w:top="1985" w:right="2438"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18AA" w14:textId="77777777" w:rsidR="00CC058C" w:rsidRDefault="00CC058C" w:rsidP="002D711A">
      <w:pPr>
        <w:spacing w:after="0" w:line="240" w:lineRule="auto"/>
      </w:pPr>
      <w:r>
        <w:separator/>
      </w:r>
    </w:p>
  </w:endnote>
  <w:endnote w:type="continuationSeparator" w:id="0">
    <w:p w14:paraId="5364E074" w14:textId="77777777" w:rsidR="00CC058C" w:rsidRDefault="00CC058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DFEF5" w14:textId="77760ECD" w:rsidR="00663D4D" w:rsidRDefault="00057EF2">
    <w:pPr>
      <w:pStyle w:val="Footer"/>
      <w:jc w:val="right"/>
      <w:rPr>
        <w:noProof w:val="0"/>
        <w:sz w:val="20"/>
        <w:szCs w:val="20"/>
      </w:rPr>
    </w:pPr>
    <w:r>
      <w:rPr>
        <w:sz w:val="20"/>
        <w:szCs w:val="20"/>
      </w:rPr>
      <mc:AlternateContent>
        <mc:Choice Requires="wps">
          <w:drawing>
            <wp:anchor distT="0" distB="0" distL="114300" distR="114300" simplePos="0" relativeHeight="251663360" behindDoc="0" locked="0" layoutInCell="0" allowOverlap="1" wp14:anchorId="0722C5EA" wp14:editId="583E23B7">
              <wp:simplePos x="0" y="0"/>
              <wp:positionH relativeFrom="page">
                <wp:align>center</wp:align>
              </wp:positionH>
              <wp:positionV relativeFrom="page">
                <wp:align>bottom</wp:align>
              </wp:positionV>
              <wp:extent cx="7772400" cy="457200"/>
              <wp:effectExtent l="0" t="0" r="0" b="0"/>
              <wp:wrapNone/>
              <wp:docPr id="3" name="MSIPCMc9734019bc5b6bf2902752c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8E63D" w14:textId="668778D3" w:rsidR="00057EF2" w:rsidRPr="00E72554" w:rsidRDefault="00057EF2" w:rsidP="00E7255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22C5EA" id="_x0000_t202" coordsize="21600,21600" o:spt="202" path="m,l,21600r21600,l21600,xe">
              <v:stroke joinstyle="miter"/>
              <v:path gradientshapeok="t" o:connecttype="rect"/>
            </v:shapetype>
            <v:shape id="MSIPCMc9734019bc5b6bf2902752ca"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6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" o:allowincell="f" filled="f" stroked="f" strokeweight=".5pt">
              <v:textbox inset=",0,,0">
                <w:txbxContent>
                  <w:p w14:paraId="50A8E63D" w14:textId="668778D3" w:rsidR="00057EF2" w:rsidRPr="00E72554" w:rsidRDefault="00057EF2" w:rsidP="00E72554">
                    <w:pPr>
                      <w:spacing w:before="0" w:after="0"/>
                      <w:jc w:val="center"/>
                      <w:rPr>
                        <w:rFonts w:ascii="Arial Black" w:hAnsi="Arial Black"/>
                        <w:color w:val="000000"/>
                      </w:rPr>
                    </w:pPr>
                  </w:p>
                </w:txbxContent>
              </v:textbox>
              <w10:wrap anchorx="page" anchory="page"/>
            </v:shape>
          </w:pict>
        </mc:Fallback>
      </mc:AlternateContent>
    </w:r>
  </w:p>
  <w:p w14:paraId="21BAC8C2" w14:textId="77777777" w:rsidR="00663D4D" w:rsidRPr="00663D4D" w:rsidRDefault="00CC058C" w:rsidP="00663D4D">
    <w:pPr>
      <w:pStyle w:val="Footer"/>
      <w:jc w:val="right"/>
      <w:rPr>
        <w:sz w:val="20"/>
        <w:szCs w:val="20"/>
      </w:rPr>
    </w:pPr>
    <w:sdt>
      <w:sdtPr>
        <w:rPr>
          <w:noProof w:val="0"/>
        </w:rPr>
        <w:id w:val="1538702247"/>
        <w:docPartObj>
          <w:docPartGallery w:val="Page Numbers (Bottom of Page)"/>
          <w:docPartUnique/>
        </w:docPartObj>
      </w:sdtPr>
      <w:sdtEndPr>
        <w:rPr>
          <w:noProof/>
          <w:sz w:val="20"/>
          <w:szCs w:val="20"/>
        </w:rPr>
      </w:sdtEndPr>
      <w:sdtContent>
        <w:r w:rsidR="00663D4D" w:rsidRPr="00663D4D">
          <w:rPr>
            <w:noProof w:val="0"/>
            <w:sz w:val="20"/>
            <w:szCs w:val="20"/>
          </w:rPr>
          <w:fldChar w:fldCharType="begin"/>
        </w:r>
        <w:r w:rsidR="00663D4D" w:rsidRPr="00663D4D">
          <w:rPr>
            <w:sz w:val="20"/>
            <w:szCs w:val="20"/>
          </w:rPr>
          <w:instrText xml:space="preserve"> PAGE   \* MERGEFORMAT </w:instrText>
        </w:r>
        <w:r w:rsidR="00663D4D" w:rsidRPr="00663D4D">
          <w:rPr>
            <w:noProof w:val="0"/>
            <w:sz w:val="20"/>
            <w:szCs w:val="20"/>
          </w:rPr>
          <w:fldChar w:fldCharType="separate"/>
        </w:r>
        <w:r w:rsidR="007E6EF5">
          <w:rPr>
            <w:sz w:val="20"/>
            <w:szCs w:val="20"/>
          </w:rPr>
          <w:t>2</w:t>
        </w:r>
        <w:r w:rsidR="00663D4D" w:rsidRPr="00663D4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C509" w14:textId="77777777" w:rsidR="00CC058C" w:rsidRDefault="00CC058C" w:rsidP="00E33E08">
      <w:pPr>
        <w:spacing w:before="0" w:after="0" w:line="240" w:lineRule="auto"/>
      </w:pPr>
    </w:p>
  </w:footnote>
  <w:footnote w:type="continuationSeparator" w:id="0">
    <w:p w14:paraId="7C909B47" w14:textId="77777777" w:rsidR="00CC058C" w:rsidRDefault="00CC058C" w:rsidP="00E33E08">
      <w:pPr>
        <w:spacing w:before="0" w:after="0" w:line="240" w:lineRule="auto"/>
      </w:pPr>
    </w:p>
  </w:footnote>
  <w:footnote w:id="1">
    <w:p w14:paraId="13F3B255" w14:textId="00A38CC7" w:rsidR="00ED344F" w:rsidRDefault="00ED344F">
      <w:pPr>
        <w:pStyle w:val="FootnoteText"/>
      </w:pPr>
      <w:r>
        <w:rPr>
          <w:rStyle w:val="FootnoteReference"/>
        </w:rPr>
        <w:footnoteRef/>
      </w:r>
      <w:r>
        <w:t xml:space="preserve"> Victoria’s Mothers, Babies and Children 2018: </w:t>
      </w:r>
      <w:hyperlink r:id="rId1" w:history="1">
        <w:r>
          <w:rPr>
            <w:rStyle w:val="Hyperlink"/>
          </w:rPr>
          <w:t>https://www.bettersafercare.vic.gov.au/sites/default/files/2019-12/CCOPMM%20REPORT%20-%20FINAL_181219.pdf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6F106" w14:textId="77777777" w:rsidR="000905F7" w:rsidRDefault="000905F7">
    <w:pPr>
      <w:pStyle w:val="Header"/>
    </w:pPr>
    <w:r>
      <w:rPr>
        <w:noProof/>
      </w:rPr>
      <w:drawing>
        <wp:anchor distT="0" distB="0" distL="114300" distR="114300" simplePos="0" relativeHeight="251656192" behindDoc="1" locked="0" layoutInCell="1" allowOverlap="1" wp14:anchorId="3E192F52" wp14:editId="6739413A">
          <wp:simplePos x="0" y="0"/>
          <wp:positionH relativeFrom="page">
            <wp:posOffset>180975</wp:posOffset>
          </wp:positionH>
          <wp:positionV relativeFrom="page">
            <wp:posOffset>9525</wp:posOffset>
          </wp:positionV>
          <wp:extent cx="1522800" cy="1206000"/>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35A2C7"/>
    <w:multiLevelType w:val="hybridMultilevel"/>
    <w:tmpl w:val="E89585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388CF3"/>
    <w:multiLevelType w:val="hybridMultilevel"/>
    <w:tmpl w:val="6DF13A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B79C6"/>
    <w:multiLevelType w:val="hybridMultilevel"/>
    <w:tmpl w:val="D23CEBD4"/>
    <w:lvl w:ilvl="0" w:tplc="F116937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4D3C37"/>
    <w:multiLevelType w:val="hybridMultilevel"/>
    <w:tmpl w:val="8794CFE8"/>
    <w:lvl w:ilvl="0" w:tplc="883614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21EEC"/>
    <w:multiLevelType w:val="hybridMultilevel"/>
    <w:tmpl w:val="0960F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115B83"/>
    <w:multiLevelType w:val="hybridMultilevel"/>
    <w:tmpl w:val="FCC6DBC2"/>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140B11B8"/>
    <w:multiLevelType w:val="hybridMultilevel"/>
    <w:tmpl w:val="FD2C20D0"/>
    <w:lvl w:ilvl="0" w:tplc="F116937E">
      <w:start w:val="1"/>
      <w:numFmt w:val="bullet"/>
      <w:lvlText w:val=""/>
      <w:lvlJc w:val="left"/>
      <w:pPr>
        <w:ind w:left="1440" w:hanging="360"/>
      </w:pPr>
      <w:rPr>
        <w:rFonts w:ascii="Symbol" w:hAnsi="Symbol" w:hint="default"/>
      </w:rPr>
    </w:lvl>
    <w:lvl w:ilvl="1" w:tplc="F116937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196A2910"/>
    <w:multiLevelType w:val="hybridMultilevel"/>
    <w:tmpl w:val="E65CE154"/>
    <w:lvl w:ilvl="0" w:tplc="883614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A9AEC"/>
    <w:multiLevelType w:val="hybridMultilevel"/>
    <w:tmpl w:val="A7B8C4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53C08F"/>
    <w:multiLevelType w:val="hybridMultilevel"/>
    <w:tmpl w:val="71CAF4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A1D5E5C"/>
    <w:multiLevelType w:val="hybridMultilevel"/>
    <w:tmpl w:val="926E23B2"/>
    <w:lvl w:ilvl="0" w:tplc="883614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3615B0"/>
    <w:multiLevelType w:val="multilevel"/>
    <w:tmpl w:val="56FEAB42"/>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393A12AA"/>
    <w:multiLevelType w:val="hybridMultilevel"/>
    <w:tmpl w:val="AF1C315A"/>
    <w:lvl w:ilvl="0" w:tplc="A912986E">
      <w:start w:val="1"/>
      <w:numFmt w:val="bullet"/>
      <w:pStyle w:val="Bullet1"/>
      <w:lvlText w:val=""/>
      <w:lvlJc w:val="left"/>
      <w:pPr>
        <w:ind w:left="284" w:hanging="284"/>
      </w:pPr>
      <w:rPr>
        <w:rFonts w:ascii="Wingdings 2" w:hAnsi="Wingdings 2" w:hint="default"/>
        <w:color w:val="4D92C0"/>
        <w:position w:val="2"/>
        <w:sz w:val="16"/>
      </w:rPr>
    </w:lvl>
    <w:lvl w:ilvl="1" w:tplc="294E20BE">
      <w:start w:val="1"/>
      <w:numFmt w:val="bullet"/>
      <w:pStyle w:val="Bullet2"/>
      <w:lvlText w:val="–"/>
      <w:lvlJc w:val="left"/>
      <w:pPr>
        <w:ind w:left="568" w:hanging="284"/>
      </w:pPr>
      <w:rPr>
        <w:rFonts w:ascii="Arial Black" w:hAnsi="Arial Black" w:hint="default"/>
      </w:rPr>
    </w:lvl>
    <w:lvl w:ilvl="2" w:tplc="8990CB46">
      <w:start w:val="1"/>
      <w:numFmt w:val="bullet"/>
      <w:lvlText w:val=""/>
      <w:lvlJc w:val="left"/>
      <w:pPr>
        <w:ind w:left="852" w:hanging="284"/>
      </w:pPr>
      <w:rPr>
        <w:rFonts w:ascii="Wingdings" w:hAnsi="Wingdings" w:hint="default"/>
      </w:rPr>
    </w:lvl>
    <w:lvl w:ilvl="3" w:tplc="EB107D5A">
      <w:start w:val="1"/>
      <w:numFmt w:val="bullet"/>
      <w:lvlText w:val=""/>
      <w:lvlJc w:val="left"/>
      <w:pPr>
        <w:ind w:left="1136" w:hanging="284"/>
      </w:pPr>
      <w:rPr>
        <w:rFonts w:ascii="Symbol" w:hAnsi="Symbol" w:hint="default"/>
      </w:rPr>
    </w:lvl>
    <w:lvl w:ilvl="4" w:tplc="43E880D0">
      <w:start w:val="1"/>
      <w:numFmt w:val="bullet"/>
      <w:lvlText w:val="o"/>
      <w:lvlJc w:val="left"/>
      <w:pPr>
        <w:ind w:left="1420" w:hanging="284"/>
      </w:pPr>
      <w:rPr>
        <w:rFonts w:ascii="Courier New" w:hAnsi="Courier New" w:cs="Courier New" w:hint="default"/>
      </w:rPr>
    </w:lvl>
    <w:lvl w:ilvl="5" w:tplc="44500D9C">
      <w:start w:val="1"/>
      <w:numFmt w:val="bullet"/>
      <w:lvlText w:val=""/>
      <w:lvlJc w:val="left"/>
      <w:pPr>
        <w:ind w:left="1704" w:hanging="284"/>
      </w:pPr>
      <w:rPr>
        <w:rFonts w:ascii="Wingdings" w:hAnsi="Wingdings" w:hint="default"/>
      </w:rPr>
    </w:lvl>
    <w:lvl w:ilvl="6" w:tplc="6B04E83E">
      <w:start w:val="1"/>
      <w:numFmt w:val="bullet"/>
      <w:lvlText w:val=""/>
      <w:lvlJc w:val="left"/>
      <w:pPr>
        <w:ind w:left="1988" w:hanging="284"/>
      </w:pPr>
      <w:rPr>
        <w:rFonts w:ascii="Symbol" w:hAnsi="Symbol" w:hint="default"/>
      </w:rPr>
    </w:lvl>
    <w:lvl w:ilvl="7" w:tplc="2A020206">
      <w:start w:val="1"/>
      <w:numFmt w:val="bullet"/>
      <w:lvlText w:val="o"/>
      <w:lvlJc w:val="left"/>
      <w:pPr>
        <w:ind w:left="2272" w:hanging="284"/>
      </w:pPr>
      <w:rPr>
        <w:rFonts w:ascii="Courier New" w:hAnsi="Courier New" w:cs="Courier New" w:hint="default"/>
      </w:rPr>
    </w:lvl>
    <w:lvl w:ilvl="8" w:tplc="1F8826BE">
      <w:start w:val="1"/>
      <w:numFmt w:val="bullet"/>
      <w:lvlText w:val=""/>
      <w:lvlJc w:val="left"/>
      <w:pPr>
        <w:ind w:left="2556" w:hanging="284"/>
      </w:pPr>
      <w:rPr>
        <w:rFonts w:ascii="Wingdings" w:hAnsi="Wingdings" w:hint="default"/>
      </w:rPr>
    </w:lvl>
  </w:abstractNum>
  <w:abstractNum w:abstractNumId="15" w15:restartNumberingAfterBreak="0">
    <w:nsid w:val="3C582D18"/>
    <w:multiLevelType w:val="hybridMultilevel"/>
    <w:tmpl w:val="7E46D934"/>
    <w:lvl w:ilvl="0" w:tplc="FFFFFFFF">
      <w:start w:val="1"/>
      <w:numFmt w:val="bullet"/>
      <w:lvlText w:val="›"/>
      <w:lvlJc w:val="left"/>
      <w:pPr>
        <w:ind w:left="433" w:hanging="360"/>
      </w:pPr>
      <w:rPr>
        <w:rFonts w:ascii="Arial" w:hAnsi="Aria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16" w15:restartNumberingAfterBreak="0">
    <w:nsid w:val="412EAAC0"/>
    <w:multiLevelType w:val="hybridMultilevel"/>
    <w:tmpl w:val="C70DF7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6D3A6A"/>
    <w:multiLevelType w:val="hybridMultilevel"/>
    <w:tmpl w:val="F58A407A"/>
    <w:lvl w:ilvl="0" w:tplc="AB8EF4BC">
      <w:start w:val="1"/>
      <w:numFmt w:val="bullet"/>
      <w:lvlText w:val=""/>
      <w:lvlJc w:val="left"/>
      <w:pPr>
        <w:tabs>
          <w:tab w:val="num" w:pos="360"/>
        </w:tabs>
        <w:ind w:left="360" w:hanging="360"/>
      </w:pPr>
      <w:rPr>
        <w:rFonts w:ascii="Symbol" w:hAnsi="Symbol" w:hint="default"/>
        <w:b w:val="0"/>
        <w:i w:val="0"/>
        <w:vanish w:val="0"/>
        <w:color w:val="auto"/>
        <w:sz w:val="22"/>
      </w:rPr>
    </w:lvl>
    <w:lvl w:ilvl="1" w:tplc="8716D9DC">
      <w:start w:val="1"/>
      <w:numFmt w:val="bullet"/>
      <w:lvlText w:val="–"/>
      <w:lvlJc w:val="left"/>
      <w:pPr>
        <w:tabs>
          <w:tab w:val="num" w:pos="720"/>
        </w:tabs>
        <w:ind w:left="720" w:hanging="360"/>
      </w:pPr>
      <w:rPr>
        <w:rFonts w:ascii="Calibri" w:hAnsi="Calibri" w:hint="default"/>
        <w:b w:val="0"/>
        <w:i w:val="0"/>
        <w:vanish w:val="0"/>
        <w:color w:val="auto"/>
        <w:sz w:val="22"/>
      </w:rPr>
    </w:lvl>
    <w:lvl w:ilvl="2" w:tplc="5C7A34E0">
      <w:start w:val="1"/>
      <w:numFmt w:val="bullet"/>
      <w:lvlText w:val=""/>
      <w:lvlJc w:val="left"/>
      <w:pPr>
        <w:tabs>
          <w:tab w:val="num" w:pos="1152"/>
        </w:tabs>
        <w:ind w:left="1152" w:hanging="360"/>
      </w:pPr>
      <w:rPr>
        <w:rFonts w:ascii="Symbol" w:hAnsi="Symbol" w:hint="default"/>
        <w:b w:val="0"/>
        <w:i w:val="0"/>
        <w:vanish w:val="0"/>
        <w:color w:val="auto"/>
        <w:sz w:val="22"/>
      </w:rPr>
    </w:lvl>
    <w:lvl w:ilvl="3" w:tplc="F1D411CE">
      <w:start w:val="1"/>
      <w:numFmt w:val="bullet"/>
      <w:lvlText w:val="–"/>
      <w:lvlJc w:val="left"/>
      <w:pPr>
        <w:tabs>
          <w:tab w:val="num" w:pos="1512"/>
        </w:tabs>
        <w:ind w:left="1512" w:hanging="360"/>
      </w:pPr>
      <w:rPr>
        <w:rFonts w:ascii="Calibri" w:hAnsi="Calibri" w:hint="default"/>
        <w:b w:val="0"/>
        <w:i w:val="0"/>
        <w:vanish w:val="0"/>
        <w:color w:val="auto"/>
        <w:sz w:val="22"/>
      </w:rPr>
    </w:lvl>
    <w:lvl w:ilvl="4" w:tplc="92B0F4D0">
      <w:start w:val="1"/>
      <w:numFmt w:val="bullet"/>
      <w:lvlText w:val=""/>
      <w:lvlJc w:val="left"/>
      <w:pPr>
        <w:tabs>
          <w:tab w:val="num" w:pos="2211"/>
        </w:tabs>
        <w:ind w:left="2211" w:hanging="283"/>
      </w:pPr>
      <w:rPr>
        <w:rFonts w:ascii="Symbol" w:hAnsi="Symbol" w:hint="default"/>
        <w:b w:val="0"/>
        <w:i w:val="0"/>
        <w:vanish w:val="0"/>
        <w:color w:val="auto"/>
        <w:sz w:val="22"/>
      </w:rPr>
    </w:lvl>
    <w:lvl w:ilvl="5" w:tplc="7DF8F008">
      <w:start w:val="1"/>
      <w:numFmt w:val="bullet"/>
      <w:lvlText w:val=""/>
      <w:lvlJc w:val="left"/>
      <w:pPr>
        <w:tabs>
          <w:tab w:val="num" w:pos="2495"/>
        </w:tabs>
        <w:ind w:left="2495" w:hanging="284"/>
      </w:pPr>
      <w:rPr>
        <w:rFonts w:ascii="Symbol" w:hAnsi="Symbol" w:hint="default"/>
        <w:b w:val="0"/>
        <w:i w:val="0"/>
        <w:vanish w:val="0"/>
        <w:color w:val="auto"/>
        <w:sz w:val="22"/>
      </w:rPr>
    </w:lvl>
    <w:lvl w:ilvl="6" w:tplc="16A2BD3E">
      <w:start w:val="1"/>
      <w:numFmt w:val="bullet"/>
      <w:lvlText w:val=""/>
      <w:lvlJc w:val="left"/>
      <w:pPr>
        <w:tabs>
          <w:tab w:val="num" w:pos="2778"/>
        </w:tabs>
        <w:ind w:left="2778" w:hanging="283"/>
      </w:pPr>
      <w:rPr>
        <w:rFonts w:ascii="Symbol" w:hAnsi="Symbol" w:hint="default"/>
        <w:b w:val="0"/>
        <w:i w:val="0"/>
        <w:vanish w:val="0"/>
        <w:color w:val="auto"/>
        <w:sz w:val="22"/>
      </w:rPr>
    </w:lvl>
    <w:lvl w:ilvl="7" w:tplc="629684FC">
      <w:start w:val="1"/>
      <w:numFmt w:val="bullet"/>
      <w:lvlText w:val=""/>
      <w:lvlJc w:val="left"/>
      <w:pPr>
        <w:tabs>
          <w:tab w:val="num" w:pos="3062"/>
        </w:tabs>
        <w:ind w:left="3062" w:hanging="284"/>
      </w:pPr>
      <w:rPr>
        <w:rFonts w:ascii="Symbol" w:hAnsi="Symbol" w:hint="default"/>
        <w:b w:val="0"/>
        <w:i w:val="0"/>
        <w:vanish w:val="0"/>
        <w:color w:val="auto"/>
        <w:sz w:val="22"/>
      </w:rPr>
    </w:lvl>
    <w:lvl w:ilvl="8" w:tplc="4920BDA6">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9" w15:restartNumberingAfterBreak="0">
    <w:nsid w:val="49225A87"/>
    <w:multiLevelType w:val="hybridMultilevel"/>
    <w:tmpl w:val="5FF25EB6"/>
    <w:lvl w:ilvl="0" w:tplc="FFFFFFFF">
      <w:start w:val="1"/>
      <w:numFmt w:val="bullet"/>
      <w:lvlText w:val="›"/>
      <w:lvlJc w:val="left"/>
      <w:pPr>
        <w:ind w:left="433" w:hanging="360"/>
      </w:pPr>
      <w:rPr>
        <w:rFonts w:ascii="Arial" w:hAnsi="Aria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20" w15:restartNumberingAfterBreak="0">
    <w:nsid w:val="4A101DAB"/>
    <w:multiLevelType w:val="hybridMultilevel"/>
    <w:tmpl w:val="D51E6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F172FA"/>
    <w:multiLevelType w:val="hybridMultilevel"/>
    <w:tmpl w:val="5A225350"/>
    <w:lvl w:ilvl="0" w:tplc="F116937E">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A1306"/>
    <w:multiLevelType w:val="hybridMultilevel"/>
    <w:tmpl w:val="1526A4C0"/>
    <w:lvl w:ilvl="0" w:tplc="D780F16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073BE4"/>
    <w:multiLevelType w:val="hybridMultilevel"/>
    <w:tmpl w:val="2C4EF182"/>
    <w:lvl w:ilvl="0" w:tplc="138EA3F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7E12E5"/>
    <w:multiLevelType w:val="hybridMultilevel"/>
    <w:tmpl w:val="F74E2CE0"/>
    <w:lvl w:ilvl="0" w:tplc="D69A88F2">
      <w:start w:val="1"/>
      <w:numFmt w:val="decimal"/>
      <w:pStyle w:val="Numpara"/>
      <w:lvlText w:val="%1."/>
      <w:lvlJc w:val="left"/>
      <w:pPr>
        <w:ind w:left="397" w:hanging="397"/>
      </w:pPr>
      <w:rPr>
        <w:rFonts w:hint="default"/>
      </w:rPr>
    </w:lvl>
    <w:lvl w:ilvl="1" w:tplc="3D3EE24E">
      <w:start w:val="1"/>
      <w:numFmt w:val="lowerLetter"/>
      <w:lvlText w:val="%2."/>
      <w:lvlJc w:val="left"/>
      <w:pPr>
        <w:ind w:left="568" w:hanging="284"/>
      </w:pPr>
      <w:rPr>
        <w:rFonts w:hint="default"/>
      </w:rPr>
    </w:lvl>
    <w:lvl w:ilvl="2" w:tplc="6B1A59DA">
      <w:start w:val="1"/>
      <w:numFmt w:val="lowerRoman"/>
      <w:lvlText w:val="%3."/>
      <w:lvlJc w:val="right"/>
      <w:pPr>
        <w:ind w:left="852" w:hanging="284"/>
      </w:pPr>
      <w:rPr>
        <w:rFonts w:hint="default"/>
      </w:rPr>
    </w:lvl>
    <w:lvl w:ilvl="3" w:tplc="6C64A65C">
      <w:start w:val="1"/>
      <w:numFmt w:val="decimal"/>
      <w:lvlText w:val="%4."/>
      <w:lvlJc w:val="left"/>
      <w:pPr>
        <w:ind w:left="1136" w:hanging="284"/>
      </w:pPr>
      <w:rPr>
        <w:rFonts w:hint="default"/>
      </w:rPr>
    </w:lvl>
    <w:lvl w:ilvl="4" w:tplc="957C400A">
      <w:start w:val="1"/>
      <w:numFmt w:val="lowerLetter"/>
      <w:lvlText w:val="%5."/>
      <w:lvlJc w:val="left"/>
      <w:pPr>
        <w:ind w:left="1420" w:hanging="284"/>
      </w:pPr>
      <w:rPr>
        <w:rFonts w:hint="default"/>
      </w:rPr>
    </w:lvl>
    <w:lvl w:ilvl="5" w:tplc="2C08AA54">
      <w:start w:val="1"/>
      <w:numFmt w:val="lowerRoman"/>
      <w:lvlText w:val="%6."/>
      <w:lvlJc w:val="right"/>
      <w:pPr>
        <w:ind w:left="1704" w:hanging="284"/>
      </w:pPr>
      <w:rPr>
        <w:rFonts w:hint="default"/>
      </w:rPr>
    </w:lvl>
    <w:lvl w:ilvl="6" w:tplc="EF58B9FC">
      <w:start w:val="1"/>
      <w:numFmt w:val="decimal"/>
      <w:lvlText w:val="%7."/>
      <w:lvlJc w:val="left"/>
      <w:pPr>
        <w:ind w:left="1988" w:hanging="284"/>
      </w:pPr>
      <w:rPr>
        <w:rFonts w:hint="default"/>
      </w:rPr>
    </w:lvl>
    <w:lvl w:ilvl="7" w:tplc="6B3C7A92">
      <w:start w:val="1"/>
      <w:numFmt w:val="lowerLetter"/>
      <w:lvlText w:val="%8."/>
      <w:lvlJc w:val="left"/>
      <w:pPr>
        <w:ind w:left="2272" w:hanging="284"/>
      </w:pPr>
      <w:rPr>
        <w:rFonts w:hint="default"/>
      </w:rPr>
    </w:lvl>
    <w:lvl w:ilvl="8" w:tplc="D760048A">
      <w:start w:val="1"/>
      <w:numFmt w:val="lowerRoman"/>
      <w:lvlText w:val="%9."/>
      <w:lvlJc w:val="right"/>
      <w:pPr>
        <w:ind w:left="2556" w:hanging="284"/>
      </w:pPr>
      <w:rPr>
        <w:rFonts w:hint="default"/>
      </w:rPr>
    </w:lvl>
  </w:abstractNum>
  <w:abstractNum w:abstractNumId="25" w15:restartNumberingAfterBreak="0">
    <w:nsid w:val="7FD44514"/>
    <w:multiLevelType w:val="multilevel"/>
    <w:tmpl w:val="9F8EAC62"/>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8"/>
  </w:num>
  <w:num w:numId="2">
    <w:abstractNumId w:val="18"/>
  </w:num>
  <w:num w:numId="3">
    <w:abstractNumId w:val="18"/>
  </w:num>
  <w:num w:numId="4">
    <w:abstractNumId w:val="25"/>
  </w:num>
  <w:num w:numId="5">
    <w:abstractNumId w:val="11"/>
  </w:num>
  <w:num w:numId="6">
    <w:abstractNumId w:val="17"/>
  </w:num>
  <w:num w:numId="7">
    <w:abstractNumId w:val="24"/>
  </w:num>
  <w:num w:numId="8">
    <w:abstractNumId w:val="14"/>
  </w:num>
  <w:num w:numId="9">
    <w:abstractNumId w:val="14"/>
  </w:num>
  <w:num w:numId="10">
    <w:abstractNumId w:val="13"/>
  </w:num>
  <w:num w:numId="11">
    <w:abstractNumId w:val="7"/>
  </w:num>
  <w:num w:numId="12">
    <w:abstractNumId w:val="16"/>
  </w:num>
  <w:num w:numId="13">
    <w:abstractNumId w:val="10"/>
  </w:num>
  <w:num w:numId="14">
    <w:abstractNumId w:val="1"/>
  </w:num>
  <w:num w:numId="15">
    <w:abstractNumId w:val="9"/>
  </w:num>
  <w:num w:numId="16">
    <w:abstractNumId w:val="4"/>
  </w:num>
  <w:num w:numId="17">
    <w:abstractNumId w:val="14"/>
  </w:num>
  <w:num w:numId="18">
    <w:abstractNumId w:val="23"/>
  </w:num>
  <w:num w:numId="19">
    <w:abstractNumId w:val="21"/>
  </w:num>
  <w:num w:numId="20">
    <w:abstractNumId w:val="6"/>
  </w:num>
  <w:num w:numId="21">
    <w:abstractNumId w:val="2"/>
  </w:num>
  <w:num w:numId="22">
    <w:abstractNumId w:val="0"/>
  </w:num>
  <w:num w:numId="23">
    <w:abstractNumId w:val="8"/>
  </w:num>
  <w:num w:numId="24">
    <w:abstractNumId w:val="3"/>
  </w:num>
  <w:num w:numId="25">
    <w:abstractNumId w:val="12"/>
  </w:num>
  <w:num w:numId="26">
    <w:abstractNumId w:val="5"/>
  </w:num>
  <w:num w:numId="27">
    <w:abstractNumId w:val="20"/>
  </w:num>
  <w:num w:numId="28">
    <w:abstractNumId w:val="22"/>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FA"/>
    <w:rsid w:val="000033A0"/>
    <w:rsid w:val="00012F6F"/>
    <w:rsid w:val="00014213"/>
    <w:rsid w:val="00014B55"/>
    <w:rsid w:val="00020E3E"/>
    <w:rsid w:val="00021562"/>
    <w:rsid w:val="00023BF3"/>
    <w:rsid w:val="00026811"/>
    <w:rsid w:val="0004185E"/>
    <w:rsid w:val="000442A3"/>
    <w:rsid w:val="00053181"/>
    <w:rsid w:val="00056988"/>
    <w:rsid w:val="00057EF2"/>
    <w:rsid w:val="000678CE"/>
    <w:rsid w:val="00071BFE"/>
    <w:rsid w:val="00072279"/>
    <w:rsid w:val="00073407"/>
    <w:rsid w:val="00075E6C"/>
    <w:rsid w:val="00081C12"/>
    <w:rsid w:val="00087D42"/>
    <w:rsid w:val="000905F7"/>
    <w:rsid w:val="000B2435"/>
    <w:rsid w:val="000B29AD"/>
    <w:rsid w:val="000B36A4"/>
    <w:rsid w:val="000B5B4E"/>
    <w:rsid w:val="000C1046"/>
    <w:rsid w:val="000C6372"/>
    <w:rsid w:val="000D7841"/>
    <w:rsid w:val="000D7C2E"/>
    <w:rsid w:val="000E392D"/>
    <w:rsid w:val="000E39B6"/>
    <w:rsid w:val="000E3D05"/>
    <w:rsid w:val="000F4288"/>
    <w:rsid w:val="000F7165"/>
    <w:rsid w:val="00102310"/>
    <w:rsid w:val="00102379"/>
    <w:rsid w:val="00103722"/>
    <w:rsid w:val="001065D6"/>
    <w:rsid w:val="001068D5"/>
    <w:rsid w:val="00121252"/>
    <w:rsid w:val="00124609"/>
    <w:rsid w:val="001254CE"/>
    <w:rsid w:val="001307D4"/>
    <w:rsid w:val="0013637A"/>
    <w:rsid w:val="001422CC"/>
    <w:rsid w:val="00145346"/>
    <w:rsid w:val="00155FB0"/>
    <w:rsid w:val="001617B6"/>
    <w:rsid w:val="00165E66"/>
    <w:rsid w:val="00190DAF"/>
    <w:rsid w:val="00196143"/>
    <w:rsid w:val="001979C8"/>
    <w:rsid w:val="001A24FC"/>
    <w:rsid w:val="001C3437"/>
    <w:rsid w:val="001C6993"/>
    <w:rsid w:val="001C7BAE"/>
    <w:rsid w:val="001D3C87"/>
    <w:rsid w:val="001E1FB7"/>
    <w:rsid w:val="001E31FA"/>
    <w:rsid w:val="001E48F9"/>
    <w:rsid w:val="001E64F6"/>
    <w:rsid w:val="001E7AEB"/>
    <w:rsid w:val="001F2D3C"/>
    <w:rsid w:val="001F3F3C"/>
    <w:rsid w:val="00204B82"/>
    <w:rsid w:val="00212987"/>
    <w:rsid w:val="00222BEB"/>
    <w:rsid w:val="00225E60"/>
    <w:rsid w:val="00227B7B"/>
    <w:rsid w:val="00230BBB"/>
    <w:rsid w:val="0023202C"/>
    <w:rsid w:val="00234619"/>
    <w:rsid w:val="00235BE2"/>
    <w:rsid w:val="00245043"/>
    <w:rsid w:val="00252460"/>
    <w:rsid w:val="0026028E"/>
    <w:rsid w:val="002644FD"/>
    <w:rsid w:val="00272691"/>
    <w:rsid w:val="002730A2"/>
    <w:rsid w:val="0028332B"/>
    <w:rsid w:val="00284FA2"/>
    <w:rsid w:val="00292D36"/>
    <w:rsid w:val="00294A5A"/>
    <w:rsid w:val="00297281"/>
    <w:rsid w:val="00297A47"/>
    <w:rsid w:val="002A5891"/>
    <w:rsid w:val="002B03F1"/>
    <w:rsid w:val="002B567F"/>
    <w:rsid w:val="002B5C34"/>
    <w:rsid w:val="002B5E2B"/>
    <w:rsid w:val="002B6DAA"/>
    <w:rsid w:val="002C0C5B"/>
    <w:rsid w:val="002C2041"/>
    <w:rsid w:val="002D70F7"/>
    <w:rsid w:val="002D711A"/>
    <w:rsid w:val="002D7336"/>
    <w:rsid w:val="002E28AD"/>
    <w:rsid w:val="002E3396"/>
    <w:rsid w:val="002E6454"/>
    <w:rsid w:val="002F2953"/>
    <w:rsid w:val="0031149C"/>
    <w:rsid w:val="0032387C"/>
    <w:rsid w:val="003577BF"/>
    <w:rsid w:val="0036778F"/>
    <w:rsid w:val="003742AB"/>
    <w:rsid w:val="0038771C"/>
    <w:rsid w:val="00390F40"/>
    <w:rsid w:val="003A430B"/>
    <w:rsid w:val="003A541A"/>
    <w:rsid w:val="003A6923"/>
    <w:rsid w:val="003C2C67"/>
    <w:rsid w:val="003C2D4C"/>
    <w:rsid w:val="003C3B3A"/>
    <w:rsid w:val="003C5BA4"/>
    <w:rsid w:val="003C6EFA"/>
    <w:rsid w:val="003E3E26"/>
    <w:rsid w:val="003F1295"/>
    <w:rsid w:val="003F2A21"/>
    <w:rsid w:val="003F5102"/>
    <w:rsid w:val="003F76FC"/>
    <w:rsid w:val="004002EB"/>
    <w:rsid w:val="00407A79"/>
    <w:rsid w:val="004150A1"/>
    <w:rsid w:val="00422129"/>
    <w:rsid w:val="00422DDC"/>
    <w:rsid w:val="004231B5"/>
    <w:rsid w:val="004236C8"/>
    <w:rsid w:val="00427681"/>
    <w:rsid w:val="00433DB7"/>
    <w:rsid w:val="004379E5"/>
    <w:rsid w:val="00451282"/>
    <w:rsid w:val="0045347E"/>
    <w:rsid w:val="00453750"/>
    <w:rsid w:val="00456941"/>
    <w:rsid w:val="00460BD5"/>
    <w:rsid w:val="004702EA"/>
    <w:rsid w:val="0048259C"/>
    <w:rsid w:val="00482D02"/>
    <w:rsid w:val="00484326"/>
    <w:rsid w:val="00490369"/>
    <w:rsid w:val="004A7519"/>
    <w:rsid w:val="004B54F3"/>
    <w:rsid w:val="004B64B1"/>
    <w:rsid w:val="004D01AC"/>
    <w:rsid w:val="004D3518"/>
    <w:rsid w:val="004D423C"/>
    <w:rsid w:val="004D62D6"/>
    <w:rsid w:val="004D6898"/>
    <w:rsid w:val="004D6D95"/>
    <w:rsid w:val="004F3F4E"/>
    <w:rsid w:val="0050105B"/>
    <w:rsid w:val="00510167"/>
    <w:rsid w:val="00513E86"/>
    <w:rsid w:val="005306A2"/>
    <w:rsid w:val="0053416C"/>
    <w:rsid w:val="00541C2F"/>
    <w:rsid w:val="00552767"/>
    <w:rsid w:val="00552DE4"/>
    <w:rsid w:val="00557BE2"/>
    <w:rsid w:val="00563527"/>
    <w:rsid w:val="0057407A"/>
    <w:rsid w:val="0058124E"/>
    <w:rsid w:val="005875A3"/>
    <w:rsid w:val="005953EA"/>
    <w:rsid w:val="005A304A"/>
    <w:rsid w:val="005A3416"/>
    <w:rsid w:val="005A4069"/>
    <w:rsid w:val="005A7D8B"/>
    <w:rsid w:val="005B061F"/>
    <w:rsid w:val="005B27FE"/>
    <w:rsid w:val="005B76DF"/>
    <w:rsid w:val="005B79CB"/>
    <w:rsid w:val="005E08D7"/>
    <w:rsid w:val="005E271E"/>
    <w:rsid w:val="005E3E3C"/>
    <w:rsid w:val="005E4C16"/>
    <w:rsid w:val="005E5947"/>
    <w:rsid w:val="005F61DF"/>
    <w:rsid w:val="0060163A"/>
    <w:rsid w:val="006023F9"/>
    <w:rsid w:val="00610559"/>
    <w:rsid w:val="00612D39"/>
    <w:rsid w:val="00614076"/>
    <w:rsid w:val="00632F2E"/>
    <w:rsid w:val="006332F6"/>
    <w:rsid w:val="006413F2"/>
    <w:rsid w:val="006525D3"/>
    <w:rsid w:val="006534B2"/>
    <w:rsid w:val="0065615D"/>
    <w:rsid w:val="00657011"/>
    <w:rsid w:val="00663D4D"/>
    <w:rsid w:val="006650B5"/>
    <w:rsid w:val="006651B1"/>
    <w:rsid w:val="00665778"/>
    <w:rsid w:val="0066778D"/>
    <w:rsid w:val="00676E5F"/>
    <w:rsid w:val="00680577"/>
    <w:rsid w:val="00683351"/>
    <w:rsid w:val="0068625B"/>
    <w:rsid w:val="006945CA"/>
    <w:rsid w:val="006A3309"/>
    <w:rsid w:val="006A3A5A"/>
    <w:rsid w:val="006A5B34"/>
    <w:rsid w:val="006B7842"/>
    <w:rsid w:val="006C54D8"/>
    <w:rsid w:val="006C77A9"/>
    <w:rsid w:val="006D4720"/>
    <w:rsid w:val="006D6829"/>
    <w:rsid w:val="006E6CDF"/>
    <w:rsid w:val="006F37F2"/>
    <w:rsid w:val="006F542D"/>
    <w:rsid w:val="006F6693"/>
    <w:rsid w:val="006F77C8"/>
    <w:rsid w:val="00707FE8"/>
    <w:rsid w:val="00714AAE"/>
    <w:rsid w:val="00724962"/>
    <w:rsid w:val="00724A0F"/>
    <w:rsid w:val="00726D2F"/>
    <w:rsid w:val="00736092"/>
    <w:rsid w:val="00736732"/>
    <w:rsid w:val="00740019"/>
    <w:rsid w:val="00746426"/>
    <w:rsid w:val="00750BF9"/>
    <w:rsid w:val="00750CBE"/>
    <w:rsid w:val="007650D2"/>
    <w:rsid w:val="00766B5A"/>
    <w:rsid w:val="0077103B"/>
    <w:rsid w:val="00772209"/>
    <w:rsid w:val="007770A5"/>
    <w:rsid w:val="007834F2"/>
    <w:rsid w:val="00791020"/>
    <w:rsid w:val="007A04D2"/>
    <w:rsid w:val="007A09E0"/>
    <w:rsid w:val="007A4444"/>
    <w:rsid w:val="007A5663"/>
    <w:rsid w:val="007A5F82"/>
    <w:rsid w:val="007D5F9E"/>
    <w:rsid w:val="007E098F"/>
    <w:rsid w:val="007E3BA2"/>
    <w:rsid w:val="007E6EF5"/>
    <w:rsid w:val="007E6F9B"/>
    <w:rsid w:val="007F1A4C"/>
    <w:rsid w:val="007F723F"/>
    <w:rsid w:val="008022C3"/>
    <w:rsid w:val="00802635"/>
    <w:rsid w:val="008041E6"/>
    <w:rsid w:val="008065D2"/>
    <w:rsid w:val="00815A8A"/>
    <w:rsid w:val="0082157B"/>
    <w:rsid w:val="0082194C"/>
    <w:rsid w:val="008222FF"/>
    <w:rsid w:val="008241FF"/>
    <w:rsid w:val="008411E9"/>
    <w:rsid w:val="00841617"/>
    <w:rsid w:val="0084200F"/>
    <w:rsid w:val="00843B2C"/>
    <w:rsid w:val="00844F16"/>
    <w:rsid w:val="00855FF9"/>
    <w:rsid w:val="0086277A"/>
    <w:rsid w:val="008668A8"/>
    <w:rsid w:val="00866A4E"/>
    <w:rsid w:val="008703D8"/>
    <w:rsid w:val="008768AD"/>
    <w:rsid w:val="00880AC4"/>
    <w:rsid w:val="008816EE"/>
    <w:rsid w:val="00891DD1"/>
    <w:rsid w:val="0089239D"/>
    <w:rsid w:val="00897157"/>
    <w:rsid w:val="00897447"/>
    <w:rsid w:val="00897C51"/>
    <w:rsid w:val="008A4900"/>
    <w:rsid w:val="008A55FE"/>
    <w:rsid w:val="008A58D2"/>
    <w:rsid w:val="008B146D"/>
    <w:rsid w:val="008B42AD"/>
    <w:rsid w:val="008B4F67"/>
    <w:rsid w:val="008B5666"/>
    <w:rsid w:val="008C154D"/>
    <w:rsid w:val="008C2B70"/>
    <w:rsid w:val="008C2C15"/>
    <w:rsid w:val="008D0281"/>
    <w:rsid w:val="008E2348"/>
    <w:rsid w:val="008F6D45"/>
    <w:rsid w:val="00911778"/>
    <w:rsid w:val="00916AD5"/>
    <w:rsid w:val="00922944"/>
    <w:rsid w:val="009317FE"/>
    <w:rsid w:val="00936479"/>
    <w:rsid w:val="00937A10"/>
    <w:rsid w:val="0094165D"/>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C6896"/>
    <w:rsid w:val="009D4131"/>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40A6"/>
    <w:rsid w:val="00A46288"/>
    <w:rsid w:val="00A46ACA"/>
    <w:rsid w:val="00A46BA8"/>
    <w:rsid w:val="00A47634"/>
    <w:rsid w:val="00A612FE"/>
    <w:rsid w:val="00A70B49"/>
    <w:rsid w:val="00A92D94"/>
    <w:rsid w:val="00AA1386"/>
    <w:rsid w:val="00AA26B8"/>
    <w:rsid w:val="00AC0B87"/>
    <w:rsid w:val="00AC2624"/>
    <w:rsid w:val="00AC32A8"/>
    <w:rsid w:val="00AD7E4E"/>
    <w:rsid w:val="00AE31BC"/>
    <w:rsid w:val="00AE7DE0"/>
    <w:rsid w:val="00AF4D58"/>
    <w:rsid w:val="00AF6666"/>
    <w:rsid w:val="00AF7BC5"/>
    <w:rsid w:val="00B273F4"/>
    <w:rsid w:val="00B30B35"/>
    <w:rsid w:val="00B76F39"/>
    <w:rsid w:val="00B81B44"/>
    <w:rsid w:val="00B82DE5"/>
    <w:rsid w:val="00B9053B"/>
    <w:rsid w:val="00B92422"/>
    <w:rsid w:val="00BA0C37"/>
    <w:rsid w:val="00BA3782"/>
    <w:rsid w:val="00BB4D98"/>
    <w:rsid w:val="00BB4EBF"/>
    <w:rsid w:val="00BB59E0"/>
    <w:rsid w:val="00BC3422"/>
    <w:rsid w:val="00BC49FC"/>
    <w:rsid w:val="00BC6E19"/>
    <w:rsid w:val="00BD11C2"/>
    <w:rsid w:val="00BD5018"/>
    <w:rsid w:val="00BE5ADC"/>
    <w:rsid w:val="00BE5DCB"/>
    <w:rsid w:val="00BF4F96"/>
    <w:rsid w:val="00C015B9"/>
    <w:rsid w:val="00C022F9"/>
    <w:rsid w:val="00C032EA"/>
    <w:rsid w:val="00C06EB5"/>
    <w:rsid w:val="00C1145F"/>
    <w:rsid w:val="00C11CD1"/>
    <w:rsid w:val="00C21006"/>
    <w:rsid w:val="00C32D49"/>
    <w:rsid w:val="00C33AD3"/>
    <w:rsid w:val="00C35D53"/>
    <w:rsid w:val="00C41B3C"/>
    <w:rsid w:val="00C43F06"/>
    <w:rsid w:val="00C51C01"/>
    <w:rsid w:val="00C637E1"/>
    <w:rsid w:val="00C65611"/>
    <w:rsid w:val="00C67EAC"/>
    <w:rsid w:val="00C70D50"/>
    <w:rsid w:val="00C72252"/>
    <w:rsid w:val="00C72D2A"/>
    <w:rsid w:val="00C907D7"/>
    <w:rsid w:val="00C92338"/>
    <w:rsid w:val="00CA05DC"/>
    <w:rsid w:val="00CA64BC"/>
    <w:rsid w:val="00CA6871"/>
    <w:rsid w:val="00CA7B47"/>
    <w:rsid w:val="00CB3976"/>
    <w:rsid w:val="00CC058C"/>
    <w:rsid w:val="00CD0307"/>
    <w:rsid w:val="00CD3C79"/>
    <w:rsid w:val="00CD3D1B"/>
    <w:rsid w:val="00CD6EAD"/>
    <w:rsid w:val="00D02663"/>
    <w:rsid w:val="00D0633E"/>
    <w:rsid w:val="00D12E74"/>
    <w:rsid w:val="00D2312F"/>
    <w:rsid w:val="00D23B04"/>
    <w:rsid w:val="00D269C1"/>
    <w:rsid w:val="00D3568B"/>
    <w:rsid w:val="00D41230"/>
    <w:rsid w:val="00D41B2F"/>
    <w:rsid w:val="00D42C56"/>
    <w:rsid w:val="00D44953"/>
    <w:rsid w:val="00D542F3"/>
    <w:rsid w:val="00D54513"/>
    <w:rsid w:val="00D54AAE"/>
    <w:rsid w:val="00D5644B"/>
    <w:rsid w:val="00D56E25"/>
    <w:rsid w:val="00D57E89"/>
    <w:rsid w:val="00D6560D"/>
    <w:rsid w:val="00D65B7A"/>
    <w:rsid w:val="00D65D77"/>
    <w:rsid w:val="00D718D7"/>
    <w:rsid w:val="00D814B7"/>
    <w:rsid w:val="00D90303"/>
    <w:rsid w:val="00D90688"/>
    <w:rsid w:val="00DA3AAD"/>
    <w:rsid w:val="00DA3F36"/>
    <w:rsid w:val="00DB312B"/>
    <w:rsid w:val="00DB739B"/>
    <w:rsid w:val="00DB7F34"/>
    <w:rsid w:val="00DC1E16"/>
    <w:rsid w:val="00DC5654"/>
    <w:rsid w:val="00DC658F"/>
    <w:rsid w:val="00DC674A"/>
    <w:rsid w:val="00DE60CC"/>
    <w:rsid w:val="00E01E29"/>
    <w:rsid w:val="00E03F35"/>
    <w:rsid w:val="00E131C8"/>
    <w:rsid w:val="00E26B32"/>
    <w:rsid w:val="00E31CD4"/>
    <w:rsid w:val="00E31E60"/>
    <w:rsid w:val="00E33E08"/>
    <w:rsid w:val="00E407B6"/>
    <w:rsid w:val="00E41EF1"/>
    <w:rsid w:val="00E42942"/>
    <w:rsid w:val="00E64600"/>
    <w:rsid w:val="00E65A0A"/>
    <w:rsid w:val="00E71BDF"/>
    <w:rsid w:val="00E72554"/>
    <w:rsid w:val="00E75CCB"/>
    <w:rsid w:val="00E8245B"/>
    <w:rsid w:val="00E82C21"/>
    <w:rsid w:val="00E82F09"/>
    <w:rsid w:val="00E82F59"/>
    <w:rsid w:val="00E83CA7"/>
    <w:rsid w:val="00E92192"/>
    <w:rsid w:val="00E9519C"/>
    <w:rsid w:val="00E95A71"/>
    <w:rsid w:val="00EB7014"/>
    <w:rsid w:val="00EC5CDE"/>
    <w:rsid w:val="00EC7F2A"/>
    <w:rsid w:val="00ED3077"/>
    <w:rsid w:val="00ED344F"/>
    <w:rsid w:val="00ED487E"/>
    <w:rsid w:val="00ED64F1"/>
    <w:rsid w:val="00EE33A1"/>
    <w:rsid w:val="00EE7A0D"/>
    <w:rsid w:val="00F0222C"/>
    <w:rsid w:val="00F06647"/>
    <w:rsid w:val="00F12312"/>
    <w:rsid w:val="00F14F7F"/>
    <w:rsid w:val="00F17CE1"/>
    <w:rsid w:val="00F2115C"/>
    <w:rsid w:val="00F22ABA"/>
    <w:rsid w:val="00F25919"/>
    <w:rsid w:val="00F25F4B"/>
    <w:rsid w:val="00F27C9D"/>
    <w:rsid w:val="00F363B9"/>
    <w:rsid w:val="00F36B12"/>
    <w:rsid w:val="00F464B7"/>
    <w:rsid w:val="00F549D4"/>
    <w:rsid w:val="00F60F9F"/>
    <w:rsid w:val="00F61246"/>
    <w:rsid w:val="00F6250C"/>
    <w:rsid w:val="00F64F08"/>
    <w:rsid w:val="00F70055"/>
    <w:rsid w:val="00F734F5"/>
    <w:rsid w:val="00F73B5B"/>
    <w:rsid w:val="00F90EA5"/>
    <w:rsid w:val="00F91F5A"/>
    <w:rsid w:val="00F966B1"/>
    <w:rsid w:val="00F966C6"/>
    <w:rsid w:val="00F97D48"/>
    <w:rsid w:val="00FA0311"/>
    <w:rsid w:val="00FA1489"/>
    <w:rsid w:val="00FA16AC"/>
    <w:rsid w:val="00FB41E0"/>
    <w:rsid w:val="00FB7CB1"/>
    <w:rsid w:val="00FC20C9"/>
    <w:rsid w:val="00FC291E"/>
    <w:rsid w:val="00FD50F0"/>
    <w:rsid w:val="00FD640F"/>
    <w:rsid w:val="00FD6B4C"/>
    <w:rsid w:val="00FE04C6"/>
    <w:rsid w:val="00FE0553"/>
    <w:rsid w:val="00FE25D0"/>
    <w:rsid w:val="00FE6CB3"/>
    <w:rsid w:val="00FF4E99"/>
    <w:rsid w:val="67EB2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AFB59"/>
  <w15:docId w15:val="{C5050C99-B029-46DD-8956-357C216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customStyle="1" w:styleId="Default">
    <w:name w:val="Default"/>
    <w:rsid w:val="000B36A4"/>
    <w:pPr>
      <w:autoSpaceDE w:val="0"/>
      <w:autoSpaceDN w:val="0"/>
      <w:adjustRightInd w:val="0"/>
      <w:spacing w:before="0" w:after="0" w:line="240" w:lineRule="auto"/>
    </w:pPr>
    <w:rPr>
      <w:rFonts w:ascii="Arial" w:hAnsi="Arial" w:cs="Arial"/>
      <w:color w:val="000000"/>
      <w:sz w:val="24"/>
      <w:szCs w:val="24"/>
    </w:rPr>
  </w:style>
  <w:style w:type="character" w:styleId="CommentReference">
    <w:name w:val="annotation reference"/>
    <w:basedOn w:val="DefaultParagraphFont"/>
    <w:uiPriority w:val="1"/>
    <w:semiHidden/>
    <w:unhideWhenUsed/>
    <w:rsid w:val="006B7842"/>
    <w:rPr>
      <w:sz w:val="16"/>
      <w:szCs w:val="16"/>
    </w:rPr>
  </w:style>
  <w:style w:type="paragraph" w:styleId="CommentText">
    <w:name w:val="annotation text"/>
    <w:basedOn w:val="Normal"/>
    <w:link w:val="CommentTextChar"/>
    <w:uiPriority w:val="1"/>
    <w:semiHidden/>
    <w:unhideWhenUsed/>
    <w:rsid w:val="006B7842"/>
    <w:pPr>
      <w:spacing w:line="240" w:lineRule="auto"/>
    </w:pPr>
  </w:style>
  <w:style w:type="character" w:customStyle="1" w:styleId="CommentTextChar">
    <w:name w:val="Comment Text Char"/>
    <w:basedOn w:val="DefaultParagraphFont"/>
    <w:link w:val="CommentText"/>
    <w:uiPriority w:val="1"/>
    <w:semiHidden/>
    <w:rsid w:val="006B7842"/>
  </w:style>
  <w:style w:type="paragraph" w:styleId="CommentSubject">
    <w:name w:val="annotation subject"/>
    <w:basedOn w:val="CommentText"/>
    <w:next w:val="CommentText"/>
    <w:link w:val="CommentSubjectChar"/>
    <w:uiPriority w:val="1"/>
    <w:semiHidden/>
    <w:unhideWhenUsed/>
    <w:rsid w:val="006B7842"/>
    <w:rPr>
      <w:b/>
      <w:bCs/>
    </w:rPr>
  </w:style>
  <w:style w:type="character" w:customStyle="1" w:styleId="CommentSubjectChar">
    <w:name w:val="Comment Subject Char"/>
    <w:basedOn w:val="CommentTextChar"/>
    <w:link w:val="CommentSubject"/>
    <w:uiPriority w:val="1"/>
    <w:semiHidden/>
    <w:rsid w:val="006B7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bettersafercare.vic.gov.au/sites/default/files/2019-12/CCOPMM%20REPORT%20-%20FINAL_1812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B70EB72AB14594A02DD4A7ACB32251"/>
        <w:category>
          <w:name w:val="General"/>
          <w:gallery w:val="placeholder"/>
        </w:category>
        <w:types>
          <w:type w:val="bbPlcHdr"/>
        </w:types>
        <w:behaviors>
          <w:behavior w:val="content"/>
        </w:behaviors>
        <w:guid w:val="{B3EA902D-19F5-4E1D-A514-614EC6292977}"/>
      </w:docPartPr>
      <w:docPartBody>
        <w:p w:rsidR="002A6126" w:rsidRDefault="0094165D">
          <w:pPr>
            <w:pStyle w:val="A5B70EB72AB14594A02DD4A7ACB32251"/>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5D"/>
    <w:rsid w:val="001326FE"/>
    <w:rsid w:val="001E112C"/>
    <w:rsid w:val="002A6126"/>
    <w:rsid w:val="005F5307"/>
    <w:rsid w:val="008F589C"/>
    <w:rsid w:val="0094165D"/>
    <w:rsid w:val="00DC562D"/>
    <w:rsid w:val="00F06B27"/>
    <w:rsid w:val="00F5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5B70EB72AB14594A02DD4A7ACB32251">
    <w:name w:val="A5B70EB72AB14594A02DD4A7ACB32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bfba302294fc5ecfba278cb81bb0540f">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26f422326d7245af9fd651429861fde6"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123D1-0356-47AD-BD1A-7AA704144F21}">
  <ds:schemaRefs>
    <ds:schemaRef ds:uri="http://schemas.openxmlformats.org/officeDocument/2006/bibliography"/>
  </ds:schemaRefs>
</ds:datastoreItem>
</file>

<file path=customXml/itemProps2.xml><?xml version="1.0" encoding="utf-8"?>
<ds:datastoreItem xmlns:ds="http://schemas.openxmlformats.org/officeDocument/2006/customXml" ds:itemID="{8E268F82-5F0A-4C0E-838E-1D38D9C52A1B}">
  <ds:schemaRefs>
    <ds:schemaRef ds:uri="http://schemas.microsoft.com/sharepoint/v3/contenttype/forms"/>
  </ds:schemaRefs>
</ds:datastoreItem>
</file>

<file path=customXml/itemProps3.xml><?xml version="1.0" encoding="utf-8"?>
<ds:datastoreItem xmlns:ds="http://schemas.openxmlformats.org/officeDocument/2006/customXml" ds:itemID="{D0725546-3690-48A4-859A-97C7864F3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CEBB1-0436-4B34-B092-27F32EEC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Safer baby collaborative – Phase 2 Charter</vt:lpstr>
    </vt:vector>
  </TitlesOfParts>
  <Company>Department of Treasury and Finance</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baby collaborative – Phase 2 Charter</dc:title>
  <dc:creator>Gemma Wills (DHHS)</dc:creator>
  <cp:lastModifiedBy>Terry T</cp:lastModifiedBy>
  <cp:revision>2</cp:revision>
  <cp:lastPrinted>2021-02-10T00:32:00Z</cp:lastPrinted>
  <dcterms:created xsi:type="dcterms:W3CDTF">2021-02-16T22:30:00Z</dcterms:created>
  <dcterms:modified xsi:type="dcterms:W3CDTF">2021-02-16T22:30:00Z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y fmtid="{D5CDD505-2E9C-101B-9397-08002B2CF9AE}" pid="5" name="MSIP_Label_efdf5488-3066-4b6c-8fea-9472b8a1f34c_Enabled">
    <vt:lpwstr>true</vt:lpwstr>
  </property>
  <property fmtid="{D5CDD505-2E9C-101B-9397-08002B2CF9AE}" pid="6" name="MSIP_Label_efdf5488-3066-4b6c-8fea-9472b8a1f34c_SetDate">
    <vt:lpwstr>2021-02-16T20:53:51Z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55433bb1-c8e4-41ed-a95c-eb9f142b625d</vt:lpwstr>
  </property>
  <property fmtid="{D5CDD505-2E9C-101B-9397-08002B2CF9AE}" pid="11" name="MSIP_Label_efdf5488-3066-4b6c-8fea-9472b8a1f34c_ContentBits">
    <vt:lpwstr>0</vt:lpwstr>
  </property>
</Properties>
</file>