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7CE09" w14:textId="77777777" w:rsidR="00BE4092" w:rsidRPr="00BE60CF" w:rsidRDefault="00F16C4F" w:rsidP="00BE4092">
      <w:pPr>
        <w:pStyle w:val="SCVbody"/>
      </w:pPr>
      <w:r>
        <w:rPr>
          <w:noProof/>
        </w:rPr>
        <mc:AlternateContent>
          <mc:Choice Requires="wps">
            <w:drawing>
              <wp:anchor distT="0" distB="0" distL="114300" distR="114300" simplePos="0" relativeHeight="251660288" behindDoc="0" locked="0" layoutInCell="1" allowOverlap="1" wp14:anchorId="5D314F88" wp14:editId="47C4EE05">
                <wp:simplePos x="0" y="0"/>
                <wp:positionH relativeFrom="column">
                  <wp:posOffset>-168245</wp:posOffset>
                </wp:positionH>
                <wp:positionV relativeFrom="paragraph">
                  <wp:posOffset>-1935111</wp:posOffset>
                </wp:positionV>
                <wp:extent cx="3115339" cy="924649"/>
                <wp:effectExtent l="0" t="0" r="8890" b="8890"/>
                <wp:wrapNone/>
                <wp:docPr id="8" name="Rectangle 8"/>
                <wp:cNvGraphicFramePr/>
                <a:graphic xmlns:a="http://schemas.openxmlformats.org/drawingml/2006/main">
                  <a:graphicData uri="http://schemas.microsoft.com/office/word/2010/wordprocessingShape">
                    <wps:wsp>
                      <wps:cNvSpPr/>
                      <wps:spPr>
                        <a:xfrm>
                          <a:off x="0" y="0"/>
                          <a:ext cx="3115339" cy="92464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C47D8A" id="Rectangle 8" o:spid="_x0000_s1026" style="position:absolute;margin-left:-13.25pt;margin-top:-152.35pt;width:245.3pt;height:72.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" fillcolor="#408abb [3204]" stroked="f" strokeweight="2pt"/>
            </w:pict>
          </mc:Fallback>
        </mc:AlternateContent>
      </w:r>
      <w:r>
        <w:rPr>
          <w:noProof/>
        </w:rPr>
        <w:drawing>
          <wp:anchor distT="0" distB="0" distL="114300" distR="114300" simplePos="0" relativeHeight="251661312" behindDoc="0" locked="0" layoutInCell="1" allowOverlap="1" wp14:anchorId="68EC18F2" wp14:editId="4485E1AB">
            <wp:simplePos x="0" y="0"/>
            <wp:positionH relativeFrom="column">
              <wp:posOffset>-381000</wp:posOffset>
            </wp:positionH>
            <wp:positionV relativeFrom="paragraph">
              <wp:posOffset>-2263302</wp:posOffset>
            </wp:positionV>
            <wp:extent cx="3054001" cy="160551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DRB_Revers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4001" cy="1605516"/>
                    </a:xfrm>
                    <a:prstGeom prst="rect">
                      <a:avLst/>
                    </a:prstGeom>
                  </pic:spPr>
                </pic:pic>
              </a:graphicData>
            </a:graphic>
            <wp14:sizeRelH relativeFrom="page">
              <wp14:pctWidth>0</wp14:pctWidth>
            </wp14:sizeRelH>
            <wp14:sizeRelV relativeFrom="page">
              <wp14:pctHeight>0</wp14:pctHeight>
            </wp14:sizeRelV>
          </wp:anchor>
        </w:drawing>
      </w:r>
      <w:r w:rsidR="00BE4092" w:rsidRPr="00BE60CF">
        <w:rPr>
          <w:noProof/>
        </w:rPr>
        <w:drawing>
          <wp:anchor distT="0" distB="0" distL="114300" distR="114300" simplePos="0" relativeHeight="251658240" behindDoc="1" locked="1" layoutInCell="1" allowOverlap="1" wp14:anchorId="5F2F2A39" wp14:editId="31C5CB00">
            <wp:simplePos x="0" y="0"/>
            <wp:positionH relativeFrom="page">
              <wp:align>left</wp:align>
            </wp:positionH>
            <wp:positionV relativeFrom="page">
              <wp:posOffset>556260</wp:posOffset>
            </wp:positionV>
            <wp:extent cx="7559675" cy="9613900"/>
            <wp:effectExtent l="0" t="0" r="3175" b="6350"/>
            <wp:wrapNone/>
            <wp:docPr id="6" name="Picture 6" descr="Consultative Council on Obstetric and Paediatric Mortality and Morbidity - 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nsultative Council on Obstetric and Paediatric Mortality and Morbidity - Safer Care Victoria"/>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9675" cy="9613900"/>
                    </a:xfrm>
                    <a:prstGeom prst="rect">
                      <a:avLst/>
                    </a:prstGeom>
                  </pic:spPr>
                </pic:pic>
              </a:graphicData>
            </a:graphic>
            <wp14:sizeRelH relativeFrom="margin">
              <wp14:pctWidth>0</wp14:pctWidth>
            </wp14:sizeRelH>
            <wp14:sizeRelV relativeFrom="margin">
              <wp14:pctHeight>0</wp14:pctHeight>
            </wp14:sizeRelV>
          </wp:anchor>
        </w:drawing>
      </w:r>
    </w:p>
    <w:p w14:paraId="64B7F82C" w14:textId="77777777" w:rsidR="00C50A2B" w:rsidRPr="0092445D" w:rsidRDefault="00F16C4F" w:rsidP="00D15955">
      <w:pPr>
        <w:pStyle w:val="SCVreporttitle"/>
        <w:spacing w:before="160"/>
        <w:rPr>
          <w:rFonts w:ascii="Arial" w:hAnsi="Arial" w:cs="Arial"/>
          <w:b/>
          <w:bCs w:val="0"/>
          <w:sz w:val="70"/>
          <w:szCs w:val="70"/>
        </w:rPr>
      </w:pPr>
      <w:r w:rsidRPr="0092445D">
        <w:rPr>
          <w:rFonts w:ascii="Arial" w:hAnsi="Arial" w:cs="Arial"/>
          <w:b/>
          <w:bCs w:val="0"/>
          <w:sz w:val="70"/>
          <w:szCs w:val="70"/>
        </w:rPr>
        <w:t>Report of operations</w:t>
      </w:r>
    </w:p>
    <w:p w14:paraId="00B8A613" w14:textId="77777777" w:rsidR="00C50A2B" w:rsidRPr="0092445D" w:rsidRDefault="00F16C4F" w:rsidP="00C50A2B">
      <w:pPr>
        <w:pStyle w:val="SCVreportsubtitle"/>
        <w:rPr>
          <w:rFonts w:ascii="Arial" w:hAnsi="Arial" w:cs="Arial"/>
          <w:b/>
          <w:bCs/>
          <w:sz w:val="50"/>
          <w:szCs w:val="50"/>
        </w:rPr>
      </w:pPr>
      <w:r w:rsidRPr="0092445D">
        <w:rPr>
          <w:rFonts w:ascii="Arial" w:hAnsi="Arial" w:cs="Arial"/>
          <w:b/>
          <w:bCs/>
          <w:sz w:val="50"/>
          <w:szCs w:val="50"/>
        </w:rPr>
        <w:t>January to June 2021</w:t>
      </w:r>
    </w:p>
    <w:p w14:paraId="46C7E491" w14:textId="77777777" w:rsidR="009A35AA" w:rsidRPr="00BE60CF" w:rsidRDefault="009A35AA" w:rsidP="00A46288">
      <w:pPr>
        <w:pStyle w:val="NoSpacing"/>
      </w:pPr>
    </w:p>
    <w:p w14:paraId="7D987B52" w14:textId="77777777" w:rsidR="00A46288" w:rsidRPr="00BE60CF" w:rsidRDefault="00A46288" w:rsidP="00A45CB0">
      <w:pPr>
        <w:pStyle w:val="SCVbody"/>
        <w:sectPr w:rsidR="00A46288" w:rsidRPr="00BE60CF" w:rsidSect="00BE4092">
          <w:headerReference w:type="even" r:id="rId10"/>
          <w:headerReference w:type="default" r:id="rId11"/>
          <w:footerReference w:type="even" r:id="rId12"/>
          <w:footerReference w:type="default" r:id="rId13"/>
          <w:headerReference w:type="first" r:id="rId14"/>
          <w:footerReference w:type="first" r:id="rId15"/>
          <w:pgSz w:w="11906" w:h="16838" w:code="9"/>
          <w:pgMar w:top="4253" w:right="2381" w:bottom="1361" w:left="851" w:header="454" w:footer="454" w:gutter="0"/>
          <w:cols w:space="284"/>
          <w:docGrid w:linePitch="360"/>
        </w:sectPr>
      </w:pPr>
    </w:p>
    <w:tbl>
      <w:tblPr>
        <w:tblStyle w:val="SCVInformationTable"/>
        <w:tblW w:w="10206" w:type="dxa"/>
        <w:tblLook w:val="0600" w:firstRow="0" w:lastRow="0" w:firstColumn="0" w:lastColumn="0" w:noHBand="1" w:noVBand="1"/>
      </w:tblPr>
      <w:tblGrid>
        <w:gridCol w:w="10206"/>
      </w:tblGrid>
      <w:tr w:rsidR="00B556E1" w:rsidRPr="00BE60CF" w14:paraId="50DAE5CE" w14:textId="77777777" w:rsidTr="009A35AA">
        <w:trPr>
          <w:trHeight w:val="6387"/>
        </w:trPr>
        <w:tc>
          <w:tcPr>
            <w:tcW w:w="9070" w:type="dxa"/>
            <w:shd w:val="clear" w:color="auto" w:fill="auto"/>
          </w:tcPr>
          <w:p w14:paraId="5DBFECA0" w14:textId="77777777" w:rsidR="00F16C4F" w:rsidRPr="009B0FED" w:rsidRDefault="00F16C4F" w:rsidP="00BF4169">
            <w:pPr>
              <w:pStyle w:val="SCVintroductorytext"/>
              <w:spacing w:after="120"/>
            </w:pPr>
            <w:r w:rsidRPr="009B0FED">
              <w:lastRenderedPageBreak/>
              <w:t xml:space="preserve">This is the fifth report from the independent Voluntary Assisted Dying Review Board. </w:t>
            </w:r>
          </w:p>
          <w:p w14:paraId="26E5AF70" w14:textId="77777777" w:rsidR="00F16C4F" w:rsidRDefault="00F16C4F" w:rsidP="00F16C4F">
            <w:pPr>
              <w:pStyle w:val="SCVbodyafterheading"/>
              <w:rPr>
                <w:lang w:eastAsia="en-US"/>
              </w:rPr>
            </w:pPr>
            <w:r w:rsidRPr="009A06F5">
              <w:rPr>
                <w:lang w:eastAsia="en-US"/>
              </w:rPr>
              <w:t xml:space="preserve">It </w:t>
            </w:r>
            <w:r w:rsidRPr="002C65B8">
              <w:t>details</w:t>
            </w:r>
            <w:r w:rsidRPr="009A06F5">
              <w:rPr>
                <w:lang w:eastAsia="en-US"/>
              </w:rPr>
              <w:t xml:space="preserve">: </w:t>
            </w:r>
          </w:p>
          <w:p w14:paraId="54881216" w14:textId="77777777" w:rsidR="00F16C4F" w:rsidRPr="009A06F5" w:rsidRDefault="00F16C4F" w:rsidP="00F16C4F">
            <w:pPr>
              <w:pStyle w:val="SCVbullet1"/>
              <w:numPr>
                <w:ilvl w:val="0"/>
                <w:numId w:val="6"/>
              </w:numPr>
            </w:pPr>
            <w:r>
              <w:t>activity since 1 January to 30 June 2021</w:t>
            </w:r>
            <w:r w:rsidRPr="009A06F5">
              <w:t xml:space="preserve"> as well as since the commencement of the </w:t>
            </w:r>
            <w:r w:rsidRPr="00ED1F7E">
              <w:rPr>
                <w:i/>
              </w:rPr>
              <w:t>Voluntary Assisted Dying Act 2017</w:t>
            </w:r>
            <w:r>
              <w:rPr>
                <w:i/>
              </w:rPr>
              <w:t xml:space="preserve"> </w:t>
            </w:r>
            <w:r w:rsidRPr="00F5449B">
              <w:rPr>
                <w:iCs/>
              </w:rPr>
              <w:t>(the Act)</w:t>
            </w:r>
          </w:p>
          <w:p w14:paraId="032AAAE4" w14:textId="77777777" w:rsidR="00F16C4F" w:rsidRDefault="00F16C4F" w:rsidP="00F16C4F">
            <w:pPr>
              <w:pStyle w:val="SCVbullet1"/>
              <w:numPr>
                <w:ilvl w:val="0"/>
                <w:numId w:val="6"/>
              </w:numPr>
            </w:pPr>
            <w:r w:rsidRPr="009A06F5">
              <w:t>key lessons drawn from case reviews and feedback.</w:t>
            </w:r>
          </w:p>
          <w:p w14:paraId="16EA9897" w14:textId="2DB0DB42" w:rsidR="00F16C4F" w:rsidRDefault="00F16C4F" w:rsidP="00BF4169">
            <w:pPr>
              <w:pStyle w:val="SCVbody"/>
              <w:spacing w:before="160"/>
              <w:rPr>
                <w:lang w:eastAsia="en-US"/>
              </w:rPr>
            </w:pPr>
            <w:r w:rsidRPr="009A06F5">
              <w:rPr>
                <w:lang w:eastAsia="en-US"/>
              </w:rPr>
              <w:t xml:space="preserve">This report contains quotes and feedback from people who have chosen </w:t>
            </w:r>
            <w:r>
              <w:rPr>
                <w:lang w:eastAsia="en-US"/>
              </w:rPr>
              <w:t>to die from taking the voluntary assisted dying medication</w:t>
            </w:r>
            <w:r w:rsidRPr="009A06F5">
              <w:rPr>
                <w:lang w:eastAsia="en-US"/>
              </w:rPr>
              <w:t>, those who were with them when they died</w:t>
            </w:r>
            <w:r w:rsidR="00C1050F">
              <w:rPr>
                <w:lang w:eastAsia="en-US"/>
              </w:rPr>
              <w:t>,</w:t>
            </w:r>
            <w:r>
              <w:rPr>
                <w:lang w:eastAsia="en-US"/>
              </w:rPr>
              <w:t xml:space="preserve"> and trained medical practitioners involved in voluntary assisted dying cases. </w:t>
            </w:r>
            <w:r w:rsidR="00BF4169" w:rsidRPr="009A06F5">
              <w:rPr>
                <w:lang w:eastAsia="en-US"/>
              </w:rPr>
              <w:t xml:space="preserve">These quotes have been de-identified to protect the privacy of individuals. </w:t>
            </w:r>
            <w:r w:rsidRPr="009A06F5">
              <w:rPr>
                <w:lang w:eastAsia="en-US"/>
              </w:rPr>
              <w:t xml:space="preserve">This content may be upsetting to some. </w:t>
            </w:r>
            <w:r>
              <w:rPr>
                <w:lang w:eastAsia="en-US"/>
              </w:rPr>
              <w:t>Contact details for support organisations can be found on page 2</w:t>
            </w:r>
            <w:r w:rsidR="00E833AF">
              <w:rPr>
                <w:lang w:eastAsia="en-US"/>
              </w:rPr>
              <w:t>2</w:t>
            </w:r>
            <w:r>
              <w:rPr>
                <w:lang w:eastAsia="en-US"/>
              </w:rPr>
              <w:t>.</w:t>
            </w:r>
          </w:p>
          <w:p w14:paraId="40EC8F55" w14:textId="7B9EDEB3" w:rsidR="00F16C4F" w:rsidRDefault="00F16C4F" w:rsidP="00F16C4F">
            <w:pPr>
              <w:pStyle w:val="SCVbody"/>
              <w:rPr>
                <w:lang w:eastAsia="en-US"/>
              </w:rPr>
            </w:pPr>
            <w:r>
              <w:rPr>
                <w:lang w:eastAsia="en-US"/>
              </w:rPr>
              <w:t>By law, the Board has been</w:t>
            </w:r>
            <w:r w:rsidRPr="009A06F5">
              <w:rPr>
                <w:lang w:eastAsia="en-US"/>
              </w:rPr>
              <w:t xml:space="preserve"> required to report to Parliament every six months for the first two years</w:t>
            </w:r>
            <w:r w:rsidR="00C1050F">
              <w:rPr>
                <w:lang w:eastAsia="en-US"/>
              </w:rPr>
              <w:t>. T</w:t>
            </w:r>
            <w:r>
              <w:rPr>
                <w:lang w:eastAsia="en-US"/>
              </w:rPr>
              <w:t>his is the final six-monthly report</w:t>
            </w:r>
            <w:r w:rsidRPr="009A06F5">
              <w:rPr>
                <w:lang w:eastAsia="en-US"/>
              </w:rPr>
              <w:t xml:space="preserve">. The next report will be </w:t>
            </w:r>
            <w:r>
              <w:rPr>
                <w:lang w:eastAsia="en-US"/>
              </w:rPr>
              <w:t>submitted</w:t>
            </w:r>
            <w:r w:rsidRPr="009A06F5">
              <w:rPr>
                <w:lang w:eastAsia="en-US"/>
              </w:rPr>
              <w:t xml:space="preserve"> by </w:t>
            </w:r>
            <w:r>
              <w:rPr>
                <w:lang w:eastAsia="en-US"/>
              </w:rPr>
              <w:t xml:space="preserve">the </w:t>
            </w:r>
            <w:r w:rsidRPr="00E12F18">
              <w:rPr>
                <w:lang w:eastAsia="en-US"/>
              </w:rPr>
              <w:t xml:space="preserve">end </w:t>
            </w:r>
            <w:r>
              <w:rPr>
                <w:lang w:eastAsia="en-US"/>
              </w:rPr>
              <w:t xml:space="preserve">of </w:t>
            </w:r>
            <w:r>
              <w:rPr>
                <w:rStyle w:val="Heading4Char"/>
              </w:rPr>
              <w:t>September 2022</w:t>
            </w:r>
            <w:r w:rsidRPr="009A06F5">
              <w:rPr>
                <w:lang w:eastAsia="en-US"/>
              </w:rPr>
              <w:t xml:space="preserve"> and will cover </w:t>
            </w:r>
            <w:r>
              <w:rPr>
                <w:lang w:eastAsia="en-US"/>
              </w:rPr>
              <w:t>the reporting period 1 July 2021 to 30</w:t>
            </w:r>
            <w:r w:rsidRPr="009A06F5">
              <w:rPr>
                <w:lang w:eastAsia="en-US"/>
              </w:rPr>
              <w:t xml:space="preserve"> </w:t>
            </w:r>
            <w:r>
              <w:rPr>
                <w:lang w:eastAsia="en-US"/>
              </w:rPr>
              <w:t>June 2022</w:t>
            </w:r>
            <w:r w:rsidRPr="009A06F5">
              <w:rPr>
                <w:lang w:eastAsia="en-US"/>
              </w:rPr>
              <w:t>.</w:t>
            </w:r>
          </w:p>
          <w:p w14:paraId="4E437C61" w14:textId="77777777" w:rsidR="00F16C4F" w:rsidRDefault="00F16C4F" w:rsidP="00F16C4F">
            <w:pPr>
              <w:pStyle w:val="Heading2"/>
              <w:outlineLvl w:val="1"/>
              <w:rPr>
                <w:b w:val="0"/>
                <w:lang w:eastAsia="en-US"/>
              </w:rPr>
            </w:pPr>
            <w:r w:rsidRPr="009A06F5">
              <w:rPr>
                <w:rStyle w:val="Heading4Char"/>
              </w:rPr>
              <w:t>More information</w:t>
            </w:r>
          </w:p>
          <w:p w14:paraId="0E07808A" w14:textId="77777777" w:rsidR="00B556E1" w:rsidRPr="00BE60CF" w:rsidRDefault="0092445D" w:rsidP="00F16C4F">
            <w:pPr>
              <w:pStyle w:val="SCVbody"/>
              <w:rPr>
                <w:lang w:eastAsia="en-US"/>
              </w:rPr>
            </w:pPr>
            <w:hyperlink r:id="rId16" w:history="1">
              <w:r w:rsidR="00F16C4F" w:rsidRPr="00041782">
                <w:rPr>
                  <w:rStyle w:val="Hyperlink"/>
                  <w:u w:val="none"/>
                </w:rPr>
                <w:t>bettersafercare.vic.gov.au/</w:t>
              </w:r>
              <w:proofErr w:type="spellStart"/>
              <w:r w:rsidR="00F16C4F" w:rsidRPr="00041782">
                <w:rPr>
                  <w:rStyle w:val="Hyperlink"/>
                  <w:u w:val="none"/>
                </w:rPr>
                <w:t>vad</w:t>
              </w:r>
              <w:proofErr w:type="spellEnd"/>
            </w:hyperlink>
          </w:p>
        </w:tc>
      </w:tr>
      <w:tr w:rsidR="00C539DC" w:rsidRPr="00BE60CF" w14:paraId="6602CF1E" w14:textId="77777777" w:rsidTr="00B37FF8">
        <w:trPr>
          <w:cantSplit/>
          <w:trHeight w:val="3969"/>
        </w:trPr>
        <w:tc>
          <w:tcPr>
            <w:tcW w:w="9070" w:type="dxa"/>
          </w:tcPr>
          <w:p w14:paraId="78AEE819" w14:textId="77777777" w:rsidR="00C539DC" w:rsidRPr="00BE60CF" w:rsidRDefault="00C539DC" w:rsidP="00A45CB0">
            <w:pPr>
              <w:pStyle w:val="SCVaccessibilitypara"/>
            </w:pPr>
            <w:r w:rsidRPr="00BE60CF">
              <w:t xml:space="preserve">To receive this publication in an accessible format phone 03 </w:t>
            </w:r>
            <w:r w:rsidR="00BF4169" w:rsidRPr="00BF4169">
              <w:t>9500 4189</w:t>
            </w:r>
            <w:r w:rsidRPr="00BE60CF">
              <w:t xml:space="preserve">, </w:t>
            </w:r>
            <w:r w:rsidR="00D662E0" w:rsidRPr="00BE60CF">
              <w:br/>
            </w:r>
            <w:r w:rsidRPr="00BE60CF">
              <w:t xml:space="preserve">using the National Relay Service 13 36 </w:t>
            </w:r>
            <w:r w:rsidRPr="00BE60CF">
              <w:rPr>
                <w:spacing w:val="-2"/>
              </w:rPr>
              <w:t xml:space="preserve">77 if required, or </w:t>
            </w:r>
            <w:hyperlink r:id="rId17" w:history="1">
              <w:r w:rsidRPr="002E4EB3">
                <w:rPr>
                  <w:rStyle w:val="Hyperlink"/>
                  <w:u w:val="none"/>
                </w:rPr>
                <w:t>email Safer Care Victoria</w:t>
              </w:r>
            </w:hyperlink>
            <w:r w:rsidRPr="00BE60CF">
              <w:t xml:space="preserve"> </w:t>
            </w:r>
            <w:r w:rsidR="00D662E0" w:rsidRPr="00BE60CF">
              <w:t>&lt;</w:t>
            </w:r>
            <w:r w:rsidR="00947A0F" w:rsidRPr="00BE60CF">
              <w:t>info@</w:t>
            </w:r>
            <w:hyperlink r:id="rId18" w:history="1">
              <w:r w:rsidRPr="00BE60CF">
                <w:t>safercarevictoria.vic</w:t>
              </w:r>
            </w:hyperlink>
            <w:r w:rsidRPr="00BE60CF">
              <w:t>.gov.au</w:t>
            </w:r>
            <w:r w:rsidR="00D662E0" w:rsidRPr="00BE60CF">
              <w:t>&gt;</w:t>
            </w:r>
          </w:p>
          <w:p w14:paraId="690B063C" w14:textId="77777777" w:rsidR="00C539DC" w:rsidRPr="00BE60CF" w:rsidRDefault="00C539DC" w:rsidP="00B37FF8">
            <w:pPr>
              <w:pStyle w:val="SCVimprint"/>
            </w:pPr>
            <w:r w:rsidRPr="00BE60CF">
              <w:t xml:space="preserve">Authorised and </w:t>
            </w:r>
            <w:r w:rsidRPr="00BE60CF">
              <w:rPr>
                <w:spacing w:val="-2"/>
              </w:rPr>
              <w:t>published by the Victorian</w:t>
            </w:r>
            <w:r w:rsidRPr="00BE60CF">
              <w:t xml:space="preserve"> Government, 1 Treasury Place, Melbourne.</w:t>
            </w:r>
          </w:p>
          <w:p w14:paraId="66FB0F13" w14:textId="77777777" w:rsidR="00C539DC" w:rsidRPr="00BE60CF" w:rsidRDefault="00C539DC" w:rsidP="00B37FF8">
            <w:pPr>
              <w:pStyle w:val="SCVimprint"/>
            </w:pPr>
            <w:r w:rsidRPr="00BE60CF">
              <w:t xml:space="preserve">© State of Victoria, Australia, Safer Care </w:t>
            </w:r>
            <w:r w:rsidRPr="00F16C4F">
              <w:t xml:space="preserve">Victoria, </w:t>
            </w:r>
            <w:r w:rsidR="00F16C4F" w:rsidRPr="00F16C4F">
              <w:t>August 2021</w:t>
            </w:r>
          </w:p>
          <w:p w14:paraId="487E3F97" w14:textId="77777777" w:rsidR="00F16C4F" w:rsidRDefault="00F16C4F" w:rsidP="00F16C4F">
            <w:pPr>
              <w:pStyle w:val="SCVimprint"/>
            </w:pPr>
            <w:r>
              <w:t>ISSN 2652-1962 – Print</w:t>
            </w:r>
          </w:p>
          <w:p w14:paraId="2E5A6F14" w14:textId="77777777" w:rsidR="00F16C4F" w:rsidRDefault="00F16C4F" w:rsidP="00F16C4F">
            <w:pPr>
              <w:pStyle w:val="SCVimprint"/>
            </w:pPr>
            <w:r>
              <w:t>ISSN 2652-1970 – Online (pdf/word)</w:t>
            </w:r>
          </w:p>
          <w:p w14:paraId="5E642955" w14:textId="77777777" w:rsidR="00C539DC" w:rsidRPr="00BE60CF" w:rsidRDefault="00C539DC" w:rsidP="00F16C4F">
            <w:pPr>
              <w:pStyle w:val="SCVimprint"/>
            </w:pPr>
            <w:r w:rsidRPr="00BE60CF">
              <w:t xml:space="preserve">Available at the </w:t>
            </w:r>
            <w:hyperlink r:id="rId19" w:history="1">
              <w:r w:rsidRPr="002E4EB3">
                <w:rPr>
                  <w:rStyle w:val="Hyperlink"/>
                  <w:u w:val="none"/>
                </w:rPr>
                <w:t>Safer Care Victoria website</w:t>
              </w:r>
            </w:hyperlink>
            <w:r w:rsidRPr="00BE60CF">
              <w:t xml:space="preserve"> </w:t>
            </w:r>
            <w:r w:rsidR="00D662E0" w:rsidRPr="00BE60CF">
              <w:t>&lt;</w:t>
            </w:r>
            <w:r w:rsidRPr="00BE60CF">
              <w:t>https://</w:t>
            </w:r>
            <w:hyperlink r:id="rId20" w:history="1">
              <w:r w:rsidRPr="00BE60CF">
                <w:t>www.safercare.vic</w:t>
              </w:r>
            </w:hyperlink>
            <w:r w:rsidRPr="00BE60CF">
              <w:t>.gov.au</w:t>
            </w:r>
            <w:r w:rsidR="00D662E0" w:rsidRPr="00BE60CF">
              <w:t>&gt;</w:t>
            </w:r>
          </w:p>
          <w:p w14:paraId="43927E44" w14:textId="77777777" w:rsidR="00C539DC" w:rsidRPr="00BE60CF" w:rsidRDefault="00C539DC" w:rsidP="00205C68">
            <w:pPr>
              <w:pStyle w:val="SCVbody"/>
              <w:jc w:val="right"/>
            </w:pPr>
            <w:r w:rsidRPr="00BE60CF">
              <w:rPr>
                <w:noProof/>
              </w:rPr>
              <w:drawing>
                <wp:inline distT="0" distB="0" distL="0" distR="0" wp14:anchorId="0D1DCC6F" wp14:editId="4B387B8A">
                  <wp:extent cx="795600" cy="453600"/>
                  <wp:effectExtent l="0" t="0" r="5080" b="3810"/>
                  <wp:docPr id="16" name="Picture 16"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Victoria State Govern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14:paraId="14D098A1" w14:textId="77777777" w:rsidR="0086277A" w:rsidRPr="00BE60CF" w:rsidRDefault="0086277A" w:rsidP="00A45CB0">
      <w:pPr>
        <w:pStyle w:val="SCVbody"/>
      </w:pPr>
    </w:p>
    <w:p w14:paraId="217C0D17" w14:textId="77777777" w:rsidR="0086277A" w:rsidRPr="00BE60CF" w:rsidRDefault="0086277A" w:rsidP="00A45CB0">
      <w:pPr>
        <w:pStyle w:val="SCVbody"/>
        <w:sectPr w:rsidR="0086277A" w:rsidRPr="00BE60CF" w:rsidSect="00616087">
          <w:headerReference w:type="even" r:id="rId22"/>
          <w:footerReference w:type="even" r:id="rId23"/>
          <w:footerReference w:type="default" r:id="rId24"/>
          <w:headerReference w:type="first" r:id="rId25"/>
          <w:footerReference w:type="first" r:id="rId26"/>
          <w:pgSz w:w="11906" w:h="16838" w:code="9"/>
          <w:pgMar w:top="3402" w:right="851" w:bottom="1361" w:left="851" w:header="851" w:footer="851" w:gutter="0"/>
          <w:pgNumType w:fmt="lowerRoman"/>
          <w:cols w:space="284"/>
          <w:docGrid w:linePitch="360"/>
        </w:sectPr>
      </w:pPr>
    </w:p>
    <w:p w14:paraId="2F0EF277" w14:textId="77777777" w:rsidR="00F16C4F" w:rsidRDefault="00F16C4F" w:rsidP="00F16C4F">
      <w:pPr>
        <w:pStyle w:val="Heading1"/>
      </w:pPr>
      <w:r>
        <w:lastRenderedPageBreak/>
        <w:t>Foreword</w:t>
      </w:r>
    </w:p>
    <w:p w14:paraId="6B78812A" w14:textId="6A22893E" w:rsidR="00F16C4F" w:rsidRPr="00F16C4F" w:rsidRDefault="00F16C4F" w:rsidP="00F16C4F">
      <w:pPr>
        <w:pStyle w:val="SCVintroductorytext"/>
      </w:pPr>
      <w:r w:rsidRPr="00F16C4F">
        <w:t>Two years have now passed since Victoria became the first state in Australia to introduce voluntary assisted dying. Since that time, Western Australia has implemented their legislation, South Australia and Tasmania have passed their own legislation, Queensland has introduced their legislation in Parliament and NSW will soon begin parliamentary debate. There is no doubt that Victoria has played a</w:t>
      </w:r>
      <w:r w:rsidR="00C1050F">
        <w:t>n</w:t>
      </w:r>
      <w:r w:rsidRPr="00F16C4F">
        <w:t xml:space="preserve"> </w:t>
      </w:r>
      <w:r w:rsidR="00C1050F">
        <w:t>influential</w:t>
      </w:r>
      <w:r w:rsidRPr="00F16C4F">
        <w:t xml:space="preserve"> role in inspiring law reform across Australia.</w:t>
      </w:r>
    </w:p>
    <w:p w14:paraId="09002278" w14:textId="77777777" w:rsidR="00F16C4F" w:rsidRPr="00F16C4F" w:rsidRDefault="00F16C4F" w:rsidP="00F16C4F">
      <w:pPr>
        <w:pStyle w:val="SCVbody"/>
        <w:rPr>
          <w:rFonts w:ascii="VIC Medium" w:hAnsi="VIC Medium"/>
        </w:rPr>
        <w:sectPr w:rsidR="00F16C4F" w:rsidRPr="00F16C4F" w:rsidSect="00A27B01">
          <w:headerReference w:type="even" r:id="rId27"/>
          <w:headerReference w:type="default" r:id="rId28"/>
          <w:footerReference w:type="even" r:id="rId29"/>
          <w:footerReference w:type="default" r:id="rId30"/>
          <w:pgSz w:w="11906" w:h="16838" w:code="9"/>
          <w:pgMar w:top="3402" w:right="851" w:bottom="1361" w:left="851" w:header="851" w:footer="851" w:gutter="0"/>
          <w:pgNumType w:start="1"/>
          <w:cols w:space="284"/>
          <w:docGrid w:linePitch="360"/>
        </w:sectPr>
      </w:pPr>
    </w:p>
    <w:p w14:paraId="653712F5" w14:textId="77777777" w:rsidR="00F16C4F" w:rsidRDefault="00F16C4F" w:rsidP="00BF4169">
      <w:pPr>
        <w:pStyle w:val="SCVbody"/>
        <w:spacing w:before="0" w:after="120"/>
      </w:pPr>
      <w:r>
        <w:t xml:space="preserve">This report covers the period from 1 January to 30 June 2021. It includes key information about how </w:t>
      </w:r>
      <w:r w:rsidR="00BF4169">
        <w:t xml:space="preserve">and why </w:t>
      </w:r>
      <w:r>
        <w:t>Victorians are accessing voluntary assisted dying, and their experience of the process.</w:t>
      </w:r>
    </w:p>
    <w:p w14:paraId="0CDF3825" w14:textId="77777777" w:rsidR="00F16C4F" w:rsidRDefault="00F16C4F" w:rsidP="00F16C4F">
      <w:pPr>
        <w:pStyle w:val="SCVbody"/>
        <w:spacing w:before="120" w:after="120"/>
      </w:pPr>
      <w:r>
        <w:t xml:space="preserve">It includes insights from medical practitioners and contact persons – often family, </w:t>
      </w:r>
      <w:proofErr w:type="gramStart"/>
      <w:r>
        <w:t>friends</w:t>
      </w:r>
      <w:proofErr w:type="gramEnd"/>
      <w:r>
        <w:t xml:space="preserve"> and carers of applicants – about their experience of the program.</w:t>
      </w:r>
    </w:p>
    <w:p w14:paraId="6A798F92" w14:textId="77777777" w:rsidR="00F16C4F" w:rsidRDefault="00F16C4F" w:rsidP="00F16C4F">
      <w:pPr>
        <w:pStyle w:val="Heading2"/>
      </w:pPr>
      <w:r>
        <w:t>Setting the foundations</w:t>
      </w:r>
    </w:p>
    <w:p w14:paraId="5485D3B7" w14:textId="77777777" w:rsidR="00F16C4F" w:rsidRDefault="00F16C4F" w:rsidP="00F16C4F">
      <w:pPr>
        <w:pStyle w:val="SCVbodyafterheading"/>
        <w:spacing w:after="120" w:line="270" w:lineRule="atLeast"/>
      </w:pPr>
      <w:r>
        <w:t>The Board commenced its duties a full year before the legislation came into effect on 19 June 2019. This ensured necessary systems and processes were in place to provide safe access to eligible, terminally ill applicants who made a choice to access voluntary assisted dying.</w:t>
      </w:r>
    </w:p>
    <w:p w14:paraId="2D18011A" w14:textId="77777777" w:rsidR="00F16C4F" w:rsidRDefault="00F16C4F" w:rsidP="00F16C4F">
      <w:pPr>
        <w:pStyle w:val="SCVbody"/>
        <w:spacing w:before="120" w:after="120" w:line="270" w:lineRule="atLeast"/>
      </w:pPr>
      <w:r>
        <w:t>Over the past two years, the Board has turned its focus to robust oversight of safeguards, and then to ensure that each and every application was carefully scrutinised for compliance with the legislation.</w:t>
      </w:r>
    </w:p>
    <w:p w14:paraId="0CEF1253" w14:textId="77777777" w:rsidR="00F16C4F" w:rsidRDefault="00F16C4F" w:rsidP="00F16C4F">
      <w:pPr>
        <w:pStyle w:val="SCVbody"/>
        <w:spacing w:before="120" w:after="120" w:line="270" w:lineRule="atLeast"/>
      </w:pPr>
      <w:r>
        <w:t>This role of informing the Parliament and the public that safeguards have been met has been without doubt our most important function, and it is important for Victorians to know the level to which this has been occurring. The Board has retrospectively reviewed every single form submitted by coordinating and consulting medical practitioners involved in supporting an applicant to access voluntary assisted dying. It is an extraordinary volume of work – for both the Board and the 234 medical practitioners trained and registered in Victoria’s secure medical professionals-only online portal.</w:t>
      </w:r>
    </w:p>
    <w:p w14:paraId="4A9E9F64" w14:textId="77777777" w:rsidR="00F16C4F" w:rsidRDefault="00F16C4F" w:rsidP="00BF4169">
      <w:pPr>
        <w:pStyle w:val="SCVbody"/>
        <w:spacing w:before="0"/>
      </w:pPr>
      <w:r>
        <w:t>Since the Board’s commencement in June 2018, it has, among other things:</w:t>
      </w:r>
    </w:p>
    <w:p w14:paraId="4255A3BB" w14:textId="77777777" w:rsidR="00F16C4F" w:rsidRDefault="00F16C4F" w:rsidP="00F16C4F">
      <w:pPr>
        <w:pStyle w:val="SCVbullet1"/>
      </w:pPr>
      <w:r>
        <w:t>developed and continually improved the processes for reviewing each and every application for voluntary assisted dying that has been made in Victoria</w:t>
      </w:r>
    </w:p>
    <w:p w14:paraId="6A77260E" w14:textId="77777777" w:rsidR="00F16C4F" w:rsidRDefault="00F16C4F" w:rsidP="00F16C4F">
      <w:pPr>
        <w:pStyle w:val="SCVbullet1"/>
      </w:pPr>
      <w:r>
        <w:t xml:space="preserve">overseen the development of a secure online portal where medical practitioners are required to submit the forms set out in the Act. This has included a recent review, </w:t>
      </w:r>
      <w:proofErr w:type="gramStart"/>
      <w:r>
        <w:t>consultation</w:t>
      </w:r>
      <w:proofErr w:type="gramEnd"/>
      <w:r>
        <w:t xml:space="preserve"> and implementation process to improve the portal experience for all users</w:t>
      </w:r>
    </w:p>
    <w:p w14:paraId="77FBE137" w14:textId="77777777" w:rsidR="00F16C4F" w:rsidRDefault="00F16C4F" w:rsidP="00F16C4F">
      <w:pPr>
        <w:pStyle w:val="SCVbullet1"/>
      </w:pPr>
      <w:r>
        <w:t>provided four reports to the Victorian Parliament on the progress of implementing the legislation</w:t>
      </w:r>
    </w:p>
    <w:p w14:paraId="14FBFE08" w14:textId="77777777" w:rsidR="00F16C4F" w:rsidRDefault="00F16C4F" w:rsidP="00F16C4F">
      <w:pPr>
        <w:pStyle w:val="SCVbullet1"/>
      </w:pPr>
      <w:r>
        <w:t>commenced the establishment of a research strategy to enable researchers to access the Voluntary Assisted Dying Review Board’s database. This includes appropriate data management and security processes</w:t>
      </w:r>
    </w:p>
    <w:p w14:paraId="224D46E9" w14:textId="77777777" w:rsidR="00F16C4F" w:rsidRDefault="00F16C4F" w:rsidP="00F16C4F">
      <w:pPr>
        <w:pStyle w:val="SCVbullet1"/>
      </w:pPr>
      <w:r>
        <w:t>identified and actively managed risks related to voluntary assisted dying</w:t>
      </w:r>
    </w:p>
    <w:p w14:paraId="09A60F7F" w14:textId="77777777" w:rsidR="00F16C4F" w:rsidRDefault="00F16C4F" w:rsidP="00F16C4F">
      <w:pPr>
        <w:pStyle w:val="SCVbullet1"/>
      </w:pPr>
      <w:r>
        <w:t>worked with, and advised other jurisdictions, as they began to consider and then implement similar legislation.</w:t>
      </w:r>
    </w:p>
    <w:p w14:paraId="42AD2D1D" w14:textId="77777777" w:rsidR="00F16C4F" w:rsidRDefault="00F16C4F" w:rsidP="00F16C4F">
      <w:pPr>
        <w:pStyle w:val="Heading2"/>
      </w:pPr>
      <w:r>
        <w:t>Making improvements</w:t>
      </w:r>
    </w:p>
    <w:p w14:paraId="08A8914C" w14:textId="77777777" w:rsidR="00F16C4F" w:rsidRDefault="00F16C4F" w:rsidP="00F16C4F">
      <w:pPr>
        <w:pStyle w:val="SCVbodyafterheading"/>
      </w:pPr>
      <w:r>
        <w:t>Listening to people involved with the program is paramount to voluntary assisted dying’s continuance as a genuine and compassionate end of life option for Victoria’s late-stage terminally ill.</w:t>
      </w:r>
    </w:p>
    <w:p w14:paraId="45DAC954" w14:textId="062E17A3" w:rsidR="00F16C4F" w:rsidRDefault="00F16C4F" w:rsidP="00BF4169">
      <w:pPr>
        <w:pStyle w:val="SCVbody"/>
        <w:spacing w:before="0"/>
      </w:pPr>
      <w:r>
        <w:lastRenderedPageBreak/>
        <w:t xml:space="preserve">We have actively collected feedback from applicants, contact persons and medical practitioners involved in voluntary assisted dying applications. Their experiences are helping guide our continuous improvement journey. This includes making several simple improvements to the portal that make it easier for coordinating and consulting medical practitioners to use correctly. Other suggestions have been collated and have informed a major </w:t>
      </w:r>
      <w:r w:rsidR="00C1050F">
        <w:t>upgrade</w:t>
      </w:r>
      <w:r>
        <w:t xml:space="preserve"> of the portal and recommendations for future review of the Act.</w:t>
      </w:r>
    </w:p>
    <w:p w14:paraId="756A889C" w14:textId="2B71A184" w:rsidR="00F16C4F" w:rsidRDefault="00F16C4F" w:rsidP="00F16C4F">
      <w:pPr>
        <w:pStyle w:val="SCVbody"/>
      </w:pPr>
      <w:r>
        <w:t>You will see direct quotes of feedback throughout this report, detailing both positive and challenging experiences</w:t>
      </w:r>
      <w:r w:rsidR="00C1050F">
        <w:t>. We</w:t>
      </w:r>
      <w:r>
        <w:t xml:space="preserve"> thank everyone for their effort in engaging with us.</w:t>
      </w:r>
    </w:p>
    <w:p w14:paraId="1307B47F" w14:textId="77777777" w:rsidR="00F16C4F" w:rsidRDefault="00F16C4F" w:rsidP="00F16C4F">
      <w:pPr>
        <w:pStyle w:val="Heading2"/>
      </w:pPr>
      <w:r>
        <w:t>A key challenge</w:t>
      </w:r>
    </w:p>
    <w:p w14:paraId="29A42E4D" w14:textId="3377A13B" w:rsidR="00F16C4F" w:rsidRDefault="00F16C4F" w:rsidP="00F16C4F">
      <w:pPr>
        <w:pStyle w:val="SCVbodyafterheading"/>
      </w:pPr>
      <w:r>
        <w:t xml:space="preserve">As noted in previous reports, there remains a key challenge </w:t>
      </w:r>
      <w:r w:rsidR="009F0C82" w:rsidRPr="009F0C82">
        <w:t xml:space="preserve">that both undermines quality of care and lacks compassion. </w:t>
      </w:r>
      <w:r w:rsidR="009F0C82">
        <w:t>T</w:t>
      </w:r>
      <w:r>
        <w:t>hat is the continued lack of access to telehealth for voluntary assisted dying applicants, who continue to have to attend in-person appointments with their coordinating and consulting medical practitioners so that practitioners do not risk breaching the Commonwealth Criminal Code. This continues to create a barrier to access, as you will see detailed in this report. The Board will continue to advocate for Commonwealth legislative reform in the interests of voluntary assisted dying applicants and their families and carers.</w:t>
      </w:r>
    </w:p>
    <w:p w14:paraId="1A91025D" w14:textId="77777777" w:rsidR="00F16C4F" w:rsidRDefault="00F16C4F" w:rsidP="00F16C4F">
      <w:pPr>
        <w:pStyle w:val="Heading2"/>
      </w:pPr>
      <w:r>
        <w:t>Sharing our lessons learned</w:t>
      </w:r>
    </w:p>
    <w:p w14:paraId="48145AB7" w14:textId="77777777" w:rsidR="00F16C4F" w:rsidRDefault="00F16C4F" w:rsidP="00F16C4F">
      <w:pPr>
        <w:pStyle w:val="SCVbodyafterheading"/>
      </w:pPr>
      <w:r>
        <w:t>As other jurisdictions introduce their own versions of similar legislation, it is important that the Board continues to build relationships with our interstate counterparts. This will help ensure the creation of a minimum dataset, by which we can all share and learn from together.</w:t>
      </w:r>
    </w:p>
    <w:p w14:paraId="4FE8E968" w14:textId="77777777" w:rsidR="00F16C4F" w:rsidRDefault="00F16C4F" w:rsidP="00BF4169">
      <w:pPr>
        <w:pStyle w:val="Heading2"/>
        <w:spacing w:before="0"/>
      </w:pPr>
      <w:r>
        <w:br w:type="column"/>
      </w:r>
      <w:r w:rsidR="00BF4169">
        <w:t>T</w:t>
      </w:r>
      <w:r>
        <w:t>hank you and farewell</w:t>
      </w:r>
    </w:p>
    <w:p w14:paraId="354F2D33" w14:textId="77777777" w:rsidR="00F16C4F" w:rsidRDefault="00F16C4F" w:rsidP="00F16C4F">
      <w:pPr>
        <w:pStyle w:val="SCVbodyafterheading"/>
        <w:spacing w:after="120"/>
      </w:pPr>
      <w:r>
        <w:t xml:space="preserve">It has been an honour and a privilege to serve as the inaugural chair of the Board – and, by extension, the people of </w:t>
      </w:r>
      <w:r w:rsidRPr="00F16C4F">
        <w:t>Victoria</w:t>
      </w:r>
      <w:r>
        <w:t xml:space="preserve"> – for the past three years. I'm very proud that we, as a Board, have been able to support access to this legislation for those who are at the end of their lives and who wish to decide on the manner and timing of their death.</w:t>
      </w:r>
    </w:p>
    <w:p w14:paraId="3985BF04" w14:textId="77777777" w:rsidR="00F16C4F" w:rsidRDefault="00F16C4F" w:rsidP="00F16C4F">
      <w:pPr>
        <w:pStyle w:val="SCVbody"/>
        <w:spacing w:before="120" w:after="120"/>
      </w:pPr>
      <w:r>
        <w:t>But I feel now is a suitable time for my departure as the program moves beyond establishment. As such, this will be my last report as Chair of the Board.</w:t>
      </w:r>
    </w:p>
    <w:p w14:paraId="5AFDCCDA" w14:textId="77777777" w:rsidR="00F16C4F" w:rsidRDefault="00F16C4F" w:rsidP="00F16C4F">
      <w:pPr>
        <w:pStyle w:val="SCVbody"/>
        <w:spacing w:before="120" w:after="120"/>
      </w:pPr>
      <w:r>
        <w:t xml:space="preserve">I would like to thank all the people with whom I worked, including the other 12 Board Members, the </w:t>
      </w:r>
      <w:proofErr w:type="gramStart"/>
      <w:r>
        <w:t>Secretary</w:t>
      </w:r>
      <w:proofErr w:type="gramEnd"/>
      <w:r>
        <w:t xml:space="preserve"> and the Minister. I'd further like to thank the secretariat team which supports all of our functions and the other key teams within the Department of Health who work very hard every day to make sure Victorians have the right to choose voluntary assisted dying. All have been great contributors to the first two years of the program, which has been truly ground-breaking and impactful for many.</w:t>
      </w:r>
    </w:p>
    <w:p w14:paraId="55A89D36" w14:textId="77777777" w:rsidR="00F16C4F" w:rsidRDefault="00F16C4F" w:rsidP="00F16C4F">
      <w:pPr>
        <w:pStyle w:val="SCVbody"/>
        <w:spacing w:before="120" w:after="120"/>
      </w:pPr>
      <w:r>
        <w:t>Thank you as always to all the health practitioners, statewide services, contact persons, family members and loved ones for your care and support of voluntary assisted dying applicants.</w:t>
      </w:r>
    </w:p>
    <w:p w14:paraId="40A40E8A" w14:textId="77777777" w:rsidR="00F16C4F" w:rsidRDefault="00F16C4F" w:rsidP="00F16C4F">
      <w:pPr>
        <w:pStyle w:val="SCVbody"/>
        <w:spacing w:before="120" w:after="120"/>
      </w:pPr>
      <w:r>
        <w:t>I have no doubt that we will continue to see an increase in the number of Victorians who consider voluntary assisted dying among their options for end of life care. I am proud to have been a part of ensuring that this option is accessible and safe.</w:t>
      </w:r>
    </w:p>
    <w:p w14:paraId="70CE8984" w14:textId="77777777" w:rsidR="00F16C4F" w:rsidRDefault="00F16C4F" w:rsidP="00F16C4F">
      <w:pPr>
        <w:pStyle w:val="SCVbodyafterheading"/>
      </w:pPr>
      <w:r>
        <w:rPr>
          <w:noProof/>
          <w:lang w:val="en-US" w:eastAsia="en-US"/>
        </w:rPr>
        <w:drawing>
          <wp:inline distT="0" distB="0" distL="0" distR="0" wp14:anchorId="50E84655" wp14:editId="79DF059D">
            <wp:extent cx="1684011" cy="680483"/>
            <wp:effectExtent l="0" t="0" r="0" b="5715"/>
            <wp:docPr id="297854988" name="Picture 160" descr="Betty King'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695466" cy="685112"/>
                    </a:xfrm>
                    <a:prstGeom prst="rect">
                      <a:avLst/>
                    </a:prstGeom>
                  </pic:spPr>
                </pic:pic>
              </a:graphicData>
            </a:graphic>
          </wp:inline>
        </w:drawing>
      </w:r>
    </w:p>
    <w:p w14:paraId="3E7E6E6F" w14:textId="77777777" w:rsidR="00F16C4F" w:rsidRDefault="00F16C4F" w:rsidP="00F16C4F">
      <w:pPr>
        <w:pStyle w:val="SCVbodyafterheading"/>
        <w:sectPr w:rsidR="00F16C4F" w:rsidSect="00F16C4F">
          <w:type w:val="continuous"/>
          <w:pgSz w:w="11906" w:h="16838" w:code="9"/>
          <w:pgMar w:top="3402" w:right="851" w:bottom="1361" w:left="851" w:header="851" w:footer="851" w:gutter="0"/>
          <w:pgNumType w:start="1"/>
          <w:cols w:num="2" w:space="284"/>
          <w:docGrid w:linePitch="360"/>
        </w:sectPr>
      </w:pPr>
      <w:r w:rsidRPr="00F16C4F">
        <w:rPr>
          <w:b/>
          <w:bCs/>
        </w:rPr>
        <w:t>Betty King</w:t>
      </w:r>
      <w:r>
        <w:rPr>
          <w:b/>
          <w:bCs/>
        </w:rPr>
        <w:br/>
      </w:r>
      <w:r>
        <w:t>Chairperson</w:t>
      </w:r>
      <w:r>
        <w:br/>
        <w:t xml:space="preserve">Voluntary Assisted Dying Review Board </w:t>
      </w:r>
    </w:p>
    <w:p w14:paraId="135F7E4E" w14:textId="77777777" w:rsidR="00C50A2B" w:rsidRPr="00BE60CF" w:rsidRDefault="00C50A2B" w:rsidP="00F16C4F">
      <w:pPr>
        <w:pStyle w:val="SCVbodyafterheading"/>
      </w:pPr>
      <w:r w:rsidRPr="00BE60CF">
        <w:br w:type="page"/>
      </w:r>
    </w:p>
    <w:p w14:paraId="517D31FA" w14:textId="77777777" w:rsidR="00F16C4F" w:rsidRDefault="00F16C4F" w:rsidP="00F16C4F">
      <w:pPr>
        <w:pStyle w:val="Heading1"/>
        <w:rPr>
          <w:lang w:eastAsia="en-US"/>
        </w:rPr>
      </w:pPr>
      <w:r>
        <w:rPr>
          <w:lang w:eastAsia="en-US"/>
        </w:rPr>
        <w:lastRenderedPageBreak/>
        <w:t>Snapshot</w:t>
      </w:r>
    </w:p>
    <w:p w14:paraId="4AF33423" w14:textId="77777777" w:rsidR="00F16C4F" w:rsidRDefault="00F16C4F" w:rsidP="00F16C4F">
      <w:pPr>
        <w:pStyle w:val="SCVtablecaption"/>
        <w:spacing w:before="120"/>
        <w:rPr>
          <w:lang w:eastAsia="en-US"/>
        </w:rPr>
      </w:pPr>
      <w:r>
        <w:rPr>
          <w:lang w:eastAsia="en-US"/>
        </w:rPr>
        <w:t>Table 1: Requests received</w:t>
      </w:r>
    </w:p>
    <w:tbl>
      <w:tblPr>
        <w:tblStyle w:val="TableGrid1"/>
        <w:tblW w:w="10206" w:type="dxa"/>
        <w:tblBorders>
          <w:top w:val="none" w:sz="0" w:space="0" w:color="auto"/>
          <w:bottom w:val="single" w:sz="4" w:space="0" w:color="CCCCD0" w:themeColor="accent6"/>
          <w:insideH w:val="none" w:sz="0" w:space="0" w:color="auto"/>
        </w:tblBorders>
        <w:tblLayout w:type="fixed"/>
        <w:tblLook w:val="0600" w:firstRow="0" w:lastRow="0" w:firstColumn="0" w:lastColumn="0" w:noHBand="1" w:noVBand="1"/>
      </w:tblPr>
      <w:tblGrid>
        <w:gridCol w:w="1509"/>
        <w:gridCol w:w="1784"/>
        <w:gridCol w:w="2576"/>
        <w:gridCol w:w="610"/>
        <w:gridCol w:w="856"/>
        <w:gridCol w:w="1582"/>
        <w:gridCol w:w="1289"/>
      </w:tblGrid>
      <w:tr w:rsidR="00F16C4F" w:rsidRPr="00D17F99" w14:paraId="4DFB91F7" w14:textId="77777777" w:rsidTr="00A40DFD">
        <w:trPr>
          <w:cantSplit/>
          <w:trHeight w:val="397"/>
        </w:trPr>
        <w:tc>
          <w:tcPr>
            <w:tcW w:w="3293" w:type="dxa"/>
            <w:gridSpan w:val="2"/>
            <w:tcBorders>
              <w:bottom w:val="single" w:sz="24" w:space="0" w:color="CCCCD0" w:themeColor="accent5" w:themeTint="66"/>
            </w:tcBorders>
            <w:shd w:val="clear" w:color="auto" w:fill="E6EFF6" w:themeFill="background2"/>
            <w:tcMar>
              <w:top w:w="57" w:type="dxa"/>
              <w:bottom w:w="57" w:type="dxa"/>
            </w:tcMar>
          </w:tcPr>
          <w:p w14:paraId="6F240744" w14:textId="77777777" w:rsidR="00F16C4F" w:rsidRPr="00D17F99" w:rsidRDefault="00F16C4F" w:rsidP="00F16C4F">
            <w:pPr>
              <w:pStyle w:val="SCVtablecolhead"/>
              <w:spacing w:after="50"/>
            </w:pPr>
            <w:r>
              <w:t>Stage</w:t>
            </w:r>
          </w:p>
        </w:tc>
        <w:tc>
          <w:tcPr>
            <w:tcW w:w="2576" w:type="dxa"/>
            <w:tcBorders>
              <w:bottom w:val="single" w:sz="24" w:space="0" w:color="CCCCD0" w:themeColor="accent5" w:themeTint="66"/>
            </w:tcBorders>
            <w:shd w:val="clear" w:color="auto" w:fill="E6EFF6" w:themeFill="background2"/>
            <w:tcMar>
              <w:top w:w="57" w:type="dxa"/>
              <w:bottom w:w="57" w:type="dxa"/>
            </w:tcMar>
          </w:tcPr>
          <w:p w14:paraId="5437B2C3" w14:textId="77777777" w:rsidR="00F16C4F" w:rsidRPr="00D17F99" w:rsidRDefault="00F16C4F" w:rsidP="00F16C4F">
            <w:pPr>
              <w:pStyle w:val="SCVtablecolhead"/>
              <w:spacing w:after="50"/>
            </w:pPr>
            <w:r w:rsidRPr="00D17F99">
              <w:t>Status</w:t>
            </w:r>
          </w:p>
        </w:tc>
        <w:tc>
          <w:tcPr>
            <w:tcW w:w="1466" w:type="dxa"/>
            <w:gridSpan w:val="2"/>
            <w:tcBorders>
              <w:bottom w:val="single" w:sz="24" w:space="0" w:color="CCCCD0" w:themeColor="accent5" w:themeTint="66"/>
            </w:tcBorders>
            <w:shd w:val="clear" w:color="auto" w:fill="E6EFF6" w:themeFill="background2"/>
          </w:tcPr>
          <w:p w14:paraId="77D1D4CD" w14:textId="77777777" w:rsidR="00F16C4F" w:rsidRDefault="00F16C4F" w:rsidP="002E4EB3">
            <w:pPr>
              <w:pStyle w:val="SCVtablecolhead"/>
              <w:spacing w:after="50"/>
              <w:jc w:val="right"/>
            </w:pPr>
            <w:r w:rsidRPr="00D17F99">
              <w:t>1 J</w:t>
            </w:r>
            <w:r>
              <w:t>ul</w:t>
            </w:r>
            <w:r w:rsidRPr="00D17F99">
              <w:t>–</w:t>
            </w:r>
            <w:r>
              <w:t>31</w:t>
            </w:r>
          </w:p>
          <w:p w14:paraId="47DDC73D" w14:textId="77777777" w:rsidR="00F16C4F" w:rsidRPr="00D17F99" w:rsidRDefault="00F16C4F" w:rsidP="002E4EB3">
            <w:pPr>
              <w:pStyle w:val="SCVtablecolhead"/>
              <w:spacing w:after="50"/>
              <w:jc w:val="right"/>
            </w:pPr>
            <w:r>
              <w:t>Dec</w:t>
            </w:r>
            <w:r w:rsidRPr="00D17F99">
              <w:t xml:space="preserve"> 2020</w:t>
            </w:r>
          </w:p>
        </w:tc>
        <w:tc>
          <w:tcPr>
            <w:tcW w:w="1582" w:type="dxa"/>
            <w:tcBorders>
              <w:bottom w:val="single" w:sz="24" w:space="0" w:color="CCCCD0" w:themeColor="accent5" w:themeTint="66"/>
            </w:tcBorders>
            <w:shd w:val="clear" w:color="auto" w:fill="E6EFF6" w:themeFill="background2"/>
            <w:tcMar>
              <w:top w:w="57" w:type="dxa"/>
              <w:bottom w:w="57" w:type="dxa"/>
            </w:tcMar>
          </w:tcPr>
          <w:p w14:paraId="22315849" w14:textId="77777777" w:rsidR="00F16C4F" w:rsidRDefault="00F16C4F" w:rsidP="002E4EB3">
            <w:pPr>
              <w:pStyle w:val="SCVtablecolhead"/>
              <w:spacing w:after="50"/>
              <w:jc w:val="right"/>
            </w:pPr>
            <w:r w:rsidRPr="00D17F99">
              <w:t>1 J</w:t>
            </w:r>
            <w:r>
              <w:t>an</w:t>
            </w:r>
            <w:r w:rsidRPr="00D17F99">
              <w:t>–3</w:t>
            </w:r>
            <w:r>
              <w:t>0</w:t>
            </w:r>
          </w:p>
          <w:p w14:paraId="5A14BC4A" w14:textId="77777777" w:rsidR="00F16C4F" w:rsidRPr="00D17F99" w:rsidRDefault="00F16C4F" w:rsidP="002E4EB3">
            <w:pPr>
              <w:pStyle w:val="SCVtablecolhead"/>
              <w:spacing w:after="50"/>
              <w:jc w:val="right"/>
            </w:pPr>
            <w:r>
              <w:t>Jun</w:t>
            </w:r>
            <w:r w:rsidRPr="00D17F99">
              <w:t xml:space="preserve"> 202</w:t>
            </w:r>
            <w:r>
              <w:t>1</w:t>
            </w:r>
          </w:p>
        </w:tc>
        <w:tc>
          <w:tcPr>
            <w:tcW w:w="1289" w:type="dxa"/>
            <w:tcBorders>
              <w:bottom w:val="single" w:sz="24" w:space="0" w:color="CCCCD0" w:themeColor="accent5" w:themeTint="66"/>
            </w:tcBorders>
            <w:shd w:val="clear" w:color="auto" w:fill="E6EFF6" w:themeFill="background2"/>
          </w:tcPr>
          <w:p w14:paraId="68883F91" w14:textId="77777777" w:rsidR="00F16C4F" w:rsidRPr="00D17F99" w:rsidRDefault="00F16C4F" w:rsidP="002E4EB3">
            <w:pPr>
              <w:pStyle w:val="SCVtablecolhead"/>
              <w:spacing w:after="50"/>
              <w:jc w:val="right"/>
            </w:pPr>
            <w:r w:rsidRPr="00D17F99">
              <w:t>Total to date</w:t>
            </w:r>
          </w:p>
        </w:tc>
      </w:tr>
      <w:tr w:rsidR="00F16C4F" w:rsidRPr="00D17F99" w14:paraId="40102917" w14:textId="77777777" w:rsidTr="00A40DFD">
        <w:trPr>
          <w:cantSplit/>
          <w:trHeight w:val="113"/>
        </w:trPr>
        <w:tc>
          <w:tcPr>
            <w:tcW w:w="1509" w:type="dxa"/>
            <w:vMerge w:val="restart"/>
            <w:tcBorders>
              <w:top w:val="single" w:sz="24" w:space="0" w:color="CCCCD0" w:themeColor="accent5" w:themeTint="66"/>
              <w:bottom w:val="single" w:sz="4" w:space="0" w:color="CCCCD0" w:themeColor="accent5" w:themeTint="66"/>
            </w:tcBorders>
            <w:tcMar>
              <w:top w:w="57" w:type="dxa"/>
              <w:bottom w:w="57" w:type="dxa"/>
            </w:tcMar>
          </w:tcPr>
          <w:p w14:paraId="471B86F9" w14:textId="77777777" w:rsidR="00F16C4F" w:rsidRPr="00D17F99" w:rsidRDefault="00F16C4F" w:rsidP="00F16C4F">
            <w:pPr>
              <w:pStyle w:val="SCVtablerowhead"/>
              <w:spacing w:after="50"/>
            </w:pPr>
            <w:r w:rsidRPr="001D5C3E">
              <w:t>Eligibility</w:t>
            </w:r>
          </w:p>
        </w:tc>
        <w:tc>
          <w:tcPr>
            <w:tcW w:w="1784" w:type="dxa"/>
            <w:vMerge w:val="restart"/>
            <w:tcBorders>
              <w:top w:val="single" w:sz="24" w:space="0" w:color="CCCCD0" w:themeColor="accent5" w:themeTint="66"/>
              <w:bottom w:val="single" w:sz="4" w:space="0" w:color="CCCCD0" w:themeColor="accent5" w:themeTint="66"/>
            </w:tcBorders>
            <w:tcMar>
              <w:top w:w="57" w:type="dxa"/>
              <w:bottom w:w="57" w:type="dxa"/>
            </w:tcMar>
          </w:tcPr>
          <w:p w14:paraId="0615DAEC" w14:textId="77777777" w:rsidR="00F16C4F" w:rsidRPr="00F16C4F" w:rsidRDefault="00F16C4F" w:rsidP="00F16C4F">
            <w:pPr>
              <w:pStyle w:val="SCVtablebody"/>
              <w:spacing w:after="50"/>
            </w:pPr>
            <w:r w:rsidRPr="00F16C4F">
              <w:t>First assessment</w:t>
            </w:r>
          </w:p>
        </w:tc>
        <w:tc>
          <w:tcPr>
            <w:tcW w:w="2576" w:type="dxa"/>
            <w:tcBorders>
              <w:top w:val="single" w:sz="24" w:space="0" w:color="CCCCD0" w:themeColor="accent5" w:themeTint="66"/>
              <w:bottom w:val="dashed" w:sz="4" w:space="0" w:color="CCCCD0" w:themeColor="accent5" w:themeTint="66"/>
            </w:tcBorders>
            <w:tcMar>
              <w:top w:w="57" w:type="dxa"/>
              <w:bottom w:w="57" w:type="dxa"/>
            </w:tcMar>
          </w:tcPr>
          <w:p w14:paraId="0F7C48C2" w14:textId="77777777" w:rsidR="00F16C4F" w:rsidRPr="00F16C4F" w:rsidRDefault="00F16C4F" w:rsidP="00F16C4F">
            <w:pPr>
              <w:pStyle w:val="SCVtablebody"/>
              <w:spacing w:after="50"/>
            </w:pPr>
            <w:r w:rsidRPr="00F16C4F">
              <w:t>Eligible</w:t>
            </w:r>
          </w:p>
        </w:tc>
        <w:tc>
          <w:tcPr>
            <w:tcW w:w="1466" w:type="dxa"/>
            <w:gridSpan w:val="2"/>
            <w:tcBorders>
              <w:top w:val="single" w:sz="24" w:space="0" w:color="CCCCD0" w:themeColor="accent5" w:themeTint="66"/>
              <w:bottom w:val="dashed" w:sz="4" w:space="0" w:color="CCCCD0" w:themeColor="accent5" w:themeTint="66"/>
            </w:tcBorders>
          </w:tcPr>
          <w:p w14:paraId="2DFFF6B8" w14:textId="77777777" w:rsidR="00F16C4F" w:rsidRPr="00F16C4F" w:rsidRDefault="00F16C4F" w:rsidP="00F16C4F">
            <w:pPr>
              <w:pStyle w:val="SCVtablebody"/>
              <w:spacing w:after="50"/>
              <w:jc w:val="right"/>
            </w:pPr>
            <w:r w:rsidRPr="00F16C4F">
              <w:t>221</w:t>
            </w:r>
          </w:p>
        </w:tc>
        <w:tc>
          <w:tcPr>
            <w:tcW w:w="1582" w:type="dxa"/>
            <w:tcBorders>
              <w:top w:val="single" w:sz="24" w:space="0" w:color="CCCCD0" w:themeColor="accent5" w:themeTint="66"/>
              <w:bottom w:val="dashed" w:sz="4" w:space="0" w:color="CCCCD0" w:themeColor="accent5" w:themeTint="66"/>
            </w:tcBorders>
            <w:shd w:val="clear" w:color="auto" w:fill="F2F2F2" w:themeFill="background1" w:themeFillShade="F2"/>
            <w:tcMar>
              <w:top w:w="57" w:type="dxa"/>
              <w:bottom w:w="57" w:type="dxa"/>
            </w:tcMar>
          </w:tcPr>
          <w:p w14:paraId="4FA8CC2E" w14:textId="77777777" w:rsidR="00F16C4F" w:rsidRPr="00A52A2A" w:rsidDel="00FA28A0" w:rsidRDefault="00F16C4F" w:rsidP="00F16C4F">
            <w:pPr>
              <w:pStyle w:val="SCVtablebody"/>
              <w:spacing w:after="50"/>
              <w:jc w:val="right"/>
            </w:pPr>
            <w:r w:rsidRPr="00275705">
              <w:t>245</w:t>
            </w:r>
          </w:p>
        </w:tc>
        <w:tc>
          <w:tcPr>
            <w:tcW w:w="1289" w:type="dxa"/>
            <w:tcBorders>
              <w:top w:val="single" w:sz="24" w:space="0" w:color="CCCCD0" w:themeColor="accent5" w:themeTint="66"/>
              <w:bottom w:val="dashed" w:sz="4" w:space="0" w:color="CCCCD0" w:themeColor="accent5" w:themeTint="66"/>
            </w:tcBorders>
          </w:tcPr>
          <w:p w14:paraId="19ADEAAA" w14:textId="77777777" w:rsidR="00F16C4F" w:rsidRPr="00A52A2A" w:rsidRDefault="00F16C4F" w:rsidP="00F16C4F">
            <w:pPr>
              <w:pStyle w:val="SCVtablebody"/>
              <w:spacing w:after="50"/>
              <w:jc w:val="right"/>
            </w:pPr>
            <w:r>
              <w:t>80</w:t>
            </w:r>
            <w:r w:rsidRPr="00BC7715">
              <w:t>7</w:t>
            </w:r>
          </w:p>
        </w:tc>
      </w:tr>
      <w:tr w:rsidR="00F16C4F" w:rsidRPr="00D17F99" w14:paraId="371B7765" w14:textId="77777777" w:rsidTr="00F16C4F">
        <w:trPr>
          <w:cantSplit/>
          <w:trHeight w:val="299"/>
        </w:trPr>
        <w:tc>
          <w:tcPr>
            <w:tcW w:w="1509" w:type="dxa"/>
            <w:vMerge/>
            <w:tcMar>
              <w:top w:w="57" w:type="dxa"/>
              <w:bottom w:w="57" w:type="dxa"/>
            </w:tcMar>
          </w:tcPr>
          <w:p w14:paraId="47052D13" w14:textId="77777777" w:rsidR="00F16C4F" w:rsidRPr="00D17F99" w:rsidRDefault="00F16C4F" w:rsidP="00F16C4F">
            <w:pPr>
              <w:pStyle w:val="SCVtablerowhead"/>
              <w:spacing w:after="50"/>
            </w:pPr>
          </w:p>
        </w:tc>
        <w:tc>
          <w:tcPr>
            <w:tcW w:w="1784" w:type="dxa"/>
            <w:vMerge/>
            <w:tcMar>
              <w:top w:w="57" w:type="dxa"/>
              <w:bottom w:w="57" w:type="dxa"/>
            </w:tcMar>
          </w:tcPr>
          <w:p w14:paraId="2C9F03F3" w14:textId="77777777" w:rsidR="00F16C4F" w:rsidRPr="00F16C4F" w:rsidRDefault="00F16C4F" w:rsidP="00F16C4F">
            <w:pPr>
              <w:pStyle w:val="SCVtablebody"/>
              <w:spacing w:after="50"/>
            </w:pPr>
          </w:p>
        </w:tc>
        <w:tc>
          <w:tcPr>
            <w:tcW w:w="2576" w:type="dxa"/>
            <w:tcBorders>
              <w:top w:val="dashed" w:sz="4" w:space="0" w:color="CCCCD0" w:themeColor="accent5" w:themeTint="66"/>
              <w:bottom w:val="single" w:sz="4" w:space="0" w:color="CCCCD0" w:themeColor="accent5" w:themeTint="66"/>
            </w:tcBorders>
            <w:tcMar>
              <w:top w:w="57" w:type="dxa"/>
              <w:bottom w:w="57" w:type="dxa"/>
            </w:tcMar>
          </w:tcPr>
          <w:p w14:paraId="6B675725" w14:textId="77777777" w:rsidR="00F16C4F" w:rsidRPr="00F16C4F" w:rsidRDefault="00F16C4F" w:rsidP="00F16C4F">
            <w:pPr>
              <w:pStyle w:val="SCVtablebody"/>
              <w:spacing w:after="50"/>
            </w:pPr>
            <w:r w:rsidRPr="00F16C4F">
              <w:t>Ineligible</w:t>
            </w:r>
          </w:p>
        </w:tc>
        <w:tc>
          <w:tcPr>
            <w:tcW w:w="1466" w:type="dxa"/>
            <w:gridSpan w:val="2"/>
            <w:tcBorders>
              <w:top w:val="dashed" w:sz="4" w:space="0" w:color="CCCCD0" w:themeColor="accent5" w:themeTint="66"/>
              <w:bottom w:val="single" w:sz="4" w:space="0" w:color="CCCCD0" w:themeColor="accent5" w:themeTint="66"/>
            </w:tcBorders>
          </w:tcPr>
          <w:p w14:paraId="7687066C" w14:textId="77777777" w:rsidR="00F16C4F" w:rsidRPr="00F16C4F" w:rsidRDefault="00F16C4F" w:rsidP="00F16C4F">
            <w:pPr>
              <w:pStyle w:val="SCVtablebody"/>
              <w:spacing w:after="50"/>
              <w:jc w:val="right"/>
            </w:pPr>
            <w:r w:rsidRPr="00F16C4F">
              <w:t>12</w:t>
            </w:r>
          </w:p>
        </w:tc>
        <w:tc>
          <w:tcPr>
            <w:tcW w:w="1582" w:type="dxa"/>
            <w:tcBorders>
              <w:top w:val="dashed" w:sz="4" w:space="0" w:color="CCCCD0" w:themeColor="accent5" w:themeTint="66"/>
              <w:bottom w:val="single" w:sz="4" w:space="0" w:color="CCCCD0" w:themeColor="accent5" w:themeTint="66"/>
            </w:tcBorders>
            <w:shd w:val="clear" w:color="auto" w:fill="F2F2F2" w:themeFill="background1" w:themeFillShade="F2"/>
            <w:tcMar>
              <w:top w:w="57" w:type="dxa"/>
              <w:bottom w:w="57" w:type="dxa"/>
            </w:tcMar>
          </w:tcPr>
          <w:p w14:paraId="350E514D" w14:textId="77777777" w:rsidR="00F16C4F" w:rsidRPr="00A52A2A" w:rsidRDefault="00F16C4F" w:rsidP="00F16C4F">
            <w:pPr>
              <w:pStyle w:val="SCVtablebody"/>
              <w:spacing w:after="50"/>
              <w:jc w:val="right"/>
            </w:pPr>
            <w:r w:rsidRPr="00275705">
              <w:t>10</w:t>
            </w:r>
          </w:p>
        </w:tc>
        <w:tc>
          <w:tcPr>
            <w:tcW w:w="1289" w:type="dxa"/>
            <w:tcBorders>
              <w:top w:val="dashed" w:sz="4" w:space="0" w:color="CCCCD0" w:themeColor="accent5" w:themeTint="66"/>
              <w:bottom w:val="single" w:sz="4" w:space="0" w:color="CCCCD0" w:themeColor="accent5" w:themeTint="66"/>
            </w:tcBorders>
          </w:tcPr>
          <w:p w14:paraId="0151B864" w14:textId="77777777" w:rsidR="00F16C4F" w:rsidRPr="00A52A2A" w:rsidRDefault="00F16C4F" w:rsidP="00F16C4F">
            <w:pPr>
              <w:pStyle w:val="SCVtablebody"/>
              <w:spacing w:after="50"/>
              <w:jc w:val="right"/>
            </w:pPr>
            <w:r w:rsidRPr="000A099F">
              <w:t>29</w:t>
            </w:r>
          </w:p>
        </w:tc>
      </w:tr>
      <w:tr w:rsidR="00F16C4F" w:rsidRPr="00D17F99" w14:paraId="5868923C" w14:textId="77777777" w:rsidTr="00A40DFD">
        <w:trPr>
          <w:cantSplit/>
          <w:trHeight w:val="113"/>
        </w:trPr>
        <w:tc>
          <w:tcPr>
            <w:tcW w:w="1509" w:type="dxa"/>
            <w:vMerge/>
            <w:tcMar>
              <w:top w:w="57" w:type="dxa"/>
              <w:bottom w:w="57" w:type="dxa"/>
            </w:tcMar>
          </w:tcPr>
          <w:p w14:paraId="33C037D5" w14:textId="77777777" w:rsidR="00F16C4F" w:rsidRPr="00D17F99" w:rsidRDefault="00F16C4F" w:rsidP="00F16C4F">
            <w:pPr>
              <w:pStyle w:val="SCVtablerowhead"/>
              <w:spacing w:after="50"/>
            </w:pPr>
          </w:p>
        </w:tc>
        <w:tc>
          <w:tcPr>
            <w:tcW w:w="1784" w:type="dxa"/>
            <w:vMerge w:val="restart"/>
            <w:tcBorders>
              <w:top w:val="single" w:sz="4" w:space="0" w:color="CCCCD0" w:themeColor="accent5" w:themeTint="66"/>
              <w:bottom w:val="single" w:sz="4" w:space="0" w:color="CCCCD0" w:themeColor="accent5" w:themeTint="66"/>
            </w:tcBorders>
            <w:tcMar>
              <w:top w:w="57" w:type="dxa"/>
              <w:bottom w:w="57" w:type="dxa"/>
            </w:tcMar>
          </w:tcPr>
          <w:p w14:paraId="702AB906" w14:textId="77777777" w:rsidR="00F16C4F" w:rsidRPr="00F16C4F" w:rsidRDefault="00F16C4F" w:rsidP="00F16C4F">
            <w:pPr>
              <w:pStyle w:val="SCVtablebody"/>
              <w:spacing w:after="50"/>
            </w:pPr>
            <w:r w:rsidRPr="00F16C4F">
              <w:t>Consulting assessment</w:t>
            </w:r>
          </w:p>
        </w:tc>
        <w:tc>
          <w:tcPr>
            <w:tcW w:w="2576" w:type="dxa"/>
            <w:tcBorders>
              <w:top w:val="single" w:sz="4" w:space="0" w:color="CCCCD0" w:themeColor="accent5" w:themeTint="66"/>
              <w:bottom w:val="dashed" w:sz="4" w:space="0" w:color="CCCCD0" w:themeColor="accent5" w:themeTint="66"/>
            </w:tcBorders>
            <w:tcMar>
              <w:top w:w="57" w:type="dxa"/>
              <w:bottom w:w="57" w:type="dxa"/>
            </w:tcMar>
          </w:tcPr>
          <w:p w14:paraId="3209026F" w14:textId="77777777" w:rsidR="00F16C4F" w:rsidRPr="00F16C4F" w:rsidRDefault="00F16C4F" w:rsidP="00F16C4F">
            <w:pPr>
              <w:pStyle w:val="SCVtablebody"/>
              <w:spacing w:after="50"/>
            </w:pPr>
            <w:r w:rsidRPr="00F16C4F">
              <w:t>Eligible</w:t>
            </w:r>
          </w:p>
        </w:tc>
        <w:tc>
          <w:tcPr>
            <w:tcW w:w="1466" w:type="dxa"/>
            <w:gridSpan w:val="2"/>
            <w:tcBorders>
              <w:top w:val="single" w:sz="4" w:space="0" w:color="CCCCD0" w:themeColor="accent5" w:themeTint="66"/>
              <w:bottom w:val="dashed" w:sz="4" w:space="0" w:color="CCCCD0" w:themeColor="accent5" w:themeTint="66"/>
            </w:tcBorders>
          </w:tcPr>
          <w:p w14:paraId="1EAF1B7E" w14:textId="77777777" w:rsidR="00F16C4F" w:rsidRPr="00F16C4F" w:rsidRDefault="00F16C4F" w:rsidP="00F16C4F">
            <w:pPr>
              <w:pStyle w:val="SCVtablebody"/>
              <w:spacing w:after="50"/>
              <w:jc w:val="right"/>
            </w:pPr>
            <w:r w:rsidRPr="00F16C4F">
              <w:t>186</w:t>
            </w:r>
          </w:p>
        </w:tc>
        <w:tc>
          <w:tcPr>
            <w:tcW w:w="1582" w:type="dxa"/>
            <w:tcBorders>
              <w:top w:val="single" w:sz="4" w:space="0" w:color="CCCCD0" w:themeColor="accent5" w:themeTint="66"/>
              <w:bottom w:val="dashed" w:sz="4" w:space="0" w:color="CCCCD0" w:themeColor="accent5" w:themeTint="66"/>
            </w:tcBorders>
            <w:shd w:val="clear" w:color="auto" w:fill="F2F2F2" w:themeFill="background1" w:themeFillShade="F2"/>
            <w:tcMar>
              <w:top w:w="57" w:type="dxa"/>
              <w:bottom w:w="57" w:type="dxa"/>
            </w:tcMar>
          </w:tcPr>
          <w:p w14:paraId="3EBE68F8" w14:textId="77777777" w:rsidR="00F16C4F" w:rsidRPr="00A52A2A" w:rsidDel="00FA28A0" w:rsidRDefault="00F16C4F" w:rsidP="00F16C4F">
            <w:pPr>
              <w:pStyle w:val="SCVtablebody"/>
              <w:spacing w:after="50"/>
              <w:jc w:val="right"/>
            </w:pPr>
            <w:r w:rsidRPr="00275705">
              <w:t>217</w:t>
            </w:r>
          </w:p>
        </w:tc>
        <w:tc>
          <w:tcPr>
            <w:tcW w:w="1289" w:type="dxa"/>
            <w:tcBorders>
              <w:top w:val="single" w:sz="4" w:space="0" w:color="CCCCD0" w:themeColor="accent5" w:themeTint="66"/>
              <w:bottom w:val="dashed" w:sz="4" w:space="0" w:color="CCCCD0" w:themeColor="accent5" w:themeTint="66"/>
            </w:tcBorders>
          </w:tcPr>
          <w:p w14:paraId="29CDD4C7" w14:textId="77777777" w:rsidR="00F16C4F" w:rsidRPr="00A52A2A" w:rsidRDefault="00F16C4F" w:rsidP="00F16C4F">
            <w:pPr>
              <w:pStyle w:val="SCVtablebody"/>
              <w:spacing w:after="50"/>
              <w:jc w:val="right"/>
            </w:pPr>
            <w:r w:rsidRPr="000A099F">
              <w:t>700</w:t>
            </w:r>
          </w:p>
        </w:tc>
      </w:tr>
      <w:tr w:rsidR="00F16C4F" w:rsidRPr="00D17F99" w14:paraId="6E7299E0" w14:textId="77777777" w:rsidTr="00F16C4F">
        <w:trPr>
          <w:cantSplit/>
          <w:trHeight w:val="284"/>
        </w:trPr>
        <w:tc>
          <w:tcPr>
            <w:tcW w:w="1509" w:type="dxa"/>
            <w:vMerge/>
            <w:tcMar>
              <w:top w:w="57" w:type="dxa"/>
              <w:bottom w:w="57" w:type="dxa"/>
            </w:tcMar>
          </w:tcPr>
          <w:p w14:paraId="3EBEEDA0" w14:textId="77777777" w:rsidR="00F16C4F" w:rsidRPr="00D17F99" w:rsidRDefault="00F16C4F" w:rsidP="00F16C4F">
            <w:pPr>
              <w:pStyle w:val="SCVtablerowhead"/>
              <w:spacing w:after="50"/>
            </w:pPr>
          </w:p>
        </w:tc>
        <w:tc>
          <w:tcPr>
            <w:tcW w:w="1784" w:type="dxa"/>
            <w:vMerge/>
            <w:tcMar>
              <w:top w:w="57" w:type="dxa"/>
              <w:bottom w:w="57" w:type="dxa"/>
            </w:tcMar>
          </w:tcPr>
          <w:p w14:paraId="3DAEE732" w14:textId="77777777" w:rsidR="00F16C4F" w:rsidRPr="00F16C4F" w:rsidRDefault="00F16C4F" w:rsidP="00F16C4F">
            <w:pPr>
              <w:pStyle w:val="SCVtablebody"/>
              <w:spacing w:after="50"/>
            </w:pPr>
          </w:p>
        </w:tc>
        <w:tc>
          <w:tcPr>
            <w:tcW w:w="2576" w:type="dxa"/>
            <w:tcBorders>
              <w:top w:val="dashed" w:sz="4" w:space="0" w:color="CCCCD0" w:themeColor="accent5" w:themeTint="66"/>
              <w:bottom w:val="single" w:sz="4" w:space="0" w:color="CCCCD0" w:themeColor="accent5" w:themeTint="66"/>
            </w:tcBorders>
            <w:tcMar>
              <w:top w:w="57" w:type="dxa"/>
              <w:bottom w:w="57" w:type="dxa"/>
            </w:tcMar>
          </w:tcPr>
          <w:p w14:paraId="79E83B5B" w14:textId="77777777" w:rsidR="00F16C4F" w:rsidRPr="00F16C4F" w:rsidRDefault="00F16C4F" w:rsidP="00F16C4F">
            <w:pPr>
              <w:pStyle w:val="SCVtablebody"/>
              <w:spacing w:after="50"/>
            </w:pPr>
            <w:r w:rsidRPr="00F16C4F">
              <w:t>Ineligible</w:t>
            </w:r>
          </w:p>
        </w:tc>
        <w:tc>
          <w:tcPr>
            <w:tcW w:w="1466" w:type="dxa"/>
            <w:gridSpan w:val="2"/>
            <w:tcBorders>
              <w:top w:val="dashed" w:sz="4" w:space="0" w:color="CCCCD0" w:themeColor="accent5" w:themeTint="66"/>
              <w:bottom w:val="single" w:sz="4" w:space="0" w:color="CCCCD0" w:themeColor="accent5" w:themeTint="66"/>
            </w:tcBorders>
          </w:tcPr>
          <w:p w14:paraId="5D3A1C3A" w14:textId="77777777" w:rsidR="00F16C4F" w:rsidRPr="00F16C4F" w:rsidRDefault="00F16C4F" w:rsidP="00F16C4F">
            <w:pPr>
              <w:pStyle w:val="SCVtablebody"/>
              <w:spacing w:after="50"/>
              <w:jc w:val="right"/>
            </w:pPr>
            <w:r w:rsidRPr="00F16C4F">
              <w:t>4</w:t>
            </w:r>
          </w:p>
        </w:tc>
        <w:tc>
          <w:tcPr>
            <w:tcW w:w="1582" w:type="dxa"/>
            <w:tcBorders>
              <w:top w:val="dashed" w:sz="4" w:space="0" w:color="CCCCD0" w:themeColor="accent5" w:themeTint="66"/>
              <w:bottom w:val="single" w:sz="4" w:space="0" w:color="CCCCD0" w:themeColor="accent5" w:themeTint="66"/>
            </w:tcBorders>
            <w:shd w:val="clear" w:color="auto" w:fill="F2F2F2" w:themeFill="background1" w:themeFillShade="F2"/>
            <w:tcMar>
              <w:top w:w="57" w:type="dxa"/>
              <w:bottom w:w="57" w:type="dxa"/>
            </w:tcMar>
          </w:tcPr>
          <w:p w14:paraId="1959B4D0" w14:textId="77777777" w:rsidR="00F16C4F" w:rsidRPr="00A52A2A" w:rsidRDefault="00F16C4F" w:rsidP="00F16C4F">
            <w:pPr>
              <w:pStyle w:val="SCVtablebody"/>
              <w:spacing w:after="50"/>
              <w:jc w:val="right"/>
            </w:pPr>
            <w:r w:rsidRPr="00275705">
              <w:t>4</w:t>
            </w:r>
          </w:p>
        </w:tc>
        <w:tc>
          <w:tcPr>
            <w:tcW w:w="1289" w:type="dxa"/>
            <w:tcBorders>
              <w:top w:val="dashed" w:sz="4" w:space="0" w:color="CCCCD0" w:themeColor="accent5" w:themeTint="66"/>
              <w:bottom w:val="single" w:sz="4" w:space="0" w:color="CCCCD0" w:themeColor="accent5" w:themeTint="66"/>
            </w:tcBorders>
          </w:tcPr>
          <w:p w14:paraId="217A5DF1" w14:textId="77777777" w:rsidR="00F16C4F" w:rsidRPr="00A52A2A" w:rsidRDefault="00F16C4F" w:rsidP="00F16C4F">
            <w:pPr>
              <w:pStyle w:val="SCVtablebody"/>
              <w:spacing w:after="50"/>
              <w:jc w:val="right"/>
            </w:pPr>
            <w:r w:rsidRPr="000A099F">
              <w:t>12</w:t>
            </w:r>
          </w:p>
        </w:tc>
      </w:tr>
      <w:tr w:rsidR="00F16C4F" w:rsidRPr="00D17F99" w14:paraId="533F9F22" w14:textId="77777777" w:rsidTr="00A40DFD">
        <w:trPr>
          <w:cantSplit/>
          <w:trHeight w:val="113"/>
        </w:trPr>
        <w:tc>
          <w:tcPr>
            <w:tcW w:w="1509" w:type="dxa"/>
            <w:vMerge w:val="restart"/>
            <w:tcBorders>
              <w:top w:val="single" w:sz="4" w:space="0" w:color="CCCCD0" w:themeColor="accent5" w:themeTint="66"/>
              <w:bottom w:val="single" w:sz="4" w:space="0" w:color="CCCCD0" w:themeColor="accent5" w:themeTint="66"/>
            </w:tcBorders>
            <w:tcMar>
              <w:top w:w="57" w:type="dxa"/>
              <w:bottom w:w="57" w:type="dxa"/>
            </w:tcMar>
          </w:tcPr>
          <w:p w14:paraId="3D861079" w14:textId="77777777" w:rsidR="00F16C4F" w:rsidRPr="00D17F99" w:rsidRDefault="00F16C4F" w:rsidP="00F16C4F">
            <w:pPr>
              <w:pStyle w:val="SCVtablerowhead"/>
              <w:spacing w:after="50"/>
            </w:pPr>
            <w:r w:rsidRPr="00D17F99">
              <w:t>Permit applications</w:t>
            </w:r>
          </w:p>
        </w:tc>
        <w:tc>
          <w:tcPr>
            <w:tcW w:w="1784" w:type="dxa"/>
            <w:vMerge w:val="restart"/>
            <w:tcBorders>
              <w:top w:val="single" w:sz="4" w:space="0" w:color="CCCCD0" w:themeColor="accent5" w:themeTint="66"/>
              <w:bottom w:val="single" w:sz="4" w:space="0" w:color="CCCCD0" w:themeColor="accent5" w:themeTint="66"/>
            </w:tcBorders>
            <w:tcMar>
              <w:top w:w="57" w:type="dxa"/>
              <w:bottom w:w="57" w:type="dxa"/>
            </w:tcMar>
          </w:tcPr>
          <w:p w14:paraId="5B32D396" w14:textId="77777777" w:rsidR="00F16C4F" w:rsidRPr="00F16C4F" w:rsidRDefault="00F16C4F" w:rsidP="00F16C4F">
            <w:pPr>
              <w:pStyle w:val="SCVtablebody"/>
              <w:spacing w:after="50"/>
            </w:pPr>
            <w:r w:rsidRPr="00F16C4F">
              <w:t>Self-administration permit</w:t>
            </w:r>
          </w:p>
        </w:tc>
        <w:tc>
          <w:tcPr>
            <w:tcW w:w="2576" w:type="dxa"/>
            <w:tcBorders>
              <w:top w:val="single" w:sz="4" w:space="0" w:color="CCCCD0" w:themeColor="accent5" w:themeTint="66"/>
              <w:bottom w:val="dashed" w:sz="4" w:space="0" w:color="CCCCD0" w:themeColor="accent5" w:themeTint="66"/>
            </w:tcBorders>
            <w:tcMar>
              <w:top w:w="57" w:type="dxa"/>
              <w:bottom w:w="57" w:type="dxa"/>
            </w:tcMar>
          </w:tcPr>
          <w:p w14:paraId="47EC1555" w14:textId="77777777" w:rsidR="00F16C4F" w:rsidRPr="00F16C4F" w:rsidRDefault="00F16C4F" w:rsidP="00F16C4F">
            <w:pPr>
              <w:pStyle w:val="SCVtablebody"/>
              <w:spacing w:after="50"/>
            </w:pPr>
            <w:r w:rsidRPr="00F16C4F">
              <w:t>Issued</w:t>
            </w:r>
          </w:p>
        </w:tc>
        <w:tc>
          <w:tcPr>
            <w:tcW w:w="1466" w:type="dxa"/>
            <w:gridSpan w:val="2"/>
            <w:tcBorders>
              <w:top w:val="single" w:sz="4" w:space="0" w:color="CCCCD0" w:themeColor="accent5" w:themeTint="66"/>
              <w:bottom w:val="dashed" w:sz="4" w:space="0" w:color="CCCCD0" w:themeColor="accent5" w:themeTint="66"/>
            </w:tcBorders>
          </w:tcPr>
          <w:p w14:paraId="46FB30AD" w14:textId="77777777" w:rsidR="00F16C4F" w:rsidRPr="00F16C4F" w:rsidRDefault="00F16C4F" w:rsidP="00F16C4F">
            <w:pPr>
              <w:pStyle w:val="SCVtablebody"/>
              <w:spacing w:after="50"/>
              <w:jc w:val="right"/>
            </w:pPr>
            <w:r w:rsidRPr="00F16C4F">
              <w:t>149</w:t>
            </w:r>
          </w:p>
        </w:tc>
        <w:tc>
          <w:tcPr>
            <w:tcW w:w="1582" w:type="dxa"/>
            <w:tcBorders>
              <w:top w:val="single" w:sz="4" w:space="0" w:color="CCCCD0" w:themeColor="accent5" w:themeTint="66"/>
              <w:bottom w:val="dashed" w:sz="4" w:space="0" w:color="CCCCD0" w:themeColor="accent5" w:themeTint="66"/>
            </w:tcBorders>
            <w:shd w:val="clear" w:color="auto" w:fill="F2F2F2" w:themeFill="background1" w:themeFillShade="F2"/>
            <w:tcMar>
              <w:top w:w="57" w:type="dxa"/>
              <w:bottom w:w="57" w:type="dxa"/>
            </w:tcMar>
          </w:tcPr>
          <w:p w14:paraId="2D872BAC" w14:textId="77777777" w:rsidR="00F16C4F" w:rsidRPr="00A52A2A" w:rsidRDefault="00F16C4F" w:rsidP="00F16C4F">
            <w:pPr>
              <w:pStyle w:val="SCVtablebody"/>
              <w:spacing w:after="50"/>
              <w:jc w:val="right"/>
            </w:pPr>
            <w:r w:rsidRPr="00275705">
              <w:t>174</w:t>
            </w:r>
          </w:p>
        </w:tc>
        <w:tc>
          <w:tcPr>
            <w:tcW w:w="1289" w:type="dxa"/>
            <w:tcBorders>
              <w:top w:val="single" w:sz="4" w:space="0" w:color="CCCCD0" w:themeColor="accent5" w:themeTint="66"/>
              <w:bottom w:val="dashed" w:sz="4" w:space="0" w:color="CCCCD0" w:themeColor="accent5" w:themeTint="66"/>
            </w:tcBorders>
          </w:tcPr>
          <w:p w14:paraId="35A3429F" w14:textId="77777777" w:rsidR="00F16C4F" w:rsidRPr="00A52A2A" w:rsidRDefault="00F16C4F" w:rsidP="00F16C4F">
            <w:pPr>
              <w:pStyle w:val="SCVtablebody"/>
              <w:spacing w:after="50"/>
              <w:jc w:val="right"/>
            </w:pPr>
            <w:r w:rsidRPr="00BC7715">
              <w:t>524</w:t>
            </w:r>
          </w:p>
        </w:tc>
      </w:tr>
      <w:tr w:rsidR="00F16C4F" w:rsidRPr="00D17F99" w14:paraId="27F8FE9A" w14:textId="77777777" w:rsidTr="00A40DFD">
        <w:trPr>
          <w:cantSplit/>
          <w:trHeight w:val="113"/>
        </w:trPr>
        <w:tc>
          <w:tcPr>
            <w:tcW w:w="1509" w:type="dxa"/>
            <w:vMerge/>
            <w:tcBorders>
              <w:top w:val="single" w:sz="4" w:space="0" w:color="CCCCD0" w:themeColor="accent5" w:themeTint="66"/>
              <w:bottom w:val="single" w:sz="4" w:space="0" w:color="CCCCD0" w:themeColor="accent5" w:themeTint="66"/>
            </w:tcBorders>
            <w:tcMar>
              <w:top w:w="57" w:type="dxa"/>
              <w:bottom w:w="57" w:type="dxa"/>
            </w:tcMar>
            <w:textDirection w:val="btLr"/>
          </w:tcPr>
          <w:p w14:paraId="4AC8BF3B" w14:textId="77777777" w:rsidR="00F16C4F" w:rsidRPr="00D17F99" w:rsidRDefault="00F16C4F" w:rsidP="00F16C4F">
            <w:pPr>
              <w:pStyle w:val="SCVtablerowhead"/>
              <w:spacing w:after="50"/>
            </w:pPr>
          </w:p>
        </w:tc>
        <w:tc>
          <w:tcPr>
            <w:tcW w:w="1784" w:type="dxa"/>
            <w:vMerge/>
            <w:tcMar>
              <w:top w:w="57" w:type="dxa"/>
              <w:bottom w:w="57" w:type="dxa"/>
            </w:tcMar>
          </w:tcPr>
          <w:p w14:paraId="125D1925" w14:textId="77777777" w:rsidR="00F16C4F" w:rsidRPr="00F16C4F" w:rsidRDefault="00F16C4F" w:rsidP="00F16C4F">
            <w:pPr>
              <w:pStyle w:val="SCVtablebody"/>
              <w:spacing w:after="50"/>
            </w:pPr>
          </w:p>
        </w:tc>
        <w:tc>
          <w:tcPr>
            <w:tcW w:w="2576" w:type="dxa"/>
            <w:tcBorders>
              <w:top w:val="dashed" w:sz="4" w:space="0" w:color="CCCCD0" w:themeColor="accent5" w:themeTint="66"/>
              <w:bottom w:val="single" w:sz="4" w:space="0" w:color="CCCCD0" w:themeColor="accent5" w:themeTint="66"/>
            </w:tcBorders>
            <w:tcMar>
              <w:top w:w="57" w:type="dxa"/>
              <w:bottom w:w="57" w:type="dxa"/>
            </w:tcMar>
          </w:tcPr>
          <w:p w14:paraId="189A6AB3" w14:textId="77777777" w:rsidR="00F16C4F" w:rsidRPr="00F16C4F" w:rsidRDefault="00F16C4F" w:rsidP="00F16C4F">
            <w:pPr>
              <w:pStyle w:val="SCVtablebody"/>
              <w:spacing w:after="50"/>
            </w:pPr>
            <w:r w:rsidRPr="00F16C4F">
              <w:t>Not issued</w:t>
            </w:r>
          </w:p>
        </w:tc>
        <w:tc>
          <w:tcPr>
            <w:tcW w:w="1466" w:type="dxa"/>
            <w:gridSpan w:val="2"/>
            <w:tcBorders>
              <w:top w:val="dashed" w:sz="4" w:space="0" w:color="CCCCD0" w:themeColor="accent5" w:themeTint="66"/>
              <w:bottom w:val="single" w:sz="4" w:space="0" w:color="CCCCD0" w:themeColor="accent5" w:themeTint="66"/>
            </w:tcBorders>
          </w:tcPr>
          <w:p w14:paraId="76FC08BA" w14:textId="77777777" w:rsidR="00F16C4F" w:rsidRPr="00F16C4F" w:rsidRDefault="00F16C4F" w:rsidP="00F16C4F">
            <w:pPr>
              <w:pStyle w:val="SCVtablebody"/>
              <w:spacing w:after="50"/>
              <w:jc w:val="right"/>
            </w:pPr>
            <w:r w:rsidRPr="00F16C4F">
              <w:t>12</w:t>
            </w:r>
          </w:p>
        </w:tc>
        <w:tc>
          <w:tcPr>
            <w:tcW w:w="1582" w:type="dxa"/>
            <w:tcBorders>
              <w:top w:val="dashed" w:sz="4" w:space="0" w:color="CCCCD0" w:themeColor="accent5" w:themeTint="66"/>
              <w:bottom w:val="single" w:sz="4" w:space="0" w:color="CCCCD0" w:themeColor="accent5" w:themeTint="66"/>
            </w:tcBorders>
            <w:shd w:val="clear" w:color="auto" w:fill="F2F2F2" w:themeFill="background1" w:themeFillShade="F2"/>
            <w:tcMar>
              <w:top w:w="57" w:type="dxa"/>
              <w:bottom w:w="57" w:type="dxa"/>
            </w:tcMar>
          </w:tcPr>
          <w:p w14:paraId="3DE7AE26" w14:textId="77777777" w:rsidR="00F16C4F" w:rsidRPr="00A52A2A" w:rsidRDefault="00F16C4F" w:rsidP="00F16C4F">
            <w:pPr>
              <w:pStyle w:val="SCVtablebody"/>
              <w:spacing w:after="50"/>
              <w:jc w:val="right"/>
            </w:pPr>
            <w:r w:rsidRPr="00275705">
              <w:t>15</w:t>
            </w:r>
          </w:p>
        </w:tc>
        <w:tc>
          <w:tcPr>
            <w:tcW w:w="1289" w:type="dxa"/>
            <w:tcBorders>
              <w:top w:val="dashed" w:sz="4" w:space="0" w:color="CCCCD0" w:themeColor="accent5" w:themeTint="66"/>
              <w:bottom w:val="single" w:sz="4" w:space="0" w:color="CCCCD0" w:themeColor="accent5" w:themeTint="66"/>
            </w:tcBorders>
          </w:tcPr>
          <w:p w14:paraId="7C10B4E7" w14:textId="77777777" w:rsidR="00F16C4F" w:rsidRPr="00A52A2A" w:rsidRDefault="00F16C4F" w:rsidP="00F16C4F">
            <w:pPr>
              <w:pStyle w:val="SCVtablebody"/>
              <w:spacing w:after="50"/>
              <w:jc w:val="right"/>
            </w:pPr>
            <w:r w:rsidRPr="000A099F">
              <w:t>59</w:t>
            </w:r>
          </w:p>
        </w:tc>
      </w:tr>
      <w:tr w:rsidR="00F16C4F" w:rsidRPr="00D17F99" w14:paraId="6C767670" w14:textId="77777777" w:rsidTr="00A40DFD">
        <w:trPr>
          <w:cantSplit/>
          <w:trHeight w:val="113"/>
        </w:trPr>
        <w:tc>
          <w:tcPr>
            <w:tcW w:w="1509" w:type="dxa"/>
            <w:vMerge/>
            <w:tcBorders>
              <w:top w:val="single" w:sz="4" w:space="0" w:color="CCCCD0" w:themeColor="accent5" w:themeTint="66"/>
              <w:bottom w:val="single" w:sz="4" w:space="0" w:color="CCCCD0" w:themeColor="accent5" w:themeTint="66"/>
            </w:tcBorders>
            <w:tcMar>
              <w:top w:w="57" w:type="dxa"/>
              <w:bottom w:w="57" w:type="dxa"/>
            </w:tcMar>
            <w:textDirection w:val="btLr"/>
          </w:tcPr>
          <w:p w14:paraId="164C1704" w14:textId="77777777" w:rsidR="00F16C4F" w:rsidRPr="00D17F99" w:rsidRDefault="00F16C4F" w:rsidP="00F16C4F">
            <w:pPr>
              <w:pStyle w:val="SCVtablerowhead"/>
              <w:spacing w:after="50"/>
            </w:pPr>
          </w:p>
        </w:tc>
        <w:tc>
          <w:tcPr>
            <w:tcW w:w="1784" w:type="dxa"/>
            <w:vMerge w:val="restart"/>
            <w:tcBorders>
              <w:top w:val="single" w:sz="4" w:space="0" w:color="CCCCD0" w:themeColor="accent5" w:themeTint="66"/>
              <w:bottom w:val="single" w:sz="4" w:space="0" w:color="CCCCD0" w:themeColor="accent5" w:themeTint="66"/>
            </w:tcBorders>
            <w:tcMar>
              <w:top w:w="57" w:type="dxa"/>
              <w:bottom w:w="57" w:type="dxa"/>
            </w:tcMar>
          </w:tcPr>
          <w:p w14:paraId="001BA95B" w14:textId="77777777" w:rsidR="00F16C4F" w:rsidRPr="00F16C4F" w:rsidRDefault="00F16C4F" w:rsidP="00F16C4F">
            <w:pPr>
              <w:pStyle w:val="SCVtablebody"/>
              <w:spacing w:after="50"/>
            </w:pPr>
            <w:r w:rsidRPr="00F16C4F">
              <w:t>Practitioner administration permit</w:t>
            </w:r>
          </w:p>
        </w:tc>
        <w:tc>
          <w:tcPr>
            <w:tcW w:w="2576" w:type="dxa"/>
            <w:tcBorders>
              <w:top w:val="single" w:sz="4" w:space="0" w:color="CCCCD0" w:themeColor="accent5" w:themeTint="66"/>
              <w:bottom w:val="dashed" w:sz="4" w:space="0" w:color="CCCCD0" w:themeColor="accent5" w:themeTint="66"/>
            </w:tcBorders>
            <w:tcMar>
              <w:top w:w="57" w:type="dxa"/>
              <w:bottom w:w="57" w:type="dxa"/>
            </w:tcMar>
          </w:tcPr>
          <w:p w14:paraId="403CC4AD" w14:textId="77777777" w:rsidR="00F16C4F" w:rsidRPr="00F16C4F" w:rsidRDefault="00F16C4F" w:rsidP="00F16C4F">
            <w:pPr>
              <w:pStyle w:val="SCVtablebody"/>
              <w:spacing w:after="50"/>
            </w:pPr>
            <w:r w:rsidRPr="00F16C4F">
              <w:t>Issued</w:t>
            </w:r>
          </w:p>
        </w:tc>
        <w:tc>
          <w:tcPr>
            <w:tcW w:w="1466" w:type="dxa"/>
            <w:gridSpan w:val="2"/>
            <w:tcBorders>
              <w:top w:val="single" w:sz="4" w:space="0" w:color="CCCCD0" w:themeColor="accent5" w:themeTint="66"/>
              <w:bottom w:val="dashed" w:sz="4" w:space="0" w:color="CCCCD0" w:themeColor="accent5" w:themeTint="66"/>
            </w:tcBorders>
          </w:tcPr>
          <w:p w14:paraId="7651F8A9" w14:textId="77777777" w:rsidR="00F16C4F" w:rsidRPr="00F16C4F" w:rsidRDefault="00F16C4F" w:rsidP="00F16C4F">
            <w:pPr>
              <w:pStyle w:val="SCVtablebody"/>
              <w:spacing w:after="50"/>
              <w:jc w:val="right"/>
            </w:pPr>
            <w:r w:rsidRPr="00F16C4F">
              <w:t>25</w:t>
            </w:r>
          </w:p>
        </w:tc>
        <w:tc>
          <w:tcPr>
            <w:tcW w:w="1582" w:type="dxa"/>
            <w:tcBorders>
              <w:top w:val="single" w:sz="4" w:space="0" w:color="CCCCD0" w:themeColor="accent5" w:themeTint="66"/>
              <w:bottom w:val="dashed" w:sz="4" w:space="0" w:color="CCCCD0" w:themeColor="accent5" w:themeTint="66"/>
            </w:tcBorders>
            <w:shd w:val="clear" w:color="auto" w:fill="F2F2F2" w:themeFill="background1" w:themeFillShade="F2"/>
            <w:tcMar>
              <w:top w:w="57" w:type="dxa"/>
              <w:bottom w:w="57" w:type="dxa"/>
            </w:tcMar>
          </w:tcPr>
          <w:p w14:paraId="41BD757D" w14:textId="77777777" w:rsidR="00F16C4F" w:rsidRPr="00A52A2A" w:rsidRDefault="00F16C4F" w:rsidP="00F16C4F">
            <w:pPr>
              <w:pStyle w:val="SCVtablebody"/>
              <w:spacing w:after="50"/>
              <w:jc w:val="right"/>
            </w:pPr>
            <w:r w:rsidRPr="00275705">
              <w:t>18</w:t>
            </w:r>
          </w:p>
        </w:tc>
        <w:tc>
          <w:tcPr>
            <w:tcW w:w="1289" w:type="dxa"/>
            <w:tcBorders>
              <w:top w:val="single" w:sz="4" w:space="0" w:color="CCCCD0" w:themeColor="accent5" w:themeTint="66"/>
              <w:bottom w:val="dashed" w:sz="4" w:space="0" w:color="CCCCD0" w:themeColor="accent5" w:themeTint="66"/>
            </w:tcBorders>
          </w:tcPr>
          <w:p w14:paraId="1C510D43" w14:textId="77777777" w:rsidR="00F16C4F" w:rsidRPr="00A52A2A" w:rsidRDefault="00F16C4F" w:rsidP="00F16C4F">
            <w:pPr>
              <w:pStyle w:val="SCVtablebody"/>
              <w:spacing w:after="50"/>
              <w:jc w:val="right"/>
            </w:pPr>
            <w:r w:rsidRPr="000A099F">
              <w:t>73</w:t>
            </w:r>
          </w:p>
        </w:tc>
      </w:tr>
      <w:tr w:rsidR="00F16C4F" w:rsidRPr="00D17F99" w14:paraId="00F00D96" w14:textId="77777777" w:rsidTr="00A40DFD">
        <w:trPr>
          <w:cantSplit/>
          <w:trHeight w:val="113"/>
        </w:trPr>
        <w:tc>
          <w:tcPr>
            <w:tcW w:w="1509" w:type="dxa"/>
            <w:vMerge/>
            <w:tcBorders>
              <w:top w:val="single" w:sz="4" w:space="0" w:color="CCCCD0" w:themeColor="accent5" w:themeTint="66"/>
              <w:bottom w:val="single" w:sz="4" w:space="0" w:color="CCCCD0" w:themeColor="accent5" w:themeTint="66"/>
            </w:tcBorders>
            <w:tcMar>
              <w:top w:w="57" w:type="dxa"/>
              <w:bottom w:w="57" w:type="dxa"/>
            </w:tcMar>
            <w:textDirection w:val="btLr"/>
          </w:tcPr>
          <w:p w14:paraId="17AAA23F" w14:textId="77777777" w:rsidR="00F16C4F" w:rsidRPr="00D17F99" w:rsidRDefault="00F16C4F" w:rsidP="00F16C4F">
            <w:pPr>
              <w:pStyle w:val="SCVtablerowhead"/>
              <w:spacing w:after="50"/>
            </w:pPr>
          </w:p>
        </w:tc>
        <w:tc>
          <w:tcPr>
            <w:tcW w:w="1784" w:type="dxa"/>
            <w:vMerge/>
            <w:tcMar>
              <w:top w:w="57" w:type="dxa"/>
              <w:bottom w:w="57" w:type="dxa"/>
            </w:tcMar>
          </w:tcPr>
          <w:p w14:paraId="081F1299" w14:textId="77777777" w:rsidR="00F16C4F" w:rsidRPr="00F16C4F" w:rsidRDefault="00F16C4F" w:rsidP="00F16C4F">
            <w:pPr>
              <w:pStyle w:val="SCVtablebody"/>
              <w:spacing w:after="50"/>
            </w:pPr>
          </w:p>
        </w:tc>
        <w:tc>
          <w:tcPr>
            <w:tcW w:w="2576" w:type="dxa"/>
            <w:tcBorders>
              <w:top w:val="dashed" w:sz="4" w:space="0" w:color="CCCCD0" w:themeColor="accent5" w:themeTint="66"/>
              <w:bottom w:val="single" w:sz="4" w:space="0" w:color="CCCCD0" w:themeColor="accent5" w:themeTint="66"/>
            </w:tcBorders>
            <w:tcMar>
              <w:top w:w="57" w:type="dxa"/>
              <w:bottom w:w="57" w:type="dxa"/>
            </w:tcMar>
          </w:tcPr>
          <w:p w14:paraId="2B19248A" w14:textId="77777777" w:rsidR="00F16C4F" w:rsidRPr="00F16C4F" w:rsidRDefault="00F16C4F" w:rsidP="00F16C4F">
            <w:pPr>
              <w:pStyle w:val="SCVtablebody"/>
              <w:spacing w:after="50"/>
            </w:pPr>
            <w:r w:rsidRPr="00F16C4F">
              <w:t>Not issued</w:t>
            </w:r>
          </w:p>
        </w:tc>
        <w:tc>
          <w:tcPr>
            <w:tcW w:w="1466" w:type="dxa"/>
            <w:gridSpan w:val="2"/>
            <w:tcBorders>
              <w:top w:val="dashed" w:sz="4" w:space="0" w:color="CCCCD0" w:themeColor="accent5" w:themeTint="66"/>
              <w:bottom w:val="single" w:sz="4" w:space="0" w:color="CCCCD0" w:themeColor="accent5" w:themeTint="66"/>
            </w:tcBorders>
          </w:tcPr>
          <w:p w14:paraId="7E9B9B5E" w14:textId="77777777" w:rsidR="00F16C4F" w:rsidRPr="00F16C4F" w:rsidRDefault="00F16C4F" w:rsidP="00F16C4F">
            <w:pPr>
              <w:pStyle w:val="SCVtablebody"/>
              <w:spacing w:after="50"/>
              <w:jc w:val="right"/>
            </w:pPr>
            <w:r w:rsidRPr="00F16C4F">
              <w:t>7</w:t>
            </w:r>
          </w:p>
        </w:tc>
        <w:tc>
          <w:tcPr>
            <w:tcW w:w="1582" w:type="dxa"/>
            <w:tcBorders>
              <w:top w:val="dashed" w:sz="4" w:space="0" w:color="CCCCD0" w:themeColor="accent5" w:themeTint="66"/>
              <w:bottom w:val="single" w:sz="4" w:space="0" w:color="CCCCD0" w:themeColor="accent5" w:themeTint="66"/>
            </w:tcBorders>
            <w:shd w:val="clear" w:color="auto" w:fill="F2F2F2" w:themeFill="background1" w:themeFillShade="F2"/>
            <w:tcMar>
              <w:top w:w="57" w:type="dxa"/>
              <w:bottom w:w="57" w:type="dxa"/>
            </w:tcMar>
          </w:tcPr>
          <w:p w14:paraId="32A4722A" w14:textId="77777777" w:rsidR="00F16C4F" w:rsidRPr="00A52A2A" w:rsidRDefault="00F16C4F" w:rsidP="00F16C4F">
            <w:pPr>
              <w:pStyle w:val="SCVtablebody"/>
              <w:spacing w:after="50"/>
              <w:jc w:val="right"/>
            </w:pPr>
            <w:r w:rsidRPr="00275705">
              <w:t>2</w:t>
            </w:r>
          </w:p>
        </w:tc>
        <w:tc>
          <w:tcPr>
            <w:tcW w:w="1289" w:type="dxa"/>
            <w:tcBorders>
              <w:top w:val="dashed" w:sz="4" w:space="0" w:color="CCCCD0" w:themeColor="accent5" w:themeTint="66"/>
              <w:bottom w:val="single" w:sz="4" w:space="0" w:color="CCCCD0" w:themeColor="accent5" w:themeTint="66"/>
            </w:tcBorders>
          </w:tcPr>
          <w:p w14:paraId="69BC8966" w14:textId="77777777" w:rsidR="00F16C4F" w:rsidRPr="00A52A2A" w:rsidRDefault="00F16C4F" w:rsidP="00F16C4F">
            <w:pPr>
              <w:pStyle w:val="SCVtablebody"/>
              <w:spacing w:after="50"/>
              <w:jc w:val="right"/>
            </w:pPr>
            <w:r w:rsidRPr="000A099F">
              <w:t>18</w:t>
            </w:r>
          </w:p>
        </w:tc>
      </w:tr>
      <w:tr w:rsidR="00F16C4F" w:rsidRPr="00D17F99" w14:paraId="6CCE975E" w14:textId="77777777" w:rsidTr="00A40DFD">
        <w:trPr>
          <w:cantSplit/>
          <w:trHeight w:val="113"/>
        </w:trPr>
        <w:tc>
          <w:tcPr>
            <w:tcW w:w="1509" w:type="dxa"/>
            <w:tcBorders>
              <w:top w:val="single" w:sz="4" w:space="0" w:color="CCCCD0" w:themeColor="accent5" w:themeTint="66"/>
              <w:bottom w:val="single" w:sz="4" w:space="0" w:color="CCCCD0" w:themeColor="accent5" w:themeTint="66"/>
            </w:tcBorders>
            <w:tcMar>
              <w:top w:w="57" w:type="dxa"/>
              <w:bottom w:w="57" w:type="dxa"/>
            </w:tcMar>
          </w:tcPr>
          <w:p w14:paraId="1445ECD1" w14:textId="77777777" w:rsidR="00F16C4F" w:rsidRPr="00D17F99" w:rsidRDefault="00F16C4F" w:rsidP="00F16C4F">
            <w:pPr>
              <w:pStyle w:val="SCVtablerowhead"/>
              <w:spacing w:after="50"/>
            </w:pPr>
            <w:r w:rsidRPr="00D17F99">
              <w:t>Withdrawn</w:t>
            </w:r>
          </w:p>
        </w:tc>
        <w:tc>
          <w:tcPr>
            <w:tcW w:w="4970" w:type="dxa"/>
            <w:gridSpan w:val="3"/>
            <w:tcBorders>
              <w:top w:val="single" w:sz="4" w:space="0" w:color="CCCCD0" w:themeColor="accent5" w:themeTint="66"/>
              <w:bottom w:val="single" w:sz="4" w:space="0" w:color="CCCCD0" w:themeColor="accent5" w:themeTint="66"/>
            </w:tcBorders>
            <w:tcMar>
              <w:top w:w="57" w:type="dxa"/>
              <w:bottom w:w="57" w:type="dxa"/>
            </w:tcMar>
          </w:tcPr>
          <w:p w14:paraId="599ABFAE" w14:textId="77777777" w:rsidR="00F16C4F" w:rsidRPr="00F16C4F" w:rsidRDefault="00F16C4F" w:rsidP="00F16C4F">
            <w:pPr>
              <w:pStyle w:val="SCVtablebody"/>
              <w:spacing w:after="50"/>
            </w:pPr>
            <w:r w:rsidRPr="00F16C4F">
              <w:t>Case withdrawn from portal by the coordinating medical practitioner or upon notification of death of applicant*</w:t>
            </w:r>
          </w:p>
        </w:tc>
        <w:tc>
          <w:tcPr>
            <w:tcW w:w="856" w:type="dxa"/>
            <w:tcBorders>
              <w:top w:val="single" w:sz="4" w:space="0" w:color="CCCCD0" w:themeColor="accent5" w:themeTint="66"/>
              <w:bottom w:val="single" w:sz="4" w:space="0" w:color="CCCCD0" w:themeColor="accent5" w:themeTint="66"/>
            </w:tcBorders>
          </w:tcPr>
          <w:p w14:paraId="20B84C91" w14:textId="77777777" w:rsidR="00F16C4F" w:rsidRPr="00A52A2A" w:rsidRDefault="00F16C4F" w:rsidP="00F16C4F">
            <w:pPr>
              <w:pStyle w:val="SCVtablebody"/>
              <w:spacing w:after="50"/>
              <w:jc w:val="right"/>
            </w:pPr>
            <w:r>
              <w:t>108</w:t>
            </w:r>
          </w:p>
        </w:tc>
        <w:tc>
          <w:tcPr>
            <w:tcW w:w="1582" w:type="dxa"/>
            <w:tcBorders>
              <w:top w:val="single" w:sz="4" w:space="0" w:color="CCCCD0" w:themeColor="accent5" w:themeTint="66"/>
              <w:bottom w:val="single" w:sz="4" w:space="0" w:color="CCCCD0" w:themeColor="accent5" w:themeTint="66"/>
            </w:tcBorders>
            <w:shd w:val="clear" w:color="auto" w:fill="F2F2F2" w:themeFill="background1" w:themeFillShade="F2"/>
          </w:tcPr>
          <w:p w14:paraId="595E2A72" w14:textId="77777777" w:rsidR="00F16C4F" w:rsidRPr="00A52A2A" w:rsidRDefault="00F16C4F" w:rsidP="00F16C4F">
            <w:pPr>
              <w:pStyle w:val="SCVtablebody"/>
              <w:spacing w:after="50"/>
              <w:jc w:val="right"/>
            </w:pPr>
            <w:r>
              <w:t>103</w:t>
            </w:r>
          </w:p>
        </w:tc>
        <w:tc>
          <w:tcPr>
            <w:tcW w:w="1289" w:type="dxa"/>
            <w:tcBorders>
              <w:top w:val="single" w:sz="4" w:space="0" w:color="CCCCD0" w:themeColor="accent5" w:themeTint="66"/>
              <w:bottom w:val="single" w:sz="4" w:space="0" w:color="CCCCD0" w:themeColor="accent5" w:themeTint="66"/>
            </w:tcBorders>
          </w:tcPr>
          <w:p w14:paraId="0C8F341B" w14:textId="77777777" w:rsidR="00F16C4F" w:rsidRPr="00A52A2A" w:rsidRDefault="00F16C4F" w:rsidP="00F16C4F">
            <w:pPr>
              <w:pStyle w:val="SCVtablebody"/>
              <w:spacing w:after="50"/>
              <w:jc w:val="right"/>
            </w:pPr>
            <w:r>
              <w:t>342</w:t>
            </w:r>
          </w:p>
        </w:tc>
      </w:tr>
      <w:tr w:rsidR="00F16C4F" w:rsidRPr="00D17F99" w14:paraId="4656C92F" w14:textId="77777777" w:rsidTr="00A40DFD">
        <w:trPr>
          <w:cantSplit/>
          <w:trHeight w:val="113"/>
        </w:trPr>
        <w:tc>
          <w:tcPr>
            <w:tcW w:w="1509" w:type="dxa"/>
            <w:tcBorders>
              <w:top w:val="single" w:sz="4" w:space="0" w:color="CCCCD0" w:themeColor="accent5" w:themeTint="66"/>
              <w:bottom w:val="single" w:sz="4" w:space="0" w:color="CCCCD0" w:themeColor="accent5" w:themeTint="66"/>
            </w:tcBorders>
            <w:tcMar>
              <w:top w:w="57" w:type="dxa"/>
              <w:bottom w:w="57" w:type="dxa"/>
            </w:tcMar>
          </w:tcPr>
          <w:p w14:paraId="4C91EDC1" w14:textId="77777777" w:rsidR="00F16C4F" w:rsidRPr="00D17F99" w:rsidRDefault="00F16C4F" w:rsidP="00F16C4F">
            <w:pPr>
              <w:pStyle w:val="SCVtablerowhead"/>
              <w:spacing w:after="50"/>
            </w:pPr>
            <w:r w:rsidRPr="00D17F99">
              <w:t>Medications dispensed</w:t>
            </w:r>
          </w:p>
        </w:tc>
        <w:tc>
          <w:tcPr>
            <w:tcW w:w="4360" w:type="dxa"/>
            <w:gridSpan w:val="2"/>
            <w:tcBorders>
              <w:top w:val="single" w:sz="4" w:space="0" w:color="CCCCD0" w:themeColor="accent5" w:themeTint="66"/>
              <w:bottom w:val="dashed" w:sz="4" w:space="0" w:color="CCCCD0" w:themeColor="accent5" w:themeTint="66"/>
            </w:tcBorders>
            <w:tcMar>
              <w:top w:w="57" w:type="dxa"/>
              <w:bottom w:w="57" w:type="dxa"/>
            </w:tcMar>
          </w:tcPr>
          <w:p w14:paraId="155AE1A7" w14:textId="77777777" w:rsidR="00F16C4F" w:rsidRPr="00F16C4F" w:rsidRDefault="00F16C4F" w:rsidP="00F16C4F">
            <w:pPr>
              <w:pStyle w:val="SCVtablebody"/>
              <w:spacing w:after="50"/>
            </w:pPr>
            <w:r w:rsidRPr="00F16C4F">
              <w:t>For self-administration#</w:t>
            </w:r>
          </w:p>
        </w:tc>
        <w:tc>
          <w:tcPr>
            <w:tcW w:w="1466" w:type="dxa"/>
            <w:gridSpan w:val="2"/>
            <w:tcBorders>
              <w:top w:val="single" w:sz="4" w:space="0" w:color="CCCCD0" w:themeColor="accent5" w:themeTint="66"/>
              <w:bottom w:val="dashed" w:sz="4" w:space="0" w:color="CCCCD0" w:themeColor="accent5" w:themeTint="66"/>
            </w:tcBorders>
          </w:tcPr>
          <w:p w14:paraId="5A8F83A8" w14:textId="77777777" w:rsidR="00F16C4F" w:rsidRPr="00F16C4F" w:rsidRDefault="00F16C4F" w:rsidP="00F16C4F">
            <w:pPr>
              <w:pStyle w:val="SCVtablebody"/>
              <w:spacing w:after="50"/>
              <w:jc w:val="right"/>
            </w:pPr>
            <w:r w:rsidRPr="00F16C4F">
              <w:t>127</w:t>
            </w:r>
          </w:p>
        </w:tc>
        <w:tc>
          <w:tcPr>
            <w:tcW w:w="1582" w:type="dxa"/>
            <w:tcBorders>
              <w:top w:val="single" w:sz="4" w:space="0" w:color="CCCCD0" w:themeColor="accent5" w:themeTint="66"/>
              <w:bottom w:val="dashed" w:sz="4" w:space="0" w:color="CCCCD0" w:themeColor="accent5" w:themeTint="66"/>
            </w:tcBorders>
            <w:shd w:val="clear" w:color="auto" w:fill="F2F2F2" w:themeFill="background1" w:themeFillShade="F2"/>
            <w:tcMar>
              <w:top w:w="57" w:type="dxa"/>
              <w:bottom w:w="57" w:type="dxa"/>
            </w:tcMar>
          </w:tcPr>
          <w:p w14:paraId="4EBAA284" w14:textId="77777777" w:rsidR="00F16C4F" w:rsidRPr="00A52A2A" w:rsidRDefault="00F16C4F" w:rsidP="00F16C4F">
            <w:pPr>
              <w:pStyle w:val="SCVtablebody"/>
              <w:spacing w:after="50"/>
              <w:jc w:val="right"/>
            </w:pPr>
            <w:r w:rsidRPr="007C7444">
              <w:t>132</w:t>
            </w:r>
          </w:p>
        </w:tc>
        <w:tc>
          <w:tcPr>
            <w:tcW w:w="1289" w:type="dxa"/>
            <w:tcBorders>
              <w:top w:val="single" w:sz="4" w:space="0" w:color="CCCCD0" w:themeColor="accent5" w:themeTint="66"/>
              <w:bottom w:val="dashed" w:sz="4" w:space="0" w:color="CCCCD0" w:themeColor="accent5" w:themeTint="66"/>
            </w:tcBorders>
          </w:tcPr>
          <w:p w14:paraId="68F97DAA" w14:textId="77777777" w:rsidR="00F16C4F" w:rsidRPr="00A52A2A" w:rsidRDefault="00F16C4F" w:rsidP="00F16C4F">
            <w:pPr>
              <w:pStyle w:val="SCVtablebody"/>
              <w:spacing w:after="50"/>
              <w:jc w:val="right"/>
            </w:pPr>
            <w:r w:rsidRPr="00275705">
              <w:t>413</w:t>
            </w:r>
          </w:p>
        </w:tc>
      </w:tr>
      <w:tr w:rsidR="00F16C4F" w:rsidRPr="00D17F99" w14:paraId="730A5809" w14:textId="77777777" w:rsidTr="00A40DFD">
        <w:trPr>
          <w:cantSplit/>
          <w:trHeight w:val="113"/>
        </w:trPr>
        <w:tc>
          <w:tcPr>
            <w:tcW w:w="1509" w:type="dxa"/>
            <w:vMerge w:val="restart"/>
            <w:tcBorders>
              <w:top w:val="single" w:sz="4" w:space="0" w:color="CCCCD0" w:themeColor="accent5" w:themeTint="66"/>
            </w:tcBorders>
            <w:tcMar>
              <w:top w:w="57" w:type="dxa"/>
              <w:bottom w:w="57" w:type="dxa"/>
            </w:tcMar>
          </w:tcPr>
          <w:p w14:paraId="0A70F588" w14:textId="77777777" w:rsidR="00F16C4F" w:rsidRPr="00D17F99" w:rsidRDefault="00F16C4F" w:rsidP="00F16C4F">
            <w:pPr>
              <w:pStyle w:val="SCVtablerowhead"/>
              <w:spacing w:after="50"/>
              <w:rPr>
                <w:vertAlign w:val="superscript"/>
              </w:rPr>
            </w:pPr>
            <w:r w:rsidRPr="00D17F99">
              <w:t>Confirmed deaths</w:t>
            </w:r>
            <w:r w:rsidRPr="00D17F99">
              <w:rPr>
                <w:vertAlign w:val="superscript"/>
              </w:rPr>
              <w:t>##</w:t>
            </w:r>
          </w:p>
        </w:tc>
        <w:tc>
          <w:tcPr>
            <w:tcW w:w="1784" w:type="dxa"/>
            <w:vMerge w:val="restart"/>
            <w:tcBorders>
              <w:top w:val="single" w:sz="4" w:space="0" w:color="CCCCD0" w:themeColor="accent5" w:themeTint="66"/>
            </w:tcBorders>
            <w:tcMar>
              <w:top w:w="57" w:type="dxa"/>
              <w:bottom w:w="57" w:type="dxa"/>
            </w:tcMar>
          </w:tcPr>
          <w:p w14:paraId="2A8813A3" w14:textId="77777777" w:rsidR="00F16C4F" w:rsidRPr="00F16C4F" w:rsidRDefault="00F16C4F" w:rsidP="00F16C4F">
            <w:pPr>
              <w:pStyle w:val="SCVtablebody"/>
              <w:spacing w:after="50"/>
            </w:pPr>
            <w:r w:rsidRPr="00F16C4F">
              <w:t xml:space="preserve">Medication was administered </w:t>
            </w:r>
          </w:p>
        </w:tc>
        <w:tc>
          <w:tcPr>
            <w:tcW w:w="3186" w:type="dxa"/>
            <w:gridSpan w:val="2"/>
            <w:tcBorders>
              <w:top w:val="single" w:sz="4" w:space="0" w:color="CCCCD0" w:themeColor="accent5" w:themeTint="66"/>
              <w:bottom w:val="dashed" w:sz="4" w:space="0" w:color="CCCCD0" w:themeColor="accent5" w:themeTint="66"/>
            </w:tcBorders>
            <w:tcMar>
              <w:top w:w="57" w:type="dxa"/>
              <w:bottom w:w="57" w:type="dxa"/>
            </w:tcMar>
          </w:tcPr>
          <w:p w14:paraId="416614A7" w14:textId="77777777" w:rsidR="00F16C4F" w:rsidRPr="00F16C4F" w:rsidRDefault="00F16C4F" w:rsidP="00F16C4F">
            <w:pPr>
              <w:pStyle w:val="SCVtablebody"/>
              <w:spacing w:after="50"/>
            </w:pPr>
            <w:r w:rsidRPr="00F16C4F">
              <w:t>Medication was self-administered</w:t>
            </w:r>
          </w:p>
        </w:tc>
        <w:tc>
          <w:tcPr>
            <w:tcW w:w="856" w:type="dxa"/>
            <w:tcBorders>
              <w:top w:val="single" w:sz="4" w:space="0" w:color="CCCCD0" w:themeColor="accent5" w:themeTint="66"/>
              <w:bottom w:val="dashed" w:sz="4" w:space="0" w:color="CCCCD0" w:themeColor="accent5" w:themeTint="66"/>
            </w:tcBorders>
          </w:tcPr>
          <w:p w14:paraId="04332C9A" w14:textId="77777777" w:rsidR="00F16C4F" w:rsidRPr="00A52A2A" w:rsidRDefault="00F16C4F" w:rsidP="00F16C4F">
            <w:pPr>
              <w:pStyle w:val="SCVtablebody"/>
              <w:spacing w:after="50"/>
              <w:jc w:val="right"/>
            </w:pPr>
            <w:r>
              <w:t>80</w:t>
            </w:r>
          </w:p>
        </w:tc>
        <w:tc>
          <w:tcPr>
            <w:tcW w:w="1582" w:type="dxa"/>
            <w:tcBorders>
              <w:top w:val="single" w:sz="4" w:space="0" w:color="CCCCD0" w:themeColor="accent5" w:themeTint="66"/>
              <w:bottom w:val="dashed" w:sz="4" w:space="0" w:color="CCCCD0" w:themeColor="accent5" w:themeTint="66"/>
            </w:tcBorders>
            <w:shd w:val="clear" w:color="auto" w:fill="F2F2F2" w:themeFill="background1" w:themeFillShade="F2"/>
            <w:tcMar>
              <w:top w:w="57" w:type="dxa"/>
              <w:bottom w:w="57" w:type="dxa"/>
            </w:tcMar>
          </w:tcPr>
          <w:p w14:paraId="3A42D2EF" w14:textId="77777777" w:rsidR="00F16C4F" w:rsidRPr="00A52A2A" w:rsidRDefault="00F16C4F" w:rsidP="00F16C4F">
            <w:pPr>
              <w:pStyle w:val="SCVtablebody"/>
              <w:spacing w:after="50"/>
              <w:jc w:val="right"/>
            </w:pPr>
            <w:r>
              <w:t>92</w:t>
            </w:r>
          </w:p>
        </w:tc>
        <w:tc>
          <w:tcPr>
            <w:tcW w:w="1289" w:type="dxa"/>
            <w:tcBorders>
              <w:top w:val="single" w:sz="4" w:space="0" w:color="CCCCD0" w:themeColor="accent5" w:themeTint="66"/>
              <w:bottom w:val="dashed" w:sz="4" w:space="0" w:color="CCCCD0" w:themeColor="accent5" w:themeTint="66"/>
            </w:tcBorders>
          </w:tcPr>
          <w:p w14:paraId="30A2DD23" w14:textId="77777777" w:rsidR="00F16C4F" w:rsidRPr="00A52A2A" w:rsidRDefault="00F16C4F" w:rsidP="00F16C4F">
            <w:pPr>
              <w:pStyle w:val="SCVtablebody"/>
              <w:spacing w:after="50"/>
              <w:jc w:val="right"/>
            </w:pPr>
            <w:r>
              <w:t>282</w:t>
            </w:r>
          </w:p>
        </w:tc>
      </w:tr>
      <w:tr w:rsidR="00F16C4F" w:rsidRPr="00D17F99" w14:paraId="15255119" w14:textId="77777777" w:rsidTr="00A40DFD">
        <w:trPr>
          <w:cantSplit/>
          <w:trHeight w:val="113"/>
        </w:trPr>
        <w:tc>
          <w:tcPr>
            <w:tcW w:w="1509" w:type="dxa"/>
            <w:vMerge/>
            <w:tcMar>
              <w:top w:w="57" w:type="dxa"/>
              <w:bottom w:w="57" w:type="dxa"/>
            </w:tcMar>
          </w:tcPr>
          <w:p w14:paraId="6EE046AE" w14:textId="77777777" w:rsidR="00F16C4F" w:rsidRPr="00D17F99" w:rsidRDefault="00F16C4F" w:rsidP="00F16C4F">
            <w:pPr>
              <w:spacing w:after="50"/>
            </w:pPr>
          </w:p>
        </w:tc>
        <w:tc>
          <w:tcPr>
            <w:tcW w:w="1784" w:type="dxa"/>
            <w:vMerge/>
            <w:tcMar>
              <w:top w:w="57" w:type="dxa"/>
              <w:bottom w:w="57" w:type="dxa"/>
            </w:tcMar>
          </w:tcPr>
          <w:p w14:paraId="2D047354" w14:textId="77777777" w:rsidR="00F16C4F" w:rsidRPr="00F16C4F" w:rsidRDefault="00F16C4F" w:rsidP="00F16C4F">
            <w:pPr>
              <w:pStyle w:val="SCVtablebody"/>
              <w:spacing w:after="50"/>
            </w:pPr>
          </w:p>
        </w:tc>
        <w:tc>
          <w:tcPr>
            <w:tcW w:w="3186" w:type="dxa"/>
            <w:gridSpan w:val="2"/>
            <w:tcBorders>
              <w:top w:val="dashed" w:sz="4" w:space="0" w:color="CCCCD0" w:themeColor="accent5" w:themeTint="66"/>
            </w:tcBorders>
            <w:tcMar>
              <w:top w:w="57" w:type="dxa"/>
              <w:bottom w:w="57" w:type="dxa"/>
            </w:tcMar>
          </w:tcPr>
          <w:p w14:paraId="1EC92992" w14:textId="77777777" w:rsidR="00F16C4F" w:rsidRPr="00F16C4F" w:rsidRDefault="00F16C4F" w:rsidP="00F16C4F">
            <w:pPr>
              <w:pStyle w:val="SCVtablebody"/>
              <w:spacing w:after="50"/>
            </w:pPr>
            <w:r w:rsidRPr="00F16C4F">
              <w:t>Medication was administered by a practitioner</w:t>
            </w:r>
          </w:p>
        </w:tc>
        <w:tc>
          <w:tcPr>
            <w:tcW w:w="856" w:type="dxa"/>
            <w:tcBorders>
              <w:top w:val="dashed" w:sz="4" w:space="0" w:color="CCCCD0" w:themeColor="accent5" w:themeTint="66"/>
            </w:tcBorders>
          </w:tcPr>
          <w:p w14:paraId="264C8787" w14:textId="77777777" w:rsidR="00F16C4F" w:rsidRPr="00D17F99" w:rsidRDefault="00F16C4F" w:rsidP="00F16C4F">
            <w:pPr>
              <w:pStyle w:val="SCVtablebody"/>
              <w:spacing w:after="50"/>
              <w:jc w:val="right"/>
            </w:pPr>
            <w:r>
              <w:t>20</w:t>
            </w:r>
          </w:p>
        </w:tc>
        <w:tc>
          <w:tcPr>
            <w:tcW w:w="1582" w:type="dxa"/>
            <w:tcBorders>
              <w:top w:val="dashed" w:sz="4" w:space="0" w:color="CCCCD0" w:themeColor="accent5" w:themeTint="66"/>
              <w:bottom w:val="single" w:sz="4" w:space="0" w:color="CCCCD0" w:themeColor="accent5" w:themeTint="66"/>
            </w:tcBorders>
            <w:shd w:val="clear" w:color="auto" w:fill="F2F2F2" w:themeFill="background1" w:themeFillShade="F2"/>
            <w:tcMar>
              <w:top w:w="57" w:type="dxa"/>
              <w:bottom w:w="57" w:type="dxa"/>
            </w:tcMar>
          </w:tcPr>
          <w:p w14:paraId="60F81670" w14:textId="77777777" w:rsidR="00F16C4F" w:rsidRPr="00D17F99" w:rsidRDefault="00F16C4F" w:rsidP="00F16C4F">
            <w:pPr>
              <w:pStyle w:val="SCVtablebody"/>
              <w:spacing w:after="50"/>
              <w:jc w:val="right"/>
            </w:pPr>
            <w:r>
              <w:t>9</w:t>
            </w:r>
          </w:p>
        </w:tc>
        <w:tc>
          <w:tcPr>
            <w:tcW w:w="1289" w:type="dxa"/>
            <w:tcBorders>
              <w:top w:val="dashed" w:sz="4" w:space="0" w:color="CCCCD0" w:themeColor="accent5" w:themeTint="66"/>
            </w:tcBorders>
          </w:tcPr>
          <w:p w14:paraId="2881C312" w14:textId="77777777" w:rsidR="00F16C4F" w:rsidRPr="00D17F99" w:rsidRDefault="00F16C4F" w:rsidP="00F16C4F">
            <w:pPr>
              <w:pStyle w:val="SCVtablebody"/>
              <w:spacing w:after="50"/>
              <w:jc w:val="right"/>
            </w:pPr>
            <w:r w:rsidRPr="00D17F99">
              <w:t>4</w:t>
            </w:r>
            <w:r>
              <w:t>9</w:t>
            </w:r>
          </w:p>
        </w:tc>
      </w:tr>
    </w:tbl>
    <w:p w14:paraId="53A4F177" w14:textId="17420A04" w:rsidR="00BF4169" w:rsidRDefault="00F16C4F" w:rsidP="00F16C4F">
      <w:pPr>
        <w:pStyle w:val="SCVtablefigurenote"/>
        <w:rPr>
          <w:rFonts w:cs="Arial"/>
          <w:sz w:val="14"/>
          <w:szCs w:val="14"/>
        </w:rPr>
      </w:pPr>
      <w:r w:rsidRPr="00EF2D3C">
        <w:rPr>
          <w:rStyle w:val="FootnoteReference"/>
          <w:rFonts w:cs="Arial"/>
          <w:sz w:val="14"/>
          <w:szCs w:val="14"/>
          <w:vertAlign w:val="baseline"/>
        </w:rPr>
        <w:t>* The figure for withdrawn cases may include administrative errors, duplicate cases, applicants d</w:t>
      </w:r>
      <w:r w:rsidRPr="00EF2D3C">
        <w:rPr>
          <w:sz w:val="14"/>
          <w:szCs w:val="14"/>
        </w:rPr>
        <w:t>iscontinuing</w:t>
      </w:r>
      <w:r w:rsidRPr="00EF2D3C">
        <w:rPr>
          <w:rStyle w:val="FootnoteReference"/>
          <w:rFonts w:cs="Arial"/>
          <w:sz w:val="14"/>
          <w:szCs w:val="14"/>
          <w:vertAlign w:val="baseline"/>
        </w:rPr>
        <w:t xml:space="preserve"> the process or those who died before the process was complete. Any duplicate data for an applicant </w:t>
      </w:r>
      <w:r w:rsidR="00D63D34">
        <w:rPr>
          <w:rStyle w:val="FootnoteReference"/>
          <w:rFonts w:cs="Arial"/>
          <w:sz w:val="14"/>
          <w:szCs w:val="14"/>
          <w:vertAlign w:val="baseline"/>
        </w:rPr>
        <w:t>a</w:t>
      </w:r>
      <w:r w:rsidR="00D63D34">
        <w:rPr>
          <w:rFonts w:cs="Arial"/>
          <w:sz w:val="14"/>
          <w:szCs w:val="14"/>
        </w:rPr>
        <w:t>re</w:t>
      </w:r>
      <w:r w:rsidRPr="00EF2D3C">
        <w:rPr>
          <w:rStyle w:val="FootnoteReference"/>
          <w:rFonts w:cs="Arial"/>
          <w:sz w:val="14"/>
          <w:szCs w:val="14"/>
          <w:vertAlign w:val="baseline"/>
        </w:rPr>
        <w:t xml:space="preserve"> removed from the data reported. </w:t>
      </w:r>
    </w:p>
    <w:p w14:paraId="79D043B5" w14:textId="77777777" w:rsidR="00EF2D3C" w:rsidRDefault="00F16C4F" w:rsidP="00F16C4F">
      <w:pPr>
        <w:pStyle w:val="SCVtablefigurenote"/>
        <w:rPr>
          <w:sz w:val="14"/>
          <w:szCs w:val="14"/>
        </w:rPr>
      </w:pPr>
      <w:r w:rsidRPr="00BF4169">
        <w:rPr>
          <w:rStyle w:val="FootnoteReference"/>
          <w:rFonts w:cs="Arial"/>
          <w:sz w:val="14"/>
          <w:szCs w:val="14"/>
        </w:rPr>
        <w:t>#</w:t>
      </w:r>
      <w:r w:rsidRPr="00EF2D3C">
        <w:rPr>
          <w:rStyle w:val="FootnoteReference"/>
          <w:rFonts w:cs="Arial"/>
          <w:sz w:val="14"/>
          <w:szCs w:val="14"/>
          <w:vertAlign w:val="baseline"/>
        </w:rPr>
        <w:t xml:space="preserve"> Medication is only dispensed directly to applicants who hold a self-administration permit. For those issued with a practitioner administration permit, the medication is dispensed directly to the practitioner. Deaths as a result of medication being dispensed to the practitioner are contained within confirmed deaths.</w:t>
      </w:r>
      <w:r w:rsidRPr="00EF2D3C">
        <w:rPr>
          <w:sz w:val="14"/>
          <w:szCs w:val="14"/>
        </w:rPr>
        <w:t xml:space="preserve"> </w:t>
      </w:r>
    </w:p>
    <w:p w14:paraId="45C28305" w14:textId="77777777" w:rsidR="00A27B01" w:rsidRPr="00EF2D3C" w:rsidRDefault="00F16C4F" w:rsidP="00F16C4F">
      <w:pPr>
        <w:pStyle w:val="SCVtablefigurenote"/>
        <w:rPr>
          <w:sz w:val="14"/>
          <w:szCs w:val="14"/>
          <w:lang w:eastAsia="en-US"/>
        </w:rPr>
      </w:pPr>
      <w:r w:rsidRPr="00BF4169">
        <w:rPr>
          <w:rStyle w:val="FootnoteReference"/>
          <w:rFonts w:cs="Arial"/>
          <w:sz w:val="14"/>
          <w:szCs w:val="14"/>
        </w:rPr>
        <w:t xml:space="preserve">## </w:t>
      </w:r>
      <w:r w:rsidRPr="00EF2D3C">
        <w:rPr>
          <w:rStyle w:val="FootnoteReference"/>
          <w:rFonts w:cs="Arial"/>
          <w:sz w:val="14"/>
          <w:szCs w:val="14"/>
          <w:vertAlign w:val="baseline"/>
        </w:rPr>
        <w:t>While the Board receives notification</w:t>
      </w:r>
      <w:r w:rsidRPr="00EF2D3C">
        <w:rPr>
          <w:sz w:val="14"/>
          <w:szCs w:val="14"/>
        </w:rPr>
        <w:t>s</w:t>
      </w:r>
      <w:r w:rsidRPr="00EF2D3C">
        <w:rPr>
          <w:rStyle w:val="FootnoteReference"/>
          <w:rFonts w:cs="Arial"/>
          <w:sz w:val="14"/>
          <w:szCs w:val="14"/>
          <w:vertAlign w:val="baseline"/>
        </w:rPr>
        <w:t xml:space="preserve"> of </w:t>
      </w:r>
      <w:r w:rsidRPr="00EF2D3C">
        <w:rPr>
          <w:sz w:val="14"/>
          <w:szCs w:val="14"/>
        </w:rPr>
        <w:t xml:space="preserve">applicants’ </w:t>
      </w:r>
      <w:r w:rsidRPr="00EF2D3C">
        <w:rPr>
          <w:rStyle w:val="FootnoteReference"/>
          <w:rFonts w:cs="Arial"/>
          <w:sz w:val="14"/>
          <w:szCs w:val="14"/>
          <w:vertAlign w:val="baseline"/>
        </w:rPr>
        <w:t>death</w:t>
      </w:r>
      <w:r w:rsidRPr="00EF2D3C">
        <w:rPr>
          <w:sz w:val="14"/>
          <w:szCs w:val="14"/>
        </w:rPr>
        <w:t>s</w:t>
      </w:r>
      <w:r w:rsidRPr="00EF2D3C">
        <w:rPr>
          <w:rStyle w:val="FootnoteReference"/>
          <w:rFonts w:cs="Arial"/>
          <w:sz w:val="14"/>
          <w:szCs w:val="14"/>
          <w:vertAlign w:val="baseline"/>
        </w:rPr>
        <w:t xml:space="preserve"> from Births, Deaths and Marriages, there are a number of cases where t</w:t>
      </w:r>
      <w:r w:rsidRPr="00EF2D3C">
        <w:rPr>
          <w:sz w:val="14"/>
          <w:szCs w:val="14"/>
        </w:rPr>
        <w:t>his does not happen – specifically,</w:t>
      </w:r>
      <w:r w:rsidRPr="00EF2D3C">
        <w:rPr>
          <w:rStyle w:val="FootnoteReference"/>
          <w:rFonts w:cs="Arial"/>
          <w:sz w:val="14"/>
          <w:szCs w:val="14"/>
          <w:vertAlign w:val="baseline"/>
        </w:rPr>
        <w:t xml:space="preserve"> if the medical practitioner certifying the death does not </w:t>
      </w:r>
      <w:r w:rsidRPr="00EF2D3C">
        <w:rPr>
          <w:sz w:val="14"/>
          <w:szCs w:val="14"/>
        </w:rPr>
        <w:t>identify</w:t>
      </w:r>
      <w:r w:rsidRPr="00EF2D3C">
        <w:rPr>
          <w:rStyle w:val="FootnoteReference"/>
          <w:rFonts w:cs="Arial"/>
          <w:sz w:val="14"/>
          <w:szCs w:val="14"/>
          <w:vertAlign w:val="baseline"/>
        </w:rPr>
        <w:t xml:space="preserve"> that the </w:t>
      </w:r>
      <w:r w:rsidRPr="00EF2D3C">
        <w:rPr>
          <w:sz w:val="14"/>
          <w:szCs w:val="14"/>
        </w:rPr>
        <w:t>applicant</w:t>
      </w:r>
      <w:r w:rsidRPr="00EF2D3C">
        <w:rPr>
          <w:rStyle w:val="FootnoteReference"/>
          <w:rFonts w:cs="Arial"/>
          <w:sz w:val="14"/>
          <w:szCs w:val="14"/>
          <w:vertAlign w:val="baseline"/>
        </w:rPr>
        <w:t xml:space="preserve"> was a voluntary assisted dying permit holder on the Medi</w:t>
      </w:r>
      <w:r w:rsidRPr="00EF2D3C">
        <w:rPr>
          <w:sz w:val="14"/>
          <w:szCs w:val="14"/>
        </w:rPr>
        <w:t>c</w:t>
      </w:r>
      <w:r w:rsidRPr="00EF2D3C">
        <w:rPr>
          <w:rStyle w:val="FootnoteReference"/>
          <w:rFonts w:cs="Arial"/>
          <w:sz w:val="14"/>
          <w:szCs w:val="14"/>
          <w:vertAlign w:val="baseline"/>
        </w:rPr>
        <w:t>al Certificate Cause of Death. In these cases, confirmation of the manner of death is obtained from contact pe</w:t>
      </w:r>
      <w:r w:rsidRPr="00EF2D3C">
        <w:rPr>
          <w:sz w:val="14"/>
          <w:szCs w:val="14"/>
        </w:rPr>
        <w:t>ople</w:t>
      </w:r>
      <w:r w:rsidRPr="00EF2D3C">
        <w:rPr>
          <w:rStyle w:val="FootnoteReference"/>
          <w:rFonts w:cs="Arial"/>
          <w:sz w:val="14"/>
          <w:szCs w:val="14"/>
          <w:vertAlign w:val="baseline"/>
        </w:rPr>
        <w:t xml:space="preserve"> or coordinating medical practitioners w</w:t>
      </w:r>
      <w:r w:rsidRPr="00EF2D3C">
        <w:rPr>
          <w:sz w:val="14"/>
          <w:szCs w:val="14"/>
        </w:rPr>
        <w:t>hen</w:t>
      </w:r>
      <w:r w:rsidRPr="00EF2D3C">
        <w:rPr>
          <w:rStyle w:val="FootnoteReference"/>
          <w:rFonts w:cs="Arial"/>
          <w:sz w:val="14"/>
          <w:szCs w:val="14"/>
          <w:vertAlign w:val="baseline"/>
        </w:rPr>
        <w:t xml:space="preserve"> following up any unused medication (if medication was dispensed). If a medical practit</w:t>
      </w:r>
      <w:r w:rsidRPr="00EF2D3C">
        <w:rPr>
          <w:sz w:val="14"/>
          <w:szCs w:val="14"/>
        </w:rPr>
        <w:t>i</w:t>
      </w:r>
      <w:r w:rsidRPr="00EF2D3C">
        <w:rPr>
          <w:rStyle w:val="FootnoteReference"/>
          <w:rFonts w:cs="Arial"/>
          <w:sz w:val="14"/>
          <w:szCs w:val="14"/>
          <w:vertAlign w:val="baseline"/>
        </w:rPr>
        <w:t>oner certifying the death does not identify the applicant as a permit holder, notification of death is received once the death is registered. Any apparent differences between this report and the previous report are due to receiving new notifications of registered deat</w:t>
      </w:r>
      <w:r w:rsidRPr="00EF2D3C">
        <w:rPr>
          <w:sz w:val="14"/>
          <w:szCs w:val="14"/>
        </w:rPr>
        <w:t>hs.</w:t>
      </w:r>
    </w:p>
    <w:p w14:paraId="522931DA" w14:textId="77777777" w:rsidR="00FE25D0" w:rsidRPr="00EF2D3C" w:rsidRDefault="00FE25D0" w:rsidP="00A45CB0">
      <w:pPr>
        <w:pStyle w:val="SCVbody"/>
        <w:rPr>
          <w:sz w:val="14"/>
          <w:szCs w:val="14"/>
          <w:lang w:eastAsia="en-US"/>
        </w:rPr>
        <w:sectPr w:rsidR="00FE25D0" w:rsidRPr="00EF2D3C" w:rsidSect="00EF2D3C">
          <w:type w:val="continuous"/>
          <w:pgSz w:w="11906" w:h="16838" w:code="9"/>
          <w:pgMar w:top="3402" w:right="851" w:bottom="1361" w:left="851" w:header="851" w:footer="851" w:gutter="0"/>
          <w:cols w:space="284"/>
          <w:docGrid w:linePitch="360"/>
        </w:sectPr>
      </w:pPr>
    </w:p>
    <w:p w14:paraId="116A6CA3" w14:textId="77777777" w:rsidR="00F16C4F" w:rsidRDefault="00F16C4F" w:rsidP="00F16C4F">
      <w:pPr>
        <w:pStyle w:val="Heading1"/>
      </w:pPr>
      <w:bookmarkStart w:id="0" w:name="_Toc43470670"/>
      <w:r>
        <w:lastRenderedPageBreak/>
        <w:t>Medical practitioner involvement</w:t>
      </w:r>
    </w:p>
    <w:p w14:paraId="3AD66708" w14:textId="77777777" w:rsidR="00EF2D3C" w:rsidRDefault="00F16C4F" w:rsidP="00EF2D3C">
      <w:pPr>
        <w:pStyle w:val="SCVintroductorytext"/>
      </w:pPr>
      <w:r>
        <w:t>Victoria has a growing community of hard-working and compassionate medical practitioners with experience in voluntary assisted dying. Their feedback is helping guide system improvements that will provide a clearer and better process, while ensuring robust safeguards remain.</w:t>
      </w:r>
    </w:p>
    <w:p w14:paraId="4E3B7220" w14:textId="77777777" w:rsidR="00E833AF" w:rsidRDefault="00E833AF" w:rsidP="00EF2D3C">
      <w:pPr>
        <w:pStyle w:val="SCVbody"/>
        <w:sectPr w:rsidR="00E833AF" w:rsidSect="00EF2D3C">
          <w:headerReference w:type="even" r:id="rId32"/>
          <w:headerReference w:type="default" r:id="rId33"/>
          <w:type w:val="continuous"/>
          <w:pgSz w:w="11906" w:h="16838" w:code="9"/>
          <w:pgMar w:top="3402" w:right="851" w:bottom="1361" w:left="851" w:header="851" w:footer="851" w:gutter="0"/>
          <w:cols w:space="284"/>
          <w:docGrid w:linePitch="360"/>
          <w15:footnoteColumns w:val="1"/>
        </w:sectPr>
      </w:pPr>
    </w:p>
    <w:p w14:paraId="599615C2" w14:textId="77777777" w:rsidR="00F16C4F" w:rsidRDefault="00F16C4F" w:rsidP="00EF2D3C">
      <w:pPr>
        <w:pStyle w:val="SCVbody"/>
      </w:pPr>
      <w:r>
        <w:t>Medical practitioners are required to successfully complete the online training program prior to participating in eligibility assessments for voluntary assisted dying. For each applicant, there is a coordinating and a consulting medical practitioner. Among other requirements, one of these medical practitioners must have relevant expertise and experience in the disease, illness or medical condition expected to cause the death of the applicant being assessed.</w:t>
      </w:r>
    </w:p>
    <w:p w14:paraId="6DCD8F09" w14:textId="77777777" w:rsidR="00F16C4F" w:rsidRDefault="00F16C4F" w:rsidP="00F16C4F">
      <w:pPr>
        <w:pStyle w:val="SCVbody"/>
      </w:pPr>
      <w:r>
        <w:t>Once trained, medical practitioners can register in the secure, online Voluntary Assisted Dying Portal. Here, they submit all forms required for voluntary assisted dying and apply for either a self-administration permit or a practitioner administration permit to prescribe the voluntary assisted dying medication. Importantly, coordinating and consulting medical practitioners can only see their own accounts and details of their applicants</w:t>
      </w:r>
      <w:r w:rsidR="00BF4169" w:rsidRPr="00BF4169">
        <w:t xml:space="preserve"> </w:t>
      </w:r>
      <w:r w:rsidR="00BF4169">
        <w:t>in the portal</w:t>
      </w:r>
      <w:r>
        <w:t>.</w:t>
      </w:r>
      <w:r w:rsidR="00E833AF">
        <w:br w:type="column"/>
      </w:r>
      <w:r>
        <w:t>The Board acknowledges the significant role of these medical professionals who are involved in the program. Without them, access to this end of life choice would not be possible.</w:t>
      </w:r>
    </w:p>
    <w:p w14:paraId="01F54B21" w14:textId="77777777" w:rsidR="00F16C4F" w:rsidRDefault="00F16C4F" w:rsidP="00F16C4F">
      <w:pPr>
        <w:pStyle w:val="Heading2"/>
      </w:pPr>
      <w:r>
        <w:t>Medical practitioner training</w:t>
      </w:r>
    </w:p>
    <w:p w14:paraId="3A4FD208" w14:textId="77777777" w:rsidR="00F16C4F" w:rsidRDefault="00F16C4F" w:rsidP="00F16C4F">
      <w:pPr>
        <w:pStyle w:val="SCVbodyafterheading"/>
      </w:pPr>
      <w:r>
        <w:t>There continues to be growth in the number of medical practitioners registered for the online training program, registered in the portal, and involved in one or more voluntary assisted dying cases across Victoria.</w:t>
      </w:r>
    </w:p>
    <w:p w14:paraId="23395AB9" w14:textId="77777777" w:rsidR="00F16C4F" w:rsidRDefault="00F16C4F" w:rsidP="00F16C4F">
      <w:pPr>
        <w:pStyle w:val="SCVtablecaption"/>
        <w:sectPr w:rsidR="00F16C4F" w:rsidSect="00E833AF">
          <w:type w:val="continuous"/>
          <w:pgSz w:w="11906" w:h="16838" w:code="9"/>
          <w:pgMar w:top="3402" w:right="851" w:bottom="1361" w:left="851" w:header="851" w:footer="851" w:gutter="0"/>
          <w:cols w:num="2" w:space="284"/>
          <w:docGrid w:linePitch="360"/>
          <w15:footnoteColumns w:val="1"/>
        </w:sectPr>
      </w:pPr>
    </w:p>
    <w:p w14:paraId="6A5A1F34" w14:textId="77777777" w:rsidR="00F16C4F" w:rsidRDefault="00F16C4F" w:rsidP="00F16C4F">
      <w:pPr>
        <w:pStyle w:val="SCVtablecaption"/>
      </w:pPr>
      <w:r>
        <w:t>Table 2: Medical practitioner training and involvement</w:t>
      </w:r>
    </w:p>
    <w:tbl>
      <w:tblPr>
        <w:tblStyle w:val="TableGrid1"/>
        <w:tblW w:w="10206" w:type="dxa"/>
        <w:tblBorders>
          <w:top w:val="none" w:sz="0" w:space="0" w:color="auto"/>
          <w:bottom w:val="single" w:sz="4" w:space="0" w:color="CCCCD0" w:themeColor="accent6"/>
          <w:insideH w:val="none" w:sz="0" w:space="0" w:color="auto"/>
        </w:tblBorders>
        <w:tblLayout w:type="fixed"/>
        <w:tblLook w:val="0600" w:firstRow="0" w:lastRow="0" w:firstColumn="0" w:lastColumn="0" w:noHBand="1" w:noVBand="1"/>
      </w:tblPr>
      <w:tblGrid>
        <w:gridCol w:w="1673"/>
        <w:gridCol w:w="3839"/>
        <w:gridCol w:w="1638"/>
        <w:gridCol w:w="1566"/>
        <w:gridCol w:w="1490"/>
      </w:tblGrid>
      <w:tr w:rsidR="00F16C4F" w:rsidRPr="008735C5" w14:paraId="0A0A787F" w14:textId="77777777" w:rsidTr="00A40DFD">
        <w:trPr>
          <w:cantSplit/>
          <w:trHeight w:val="397"/>
        </w:trPr>
        <w:tc>
          <w:tcPr>
            <w:tcW w:w="1673" w:type="dxa"/>
            <w:tcBorders>
              <w:bottom w:val="single" w:sz="24" w:space="0" w:color="CCCCD0" w:themeColor="accent5" w:themeTint="66"/>
            </w:tcBorders>
            <w:shd w:val="clear" w:color="auto" w:fill="E6EFF6" w:themeFill="background2"/>
            <w:tcMar>
              <w:top w:w="57" w:type="dxa"/>
              <w:bottom w:w="57" w:type="dxa"/>
            </w:tcMar>
          </w:tcPr>
          <w:p w14:paraId="1E6C1058" w14:textId="77777777" w:rsidR="00F16C4F" w:rsidRPr="00BD0410" w:rsidRDefault="00F16C4F" w:rsidP="00F16C4F">
            <w:pPr>
              <w:pStyle w:val="SCVtablecolhead"/>
            </w:pPr>
            <w:r w:rsidRPr="00BD0410">
              <w:t>Stage</w:t>
            </w:r>
          </w:p>
        </w:tc>
        <w:tc>
          <w:tcPr>
            <w:tcW w:w="3839" w:type="dxa"/>
            <w:tcBorders>
              <w:bottom w:val="single" w:sz="24" w:space="0" w:color="CCCCD0" w:themeColor="accent5" w:themeTint="66"/>
            </w:tcBorders>
            <w:shd w:val="clear" w:color="auto" w:fill="E6EFF6" w:themeFill="background2"/>
          </w:tcPr>
          <w:p w14:paraId="32BBBC83" w14:textId="77777777" w:rsidR="00F16C4F" w:rsidRPr="00BD0410" w:rsidRDefault="00F16C4F" w:rsidP="00F16C4F">
            <w:pPr>
              <w:pStyle w:val="SCVtablecolhead"/>
            </w:pPr>
            <w:r w:rsidRPr="00BD0410">
              <w:t>Description</w:t>
            </w:r>
          </w:p>
        </w:tc>
        <w:tc>
          <w:tcPr>
            <w:tcW w:w="1638" w:type="dxa"/>
            <w:tcBorders>
              <w:bottom w:val="single" w:sz="24" w:space="0" w:color="CCCCD0" w:themeColor="accent5" w:themeTint="66"/>
            </w:tcBorders>
            <w:shd w:val="clear" w:color="auto" w:fill="E6EFF6" w:themeFill="background2"/>
          </w:tcPr>
          <w:p w14:paraId="673BBE6F" w14:textId="77777777" w:rsidR="00F16C4F" w:rsidRPr="00BD0410" w:rsidRDefault="00F16C4F" w:rsidP="002E4EB3">
            <w:pPr>
              <w:pStyle w:val="SCVtablecolhead"/>
              <w:jc w:val="right"/>
            </w:pPr>
            <w:r w:rsidRPr="00BD0410">
              <w:t>1 Jul–31 Dec</w:t>
            </w:r>
            <w:r w:rsidR="00BF4169">
              <w:t xml:space="preserve"> </w:t>
            </w:r>
            <w:r w:rsidRPr="00BD0410">
              <w:t>2020</w:t>
            </w:r>
          </w:p>
        </w:tc>
        <w:tc>
          <w:tcPr>
            <w:tcW w:w="1566" w:type="dxa"/>
            <w:tcBorders>
              <w:bottom w:val="single" w:sz="24" w:space="0" w:color="CCCCD0" w:themeColor="accent5" w:themeTint="66"/>
            </w:tcBorders>
            <w:shd w:val="clear" w:color="auto" w:fill="E6EFF6" w:themeFill="background2"/>
            <w:tcMar>
              <w:top w:w="57" w:type="dxa"/>
              <w:bottom w:w="57" w:type="dxa"/>
            </w:tcMar>
          </w:tcPr>
          <w:p w14:paraId="7A05A826" w14:textId="77777777" w:rsidR="00F16C4F" w:rsidRPr="00BD0410" w:rsidRDefault="00F16C4F" w:rsidP="002E4EB3">
            <w:pPr>
              <w:pStyle w:val="SCVtablecolhead"/>
              <w:jc w:val="right"/>
            </w:pPr>
            <w:r w:rsidRPr="00BD0410">
              <w:t>1 Jan–30 Jun 2021</w:t>
            </w:r>
          </w:p>
        </w:tc>
        <w:tc>
          <w:tcPr>
            <w:tcW w:w="1490" w:type="dxa"/>
            <w:tcBorders>
              <w:bottom w:val="single" w:sz="24" w:space="0" w:color="CCCCD0" w:themeColor="accent5" w:themeTint="66"/>
            </w:tcBorders>
            <w:shd w:val="clear" w:color="auto" w:fill="E6EFF6" w:themeFill="background2"/>
          </w:tcPr>
          <w:p w14:paraId="4610B55D" w14:textId="77777777" w:rsidR="00F16C4F" w:rsidRPr="00BD0410" w:rsidRDefault="00F16C4F" w:rsidP="002E4EB3">
            <w:pPr>
              <w:pStyle w:val="SCVtablecolhead"/>
              <w:jc w:val="right"/>
            </w:pPr>
            <w:r w:rsidRPr="00BD0410">
              <w:t>Change (%)</w:t>
            </w:r>
          </w:p>
        </w:tc>
      </w:tr>
      <w:tr w:rsidR="00F16C4F" w:rsidRPr="00C14D36" w14:paraId="62FEEC7D" w14:textId="77777777" w:rsidTr="00A40DFD">
        <w:trPr>
          <w:cantSplit/>
          <w:trHeight w:val="170"/>
        </w:trPr>
        <w:tc>
          <w:tcPr>
            <w:tcW w:w="1673" w:type="dxa"/>
            <w:tcBorders>
              <w:top w:val="single" w:sz="24" w:space="0" w:color="CCCCD0" w:themeColor="accent5" w:themeTint="66"/>
              <w:bottom w:val="single" w:sz="4" w:space="0" w:color="CCCCD0" w:themeColor="accent5" w:themeTint="66"/>
            </w:tcBorders>
            <w:tcMar>
              <w:top w:w="57" w:type="dxa"/>
              <w:bottom w:w="57" w:type="dxa"/>
            </w:tcMar>
          </w:tcPr>
          <w:p w14:paraId="4EBD4D18" w14:textId="77777777" w:rsidR="00F16C4F" w:rsidRPr="00F16C4F" w:rsidRDefault="00F16C4F" w:rsidP="00F16C4F">
            <w:pPr>
              <w:pStyle w:val="SCVtablerowhead"/>
            </w:pPr>
            <w:r w:rsidRPr="00F16C4F">
              <w:t>Online training</w:t>
            </w:r>
          </w:p>
        </w:tc>
        <w:tc>
          <w:tcPr>
            <w:tcW w:w="3839" w:type="dxa"/>
            <w:tcBorders>
              <w:top w:val="single" w:sz="24" w:space="0" w:color="CCCCD0" w:themeColor="accent5" w:themeTint="66"/>
              <w:bottom w:val="single" w:sz="4" w:space="0" w:color="CCCCD0" w:themeColor="accent5" w:themeTint="66"/>
            </w:tcBorders>
            <w:tcMar>
              <w:top w:w="57" w:type="dxa"/>
              <w:bottom w:w="57" w:type="dxa"/>
            </w:tcMar>
          </w:tcPr>
          <w:p w14:paraId="4F436AF5" w14:textId="77777777" w:rsidR="00F16C4F" w:rsidRPr="00BD0410" w:rsidRDefault="00F16C4F" w:rsidP="00A40DFD">
            <w:pPr>
              <w:pStyle w:val="SCVtablebody"/>
            </w:pPr>
            <w:r w:rsidRPr="00BD0410">
              <w:t>Medical practitioner registered for the online training program</w:t>
            </w:r>
          </w:p>
        </w:tc>
        <w:tc>
          <w:tcPr>
            <w:tcW w:w="1638" w:type="dxa"/>
            <w:tcBorders>
              <w:top w:val="single" w:sz="24" w:space="0" w:color="CCCCD0" w:themeColor="accent5" w:themeTint="66"/>
              <w:bottom w:val="dashed" w:sz="4" w:space="0" w:color="CCCCD0" w:themeColor="accent5" w:themeTint="66"/>
            </w:tcBorders>
          </w:tcPr>
          <w:p w14:paraId="686B1FA7" w14:textId="77777777" w:rsidR="00F16C4F" w:rsidRPr="00BD0410" w:rsidDel="00FA28A0" w:rsidRDefault="00F16C4F" w:rsidP="00F16C4F">
            <w:pPr>
              <w:pStyle w:val="SCVtablebody"/>
              <w:jc w:val="right"/>
            </w:pPr>
            <w:r>
              <w:t>455</w:t>
            </w:r>
          </w:p>
        </w:tc>
        <w:tc>
          <w:tcPr>
            <w:tcW w:w="1566" w:type="dxa"/>
            <w:tcBorders>
              <w:top w:val="single" w:sz="24" w:space="0" w:color="CCCCD0" w:themeColor="accent5" w:themeTint="66"/>
              <w:bottom w:val="single" w:sz="4" w:space="0" w:color="CCCCD0" w:themeColor="accent5" w:themeTint="66"/>
            </w:tcBorders>
            <w:shd w:val="clear" w:color="auto" w:fill="F2F2F2" w:themeFill="background1" w:themeFillShade="F2"/>
            <w:tcMar>
              <w:top w:w="57" w:type="dxa"/>
              <w:bottom w:w="57" w:type="dxa"/>
            </w:tcMar>
          </w:tcPr>
          <w:p w14:paraId="70AA4406" w14:textId="77777777" w:rsidR="00F16C4F" w:rsidRPr="00BD0410" w:rsidDel="00FA28A0" w:rsidRDefault="00F16C4F" w:rsidP="00F16C4F">
            <w:pPr>
              <w:pStyle w:val="SCVtablebody"/>
              <w:jc w:val="right"/>
            </w:pPr>
            <w:r>
              <w:t>511</w:t>
            </w:r>
          </w:p>
        </w:tc>
        <w:tc>
          <w:tcPr>
            <w:tcW w:w="1490" w:type="dxa"/>
            <w:tcBorders>
              <w:top w:val="single" w:sz="24" w:space="0" w:color="CCCCD0" w:themeColor="accent5" w:themeTint="66"/>
              <w:bottom w:val="dashed" w:sz="4" w:space="0" w:color="CCCCD0" w:themeColor="accent5" w:themeTint="66"/>
            </w:tcBorders>
          </w:tcPr>
          <w:p w14:paraId="4F008BC5" w14:textId="5406E100" w:rsidR="00F16C4F" w:rsidRPr="00BD0410" w:rsidRDefault="00F16C4F" w:rsidP="00F16C4F">
            <w:pPr>
              <w:pStyle w:val="SCVtablebody"/>
              <w:jc w:val="right"/>
            </w:pPr>
            <w:r>
              <w:t xml:space="preserve">12% </w:t>
            </w:r>
            <w:r w:rsidRPr="0074701F">
              <w:rPr>
                <w:rFonts w:ascii="VIC SemiBold" w:hAnsi="VIC SemiBold"/>
                <w:color w:val="0063A5" w:themeColor="text2"/>
              </w:rPr>
              <w:t>↑</w:t>
            </w:r>
          </w:p>
        </w:tc>
      </w:tr>
      <w:tr w:rsidR="00F16C4F" w:rsidRPr="00C14D36" w14:paraId="3AB33D50" w14:textId="77777777" w:rsidTr="00A40DFD">
        <w:trPr>
          <w:cantSplit/>
          <w:trHeight w:val="170"/>
        </w:trPr>
        <w:tc>
          <w:tcPr>
            <w:tcW w:w="1673" w:type="dxa"/>
            <w:tcBorders>
              <w:top w:val="single" w:sz="4" w:space="0" w:color="CCCCD0" w:themeColor="accent5" w:themeTint="66"/>
              <w:bottom w:val="single" w:sz="4" w:space="0" w:color="CCCCD0" w:themeColor="accent5" w:themeTint="66"/>
            </w:tcBorders>
            <w:tcMar>
              <w:top w:w="57" w:type="dxa"/>
              <w:bottom w:w="57" w:type="dxa"/>
            </w:tcMar>
          </w:tcPr>
          <w:p w14:paraId="68C37523" w14:textId="77777777" w:rsidR="00F16C4F" w:rsidRPr="00F16C4F" w:rsidRDefault="00F16C4F" w:rsidP="00F16C4F">
            <w:pPr>
              <w:pStyle w:val="SCVtablerowhead"/>
            </w:pPr>
            <w:r w:rsidRPr="00F16C4F">
              <w:t>Portal registration</w:t>
            </w:r>
          </w:p>
        </w:tc>
        <w:tc>
          <w:tcPr>
            <w:tcW w:w="3839" w:type="dxa"/>
            <w:tcBorders>
              <w:top w:val="single" w:sz="4" w:space="0" w:color="CCCCD0" w:themeColor="accent5" w:themeTint="66"/>
              <w:bottom w:val="single" w:sz="4" w:space="0" w:color="CCCCD0" w:themeColor="accent5" w:themeTint="66"/>
            </w:tcBorders>
            <w:tcMar>
              <w:top w:w="57" w:type="dxa"/>
              <w:bottom w:w="57" w:type="dxa"/>
            </w:tcMar>
          </w:tcPr>
          <w:p w14:paraId="2D71B7FA" w14:textId="77777777" w:rsidR="00F16C4F" w:rsidRPr="00BD0410" w:rsidRDefault="00F16C4F" w:rsidP="00A40DFD">
            <w:pPr>
              <w:pStyle w:val="SCVtablebody"/>
            </w:pPr>
            <w:r>
              <w:t>Trained m</w:t>
            </w:r>
            <w:r w:rsidRPr="00BD0410">
              <w:t xml:space="preserve">edical practitioner registered in the </w:t>
            </w:r>
            <w:r>
              <w:t>p</w:t>
            </w:r>
            <w:r w:rsidRPr="00BD0410">
              <w:t>ortal</w:t>
            </w:r>
          </w:p>
        </w:tc>
        <w:tc>
          <w:tcPr>
            <w:tcW w:w="1638" w:type="dxa"/>
            <w:tcBorders>
              <w:top w:val="single" w:sz="4" w:space="0" w:color="CCCCD0" w:themeColor="accent5" w:themeTint="66"/>
              <w:bottom w:val="single" w:sz="4" w:space="0" w:color="CCCCD0" w:themeColor="accent5" w:themeTint="66"/>
            </w:tcBorders>
          </w:tcPr>
          <w:p w14:paraId="7EABB9BF" w14:textId="77777777" w:rsidR="00F16C4F" w:rsidRPr="00BD0410" w:rsidRDefault="00F16C4F" w:rsidP="00F16C4F">
            <w:pPr>
              <w:pStyle w:val="SCVtablebody"/>
              <w:jc w:val="right"/>
            </w:pPr>
            <w:r>
              <w:t>210</w:t>
            </w:r>
          </w:p>
        </w:tc>
        <w:tc>
          <w:tcPr>
            <w:tcW w:w="1566" w:type="dxa"/>
            <w:tcBorders>
              <w:top w:val="single" w:sz="4" w:space="0" w:color="CCCCD0" w:themeColor="accent5" w:themeTint="66"/>
              <w:bottom w:val="single" w:sz="4" w:space="0" w:color="CCCCD0" w:themeColor="accent5" w:themeTint="66"/>
            </w:tcBorders>
            <w:shd w:val="clear" w:color="auto" w:fill="F2F2F2" w:themeFill="background1" w:themeFillShade="F2"/>
            <w:tcMar>
              <w:top w:w="57" w:type="dxa"/>
              <w:bottom w:w="57" w:type="dxa"/>
            </w:tcMar>
          </w:tcPr>
          <w:p w14:paraId="1D01E2FA" w14:textId="77777777" w:rsidR="00F16C4F" w:rsidRPr="00BD0410" w:rsidRDefault="00F16C4F" w:rsidP="00F16C4F">
            <w:pPr>
              <w:pStyle w:val="SCVtablebody"/>
              <w:jc w:val="right"/>
            </w:pPr>
            <w:r>
              <w:t>234</w:t>
            </w:r>
          </w:p>
        </w:tc>
        <w:tc>
          <w:tcPr>
            <w:tcW w:w="1490" w:type="dxa"/>
            <w:tcBorders>
              <w:top w:val="single" w:sz="4" w:space="0" w:color="CCCCD0" w:themeColor="accent5" w:themeTint="66"/>
              <w:bottom w:val="single" w:sz="4" w:space="0" w:color="CCCCD0" w:themeColor="accent5" w:themeTint="66"/>
            </w:tcBorders>
          </w:tcPr>
          <w:p w14:paraId="6C6D5DC5" w14:textId="7CB45202" w:rsidR="00F16C4F" w:rsidRPr="00BD0410" w:rsidRDefault="00F16C4F" w:rsidP="00F16C4F">
            <w:pPr>
              <w:pStyle w:val="SCVtablebody"/>
              <w:jc w:val="right"/>
            </w:pPr>
            <w:r>
              <w:t xml:space="preserve">11% </w:t>
            </w:r>
            <w:r w:rsidRPr="0074701F">
              <w:rPr>
                <w:rFonts w:ascii="VIC SemiBold" w:hAnsi="VIC SemiBold"/>
                <w:color w:val="0063A5" w:themeColor="text2"/>
              </w:rPr>
              <w:t>↑</w:t>
            </w:r>
            <w:r>
              <w:t xml:space="preserve"> </w:t>
            </w:r>
          </w:p>
        </w:tc>
      </w:tr>
      <w:tr w:rsidR="00F16C4F" w:rsidRPr="00C14D36" w14:paraId="0A986B50" w14:textId="77777777" w:rsidTr="00A40DFD">
        <w:trPr>
          <w:cantSplit/>
          <w:trHeight w:val="170"/>
        </w:trPr>
        <w:tc>
          <w:tcPr>
            <w:tcW w:w="1673" w:type="dxa"/>
            <w:tcBorders>
              <w:top w:val="single" w:sz="4" w:space="0" w:color="CCCCD0" w:themeColor="accent5" w:themeTint="66"/>
            </w:tcBorders>
            <w:tcMar>
              <w:top w:w="57" w:type="dxa"/>
              <w:bottom w:w="57" w:type="dxa"/>
            </w:tcMar>
          </w:tcPr>
          <w:p w14:paraId="0943EB86" w14:textId="77777777" w:rsidR="00F16C4F" w:rsidRPr="00F16C4F" w:rsidRDefault="00F16C4F" w:rsidP="00F16C4F">
            <w:pPr>
              <w:pStyle w:val="SCVtablerowhead"/>
            </w:pPr>
            <w:r w:rsidRPr="00F16C4F">
              <w:t>Active in the portal</w:t>
            </w:r>
          </w:p>
        </w:tc>
        <w:tc>
          <w:tcPr>
            <w:tcW w:w="3839" w:type="dxa"/>
            <w:tcBorders>
              <w:top w:val="single" w:sz="4" w:space="0" w:color="CCCCD0" w:themeColor="accent5" w:themeTint="66"/>
            </w:tcBorders>
            <w:tcMar>
              <w:top w:w="57" w:type="dxa"/>
              <w:bottom w:w="57" w:type="dxa"/>
            </w:tcMar>
          </w:tcPr>
          <w:p w14:paraId="0DAF35C5" w14:textId="77777777" w:rsidR="00F16C4F" w:rsidRPr="00BD0410" w:rsidRDefault="00F16C4F" w:rsidP="00A40DFD">
            <w:pPr>
              <w:pStyle w:val="SCVtablebody"/>
            </w:pPr>
            <w:r>
              <w:t>Trained m</w:t>
            </w:r>
            <w:r w:rsidRPr="00BD0410">
              <w:t>edical practitioner involved in one or more case</w:t>
            </w:r>
            <w:r>
              <w:t>s</w:t>
            </w:r>
            <w:r w:rsidRPr="00BD0410">
              <w:t xml:space="preserve"> as either coordinating or consulting medical practitioner</w:t>
            </w:r>
          </w:p>
        </w:tc>
        <w:tc>
          <w:tcPr>
            <w:tcW w:w="1638" w:type="dxa"/>
            <w:tcBorders>
              <w:top w:val="single" w:sz="4" w:space="0" w:color="CCCCD0" w:themeColor="accent5" w:themeTint="66"/>
              <w:bottom w:val="single" w:sz="4" w:space="0" w:color="CCCCD0" w:themeColor="accent5" w:themeTint="66"/>
            </w:tcBorders>
          </w:tcPr>
          <w:p w14:paraId="15AE81FD" w14:textId="77777777" w:rsidR="00F16C4F" w:rsidRPr="00BD0410" w:rsidRDefault="00F16C4F" w:rsidP="00F16C4F">
            <w:pPr>
              <w:pStyle w:val="SCVtablebody"/>
              <w:jc w:val="right"/>
            </w:pPr>
            <w:r>
              <w:t>157</w:t>
            </w:r>
          </w:p>
        </w:tc>
        <w:tc>
          <w:tcPr>
            <w:tcW w:w="1566" w:type="dxa"/>
            <w:tcBorders>
              <w:top w:val="single" w:sz="4" w:space="0" w:color="CCCCD0" w:themeColor="accent5" w:themeTint="66"/>
              <w:bottom w:val="single" w:sz="4" w:space="0" w:color="CCCCD0" w:themeColor="accent5" w:themeTint="66"/>
            </w:tcBorders>
            <w:shd w:val="clear" w:color="auto" w:fill="F2F2F2" w:themeFill="background1" w:themeFillShade="F2"/>
            <w:tcMar>
              <w:top w:w="57" w:type="dxa"/>
              <w:bottom w:w="57" w:type="dxa"/>
            </w:tcMar>
          </w:tcPr>
          <w:p w14:paraId="62BD7BF5" w14:textId="77777777" w:rsidR="00F16C4F" w:rsidRPr="00BD0410" w:rsidRDefault="00F16C4F" w:rsidP="00F16C4F">
            <w:pPr>
              <w:pStyle w:val="SCVtablebody"/>
              <w:jc w:val="right"/>
            </w:pPr>
            <w:r>
              <w:t>185</w:t>
            </w:r>
          </w:p>
        </w:tc>
        <w:tc>
          <w:tcPr>
            <w:tcW w:w="1490" w:type="dxa"/>
            <w:tcBorders>
              <w:top w:val="single" w:sz="4" w:space="0" w:color="CCCCD0" w:themeColor="accent5" w:themeTint="66"/>
              <w:bottom w:val="single" w:sz="4" w:space="0" w:color="CCCCD0" w:themeColor="accent5" w:themeTint="66"/>
            </w:tcBorders>
          </w:tcPr>
          <w:p w14:paraId="1A4956EC" w14:textId="71C738CE" w:rsidR="00F16C4F" w:rsidRPr="00BD0410" w:rsidRDefault="00F16C4F" w:rsidP="00F16C4F">
            <w:pPr>
              <w:pStyle w:val="SCVtablebody"/>
              <w:jc w:val="right"/>
            </w:pPr>
            <w:r>
              <w:t>1</w:t>
            </w:r>
            <w:r w:rsidR="00D63D34">
              <w:t>8</w:t>
            </w:r>
            <w:r>
              <w:t xml:space="preserve">% </w:t>
            </w:r>
            <w:r w:rsidRPr="0074701F">
              <w:rPr>
                <w:rFonts w:ascii="VIC SemiBold" w:hAnsi="VIC SemiBold"/>
                <w:color w:val="0063A5" w:themeColor="text2"/>
              </w:rPr>
              <w:t>↑</w:t>
            </w:r>
          </w:p>
        </w:tc>
      </w:tr>
    </w:tbl>
    <w:p w14:paraId="14598BCB" w14:textId="77777777" w:rsidR="00317070" w:rsidRDefault="00317070" w:rsidP="00317070">
      <w:pPr>
        <w:pStyle w:val="SCVbody"/>
        <w:rPr>
          <w:rFonts w:eastAsia="Times New Roman" w:cstheme="minorHAnsi"/>
          <w:lang w:eastAsia="en-US"/>
        </w:rPr>
      </w:pPr>
      <w:r>
        <w:br w:type="page"/>
      </w:r>
    </w:p>
    <w:bookmarkEnd w:id="0"/>
    <w:p w14:paraId="4A54B945" w14:textId="77777777" w:rsidR="00EF2D3C" w:rsidRDefault="00EF2D3C" w:rsidP="00EF2D3C">
      <w:pPr>
        <w:pStyle w:val="Heading2"/>
      </w:pPr>
      <w:r>
        <w:lastRenderedPageBreak/>
        <w:t>Types of medical practitioners involved</w:t>
      </w:r>
    </w:p>
    <w:p w14:paraId="2F5473B2" w14:textId="77777777" w:rsidR="00E833AF" w:rsidRDefault="00E833AF" w:rsidP="00EF2D3C">
      <w:pPr>
        <w:pStyle w:val="SCVbodyafterheading"/>
        <w:sectPr w:rsidR="00E833AF" w:rsidSect="00F16C4F">
          <w:type w:val="continuous"/>
          <w:pgSz w:w="11906" w:h="16838" w:code="9"/>
          <w:pgMar w:top="3402" w:right="851" w:bottom="1361" w:left="851" w:header="851" w:footer="851" w:gutter="0"/>
          <w:cols w:space="284"/>
          <w:docGrid w:linePitch="360"/>
          <w15:footnoteColumns w:val="1"/>
        </w:sectPr>
      </w:pPr>
    </w:p>
    <w:p w14:paraId="55E72F28" w14:textId="106BD5F2" w:rsidR="00E833AF" w:rsidRDefault="00EF2D3C" w:rsidP="00EF2D3C">
      <w:pPr>
        <w:pStyle w:val="SCVbodyafterheading"/>
      </w:pPr>
      <w:r>
        <w:t xml:space="preserve">Most medical practitioners who are trained and registered in the portal are general practitioners or medical oncologists. There are consistently few medical practitioners from other medical specialties, </w:t>
      </w:r>
      <w:r w:rsidR="007730AA" w:rsidRPr="007730AA">
        <w:t xml:space="preserve">such as neurologists, </w:t>
      </w:r>
      <w:r>
        <w:t>especially in regional and rural areas. In this context, the travel required to conduct voluntary assisted dying medical appointments in</w:t>
      </w:r>
      <w:r w:rsidR="00BF4169">
        <w:t xml:space="preserve"> </w:t>
      </w:r>
      <w:r>
        <w:t xml:space="preserve">person can be challenging for applicants, their </w:t>
      </w:r>
      <w:proofErr w:type="gramStart"/>
      <w:r>
        <w:t>families</w:t>
      </w:r>
      <w:proofErr w:type="gramEnd"/>
      <w:r>
        <w:t xml:space="preserve"> and carers, and for coordinating or consulting medical practitioners.</w:t>
      </w:r>
    </w:p>
    <w:p w14:paraId="2108F3EA" w14:textId="0A582F43" w:rsidR="00EF2D3C" w:rsidRDefault="00EF2D3C" w:rsidP="00EF2D3C">
      <w:pPr>
        <w:pStyle w:val="SCVbodyafterheading"/>
      </w:pPr>
      <w:r>
        <w:t xml:space="preserve">Despite the </w:t>
      </w:r>
      <w:r w:rsidR="00D63D34">
        <w:t>18</w:t>
      </w:r>
      <w:r>
        <w:t xml:space="preserve"> per cent growth in medical practitioners actively participating over the past six months, the Board continues to encourage more medical practitioners to become involved in voluntary assisted dying.</w:t>
      </w:r>
    </w:p>
    <w:p w14:paraId="6F821E70" w14:textId="3EF740E8" w:rsidR="00EF2D3C" w:rsidRDefault="00EF2D3C" w:rsidP="00EF2D3C">
      <w:pPr>
        <w:pStyle w:val="SCVquote"/>
      </w:pPr>
      <w:r>
        <w:t>“</w:t>
      </w:r>
      <w:r w:rsidR="00D63D34">
        <w:t>I h</w:t>
      </w:r>
      <w:r>
        <w:t>ave had two referrals from out of [regional area], one of which</w:t>
      </w:r>
      <w:r w:rsidR="00D63D34">
        <w:t xml:space="preserve"> I</w:t>
      </w:r>
      <w:r>
        <w:t xml:space="preserve"> had to decline due to the distance issue.” – Coordinating medical practitioner</w:t>
      </w:r>
    </w:p>
    <w:p w14:paraId="6DD6A4FF" w14:textId="77777777" w:rsidR="00E833AF" w:rsidRDefault="00E833AF" w:rsidP="00EF2D3C">
      <w:pPr>
        <w:pStyle w:val="SCVtablecaption"/>
        <w:sectPr w:rsidR="00E833AF" w:rsidSect="00E833AF">
          <w:type w:val="continuous"/>
          <w:pgSz w:w="11906" w:h="16838" w:code="9"/>
          <w:pgMar w:top="3402" w:right="851" w:bottom="1361" w:left="851" w:header="851" w:footer="851" w:gutter="0"/>
          <w:cols w:num="2" w:space="284"/>
          <w:docGrid w:linePitch="360"/>
          <w15:footnoteColumns w:val="1"/>
        </w:sectPr>
      </w:pPr>
    </w:p>
    <w:p w14:paraId="5E84C3A5" w14:textId="475EBFF1" w:rsidR="00515958" w:rsidRDefault="00EF2D3C" w:rsidP="00EF2D3C">
      <w:pPr>
        <w:pStyle w:val="SCVtablecaption"/>
      </w:pPr>
      <w:r>
        <w:t xml:space="preserve">Table 3: </w:t>
      </w:r>
      <w:r w:rsidR="00D63D34">
        <w:t>Number</w:t>
      </w:r>
      <w:r>
        <w:t xml:space="preserve"> of medical practitioners registered in the portal</w:t>
      </w:r>
      <w:r w:rsidR="00D63D34">
        <w:t>, by specialty</w:t>
      </w:r>
      <w:r>
        <w:t xml:space="preserve"> (1 Jan–30 Jun 2021)</w:t>
      </w:r>
    </w:p>
    <w:tbl>
      <w:tblPr>
        <w:tblStyle w:val="TableGrid1"/>
        <w:tblW w:w="10206" w:type="dxa"/>
        <w:tblBorders>
          <w:top w:val="none" w:sz="0" w:space="0" w:color="auto"/>
          <w:bottom w:val="single" w:sz="4" w:space="0" w:color="CCCCD0" w:themeColor="accent5" w:themeTint="66"/>
          <w:insideH w:val="single" w:sz="4" w:space="0" w:color="CCCCD0" w:themeColor="accent5" w:themeTint="66"/>
        </w:tblBorders>
        <w:tblLayout w:type="fixed"/>
        <w:tblLook w:val="0600" w:firstRow="0" w:lastRow="0" w:firstColumn="0" w:lastColumn="0" w:noHBand="1" w:noVBand="1"/>
      </w:tblPr>
      <w:tblGrid>
        <w:gridCol w:w="3971"/>
        <w:gridCol w:w="2078"/>
        <w:gridCol w:w="2078"/>
        <w:gridCol w:w="2079"/>
      </w:tblGrid>
      <w:tr w:rsidR="00EF2D3C" w:rsidRPr="005148BF" w14:paraId="38AB6266" w14:textId="77777777" w:rsidTr="00A40DFD">
        <w:trPr>
          <w:cantSplit/>
          <w:trHeight w:val="397"/>
        </w:trPr>
        <w:tc>
          <w:tcPr>
            <w:tcW w:w="3971" w:type="dxa"/>
            <w:tcBorders>
              <w:top w:val="nil"/>
              <w:bottom w:val="single" w:sz="24" w:space="0" w:color="CCCCD0" w:themeColor="accent5" w:themeTint="66"/>
            </w:tcBorders>
            <w:shd w:val="clear" w:color="auto" w:fill="E6EFF6" w:themeFill="background2"/>
            <w:tcMar>
              <w:top w:w="57" w:type="dxa"/>
              <w:bottom w:w="57" w:type="dxa"/>
            </w:tcMar>
          </w:tcPr>
          <w:p w14:paraId="26527845" w14:textId="77777777" w:rsidR="00EF2D3C" w:rsidRPr="005148BF" w:rsidRDefault="00EF2D3C" w:rsidP="00EF2D3C">
            <w:pPr>
              <w:pStyle w:val="SCVtablecolhead"/>
            </w:pPr>
            <w:r w:rsidRPr="005148BF">
              <w:t>Speciality area^</w:t>
            </w:r>
          </w:p>
        </w:tc>
        <w:tc>
          <w:tcPr>
            <w:tcW w:w="2078" w:type="dxa"/>
            <w:tcBorders>
              <w:top w:val="nil"/>
              <w:bottom w:val="single" w:sz="24" w:space="0" w:color="CCCCD0" w:themeColor="accent5" w:themeTint="66"/>
            </w:tcBorders>
            <w:shd w:val="clear" w:color="auto" w:fill="E6EFF6" w:themeFill="background2"/>
            <w:tcMar>
              <w:top w:w="57" w:type="dxa"/>
              <w:bottom w:w="57" w:type="dxa"/>
            </w:tcMar>
          </w:tcPr>
          <w:p w14:paraId="44DCB50D" w14:textId="77777777" w:rsidR="00EF2D3C" w:rsidRPr="005148BF" w:rsidRDefault="00EF2D3C" w:rsidP="00815A57">
            <w:pPr>
              <w:pStyle w:val="SCVtablecolhead"/>
              <w:jc w:val="right"/>
            </w:pPr>
            <w:r w:rsidRPr="005148BF">
              <w:t>Regional and rural</w:t>
            </w:r>
          </w:p>
        </w:tc>
        <w:tc>
          <w:tcPr>
            <w:tcW w:w="2078" w:type="dxa"/>
            <w:tcBorders>
              <w:top w:val="nil"/>
              <w:bottom w:val="single" w:sz="24" w:space="0" w:color="CCCCD0" w:themeColor="accent5" w:themeTint="66"/>
            </w:tcBorders>
            <w:shd w:val="clear" w:color="auto" w:fill="E6EFF6" w:themeFill="background2"/>
          </w:tcPr>
          <w:p w14:paraId="621A8039" w14:textId="77777777" w:rsidR="00EF2D3C" w:rsidRPr="005148BF" w:rsidRDefault="00EF2D3C" w:rsidP="00815A57">
            <w:pPr>
              <w:pStyle w:val="SCVtablecolhead"/>
              <w:jc w:val="right"/>
            </w:pPr>
            <w:r w:rsidRPr="005148BF">
              <w:t>Metropolitan</w:t>
            </w:r>
          </w:p>
        </w:tc>
        <w:tc>
          <w:tcPr>
            <w:tcW w:w="2079" w:type="dxa"/>
            <w:tcBorders>
              <w:top w:val="nil"/>
              <w:bottom w:val="single" w:sz="24" w:space="0" w:color="CCCCD0" w:themeColor="accent5" w:themeTint="66"/>
            </w:tcBorders>
            <w:shd w:val="clear" w:color="auto" w:fill="E6EFF6" w:themeFill="background2"/>
          </w:tcPr>
          <w:p w14:paraId="2DB5F601" w14:textId="77777777" w:rsidR="00EF2D3C" w:rsidRPr="005148BF" w:rsidRDefault="00EF2D3C" w:rsidP="00815A57">
            <w:pPr>
              <w:pStyle w:val="SCVtablecolhead"/>
              <w:jc w:val="right"/>
            </w:pPr>
            <w:r w:rsidRPr="005148BF">
              <w:t>Total</w:t>
            </w:r>
          </w:p>
        </w:tc>
      </w:tr>
      <w:tr w:rsidR="00EF2D3C" w:rsidRPr="005148BF" w14:paraId="3EE6FDE8" w14:textId="77777777" w:rsidTr="00A40DFD">
        <w:trPr>
          <w:cantSplit/>
          <w:trHeight w:val="170"/>
        </w:trPr>
        <w:tc>
          <w:tcPr>
            <w:tcW w:w="3971" w:type="dxa"/>
            <w:tcBorders>
              <w:top w:val="single" w:sz="24" w:space="0" w:color="CCCCD0" w:themeColor="accent5" w:themeTint="66"/>
            </w:tcBorders>
            <w:tcMar>
              <w:top w:w="57" w:type="dxa"/>
              <w:bottom w:w="57" w:type="dxa"/>
            </w:tcMar>
          </w:tcPr>
          <w:p w14:paraId="21EABB53" w14:textId="77777777" w:rsidR="00EF2D3C" w:rsidRPr="005148BF" w:rsidRDefault="00EF2D3C" w:rsidP="00A40DFD">
            <w:pPr>
              <w:pStyle w:val="SCVtablerowhead"/>
            </w:pPr>
            <w:r w:rsidRPr="005148BF">
              <w:t>General practice</w:t>
            </w:r>
          </w:p>
        </w:tc>
        <w:tc>
          <w:tcPr>
            <w:tcW w:w="2078" w:type="dxa"/>
            <w:tcBorders>
              <w:top w:val="single" w:sz="24" w:space="0" w:color="CCCCD0" w:themeColor="accent5" w:themeTint="66"/>
            </w:tcBorders>
          </w:tcPr>
          <w:p w14:paraId="45211194" w14:textId="77777777" w:rsidR="00EF2D3C" w:rsidRPr="005148BF" w:rsidRDefault="00EF2D3C" w:rsidP="00A40DFD">
            <w:pPr>
              <w:pStyle w:val="SCVtablebody"/>
              <w:jc w:val="right"/>
            </w:pPr>
            <w:r>
              <w:t>61</w:t>
            </w:r>
          </w:p>
        </w:tc>
        <w:tc>
          <w:tcPr>
            <w:tcW w:w="2078" w:type="dxa"/>
            <w:tcBorders>
              <w:top w:val="single" w:sz="24" w:space="0" w:color="CCCCD0" w:themeColor="accent5" w:themeTint="66"/>
            </w:tcBorders>
          </w:tcPr>
          <w:p w14:paraId="20AC3DF9" w14:textId="77777777" w:rsidR="00EF2D3C" w:rsidRPr="005148BF" w:rsidRDefault="00EF2D3C" w:rsidP="00A40DFD">
            <w:pPr>
              <w:pStyle w:val="SCVtablebody"/>
              <w:jc w:val="right"/>
            </w:pPr>
            <w:r>
              <w:t>76</w:t>
            </w:r>
          </w:p>
        </w:tc>
        <w:tc>
          <w:tcPr>
            <w:tcW w:w="2079" w:type="dxa"/>
            <w:tcBorders>
              <w:top w:val="single" w:sz="24" w:space="0" w:color="CCCCD0" w:themeColor="accent5" w:themeTint="66"/>
            </w:tcBorders>
          </w:tcPr>
          <w:p w14:paraId="0AD23FD1" w14:textId="77777777" w:rsidR="00EF2D3C" w:rsidRPr="005148BF" w:rsidRDefault="00EF2D3C" w:rsidP="00A40DFD">
            <w:pPr>
              <w:pStyle w:val="SCVtablebody"/>
              <w:jc w:val="right"/>
            </w:pPr>
            <w:r>
              <w:t>137</w:t>
            </w:r>
          </w:p>
        </w:tc>
      </w:tr>
      <w:tr w:rsidR="00EF2D3C" w:rsidRPr="005148BF" w14:paraId="7373C281" w14:textId="77777777" w:rsidTr="00A40DFD">
        <w:trPr>
          <w:cantSplit/>
          <w:trHeight w:val="170"/>
        </w:trPr>
        <w:tc>
          <w:tcPr>
            <w:tcW w:w="3971" w:type="dxa"/>
            <w:tcMar>
              <w:top w:w="57" w:type="dxa"/>
              <w:bottom w:w="57" w:type="dxa"/>
            </w:tcMar>
          </w:tcPr>
          <w:p w14:paraId="3EA783F9" w14:textId="77777777" w:rsidR="00EF2D3C" w:rsidRPr="005148BF" w:rsidRDefault="00EF2D3C" w:rsidP="00A40DFD">
            <w:pPr>
              <w:pStyle w:val="SCVtablerowhead"/>
            </w:pPr>
            <w:r w:rsidRPr="005148BF">
              <w:t>Medical oncology</w:t>
            </w:r>
          </w:p>
        </w:tc>
        <w:tc>
          <w:tcPr>
            <w:tcW w:w="2078" w:type="dxa"/>
          </w:tcPr>
          <w:p w14:paraId="3B7EC75E" w14:textId="77777777" w:rsidR="00EF2D3C" w:rsidRPr="005148BF" w:rsidRDefault="00EF2D3C" w:rsidP="00A40DFD">
            <w:pPr>
              <w:pStyle w:val="SCVtablebody"/>
              <w:jc w:val="right"/>
            </w:pPr>
            <w:r>
              <w:t>14</w:t>
            </w:r>
          </w:p>
        </w:tc>
        <w:tc>
          <w:tcPr>
            <w:tcW w:w="2078" w:type="dxa"/>
          </w:tcPr>
          <w:p w14:paraId="09B327CF" w14:textId="77777777" w:rsidR="00EF2D3C" w:rsidRPr="005148BF" w:rsidRDefault="00EF2D3C" w:rsidP="00A40DFD">
            <w:pPr>
              <w:pStyle w:val="SCVtablebody"/>
              <w:jc w:val="right"/>
            </w:pPr>
            <w:r>
              <w:t>27</w:t>
            </w:r>
          </w:p>
        </w:tc>
        <w:tc>
          <w:tcPr>
            <w:tcW w:w="2079" w:type="dxa"/>
          </w:tcPr>
          <w:p w14:paraId="390AEEB1" w14:textId="77777777" w:rsidR="00EF2D3C" w:rsidRPr="005148BF" w:rsidRDefault="00EF2D3C" w:rsidP="00A40DFD">
            <w:pPr>
              <w:pStyle w:val="SCVtablebody"/>
              <w:jc w:val="right"/>
            </w:pPr>
            <w:r>
              <w:t>41</w:t>
            </w:r>
          </w:p>
        </w:tc>
      </w:tr>
      <w:tr w:rsidR="00EF2D3C" w:rsidRPr="005148BF" w14:paraId="68AB2AD8" w14:textId="77777777" w:rsidTr="00A40DFD">
        <w:trPr>
          <w:cantSplit/>
          <w:trHeight w:val="170"/>
        </w:trPr>
        <w:tc>
          <w:tcPr>
            <w:tcW w:w="3971" w:type="dxa"/>
            <w:tcMar>
              <w:top w:w="57" w:type="dxa"/>
              <w:bottom w:w="57" w:type="dxa"/>
            </w:tcMar>
          </w:tcPr>
          <w:p w14:paraId="3AF9D6A2" w14:textId="77777777" w:rsidR="00EF2D3C" w:rsidRPr="005148BF" w:rsidRDefault="00EF2D3C" w:rsidP="00A40DFD">
            <w:pPr>
              <w:pStyle w:val="SCVtablerowhead"/>
            </w:pPr>
            <w:r w:rsidRPr="005148BF">
              <w:t>Neurology</w:t>
            </w:r>
          </w:p>
        </w:tc>
        <w:tc>
          <w:tcPr>
            <w:tcW w:w="2078" w:type="dxa"/>
          </w:tcPr>
          <w:p w14:paraId="1DABE3CA" w14:textId="77777777" w:rsidR="00EF2D3C" w:rsidRPr="005148BF" w:rsidRDefault="00EF2D3C" w:rsidP="00A40DFD">
            <w:pPr>
              <w:pStyle w:val="SCVtablebody"/>
              <w:jc w:val="right"/>
            </w:pPr>
            <w:r>
              <w:t>0</w:t>
            </w:r>
          </w:p>
        </w:tc>
        <w:tc>
          <w:tcPr>
            <w:tcW w:w="2078" w:type="dxa"/>
          </w:tcPr>
          <w:p w14:paraId="664E752D" w14:textId="77777777" w:rsidR="00EF2D3C" w:rsidRPr="005148BF" w:rsidRDefault="00EF2D3C" w:rsidP="00A40DFD">
            <w:pPr>
              <w:pStyle w:val="SCVtablebody"/>
              <w:jc w:val="right"/>
            </w:pPr>
            <w:r>
              <w:t>11</w:t>
            </w:r>
          </w:p>
        </w:tc>
        <w:tc>
          <w:tcPr>
            <w:tcW w:w="2079" w:type="dxa"/>
          </w:tcPr>
          <w:p w14:paraId="6AF23369" w14:textId="77777777" w:rsidR="00EF2D3C" w:rsidRPr="005148BF" w:rsidRDefault="00EF2D3C" w:rsidP="00A40DFD">
            <w:pPr>
              <w:pStyle w:val="SCVtablebody"/>
              <w:jc w:val="right"/>
            </w:pPr>
            <w:r>
              <w:t>11</w:t>
            </w:r>
          </w:p>
        </w:tc>
      </w:tr>
      <w:tr w:rsidR="00EF2D3C" w:rsidRPr="005148BF" w14:paraId="6E3D33FE" w14:textId="77777777" w:rsidTr="00A40DFD">
        <w:trPr>
          <w:cantSplit/>
          <w:trHeight w:val="170"/>
        </w:trPr>
        <w:tc>
          <w:tcPr>
            <w:tcW w:w="3971" w:type="dxa"/>
            <w:tcMar>
              <w:top w:w="57" w:type="dxa"/>
              <w:bottom w:w="57" w:type="dxa"/>
            </w:tcMar>
          </w:tcPr>
          <w:p w14:paraId="0997894C" w14:textId="77777777" w:rsidR="00EF2D3C" w:rsidRPr="005148BF" w:rsidRDefault="00EF2D3C" w:rsidP="00A40DFD">
            <w:pPr>
              <w:pStyle w:val="SCVtablerowhead"/>
            </w:pPr>
            <w:r w:rsidRPr="005148BF">
              <w:t>General medicine</w:t>
            </w:r>
          </w:p>
        </w:tc>
        <w:tc>
          <w:tcPr>
            <w:tcW w:w="2078" w:type="dxa"/>
          </w:tcPr>
          <w:p w14:paraId="157AE082" w14:textId="77777777" w:rsidR="00EF2D3C" w:rsidRPr="005148BF" w:rsidRDefault="00EF2D3C" w:rsidP="00A40DFD">
            <w:pPr>
              <w:pStyle w:val="SCVtablebody"/>
              <w:jc w:val="right"/>
            </w:pPr>
            <w:r>
              <w:t>3</w:t>
            </w:r>
          </w:p>
        </w:tc>
        <w:tc>
          <w:tcPr>
            <w:tcW w:w="2078" w:type="dxa"/>
          </w:tcPr>
          <w:p w14:paraId="2603A209" w14:textId="77777777" w:rsidR="00EF2D3C" w:rsidRPr="005148BF" w:rsidRDefault="00EF2D3C" w:rsidP="00A40DFD">
            <w:pPr>
              <w:pStyle w:val="SCVtablebody"/>
              <w:jc w:val="right"/>
            </w:pPr>
            <w:r>
              <w:t>5</w:t>
            </w:r>
          </w:p>
        </w:tc>
        <w:tc>
          <w:tcPr>
            <w:tcW w:w="2079" w:type="dxa"/>
          </w:tcPr>
          <w:p w14:paraId="746BFFB2" w14:textId="77777777" w:rsidR="00EF2D3C" w:rsidRPr="005148BF" w:rsidRDefault="00EF2D3C" w:rsidP="00A40DFD">
            <w:pPr>
              <w:pStyle w:val="SCVtablebody"/>
              <w:jc w:val="right"/>
            </w:pPr>
            <w:r>
              <w:t>8</w:t>
            </w:r>
          </w:p>
        </w:tc>
      </w:tr>
      <w:tr w:rsidR="00EF2D3C" w:rsidRPr="005148BF" w14:paraId="6EFDDBE7" w14:textId="77777777" w:rsidTr="00A40DFD">
        <w:trPr>
          <w:cantSplit/>
          <w:trHeight w:val="170"/>
        </w:trPr>
        <w:tc>
          <w:tcPr>
            <w:tcW w:w="3971" w:type="dxa"/>
            <w:tcMar>
              <w:top w:w="57" w:type="dxa"/>
              <w:bottom w:w="57" w:type="dxa"/>
            </w:tcMar>
          </w:tcPr>
          <w:p w14:paraId="3D007981" w14:textId="77777777" w:rsidR="00EF2D3C" w:rsidRPr="005148BF" w:rsidRDefault="00EF2D3C" w:rsidP="00A40DFD">
            <w:pPr>
              <w:pStyle w:val="SCVtablerowhead"/>
            </w:pPr>
            <w:r w:rsidRPr="005148BF">
              <w:t>Respiratory and sleep medicine</w:t>
            </w:r>
          </w:p>
        </w:tc>
        <w:tc>
          <w:tcPr>
            <w:tcW w:w="2078" w:type="dxa"/>
          </w:tcPr>
          <w:p w14:paraId="564228CC" w14:textId="77777777" w:rsidR="00EF2D3C" w:rsidRPr="005148BF" w:rsidRDefault="00EF2D3C" w:rsidP="00A40DFD">
            <w:pPr>
              <w:pStyle w:val="SCVtablebody"/>
              <w:jc w:val="right"/>
            </w:pPr>
            <w:r>
              <w:t>0</w:t>
            </w:r>
          </w:p>
        </w:tc>
        <w:tc>
          <w:tcPr>
            <w:tcW w:w="2078" w:type="dxa"/>
          </w:tcPr>
          <w:p w14:paraId="4323F945" w14:textId="77777777" w:rsidR="00EF2D3C" w:rsidRPr="005148BF" w:rsidRDefault="00EF2D3C" w:rsidP="00A40DFD">
            <w:pPr>
              <w:pStyle w:val="SCVtablebody"/>
              <w:jc w:val="right"/>
            </w:pPr>
            <w:r>
              <w:t>6</w:t>
            </w:r>
          </w:p>
        </w:tc>
        <w:tc>
          <w:tcPr>
            <w:tcW w:w="2079" w:type="dxa"/>
          </w:tcPr>
          <w:p w14:paraId="561E99C4" w14:textId="77777777" w:rsidR="00EF2D3C" w:rsidRPr="005148BF" w:rsidRDefault="00EF2D3C" w:rsidP="00A40DFD">
            <w:pPr>
              <w:pStyle w:val="SCVtablebody"/>
              <w:jc w:val="right"/>
            </w:pPr>
            <w:r>
              <w:t>6</w:t>
            </w:r>
          </w:p>
        </w:tc>
      </w:tr>
      <w:tr w:rsidR="00EF2D3C" w:rsidRPr="005148BF" w14:paraId="2D5632D4" w14:textId="77777777" w:rsidTr="00A40DFD">
        <w:trPr>
          <w:cantSplit/>
          <w:trHeight w:val="170"/>
        </w:trPr>
        <w:tc>
          <w:tcPr>
            <w:tcW w:w="3971" w:type="dxa"/>
            <w:tcMar>
              <w:top w:w="57" w:type="dxa"/>
              <w:bottom w:w="57" w:type="dxa"/>
            </w:tcMar>
          </w:tcPr>
          <w:p w14:paraId="1BEA15BF" w14:textId="77777777" w:rsidR="00EF2D3C" w:rsidRPr="005148BF" w:rsidRDefault="00EF2D3C" w:rsidP="00A40DFD">
            <w:pPr>
              <w:pStyle w:val="SCVtablerowhead"/>
            </w:pPr>
            <w:r w:rsidRPr="005148BF">
              <w:t>Haematology</w:t>
            </w:r>
          </w:p>
        </w:tc>
        <w:tc>
          <w:tcPr>
            <w:tcW w:w="2078" w:type="dxa"/>
          </w:tcPr>
          <w:p w14:paraId="7E50F85B" w14:textId="77777777" w:rsidR="00EF2D3C" w:rsidRPr="005148BF" w:rsidRDefault="00EF2D3C" w:rsidP="00A40DFD">
            <w:pPr>
              <w:pStyle w:val="SCVtablebody"/>
              <w:jc w:val="right"/>
            </w:pPr>
            <w:r>
              <w:t>2</w:t>
            </w:r>
          </w:p>
        </w:tc>
        <w:tc>
          <w:tcPr>
            <w:tcW w:w="2078" w:type="dxa"/>
          </w:tcPr>
          <w:p w14:paraId="0354AF34" w14:textId="77777777" w:rsidR="00EF2D3C" w:rsidRPr="005148BF" w:rsidRDefault="00EF2D3C" w:rsidP="00A40DFD">
            <w:pPr>
              <w:pStyle w:val="SCVtablebody"/>
              <w:jc w:val="right"/>
            </w:pPr>
            <w:r>
              <w:t>4</w:t>
            </w:r>
          </w:p>
        </w:tc>
        <w:tc>
          <w:tcPr>
            <w:tcW w:w="2079" w:type="dxa"/>
          </w:tcPr>
          <w:p w14:paraId="62D1FFFB" w14:textId="77777777" w:rsidR="00EF2D3C" w:rsidRPr="005148BF" w:rsidRDefault="00EF2D3C" w:rsidP="00A40DFD">
            <w:pPr>
              <w:pStyle w:val="SCVtablebody"/>
              <w:jc w:val="right"/>
            </w:pPr>
            <w:r>
              <w:t>6</w:t>
            </w:r>
          </w:p>
        </w:tc>
      </w:tr>
      <w:tr w:rsidR="00EF2D3C" w:rsidRPr="005148BF" w14:paraId="565D3CDF" w14:textId="77777777" w:rsidTr="00A40DFD">
        <w:trPr>
          <w:cantSplit/>
          <w:trHeight w:val="170"/>
        </w:trPr>
        <w:tc>
          <w:tcPr>
            <w:tcW w:w="3971" w:type="dxa"/>
            <w:tcMar>
              <w:top w:w="57" w:type="dxa"/>
              <w:bottom w:w="57" w:type="dxa"/>
            </w:tcMar>
          </w:tcPr>
          <w:p w14:paraId="5EE8B60C" w14:textId="77777777" w:rsidR="00EF2D3C" w:rsidRPr="005148BF" w:rsidRDefault="00EF2D3C" w:rsidP="00A40DFD">
            <w:pPr>
              <w:pStyle w:val="SCVtablerowhead"/>
            </w:pPr>
            <w:r w:rsidRPr="005148BF">
              <w:t>Palliative medicine</w:t>
            </w:r>
          </w:p>
        </w:tc>
        <w:tc>
          <w:tcPr>
            <w:tcW w:w="2078" w:type="dxa"/>
          </w:tcPr>
          <w:p w14:paraId="209CCBB2" w14:textId="77777777" w:rsidR="00EF2D3C" w:rsidRPr="005148BF" w:rsidRDefault="00EF2D3C" w:rsidP="00A40DFD">
            <w:pPr>
              <w:pStyle w:val="SCVtablebody"/>
              <w:jc w:val="right"/>
            </w:pPr>
            <w:r>
              <w:t>4</w:t>
            </w:r>
          </w:p>
        </w:tc>
        <w:tc>
          <w:tcPr>
            <w:tcW w:w="2078" w:type="dxa"/>
          </w:tcPr>
          <w:p w14:paraId="3A3F1D44" w14:textId="77777777" w:rsidR="00EF2D3C" w:rsidRPr="005148BF" w:rsidRDefault="00EF2D3C" w:rsidP="00A40DFD">
            <w:pPr>
              <w:pStyle w:val="SCVtablebody"/>
              <w:jc w:val="right"/>
            </w:pPr>
            <w:r>
              <w:t>1</w:t>
            </w:r>
          </w:p>
        </w:tc>
        <w:tc>
          <w:tcPr>
            <w:tcW w:w="2079" w:type="dxa"/>
          </w:tcPr>
          <w:p w14:paraId="22529CFC" w14:textId="77777777" w:rsidR="00EF2D3C" w:rsidRPr="005148BF" w:rsidRDefault="00EF2D3C" w:rsidP="00A40DFD">
            <w:pPr>
              <w:pStyle w:val="SCVtablebody"/>
              <w:jc w:val="right"/>
            </w:pPr>
            <w:r>
              <w:t>5</w:t>
            </w:r>
          </w:p>
        </w:tc>
      </w:tr>
      <w:tr w:rsidR="00EF2D3C" w:rsidRPr="005148BF" w14:paraId="1D31F449" w14:textId="77777777" w:rsidTr="00A40DFD">
        <w:trPr>
          <w:cantSplit/>
          <w:trHeight w:val="170"/>
        </w:trPr>
        <w:tc>
          <w:tcPr>
            <w:tcW w:w="3971" w:type="dxa"/>
            <w:tcMar>
              <w:top w:w="57" w:type="dxa"/>
              <w:bottom w:w="57" w:type="dxa"/>
            </w:tcMar>
          </w:tcPr>
          <w:p w14:paraId="51F5223C" w14:textId="77777777" w:rsidR="00EF2D3C" w:rsidRPr="005148BF" w:rsidRDefault="00EF2D3C" w:rsidP="00A40DFD">
            <w:pPr>
              <w:pStyle w:val="SCVtablerowhead"/>
            </w:pPr>
            <w:r w:rsidRPr="005148BF">
              <w:t>Other</w:t>
            </w:r>
            <w:r w:rsidRPr="005148BF">
              <w:rPr>
                <w:vertAlign w:val="superscript"/>
              </w:rPr>
              <w:t>#</w:t>
            </w:r>
          </w:p>
        </w:tc>
        <w:tc>
          <w:tcPr>
            <w:tcW w:w="2078" w:type="dxa"/>
            <w:shd w:val="clear" w:color="auto" w:fill="auto"/>
          </w:tcPr>
          <w:p w14:paraId="442F2EDD" w14:textId="77777777" w:rsidR="00EF2D3C" w:rsidRPr="005148BF" w:rsidRDefault="00EF2D3C" w:rsidP="00A40DFD">
            <w:pPr>
              <w:pStyle w:val="SCVtablebody"/>
              <w:jc w:val="right"/>
            </w:pPr>
            <w:r>
              <w:t>8</w:t>
            </w:r>
          </w:p>
        </w:tc>
        <w:tc>
          <w:tcPr>
            <w:tcW w:w="2078" w:type="dxa"/>
            <w:shd w:val="clear" w:color="auto" w:fill="auto"/>
          </w:tcPr>
          <w:p w14:paraId="6125B0AC" w14:textId="77777777" w:rsidR="00EF2D3C" w:rsidRPr="005148BF" w:rsidRDefault="00EF2D3C" w:rsidP="00A40DFD">
            <w:pPr>
              <w:pStyle w:val="SCVtablebody"/>
              <w:jc w:val="right"/>
            </w:pPr>
            <w:r>
              <w:t>31</w:t>
            </w:r>
          </w:p>
        </w:tc>
        <w:tc>
          <w:tcPr>
            <w:tcW w:w="2079" w:type="dxa"/>
          </w:tcPr>
          <w:p w14:paraId="7DF78EE5" w14:textId="77777777" w:rsidR="00EF2D3C" w:rsidRPr="005148BF" w:rsidRDefault="00EF2D3C" w:rsidP="00A40DFD">
            <w:pPr>
              <w:pStyle w:val="SCVtablebody"/>
              <w:jc w:val="right"/>
            </w:pPr>
            <w:r>
              <w:t>39</w:t>
            </w:r>
          </w:p>
        </w:tc>
      </w:tr>
    </w:tbl>
    <w:p w14:paraId="20754932" w14:textId="77777777" w:rsidR="00EF2D3C" w:rsidRPr="00BF4169" w:rsidRDefault="00EF2D3C" w:rsidP="00EF2D3C">
      <w:pPr>
        <w:pStyle w:val="SCVtablefigurenote"/>
        <w:rPr>
          <w:rStyle w:val="FootnoteReference"/>
          <w:rFonts w:cs="Arial"/>
          <w:sz w:val="14"/>
          <w:szCs w:val="14"/>
          <w:vertAlign w:val="baseline"/>
        </w:rPr>
      </w:pPr>
      <w:r w:rsidRPr="00BF4169">
        <w:rPr>
          <w:rStyle w:val="FootnoteReference"/>
          <w:rFonts w:cs="Arial"/>
          <w:sz w:val="14"/>
          <w:szCs w:val="14"/>
          <w:vertAlign w:val="baseline"/>
        </w:rPr>
        <w:t>^ Medical practitioners’ specialty areas are reported in accordance with the Australian Health Practitioner Regulation Agency (Ahpra) listings. As a medical practitioner may have more than one specialty area listed with Ahpra, the total numbers included in this table exceeds the number of trained medical practitioners registered in the portal.</w:t>
      </w:r>
    </w:p>
    <w:p w14:paraId="4E85D13D" w14:textId="77777777" w:rsidR="00EF2D3C" w:rsidRPr="00BF4169" w:rsidRDefault="00EF2D3C" w:rsidP="00EF2D3C">
      <w:pPr>
        <w:pStyle w:val="SCVtablefigurenote"/>
        <w:rPr>
          <w:rStyle w:val="FootnoteReference"/>
          <w:rFonts w:cs="Arial"/>
          <w:sz w:val="14"/>
          <w:szCs w:val="14"/>
          <w:vertAlign w:val="baseline"/>
        </w:rPr>
      </w:pPr>
      <w:r w:rsidRPr="006659DA">
        <w:rPr>
          <w:rStyle w:val="FootnoteReference"/>
          <w:rFonts w:cs="Arial"/>
          <w:sz w:val="14"/>
          <w:szCs w:val="14"/>
        </w:rPr>
        <w:t>#</w:t>
      </w:r>
      <w:r w:rsidRPr="00BF4169">
        <w:rPr>
          <w:rStyle w:val="FootnoteReference"/>
          <w:rFonts w:cs="Arial"/>
          <w:sz w:val="14"/>
          <w:szCs w:val="14"/>
          <w:vertAlign w:val="baseline"/>
        </w:rPr>
        <w:t xml:space="preserve"> Other specialty areas include acupuncture, anaesthesia, cardiology, clinical genetics, clinical pharmacology, endocrinology, gastroenterology, general paediatrics, general surgery, geriatric medicine, gynaecological oncology, hepatology, infectious diseases, intensive care medicine, nephrology, neurosurgery, pain medicine, psychiatry, radiation oncology, rehabilitation medicine, rheumatology, sexual health medicine and urology, or do not have a specialty area(s) listed with Ahpra.</w:t>
      </w:r>
    </w:p>
    <w:p w14:paraId="7EB8F556" w14:textId="77777777" w:rsidR="00EF2D3C" w:rsidRDefault="00EF2D3C">
      <w:pPr>
        <w:spacing w:line="280" w:lineRule="atLeast"/>
        <w:rPr>
          <w:sz w:val="19"/>
          <w:szCs w:val="19"/>
        </w:rPr>
      </w:pPr>
      <w:r>
        <w:br w:type="page"/>
      </w:r>
    </w:p>
    <w:p w14:paraId="18A8DED4" w14:textId="77777777" w:rsidR="00EF2D3C" w:rsidRDefault="00EF2D3C" w:rsidP="00EF2D3C">
      <w:pPr>
        <w:pStyle w:val="Heading2"/>
        <w:sectPr w:rsidR="00EF2D3C" w:rsidSect="00F16C4F">
          <w:type w:val="continuous"/>
          <w:pgSz w:w="11906" w:h="16838" w:code="9"/>
          <w:pgMar w:top="3402" w:right="851" w:bottom="1361" w:left="851" w:header="851" w:footer="851" w:gutter="0"/>
          <w:cols w:space="284"/>
          <w:docGrid w:linePitch="360"/>
          <w15:footnoteColumns w:val="1"/>
        </w:sectPr>
      </w:pPr>
    </w:p>
    <w:p w14:paraId="217924CA" w14:textId="77777777" w:rsidR="00EF2D3C" w:rsidRDefault="00EF2D3C" w:rsidP="006659DA">
      <w:pPr>
        <w:pStyle w:val="Heading2"/>
        <w:spacing w:before="0"/>
      </w:pPr>
      <w:r>
        <w:lastRenderedPageBreak/>
        <w:t>Community of practice</w:t>
      </w:r>
    </w:p>
    <w:p w14:paraId="3F850E95" w14:textId="20B8D0AB" w:rsidR="00EF2D3C" w:rsidRDefault="00EF2D3C" w:rsidP="00EF2D3C">
      <w:pPr>
        <w:pStyle w:val="SCVbodyafterheading"/>
      </w:pPr>
      <w:r>
        <w:t xml:space="preserve">The community of practice is an online peer support network </w:t>
      </w:r>
      <w:r w:rsidR="00D63D34">
        <w:t>that</w:t>
      </w:r>
      <w:r>
        <w:t xml:space="preserve"> has 37 members. It is a valuable resource for medical practitioners participating in voluntary assisted dying.</w:t>
      </w:r>
    </w:p>
    <w:p w14:paraId="6E8D429E" w14:textId="77777777" w:rsidR="00EF2D3C" w:rsidRDefault="00EF2D3C" w:rsidP="00EF2D3C">
      <w:pPr>
        <w:pStyle w:val="SCVbody"/>
      </w:pPr>
      <w:r>
        <w:t xml:space="preserve">Medical practitioners can join the community of practice after successful completion of the voluntary assisted dying training. Those wishing to join should contact </w:t>
      </w:r>
      <w:hyperlink r:id="rId34" w:history="1">
        <w:r w:rsidR="006659DA" w:rsidRPr="006659DA">
          <w:rPr>
            <w:rStyle w:val="Hyperlink"/>
            <w:u w:val="none"/>
          </w:rPr>
          <w:t>vadcommunity@westvicphn.com.au</w:t>
        </w:r>
      </w:hyperlink>
    </w:p>
    <w:p w14:paraId="3C419518" w14:textId="77777777" w:rsidR="00EF2D3C" w:rsidRDefault="00EF2D3C" w:rsidP="00EF2D3C">
      <w:pPr>
        <w:pStyle w:val="Heading2"/>
      </w:pPr>
      <w:r>
        <w:t>Medical practitioner feedback</w:t>
      </w:r>
    </w:p>
    <w:p w14:paraId="3B019090" w14:textId="77777777" w:rsidR="00EF2D3C" w:rsidRDefault="00EF2D3C" w:rsidP="00EF2D3C">
      <w:pPr>
        <w:pStyle w:val="SCVbodyafterheading"/>
      </w:pPr>
      <w:r>
        <w:t>Medical professionals actively involved in the program have provided a range of insights over this latest six-month reporting period. Some key challenges identified include:</w:t>
      </w:r>
    </w:p>
    <w:p w14:paraId="4613ABCB" w14:textId="77777777" w:rsidR="00EF2D3C" w:rsidRDefault="00EF2D3C" w:rsidP="00EF2D3C">
      <w:pPr>
        <w:pStyle w:val="SCVbullet1"/>
      </w:pPr>
      <w:r>
        <w:t>the time and effort involved for coordinating and consulting medical practitioners in each application, particularly for rural and regional practitioners who may be managing multiple applications across large geographic areas</w:t>
      </w:r>
    </w:p>
    <w:p w14:paraId="7BB26F85" w14:textId="77777777" w:rsidR="00EF2D3C" w:rsidRDefault="00EF2D3C" w:rsidP="00EF2D3C">
      <w:pPr>
        <w:pStyle w:val="SCVbullet1"/>
      </w:pPr>
      <w:r>
        <w:t>difficulties with the portal being too complex, with limited guidance about application requirements under the Act included in the workflow</w:t>
      </w:r>
    </w:p>
    <w:p w14:paraId="076D4D49" w14:textId="77777777" w:rsidR="00EF2D3C" w:rsidRDefault="00EF2D3C" w:rsidP="00EF2D3C">
      <w:pPr>
        <w:pStyle w:val="SCVbullet1"/>
      </w:pPr>
      <w:r>
        <w:t>restrictions of the use of telecommunications (including telehealth) due to the Commonwealth Criminal Code.</w:t>
      </w:r>
    </w:p>
    <w:p w14:paraId="073AA8B0" w14:textId="77777777" w:rsidR="00EF2D3C" w:rsidRDefault="00EF2D3C" w:rsidP="00EF2D3C">
      <w:pPr>
        <w:pStyle w:val="Heading2"/>
      </w:pPr>
      <w:r>
        <w:t>Medical practitioner recognition</w:t>
      </w:r>
    </w:p>
    <w:p w14:paraId="70662022" w14:textId="77777777" w:rsidR="00EF2D3C" w:rsidRDefault="00EF2D3C" w:rsidP="00EF2D3C">
      <w:pPr>
        <w:pStyle w:val="SCVbodyafterheading"/>
      </w:pPr>
      <w:r>
        <w:t>The Board seeks and receives feedback about the voluntary assisted dying process from contact persons appointed by applicants. Contact people continue to be grateful for coordinating and consulting medical professionals’ dedication and compassion.</w:t>
      </w:r>
    </w:p>
    <w:p w14:paraId="18EB9B09" w14:textId="77777777" w:rsidR="00EF2D3C" w:rsidRDefault="00EF2D3C" w:rsidP="006659DA">
      <w:pPr>
        <w:pStyle w:val="SCVquote"/>
        <w:spacing w:before="0"/>
      </w:pPr>
      <w:r>
        <w:t>“The Dr was amazing. Mum had never been one to open up emotionally, but we couldn’t believe how open psychologically she was. They really built a special relationship, we all did.“ – Contact person</w:t>
      </w:r>
    </w:p>
    <w:p w14:paraId="21A7644A" w14:textId="77777777" w:rsidR="00EF2D3C" w:rsidRDefault="00EF2D3C" w:rsidP="00EF2D3C">
      <w:pPr>
        <w:pStyle w:val="SCVquote"/>
      </w:pPr>
      <w:r>
        <w:t>“We have some beautiful people working in our medical system and fortunately…</w:t>
      </w:r>
      <w:r w:rsidR="006659DA">
        <w:t xml:space="preserve"> </w:t>
      </w:r>
      <w:r>
        <w:t>l encountered heaps of them.” – Contact person</w:t>
      </w:r>
    </w:p>
    <w:p w14:paraId="2DBF3151" w14:textId="77777777" w:rsidR="00EF2D3C" w:rsidRDefault="00EF2D3C" w:rsidP="00EF2D3C">
      <w:pPr>
        <w:pStyle w:val="Heading2"/>
      </w:pPr>
      <w:r>
        <w:t>Improving the portal</w:t>
      </w:r>
    </w:p>
    <w:p w14:paraId="1AD3C060" w14:textId="77777777" w:rsidR="00EF2D3C" w:rsidRDefault="00EF2D3C" w:rsidP="00EF2D3C">
      <w:pPr>
        <w:pStyle w:val="SCVbodyafterheading"/>
      </w:pPr>
      <w:r>
        <w:t>The Board is appreciative of the feedback provided by coordinating and consulting medical practitioners and other stakeholders about the portal, during engagement sessions held in early 2021.</w:t>
      </w:r>
    </w:p>
    <w:p w14:paraId="4887F572" w14:textId="77777777" w:rsidR="00EF2D3C" w:rsidRDefault="00EF2D3C" w:rsidP="00EF2D3C">
      <w:pPr>
        <w:pStyle w:val="SCVbody"/>
      </w:pPr>
      <w:r>
        <w:t>Work has started on a series of improvements to help make the secure portal easier for coordinating and consulting medical professionals to use, while increasing its analytics and reporting capabilities.</w:t>
      </w:r>
    </w:p>
    <w:p w14:paraId="22DFF6B3" w14:textId="77777777" w:rsidR="00EF2D3C" w:rsidRDefault="00EF2D3C" w:rsidP="00EF2D3C">
      <w:pPr>
        <w:pStyle w:val="SCVbody"/>
      </w:pPr>
      <w:r>
        <w:t>Key enhancements include the development of:</w:t>
      </w:r>
    </w:p>
    <w:p w14:paraId="0507F42B" w14:textId="77777777" w:rsidR="00EF2D3C" w:rsidRDefault="00EF2D3C" w:rsidP="00EF2D3C">
      <w:pPr>
        <w:pStyle w:val="SCVbullet1"/>
      </w:pPr>
      <w:r>
        <w:t>a streamlined process for transferring practitioners within an application</w:t>
      </w:r>
    </w:p>
    <w:p w14:paraId="1D2EBF82" w14:textId="77777777" w:rsidR="00EF2D3C" w:rsidRDefault="00EF2D3C" w:rsidP="00EF2D3C">
      <w:pPr>
        <w:pStyle w:val="SCVbullet1"/>
      </w:pPr>
      <w:r>
        <w:t>easier ways to amend permit application details</w:t>
      </w:r>
    </w:p>
    <w:p w14:paraId="2575A64F" w14:textId="77777777" w:rsidR="00EF2D3C" w:rsidRDefault="00EF2D3C" w:rsidP="00EF2D3C">
      <w:pPr>
        <w:pStyle w:val="SCVbullet1"/>
      </w:pPr>
      <w:r>
        <w:t>prompts that remind coordinating and consulting medical practitioners about requirements of the Act as they move through the application process</w:t>
      </w:r>
    </w:p>
    <w:p w14:paraId="2D79F480" w14:textId="77777777" w:rsidR="00EF2D3C" w:rsidRDefault="00EF2D3C" w:rsidP="00EF2D3C">
      <w:pPr>
        <w:pStyle w:val="SCVbullet1"/>
      </w:pPr>
      <w:r>
        <w:t>pre-filled fields across the submitted forms to decrease time and reduce human error in assessment forms.</w:t>
      </w:r>
    </w:p>
    <w:p w14:paraId="3AA59723" w14:textId="77777777" w:rsidR="00EF2D3C" w:rsidRDefault="00EF2D3C" w:rsidP="00EF2D3C">
      <w:pPr>
        <w:pStyle w:val="SCVbody"/>
      </w:pPr>
      <w:r>
        <w:t>This work is expected to be complete</w:t>
      </w:r>
      <w:r w:rsidR="006659DA">
        <w:t>d</w:t>
      </w:r>
      <w:r>
        <w:t xml:space="preserve"> by the end of September 2021 and some early enhancements have already been implemented in June 2021. Information and training on changes made to the portal will be provided to registered users in due course.</w:t>
      </w:r>
    </w:p>
    <w:p w14:paraId="7DA3DBE0" w14:textId="77777777" w:rsidR="00EF2D3C" w:rsidRDefault="00EF2D3C">
      <w:pPr>
        <w:spacing w:line="280" w:lineRule="atLeast"/>
        <w:sectPr w:rsidR="00EF2D3C" w:rsidSect="00EF2D3C">
          <w:type w:val="continuous"/>
          <w:pgSz w:w="11906" w:h="16838" w:code="9"/>
          <w:pgMar w:top="3402" w:right="851" w:bottom="1361" w:left="851" w:header="851" w:footer="851" w:gutter="0"/>
          <w:cols w:num="2" w:space="284"/>
          <w:docGrid w:linePitch="360"/>
          <w15:footnoteColumns w:val="1"/>
        </w:sectPr>
      </w:pPr>
    </w:p>
    <w:p w14:paraId="12370921" w14:textId="77777777" w:rsidR="00EF2D3C" w:rsidRDefault="00EF2D3C">
      <w:pPr>
        <w:spacing w:line="280" w:lineRule="atLeast"/>
        <w:rPr>
          <w:sz w:val="19"/>
          <w:szCs w:val="19"/>
        </w:rPr>
      </w:pPr>
      <w:r>
        <w:br w:type="page"/>
      </w:r>
    </w:p>
    <w:p w14:paraId="6465E810" w14:textId="77777777" w:rsidR="00EF2D3C" w:rsidRDefault="00EF2D3C" w:rsidP="00EF2D3C">
      <w:pPr>
        <w:pStyle w:val="Heading1"/>
      </w:pPr>
      <w:r>
        <w:lastRenderedPageBreak/>
        <w:t>Statewide services</w:t>
      </w:r>
    </w:p>
    <w:p w14:paraId="3484AD0B" w14:textId="77777777" w:rsidR="00EF2D3C" w:rsidRDefault="00EF2D3C" w:rsidP="00EF2D3C">
      <w:pPr>
        <w:pStyle w:val="SCVintroductorytext"/>
      </w:pPr>
      <w:r>
        <w:t>The Victorian Government established two services to support those accessing voluntary assisted dying – the Statewide Care Navigator Service and the Statewide Pharmacy Service. Both services have grown in response to demand since the Act commenced, to accommodate the needs of Victorians and to aid accessibility for applicants – particularly those in regional and rural areas.</w:t>
      </w:r>
    </w:p>
    <w:p w14:paraId="60EF42CE" w14:textId="77777777" w:rsidR="00A40DFD" w:rsidRDefault="00A40DFD" w:rsidP="00EF2D3C">
      <w:pPr>
        <w:pStyle w:val="Heading2"/>
        <w:sectPr w:rsidR="00A40DFD" w:rsidSect="00F16C4F">
          <w:type w:val="continuous"/>
          <w:pgSz w:w="11906" w:h="16838" w:code="9"/>
          <w:pgMar w:top="3402" w:right="851" w:bottom="1361" w:left="851" w:header="851" w:footer="851" w:gutter="0"/>
          <w:cols w:space="284"/>
          <w:docGrid w:linePitch="360"/>
          <w15:footnoteColumns w:val="1"/>
        </w:sectPr>
      </w:pPr>
    </w:p>
    <w:p w14:paraId="55E2C16F" w14:textId="77777777" w:rsidR="00EF2D3C" w:rsidRDefault="006659DA" w:rsidP="00A40DFD">
      <w:pPr>
        <w:pStyle w:val="Heading2"/>
        <w:spacing w:before="0"/>
      </w:pPr>
      <w:r>
        <w:t xml:space="preserve">Statewide </w:t>
      </w:r>
      <w:r w:rsidR="00EF2D3C">
        <w:t xml:space="preserve">Care </w:t>
      </w:r>
      <w:r>
        <w:t>N</w:t>
      </w:r>
      <w:r w:rsidR="00EF2D3C">
        <w:t xml:space="preserve">avigator </w:t>
      </w:r>
      <w:r>
        <w:t>S</w:t>
      </w:r>
      <w:r w:rsidR="00EF2D3C">
        <w:t>ervice</w:t>
      </w:r>
    </w:p>
    <w:p w14:paraId="7723AF0A" w14:textId="77777777" w:rsidR="00EF2D3C" w:rsidRDefault="00EF2D3C" w:rsidP="00EF2D3C">
      <w:pPr>
        <w:pStyle w:val="SCVbodyafterheading"/>
      </w:pPr>
      <w:r>
        <w:t>This statewide service provides important advice and support to Victorians who need information about, or assistance with the voluntary assisted dying process.</w:t>
      </w:r>
    </w:p>
    <w:p w14:paraId="2EFF0C2B" w14:textId="77777777" w:rsidR="00EF2D3C" w:rsidRDefault="00EF2D3C" w:rsidP="00EF2D3C">
      <w:pPr>
        <w:pStyle w:val="SCVbody"/>
      </w:pPr>
      <w:r>
        <w:t>It has been two years since the service commenced and there are now eight care navigators located across Victoria.</w:t>
      </w:r>
    </w:p>
    <w:p w14:paraId="09829914" w14:textId="77777777" w:rsidR="00EF2D3C" w:rsidRDefault="00EF2D3C" w:rsidP="00EF2D3C">
      <w:pPr>
        <w:pStyle w:val="SCVbody"/>
      </w:pPr>
      <w:r>
        <w:t xml:space="preserve">While many people will be well supported through the voluntary assisted dying process by their coordinating medical practitioner, their usual healthcare team or health service, some may need extra support. In these cases, voluntary assisted dying care navigators can work closely with the applicant, their </w:t>
      </w:r>
      <w:proofErr w:type="spellStart"/>
      <w:r>
        <w:t>carers</w:t>
      </w:r>
      <w:proofErr w:type="spellEnd"/>
      <w:r>
        <w:t>, family or friends, medical practitioners, and healthcare team</w:t>
      </w:r>
      <w:r w:rsidR="006659DA">
        <w:t>s</w:t>
      </w:r>
      <w:r>
        <w:t xml:space="preserve"> to make sure the applicant gets the support they need.</w:t>
      </w:r>
    </w:p>
    <w:p w14:paraId="7237445E" w14:textId="77777777" w:rsidR="00EF2D3C" w:rsidRDefault="00EF2D3C" w:rsidP="00EF2D3C">
      <w:pPr>
        <w:pStyle w:val="SCVbody"/>
      </w:pPr>
      <w:r>
        <w:t>Care navigators can also help Victorians to find a voluntary assisted dying trained medical practitioner if their usual general practitioner or specialist medical practitioner is unable to assist them.</w:t>
      </w:r>
    </w:p>
    <w:p w14:paraId="4D46BB84" w14:textId="77777777" w:rsidR="00EF2D3C" w:rsidRDefault="00EF2D3C" w:rsidP="00EF2D3C">
      <w:pPr>
        <w:pStyle w:val="SCVbody"/>
      </w:pPr>
      <w:r>
        <w:t>From 1 January to 30 June 2021, there were 539 contacts made to care navigators seeking information or support. Of these:</w:t>
      </w:r>
    </w:p>
    <w:p w14:paraId="2D948A0D" w14:textId="77777777" w:rsidR="00EF2D3C" w:rsidRDefault="00EF2D3C" w:rsidP="00EF2D3C">
      <w:pPr>
        <w:pStyle w:val="SCVbullet1"/>
      </w:pPr>
      <w:r>
        <w:t>36 per cent were from applicants</w:t>
      </w:r>
    </w:p>
    <w:p w14:paraId="3680D90F" w14:textId="77777777" w:rsidR="00EF2D3C" w:rsidRDefault="00EF2D3C" w:rsidP="00EF2D3C">
      <w:pPr>
        <w:pStyle w:val="SCVbullet1"/>
      </w:pPr>
      <w:r>
        <w:t>35 per cent were from a family member or friend</w:t>
      </w:r>
    </w:p>
    <w:p w14:paraId="0813E11B" w14:textId="77777777" w:rsidR="00EF2D3C" w:rsidRDefault="00EF2D3C" w:rsidP="00EF2D3C">
      <w:pPr>
        <w:pStyle w:val="SCVbullet1"/>
      </w:pPr>
      <w:r>
        <w:t>28 per cent were from medical professionals</w:t>
      </w:r>
    </w:p>
    <w:p w14:paraId="7DAF7550" w14:textId="77777777" w:rsidR="00EF2D3C" w:rsidRDefault="00EF2D3C" w:rsidP="00EF2D3C">
      <w:pPr>
        <w:pStyle w:val="SCVbullet1"/>
      </w:pPr>
      <w:r>
        <w:t>one per cent was from other sources.</w:t>
      </w:r>
    </w:p>
    <w:p w14:paraId="4F347A38" w14:textId="77777777" w:rsidR="00A40DFD" w:rsidRDefault="00A40DFD" w:rsidP="00A40DFD">
      <w:pPr>
        <w:pStyle w:val="SCVquote"/>
      </w:pPr>
      <w:r>
        <w:br w:type="column"/>
      </w:r>
      <w:r>
        <w:t>“In terms of requesting voluntary assisted dying, the Care Navigator Service was wonderful, and it was easy to find the two practitioners with their help.” – Contact person</w:t>
      </w:r>
    </w:p>
    <w:p w14:paraId="2B418F6F" w14:textId="5347D8AB" w:rsidR="00EF2D3C" w:rsidRDefault="00EF2D3C" w:rsidP="00EF2D3C">
      <w:pPr>
        <w:pStyle w:val="SCVbody"/>
      </w:pPr>
      <w:r>
        <w:t xml:space="preserve">Just over half </w:t>
      </w:r>
      <w:r w:rsidR="00D63D34">
        <w:t xml:space="preserve">(52 per cent) </w:t>
      </w:r>
      <w:r>
        <w:t>the people contacting the service are from metropolitan Melbourne.</w:t>
      </w:r>
    </w:p>
    <w:p w14:paraId="0D286E0B" w14:textId="77777777" w:rsidR="00EF2D3C" w:rsidRDefault="00EF2D3C" w:rsidP="00EF2D3C">
      <w:pPr>
        <w:pStyle w:val="SCVbody"/>
      </w:pPr>
      <w:r>
        <w:t>Of contacts made from 1 January to 30 June 2021:</w:t>
      </w:r>
    </w:p>
    <w:p w14:paraId="631251DE" w14:textId="77777777" w:rsidR="00EF2D3C" w:rsidRDefault="00EF2D3C" w:rsidP="00EF2D3C">
      <w:pPr>
        <w:pStyle w:val="SCVbullet1"/>
      </w:pPr>
      <w:r>
        <w:t>48 per cent were for support for applicants who were planning or were in the process of applying for voluntary assisted dying</w:t>
      </w:r>
    </w:p>
    <w:p w14:paraId="50DBA27D" w14:textId="77777777" w:rsidR="00EF2D3C" w:rsidRDefault="00EF2D3C" w:rsidP="00EF2D3C">
      <w:pPr>
        <w:pStyle w:val="SCVbullet1"/>
      </w:pPr>
      <w:r>
        <w:t>38 per cent were requests for information from those who were considering voluntary assisted dying</w:t>
      </w:r>
    </w:p>
    <w:p w14:paraId="14F58462" w14:textId="77777777" w:rsidR="00EF2D3C" w:rsidRDefault="00EF2D3C" w:rsidP="00EF2D3C">
      <w:pPr>
        <w:pStyle w:val="SCVbullet1"/>
      </w:pPr>
      <w:r>
        <w:t>seven per cent were for assistance in finding a second trained medical practitioner to complete the applicant’s eligibility assessment</w:t>
      </w:r>
    </w:p>
    <w:p w14:paraId="29E45774" w14:textId="77777777" w:rsidR="00EF2D3C" w:rsidRDefault="00EF2D3C" w:rsidP="00EF2D3C">
      <w:pPr>
        <w:pStyle w:val="SCVbullet1"/>
      </w:pPr>
      <w:r>
        <w:t>seven per cent were for other reasons.</w:t>
      </w:r>
    </w:p>
    <w:p w14:paraId="37FBCB4B" w14:textId="77777777" w:rsidR="00EF2D3C" w:rsidRDefault="00EF2D3C" w:rsidP="00EF2D3C">
      <w:pPr>
        <w:pStyle w:val="SCVbody"/>
      </w:pPr>
      <w:r>
        <w:t>Contact people and medical professionals have consistently provided positive feedback about the Care Navigator Service during this reporting period.</w:t>
      </w:r>
    </w:p>
    <w:p w14:paraId="51B2C108" w14:textId="77777777" w:rsidR="00A40DFD" w:rsidRDefault="00A40DFD" w:rsidP="00A40DFD">
      <w:pPr>
        <w:pStyle w:val="SCVquote"/>
      </w:pPr>
      <w:r>
        <w:t>“Well supported by the Care Navigators as always. They continue to be such an important part of the VAD process.” – Medical practitioner</w:t>
      </w:r>
    </w:p>
    <w:p w14:paraId="51A42001" w14:textId="77777777" w:rsidR="00EF2D3C" w:rsidRDefault="00EF2D3C" w:rsidP="00EF2D3C">
      <w:pPr>
        <w:pStyle w:val="SCVbody"/>
      </w:pPr>
      <w:r>
        <w:t>Not all applicants or medical practitioners are aware of the Care Navigator Service. The Care Navigator Service can be contacted from anywhere in Victoria</w:t>
      </w:r>
      <w:r w:rsidR="006659DA">
        <w:t xml:space="preserve"> on</w:t>
      </w:r>
      <w:r>
        <w:t xml:space="preserve"> 0436 848 344 or </w:t>
      </w:r>
      <w:hyperlink r:id="rId35" w:history="1">
        <w:r w:rsidR="006659DA" w:rsidRPr="006659DA">
          <w:rPr>
            <w:rStyle w:val="Hyperlink"/>
            <w:u w:val="none"/>
          </w:rPr>
          <w:t>vadcarenavigator@petermac.org</w:t>
        </w:r>
      </w:hyperlink>
      <w:r w:rsidR="006659DA">
        <w:t xml:space="preserve"> </w:t>
      </w:r>
    </w:p>
    <w:p w14:paraId="206CA6E0" w14:textId="77777777" w:rsidR="00EF2D3C" w:rsidRDefault="00A40DFD" w:rsidP="00A40DFD">
      <w:pPr>
        <w:pStyle w:val="SCVquote"/>
      </w:pPr>
      <w:r>
        <w:br w:type="column"/>
      </w:r>
      <w:r w:rsidR="00EF2D3C">
        <w:lastRenderedPageBreak/>
        <w:t xml:space="preserve">“[The applicant] did find some information [about voluntary assisted dying] on the </w:t>
      </w:r>
      <w:r w:rsidR="006659DA">
        <w:t>i</w:t>
      </w:r>
      <w:r w:rsidR="00EF2D3C">
        <w:t>nternet, but it was not clear who to speak to initially. The applicant’s GP was not sure of the process or contacts either. Eventually it was a nurse who helped find the contact numbers.” – Contact person</w:t>
      </w:r>
    </w:p>
    <w:p w14:paraId="034A910E" w14:textId="77777777" w:rsidR="00EF2D3C" w:rsidRDefault="006659DA" w:rsidP="00EF2D3C">
      <w:pPr>
        <w:pStyle w:val="Heading2"/>
      </w:pPr>
      <w:r>
        <w:t xml:space="preserve">Statewide </w:t>
      </w:r>
      <w:r w:rsidR="00EF2D3C">
        <w:t xml:space="preserve">Pharmacy </w:t>
      </w:r>
      <w:r>
        <w:t>S</w:t>
      </w:r>
      <w:r w:rsidR="00EF2D3C">
        <w:t>ervice</w:t>
      </w:r>
    </w:p>
    <w:p w14:paraId="5EAB89F8" w14:textId="77777777" w:rsidR="00EF2D3C" w:rsidRDefault="00EF2D3C" w:rsidP="00EF2D3C">
      <w:pPr>
        <w:pStyle w:val="SCVbodyafterheading"/>
      </w:pPr>
      <w:r>
        <w:t>The program’s Statewide Pharmacy Service has seven pharmacists and one administrative support professional based at Alfred Health in Melbourne.</w:t>
      </w:r>
    </w:p>
    <w:p w14:paraId="75D8DEA9" w14:textId="77777777" w:rsidR="00EF2D3C" w:rsidRDefault="00EF2D3C" w:rsidP="00EF2D3C">
      <w:pPr>
        <w:pStyle w:val="SCVbody"/>
      </w:pPr>
      <w:r>
        <w:t>The Department of Health Secretary (or their delegate) has the power to grant a voluntary assisted dying permit once all required application steps are complete in the portal. After this occurs, it is the applicant’s choice to decide if, and when, they want access to the voluntary assisted dying medication.</w:t>
      </w:r>
    </w:p>
    <w:p w14:paraId="1BE2FBFF" w14:textId="77777777" w:rsidR="00EF2D3C" w:rsidRDefault="00EF2D3C" w:rsidP="00EF2D3C">
      <w:pPr>
        <w:pStyle w:val="SCVbody"/>
      </w:pPr>
      <w:r>
        <w:t>The pharmacists are responsible for dispensing the voluntary assisted dying medication to applicants who seek access. They are also responsible for the disposal of any unused medication returned by the appointed contact person or medical practitioners.</w:t>
      </w:r>
    </w:p>
    <w:p w14:paraId="6DEA3030" w14:textId="77777777" w:rsidR="00EF2D3C" w:rsidRDefault="00EF2D3C" w:rsidP="00EF2D3C">
      <w:pPr>
        <w:pStyle w:val="SCVbody"/>
      </w:pPr>
      <w:r>
        <w:t>The pharmacists travel throughout Victoria to provide education and dispense the medication to each applicant at the time of their choosing.</w:t>
      </w:r>
    </w:p>
    <w:p w14:paraId="4C479760" w14:textId="77777777" w:rsidR="00A40DFD" w:rsidRDefault="00A40DFD" w:rsidP="00A40DFD">
      <w:pPr>
        <w:pStyle w:val="SCVquote"/>
      </w:pPr>
      <w:r>
        <w:t>“The pharmacy service was brilliant. They visited on a Sunday. The whole process was smooth and straightforward, and they provided lots of clear information.” – Contact person</w:t>
      </w:r>
    </w:p>
    <w:p w14:paraId="7187141D" w14:textId="77777777" w:rsidR="00EF2D3C" w:rsidRDefault="00A40DFD" w:rsidP="00EF2D3C">
      <w:pPr>
        <w:pStyle w:val="Heading2"/>
      </w:pPr>
      <w:r>
        <w:br w:type="column"/>
      </w:r>
      <w:r w:rsidR="00EF2D3C">
        <w:t>Dispensing medications</w:t>
      </w:r>
    </w:p>
    <w:p w14:paraId="661B9F5C" w14:textId="77777777" w:rsidR="00EF2D3C" w:rsidRDefault="00EF2D3C" w:rsidP="006659DA">
      <w:pPr>
        <w:pStyle w:val="SCVbodyafterheading"/>
      </w:pPr>
      <w:r>
        <w:t xml:space="preserve">Between 1 January and 30 June 2021: </w:t>
      </w:r>
    </w:p>
    <w:p w14:paraId="4CBD6BF4" w14:textId="77777777" w:rsidR="00EF2D3C" w:rsidRDefault="00EF2D3C" w:rsidP="00EF2D3C">
      <w:pPr>
        <w:pStyle w:val="SCVbullet1"/>
      </w:pPr>
      <w:r>
        <w:t>79 per cent of applicants had the medication provided on the day they requested</w:t>
      </w:r>
    </w:p>
    <w:p w14:paraId="19E36030" w14:textId="77777777" w:rsidR="00EF2D3C" w:rsidRDefault="006659DA" w:rsidP="00EF2D3C">
      <w:pPr>
        <w:pStyle w:val="SCVbullet1"/>
      </w:pPr>
      <w:r>
        <w:t>more than</w:t>
      </w:r>
      <w:r w:rsidR="00EF2D3C">
        <w:t xml:space="preserve"> 99 per cent of applicants had the medication provided within two business days of their preferred day of delivery</w:t>
      </w:r>
    </w:p>
    <w:p w14:paraId="42EDBE2B" w14:textId="77777777" w:rsidR="00EF2D3C" w:rsidRDefault="00EF2D3C" w:rsidP="00EF2D3C">
      <w:pPr>
        <w:pStyle w:val="SCVbullet1"/>
      </w:pPr>
      <w:r>
        <w:t>61 per cent of medications were dispensed to metropolitan applicants</w:t>
      </w:r>
    </w:p>
    <w:p w14:paraId="35A56252" w14:textId="77777777" w:rsidR="00EF2D3C" w:rsidRDefault="00EF2D3C" w:rsidP="00EF2D3C">
      <w:pPr>
        <w:pStyle w:val="SCVbullet1"/>
      </w:pPr>
      <w:r>
        <w:t>39 per cent of medications were dispensed to regional applicants.</w:t>
      </w:r>
    </w:p>
    <w:p w14:paraId="24B9B071" w14:textId="77777777" w:rsidR="00A40DFD" w:rsidRDefault="00A40DFD" w:rsidP="00A40DFD">
      <w:pPr>
        <w:pStyle w:val="SCVquote"/>
      </w:pPr>
      <w:r>
        <w:t xml:space="preserve">“Two pharmacists were lovely and so helpful. They came at a time that suited us. They were thorough, </w:t>
      </w:r>
      <w:proofErr w:type="gramStart"/>
      <w:r>
        <w:t>caring</w:t>
      </w:r>
      <w:proofErr w:type="gramEnd"/>
      <w:r>
        <w:t xml:space="preserve"> and respectful.” – Contact person</w:t>
      </w:r>
    </w:p>
    <w:p w14:paraId="02B2B1ED" w14:textId="77777777" w:rsidR="00EF2D3C" w:rsidRDefault="00EF2D3C" w:rsidP="00EF2D3C">
      <w:pPr>
        <w:pStyle w:val="Heading2"/>
      </w:pPr>
      <w:r>
        <w:t>Feedback from applicants</w:t>
      </w:r>
    </w:p>
    <w:p w14:paraId="1C608088" w14:textId="77777777" w:rsidR="00EF2D3C" w:rsidRDefault="00EF2D3C" w:rsidP="00EF2D3C">
      <w:pPr>
        <w:pStyle w:val="SCVbodyafterheading"/>
      </w:pPr>
      <w:r>
        <w:t>To continually evaluate and monitor their performance, the service seeks feedback from applicants once they have received their medication.</w:t>
      </w:r>
    </w:p>
    <w:p w14:paraId="3D2F9410" w14:textId="3793FBD0" w:rsidR="00EF2D3C" w:rsidRDefault="00EF2D3C" w:rsidP="006659DA">
      <w:pPr>
        <w:pStyle w:val="SCVbody"/>
      </w:pPr>
      <w:r>
        <w:t>Between 1 January and 30 June 2021</w:t>
      </w:r>
      <w:r w:rsidR="00D63D34">
        <w:t>,</w:t>
      </w:r>
      <w:r w:rsidR="006659DA">
        <w:t xml:space="preserve"> </w:t>
      </w:r>
      <w:r>
        <w:t>47 per cent of applicants provided feedback</w:t>
      </w:r>
      <w:r w:rsidR="006659DA">
        <w:t>. Of these:</w:t>
      </w:r>
    </w:p>
    <w:p w14:paraId="654FEC32" w14:textId="77777777" w:rsidR="00EF2D3C" w:rsidRDefault="00EF2D3C" w:rsidP="00EF2D3C">
      <w:pPr>
        <w:pStyle w:val="SCVbullet1"/>
      </w:pPr>
      <w:r>
        <w:t>99 per cent reported excellent service from the pharmacist</w:t>
      </w:r>
    </w:p>
    <w:p w14:paraId="462537D2" w14:textId="77777777" w:rsidR="00EF2D3C" w:rsidRDefault="00EF2D3C" w:rsidP="00EF2D3C">
      <w:pPr>
        <w:pStyle w:val="SCVbullet1"/>
      </w:pPr>
      <w:r>
        <w:t>94 per cent said the pharmacist visited at a time that suited them.</w:t>
      </w:r>
    </w:p>
    <w:p w14:paraId="1CDB3E38" w14:textId="72295807" w:rsidR="00EF2D3C" w:rsidRDefault="00EF2D3C" w:rsidP="00EF2D3C">
      <w:pPr>
        <w:pStyle w:val="SCVquote"/>
      </w:pPr>
      <w:r>
        <w:t xml:space="preserve">“I applied to be a pharmacist in the Statewide Pharmacy Service when the service was first created. End of life care has always been a strong passion of mine, well before I became a pharmacist. I am proud to have been a creator and developer of this service. It is a privilege to visit patients across the state of Victoria in their homes and spend time with them to provide all the necessary information and answer all their questions. I am so grateful to be able to serve people in this unique, Australian-first, way.” </w:t>
      </w:r>
      <w:r w:rsidR="00F438CC">
        <w:br/>
      </w:r>
      <w:r>
        <w:t>– Voluntary assisted dying pharmacist</w:t>
      </w:r>
    </w:p>
    <w:p w14:paraId="21EEB666" w14:textId="77777777" w:rsidR="00A40DFD" w:rsidRDefault="00A40DFD">
      <w:pPr>
        <w:spacing w:line="280" w:lineRule="atLeast"/>
        <w:sectPr w:rsidR="00A40DFD" w:rsidSect="00A40DFD">
          <w:type w:val="continuous"/>
          <w:pgSz w:w="11906" w:h="16838" w:code="9"/>
          <w:pgMar w:top="3402" w:right="851" w:bottom="1361" w:left="851" w:header="851" w:footer="851" w:gutter="0"/>
          <w:cols w:num="2" w:space="284"/>
          <w:docGrid w:linePitch="360"/>
          <w15:footnoteColumns w:val="1"/>
        </w:sectPr>
      </w:pPr>
    </w:p>
    <w:p w14:paraId="5DD8288A" w14:textId="77777777" w:rsidR="00A40DFD" w:rsidRDefault="00A40DFD" w:rsidP="00A40DFD">
      <w:pPr>
        <w:pStyle w:val="Heading1"/>
      </w:pPr>
      <w:r>
        <w:lastRenderedPageBreak/>
        <w:t>About those seeking and accessing voluntary assisted dying</w:t>
      </w:r>
    </w:p>
    <w:p w14:paraId="48982CE5" w14:textId="77777777" w:rsidR="00A40DFD" w:rsidRDefault="00A40DFD" w:rsidP="00A40DFD">
      <w:pPr>
        <w:pStyle w:val="SCVintroductorytext"/>
      </w:pPr>
      <w:r>
        <w:t>People who apply for voluntary assisted dying live right across Victoria and span a range of ages. Many express gratitude at having an end of life choice during the late stages of terminal illness.</w:t>
      </w:r>
    </w:p>
    <w:p w14:paraId="10FF2336" w14:textId="77777777" w:rsidR="00A40DFD" w:rsidRDefault="00A40DFD" w:rsidP="00A40DFD">
      <w:pPr>
        <w:pStyle w:val="Heading2"/>
      </w:pPr>
      <w:r>
        <w:t>Applicant details</w:t>
      </w:r>
    </w:p>
    <w:p w14:paraId="26F6962D" w14:textId="77777777" w:rsidR="006659DA" w:rsidRDefault="006659DA" w:rsidP="00A40DFD">
      <w:pPr>
        <w:pStyle w:val="SCVbodyafterheading"/>
        <w:sectPr w:rsidR="006659DA" w:rsidSect="00F16C4F">
          <w:type w:val="continuous"/>
          <w:pgSz w:w="11906" w:h="16838" w:code="9"/>
          <w:pgMar w:top="3402" w:right="851" w:bottom="1361" w:left="851" w:header="851" w:footer="851" w:gutter="0"/>
          <w:cols w:space="284"/>
          <w:docGrid w:linePitch="360"/>
          <w15:footnoteColumns w:val="1"/>
        </w:sectPr>
      </w:pPr>
    </w:p>
    <w:p w14:paraId="5CEC01BB" w14:textId="77777777" w:rsidR="00A40DFD" w:rsidRDefault="00A40DFD" w:rsidP="00A40DFD">
      <w:pPr>
        <w:pStyle w:val="SCVbodyafterheading"/>
      </w:pPr>
      <w:r>
        <w:t>A total of 900 applicants were registered within the voluntary assisted dying portal as of 30 June 2021. Of these, 93 per cent have had an eligibility assessment completed and submitted to the portal by a coordinating medical practitioner.</w:t>
      </w:r>
    </w:p>
    <w:p w14:paraId="650B446A" w14:textId="0883F09C" w:rsidR="006659DA" w:rsidRDefault="00A40DFD" w:rsidP="00A40DFD">
      <w:pPr>
        <w:pStyle w:val="SCVbody"/>
      </w:pPr>
      <w:r>
        <w:t>Applicants registered in the portal range from 18 to 101 years old, with an average age of 72. This is consistent with the previous reporting period, where the average age was 71. Most applicants are male (</w:t>
      </w:r>
      <w:r w:rsidR="00254488">
        <w:t>54 per cent</w:t>
      </w:r>
      <w:r>
        <w:t>), born in Australia (</w:t>
      </w:r>
      <w:r w:rsidR="00254488">
        <w:t>70 per cent</w:t>
      </w:r>
      <w:r>
        <w:t>) and are not of Aboriginal or Torres Strait Islander origin (</w:t>
      </w:r>
      <w:r w:rsidR="00254488">
        <w:t>98 per cent</w:t>
      </w:r>
      <w:r>
        <w:t>).</w:t>
      </w:r>
    </w:p>
    <w:p w14:paraId="7C4C7C68" w14:textId="7C873B16" w:rsidR="00A40DFD" w:rsidRDefault="00A40DFD" w:rsidP="00A40DFD">
      <w:pPr>
        <w:pStyle w:val="SCVbody"/>
      </w:pPr>
      <w:r>
        <w:t>The majority speak English at home (</w:t>
      </w:r>
      <w:r w:rsidR="00254488">
        <w:t>95 per cent</w:t>
      </w:r>
      <w:r>
        <w:t>), do not require an interpreter (</w:t>
      </w:r>
      <w:r w:rsidR="00254488">
        <w:t>98 per cent</w:t>
      </w:r>
      <w:r>
        <w:t>) and live in a private residence (</w:t>
      </w:r>
      <w:r w:rsidR="00254488">
        <w:t>86 per cent</w:t>
      </w:r>
      <w:r>
        <w:t>) in metropolitan Victoria (</w:t>
      </w:r>
      <w:r w:rsidR="00254488">
        <w:t>64 per cent</w:t>
      </w:r>
      <w:r>
        <w:t>). There is little change compared with the previous reporting period.</w:t>
      </w:r>
    </w:p>
    <w:p w14:paraId="1D4DA32F" w14:textId="44B057CA" w:rsidR="00A40DFD" w:rsidRDefault="00A40DFD" w:rsidP="00A40DFD">
      <w:pPr>
        <w:pStyle w:val="SCVbody"/>
      </w:pPr>
      <w:r>
        <w:t>For the first time, the Board has shared information about the educational level of applicants registered in the portal. This shows that they come from a range of educational backgrounds, with most receiving senior secondary education (</w:t>
      </w:r>
      <w:r w:rsidR="00254488">
        <w:t>24 per cent</w:t>
      </w:r>
      <w:r>
        <w:t>) followed by junior secondary education (</w:t>
      </w:r>
      <w:r w:rsidR="00254488">
        <w:t>24 per cent</w:t>
      </w:r>
      <w:r>
        <w:t>).</w:t>
      </w:r>
    </w:p>
    <w:p w14:paraId="467A1039" w14:textId="77777777" w:rsidR="006659DA" w:rsidRDefault="006659DA" w:rsidP="00A40DFD">
      <w:pPr>
        <w:pStyle w:val="SCVtablecaption"/>
        <w:sectPr w:rsidR="006659DA" w:rsidSect="006659DA">
          <w:type w:val="continuous"/>
          <w:pgSz w:w="11906" w:h="16838" w:code="9"/>
          <w:pgMar w:top="3402" w:right="851" w:bottom="1361" w:left="851" w:header="851" w:footer="851" w:gutter="0"/>
          <w:cols w:num="2" w:space="284"/>
          <w:docGrid w:linePitch="360"/>
          <w15:footnoteColumns w:val="1"/>
        </w:sectPr>
      </w:pPr>
    </w:p>
    <w:p w14:paraId="53CD45DB" w14:textId="77777777" w:rsidR="00A40DFD" w:rsidRDefault="00A40DFD" w:rsidP="00A40DFD">
      <w:pPr>
        <w:pStyle w:val="SCVtablecaption"/>
      </w:pPr>
      <w:r>
        <w:t>Table 4: Characteristics of individuals registered in the portal (19 Jun 2019–30 Jun 2021)</w:t>
      </w:r>
    </w:p>
    <w:tbl>
      <w:tblPr>
        <w:tblStyle w:val="TableGrid"/>
        <w:tblW w:w="0" w:type="auto"/>
        <w:tblLook w:val="04A0" w:firstRow="1" w:lastRow="0" w:firstColumn="1" w:lastColumn="0" w:noHBand="0" w:noVBand="1"/>
      </w:tblPr>
      <w:tblGrid>
        <w:gridCol w:w="6663"/>
        <w:gridCol w:w="1842"/>
        <w:gridCol w:w="1699"/>
      </w:tblGrid>
      <w:tr w:rsidR="00A40DFD" w14:paraId="0DA2DF3C" w14:textId="77777777" w:rsidTr="009222A5">
        <w:trPr>
          <w:cnfStyle w:val="100000000000" w:firstRow="1" w:lastRow="0" w:firstColumn="0" w:lastColumn="0" w:oddVBand="0" w:evenVBand="0" w:oddHBand="0" w:evenHBand="0" w:firstRowFirstColumn="0" w:firstRowLastColumn="0" w:lastRowFirstColumn="0" w:lastRowLastColumn="0"/>
          <w:tblHeader/>
        </w:trPr>
        <w:tc>
          <w:tcPr>
            <w:tcW w:w="6663" w:type="dxa"/>
          </w:tcPr>
          <w:p w14:paraId="04FDB2A9" w14:textId="77777777" w:rsidR="00A40DFD" w:rsidRDefault="00A40DFD" w:rsidP="000A0764">
            <w:pPr>
              <w:pStyle w:val="SCVtablecolhead"/>
              <w:spacing w:before="40" w:after="40" w:line="240" w:lineRule="atLeast"/>
            </w:pPr>
            <w:r>
              <w:t>Characteristics</w:t>
            </w:r>
          </w:p>
        </w:tc>
        <w:tc>
          <w:tcPr>
            <w:tcW w:w="1842" w:type="dxa"/>
          </w:tcPr>
          <w:p w14:paraId="13BBB78B" w14:textId="77777777" w:rsidR="00A40DFD" w:rsidRDefault="00A40DFD" w:rsidP="00815A57">
            <w:pPr>
              <w:pStyle w:val="SCVtablecolhead"/>
              <w:spacing w:before="40" w:after="40" w:line="240" w:lineRule="atLeast"/>
              <w:jc w:val="right"/>
            </w:pPr>
            <w:r>
              <w:t>Total (n=900)</w:t>
            </w:r>
          </w:p>
        </w:tc>
        <w:tc>
          <w:tcPr>
            <w:tcW w:w="1699" w:type="dxa"/>
          </w:tcPr>
          <w:p w14:paraId="237D012D" w14:textId="77777777" w:rsidR="00A40DFD" w:rsidRDefault="00A40DFD" w:rsidP="00815A57">
            <w:pPr>
              <w:pStyle w:val="SCVtablecolhead"/>
              <w:spacing w:before="40" w:after="40" w:line="240" w:lineRule="atLeast"/>
              <w:jc w:val="right"/>
            </w:pPr>
            <w:r>
              <w:t>%</w:t>
            </w:r>
          </w:p>
        </w:tc>
      </w:tr>
      <w:tr w:rsidR="00A40DFD" w14:paraId="7AEE4BC5" w14:textId="77777777" w:rsidTr="009222A5">
        <w:tc>
          <w:tcPr>
            <w:tcW w:w="6663" w:type="dxa"/>
            <w:tcBorders>
              <w:top w:val="single" w:sz="24" w:space="0" w:color="CCDFED" w:themeColor="accent2" w:themeTint="66"/>
            </w:tcBorders>
            <w:shd w:val="clear" w:color="auto" w:fill="F2F2F2" w:themeFill="background1" w:themeFillShade="F2"/>
          </w:tcPr>
          <w:p w14:paraId="3C5ACA01" w14:textId="77777777" w:rsidR="00A40DFD" w:rsidRDefault="00A40DFD" w:rsidP="000A0764">
            <w:pPr>
              <w:pStyle w:val="SCVtablerowhead"/>
              <w:spacing w:before="40" w:after="40" w:line="240" w:lineRule="atLeast"/>
            </w:pPr>
            <w:r>
              <w:t>Sex</w:t>
            </w:r>
          </w:p>
        </w:tc>
        <w:tc>
          <w:tcPr>
            <w:tcW w:w="1842" w:type="dxa"/>
            <w:tcBorders>
              <w:top w:val="single" w:sz="24" w:space="0" w:color="CCDFED" w:themeColor="accent2" w:themeTint="66"/>
            </w:tcBorders>
            <w:shd w:val="clear" w:color="auto" w:fill="F2F2F2" w:themeFill="background1" w:themeFillShade="F2"/>
          </w:tcPr>
          <w:p w14:paraId="02044D9A" w14:textId="77777777" w:rsidR="00A40DFD" w:rsidRDefault="00A40DFD" w:rsidP="000A0764">
            <w:pPr>
              <w:pStyle w:val="SCVtablebody"/>
              <w:spacing w:before="40" w:after="40"/>
              <w:jc w:val="right"/>
            </w:pPr>
          </w:p>
        </w:tc>
        <w:tc>
          <w:tcPr>
            <w:tcW w:w="1699" w:type="dxa"/>
            <w:tcBorders>
              <w:top w:val="single" w:sz="24" w:space="0" w:color="CCDFED" w:themeColor="accent2" w:themeTint="66"/>
            </w:tcBorders>
            <w:shd w:val="clear" w:color="auto" w:fill="F2F2F2" w:themeFill="background1" w:themeFillShade="F2"/>
          </w:tcPr>
          <w:p w14:paraId="7A21BA20" w14:textId="77777777" w:rsidR="00A40DFD" w:rsidRDefault="00A40DFD" w:rsidP="000A0764">
            <w:pPr>
              <w:pStyle w:val="SCVtablebody"/>
              <w:spacing w:before="40" w:after="40"/>
              <w:jc w:val="right"/>
            </w:pPr>
          </w:p>
        </w:tc>
      </w:tr>
      <w:tr w:rsidR="00A40DFD" w:rsidRPr="009222A5" w14:paraId="11DB5D32" w14:textId="77777777" w:rsidTr="00B065FB">
        <w:tc>
          <w:tcPr>
            <w:tcW w:w="6663" w:type="dxa"/>
          </w:tcPr>
          <w:p w14:paraId="22DDB5EF" w14:textId="77777777" w:rsidR="00A40DFD" w:rsidRPr="009222A5" w:rsidRDefault="00A40DFD" w:rsidP="000A0764">
            <w:pPr>
              <w:pStyle w:val="SCVtablebody"/>
              <w:spacing w:before="40" w:after="40"/>
              <w:rPr>
                <w:sz w:val="17"/>
                <w:szCs w:val="17"/>
              </w:rPr>
            </w:pPr>
            <w:r w:rsidRPr="009222A5">
              <w:rPr>
                <w:sz w:val="17"/>
                <w:szCs w:val="17"/>
              </w:rPr>
              <w:t>Male</w:t>
            </w:r>
          </w:p>
        </w:tc>
        <w:tc>
          <w:tcPr>
            <w:tcW w:w="1842" w:type="dxa"/>
          </w:tcPr>
          <w:p w14:paraId="2E9964EC" w14:textId="77777777" w:rsidR="00A40DFD" w:rsidRPr="009222A5" w:rsidRDefault="00A40DFD" w:rsidP="000A0764">
            <w:pPr>
              <w:pStyle w:val="SCVtablebody"/>
              <w:spacing w:before="40" w:after="40"/>
              <w:jc w:val="right"/>
              <w:rPr>
                <w:sz w:val="17"/>
                <w:szCs w:val="17"/>
              </w:rPr>
            </w:pPr>
            <w:r w:rsidRPr="009222A5">
              <w:rPr>
                <w:sz w:val="17"/>
                <w:szCs w:val="17"/>
              </w:rPr>
              <w:t>482</w:t>
            </w:r>
          </w:p>
        </w:tc>
        <w:tc>
          <w:tcPr>
            <w:tcW w:w="1699" w:type="dxa"/>
          </w:tcPr>
          <w:p w14:paraId="4DC17612" w14:textId="77777777" w:rsidR="00A40DFD" w:rsidRPr="009222A5" w:rsidRDefault="00A40DFD" w:rsidP="000A0764">
            <w:pPr>
              <w:pStyle w:val="SCVtablebody"/>
              <w:spacing w:before="40" w:after="40"/>
              <w:jc w:val="right"/>
              <w:rPr>
                <w:sz w:val="17"/>
                <w:szCs w:val="17"/>
              </w:rPr>
            </w:pPr>
            <w:r w:rsidRPr="009222A5">
              <w:rPr>
                <w:sz w:val="17"/>
                <w:szCs w:val="17"/>
              </w:rPr>
              <w:t>53.6%</w:t>
            </w:r>
          </w:p>
        </w:tc>
      </w:tr>
      <w:tr w:rsidR="00A40DFD" w:rsidRPr="009222A5" w14:paraId="024F1DF3" w14:textId="77777777" w:rsidTr="00B065FB">
        <w:tc>
          <w:tcPr>
            <w:tcW w:w="6663" w:type="dxa"/>
          </w:tcPr>
          <w:p w14:paraId="2792F3AC" w14:textId="77777777" w:rsidR="00A40DFD" w:rsidRPr="009222A5" w:rsidRDefault="00A40DFD" w:rsidP="000A0764">
            <w:pPr>
              <w:pStyle w:val="SCVtablebody"/>
              <w:spacing w:before="40" w:after="40"/>
              <w:rPr>
                <w:sz w:val="17"/>
                <w:szCs w:val="17"/>
              </w:rPr>
            </w:pPr>
            <w:r w:rsidRPr="009222A5">
              <w:rPr>
                <w:sz w:val="17"/>
                <w:szCs w:val="17"/>
              </w:rPr>
              <w:t>Female</w:t>
            </w:r>
          </w:p>
        </w:tc>
        <w:tc>
          <w:tcPr>
            <w:tcW w:w="1842" w:type="dxa"/>
          </w:tcPr>
          <w:p w14:paraId="4B9AE347" w14:textId="77777777" w:rsidR="00A40DFD" w:rsidRPr="009222A5" w:rsidRDefault="00A40DFD" w:rsidP="000A0764">
            <w:pPr>
              <w:pStyle w:val="SCVtablebody"/>
              <w:spacing w:before="40" w:after="40"/>
              <w:jc w:val="right"/>
              <w:rPr>
                <w:sz w:val="17"/>
                <w:szCs w:val="17"/>
              </w:rPr>
            </w:pPr>
            <w:r w:rsidRPr="009222A5">
              <w:rPr>
                <w:sz w:val="17"/>
                <w:szCs w:val="17"/>
              </w:rPr>
              <w:t>417</w:t>
            </w:r>
          </w:p>
        </w:tc>
        <w:tc>
          <w:tcPr>
            <w:tcW w:w="1699" w:type="dxa"/>
          </w:tcPr>
          <w:p w14:paraId="100DF3D0" w14:textId="77777777" w:rsidR="00A40DFD" w:rsidRPr="009222A5" w:rsidRDefault="00A40DFD" w:rsidP="000A0764">
            <w:pPr>
              <w:pStyle w:val="SCVtablebody"/>
              <w:spacing w:before="40" w:after="40"/>
              <w:jc w:val="right"/>
              <w:rPr>
                <w:sz w:val="17"/>
                <w:szCs w:val="17"/>
              </w:rPr>
            </w:pPr>
            <w:r w:rsidRPr="009222A5">
              <w:rPr>
                <w:sz w:val="17"/>
                <w:szCs w:val="17"/>
              </w:rPr>
              <w:t>46.3%</w:t>
            </w:r>
          </w:p>
        </w:tc>
      </w:tr>
      <w:tr w:rsidR="00A40DFD" w:rsidRPr="009222A5" w14:paraId="4917FF4F" w14:textId="77777777" w:rsidTr="009222A5">
        <w:tc>
          <w:tcPr>
            <w:tcW w:w="6663" w:type="dxa"/>
            <w:tcBorders>
              <w:bottom w:val="single" w:sz="2" w:space="0" w:color="80808B"/>
            </w:tcBorders>
          </w:tcPr>
          <w:p w14:paraId="303CAD46" w14:textId="77777777" w:rsidR="00A40DFD" w:rsidRPr="009222A5" w:rsidRDefault="00A40DFD" w:rsidP="000A0764">
            <w:pPr>
              <w:pStyle w:val="SCVtablebody"/>
              <w:spacing w:before="40" w:after="40"/>
              <w:rPr>
                <w:sz w:val="17"/>
                <w:szCs w:val="17"/>
              </w:rPr>
            </w:pPr>
            <w:r w:rsidRPr="009222A5">
              <w:rPr>
                <w:sz w:val="17"/>
                <w:szCs w:val="17"/>
              </w:rPr>
              <w:t>Self-described</w:t>
            </w:r>
          </w:p>
        </w:tc>
        <w:tc>
          <w:tcPr>
            <w:tcW w:w="1842" w:type="dxa"/>
            <w:tcBorders>
              <w:bottom w:val="single" w:sz="2" w:space="0" w:color="80808B"/>
            </w:tcBorders>
          </w:tcPr>
          <w:p w14:paraId="22D0208A" w14:textId="77777777" w:rsidR="00A40DFD" w:rsidRPr="009222A5" w:rsidRDefault="00A40DFD" w:rsidP="000A0764">
            <w:pPr>
              <w:pStyle w:val="SCVtablebody"/>
              <w:spacing w:before="40" w:after="40"/>
              <w:jc w:val="right"/>
              <w:rPr>
                <w:sz w:val="17"/>
                <w:szCs w:val="17"/>
              </w:rPr>
            </w:pPr>
            <w:r w:rsidRPr="009222A5">
              <w:rPr>
                <w:sz w:val="17"/>
                <w:szCs w:val="17"/>
              </w:rPr>
              <w:t>1</w:t>
            </w:r>
          </w:p>
        </w:tc>
        <w:tc>
          <w:tcPr>
            <w:tcW w:w="1699" w:type="dxa"/>
            <w:tcBorders>
              <w:bottom w:val="single" w:sz="2" w:space="0" w:color="80808B"/>
            </w:tcBorders>
          </w:tcPr>
          <w:p w14:paraId="257D0AE7" w14:textId="77777777" w:rsidR="00A40DFD" w:rsidRPr="009222A5" w:rsidRDefault="00A40DFD" w:rsidP="000A0764">
            <w:pPr>
              <w:pStyle w:val="SCVtablebody"/>
              <w:spacing w:before="40" w:after="40"/>
              <w:jc w:val="right"/>
              <w:rPr>
                <w:sz w:val="17"/>
                <w:szCs w:val="17"/>
              </w:rPr>
            </w:pPr>
            <w:r w:rsidRPr="009222A5">
              <w:rPr>
                <w:sz w:val="17"/>
                <w:szCs w:val="17"/>
              </w:rPr>
              <w:t>0.1%</w:t>
            </w:r>
          </w:p>
        </w:tc>
      </w:tr>
      <w:tr w:rsidR="00A40DFD" w14:paraId="24D56AE7" w14:textId="77777777" w:rsidTr="009222A5">
        <w:tc>
          <w:tcPr>
            <w:tcW w:w="6663" w:type="dxa"/>
            <w:shd w:val="clear" w:color="auto" w:fill="F2F2F2" w:themeFill="background1" w:themeFillShade="F2"/>
          </w:tcPr>
          <w:p w14:paraId="38AA46CD" w14:textId="77777777" w:rsidR="00A40DFD" w:rsidRDefault="00A40DFD" w:rsidP="000A0764">
            <w:pPr>
              <w:pStyle w:val="SCVtablerowhead"/>
              <w:spacing w:before="40" w:after="40" w:line="240" w:lineRule="atLeast"/>
            </w:pPr>
            <w:r>
              <w:t>Age</w:t>
            </w:r>
          </w:p>
        </w:tc>
        <w:tc>
          <w:tcPr>
            <w:tcW w:w="1842" w:type="dxa"/>
            <w:shd w:val="clear" w:color="auto" w:fill="F2F2F2" w:themeFill="background1" w:themeFillShade="F2"/>
          </w:tcPr>
          <w:p w14:paraId="776AFCC9" w14:textId="77777777" w:rsidR="00A40DFD" w:rsidRDefault="00A40DFD" w:rsidP="000A0764">
            <w:pPr>
              <w:pStyle w:val="SCVtablebody"/>
              <w:spacing w:before="40" w:after="40"/>
              <w:jc w:val="right"/>
            </w:pPr>
          </w:p>
        </w:tc>
        <w:tc>
          <w:tcPr>
            <w:tcW w:w="1699" w:type="dxa"/>
            <w:shd w:val="clear" w:color="auto" w:fill="F2F2F2" w:themeFill="background1" w:themeFillShade="F2"/>
          </w:tcPr>
          <w:p w14:paraId="5E70B4D0" w14:textId="77777777" w:rsidR="00A40DFD" w:rsidRDefault="00A40DFD" w:rsidP="000A0764">
            <w:pPr>
              <w:pStyle w:val="SCVtablebody"/>
              <w:spacing w:before="40" w:after="40"/>
              <w:jc w:val="right"/>
            </w:pPr>
          </w:p>
        </w:tc>
      </w:tr>
      <w:tr w:rsidR="00A40DFD" w:rsidRPr="009222A5" w14:paraId="1CE8A02C" w14:textId="77777777" w:rsidTr="00B065FB">
        <w:tc>
          <w:tcPr>
            <w:tcW w:w="6663" w:type="dxa"/>
          </w:tcPr>
          <w:p w14:paraId="2A72E381" w14:textId="77777777" w:rsidR="00A40DFD" w:rsidRPr="009222A5" w:rsidRDefault="00A40DFD" w:rsidP="000A0764">
            <w:pPr>
              <w:pStyle w:val="SCVtablebody"/>
              <w:spacing w:before="40" w:after="40"/>
              <w:rPr>
                <w:sz w:val="17"/>
                <w:szCs w:val="17"/>
              </w:rPr>
            </w:pPr>
            <w:r w:rsidRPr="009222A5">
              <w:rPr>
                <w:sz w:val="17"/>
                <w:szCs w:val="17"/>
              </w:rPr>
              <w:t>18–54</w:t>
            </w:r>
          </w:p>
        </w:tc>
        <w:tc>
          <w:tcPr>
            <w:tcW w:w="1842" w:type="dxa"/>
          </w:tcPr>
          <w:p w14:paraId="148E9F90" w14:textId="77777777" w:rsidR="00A40DFD" w:rsidRPr="009222A5" w:rsidRDefault="00A40DFD" w:rsidP="000A0764">
            <w:pPr>
              <w:pStyle w:val="SCVtablebody"/>
              <w:spacing w:before="40" w:after="40"/>
              <w:jc w:val="right"/>
              <w:rPr>
                <w:sz w:val="17"/>
                <w:szCs w:val="17"/>
              </w:rPr>
            </w:pPr>
            <w:r w:rsidRPr="009222A5">
              <w:rPr>
                <w:sz w:val="17"/>
                <w:szCs w:val="17"/>
              </w:rPr>
              <w:t>68</w:t>
            </w:r>
          </w:p>
        </w:tc>
        <w:tc>
          <w:tcPr>
            <w:tcW w:w="1699" w:type="dxa"/>
          </w:tcPr>
          <w:p w14:paraId="3E8C06AB" w14:textId="77777777" w:rsidR="00A40DFD" w:rsidRPr="009222A5" w:rsidRDefault="00A40DFD" w:rsidP="000A0764">
            <w:pPr>
              <w:pStyle w:val="SCVtablebody"/>
              <w:spacing w:before="40" w:after="40"/>
              <w:jc w:val="right"/>
              <w:rPr>
                <w:sz w:val="17"/>
                <w:szCs w:val="17"/>
              </w:rPr>
            </w:pPr>
            <w:r w:rsidRPr="009222A5">
              <w:rPr>
                <w:sz w:val="17"/>
                <w:szCs w:val="17"/>
              </w:rPr>
              <w:t>7.6%</w:t>
            </w:r>
          </w:p>
        </w:tc>
      </w:tr>
      <w:tr w:rsidR="00A40DFD" w:rsidRPr="009222A5" w14:paraId="2E41EA29" w14:textId="77777777" w:rsidTr="00B065FB">
        <w:tc>
          <w:tcPr>
            <w:tcW w:w="6663" w:type="dxa"/>
          </w:tcPr>
          <w:p w14:paraId="2355677E" w14:textId="77777777" w:rsidR="00A40DFD" w:rsidRPr="009222A5" w:rsidRDefault="00A40DFD" w:rsidP="000A0764">
            <w:pPr>
              <w:pStyle w:val="SCVtablebody"/>
              <w:spacing w:before="40" w:after="40"/>
              <w:rPr>
                <w:sz w:val="17"/>
                <w:szCs w:val="17"/>
              </w:rPr>
            </w:pPr>
            <w:r w:rsidRPr="009222A5">
              <w:rPr>
                <w:sz w:val="17"/>
                <w:szCs w:val="17"/>
              </w:rPr>
              <w:t>55–64</w:t>
            </w:r>
          </w:p>
        </w:tc>
        <w:tc>
          <w:tcPr>
            <w:tcW w:w="1842" w:type="dxa"/>
          </w:tcPr>
          <w:p w14:paraId="1E700665" w14:textId="77777777" w:rsidR="00A40DFD" w:rsidRPr="009222A5" w:rsidRDefault="00A40DFD" w:rsidP="000A0764">
            <w:pPr>
              <w:pStyle w:val="SCVtablebody"/>
              <w:spacing w:before="40" w:after="40"/>
              <w:jc w:val="right"/>
              <w:rPr>
                <w:sz w:val="17"/>
                <w:szCs w:val="17"/>
              </w:rPr>
            </w:pPr>
            <w:r w:rsidRPr="009222A5">
              <w:rPr>
                <w:sz w:val="17"/>
                <w:szCs w:val="17"/>
              </w:rPr>
              <w:t>166</w:t>
            </w:r>
          </w:p>
        </w:tc>
        <w:tc>
          <w:tcPr>
            <w:tcW w:w="1699" w:type="dxa"/>
          </w:tcPr>
          <w:p w14:paraId="4AB21E51" w14:textId="77777777" w:rsidR="00A40DFD" w:rsidRPr="009222A5" w:rsidRDefault="00A40DFD" w:rsidP="000A0764">
            <w:pPr>
              <w:pStyle w:val="SCVtablebody"/>
              <w:spacing w:before="40" w:after="40"/>
              <w:jc w:val="right"/>
              <w:rPr>
                <w:sz w:val="17"/>
                <w:szCs w:val="17"/>
              </w:rPr>
            </w:pPr>
            <w:r w:rsidRPr="009222A5">
              <w:rPr>
                <w:sz w:val="17"/>
                <w:szCs w:val="17"/>
              </w:rPr>
              <w:t>18.4%</w:t>
            </w:r>
          </w:p>
        </w:tc>
      </w:tr>
      <w:tr w:rsidR="00A40DFD" w:rsidRPr="009222A5" w14:paraId="32DC9B2A" w14:textId="77777777" w:rsidTr="00B065FB">
        <w:tc>
          <w:tcPr>
            <w:tcW w:w="6663" w:type="dxa"/>
          </w:tcPr>
          <w:p w14:paraId="31C0ED7A" w14:textId="77777777" w:rsidR="00A40DFD" w:rsidRPr="009222A5" w:rsidRDefault="00A40DFD" w:rsidP="000A0764">
            <w:pPr>
              <w:pStyle w:val="SCVtablebody"/>
              <w:spacing w:before="40" w:after="40"/>
              <w:rPr>
                <w:sz w:val="17"/>
                <w:szCs w:val="17"/>
              </w:rPr>
            </w:pPr>
            <w:r w:rsidRPr="009222A5">
              <w:rPr>
                <w:sz w:val="17"/>
                <w:szCs w:val="17"/>
              </w:rPr>
              <w:t>65–74</w:t>
            </w:r>
          </w:p>
        </w:tc>
        <w:tc>
          <w:tcPr>
            <w:tcW w:w="1842" w:type="dxa"/>
          </w:tcPr>
          <w:p w14:paraId="51633F34" w14:textId="77777777" w:rsidR="00A40DFD" w:rsidRPr="009222A5" w:rsidRDefault="00A40DFD" w:rsidP="000A0764">
            <w:pPr>
              <w:pStyle w:val="SCVtablebody"/>
              <w:spacing w:before="40" w:after="40"/>
              <w:jc w:val="right"/>
              <w:rPr>
                <w:sz w:val="17"/>
                <w:szCs w:val="17"/>
              </w:rPr>
            </w:pPr>
            <w:r w:rsidRPr="009222A5">
              <w:rPr>
                <w:sz w:val="17"/>
                <w:szCs w:val="17"/>
              </w:rPr>
              <w:t>278</w:t>
            </w:r>
          </w:p>
        </w:tc>
        <w:tc>
          <w:tcPr>
            <w:tcW w:w="1699" w:type="dxa"/>
          </w:tcPr>
          <w:p w14:paraId="677C9E95" w14:textId="77777777" w:rsidR="00A40DFD" w:rsidRPr="009222A5" w:rsidRDefault="00A40DFD" w:rsidP="000A0764">
            <w:pPr>
              <w:pStyle w:val="SCVtablebody"/>
              <w:spacing w:before="40" w:after="40"/>
              <w:jc w:val="right"/>
              <w:rPr>
                <w:sz w:val="17"/>
                <w:szCs w:val="17"/>
              </w:rPr>
            </w:pPr>
            <w:r w:rsidRPr="009222A5">
              <w:rPr>
                <w:sz w:val="17"/>
                <w:szCs w:val="17"/>
              </w:rPr>
              <w:t>30.9%</w:t>
            </w:r>
          </w:p>
        </w:tc>
      </w:tr>
      <w:tr w:rsidR="00A40DFD" w:rsidRPr="009222A5" w14:paraId="1D42A798" w14:textId="77777777" w:rsidTr="00B065FB">
        <w:tc>
          <w:tcPr>
            <w:tcW w:w="6663" w:type="dxa"/>
          </w:tcPr>
          <w:p w14:paraId="54395659" w14:textId="77777777" w:rsidR="00A40DFD" w:rsidRPr="009222A5" w:rsidRDefault="00A40DFD" w:rsidP="000A0764">
            <w:pPr>
              <w:pStyle w:val="SCVtablebody"/>
              <w:spacing w:before="40" w:after="40"/>
              <w:rPr>
                <w:sz w:val="17"/>
                <w:szCs w:val="17"/>
              </w:rPr>
            </w:pPr>
            <w:r w:rsidRPr="009222A5">
              <w:rPr>
                <w:sz w:val="17"/>
                <w:szCs w:val="17"/>
              </w:rPr>
              <w:t>75–84</w:t>
            </w:r>
          </w:p>
        </w:tc>
        <w:tc>
          <w:tcPr>
            <w:tcW w:w="1842" w:type="dxa"/>
          </w:tcPr>
          <w:p w14:paraId="36B28819" w14:textId="77777777" w:rsidR="00A40DFD" w:rsidRPr="009222A5" w:rsidRDefault="00A40DFD" w:rsidP="000A0764">
            <w:pPr>
              <w:pStyle w:val="SCVtablebody"/>
              <w:spacing w:before="40" w:after="40"/>
              <w:jc w:val="right"/>
              <w:rPr>
                <w:sz w:val="17"/>
                <w:szCs w:val="17"/>
              </w:rPr>
            </w:pPr>
            <w:r w:rsidRPr="009222A5">
              <w:rPr>
                <w:sz w:val="17"/>
                <w:szCs w:val="17"/>
              </w:rPr>
              <w:t>256</w:t>
            </w:r>
          </w:p>
        </w:tc>
        <w:tc>
          <w:tcPr>
            <w:tcW w:w="1699" w:type="dxa"/>
          </w:tcPr>
          <w:p w14:paraId="7A1BF2E8" w14:textId="77777777" w:rsidR="00A40DFD" w:rsidRPr="009222A5" w:rsidRDefault="00A40DFD" w:rsidP="000A0764">
            <w:pPr>
              <w:pStyle w:val="SCVtablebody"/>
              <w:spacing w:before="40" w:after="40"/>
              <w:jc w:val="right"/>
              <w:rPr>
                <w:sz w:val="17"/>
                <w:szCs w:val="17"/>
              </w:rPr>
            </w:pPr>
            <w:r w:rsidRPr="009222A5">
              <w:rPr>
                <w:sz w:val="17"/>
                <w:szCs w:val="17"/>
              </w:rPr>
              <w:t>28.4%</w:t>
            </w:r>
          </w:p>
        </w:tc>
      </w:tr>
      <w:tr w:rsidR="00A40DFD" w:rsidRPr="009222A5" w14:paraId="26F79031" w14:textId="77777777" w:rsidTr="00B065FB">
        <w:tc>
          <w:tcPr>
            <w:tcW w:w="6663" w:type="dxa"/>
          </w:tcPr>
          <w:p w14:paraId="212428B2" w14:textId="77777777" w:rsidR="00A40DFD" w:rsidRPr="009222A5" w:rsidRDefault="00A40DFD" w:rsidP="000A0764">
            <w:pPr>
              <w:pStyle w:val="SCVtablebody"/>
              <w:spacing w:before="40" w:after="40"/>
              <w:rPr>
                <w:sz w:val="17"/>
                <w:szCs w:val="17"/>
              </w:rPr>
            </w:pPr>
            <w:r w:rsidRPr="009222A5">
              <w:rPr>
                <w:sz w:val="17"/>
                <w:szCs w:val="17"/>
              </w:rPr>
              <w:t>85+</w:t>
            </w:r>
          </w:p>
        </w:tc>
        <w:tc>
          <w:tcPr>
            <w:tcW w:w="1842" w:type="dxa"/>
          </w:tcPr>
          <w:p w14:paraId="0339EA2B" w14:textId="77777777" w:rsidR="00A40DFD" w:rsidRPr="009222A5" w:rsidRDefault="00A40DFD" w:rsidP="000A0764">
            <w:pPr>
              <w:pStyle w:val="SCVtablebody"/>
              <w:spacing w:before="40" w:after="40"/>
              <w:jc w:val="right"/>
              <w:rPr>
                <w:sz w:val="17"/>
                <w:szCs w:val="17"/>
              </w:rPr>
            </w:pPr>
            <w:r w:rsidRPr="009222A5">
              <w:rPr>
                <w:sz w:val="17"/>
                <w:szCs w:val="17"/>
              </w:rPr>
              <w:t>132</w:t>
            </w:r>
          </w:p>
        </w:tc>
        <w:tc>
          <w:tcPr>
            <w:tcW w:w="1699" w:type="dxa"/>
          </w:tcPr>
          <w:p w14:paraId="5FD91B42" w14:textId="77777777" w:rsidR="00A40DFD" w:rsidRPr="009222A5" w:rsidRDefault="00A40DFD" w:rsidP="000A0764">
            <w:pPr>
              <w:pStyle w:val="SCVtablebody"/>
              <w:spacing w:before="40" w:after="40"/>
              <w:jc w:val="right"/>
              <w:rPr>
                <w:sz w:val="17"/>
                <w:szCs w:val="17"/>
              </w:rPr>
            </w:pPr>
            <w:r w:rsidRPr="009222A5">
              <w:rPr>
                <w:sz w:val="17"/>
                <w:szCs w:val="17"/>
              </w:rPr>
              <w:t>14.7%</w:t>
            </w:r>
          </w:p>
        </w:tc>
      </w:tr>
      <w:tr w:rsidR="00A40DFD" w:rsidRPr="009222A5" w14:paraId="43807D2F" w14:textId="77777777" w:rsidTr="009222A5">
        <w:tc>
          <w:tcPr>
            <w:tcW w:w="6663" w:type="dxa"/>
            <w:tcBorders>
              <w:bottom w:val="single" w:sz="2" w:space="0" w:color="80808B"/>
            </w:tcBorders>
          </w:tcPr>
          <w:p w14:paraId="026370C9" w14:textId="77777777" w:rsidR="00A40DFD" w:rsidRPr="009222A5" w:rsidRDefault="00A40DFD" w:rsidP="000A0764">
            <w:pPr>
              <w:pStyle w:val="SCVtablebody"/>
              <w:spacing w:before="40" w:after="40"/>
              <w:rPr>
                <w:sz w:val="17"/>
                <w:szCs w:val="17"/>
              </w:rPr>
            </w:pPr>
            <w:r w:rsidRPr="009222A5">
              <w:rPr>
                <w:sz w:val="17"/>
                <w:szCs w:val="17"/>
              </w:rPr>
              <w:t>Median years (range)</w:t>
            </w:r>
          </w:p>
        </w:tc>
        <w:tc>
          <w:tcPr>
            <w:tcW w:w="1842" w:type="dxa"/>
            <w:tcBorders>
              <w:bottom w:val="single" w:sz="2" w:space="0" w:color="80808B"/>
            </w:tcBorders>
          </w:tcPr>
          <w:p w14:paraId="3BEA7F59" w14:textId="77777777" w:rsidR="00A40DFD" w:rsidRPr="009222A5" w:rsidRDefault="00A40DFD" w:rsidP="000A0764">
            <w:pPr>
              <w:pStyle w:val="SCVtablebody"/>
              <w:spacing w:before="40" w:after="40"/>
              <w:jc w:val="right"/>
              <w:rPr>
                <w:sz w:val="17"/>
                <w:szCs w:val="17"/>
              </w:rPr>
            </w:pPr>
            <w:r w:rsidRPr="009222A5">
              <w:rPr>
                <w:sz w:val="17"/>
                <w:szCs w:val="17"/>
              </w:rPr>
              <w:t>73</w:t>
            </w:r>
          </w:p>
        </w:tc>
        <w:tc>
          <w:tcPr>
            <w:tcW w:w="1699" w:type="dxa"/>
            <w:tcBorders>
              <w:bottom w:val="single" w:sz="2" w:space="0" w:color="80808B"/>
            </w:tcBorders>
          </w:tcPr>
          <w:p w14:paraId="2E24593E" w14:textId="77777777" w:rsidR="00A40DFD" w:rsidRPr="009222A5" w:rsidRDefault="00A40DFD" w:rsidP="000A0764">
            <w:pPr>
              <w:pStyle w:val="SCVtablebody"/>
              <w:spacing w:before="40" w:after="40"/>
              <w:jc w:val="right"/>
              <w:rPr>
                <w:sz w:val="17"/>
                <w:szCs w:val="17"/>
              </w:rPr>
            </w:pPr>
            <w:r w:rsidRPr="009222A5">
              <w:rPr>
                <w:sz w:val="17"/>
                <w:szCs w:val="17"/>
              </w:rPr>
              <w:t>(18-101)</w:t>
            </w:r>
          </w:p>
        </w:tc>
      </w:tr>
      <w:tr w:rsidR="00A40DFD" w14:paraId="5136B671" w14:textId="77777777" w:rsidTr="009222A5">
        <w:tc>
          <w:tcPr>
            <w:tcW w:w="6663" w:type="dxa"/>
            <w:shd w:val="clear" w:color="auto" w:fill="F2F2F2" w:themeFill="background1" w:themeFillShade="F2"/>
          </w:tcPr>
          <w:p w14:paraId="334F4FDD" w14:textId="77777777" w:rsidR="00A40DFD" w:rsidRDefault="00A40DFD" w:rsidP="009222A5">
            <w:pPr>
              <w:pStyle w:val="SCVtablerowhead"/>
              <w:spacing w:before="40" w:after="40" w:line="240" w:lineRule="atLeast"/>
            </w:pPr>
            <w:r>
              <w:t>Background</w:t>
            </w:r>
          </w:p>
        </w:tc>
        <w:tc>
          <w:tcPr>
            <w:tcW w:w="1842" w:type="dxa"/>
            <w:shd w:val="clear" w:color="auto" w:fill="F2F2F2" w:themeFill="background1" w:themeFillShade="F2"/>
          </w:tcPr>
          <w:p w14:paraId="04B79852" w14:textId="77777777" w:rsidR="00A40DFD" w:rsidRDefault="00A40DFD" w:rsidP="009222A5">
            <w:pPr>
              <w:pStyle w:val="SCVtablebody"/>
              <w:spacing w:before="40" w:after="40"/>
              <w:jc w:val="right"/>
            </w:pPr>
          </w:p>
        </w:tc>
        <w:tc>
          <w:tcPr>
            <w:tcW w:w="1699" w:type="dxa"/>
            <w:shd w:val="clear" w:color="auto" w:fill="F2F2F2" w:themeFill="background1" w:themeFillShade="F2"/>
          </w:tcPr>
          <w:p w14:paraId="125B3CC3" w14:textId="77777777" w:rsidR="00A40DFD" w:rsidRDefault="00A40DFD" w:rsidP="009222A5">
            <w:pPr>
              <w:pStyle w:val="SCVtablebody"/>
              <w:spacing w:before="40" w:after="40"/>
              <w:jc w:val="right"/>
            </w:pPr>
          </w:p>
        </w:tc>
      </w:tr>
      <w:tr w:rsidR="00A40DFD" w14:paraId="1714579B" w14:textId="77777777" w:rsidTr="00B065FB">
        <w:tc>
          <w:tcPr>
            <w:tcW w:w="6663" w:type="dxa"/>
          </w:tcPr>
          <w:p w14:paraId="3B01F055" w14:textId="77777777" w:rsidR="00A40DFD" w:rsidRDefault="00A40DFD" w:rsidP="009222A5">
            <w:pPr>
              <w:pStyle w:val="SCVtablerowhead"/>
              <w:spacing w:before="40" w:after="40" w:line="240" w:lineRule="atLeast"/>
            </w:pPr>
            <w:r>
              <w:t>Country of birth</w:t>
            </w:r>
          </w:p>
        </w:tc>
        <w:tc>
          <w:tcPr>
            <w:tcW w:w="1842" w:type="dxa"/>
          </w:tcPr>
          <w:p w14:paraId="546DBA34" w14:textId="77777777" w:rsidR="00A40DFD" w:rsidRDefault="00A40DFD" w:rsidP="009222A5">
            <w:pPr>
              <w:pStyle w:val="SCVtablebody"/>
              <w:spacing w:before="40" w:after="40"/>
              <w:jc w:val="right"/>
            </w:pPr>
          </w:p>
        </w:tc>
        <w:tc>
          <w:tcPr>
            <w:tcW w:w="1699" w:type="dxa"/>
          </w:tcPr>
          <w:p w14:paraId="108D481E" w14:textId="77777777" w:rsidR="00A40DFD" w:rsidRDefault="00A40DFD" w:rsidP="009222A5">
            <w:pPr>
              <w:pStyle w:val="SCVtablebody"/>
              <w:spacing w:before="40" w:after="40"/>
              <w:jc w:val="right"/>
            </w:pPr>
          </w:p>
        </w:tc>
      </w:tr>
      <w:tr w:rsidR="00A40DFD" w:rsidRPr="009222A5" w14:paraId="2F0FAD6D" w14:textId="77777777" w:rsidTr="00B065FB">
        <w:tc>
          <w:tcPr>
            <w:tcW w:w="6663" w:type="dxa"/>
          </w:tcPr>
          <w:p w14:paraId="02718B56" w14:textId="77777777" w:rsidR="00A40DFD" w:rsidRPr="009222A5" w:rsidRDefault="00A40DFD" w:rsidP="009222A5">
            <w:pPr>
              <w:pStyle w:val="SCVtablebody"/>
              <w:spacing w:before="40" w:after="40"/>
              <w:rPr>
                <w:sz w:val="17"/>
                <w:szCs w:val="17"/>
              </w:rPr>
            </w:pPr>
            <w:r w:rsidRPr="009222A5">
              <w:rPr>
                <w:sz w:val="17"/>
                <w:szCs w:val="17"/>
              </w:rPr>
              <w:t>Australia</w:t>
            </w:r>
          </w:p>
        </w:tc>
        <w:tc>
          <w:tcPr>
            <w:tcW w:w="1842" w:type="dxa"/>
          </w:tcPr>
          <w:p w14:paraId="58FB144B" w14:textId="77777777" w:rsidR="00A40DFD" w:rsidRPr="009222A5" w:rsidRDefault="00A40DFD" w:rsidP="006659DA">
            <w:pPr>
              <w:pStyle w:val="SCVtablebody"/>
              <w:spacing w:before="40" w:after="40"/>
              <w:jc w:val="right"/>
              <w:rPr>
                <w:sz w:val="17"/>
                <w:szCs w:val="17"/>
              </w:rPr>
            </w:pPr>
            <w:r w:rsidRPr="009222A5">
              <w:rPr>
                <w:sz w:val="17"/>
                <w:szCs w:val="17"/>
              </w:rPr>
              <w:t>624</w:t>
            </w:r>
          </w:p>
        </w:tc>
        <w:tc>
          <w:tcPr>
            <w:tcW w:w="1699" w:type="dxa"/>
          </w:tcPr>
          <w:p w14:paraId="334667FA" w14:textId="77777777" w:rsidR="00A40DFD" w:rsidRPr="009222A5" w:rsidRDefault="00A40DFD" w:rsidP="006659DA">
            <w:pPr>
              <w:pStyle w:val="SCVtablebody"/>
              <w:spacing w:before="40" w:after="40"/>
              <w:jc w:val="right"/>
              <w:rPr>
                <w:sz w:val="17"/>
                <w:szCs w:val="17"/>
              </w:rPr>
            </w:pPr>
            <w:r w:rsidRPr="009222A5">
              <w:rPr>
                <w:sz w:val="17"/>
                <w:szCs w:val="17"/>
              </w:rPr>
              <w:t>69.3%</w:t>
            </w:r>
          </w:p>
        </w:tc>
      </w:tr>
      <w:tr w:rsidR="00A40DFD" w:rsidRPr="009222A5" w14:paraId="16EDAA90" w14:textId="77777777" w:rsidTr="00B065FB">
        <w:tc>
          <w:tcPr>
            <w:tcW w:w="6663" w:type="dxa"/>
          </w:tcPr>
          <w:p w14:paraId="077CECA4" w14:textId="77777777" w:rsidR="00A40DFD" w:rsidRPr="009222A5" w:rsidRDefault="00A40DFD" w:rsidP="009222A5">
            <w:pPr>
              <w:pStyle w:val="SCVtablebody"/>
              <w:spacing w:before="40" w:after="40"/>
              <w:rPr>
                <w:sz w:val="17"/>
                <w:szCs w:val="17"/>
              </w:rPr>
            </w:pPr>
            <w:r w:rsidRPr="009222A5">
              <w:rPr>
                <w:sz w:val="17"/>
                <w:szCs w:val="17"/>
              </w:rPr>
              <w:lastRenderedPageBreak/>
              <w:t>Other</w:t>
            </w:r>
          </w:p>
        </w:tc>
        <w:tc>
          <w:tcPr>
            <w:tcW w:w="1842" w:type="dxa"/>
          </w:tcPr>
          <w:p w14:paraId="5E8F1256" w14:textId="77777777" w:rsidR="00A40DFD" w:rsidRPr="009222A5" w:rsidRDefault="00A40DFD" w:rsidP="006659DA">
            <w:pPr>
              <w:pStyle w:val="SCVtablebody"/>
              <w:spacing w:before="40" w:after="40"/>
              <w:jc w:val="right"/>
              <w:rPr>
                <w:sz w:val="17"/>
                <w:szCs w:val="17"/>
              </w:rPr>
            </w:pPr>
            <w:r w:rsidRPr="009222A5">
              <w:rPr>
                <w:sz w:val="17"/>
                <w:szCs w:val="17"/>
              </w:rPr>
              <w:t>250</w:t>
            </w:r>
          </w:p>
        </w:tc>
        <w:tc>
          <w:tcPr>
            <w:tcW w:w="1699" w:type="dxa"/>
          </w:tcPr>
          <w:p w14:paraId="31BF6760" w14:textId="77777777" w:rsidR="00A40DFD" w:rsidRPr="009222A5" w:rsidRDefault="00A40DFD" w:rsidP="006659DA">
            <w:pPr>
              <w:pStyle w:val="SCVtablebody"/>
              <w:spacing w:before="40" w:after="40"/>
              <w:jc w:val="right"/>
              <w:rPr>
                <w:sz w:val="17"/>
                <w:szCs w:val="17"/>
              </w:rPr>
            </w:pPr>
            <w:r w:rsidRPr="009222A5">
              <w:rPr>
                <w:sz w:val="17"/>
                <w:szCs w:val="17"/>
              </w:rPr>
              <w:t>27.8%</w:t>
            </w:r>
          </w:p>
        </w:tc>
      </w:tr>
      <w:tr w:rsidR="00A40DFD" w:rsidRPr="009222A5" w14:paraId="6D14D41F" w14:textId="77777777" w:rsidTr="00B065FB">
        <w:tc>
          <w:tcPr>
            <w:tcW w:w="6663" w:type="dxa"/>
          </w:tcPr>
          <w:p w14:paraId="36B5243D" w14:textId="77777777" w:rsidR="00A40DFD" w:rsidRPr="009222A5" w:rsidRDefault="00A40DFD" w:rsidP="009222A5">
            <w:pPr>
              <w:pStyle w:val="SCVtablebody"/>
              <w:spacing w:before="40" w:after="40"/>
              <w:rPr>
                <w:sz w:val="17"/>
                <w:szCs w:val="17"/>
              </w:rPr>
            </w:pPr>
            <w:r w:rsidRPr="009222A5">
              <w:rPr>
                <w:sz w:val="17"/>
                <w:szCs w:val="17"/>
              </w:rPr>
              <w:t>Not provided</w:t>
            </w:r>
          </w:p>
        </w:tc>
        <w:tc>
          <w:tcPr>
            <w:tcW w:w="1842" w:type="dxa"/>
          </w:tcPr>
          <w:p w14:paraId="5E3C0E67" w14:textId="77777777" w:rsidR="00A40DFD" w:rsidRPr="009222A5" w:rsidRDefault="00A40DFD" w:rsidP="006659DA">
            <w:pPr>
              <w:pStyle w:val="SCVtablebody"/>
              <w:spacing w:before="40" w:after="40"/>
              <w:jc w:val="right"/>
              <w:rPr>
                <w:sz w:val="17"/>
                <w:szCs w:val="17"/>
              </w:rPr>
            </w:pPr>
            <w:r w:rsidRPr="009222A5">
              <w:rPr>
                <w:sz w:val="17"/>
                <w:szCs w:val="17"/>
              </w:rPr>
              <w:t>26</w:t>
            </w:r>
          </w:p>
        </w:tc>
        <w:tc>
          <w:tcPr>
            <w:tcW w:w="1699" w:type="dxa"/>
          </w:tcPr>
          <w:p w14:paraId="410161E1" w14:textId="77777777" w:rsidR="00A40DFD" w:rsidRPr="009222A5" w:rsidRDefault="00A40DFD" w:rsidP="006659DA">
            <w:pPr>
              <w:pStyle w:val="SCVtablebody"/>
              <w:spacing w:before="40" w:after="40"/>
              <w:jc w:val="right"/>
              <w:rPr>
                <w:sz w:val="17"/>
                <w:szCs w:val="17"/>
              </w:rPr>
            </w:pPr>
            <w:r w:rsidRPr="009222A5">
              <w:rPr>
                <w:sz w:val="17"/>
                <w:szCs w:val="17"/>
              </w:rPr>
              <w:t>2.9%</w:t>
            </w:r>
          </w:p>
        </w:tc>
      </w:tr>
      <w:tr w:rsidR="00A40DFD" w14:paraId="746CC2D4" w14:textId="77777777" w:rsidTr="00B065FB">
        <w:tc>
          <w:tcPr>
            <w:tcW w:w="6663" w:type="dxa"/>
          </w:tcPr>
          <w:p w14:paraId="531A8BDE" w14:textId="77777777" w:rsidR="00A40DFD" w:rsidRDefault="00A40DFD" w:rsidP="009222A5">
            <w:pPr>
              <w:pStyle w:val="SCVtablerowhead"/>
              <w:spacing w:before="40" w:after="40" w:line="240" w:lineRule="atLeast"/>
            </w:pPr>
            <w:r>
              <w:t>Aboriginal or Torres Strait Islander</w:t>
            </w:r>
          </w:p>
        </w:tc>
        <w:tc>
          <w:tcPr>
            <w:tcW w:w="1842" w:type="dxa"/>
          </w:tcPr>
          <w:p w14:paraId="3C749EFD" w14:textId="77777777" w:rsidR="00A40DFD" w:rsidRDefault="00A40DFD" w:rsidP="006659DA">
            <w:pPr>
              <w:pStyle w:val="SCVtablebody"/>
              <w:spacing w:before="40" w:after="40"/>
              <w:jc w:val="right"/>
            </w:pPr>
          </w:p>
        </w:tc>
        <w:tc>
          <w:tcPr>
            <w:tcW w:w="1699" w:type="dxa"/>
          </w:tcPr>
          <w:p w14:paraId="6104137E" w14:textId="77777777" w:rsidR="00A40DFD" w:rsidRDefault="00A40DFD" w:rsidP="006659DA">
            <w:pPr>
              <w:pStyle w:val="SCVtablebody"/>
              <w:spacing w:before="40" w:after="40"/>
              <w:jc w:val="right"/>
            </w:pPr>
          </w:p>
        </w:tc>
      </w:tr>
      <w:tr w:rsidR="00A40DFD" w:rsidRPr="009222A5" w14:paraId="5EBBFC8A" w14:textId="77777777" w:rsidTr="00B065FB">
        <w:tc>
          <w:tcPr>
            <w:tcW w:w="6663" w:type="dxa"/>
          </w:tcPr>
          <w:p w14:paraId="0B7B3B1A" w14:textId="77777777" w:rsidR="00A40DFD" w:rsidRPr="009222A5" w:rsidRDefault="00A40DFD" w:rsidP="009222A5">
            <w:pPr>
              <w:pStyle w:val="SCVtablebody"/>
              <w:spacing w:before="40" w:after="40"/>
              <w:rPr>
                <w:sz w:val="17"/>
                <w:szCs w:val="17"/>
              </w:rPr>
            </w:pPr>
            <w:r w:rsidRPr="009222A5">
              <w:rPr>
                <w:sz w:val="17"/>
                <w:szCs w:val="17"/>
              </w:rPr>
              <w:t>Yes</w:t>
            </w:r>
          </w:p>
        </w:tc>
        <w:tc>
          <w:tcPr>
            <w:tcW w:w="1842" w:type="dxa"/>
          </w:tcPr>
          <w:p w14:paraId="11970022" w14:textId="77777777" w:rsidR="00A40DFD" w:rsidRPr="009222A5" w:rsidRDefault="00A40DFD" w:rsidP="006659DA">
            <w:pPr>
              <w:pStyle w:val="SCVtablebody"/>
              <w:spacing w:before="40" w:after="40"/>
              <w:jc w:val="right"/>
              <w:rPr>
                <w:sz w:val="17"/>
                <w:szCs w:val="17"/>
              </w:rPr>
            </w:pPr>
            <w:r w:rsidRPr="009222A5">
              <w:rPr>
                <w:sz w:val="17"/>
                <w:szCs w:val="17"/>
              </w:rPr>
              <w:t>3</w:t>
            </w:r>
          </w:p>
        </w:tc>
        <w:tc>
          <w:tcPr>
            <w:tcW w:w="1699" w:type="dxa"/>
          </w:tcPr>
          <w:p w14:paraId="68ECC7DB" w14:textId="77777777" w:rsidR="00A40DFD" w:rsidRPr="009222A5" w:rsidRDefault="00A40DFD" w:rsidP="006659DA">
            <w:pPr>
              <w:pStyle w:val="SCVtablebody"/>
              <w:spacing w:before="40" w:after="40"/>
              <w:jc w:val="right"/>
              <w:rPr>
                <w:sz w:val="17"/>
                <w:szCs w:val="17"/>
              </w:rPr>
            </w:pPr>
            <w:r w:rsidRPr="009222A5">
              <w:rPr>
                <w:sz w:val="17"/>
                <w:szCs w:val="17"/>
              </w:rPr>
              <w:t>0.3%</w:t>
            </w:r>
          </w:p>
        </w:tc>
      </w:tr>
      <w:tr w:rsidR="00A40DFD" w:rsidRPr="009222A5" w14:paraId="47335E19" w14:textId="77777777" w:rsidTr="00B065FB">
        <w:tc>
          <w:tcPr>
            <w:tcW w:w="6663" w:type="dxa"/>
          </w:tcPr>
          <w:p w14:paraId="6CD42E1F" w14:textId="77777777" w:rsidR="00A40DFD" w:rsidRPr="009222A5" w:rsidRDefault="00A40DFD" w:rsidP="009222A5">
            <w:pPr>
              <w:pStyle w:val="SCVtablebody"/>
              <w:spacing w:before="40" w:after="40"/>
              <w:rPr>
                <w:sz w:val="17"/>
                <w:szCs w:val="17"/>
              </w:rPr>
            </w:pPr>
            <w:r w:rsidRPr="009222A5">
              <w:rPr>
                <w:sz w:val="17"/>
                <w:szCs w:val="17"/>
              </w:rPr>
              <w:t>No</w:t>
            </w:r>
          </w:p>
        </w:tc>
        <w:tc>
          <w:tcPr>
            <w:tcW w:w="1842" w:type="dxa"/>
          </w:tcPr>
          <w:p w14:paraId="22FA3BFF" w14:textId="77777777" w:rsidR="00A40DFD" w:rsidRPr="009222A5" w:rsidRDefault="00A40DFD" w:rsidP="006659DA">
            <w:pPr>
              <w:pStyle w:val="SCVtablebody"/>
              <w:spacing w:before="40" w:after="40"/>
              <w:jc w:val="right"/>
              <w:rPr>
                <w:sz w:val="17"/>
                <w:szCs w:val="17"/>
              </w:rPr>
            </w:pPr>
            <w:r w:rsidRPr="009222A5">
              <w:rPr>
                <w:sz w:val="17"/>
                <w:szCs w:val="17"/>
              </w:rPr>
              <w:t>878</w:t>
            </w:r>
          </w:p>
        </w:tc>
        <w:tc>
          <w:tcPr>
            <w:tcW w:w="1699" w:type="dxa"/>
          </w:tcPr>
          <w:p w14:paraId="74DC6C4B" w14:textId="77777777" w:rsidR="00A40DFD" w:rsidRPr="009222A5" w:rsidRDefault="00A40DFD" w:rsidP="006659DA">
            <w:pPr>
              <w:pStyle w:val="SCVtablebody"/>
              <w:spacing w:before="40" w:after="40"/>
              <w:jc w:val="right"/>
              <w:rPr>
                <w:sz w:val="17"/>
                <w:szCs w:val="17"/>
              </w:rPr>
            </w:pPr>
            <w:r w:rsidRPr="009222A5">
              <w:rPr>
                <w:sz w:val="17"/>
                <w:szCs w:val="17"/>
              </w:rPr>
              <w:t>97.6%</w:t>
            </w:r>
          </w:p>
        </w:tc>
      </w:tr>
      <w:tr w:rsidR="00A40DFD" w:rsidRPr="009222A5" w14:paraId="3A5D494F" w14:textId="77777777" w:rsidTr="00B065FB">
        <w:tc>
          <w:tcPr>
            <w:tcW w:w="6663" w:type="dxa"/>
          </w:tcPr>
          <w:p w14:paraId="18ADD1CE" w14:textId="77777777" w:rsidR="00A40DFD" w:rsidRPr="009222A5" w:rsidRDefault="00A40DFD" w:rsidP="009222A5">
            <w:pPr>
              <w:pStyle w:val="SCVtablebody"/>
              <w:spacing w:before="40" w:after="40"/>
              <w:rPr>
                <w:sz w:val="17"/>
                <w:szCs w:val="17"/>
              </w:rPr>
            </w:pPr>
            <w:r w:rsidRPr="009222A5">
              <w:rPr>
                <w:sz w:val="17"/>
                <w:szCs w:val="17"/>
              </w:rPr>
              <w:t>Unknown</w:t>
            </w:r>
          </w:p>
        </w:tc>
        <w:tc>
          <w:tcPr>
            <w:tcW w:w="1842" w:type="dxa"/>
          </w:tcPr>
          <w:p w14:paraId="5F5694D1" w14:textId="77777777" w:rsidR="00A40DFD" w:rsidRPr="009222A5" w:rsidRDefault="00A40DFD" w:rsidP="006659DA">
            <w:pPr>
              <w:pStyle w:val="SCVtablebody"/>
              <w:spacing w:before="40" w:after="40"/>
              <w:jc w:val="right"/>
              <w:rPr>
                <w:sz w:val="17"/>
                <w:szCs w:val="17"/>
              </w:rPr>
            </w:pPr>
            <w:r w:rsidRPr="009222A5">
              <w:rPr>
                <w:sz w:val="17"/>
                <w:szCs w:val="17"/>
              </w:rPr>
              <w:t>19</w:t>
            </w:r>
          </w:p>
        </w:tc>
        <w:tc>
          <w:tcPr>
            <w:tcW w:w="1699" w:type="dxa"/>
          </w:tcPr>
          <w:p w14:paraId="1797EC9F" w14:textId="77777777" w:rsidR="00A40DFD" w:rsidRPr="009222A5" w:rsidRDefault="00A40DFD" w:rsidP="006659DA">
            <w:pPr>
              <w:pStyle w:val="SCVtablebody"/>
              <w:spacing w:before="40" w:after="40"/>
              <w:jc w:val="right"/>
              <w:rPr>
                <w:sz w:val="17"/>
                <w:szCs w:val="17"/>
              </w:rPr>
            </w:pPr>
            <w:r w:rsidRPr="009222A5">
              <w:rPr>
                <w:sz w:val="17"/>
                <w:szCs w:val="17"/>
              </w:rPr>
              <w:t>2.1%</w:t>
            </w:r>
          </w:p>
        </w:tc>
      </w:tr>
      <w:tr w:rsidR="00B065FB" w14:paraId="2389E364" w14:textId="77777777" w:rsidTr="00B065FB">
        <w:tc>
          <w:tcPr>
            <w:tcW w:w="6663" w:type="dxa"/>
          </w:tcPr>
          <w:p w14:paraId="27D2225C" w14:textId="77777777" w:rsidR="00B065FB" w:rsidRDefault="00B065FB" w:rsidP="009222A5">
            <w:pPr>
              <w:pStyle w:val="SCVtablerowhead"/>
              <w:spacing w:before="40" w:after="40" w:line="240" w:lineRule="atLeast"/>
            </w:pPr>
            <w:r>
              <w:t>Language spoken at home</w:t>
            </w:r>
          </w:p>
        </w:tc>
        <w:tc>
          <w:tcPr>
            <w:tcW w:w="1842" w:type="dxa"/>
          </w:tcPr>
          <w:p w14:paraId="437CE1EA" w14:textId="77777777" w:rsidR="00B065FB" w:rsidRDefault="00B065FB" w:rsidP="006659DA">
            <w:pPr>
              <w:pStyle w:val="SCVtablebody"/>
              <w:spacing w:before="40" w:after="40"/>
              <w:jc w:val="right"/>
            </w:pPr>
          </w:p>
        </w:tc>
        <w:tc>
          <w:tcPr>
            <w:tcW w:w="1699" w:type="dxa"/>
          </w:tcPr>
          <w:p w14:paraId="28F39438" w14:textId="77777777" w:rsidR="00B065FB" w:rsidRDefault="00B065FB" w:rsidP="006659DA">
            <w:pPr>
              <w:pStyle w:val="SCVtablebody"/>
              <w:spacing w:before="40" w:after="40"/>
              <w:jc w:val="right"/>
            </w:pPr>
          </w:p>
        </w:tc>
      </w:tr>
      <w:tr w:rsidR="00B065FB" w:rsidRPr="009222A5" w14:paraId="4C0CFB27" w14:textId="77777777" w:rsidTr="00B065FB">
        <w:tc>
          <w:tcPr>
            <w:tcW w:w="6663" w:type="dxa"/>
          </w:tcPr>
          <w:p w14:paraId="7BE52BE5" w14:textId="77777777" w:rsidR="00B065FB" w:rsidRPr="009222A5" w:rsidRDefault="00B065FB" w:rsidP="009222A5">
            <w:pPr>
              <w:pStyle w:val="SCVtablebody"/>
              <w:spacing w:before="40" w:after="40"/>
              <w:rPr>
                <w:sz w:val="17"/>
                <w:szCs w:val="17"/>
              </w:rPr>
            </w:pPr>
            <w:r w:rsidRPr="009222A5">
              <w:rPr>
                <w:sz w:val="17"/>
                <w:szCs w:val="17"/>
              </w:rPr>
              <w:t>English</w:t>
            </w:r>
          </w:p>
        </w:tc>
        <w:tc>
          <w:tcPr>
            <w:tcW w:w="1842" w:type="dxa"/>
          </w:tcPr>
          <w:p w14:paraId="21D1F5B7" w14:textId="77777777" w:rsidR="00B065FB" w:rsidRPr="009222A5" w:rsidRDefault="00B065FB" w:rsidP="006659DA">
            <w:pPr>
              <w:pStyle w:val="SCVtablebody"/>
              <w:spacing w:before="40" w:after="40"/>
              <w:jc w:val="right"/>
              <w:rPr>
                <w:sz w:val="17"/>
                <w:szCs w:val="17"/>
              </w:rPr>
            </w:pPr>
            <w:r w:rsidRPr="009222A5">
              <w:rPr>
                <w:sz w:val="17"/>
                <w:szCs w:val="17"/>
              </w:rPr>
              <w:t>851</w:t>
            </w:r>
          </w:p>
        </w:tc>
        <w:tc>
          <w:tcPr>
            <w:tcW w:w="1699" w:type="dxa"/>
          </w:tcPr>
          <w:p w14:paraId="0ECC3B56" w14:textId="77777777" w:rsidR="00B065FB" w:rsidRPr="009222A5" w:rsidRDefault="00B065FB" w:rsidP="006659DA">
            <w:pPr>
              <w:pStyle w:val="SCVtablebody"/>
              <w:spacing w:before="40" w:after="40"/>
              <w:jc w:val="right"/>
              <w:rPr>
                <w:sz w:val="17"/>
                <w:szCs w:val="17"/>
              </w:rPr>
            </w:pPr>
            <w:r w:rsidRPr="009222A5">
              <w:rPr>
                <w:sz w:val="17"/>
                <w:szCs w:val="17"/>
              </w:rPr>
              <w:t>94.6%</w:t>
            </w:r>
          </w:p>
        </w:tc>
      </w:tr>
      <w:tr w:rsidR="00B065FB" w:rsidRPr="009222A5" w14:paraId="20AC62E4" w14:textId="77777777" w:rsidTr="00B065FB">
        <w:tc>
          <w:tcPr>
            <w:tcW w:w="6663" w:type="dxa"/>
          </w:tcPr>
          <w:p w14:paraId="290BE7C1" w14:textId="77777777" w:rsidR="00B065FB" w:rsidRPr="009222A5" w:rsidRDefault="00B065FB" w:rsidP="009222A5">
            <w:pPr>
              <w:pStyle w:val="SCVtablebody"/>
              <w:spacing w:before="40" w:after="40"/>
              <w:rPr>
                <w:sz w:val="17"/>
                <w:szCs w:val="17"/>
              </w:rPr>
            </w:pPr>
            <w:r w:rsidRPr="009222A5">
              <w:rPr>
                <w:sz w:val="17"/>
                <w:szCs w:val="17"/>
              </w:rPr>
              <w:t>Other</w:t>
            </w:r>
          </w:p>
        </w:tc>
        <w:tc>
          <w:tcPr>
            <w:tcW w:w="1842" w:type="dxa"/>
          </w:tcPr>
          <w:p w14:paraId="48C68FC2" w14:textId="77777777" w:rsidR="00B065FB" w:rsidRPr="009222A5" w:rsidRDefault="00B065FB" w:rsidP="006659DA">
            <w:pPr>
              <w:pStyle w:val="SCVtablebody"/>
              <w:spacing w:before="40" w:after="40"/>
              <w:jc w:val="right"/>
              <w:rPr>
                <w:sz w:val="17"/>
                <w:szCs w:val="17"/>
              </w:rPr>
            </w:pPr>
            <w:r w:rsidRPr="009222A5">
              <w:rPr>
                <w:sz w:val="17"/>
                <w:szCs w:val="17"/>
              </w:rPr>
              <w:t>33</w:t>
            </w:r>
          </w:p>
        </w:tc>
        <w:tc>
          <w:tcPr>
            <w:tcW w:w="1699" w:type="dxa"/>
          </w:tcPr>
          <w:p w14:paraId="0485EB9C" w14:textId="77777777" w:rsidR="00B065FB" w:rsidRPr="009222A5" w:rsidRDefault="00B065FB" w:rsidP="006659DA">
            <w:pPr>
              <w:pStyle w:val="SCVtablebody"/>
              <w:spacing w:before="40" w:after="40"/>
              <w:jc w:val="right"/>
              <w:rPr>
                <w:sz w:val="17"/>
                <w:szCs w:val="17"/>
              </w:rPr>
            </w:pPr>
            <w:r w:rsidRPr="009222A5">
              <w:rPr>
                <w:sz w:val="17"/>
                <w:szCs w:val="17"/>
              </w:rPr>
              <w:t>3.7%</w:t>
            </w:r>
          </w:p>
        </w:tc>
      </w:tr>
      <w:tr w:rsidR="00B065FB" w:rsidRPr="009222A5" w14:paraId="18DC0BBA" w14:textId="77777777" w:rsidTr="00B065FB">
        <w:tc>
          <w:tcPr>
            <w:tcW w:w="6663" w:type="dxa"/>
          </w:tcPr>
          <w:p w14:paraId="105A868B" w14:textId="77777777" w:rsidR="00B065FB" w:rsidRPr="009222A5" w:rsidRDefault="00B065FB" w:rsidP="009222A5">
            <w:pPr>
              <w:pStyle w:val="SCVtablebody"/>
              <w:spacing w:before="40" w:after="40"/>
              <w:rPr>
                <w:sz w:val="17"/>
                <w:szCs w:val="17"/>
              </w:rPr>
            </w:pPr>
            <w:r w:rsidRPr="009222A5">
              <w:rPr>
                <w:sz w:val="17"/>
                <w:szCs w:val="17"/>
              </w:rPr>
              <w:t>Unknown</w:t>
            </w:r>
          </w:p>
        </w:tc>
        <w:tc>
          <w:tcPr>
            <w:tcW w:w="1842" w:type="dxa"/>
          </w:tcPr>
          <w:p w14:paraId="7BE8416F" w14:textId="77777777" w:rsidR="00B065FB" w:rsidRPr="009222A5" w:rsidRDefault="00B065FB" w:rsidP="006659DA">
            <w:pPr>
              <w:pStyle w:val="SCVtablebody"/>
              <w:spacing w:before="40" w:after="40"/>
              <w:jc w:val="right"/>
              <w:rPr>
                <w:sz w:val="17"/>
                <w:szCs w:val="17"/>
              </w:rPr>
            </w:pPr>
            <w:r w:rsidRPr="009222A5">
              <w:rPr>
                <w:sz w:val="17"/>
                <w:szCs w:val="17"/>
              </w:rPr>
              <w:t>16</w:t>
            </w:r>
          </w:p>
        </w:tc>
        <w:tc>
          <w:tcPr>
            <w:tcW w:w="1699" w:type="dxa"/>
          </w:tcPr>
          <w:p w14:paraId="18232F58" w14:textId="77777777" w:rsidR="00B065FB" w:rsidRPr="009222A5" w:rsidRDefault="00B065FB" w:rsidP="006659DA">
            <w:pPr>
              <w:pStyle w:val="SCVtablebody"/>
              <w:spacing w:before="40" w:after="40"/>
              <w:jc w:val="right"/>
              <w:rPr>
                <w:sz w:val="17"/>
                <w:szCs w:val="17"/>
              </w:rPr>
            </w:pPr>
            <w:r w:rsidRPr="009222A5">
              <w:rPr>
                <w:sz w:val="17"/>
                <w:szCs w:val="17"/>
              </w:rPr>
              <w:t>1.8%</w:t>
            </w:r>
          </w:p>
        </w:tc>
      </w:tr>
      <w:tr w:rsidR="00B065FB" w14:paraId="7DBF4C8F" w14:textId="77777777" w:rsidTr="00B065FB">
        <w:tc>
          <w:tcPr>
            <w:tcW w:w="6663" w:type="dxa"/>
          </w:tcPr>
          <w:p w14:paraId="4CBAA05B" w14:textId="77777777" w:rsidR="00B065FB" w:rsidRDefault="00B065FB" w:rsidP="009222A5">
            <w:pPr>
              <w:pStyle w:val="SCVtablerowhead"/>
              <w:spacing w:before="40" w:after="40" w:line="240" w:lineRule="atLeast"/>
            </w:pPr>
            <w:r>
              <w:t>Interpreter required</w:t>
            </w:r>
          </w:p>
        </w:tc>
        <w:tc>
          <w:tcPr>
            <w:tcW w:w="1842" w:type="dxa"/>
          </w:tcPr>
          <w:p w14:paraId="2EA6AF55" w14:textId="77777777" w:rsidR="00B065FB" w:rsidRDefault="00B065FB" w:rsidP="006659DA">
            <w:pPr>
              <w:pStyle w:val="SCVtablerowhead"/>
              <w:spacing w:before="40" w:after="40" w:line="240" w:lineRule="atLeast"/>
              <w:jc w:val="right"/>
            </w:pPr>
          </w:p>
        </w:tc>
        <w:tc>
          <w:tcPr>
            <w:tcW w:w="1699" w:type="dxa"/>
          </w:tcPr>
          <w:p w14:paraId="4BA11569" w14:textId="77777777" w:rsidR="00B065FB" w:rsidRDefault="00B065FB" w:rsidP="006659DA">
            <w:pPr>
              <w:pStyle w:val="SCVtablerowhead"/>
              <w:spacing w:before="40" w:after="40" w:line="240" w:lineRule="atLeast"/>
              <w:jc w:val="right"/>
            </w:pPr>
          </w:p>
        </w:tc>
      </w:tr>
      <w:tr w:rsidR="00B065FB" w:rsidRPr="009222A5" w14:paraId="078EB47D" w14:textId="77777777" w:rsidTr="00B065FB">
        <w:tc>
          <w:tcPr>
            <w:tcW w:w="6663" w:type="dxa"/>
          </w:tcPr>
          <w:p w14:paraId="2EE90DF9" w14:textId="77777777" w:rsidR="00B065FB" w:rsidRPr="009222A5" w:rsidRDefault="00B065FB" w:rsidP="009222A5">
            <w:pPr>
              <w:pStyle w:val="SCVtablebody"/>
              <w:spacing w:before="40" w:after="40"/>
              <w:rPr>
                <w:sz w:val="17"/>
                <w:szCs w:val="17"/>
              </w:rPr>
            </w:pPr>
            <w:r w:rsidRPr="009222A5">
              <w:rPr>
                <w:sz w:val="17"/>
                <w:szCs w:val="17"/>
              </w:rPr>
              <w:t>Yes</w:t>
            </w:r>
          </w:p>
        </w:tc>
        <w:tc>
          <w:tcPr>
            <w:tcW w:w="1842" w:type="dxa"/>
          </w:tcPr>
          <w:p w14:paraId="3DC9E565" w14:textId="77777777" w:rsidR="00B065FB" w:rsidRPr="009222A5" w:rsidRDefault="00B065FB" w:rsidP="006659DA">
            <w:pPr>
              <w:pStyle w:val="SCVtablebody"/>
              <w:spacing w:before="40" w:after="40"/>
              <w:jc w:val="right"/>
              <w:rPr>
                <w:sz w:val="17"/>
                <w:szCs w:val="17"/>
              </w:rPr>
            </w:pPr>
            <w:r w:rsidRPr="009222A5">
              <w:rPr>
                <w:sz w:val="17"/>
                <w:szCs w:val="17"/>
              </w:rPr>
              <w:t>19</w:t>
            </w:r>
          </w:p>
        </w:tc>
        <w:tc>
          <w:tcPr>
            <w:tcW w:w="1699" w:type="dxa"/>
          </w:tcPr>
          <w:p w14:paraId="057228AA" w14:textId="77777777" w:rsidR="00B065FB" w:rsidRPr="009222A5" w:rsidRDefault="00B065FB" w:rsidP="006659DA">
            <w:pPr>
              <w:pStyle w:val="SCVtablebody"/>
              <w:spacing w:before="40" w:after="40"/>
              <w:jc w:val="right"/>
              <w:rPr>
                <w:sz w:val="17"/>
                <w:szCs w:val="17"/>
              </w:rPr>
            </w:pPr>
            <w:r w:rsidRPr="009222A5">
              <w:rPr>
                <w:sz w:val="17"/>
                <w:szCs w:val="17"/>
              </w:rPr>
              <w:t>2.1%</w:t>
            </w:r>
          </w:p>
        </w:tc>
      </w:tr>
      <w:tr w:rsidR="00B065FB" w:rsidRPr="009222A5" w14:paraId="59F8FEFE" w14:textId="77777777" w:rsidTr="00B065FB">
        <w:tc>
          <w:tcPr>
            <w:tcW w:w="6663" w:type="dxa"/>
          </w:tcPr>
          <w:p w14:paraId="08AED1C4" w14:textId="77777777" w:rsidR="00B065FB" w:rsidRPr="009222A5" w:rsidRDefault="00B065FB" w:rsidP="009222A5">
            <w:pPr>
              <w:pStyle w:val="SCVtablebody"/>
              <w:spacing w:before="40" w:after="40"/>
              <w:rPr>
                <w:sz w:val="17"/>
                <w:szCs w:val="17"/>
              </w:rPr>
            </w:pPr>
            <w:r w:rsidRPr="009222A5">
              <w:rPr>
                <w:sz w:val="17"/>
                <w:szCs w:val="17"/>
              </w:rPr>
              <w:t>No</w:t>
            </w:r>
          </w:p>
        </w:tc>
        <w:tc>
          <w:tcPr>
            <w:tcW w:w="1842" w:type="dxa"/>
          </w:tcPr>
          <w:p w14:paraId="35B20214" w14:textId="77777777" w:rsidR="00B065FB" w:rsidRPr="009222A5" w:rsidRDefault="00B065FB" w:rsidP="006659DA">
            <w:pPr>
              <w:pStyle w:val="SCVtablebody"/>
              <w:spacing w:before="40" w:after="40"/>
              <w:jc w:val="right"/>
              <w:rPr>
                <w:sz w:val="17"/>
                <w:szCs w:val="17"/>
              </w:rPr>
            </w:pPr>
            <w:r w:rsidRPr="009222A5">
              <w:rPr>
                <w:sz w:val="17"/>
                <w:szCs w:val="17"/>
              </w:rPr>
              <w:t>879</w:t>
            </w:r>
          </w:p>
        </w:tc>
        <w:tc>
          <w:tcPr>
            <w:tcW w:w="1699" w:type="dxa"/>
          </w:tcPr>
          <w:p w14:paraId="090683BF" w14:textId="77777777" w:rsidR="00B065FB" w:rsidRPr="009222A5" w:rsidRDefault="00B065FB" w:rsidP="006659DA">
            <w:pPr>
              <w:pStyle w:val="SCVtablebody"/>
              <w:spacing w:before="40" w:after="40"/>
              <w:jc w:val="right"/>
              <w:rPr>
                <w:sz w:val="17"/>
                <w:szCs w:val="17"/>
              </w:rPr>
            </w:pPr>
            <w:r w:rsidRPr="009222A5">
              <w:rPr>
                <w:sz w:val="17"/>
                <w:szCs w:val="17"/>
              </w:rPr>
              <w:t>97.7%</w:t>
            </w:r>
          </w:p>
        </w:tc>
      </w:tr>
      <w:tr w:rsidR="00B065FB" w:rsidRPr="009222A5" w14:paraId="69F0652E" w14:textId="77777777" w:rsidTr="009222A5">
        <w:tc>
          <w:tcPr>
            <w:tcW w:w="6663" w:type="dxa"/>
            <w:tcBorders>
              <w:bottom w:val="single" w:sz="2" w:space="0" w:color="80808B"/>
            </w:tcBorders>
          </w:tcPr>
          <w:p w14:paraId="405B307D" w14:textId="77777777" w:rsidR="00B065FB" w:rsidRPr="009222A5" w:rsidRDefault="00B065FB" w:rsidP="009222A5">
            <w:pPr>
              <w:pStyle w:val="SCVtablebody"/>
              <w:spacing w:before="40" w:after="40"/>
              <w:rPr>
                <w:sz w:val="17"/>
                <w:szCs w:val="17"/>
              </w:rPr>
            </w:pPr>
            <w:r w:rsidRPr="009222A5">
              <w:rPr>
                <w:sz w:val="17"/>
                <w:szCs w:val="17"/>
              </w:rPr>
              <w:t>Unknown</w:t>
            </w:r>
          </w:p>
        </w:tc>
        <w:tc>
          <w:tcPr>
            <w:tcW w:w="1842" w:type="dxa"/>
            <w:tcBorders>
              <w:bottom w:val="single" w:sz="2" w:space="0" w:color="80808B"/>
            </w:tcBorders>
          </w:tcPr>
          <w:p w14:paraId="055FF990" w14:textId="77777777" w:rsidR="00B065FB" w:rsidRPr="009222A5" w:rsidRDefault="00B065FB" w:rsidP="006659DA">
            <w:pPr>
              <w:pStyle w:val="SCVtablebody"/>
              <w:spacing w:before="40" w:after="40"/>
              <w:jc w:val="right"/>
              <w:rPr>
                <w:sz w:val="17"/>
                <w:szCs w:val="17"/>
              </w:rPr>
            </w:pPr>
            <w:r w:rsidRPr="009222A5">
              <w:rPr>
                <w:sz w:val="17"/>
                <w:szCs w:val="17"/>
              </w:rPr>
              <w:t>2</w:t>
            </w:r>
          </w:p>
        </w:tc>
        <w:tc>
          <w:tcPr>
            <w:tcW w:w="1699" w:type="dxa"/>
            <w:tcBorders>
              <w:bottom w:val="single" w:sz="2" w:space="0" w:color="80808B"/>
            </w:tcBorders>
          </w:tcPr>
          <w:p w14:paraId="4DF5CE19" w14:textId="77777777" w:rsidR="00B065FB" w:rsidRPr="009222A5" w:rsidRDefault="00B065FB" w:rsidP="006659DA">
            <w:pPr>
              <w:pStyle w:val="SCVtablebody"/>
              <w:spacing w:before="40" w:after="40"/>
              <w:jc w:val="right"/>
              <w:rPr>
                <w:sz w:val="17"/>
                <w:szCs w:val="17"/>
              </w:rPr>
            </w:pPr>
            <w:r w:rsidRPr="009222A5">
              <w:rPr>
                <w:sz w:val="17"/>
                <w:szCs w:val="17"/>
              </w:rPr>
              <w:t>0.2%</w:t>
            </w:r>
          </w:p>
        </w:tc>
      </w:tr>
      <w:tr w:rsidR="00B065FB" w14:paraId="70127366" w14:textId="77777777" w:rsidTr="009222A5">
        <w:tc>
          <w:tcPr>
            <w:tcW w:w="6663" w:type="dxa"/>
            <w:shd w:val="clear" w:color="auto" w:fill="F2F2F2" w:themeFill="background1" w:themeFillShade="F2"/>
          </w:tcPr>
          <w:p w14:paraId="46667638" w14:textId="77777777" w:rsidR="00B065FB" w:rsidRDefault="00B065FB" w:rsidP="009222A5">
            <w:pPr>
              <w:pStyle w:val="SCVtablerowhead"/>
              <w:spacing w:before="40" w:after="40" w:line="240" w:lineRule="atLeast"/>
            </w:pPr>
            <w:r>
              <w:t>Education level</w:t>
            </w:r>
          </w:p>
        </w:tc>
        <w:tc>
          <w:tcPr>
            <w:tcW w:w="1842" w:type="dxa"/>
            <w:shd w:val="clear" w:color="auto" w:fill="F2F2F2" w:themeFill="background1" w:themeFillShade="F2"/>
          </w:tcPr>
          <w:p w14:paraId="63D21A62" w14:textId="77777777" w:rsidR="00B065FB" w:rsidRDefault="00B065FB" w:rsidP="009222A5">
            <w:pPr>
              <w:pStyle w:val="SCVtablerowhead"/>
              <w:spacing w:before="40" w:after="40" w:line="240" w:lineRule="atLeast"/>
              <w:jc w:val="right"/>
            </w:pPr>
          </w:p>
        </w:tc>
        <w:tc>
          <w:tcPr>
            <w:tcW w:w="1699" w:type="dxa"/>
            <w:shd w:val="clear" w:color="auto" w:fill="F2F2F2" w:themeFill="background1" w:themeFillShade="F2"/>
          </w:tcPr>
          <w:p w14:paraId="0E4B0BDA" w14:textId="77777777" w:rsidR="00B065FB" w:rsidRDefault="00B065FB" w:rsidP="009222A5">
            <w:pPr>
              <w:pStyle w:val="SCVtablerowhead"/>
              <w:spacing w:before="40" w:after="40" w:line="240" w:lineRule="atLeast"/>
              <w:jc w:val="right"/>
            </w:pPr>
          </w:p>
        </w:tc>
      </w:tr>
      <w:tr w:rsidR="00B065FB" w:rsidRPr="009222A5" w14:paraId="30B6F521" w14:textId="77777777" w:rsidTr="00B065FB">
        <w:tc>
          <w:tcPr>
            <w:tcW w:w="6663" w:type="dxa"/>
          </w:tcPr>
          <w:p w14:paraId="0EE1FBA8" w14:textId="77777777" w:rsidR="00B065FB" w:rsidRPr="009222A5" w:rsidRDefault="00B065FB" w:rsidP="009222A5">
            <w:pPr>
              <w:pStyle w:val="SCVtablebody"/>
              <w:spacing w:before="40" w:after="40"/>
              <w:rPr>
                <w:sz w:val="17"/>
                <w:szCs w:val="17"/>
              </w:rPr>
            </w:pPr>
            <w:r w:rsidRPr="009222A5">
              <w:rPr>
                <w:sz w:val="17"/>
                <w:szCs w:val="17"/>
              </w:rPr>
              <w:t>Primary education or lower</w:t>
            </w:r>
          </w:p>
        </w:tc>
        <w:tc>
          <w:tcPr>
            <w:tcW w:w="1842" w:type="dxa"/>
          </w:tcPr>
          <w:p w14:paraId="0E800937" w14:textId="77777777" w:rsidR="00B065FB" w:rsidRPr="009222A5" w:rsidRDefault="00B065FB" w:rsidP="006659DA">
            <w:pPr>
              <w:pStyle w:val="SCVtablebody"/>
              <w:spacing w:before="40" w:after="40"/>
              <w:jc w:val="right"/>
              <w:rPr>
                <w:sz w:val="17"/>
                <w:szCs w:val="17"/>
              </w:rPr>
            </w:pPr>
            <w:r w:rsidRPr="009222A5">
              <w:rPr>
                <w:sz w:val="17"/>
                <w:szCs w:val="17"/>
              </w:rPr>
              <w:t>42</w:t>
            </w:r>
          </w:p>
        </w:tc>
        <w:tc>
          <w:tcPr>
            <w:tcW w:w="1699" w:type="dxa"/>
          </w:tcPr>
          <w:p w14:paraId="60EE4AC3" w14:textId="77777777" w:rsidR="00B065FB" w:rsidRPr="009222A5" w:rsidRDefault="00B065FB" w:rsidP="006659DA">
            <w:pPr>
              <w:pStyle w:val="SCVtablebody"/>
              <w:spacing w:before="40" w:after="40"/>
              <w:jc w:val="right"/>
              <w:rPr>
                <w:sz w:val="17"/>
                <w:szCs w:val="17"/>
              </w:rPr>
            </w:pPr>
            <w:r w:rsidRPr="009222A5">
              <w:rPr>
                <w:sz w:val="17"/>
                <w:szCs w:val="17"/>
              </w:rPr>
              <w:t>4.7%</w:t>
            </w:r>
          </w:p>
        </w:tc>
      </w:tr>
      <w:tr w:rsidR="00B065FB" w:rsidRPr="009222A5" w14:paraId="66ABFED6" w14:textId="77777777" w:rsidTr="00B065FB">
        <w:tc>
          <w:tcPr>
            <w:tcW w:w="6663" w:type="dxa"/>
          </w:tcPr>
          <w:p w14:paraId="75E6C81B" w14:textId="77777777" w:rsidR="00B065FB" w:rsidRPr="009222A5" w:rsidRDefault="00B065FB" w:rsidP="009222A5">
            <w:pPr>
              <w:pStyle w:val="SCVtablebody"/>
              <w:spacing w:before="40" w:after="40"/>
              <w:rPr>
                <w:sz w:val="17"/>
                <w:szCs w:val="17"/>
              </w:rPr>
            </w:pPr>
            <w:r w:rsidRPr="009222A5">
              <w:rPr>
                <w:sz w:val="17"/>
                <w:szCs w:val="17"/>
              </w:rPr>
              <w:t>Junior secondary education</w:t>
            </w:r>
          </w:p>
        </w:tc>
        <w:tc>
          <w:tcPr>
            <w:tcW w:w="1842" w:type="dxa"/>
          </w:tcPr>
          <w:p w14:paraId="31979AD6" w14:textId="77777777" w:rsidR="00B065FB" w:rsidRPr="009222A5" w:rsidRDefault="00B065FB" w:rsidP="006659DA">
            <w:pPr>
              <w:pStyle w:val="SCVtablebody"/>
              <w:spacing w:before="40" w:after="40"/>
              <w:jc w:val="right"/>
              <w:rPr>
                <w:sz w:val="17"/>
                <w:szCs w:val="17"/>
              </w:rPr>
            </w:pPr>
            <w:r w:rsidRPr="009222A5">
              <w:rPr>
                <w:sz w:val="17"/>
                <w:szCs w:val="17"/>
              </w:rPr>
              <w:t>214</w:t>
            </w:r>
          </w:p>
        </w:tc>
        <w:tc>
          <w:tcPr>
            <w:tcW w:w="1699" w:type="dxa"/>
          </w:tcPr>
          <w:p w14:paraId="201BD44B" w14:textId="77777777" w:rsidR="00B065FB" w:rsidRPr="009222A5" w:rsidRDefault="00B065FB" w:rsidP="006659DA">
            <w:pPr>
              <w:pStyle w:val="SCVtablebody"/>
              <w:spacing w:before="40" w:after="40"/>
              <w:jc w:val="right"/>
              <w:rPr>
                <w:sz w:val="17"/>
                <w:szCs w:val="17"/>
              </w:rPr>
            </w:pPr>
            <w:r w:rsidRPr="009222A5">
              <w:rPr>
                <w:sz w:val="17"/>
                <w:szCs w:val="17"/>
              </w:rPr>
              <w:t>23.8%</w:t>
            </w:r>
          </w:p>
        </w:tc>
      </w:tr>
      <w:tr w:rsidR="00B065FB" w:rsidRPr="009222A5" w14:paraId="6C9F1B8C" w14:textId="77777777" w:rsidTr="00B065FB">
        <w:tc>
          <w:tcPr>
            <w:tcW w:w="6663" w:type="dxa"/>
          </w:tcPr>
          <w:p w14:paraId="6F5C3D6B" w14:textId="77777777" w:rsidR="00B065FB" w:rsidRPr="009222A5" w:rsidRDefault="00B065FB" w:rsidP="009222A5">
            <w:pPr>
              <w:pStyle w:val="SCVtablebody"/>
              <w:spacing w:before="40" w:after="40"/>
              <w:rPr>
                <w:sz w:val="17"/>
                <w:szCs w:val="17"/>
              </w:rPr>
            </w:pPr>
            <w:r w:rsidRPr="009222A5">
              <w:rPr>
                <w:sz w:val="17"/>
                <w:szCs w:val="17"/>
              </w:rPr>
              <w:t>Senior secondary education</w:t>
            </w:r>
          </w:p>
        </w:tc>
        <w:tc>
          <w:tcPr>
            <w:tcW w:w="1842" w:type="dxa"/>
          </w:tcPr>
          <w:p w14:paraId="40AD1E5E" w14:textId="77777777" w:rsidR="00B065FB" w:rsidRPr="009222A5" w:rsidRDefault="00B065FB" w:rsidP="006659DA">
            <w:pPr>
              <w:pStyle w:val="SCVtablebody"/>
              <w:spacing w:before="40" w:after="40"/>
              <w:jc w:val="right"/>
              <w:rPr>
                <w:sz w:val="17"/>
                <w:szCs w:val="17"/>
              </w:rPr>
            </w:pPr>
            <w:r w:rsidRPr="009222A5">
              <w:rPr>
                <w:sz w:val="17"/>
                <w:szCs w:val="17"/>
              </w:rPr>
              <w:t>217</w:t>
            </w:r>
          </w:p>
        </w:tc>
        <w:tc>
          <w:tcPr>
            <w:tcW w:w="1699" w:type="dxa"/>
          </w:tcPr>
          <w:p w14:paraId="4C72D696" w14:textId="77777777" w:rsidR="00B065FB" w:rsidRPr="009222A5" w:rsidRDefault="00B065FB" w:rsidP="006659DA">
            <w:pPr>
              <w:pStyle w:val="SCVtablebody"/>
              <w:spacing w:before="40" w:after="40"/>
              <w:jc w:val="right"/>
              <w:rPr>
                <w:sz w:val="17"/>
                <w:szCs w:val="17"/>
              </w:rPr>
            </w:pPr>
            <w:r w:rsidRPr="009222A5">
              <w:rPr>
                <w:sz w:val="17"/>
                <w:szCs w:val="17"/>
              </w:rPr>
              <w:t>24.1%</w:t>
            </w:r>
          </w:p>
        </w:tc>
      </w:tr>
      <w:tr w:rsidR="00B065FB" w:rsidRPr="009222A5" w14:paraId="59405D5E" w14:textId="77777777" w:rsidTr="00B065FB">
        <w:tc>
          <w:tcPr>
            <w:tcW w:w="6663" w:type="dxa"/>
          </w:tcPr>
          <w:p w14:paraId="2EF0A8A5" w14:textId="77777777" w:rsidR="00B065FB" w:rsidRPr="009222A5" w:rsidRDefault="00B065FB" w:rsidP="009222A5">
            <w:pPr>
              <w:pStyle w:val="SCVtablebody"/>
              <w:spacing w:before="40" w:after="40"/>
              <w:rPr>
                <w:sz w:val="17"/>
                <w:szCs w:val="17"/>
              </w:rPr>
            </w:pPr>
            <w:r w:rsidRPr="009222A5">
              <w:rPr>
                <w:sz w:val="17"/>
                <w:szCs w:val="17"/>
              </w:rPr>
              <w:t>Certificate level</w:t>
            </w:r>
          </w:p>
        </w:tc>
        <w:tc>
          <w:tcPr>
            <w:tcW w:w="1842" w:type="dxa"/>
          </w:tcPr>
          <w:p w14:paraId="6182933D" w14:textId="77777777" w:rsidR="00B065FB" w:rsidRPr="009222A5" w:rsidRDefault="00B065FB" w:rsidP="006659DA">
            <w:pPr>
              <w:pStyle w:val="SCVtablebody"/>
              <w:spacing w:before="40" w:after="40"/>
              <w:jc w:val="right"/>
              <w:rPr>
                <w:sz w:val="17"/>
                <w:szCs w:val="17"/>
              </w:rPr>
            </w:pPr>
            <w:r w:rsidRPr="009222A5">
              <w:rPr>
                <w:sz w:val="17"/>
                <w:szCs w:val="17"/>
              </w:rPr>
              <w:t>48</w:t>
            </w:r>
          </w:p>
        </w:tc>
        <w:tc>
          <w:tcPr>
            <w:tcW w:w="1699" w:type="dxa"/>
          </w:tcPr>
          <w:p w14:paraId="69576812" w14:textId="77777777" w:rsidR="00B065FB" w:rsidRPr="009222A5" w:rsidRDefault="00B065FB" w:rsidP="006659DA">
            <w:pPr>
              <w:pStyle w:val="SCVtablebody"/>
              <w:spacing w:before="40" w:after="40"/>
              <w:jc w:val="right"/>
              <w:rPr>
                <w:sz w:val="17"/>
                <w:szCs w:val="17"/>
              </w:rPr>
            </w:pPr>
            <w:r w:rsidRPr="009222A5">
              <w:rPr>
                <w:sz w:val="17"/>
                <w:szCs w:val="17"/>
              </w:rPr>
              <w:t>5.3%</w:t>
            </w:r>
          </w:p>
        </w:tc>
      </w:tr>
      <w:tr w:rsidR="00B065FB" w:rsidRPr="009222A5" w14:paraId="4FD12D2B" w14:textId="77777777" w:rsidTr="00B065FB">
        <w:tc>
          <w:tcPr>
            <w:tcW w:w="6663" w:type="dxa"/>
          </w:tcPr>
          <w:p w14:paraId="154ACF65" w14:textId="77777777" w:rsidR="00B065FB" w:rsidRPr="009222A5" w:rsidRDefault="00B065FB" w:rsidP="009222A5">
            <w:pPr>
              <w:pStyle w:val="SCVtablebody"/>
              <w:spacing w:before="40" w:after="40"/>
              <w:rPr>
                <w:sz w:val="17"/>
                <w:szCs w:val="17"/>
              </w:rPr>
            </w:pPr>
            <w:r w:rsidRPr="009222A5">
              <w:rPr>
                <w:sz w:val="17"/>
                <w:szCs w:val="17"/>
              </w:rPr>
              <w:t>Graduate diploma and graduate certificate level</w:t>
            </w:r>
          </w:p>
        </w:tc>
        <w:tc>
          <w:tcPr>
            <w:tcW w:w="1842" w:type="dxa"/>
          </w:tcPr>
          <w:p w14:paraId="72030CE9" w14:textId="77777777" w:rsidR="00B065FB" w:rsidRPr="009222A5" w:rsidRDefault="00B065FB" w:rsidP="006659DA">
            <w:pPr>
              <w:pStyle w:val="SCVtablebody"/>
              <w:spacing w:before="40" w:after="40"/>
              <w:jc w:val="right"/>
              <w:rPr>
                <w:sz w:val="17"/>
                <w:szCs w:val="17"/>
              </w:rPr>
            </w:pPr>
            <w:r w:rsidRPr="009222A5">
              <w:rPr>
                <w:sz w:val="17"/>
                <w:szCs w:val="17"/>
              </w:rPr>
              <w:t>23</w:t>
            </w:r>
          </w:p>
        </w:tc>
        <w:tc>
          <w:tcPr>
            <w:tcW w:w="1699" w:type="dxa"/>
          </w:tcPr>
          <w:p w14:paraId="7A1341D3" w14:textId="77777777" w:rsidR="00B065FB" w:rsidRPr="009222A5" w:rsidRDefault="00B065FB" w:rsidP="006659DA">
            <w:pPr>
              <w:pStyle w:val="SCVtablebody"/>
              <w:spacing w:before="40" w:after="40"/>
              <w:jc w:val="right"/>
              <w:rPr>
                <w:sz w:val="17"/>
                <w:szCs w:val="17"/>
              </w:rPr>
            </w:pPr>
            <w:r w:rsidRPr="009222A5">
              <w:rPr>
                <w:sz w:val="17"/>
                <w:szCs w:val="17"/>
              </w:rPr>
              <w:t>2.6%</w:t>
            </w:r>
          </w:p>
        </w:tc>
      </w:tr>
      <w:tr w:rsidR="00B065FB" w:rsidRPr="009222A5" w14:paraId="5A42B572" w14:textId="77777777" w:rsidTr="00B065FB">
        <w:tc>
          <w:tcPr>
            <w:tcW w:w="6663" w:type="dxa"/>
          </w:tcPr>
          <w:p w14:paraId="26BEABA8" w14:textId="77777777" w:rsidR="00B065FB" w:rsidRPr="009222A5" w:rsidRDefault="00B065FB" w:rsidP="009222A5">
            <w:pPr>
              <w:pStyle w:val="SCVtablebody"/>
              <w:spacing w:before="40" w:after="40"/>
              <w:rPr>
                <w:sz w:val="17"/>
                <w:szCs w:val="17"/>
              </w:rPr>
            </w:pPr>
            <w:r w:rsidRPr="009222A5">
              <w:rPr>
                <w:sz w:val="17"/>
                <w:szCs w:val="17"/>
              </w:rPr>
              <w:t>Advanced diploma and diploma level</w:t>
            </w:r>
          </w:p>
        </w:tc>
        <w:tc>
          <w:tcPr>
            <w:tcW w:w="1842" w:type="dxa"/>
          </w:tcPr>
          <w:p w14:paraId="7BCC081F" w14:textId="77777777" w:rsidR="00B065FB" w:rsidRPr="009222A5" w:rsidRDefault="00B065FB" w:rsidP="006659DA">
            <w:pPr>
              <w:pStyle w:val="SCVtablebody"/>
              <w:spacing w:before="40" w:after="40"/>
              <w:jc w:val="right"/>
              <w:rPr>
                <w:sz w:val="17"/>
                <w:szCs w:val="17"/>
              </w:rPr>
            </w:pPr>
            <w:r w:rsidRPr="009222A5">
              <w:rPr>
                <w:sz w:val="17"/>
                <w:szCs w:val="17"/>
              </w:rPr>
              <w:t>60</w:t>
            </w:r>
          </w:p>
        </w:tc>
        <w:tc>
          <w:tcPr>
            <w:tcW w:w="1699" w:type="dxa"/>
          </w:tcPr>
          <w:p w14:paraId="5D608106" w14:textId="77777777" w:rsidR="00B065FB" w:rsidRPr="009222A5" w:rsidRDefault="00B065FB" w:rsidP="006659DA">
            <w:pPr>
              <w:pStyle w:val="SCVtablebody"/>
              <w:spacing w:before="40" w:after="40"/>
              <w:jc w:val="right"/>
              <w:rPr>
                <w:sz w:val="17"/>
                <w:szCs w:val="17"/>
              </w:rPr>
            </w:pPr>
            <w:r w:rsidRPr="009222A5">
              <w:rPr>
                <w:sz w:val="17"/>
                <w:szCs w:val="17"/>
              </w:rPr>
              <w:t>6.7%</w:t>
            </w:r>
          </w:p>
        </w:tc>
      </w:tr>
      <w:tr w:rsidR="00B065FB" w:rsidRPr="009222A5" w14:paraId="29D5C513" w14:textId="77777777" w:rsidTr="00B065FB">
        <w:tc>
          <w:tcPr>
            <w:tcW w:w="6663" w:type="dxa"/>
          </w:tcPr>
          <w:p w14:paraId="4C37B054" w14:textId="77777777" w:rsidR="00B065FB" w:rsidRPr="009222A5" w:rsidRDefault="00B065FB" w:rsidP="009222A5">
            <w:pPr>
              <w:pStyle w:val="SCVtablebody"/>
              <w:spacing w:before="40" w:after="40"/>
              <w:rPr>
                <w:sz w:val="17"/>
                <w:szCs w:val="17"/>
              </w:rPr>
            </w:pPr>
            <w:proofErr w:type="gramStart"/>
            <w:r w:rsidRPr="009222A5">
              <w:rPr>
                <w:sz w:val="17"/>
                <w:szCs w:val="17"/>
              </w:rPr>
              <w:t>Bachelor</w:t>
            </w:r>
            <w:proofErr w:type="gramEnd"/>
            <w:r w:rsidRPr="009222A5">
              <w:rPr>
                <w:sz w:val="17"/>
                <w:szCs w:val="17"/>
              </w:rPr>
              <w:t xml:space="preserve"> degree level</w:t>
            </w:r>
          </w:p>
        </w:tc>
        <w:tc>
          <w:tcPr>
            <w:tcW w:w="1842" w:type="dxa"/>
          </w:tcPr>
          <w:p w14:paraId="0F745F29" w14:textId="77777777" w:rsidR="00B065FB" w:rsidRPr="009222A5" w:rsidRDefault="00B065FB" w:rsidP="006659DA">
            <w:pPr>
              <w:pStyle w:val="SCVtablebody"/>
              <w:spacing w:before="40" w:after="40"/>
              <w:jc w:val="right"/>
              <w:rPr>
                <w:sz w:val="17"/>
                <w:szCs w:val="17"/>
              </w:rPr>
            </w:pPr>
            <w:r w:rsidRPr="009222A5">
              <w:rPr>
                <w:sz w:val="17"/>
                <w:szCs w:val="17"/>
              </w:rPr>
              <w:t>138</w:t>
            </w:r>
          </w:p>
        </w:tc>
        <w:tc>
          <w:tcPr>
            <w:tcW w:w="1699" w:type="dxa"/>
          </w:tcPr>
          <w:p w14:paraId="7E7356CC" w14:textId="77777777" w:rsidR="00B065FB" w:rsidRPr="009222A5" w:rsidRDefault="00B065FB" w:rsidP="006659DA">
            <w:pPr>
              <w:pStyle w:val="SCVtablebody"/>
              <w:spacing w:before="40" w:after="40"/>
              <w:jc w:val="right"/>
              <w:rPr>
                <w:sz w:val="17"/>
                <w:szCs w:val="17"/>
              </w:rPr>
            </w:pPr>
            <w:r w:rsidRPr="009222A5">
              <w:rPr>
                <w:sz w:val="17"/>
                <w:szCs w:val="17"/>
              </w:rPr>
              <w:t>15.3%</w:t>
            </w:r>
          </w:p>
        </w:tc>
      </w:tr>
      <w:tr w:rsidR="00B065FB" w:rsidRPr="009222A5" w14:paraId="21C1AEDE" w14:textId="77777777" w:rsidTr="00B065FB">
        <w:tc>
          <w:tcPr>
            <w:tcW w:w="6663" w:type="dxa"/>
          </w:tcPr>
          <w:p w14:paraId="08F63236" w14:textId="77777777" w:rsidR="00B065FB" w:rsidRPr="009222A5" w:rsidRDefault="00B065FB" w:rsidP="009222A5">
            <w:pPr>
              <w:pStyle w:val="SCVtablebody"/>
              <w:spacing w:before="40" w:after="40"/>
              <w:rPr>
                <w:sz w:val="17"/>
                <w:szCs w:val="17"/>
              </w:rPr>
            </w:pPr>
            <w:r w:rsidRPr="009222A5">
              <w:rPr>
                <w:sz w:val="17"/>
                <w:szCs w:val="17"/>
              </w:rPr>
              <w:t>Post graduate level</w:t>
            </w:r>
          </w:p>
        </w:tc>
        <w:tc>
          <w:tcPr>
            <w:tcW w:w="1842" w:type="dxa"/>
          </w:tcPr>
          <w:p w14:paraId="67F0FFF5" w14:textId="77777777" w:rsidR="00B065FB" w:rsidRPr="009222A5" w:rsidRDefault="00B065FB" w:rsidP="006659DA">
            <w:pPr>
              <w:pStyle w:val="SCVtablebody"/>
              <w:spacing w:before="40" w:after="40"/>
              <w:jc w:val="right"/>
              <w:rPr>
                <w:sz w:val="17"/>
                <w:szCs w:val="17"/>
              </w:rPr>
            </w:pPr>
            <w:r w:rsidRPr="009222A5">
              <w:rPr>
                <w:sz w:val="17"/>
                <w:szCs w:val="17"/>
              </w:rPr>
              <w:t>57</w:t>
            </w:r>
          </w:p>
        </w:tc>
        <w:tc>
          <w:tcPr>
            <w:tcW w:w="1699" w:type="dxa"/>
          </w:tcPr>
          <w:p w14:paraId="239838A4" w14:textId="77777777" w:rsidR="00B065FB" w:rsidRPr="009222A5" w:rsidRDefault="00B065FB" w:rsidP="006659DA">
            <w:pPr>
              <w:pStyle w:val="SCVtablebody"/>
              <w:spacing w:before="40" w:after="40"/>
              <w:jc w:val="right"/>
              <w:rPr>
                <w:sz w:val="17"/>
                <w:szCs w:val="17"/>
              </w:rPr>
            </w:pPr>
            <w:r w:rsidRPr="009222A5">
              <w:rPr>
                <w:sz w:val="17"/>
                <w:szCs w:val="17"/>
              </w:rPr>
              <w:t>6.3%</w:t>
            </w:r>
          </w:p>
        </w:tc>
      </w:tr>
      <w:tr w:rsidR="00B065FB" w:rsidRPr="009222A5" w14:paraId="45B74DFC" w14:textId="77777777" w:rsidTr="00B065FB">
        <w:tc>
          <w:tcPr>
            <w:tcW w:w="6663" w:type="dxa"/>
          </w:tcPr>
          <w:p w14:paraId="1E5E3279" w14:textId="77777777" w:rsidR="00B065FB" w:rsidRPr="009222A5" w:rsidRDefault="00B065FB" w:rsidP="009222A5">
            <w:pPr>
              <w:pStyle w:val="SCVtablebody"/>
              <w:spacing w:before="40" w:after="40"/>
              <w:rPr>
                <w:sz w:val="17"/>
                <w:szCs w:val="17"/>
              </w:rPr>
            </w:pPr>
            <w:r w:rsidRPr="009222A5">
              <w:rPr>
                <w:sz w:val="17"/>
                <w:szCs w:val="17"/>
              </w:rPr>
              <w:t>Other education</w:t>
            </w:r>
          </w:p>
        </w:tc>
        <w:tc>
          <w:tcPr>
            <w:tcW w:w="1842" w:type="dxa"/>
          </w:tcPr>
          <w:p w14:paraId="1EC30BCC" w14:textId="77777777" w:rsidR="00B065FB" w:rsidRPr="009222A5" w:rsidRDefault="00B065FB" w:rsidP="006659DA">
            <w:pPr>
              <w:pStyle w:val="SCVtablebody"/>
              <w:spacing w:before="40" w:after="40"/>
              <w:jc w:val="right"/>
              <w:rPr>
                <w:sz w:val="17"/>
                <w:szCs w:val="17"/>
              </w:rPr>
            </w:pPr>
            <w:r w:rsidRPr="009222A5">
              <w:rPr>
                <w:sz w:val="17"/>
                <w:szCs w:val="17"/>
              </w:rPr>
              <w:t>13</w:t>
            </w:r>
          </w:p>
        </w:tc>
        <w:tc>
          <w:tcPr>
            <w:tcW w:w="1699" w:type="dxa"/>
          </w:tcPr>
          <w:p w14:paraId="3BA861A8" w14:textId="77777777" w:rsidR="00B065FB" w:rsidRPr="009222A5" w:rsidRDefault="00B065FB" w:rsidP="006659DA">
            <w:pPr>
              <w:pStyle w:val="SCVtablebody"/>
              <w:spacing w:before="40" w:after="40"/>
              <w:jc w:val="right"/>
              <w:rPr>
                <w:sz w:val="17"/>
                <w:szCs w:val="17"/>
              </w:rPr>
            </w:pPr>
            <w:r w:rsidRPr="009222A5">
              <w:rPr>
                <w:sz w:val="17"/>
                <w:szCs w:val="17"/>
              </w:rPr>
              <w:t>1.4%</w:t>
            </w:r>
          </w:p>
        </w:tc>
      </w:tr>
      <w:tr w:rsidR="00B065FB" w:rsidRPr="009222A5" w14:paraId="19730393" w14:textId="77777777" w:rsidTr="009222A5">
        <w:tc>
          <w:tcPr>
            <w:tcW w:w="6663" w:type="dxa"/>
            <w:tcBorders>
              <w:bottom w:val="single" w:sz="2" w:space="0" w:color="80808B"/>
            </w:tcBorders>
          </w:tcPr>
          <w:p w14:paraId="2437A23A" w14:textId="77777777" w:rsidR="00B065FB" w:rsidRPr="009222A5" w:rsidRDefault="00B065FB" w:rsidP="009222A5">
            <w:pPr>
              <w:pStyle w:val="SCVtablebody"/>
              <w:spacing w:before="40" w:after="40"/>
              <w:rPr>
                <w:sz w:val="17"/>
                <w:szCs w:val="17"/>
              </w:rPr>
            </w:pPr>
            <w:r w:rsidRPr="009222A5">
              <w:rPr>
                <w:sz w:val="17"/>
                <w:szCs w:val="17"/>
              </w:rPr>
              <w:t>Unknown</w:t>
            </w:r>
          </w:p>
        </w:tc>
        <w:tc>
          <w:tcPr>
            <w:tcW w:w="1842" w:type="dxa"/>
            <w:tcBorders>
              <w:bottom w:val="single" w:sz="2" w:space="0" w:color="80808B"/>
            </w:tcBorders>
          </w:tcPr>
          <w:p w14:paraId="05575135" w14:textId="77777777" w:rsidR="00B065FB" w:rsidRPr="009222A5" w:rsidRDefault="00B065FB" w:rsidP="006659DA">
            <w:pPr>
              <w:pStyle w:val="SCVtablebody"/>
              <w:spacing w:before="40" w:after="40"/>
              <w:jc w:val="right"/>
              <w:rPr>
                <w:sz w:val="17"/>
                <w:szCs w:val="17"/>
              </w:rPr>
            </w:pPr>
            <w:r w:rsidRPr="009222A5">
              <w:rPr>
                <w:sz w:val="17"/>
                <w:szCs w:val="17"/>
              </w:rPr>
              <w:t>88</w:t>
            </w:r>
          </w:p>
        </w:tc>
        <w:tc>
          <w:tcPr>
            <w:tcW w:w="1699" w:type="dxa"/>
            <w:tcBorders>
              <w:bottom w:val="single" w:sz="2" w:space="0" w:color="80808B"/>
            </w:tcBorders>
          </w:tcPr>
          <w:p w14:paraId="01D31255" w14:textId="77777777" w:rsidR="00B065FB" w:rsidRPr="009222A5" w:rsidRDefault="00B065FB" w:rsidP="006659DA">
            <w:pPr>
              <w:pStyle w:val="SCVtablebody"/>
              <w:spacing w:before="40" w:after="40"/>
              <w:jc w:val="right"/>
              <w:rPr>
                <w:sz w:val="17"/>
                <w:szCs w:val="17"/>
              </w:rPr>
            </w:pPr>
            <w:r w:rsidRPr="009222A5">
              <w:rPr>
                <w:sz w:val="17"/>
                <w:szCs w:val="17"/>
              </w:rPr>
              <w:t>9.8%</w:t>
            </w:r>
          </w:p>
        </w:tc>
      </w:tr>
      <w:tr w:rsidR="00B065FB" w14:paraId="1888A6AF" w14:textId="77777777" w:rsidTr="009222A5">
        <w:tc>
          <w:tcPr>
            <w:tcW w:w="6663" w:type="dxa"/>
            <w:shd w:val="clear" w:color="auto" w:fill="F2F2F2" w:themeFill="background1" w:themeFillShade="F2"/>
          </w:tcPr>
          <w:p w14:paraId="6C5CD6D3" w14:textId="77777777" w:rsidR="00B065FB" w:rsidRDefault="00B065FB" w:rsidP="009222A5">
            <w:pPr>
              <w:pStyle w:val="SCVtablerowhead"/>
              <w:spacing w:before="40" w:after="40" w:line="240" w:lineRule="atLeast"/>
            </w:pPr>
            <w:r>
              <w:t>Residence</w:t>
            </w:r>
          </w:p>
        </w:tc>
        <w:tc>
          <w:tcPr>
            <w:tcW w:w="1842" w:type="dxa"/>
            <w:shd w:val="clear" w:color="auto" w:fill="F2F2F2" w:themeFill="background1" w:themeFillShade="F2"/>
          </w:tcPr>
          <w:p w14:paraId="40AA44E1" w14:textId="77777777" w:rsidR="00B065FB" w:rsidRDefault="00B065FB" w:rsidP="006659DA">
            <w:pPr>
              <w:pStyle w:val="SCVtablebody"/>
              <w:spacing w:before="40" w:after="40"/>
              <w:jc w:val="right"/>
            </w:pPr>
          </w:p>
        </w:tc>
        <w:tc>
          <w:tcPr>
            <w:tcW w:w="1699" w:type="dxa"/>
            <w:shd w:val="clear" w:color="auto" w:fill="F2F2F2" w:themeFill="background1" w:themeFillShade="F2"/>
          </w:tcPr>
          <w:p w14:paraId="5F2138B0" w14:textId="77777777" w:rsidR="00B065FB" w:rsidRDefault="00B065FB" w:rsidP="006659DA">
            <w:pPr>
              <w:pStyle w:val="SCVtablebody"/>
              <w:spacing w:before="40" w:after="40"/>
              <w:jc w:val="right"/>
            </w:pPr>
          </w:p>
        </w:tc>
      </w:tr>
      <w:tr w:rsidR="00B065FB" w:rsidRPr="009222A5" w14:paraId="18251B1D" w14:textId="77777777" w:rsidTr="00B065FB">
        <w:tc>
          <w:tcPr>
            <w:tcW w:w="6663" w:type="dxa"/>
          </w:tcPr>
          <w:p w14:paraId="4D6F4CE2" w14:textId="77777777" w:rsidR="00B065FB" w:rsidRPr="009222A5" w:rsidRDefault="00B065FB" w:rsidP="009222A5">
            <w:pPr>
              <w:pStyle w:val="SCVtablebody"/>
              <w:spacing w:before="40" w:after="40"/>
              <w:rPr>
                <w:sz w:val="17"/>
                <w:szCs w:val="17"/>
              </w:rPr>
            </w:pPr>
            <w:r w:rsidRPr="009222A5">
              <w:rPr>
                <w:sz w:val="17"/>
                <w:szCs w:val="17"/>
              </w:rPr>
              <w:t>Metropolitan</w:t>
            </w:r>
          </w:p>
        </w:tc>
        <w:tc>
          <w:tcPr>
            <w:tcW w:w="1842" w:type="dxa"/>
          </w:tcPr>
          <w:p w14:paraId="41E5549D" w14:textId="77777777" w:rsidR="00B065FB" w:rsidRPr="009222A5" w:rsidRDefault="00B065FB" w:rsidP="006659DA">
            <w:pPr>
              <w:pStyle w:val="SCVtablebody"/>
              <w:spacing w:before="40" w:after="40"/>
              <w:jc w:val="right"/>
              <w:rPr>
                <w:sz w:val="17"/>
                <w:szCs w:val="17"/>
              </w:rPr>
            </w:pPr>
            <w:r w:rsidRPr="009222A5">
              <w:rPr>
                <w:sz w:val="17"/>
                <w:szCs w:val="17"/>
              </w:rPr>
              <w:t>577</w:t>
            </w:r>
          </w:p>
        </w:tc>
        <w:tc>
          <w:tcPr>
            <w:tcW w:w="1699" w:type="dxa"/>
          </w:tcPr>
          <w:p w14:paraId="15EBF510" w14:textId="77777777" w:rsidR="00B065FB" w:rsidRPr="009222A5" w:rsidRDefault="00B065FB" w:rsidP="006659DA">
            <w:pPr>
              <w:pStyle w:val="SCVtablebody"/>
              <w:spacing w:before="40" w:after="40"/>
              <w:jc w:val="right"/>
              <w:rPr>
                <w:sz w:val="17"/>
                <w:szCs w:val="17"/>
              </w:rPr>
            </w:pPr>
            <w:r w:rsidRPr="009222A5">
              <w:rPr>
                <w:sz w:val="17"/>
                <w:szCs w:val="17"/>
              </w:rPr>
              <w:t>64.1%</w:t>
            </w:r>
          </w:p>
        </w:tc>
      </w:tr>
      <w:tr w:rsidR="00B065FB" w:rsidRPr="009222A5" w14:paraId="6B5BCC3E" w14:textId="77777777" w:rsidTr="009222A5">
        <w:tc>
          <w:tcPr>
            <w:tcW w:w="6663" w:type="dxa"/>
            <w:tcBorders>
              <w:bottom w:val="single" w:sz="2" w:space="0" w:color="80808B"/>
            </w:tcBorders>
          </w:tcPr>
          <w:p w14:paraId="628DF921" w14:textId="77777777" w:rsidR="00B065FB" w:rsidRPr="009222A5" w:rsidRDefault="00B065FB" w:rsidP="009222A5">
            <w:pPr>
              <w:pStyle w:val="SCVtablebody"/>
              <w:spacing w:before="40" w:after="40"/>
              <w:rPr>
                <w:sz w:val="17"/>
                <w:szCs w:val="17"/>
              </w:rPr>
            </w:pPr>
            <w:r w:rsidRPr="009222A5">
              <w:rPr>
                <w:sz w:val="17"/>
                <w:szCs w:val="17"/>
              </w:rPr>
              <w:t>Regional/rural</w:t>
            </w:r>
          </w:p>
        </w:tc>
        <w:tc>
          <w:tcPr>
            <w:tcW w:w="1842" w:type="dxa"/>
            <w:tcBorders>
              <w:bottom w:val="single" w:sz="2" w:space="0" w:color="80808B"/>
            </w:tcBorders>
          </w:tcPr>
          <w:p w14:paraId="7B9B5FC5" w14:textId="77777777" w:rsidR="00B065FB" w:rsidRPr="009222A5" w:rsidRDefault="00B065FB" w:rsidP="006659DA">
            <w:pPr>
              <w:pStyle w:val="SCVtablebody"/>
              <w:spacing w:before="40" w:after="40"/>
              <w:jc w:val="right"/>
              <w:rPr>
                <w:sz w:val="17"/>
                <w:szCs w:val="17"/>
              </w:rPr>
            </w:pPr>
            <w:r w:rsidRPr="009222A5">
              <w:rPr>
                <w:sz w:val="17"/>
                <w:szCs w:val="17"/>
              </w:rPr>
              <w:t>323</w:t>
            </w:r>
          </w:p>
        </w:tc>
        <w:tc>
          <w:tcPr>
            <w:tcW w:w="1699" w:type="dxa"/>
            <w:tcBorders>
              <w:bottom w:val="single" w:sz="2" w:space="0" w:color="80808B"/>
            </w:tcBorders>
          </w:tcPr>
          <w:p w14:paraId="12B60147" w14:textId="77777777" w:rsidR="00B065FB" w:rsidRPr="009222A5" w:rsidRDefault="00B065FB" w:rsidP="006659DA">
            <w:pPr>
              <w:pStyle w:val="SCVtablebody"/>
              <w:spacing w:before="40" w:after="40"/>
              <w:jc w:val="right"/>
              <w:rPr>
                <w:sz w:val="17"/>
                <w:szCs w:val="17"/>
              </w:rPr>
            </w:pPr>
            <w:r w:rsidRPr="009222A5">
              <w:rPr>
                <w:sz w:val="17"/>
                <w:szCs w:val="17"/>
              </w:rPr>
              <w:t>35.9%</w:t>
            </w:r>
          </w:p>
        </w:tc>
      </w:tr>
      <w:tr w:rsidR="00B065FB" w:rsidRPr="00B065FB" w14:paraId="747447E3" w14:textId="77777777" w:rsidTr="009222A5">
        <w:tc>
          <w:tcPr>
            <w:tcW w:w="6663" w:type="dxa"/>
            <w:shd w:val="clear" w:color="auto" w:fill="F2F2F2" w:themeFill="background1" w:themeFillShade="F2"/>
          </w:tcPr>
          <w:p w14:paraId="3BB7635B" w14:textId="77777777" w:rsidR="00B065FB" w:rsidRPr="00B065FB" w:rsidRDefault="00B065FB" w:rsidP="009222A5">
            <w:pPr>
              <w:pStyle w:val="SCVtablerowhead"/>
              <w:spacing w:before="40" w:after="40" w:line="240" w:lineRule="atLeast"/>
            </w:pPr>
            <w:r w:rsidRPr="00B065FB">
              <w:t>Living situation</w:t>
            </w:r>
          </w:p>
        </w:tc>
        <w:tc>
          <w:tcPr>
            <w:tcW w:w="1842" w:type="dxa"/>
            <w:shd w:val="clear" w:color="auto" w:fill="F2F2F2" w:themeFill="background1" w:themeFillShade="F2"/>
          </w:tcPr>
          <w:p w14:paraId="056B6537" w14:textId="77777777" w:rsidR="00B065FB" w:rsidRPr="00B065FB" w:rsidRDefault="00B065FB" w:rsidP="006659DA">
            <w:pPr>
              <w:pStyle w:val="SCVtablebody"/>
              <w:spacing w:before="40" w:after="40"/>
              <w:jc w:val="right"/>
            </w:pPr>
          </w:p>
        </w:tc>
        <w:tc>
          <w:tcPr>
            <w:tcW w:w="1699" w:type="dxa"/>
            <w:shd w:val="clear" w:color="auto" w:fill="F2F2F2" w:themeFill="background1" w:themeFillShade="F2"/>
          </w:tcPr>
          <w:p w14:paraId="0416A994" w14:textId="77777777" w:rsidR="00B065FB" w:rsidRPr="00B065FB" w:rsidRDefault="00B065FB" w:rsidP="006659DA">
            <w:pPr>
              <w:pStyle w:val="SCVtablebody"/>
              <w:spacing w:before="40" w:after="40"/>
              <w:jc w:val="right"/>
            </w:pPr>
          </w:p>
        </w:tc>
      </w:tr>
      <w:tr w:rsidR="00B065FB" w:rsidRPr="009222A5" w14:paraId="44171B6F" w14:textId="77777777" w:rsidTr="00B065FB">
        <w:tc>
          <w:tcPr>
            <w:tcW w:w="6663" w:type="dxa"/>
          </w:tcPr>
          <w:p w14:paraId="2BF6C75A" w14:textId="77777777" w:rsidR="00B065FB" w:rsidRPr="009222A5" w:rsidRDefault="00B065FB" w:rsidP="009222A5">
            <w:pPr>
              <w:pStyle w:val="SCVtablebody"/>
              <w:spacing w:before="40" w:after="40"/>
              <w:rPr>
                <w:sz w:val="17"/>
                <w:szCs w:val="17"/>
              </w:rPr>
            </w:pPr>
            <w:r w:rsidRPr="009222A5">
              <w:rPr>
                <w:sz w:val="17"/>
                <w:szCs w:val="17"/>
              </w:rPr>
              <w:t>Private household</w:t>
            </w:r>
          </w:p>
        </w:tc>
        <w:tc>
          <w:tcPr>
            <w:tcW w:w="1842" w:type="dxa"/>
          </w:tcPr>
          <w:p w14:paraId="354A9326" w14:textId="77777777" w:rsidR="00B065FB" w:rsidRPr="009222A5" w:rsidRDefault="00B065FB" w:rsidP="006659DA">
            <w:pPr>
              <w:pStyle w:val="SCVtablebody"/>
              <w:spacing w:before="40" w:after="40"/>
              <w:jc w:val="right"/>
              <w:rPr>
                <w:sz w:val="17"/>
                <w:szCs w:val="17"/>
              </w:rPr>
            </w:pPr>
            <w:r w:rsidRPr="009222A5">
              <w:rPr>
                <w:sz w:val="17"/>
                <w:szCs w:val="17"/>
              </w:rPr>
              <w:t>775</w:t>
            </w:r>
          </w:p>
        </w:tc>
        <w:tc>
          <w:tcPr>
            <w:tcW w:w="1699" w:type="dxa"/>
          </w:tcPr>
          <w:p w14:paraId="08FBEF47" w14:textId="77777777" w:rsidR="00B065FB" w:rsidRPr="009222A5" w:rsidRDefault="00B065FB" w:rsidP="006659DA">
            <w:pPr>
              <w:pStyle w:val="SCVtablebody"/>
              <w:spacing w:before="40" w:after="40"/>
              <w:jc w:val="right"/>
              <w:rPr>
                <w:sz w:val="17"/>
                <w:szCs w:val="17"/>
              </w:rPr>
            </w:pPr>
            <w:r w:rsidRPr="009222A5">
              <w:rPr>
                <w:sz w:val="17"/>
                <w:szCs w:val="17"/>
              </w:rPr>
              <w:t>86.1%</w:t>
            </w:r>
          </w:p>
        </w:tc>
      </w:tr>
      <w:tr w:rsidR="00B065FB" w:rsidRPr="009222A5" w14:paraId="4BF9011E" w14:textId="77777777" w:rsidTr="00B065FB">
        <w:tc>
          <w:tcPr>
            <w:tcW w:w="6663" w:type="dxa"/>
          </w:tcPr>
          <w:p w14:paraId="45844458" w14:textId="77777777" w:rsidR="00B065FB" w:rsidRPr="009222A5" w:rsidRDefault="00B065FB" w:rsidP="009222A5">
            <w:pPr>
              <w:pStyle w:val="SCVtablebody"/>
              <w:spacing w:before="40" w:after="40"/>
              <w:rPr>
                <w:sz w:val="17"/>
                <w:szCs w:val="17"/>
              </w:rPr>
            </w:pPr>
            <w:r w:rsidRPr="009222A5">
              <w:rPr>
                <w:sz w:val="17"/>
                <w:szCs w:val="17"/>
              </w:rPr>
              <w:t>Long term care or assisted living facility</w:t>
            </w:r>
          </w:p>
        </w:tc>
        <w:tc>
          <w:tcPr>
            <w:tcW w:w="1842" w:type="dxa"/>
          </w:tcPr>
          <w:p w14:paraId="7E3EC7B2" w14:textId="77777777" w:rsidR="00B065FB" w:rsidRPr="009222A5" w:rsidRDefault="00B065FB" w:rsidP="006659DA">
            <w:pPr>
              <w:pStyle w:val="SCVtablebody"/>
              <w:spacing w:before="40" w:after="40"/>
              <w:jc w:val="right"/>
              <w:rPr>
                <w:sz w:val="17"/>
                <w:szCs w:val="17"/>
              </w:rPr>
            </w:pPr>
            <w:r w:rsidRPr="009222A5">
              <w:rPr>
                <w:sz w:val="17"/>
                <w:szCs w:val="17"/>
              </w:rPr>
              <w:t>87</w:t>
            </w:r>
          </w:p>
        </w:tc>
        <w:tc>
          <w:tcPr>
            <w:tcW w:w="1699" w:type="dxa"/>
          </w:tcPr>
          <w:p w14:paraId="497FEECD" w14:textId="77777777" w:rsidR="00B065FB" w:rsidRPr="009222A5" w:rsidRDefault="00B065FB" w:rsidP="006659DA">
            <w:pPr>
              <w:pStyle w:val="SCVtablebody"/>
              <w:spacing w:before="40" w:after="40"/>
              <w:jc w:val="right"/>
              <w:rPr>
                <w:sz w:val="17"/>
                <w:szCs w:val="17"/>
              </w:rPr>
            </w:pPr>
            <w:r w:rsidRPr="009222A5">
              <w:rPr>
                <w:sz w:val="17"/>
                <w:szCs w:val="17"/>
              </w:rPr>
              <w:t>9.7%</w:t>
            </w:r>
          </w:p>
        </w:tc>
      </w:tr>
      <w:tr w:rsidR="00B065FB" w:rsidRPr="009222A5" w14:paraId="0EAB8497" w14:textId="77777777" w:rsidTr="00B065FB">
        <w:tc>
          <w:tcPr>
            <w:tcW w:w="6663" w:type="dxa"/>
          </w:tcPr>
          <w:p w14:paraId="2AACC327" w14:textId="77777777" w:rsidR="00B065FB" w:rsidRPr="009222A5" w:rsidRDefault="00B065FB" w:rsidP="009222A5">
            <w:pPr>
              <w:pStyle w:val="SCVtablebody"/>
              <w:spacing w:before="40" w:after="40"/>
              <w:rPr>
                <w:sz w:val="17"/>
                <w:szCs w:val="17"/>
              </w:rPr>
            </w:pPr>
            <w:r w:rsidRPr="009222A5">
              <w:rPr>
                <w:sz w:val="17"/>
                <w:szCs w:val="17"/>
              </w:rPr>
              <w:t>Health service</w:t>
            </w:r>
          </w:p>
        </w:tc>
        <w:tc>
          <w:tcPr>
            <w:tcW w:w="1842" w:type="dxa"/>
          </w:tcPr>
          <w:p w14:paraId="40C76E2F" w14:textId="77777777" w:rsidR="00B065FB" w:rsidRPr="009222A5" w:rsidRDefault="00B065FB" w:rsidP="006659DA">
            <w:pPr>
              <w:pStyle w:val="SCVtablebody"/>
              <w:spacing w:before="40" w:after="40"/>
              <w:jc w:val="right"/>
              <w:rPr>
                <w:sz w:val="17"/>
                <w:szCs w:val="17"/>
              </w:rPr>
            </w:pPr>
            <w:r w:rsidRPr="009222A5">
              <w:rPr>
                <w:sz w:val="17"/>
                <w:szCs w:val="17"/>
              </w:rPr>
              <w:t>33</w:t>
            </w:r>
          </w:p>
        </w:tc>
        <w:tc>
          <w:tcPr>
            <w:tcW w:w="1699" w:type="dxa"/>
          </w:tcPr>
          <w:p w14:paraId="3DDAD1B3" w14:textId="77777777" w:rsidR="00B065FB" w:rsidRPr="009222A5" w:rsidRDefault="00B065FB" w:rsidP="006659DA">
            <w:pPr>
              <w:pStyle w:val="SCVtablebody"/>
              <w:spacing w:before="40" w:after="40"/>
              <w:jc w:val="right"/>
              <w:rPr>
                <w:sz w:val="17"/>
                <w:szCs w:val="17"/>
              </w:rPr>
            </w:pPr>
            <w:r w:rsidRPr="009222A5">
              <w:rPr>
                <w:sz w:val="17"/>
                <w:szCs w:val="17"/>
              </w:rPr>
              <w:t>3.7%</w:t>
            </w:r>
          </w:p>
        </w:tc>
      </w:tr>
      <w:tr w:rsidR="00B065FB" w:rsidRPr="009222A5" w14:paraId="45A65225" w14:textId="77777777" w:rsidTr="00B065FB">
        <w:tc>
          <w:tcPr>
            <w:tcW w:w="6663" w:type="dxa"/>
          </w:tcPr>
          <w:p w14:paraId="650A500C" w14:textId="77777777" w:rsidR="00B065FB" w:rsidRPr="009222A5" w:rsidRDefault="00B065FB" w:rsidP="009222A5">
            <w:pPr>
              <w:pStyle w:val="SCVtablebody"/>
              <w:spacing w:before="40" w:after="40"/>
              <w:rPr>
                <w:sz w:val="17"/>
                <w:szCs w:val="17"/>
              </w:rPr>
            </w:pPr>
            <w:r w:rsidRPr="009222A5">
              <w:rPr>
                <w:sz w:val="17"/>
                <w:szCs w:val="17"/>
              </w:rPr>
              <w:t>Unknown</w:t>
            </w:r>
          </w:p>
        </w:tc>
        <w:tc>
          <w:tcPr>
            <w:tcW w:w="1842" w:type="dxa"/>
          </w:tcPr>
          <w:p w14:paraId="57ADC93B" w14:textId="77777777" w:rsidR="00B065FB" w:rsidRPr="009222A5" w:rsidRDefault="00B065FB" w:rsidP="000A0764">
            <w:pPr>
              <w:pStyle w:val="SCVtablebody"/>
              <w:spacing w:before="40" w:after="40"/>
              <w:jc w:val="right"/>
              <w:rPr>
                <w:sz w:val="17"/>
                <w:szCs w:val="17"/>
              </w:rPr>
            </w:pPr>
            <w:r w:rsidRPr="009222A5">
              <w:rPr>
                <w:sz w:val="17"/>
                <w:szCs w:val="17"/>
              </w:rPr>
              <w:t>5</w:t>
            </w:r>
          </w:p>
        </w:tc>
        <w:tc>
          <w:tcPr>
            <w:tcW w:w="1699" w:type="dxa"/>
          </w:tcPr>
          <w:p w14:paraId="410DB35A" w14:textId="77777777" w:rsidR="00B065FB" w:rsidRPr="009222A5" w:rsidRDefault="00B065FB" w:rsidP="000A0764">
            <w:pPr>
              <w:pStyle w:val="SCVtablebody"/>
              <w:spacing w:before="40" w:after="40"/>
              <w:jc w:val="right"/>
              <w:rPr>
                <w:sz w:val="17"/>
                <w:szCs w:val="17"/>
              </w:rPr>
            </w:pPr>
            <w:r w:rsidRPr="009222A5">
              <w:rPr>
                <w:sz w:val="17"/>
                <w:szCs w:val="17"/>
              </w:rPr>
              <w:t>0.6%</w:t>
            </w:r>
          </w:p>
        </w:tc>
      </w:tr>
    </w:tbl>
    <w:p w14:paraId="18AA361A" w14:textId="0F378879" w:rsidR="009222A5" w:rsidRPr="009222A5" w:rsidRDefault="009222A5" w:rsidP="009222A5">
      <w:pPr>
        <w:pStyle w:val="SCVtablefigurenote"/>
        <w:rPr>
          <w:rStyle w:val="FootnoteReference"/>
          <w:rFonts w:cs="Arial"/>
          <w:sz w:val="14"/>
          <w:szCs w:val="14"/>
          <w:vertAlign w:val="baseline"/>
        </w:rPr>
      </w:pPr>
      <w:r w:rsidRPr="009222A5">
        <w:rPr>
          <w:rStyle w:val="FootnoteReference"/>
          <w:rFonts w:cs="Arial"/>
          <w:sz w:val="14"/>
          <w:szCs w:val="14"/>
          <w:vertAlign w:val="baseline"/>
        </w:rPr>
        <w:t>* Duplicate data ha</w:t>
      </w:r>
      <w:r w:rsidR="009F0C82">
        <w:rPr>
          <w:rFonts w:cs="Arial"/>
          <w:sz w:val="14"/>
          <w:szCs w:val="14"/>
        </w:rPr>
        <w:t>ve</w:t>
      </w:r>
      <w:r w:rsidRPr="009222A5">
        <w:rPr>
          <w:rStyle w:val="FootnoteReference"/>
          <w:rFonts w:cs="Arial"/>
          <w:sz w:val="14"/>
          <w:szCs w:val="14"/>
          <w:vertAlign w:val="baseline"/>
        </w:rPr>
        <w:t xml:space="preserve"> been removed.</w:t>
      </w:r>
    </w:p>
    <w:p w14:paraId="54EA430F" w14:textId="77777777" w:rsidR="009222A5" w:rsidRDefault="009222A5" w:rsidP="006659DA">
      <w:pPr>
        <w:pStyle w:val="SCVtablefigurenote"/>
        <w:rPr>
          <w:rFonts w:cs="Arial"/>
          <w:sz w:val="14"/>
          <w:szCs w:val="14"/>
        </w:rPr>
      </w:pPr>
      <w:r w:rsidRPr="009222A5">
        <w:rPr>
          <w:rStyle w:val="FootnoteReference"/>
          <w:rFonts w:cs="Arial"/>
          <w:sz w:val="14"/>
          <w:szCs w:val="14"/>
          <w:vertAlign w:val="baseline"/>
        </w:rPr>
        <w:t xml:space="preserve"># Figures have been rounded to one decimal place and due to rounding the total figure exceeds 100 per cent. </w:t>
      </w:r>
      <w:r>
        <w:rPr>
          <w:rFonts w:cs="Arial"/>
          <w:sz w:val="14"/>
          <w:szCs w:val="14"/>
        </w:rPr>
        <w:br w:type="page"/>
      </w:r>
    </w:p>
    <w:p w14:paraId="3A1B7875" w14:textId="77777777" w:rsidR="009222A5" w:rsidRDefault="009222A5" w:rsidP="009222A5">
      <w:pPr>
        <w:pStyle w:val="Heading2"/>
      </w:pPr>
      <w:r>
        <w:lastRenderedPageBreak/>
        <w:t>Application numbers</w:t>
      </w:r>
    </w:p>
    <w:p w14:paraId="4AE8EA75" w14:textId="77777777" w:rsidR="009222A5" w:rsidRDefault="009222A5" w:rsidP="009222A5">
      <w:pPr>
        <w:pStyle w:val="SCVbodyafterheading"/>
        <w:sectPr w:rsidR="009222A5" w:rsidSect="00F16C4F">
          <w:type w:val="continuous"/>
          <w:pgSz w:w="11906" w:h="16838" w:code="9"/>
          <w:pgMar w:top="3402" w:right="851" w:bottom="1361" w:left="851" w:header="851" w:footer="851" w:gutter="0"/>
          <w:cols w:space="284"/>
          <w:docGrid w:linePitch="360"/>
          <w15:footnoteColumns w:val="1"/>
        </w:sectPr>
      </w:pPr>
    </w:p>
    <w:p w14:paraId="64776F0E" w14:textId="77777777" w:rsidR="009222A5" w:rsidRDefault="009222A5" w:rsidP="009222A5">
      <w:pPr>
        <w:pStyle w:val="SCVbodyafterheading"/>
      </w:pPr>
      <w:r>
        <w:t>As expected in a program moving from its early stage, activity is growing. Application forms submitted in the portal over the six-month reporting period provide insight into program activity and months of peak demand, in this case, May and June 2021. An average of 213 forms were processed each month across the six-month period.</w:t>
      </w:r>
    </w:p>
    <w:p w14:paraId="54EC6325" w14:textId="77777777" w:rsidR="009222A5" w:rsidRDefault="009222A5" w:rsidP="009222A5">
      <w:pPr>
        <w:pStyle w:val="SCVbody"/>
      </w:pPr>
      <w:r>
        <w:t xml:space="preserve">When compared to the previous six months, from </w:t>
      </w:r>
      <w:r w:rsidR="000A0764">
        <w:br/>
      </w:r>
      <w:r>
        <w:t>1 January to 30 June 2021, there were nine per cent more people assessed for eligibility to access voluntary assisted dying.</w:t>
      </w:r>
    </w:p>
    <w:p w14:paraId="0BA47456" w14:textId="77777777" w:rsidR="009222A5" w:rsidRDefault="009222A5" w:rsidP="009222A5">
      <w:pPr>
        <w:pStyle w:val="SCVbody"/>
      </w:pPr>
      <w:r>
        <w:t>The Act has clear requirements regarding additional assessments in certain circumstances. When compared with total figures for the previous six months, from 1 January to 30 June 2021 there were:</w:t>
      </w:r>
    </w:p>
    <w:p w14:paraId="3F0FBE51" w14:textId="77777777" w:rsidR="009222A5" w:rsidRDefault="009222A5" w:rsidP="009222A5">
      <w:pPr>
        <w:pStyle w:val="SCVbullet1"/>
      </w:pPr>
      <w:r>
        <w:t>47 per cent more referrals made to a specialist for opinion regarding decision-making capacity</w:t>
      </w:r>
    </w:p>
    <w:p w14:paraId="5A04F04F" w14:textId="77777777" w:rsidR="009222A5" w:rsidRDefault="009222A5" w:rsidP="009222A5">
      <w:pPr>
        <w:pStyle w:val="SCVbullet1"/>
      </w:pPr>
      <w:r>
        <w:t>51 per cent more referrals made for a specialist neurodegenerative assessment where prognosis was likely to be six to 12 months.</w:t>
      </w:r>
    </w:p>
    <w:p w14:paraId="0A83DA19" w14:textId="77777777" w:rsidR="009222A5" w:rsidRDefault="009222A5" w:rsidP="009222A5">
      <w:pPr>
        <w:pStyle w:val="SCVfigurecaption"/>
        <w:sectPr w:rsidR="009222A5" w:rsidSect="009222A5">
          <w:type w:val="continuous"/>
          <w:pgSz w:w="11906" w:h="16838" w:code="9"/>
          <w:pgMar w:top="3402" w:right="851" w:bottom="1361" w:left="851" w:header="851" w:footer="851" w:gutter="0"/>
          <w:cols w:num="2" w:space="284"/>
          <w:docGrid w:linePitch="360"/>
          <w15:footnoteColumns w:val="1"/>
        </w:sectPr>
      </w:pPr>
    </w:p>
    <w:p w14:paraId="7F52AAEC" w14:textId="77777777" w:rsidR="009222A5" w:rsidRDefault="009222A5" w:rsidP="009222A5">
      <w:pPr>
        <w:pStyle w:val="SCVfigurecaption"/>
      </w:pPr>
      <w:r>
        <w:t>Figure 1: Forms submitted via the portal (1 Jan–30 Jun 2021)</w:t>
      </w:r>
    </w:p>
    <w:p w14:paraId="217428A1" w14:textId="77777777" w:rsidR="009222A5" w:rsidRDefault="009222A5" w:rsidP="009222A5">
      <w:pPr>
        <w:spacing w:line="280" w:lineRule="atLeast"/>
      </w:pPr>
      <w:r>
        <w:rPr>
          <w:noProof/>
        </w:rPr>
        <w:drawing>
          <wp:inline distT="0" distB="0" distL="0" distR="0" wp14:anchorId="58A0D521" wp14:editId="37B33963">
            <wp:extent cx="6479540" cy="434871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0477CF0" w14:textId="77777777" w:rsidR="009222A5" w:rsidRDefault="009222A5">
      <w:pPr>
        <w:spacing w:line="280" w:lineRule="atLeast"/>
      </w:pPr>
      <w:r>
        <w:br w:type="page"/>
      </w:r>
    </w:p>
    <w:p w14:paraId="5190AB80" w14:textId="77777777" w:rsidR="009222A5" w:rsidRDefault="009222A5" w:rsidP="009222A5">
      <w:pPr>
        <w:pStyle w:val="Heading2"/>
        <w:sectPr w:rsidR="009222A5" w:rsidSect="00F16C4F">
          <w:type w:val="continuous"/>
          <w:pgSz w:w="11906" w:h="16838" w:code="9"/>
          <w:pgMar w:top="3402" w:right="851" w:bottom="1361" w:left="851" w:header="851" w:footer="851" w:gutter="0"/>
          <w:cols w:space="284"/>
          <w:docGrid w:linePitch="360"/>
          <w15:footnoteColumns w:val="1"/>
        </w:sectPr>
      </w:pPr>
    </w:p>
    <w:p w14:paraId="36101CB4" w14:textId="77777777" w:rsidR="009222A5" w:rsidRDefault="009222A5" w:rsidP="004808FC">
      <w:pPr>
        <w:pStyle w:val="Heading2"/>
        <w:spacing w:before="120"/>
      </w:pPr>
      <w:r>
        <w:lastRenderedPageBreak/>
        <w:t>Application timeframes</w:t>
      </w:r>
    </w:p>
    <w:p w14:paraId="2329E708" w14:textId="77777777" w:rsidR="009222A5" w:rsidRDefault="009222A5" w:rsidP="009222A5">
      <w:pPr>
        <w:pStyle w:val="SCVbodyafterheading"/>
      </w:pPr>
      <w:r>
        <w:t>The Board has highlighted previously that the voluntary assisted dying application process takes time and recommends, where possible, to start the process early. Application process timeframes over the past six months are consistent with previous reports.</w:t>
      </w:r>
    </w:p>
    <w:p w14:paraId="1990D5E1" w14:textId="4DE90591" w:rsidR="004808FC" w:rsidRDefault="004808FC" w:rsidP="004808FC">
      <w:pPr>
        <w:pStyle w:val="SCVquote"/>
      </w:pPr>
      <w:r>
        <w:t xml:space="preserve">“We received turnaround of forms/submissions in a timely fashion. The patient felt 'relieved' that the process was underway and moving along.” </w:t>
      </w:r>
      <w:r w:rsidR="00F438CC">
        <w:br/>
      </w:r>
      <w:r>
        <w:t>– Medical practitioner</w:t>
      </w:r>
    </w:p>
    <w:p w14:paraId="6469E683" w14:textId="77777777" w:rsidR="009222A5" w:rsidRDefault="009222A5" w:rsidP="009222A5">
      <w:pPr>
        <w:pStyle w:val="SCVbody"/>
      </w:pPr>
      <w:r>
        <w:t>For all voluntary assisted dying applications where a final request was made:</w:t>
      </w:r>
    </w:p>
    <w:p w14:paraId="4DBD1E42" w14:textId="77777777" w:rsidR="009222A5" w:rsidRDefault="009222A5" w:rsidP="009222A5">
      <w:pPr>
        <w:pStyle w:val="SCVbullet1"/>
      </w:pPr>
      <w:r>
        <w:t>25 per cent were progressed between the first and final request within 11 days</w:t>
      </w:r>
    </w:p>
    <w:p w14:paraId="6B3EAEAE" w14:textId="77777777" w:rsidR="009222A5" w:rsidRDefault="009222A5" w:rsidP="009222A5">
      <w:pPr>
        <w:pStyle w:val="SCVbullet1"/>
      </w:pPr>
      <w:r>
        <w:t>50 per cent progressed within 17 days.</w:t>
      </w:r>
    </w:p>
    <w:p w14:paraId="5EC027D8" w14:textId="77777777" w:rsidR="009222A5" w:rsidRDefault="009222A5" w:rsidP="009222A5">
      <w:pPr>
        <w:pStyle w:val="SCVquote"/>
      </w:pPr>
      <w:r>
        <w:t>“I feel like the process was too long. For someone in my condition, with terminal cancer and incontinence, 10 days is too long.” – Applicant</w:t>
      </w:r>
    </w:p>
    <w:p w14:paraId="0CC57332" w14:textId="77777777" w:rsidR="009222A5" w:rsidRDefault="009222A5" w:rsidP="009222A5">
      <w:pPr>
        <w:pStyle w:val="Heading2"/>
      </w:pPr>
      <w:r>
        <w:t>The permit process</w:t>
      </w:r>
    </w:p>
    <w:p w14:paraId="0DE103F5" w14:textId="77777777" w:rsidR="009222A5" w:rsidRDefault="009222A5" w:rsidP="009222A5">
      <w:pPr>
        <w:pStyle w:val="SCVbodyafterheading"/>
      </w:pPr>
      <w:r>
        <w:t>Once a coordinating medical practitioner completes the rigorous assessment required by the Act and has submitted the legislated forms in the portal, they can apply for a voluntary assisted dying permit for the applicant.</w:t>
      </w:r>
    </w:p>
    <w:p w14:paraId="0C6189BA" w14:textId="77777777" w:rsidR="009222A5" w:rsidRDefault="009222A5" w:rsidP="009222A5">
      <w:pPr>
        <w:pStyle w:val="SCVbody"/>
      </w:pPr>
      <w:r>
        <w:t>The Secretary of the Department of Health (or their delegate) is then responsible for deciding whether to issue the permit or not, based on a thorough review of the application material submitted.</w:t>
      </w:r>
    </w:p>
    <w:p w14:paraId="14ED4F22" w14:textId="77777777" w:rsidR="009222A5" w:rsidRDefault="009222A5" w:rsidP="009222A5">
      <w:pPr>
        <w:pStyle w:val="SCVbody"/>
      </w:pPr>
      <w:r>
        <w:t>Eligibility remains paramount for issuing a permit. In addition to having late-stage terminal illness that will soon cause death, the applicant must provide evidence they are an Australian citizen or permanent resident who is at least 18 years old and have lived in Victoria for a minimum of 12 months.</w:t>
      </w:r>
    </w:p>
    <w:p w14:paraId="6F01856B" w14:textId="3948D25D" w:rsidR="009222A5" w:rsidRDefault="00AA120E" w:rsidP="009222A5">
      <w:pPr>
        <w:pStyle w:val="SCVbody"/>
      </w:pPr>
      <w:r>
        <w:br w:type="column"/>
      </w:r>
      <w:r w:rsidR="009222A5">
        <w:t xml:space="preserve">Once the application materials are submitted and complete, the Secretary (or their delegate) has three business days to determine whether a voluntary assisted dying permit will be issued. </w:t>
      </w:r>
    </w:p>
    <w:p w14:paraId="2868514F" w14:textId="77777777" w:rsidR="009222A5" w:rsidRDefault="009222A5" w:rsidP="009222A5">
      <w:pPr>
        <w:pStyle w:val="SCVbody"/>
      </w:pPr>
      <w:r>
        <w:t>Between 1 January and 30 June 2021:</w:t>
      </w:r>
    </w:p>
    <w:p w14:paraId="45040BDB" w14:textId="77777777" w:rsidR="009222A5" w:rsidRDefault="009222A5" w:rsidP="009222A5">
      <w:pPr>
        <w:pStyle w:val="SCVbullet1"/>
      </w:pPr>
      <w:r>
        <w:t>95 per cent of permit outcomes were determined within two business days</w:t>
      </w:r>
    </w:p>
    <w:p w14:paraId="4747A753" w14:textId="77777777" w:rsidR="009222A5" w:rsidRDefault="000A0764" w:rsidP="009222A5">
      <w:pPr>
        <w:pStyle w:val="SCVbullet1"/>
      </w:pPr>
      <w:r>
        <w:t>more</w:t>
      </w:r>
      <w:r w:rsidR="009222A5">
        <w:t xml:space="preserve"> than 99 per cent were determined within three business days.</w:t>
      </w:r>
    </w:p>
    <w:p w14:paraId="22EB0208" w14:textId="77777777" w:rsidR="009222A5" w:rsidRDefault="009222A5" w:rsidP="009222A5">
      <w:pPr>
        <w:pStyle w:val="SCVbody"/>
      </w:pPr>
      <w:r>
        <w:t>There was one application for which the Secretary requested further information/documentation from the applicant, before the permit was issued within four business days.</w:t>
      </w:r>
    </w:p>
    <w:p w14:paraId="2CB9AF72" w14:textId="72F8B50D" w:rsidR="000A0764" w:rsidRDefault="000A0764" w:rsidP="000A0764">
      <w:pPr>
        <w:pStyle w:val="SCVquote"/>
      </w:pPr>
      <w:r>
        <w:t xml:space="preserve">“The process was huge to get through and is bogged down in bureaucracy. The pathways need to be well defined, and the system needs to be smoother to reduce the hiccups along the way.” </w:t>
      </w:r>
      <w:r w:rsidR="00F438CC">
        <w:br/>
      </w:r>
      <w:r>
        <w:t>– Contact person</w:t>
      </w:r>
    </w:p>
    <w:p w14:paraId="6A8C6747" w14:textId="77777777" w:rsidR="009222A5" w:rsidRDefault="009222A5" w:rsidP="009222A5">
      <w:pPr>
        <w:pStyle w:val="SCVbody"/>
      </w:pPr>
      <w:r>
        <w:t>Errors on the forms can delay the application process and impact on the turnaround time of the permit application.</w:t>
      </w:r>
    </w:p>
    <w:p w14:paraId="2762F7D8" w14:textId="77777777" w:rsidR="009222A5" w:rsidRDefault="009222A5" w:rsidP="009222A5">
      <w:pPr>
        <w:pStyle w:val="SCVbody"/>
      </w:pPr>
      <w:r>
        <w:t>Common errors include:</w:t>
      </w:r>
    </w:p>
    <w:p w14:paraId="1ACAE646" w14:textId="77777777" w:rsidR="009222A5" w:rsidRDefault="009222A5" w:rsidP="009222A5">
      <w:pPr>
        <w:pStyle w:val="SCVbullet1"/>
      </w:pPr>
      <w:r>
        <w:t xml:space="preserve">inadequate evidence of eligibility </w:t>
      </w:r>
    </w:p>
    <w:p w14:paraId="74F0C5DF" w14:textId="77777777" w:rsidR="009222A5" w:rsidRDefault="009222A5" w:rsidP="009222A5">
      <w:pPr>
        <w:pStyle w:val="SCVbullet1"/>
      </w:pPr>
      <w:r>
        <w:t>incorrect dates for completion of forms</w:t>
      </w:r>
    </w:p>
    <w:p w14:paraId="53E3EFED" w14:textId="77777777" w:rsidR="009222A5" w:rsidRDefault="009222A5" w:rsidP="009222A5">
      <w:pPr>
        <w:pStyle w:val="SCVbullet1"/>
      </w:pPr>
      <w:r>
        <w:t>incorrect spelling of applicant name, address, incorrect/inconsistent date of birth</w:t>
      </w:r>
    </w:p>
    <w:p w14:paraId="6A7830EF" w14:textId="77777777" w:rsidR="009222A5" w:rsidRDefault="009222A5" w:rsidP="009222A5">
      <w:pPr>
        <w:pStyle w:val="SCVbullet1"/>
      </w:pPr>
      <w:r>
        <w:t>incorrect spelling of contact person name</w:t>
      </w:r>
    </w:p>
    <w:p w14:paraId="1FFA38DD" w14:textId="77777777" w:rsidR="009222A5" w:rsidRDefault="009222A5" w:rsidP="009222A5">
      <w:pPr>
        <w:pStyle w:val="SCVbullet1"/>
      </w:pPr>
      <w:r>
        <w:t xml:space="preserve">incorrect medication, incorrect spelling of the medications, incorrect </w:t>
      </w:r>
      <w:proofErr w:type="gramStart"/>
      <w:r>
        <w:t>dose</w:t>
      </w:r>
      <w:proofErr w:type="gramEnd"/>
      <w:r>
        <w:t xml:space="preserve"> or missing route of administration</w:t>
      </w:r>
    </w:p>
    <w:p w14:paraId="5D64294F" w14:textId="77777777" w:rsidR="009222A5" w:rsidRDefault="009222A5" w:rsidP="009222A5">
      <w:pPr>
        <w:pStyle w:val="SCVbullet1"/>
      </w:pPr>
      <w:r>
        <w:t>missing referrals to specialists in cases where there is a neurodegenerative diagnosis and prognosis between six to 12 months.</w:t>
      </w:r>
    </w:p>
    <w:p w14:paraId="6691B049" w14:textId="77777777" w:rsidR="009222A5" w:rsidRDefault="009222A5" w:rsidP="009222A5">
      <w:pPr>
        <w:pStyle w:val="SCVbody"/>
      </w:pPr>
      <w:r>
        <w:t>Applicants are encouraged to check in with their coordinating medical practitioner regarding the progress of their application.</w:t>
      </w:r>
    </w:p>
    <w:p w14:paraId="7E24D2A2" w14:textId="4B7B7891" w:rsidR="009222A5" w:rsidRDefault="009222A5" w:rsidP="009222A5">
      <w:pPr>
        <w:pStyle w:val="SCVbody"/>
      </w:pPr>
      <w:r>
        <w:lastRenderedPageBreak/>
        <w:t xml:space="preserve">Coordinating and consulting medical practitioners are encouraged to be </w:t>
      </w:r>
      <w:r w:rsidR="00D63D34">
        <w:t>careful</w:t>
      </w:r>
      <w:r>
        <w:t xml:space="preserve"> in correctly filling out the forms and permit application.</w:t>
      </w:r>
    </w:p>
    <w:p w14:paraId="65B18331" w14:textId="77777777" w:rsidR="009222A5" w:rsidRDefault="009222A5" w:rsidP="009222A5">
      <w:pPr>
        <w:pStyle w:val="SCVbody"/>
      </w:pPr>
      <w:r>
        <w:t>Coordinating medical practitioners have provided the Board with helpful feedback on ways permit application errors can be reduced in the portal. This feedback has informed portal enhancements that are under development.</w:t>
      </w:r>
    </w:p>
    <w:p w14:paraId="6602CFD5" w14:textId="77777777" w:rsidR="009222A5" w:rsidRDefault="009222A5" w:rsidP="009222A5">
      <w:pPr>
        <w:pStyle w:val="SCVquote"/>
      </w:pPr>
      <w:r>
        <w:t>“I would have expected quicker turn around for permit. The application was already reviewed and there was a single error in medication name which was promptly changed.” – Medical practitioner</w:t>
      </w:r>
    </w:p>
    <w:p w14:paraId="14EC00D6" w14:textId="77777777" w:rsidR="009222A5" w:rsidRDefault="009222A5" w:rsidP="009222A5">
      <w:pPr>
        <w:pStyle w:val="Heading2"/>
      </w:pPr>
      <w:r>
        <w:t>Permit numbers</w:t>
      </w:r>
    </w:p>
    <w:p w14:paraId="3CE8DF25" w14:textId="77777777" w:rsidR="009222A5" w:rsidRDefault="009222A5" w:rsidP="009222A5">
      <w:pPr>
        <w:pStyle w:val="SCVbodyafterheading"/>
      </w:pPr>
      <w:r>
        <w:t xml:space="preserve">When compared to the previous six months, between 1 January and 30 June 2021, there were: </w:t>
      </w:r>
    </w:p>
    <w:p w14:paraId="4CC55A45" w14:textId="77777777" w:rsidR="009222A5" w:rsidRDefault="009222A5" w:rsidP="009222A5">
      <w:pPr>
        <w:pStyle w:val="SCVbullet1"/>
      </w:pPr>
      <w:r>
        <w:t xml:space="preserve">209 permit applications received – up </w:t>
      </w:r>
      <w:r w:rsidR="000A0764">
        <w:t>eight</w:t>
      </w:r>
      <w:r>
        <w:t xml:space="preserve"> per cent</w:t>
      </w:r>
    </w:p>
    <w:p w14:paraId="4A24DC03" w14:textId="77777777" w:rsidR="009222A5" w:rsidRDefault="009222A5" w:rsidP="009222A5">
      <w:pPr>
        <w:pStyle w:val="SCVbullet1"/>
      </w:pPr>
      <w:r>
        <w:t>192 permits issued – up 10 per cent</w:t>
      </w:r>
    </w:p>
    <w:p w14:paraId="03193BDB" w14:textId="77777777" w:rsidR="009222A5" w:rsidRDefault="009222A5" w:rsidP="009222A5">
      <w:pPr>
        <w:pStyle w:val="SCVbullet1"/>
      </w:pPr>
      <w:r>
        <w:t>17 permits not issued – down 12 per cent.</w:t>
      </w:r>
    </w:p>
    <w:p w14:paraId="7A19EF16" w14:textId="77777777" w:rsidR="009222A5" w:rsidRDefault="009222A5" w:rsidP="009222A5">
      <w:pPr>
        <w:pStyle w:val="SCVbody"/>
      </w:pPr>
      <w:r>
        <w:t>Of the 1 January to 30 June 2021 permits not issued:</w:t>
      </w:r>
    </w:p>
    <w:p w14:paraId="4FF6177B" w14:textId="77777777" w:rsidR="009222A5" w:rsidRDefault="009222A5" w:rsidP="009222A5">
      <w:pPr>
        <w:pStyle w:val="SCVbullet1"/>
      </w:pPr>
      <w:r>
        <w:t xml:space="preserve">15 were for administrative errors related to the medications, </w:t>
      </w:r>
      <w:proofErr w:type="gramStart"/>
      <w:r>
        <w:t>dosages</w:t>
      </w:r>
      <w:proofErr w:type="gramEnd"/>
      <w:r>
        <w:t xml:space="preserve"> or formulations. All of these were corrected, </w:t>
      </w:r>
      <w:proofErr w:type="gramStart"/>
      <w:r>
        <w:t>resubmitted</w:t>
      </w:r>
      <w:proofErr w:type="gramEnd"/>
      <w:r>
        <w:t xml:space="preserve"> and subsequently approved </w:t>
      </w:r>
    </w:p>
    <w:p w14:paraId="2EEF973C" w14:textId="77777777" w:rsidR="009222A5" w:rsidRDefault="009222A5" w:rsidP="009222A5">
      <w:pPr>
        <w:pStyle w:val="SCVbullet1"/>
      </w:pPr>
      <w:r>
        <w:t>two were due to apparent non-compliance with the Act. One of these applications was subsequently resubmitted and approved and one case was withdrawn.</w:t>
      </w:r>
    </w:p>
    <w:p w14:paraId="3889B290" w14:textId="77777777" w:rsidR="009222A5" w:rsidRDefault="009222A5" w:rsidP="009222A5">
      <w:pPr>
        <w:pStyle w:val="SCVbody"/>
      </w:pPr>
      <w:r>
        <w:t>Most permits issued are for self-administration of the medication, as opposed to coordinating medical practitioner administration.</w:t>
      </w:r>
    </w:p>
    <w:p w14:paraId="15940905" w14:textId="77777777" w:rsidR="009222A5" w:rsidRDefault="004808FC" w:rsidP="00E833AF">
      <w:pPr>
        <w:pStyle w:val="Heading2"/>
        <w:spacing w:before="0"/>
      </w:pPr>
      <w:r>
        <w:br w:type="column"/>
      </w:r>
      <w:r w:rsidR="009222A5">
        <w:t>Deaths</w:t>
      </w:r>
    </w:p>
    <w:p w14:paraId="6B2ABBF6" w14:textId="77777777" w:rsidR="009222A5" w:rsidRDefault="009222A5" w:rsidP="009222A5">
      <w:pPr>
        <w:pStyle w:val="SCVbodyafterheading"/>
      </w:pPr>
      <w:r>
        <w:t>Since the Act was introduced, there have been 488 deaths recorded of voluntary assisted dying permit holders.</w:t>
      </w:r>
    </w:p>
    <w:p w14:paraId="6179C094" w14:textId="77777777" w:rsidR="009222A5" w:rsidRDefault="009222A5" w:rsidP="009222A5">
      <w:pPr>
        <w:pStyle w:val="SCVbodyafterheading"/>
      </w:pPr>
      <w:r>
        <w:t>Of the voluntary assisted dying permit holders who have died:</w:t>
      </w:r>
    </w:p>
    <w:p w14:paraId="16DDE37B" w14:textId="77777777" w:rsidR="009222A5" w:rsidRDefault="009222A5" w:rsidP="009222A5">
      <w:pPr>
        <w:pStyle w:val="SCVbullet1"/>
      </w:pPr>
      <w:r>
        <w:t>58 per cent died through self-administration of a voluntary assisted dying medication</w:t>
      </w:r>
    </w:p>
    <w:p w14:paraId="596CA6DF" w14:textId="77777777" w:rsidR="009222A5" w:rsidRDefault="009222A5" w:rsidP="009222A5">
      <w:pPr>
        <w:pStyle w:val="SCVbullet1"/>
      </w:pPr>
      <w:r>
        <w:t>10 per cent died by administration of a voluntary assisted dying medication by the coordinating medical practitioner</w:t>
      </w:r>
    </w:p>
    <w:p w14:paraId="384A93E7" w14:textId="77777777" w:rsidR="009222A5" w:rsidRDefault="009222A5" w:rsidP="009222A5">
      <w:pPr>
        <w:pStyle w:val="SCVbullet1"/>
      </w:pPr>
      <w:r>
        <w:t>32 per cent died without the administration of a voluntary assisted dying medication.</w:t>
      </w:r>
    </w:p>
    <w:p w14:paraId="2018C50F" w14:textId="77777777" w:rsidR="009222A5" w:rsidRDefault="009222A5" w:rsidP="009222A5">
      <w:pPr>
        <w:pStyle w:val="SCVbody"/>
      </w:pPr>
      <w:r>
        <w:t>These figures are comparable with those previously reported.</w:t>
      </w:r>
    </w:p>
    <w:p w14:paraId="714C9681" w14:textId="77777777" w:rsidR="009222A5" w:rsidRDefault="009222A5" w:rsidP="009222A5">
      <w:pPr>
        <w:pStyle w:val="SCVbody"/>
      </w:pPr>
      <w:r>
        <w:t>Upon a death, a medical practitioner (any medical practitioner who knows the applicant’s medical history) needs to complete a Medical Certificate of Cause of Death. This must be completed within 48 hours of death.</w:t>
      </w:r>
    </w:p>
    <w:p w14:paraId="2236CCB3" w14:textId="77777777" w:rsidR="009222A5" w:rsidRDefault="009222A5" w:rsidP="009222A5">
      <w:pPr>
        <w:pStyle w:val="SCVbody"/>
      </w:pPr>
      <w:r>
        <w:t xml:space="preserve">It is important that medical practitioners completing a Medical Certificate of Cause of Death identify if they reasonably believe the applicant was a voluntary assisted dying permit holder (whether or not they believed the applicant may have taken the medication), so that the Voluntary Assisted Dying Review Board can follow up with the contact person in a timely manner. This is crucial if the applicant has medication that needs to be returned by the contact person to the </w:t>
      </w:r>
      <w:r w:rsidR="000A0764">
        <w:t xml:space="preserve">Statewide </w:t>
      </w:r>
      <w:r>
        <w:t>Pharmacy Service.</w:t>
      </w:r>
    </w:p>
    <w:p w14:paraId="2B57AFFE" w14:textId="77777777" w:rsidR="009222A5" w:rsidRDefault="009222A5" w:rsidP="009222A5">
      <w:pPr>
        <w:pStyle w:val="SCVbody"/>
      </w:pPr>
      <w:r>
        <w:t>The cause of death will be the applicant’s underlying disease and the manner of death will be recorded as voluntary assisted dying. The extract from the Register of Births, Deaths and Marriages (commonly called a death certificate) will only record the underlying disease and will not state voluntary assisted dying.</w:t>
      </w:r>
    </w:p>
    <w:p w14:paraId="5E076941" w14:textId="77777777" w:rsidR="009222A5" w:rsidRDefault="009222A5" w:rsidP="000A0764">
      <w:pPr>
        <w:pStyle w:val="SCVbody"/>
        <w:spacing w:before="0"/>
      </w:pPr>
      <w:r>
        <w:t xml:space="preserve">At times, a medical practitioner certifying a death may not have been involved in the voluntary assisted dying </w:t>
      </w:r>
      <w:r>
        <w:lastRenderedPageBreak/>
        <w:t xml:space="preserve">application and may not know that the applicant was a voluntary assisted dying permit holder. In these circumstances, the Board encourages families and contact persons to help ensure medical practitioners who are certifying the death are aware that a voluntary assisted dying permit was issued to assist in the accurate completion of the Medical Certificate of Cause of Death. </w:t>
      </w:r>
    </w:p>
    <w:p w14:paraId="5D5DD57A" w14:textId="77777777" w:rsidR="009222A5" w:rsidRDefault="004808FC" w:rsidP="000A0764">
      <w:pPr>
        <w:pStyle w:val="Heading2"/>
        <w:spacing w:before="0"/>
      </w:pPr>
      <w:r>
        <w:br w:type="column"/>
      </w:r>
      <w:r w:rsidR="009222A5">
        <w:t>Terminal illnesses</w:t>
      </w:r>
    </w:p>
    <w:p w14:paraId="73D3949D" w14:textId="77777777" w:rsidR="009222A5" w:rsidRDefault="009222A5" w:rsidP="009222A5">
      <w:pPr>
        <w:pStyle w:val="SCVbodyafterheading"/>
      </w:pPr>
      <w:r>
        <w:t>Eligibility for voluntary assisted dying is stringent in accordance with the Act. The diagnosed disease, illness, or medical condition must be incurable; and advanced and progressive; expected to cause the person’s death within weeks or months, not exceeding six months, or within 12 months for neurodegenerative diseases. The diagnosed disease, illness or medical condition must be causing the applicant suffering that cannot be relieved in a manner they consider tolerable. It is the diagnosed disease, illness or medical condition that is listed on the applicant’s permit to access voluntary assisted dying.</w:t>
      </w:r>
    </w:p>
    <w:p w14:paraId="16F94F70" w14:textId="77777777" w:rsidR="009222A5" w:rsidRDefault="009222A5" w:rsidP="009222A5">
      <w:pPr>
        <w:pStyle w:val="SCVbody"/>
      </w:pPr>
      <w:r>
        <w:t xml:space="preserve">Of all applicants since 19 July 2019 who were issued a voluntary assisted dying permit and have died, 83 per cent had a malignant diagnosis and 17 per cent had a non-malignant diagnosis. </w:t>
      </w:r>
    </w:p>
    <w:p w14:paraId="75692DA9" w14:textId="77777777" w:rsidR="009222A5" w:rsidRDefault="009222A5" w:rsidP="009222A5">
      <w:pPr>
        <w:pStyle w:val="SCVtablecaption"/>
        <w:sectPr w:rsidR="009222A5" w:rsidSect="009222A5">
          <w:type w:val="continuous"/>
          <w:pgSz w:w="11906" w:h="16838" w:code="9"/>
          <w:pgMar w:top="3402" w:right="851" w:bottom="1361" w:left="851" w:header="851" w:footer="851" w:gutter="0"/>
          <w:cols w:num="2" w:space="284"/>
          <w:docGrid w:linePitch="360"/>
          <w15:footnoteColumns w:val="1"/>
        </w:sectPr>
      </w:pPr>
    </w:p>
    <w:p w14:paraId="5F09B284" w14:textId="2B32893A" w:rsidR="009222A5" w:rsidRDefault="009222A5" w:rsidP="009222A5">
      <w:pPr>
        <w:pStyle w:val="SCVtablecaption"/>
      </w:pPr>
      <w:r>
        <w:t xml:space="preserve">Table 5: </w:t>
      </w:r>
      <w:r w:rsidR="00064BFD">
        <w:t>Number</w:t>
      </w:r>
      <w:r>
        <w:t xml:space="preserve"> of applicants issued a voluntary assisted dying permit and have died</w:t>
      </w:r>
      <w:r w:rsidR="00064BFD">
        <w:t xml:space="preserve">, by major diagnosis </w:t>
      </w:r>
      <w:r>
        <w:t>(19 Jun 2019–30 Jun 2021)</w:t>
      </w:r>
    </w:p>
    <w:tbl>
      <w:tblPr>
        <w:tblStyle w:val="TableGrid"/>
        <w:tblW w:w="0" w:type="auto"/>
        <w:tblLook w:val="04A0" w:firstRow="1" w:lastRow="0" w:firstColumn="1" w:lastColumn="0" w:noHBand="0" w:noVBand="1"/>
      </w:tblPr>
      <w:tblGrid>
        <w:gridCol w:w="6663"/>
        <w:gridCol w:w="1701"/>
        <w:gridCol w:w="1840"/>
      </w:tblGrid>
      <w:tr w:rsidR="004808FC" w14:paraId="6586DD2A" w14:textId="77777777" w:rsidTr="004808FC">
        <w:trPr>
          <w:cnfStyle w:val="100000000000" w:firstRow="1" w:lastRow="0" w:firstColumn="0" w:lastColumn="0" w:oddVBand="0" w:evenVBand="0" w:oddHBand="0" w:evenHBand="0" w:firstRowFirstColumn="0" w:firstRowLastColumn="0" w:lastRowFirstColumn="0" w:lastRowLastColumn="0"/>
        </w:trPr>
        <w:tc>
          <w:tcPr>
            <w:tcW w:w="6663" w:type="dxa"/>
          </w:tcPr>
          <w:p w14:paraId="12125131" w14:textId="77777777" w:rsidR="004808FC" w:rsidRDefault="004808FC" w:rsidP="004808FC">
            <w:pPr>
              <w:pStyle w:val="SCVtablecolhead"/>
            </w:pPr>
            <w:r w:rsidRPr="00557D6B">
              <w:t>Underlying illness</w:t>
            </w:r>
          </w:p>
        </w:tc>
        <w:tc>
          <w:tcPr>
            <w:tcW w:w="1701" w:type="dxa"/>
          </w:tcPr>
          <w:p w14:paraId="63C1731B" w14:textId="77777777" w:rsidR="004808FC" w:rsidRDefault="004808FC" w:rsidP="00064BFD">
            <w:pPr>
              <w:pStyle w:val="SCVtablecolhead"/>
              <w:jc w:val="right"/>
            </w:pPr>
            <w:r w:rsidRPr="00850F8F">
              <w:t>Total</w:t>
            </w:r>
            <w:r>
              <w:br/>
            </w:r>
            <w:r w:rsidRPr="00850F8F">
              <w:t>(</w:t>
            </w:r>
            <w:r w:rsidR="00CB5368">
              <w:t>n</w:t>
            </w:r>
            <w:r w:rsidRPr="00850F8F">
              <w:t>=</w:t>
            </w:r>
            <w:r>
              <w:t>488)</w:t>
            </w:r>
          </w:p>
        </w:tc>
        <w:tc>
          <w:tcPr>
            <w:tcW w:w="1840" w:type="dxa"/>
          </w:tcPr>
          <w:p w14:paraId="0F69B664" w14:textId="77777777" w:rsidR="004808FC" w:rsidRDefault="004808FC" w:rsidP="00064BFD">
            <w:pPr>
              <w:pStyle w:val="SCVtablecolhead"/>
              <w:jc w:val="right"/>
            </w:pPr>
            <w:r>
              <w:t>%</w:t>
            </w:r>
          </w:p>
        </w:tc>
      </w:tr>
      <w:tr w:rsidR="004808FC" w14:paraId="7FBCC385" w14:textId="77777777" w:rsidTr="004808FC">
        <w:tc>
          <w:tcPr>
            <w:tcW w:w="6663" w:type="dxa"/>
            <w:tcBorders>
              <w:top w:val="single" w:sz="24" w:space="0" w:color="CCDFED" w:themeColor="accent2" w:themeTint="66"/>
            </w:tcBorders>
            <w:shd w:val="clear" w:color="auto" w:fill="F2F2F2" w:themeFill="background1" w:themeFillShade="F2"/>
          </w:tcPr>
          <w:p w14:paraId="01DF6F00" w14:textId="77777777" w:rsidR="004808FC" w:rsidRDefault="004808FC" w:rsidP="004808FC">
            <w:pPr>
              <w:pStyle w:val="SCVtablerowhead"/>
            </w:pPr>
            <w:r w:rsidRPr="00557D6B">
              <w:t>Malignancy</w:t>
            </w:r>
          </w:p>
        </w:tc>
        <w:tc>
          <w:tcPr>
            <w:tcW w:w="1701" w:type="dxa"/>
            <w:tcBorders>
              <w:top w:val="single" w:sz="24" w:space="0" w:color="CCDFED" w:themeColor="accent2" w:themeTint="66"/>
            </w:tcBorders>
            <w:shd w:val="clear" w:color="auto" w:fill="F2F2F2" w:themeFill="background1" w:themeFillShade="F2"/>
          </w:tcPr>
          <w:p w14:paraId="73B20533" w14:textId="77777777" w:rsidR="004808FC" w:rsidRDefault="004808FC" w:rsidP="004808FC">
            <w:pPr>
              <w:pStyle w:val="SCVtablebody"/>
              <w:jc w:val="right"/>
            </w:pPr>
          </w:p>
        </w:tc>
        <w:tc>
          <w:tcPr>
            <w:tcW w:w="1840" w:type="dxa"/>
            <w:tcBorders>
              <w:top w:val="single" w:sz="24" w:space="0" w:color="CCDFED" w:themeColor="accent2" w:themeTint="66"/>
            </w:tcBorders>
            <w:shd w:val="clear" w:color="auto" w:fill="F2F2F2" w:themeFill="background1" w:themeFillShade="F2"/>
          </w:tcPr>
          <w:p w14:paraId="0F7E6A32" w14:textId="77777777" w:rsidR="004808FC" w:rsidRDefault="004808FC" w:rsidP="004808FC">
            <w:pPr>
              <w:pStyle w:val="SCVtablebody"/>
              <w:jc w:val="right"/>
            </w:pPr>
          </w:p>
        </w:tc>
      </w:tr>
      <w:tr w:rsidR="004808FC" w14:paraId="55E921BF" w14:textId="77777777" w:rsidTr="004808FC">
        <w:tc>
          <w:tcPr>
            <w:tcW w:w="6663" w:type="dxa"/>
          </w:tcPr>
          <w:p w14:paraId="07A5D0D6" w14:textId="77777777" w:rsidR="004808FC" w:rsidRDefault="004808FC" w:rsidP="004808FC">
            <w:pPr>
              <w:pStyle w:val="SCVtablebody"/>
            </w:pPr>
            <w:r w:rsidRPr="00557D6B">
              <w:t>Primary lung malignancy</w:t>
            </w:r>
          </w:p>
        </w:tc>
        <w:tc>
          <w:tcPr>
            <w:tcW w:w="1701" w:type="dxa"/>
          </w:tcPr>
          <w:p w14:paraId="7F495D9B" w14:textId="77777777" w:rsidR="004808FC" w:rsidRDefault="004808FC" w:rsidP="004808FC">
            <w:pPr>
              <w:pStyle w:val="SCVtablebody"/>
              <w:jc w:val="right"/>
            </w:pPr>
            <w:r>
              <w:t>80</w:t>
            </w:r>
          </w:p>
        </w:tc>
        <w:tc>
          <w:tcPr>
            <w:tcW w:w="1840" w:type="dxa"/>
          </w:tcPr>
          <w:p w14:paraId="3C990888" w14:textId="77777777" w:rsidR="004808FC" w:rsidRDefault="004808FC" w:rsidP="004808FC">
            <w:pPr>
              <w:pStyle w:val="SCVtablebody"/>
              <w:jc w:val="right"/>
            </w:pPr>
            <w:r>
              <w:t>19.8</w:t>
            </w:r>
            <w:r w:rsidR="000A0764">
              <w:t>%</w:t>
            </w:r>
          </w:p>
        </w:tc>
      </w:tr>
      <w:tr w:rsidR="004808FC" w14:paraId="7BAA7A9E" w14:textId="77777777" w:rsidTr="004808FC">
        <w:tc>
          <w:tcPr>
            <w:tcW w:w="6663" w:type="dxa"/>
          </w:tcPr>
          <w:p w14:paraId="6BC07C25" w14:textId="77777777" w:rsidR="004808FC" w:rsidRDefault="004808FC" w:rsidP="004808FC">
            <w:pPr>
              <w:pStyle w:val="SCVtablebody"/>
            </w:pPr>
            <w:r w:rsidRPr="00557D6B">
              <w:t>Primary breast malignancy</w:t>
            </w:r>
          </w:p>
        </w:tc>
        <w:tc>
          <w:tcPr>
            <w:tcW w:w="1701" w:type="dxa"/>
          </w:tcPr>
          <w:p w14:paraId="52677686" w14:textId="77777777" w:rsidR="004808FC" w:rsidRDefault="004808FC" w:rsidP="004808FC">
            <w:pPr>
              <w:pStyle w:val="SCVtablebody"/>
              <w:jc w:val="right"/>
            </w:pPr>
            <w:r>
              <w:t>39</w:t>
            </w:r>
          </w:p>
        </w:tc>
        <w:tc>
          <w:tcPr>
            <w:tcW w:w="1840" w:type="dxa"/>
          </w:tcPr>
          <w:p w14:paraId="663ADFD9" w14:textId="77777777" w:rsidR="004808FC" w:rsidRDefault="004808FC" w:rsidP="004808FC">
            <w:pPr>
              <w:pStyle w:val="SCVtablebody"/>
              <w:jc w:val="right"/>
            </w:pPr>
            <w:r>
              <w:t>9.6</w:t>
            </w:r>
            <w:r w:rsidR="000A0764">
              <w:t>%</w:t>
            </w:r>
          </w:p>
        </w:tc>
      </w:tr>
      <w:tr w:rsidR="004808FC" w14:paraId="5CB8CFE2" w14:textId="77777777" w:rsidTr="004808FC">
        <w:tc>
          <w:tcPr>
            <w:tcW w:w="6663" w:type="dxa"/>
          </w:tcPr>
          <w:p w14:paraId="562F0A17" w14:textId="77777777" w:rsidR="004808FC" w:rsidRDefault="004808FC" w:rsidP="004808FC">
            <w:pPr>
              <w:pStyle w:val="SCVtablebody"/>
            </w:pPr>
            <w:r w:rsidRPr="00557D6B">
              <w:t>Primary colorectal malignancy</w:t>
            </w:r>
          </w:p>
        </w:tc>
        <w:tc>
          <w:tcPr>
            <w:tcW w:w="1701" w:type="dxa"/>
          </w:tcPr>
          <w:p w14:paraId="65A2F696" w14:textId="77777777" w:rsidR="004808FC" w:rsidRDefault="004808FC" w:rsidP="004808FC">
            <w:pPr>
              <w:pStyle w:val="SCVtablebody"/>
              <w:jc w:val="right"/>
            </w:pPr>
            <w:r>
              <w:t>41</w:t>
            </w:r>
          </w:p>
        </w:tc>
        <w:tc>
          <w:tcPr>
            <w:tcW w:w="1840" w:type="dxa"/>
          </w:tcPr>
          <w:p w14:paraId="37DAB75A" w14:textId="77777777" w:rsidR="004808FC" w:rsidRDefault="004808FC" w:rsidP="004808FC">
            <w:pPr>
              <w:pStyle w:val="SCVtablebody"/>
              <w:jc w:val="right"/>
            </w:pPr>
            <w:r>
              <w:t>10.1</w:t>
            </w:r>
            <w:r w:rsidR="000A0764">
              <w:t>%</w:t>
            </w:r>
          </w:p>
        </w:tc>
      </w:tr>
      <w:tr w:rsidR="004808FC" w14:paraId="6B52FC6D" w14:textId="77777777" w:rsidTr="004808FC">
        <w:tc>
          <w:tcPr>
            <w:tcW w:w="6663" w:type="dxa"/>
          </w:tcPr>
          <w:p w14:paraId="390C094A" w14:textId="77777777" w:rsidR="004808FC" w:rsidRDefault="004808FC" w:rsidP="004808FC">
            <w:pPr>
              <w:pStyle w:val="SCVtablebody"/>
            </w:pPr>
            <w:r w:rsidRPr="00557D6B">
              <w:t xml:space="preserve">Primary </w:t>
            </w:r>
            <w:r w:rsidRPr="00557D6B">
              <w:rPr>
                <w:bCs/>
              </w:rPr>
              <w:t>pancreatic malignancy</w:t>
            </w:r>
          </w:p>
        </w:tc>
        <w:tc>
          <w:tcPr>
            <w:tcW w:w="1701" w:type="dxa"/>
          </w:tcPr>
          <w:p w14:paraId="1DCD1CD9" w14:textId="77777777" w:rsidR="004808FC" w:rsidRDefault="004808FC" w:rsidP="004808FC">
            <w:pPr>
              <w:pStyle w:val="SCVtablebody"/>
              <w:jc w:val="right"/>
            </w:pPr>
            <w:r>
              <w:t>41</w:t>
            </w:r>
          </w:p>
        </w:tc>
        <w:tc>
          <w:tcPr>
            <w:tcW w:w="1840" w:type="dxa"/>
          </w:tcPr>
          <w:p w14:paraId="60D876D0" w14:textId="77777777" w:rsidR="004808FC" w:rsidRDefault="004808FC" w:rsidP="004808FC">
            <w:pPr>
              <w:pStyle w:val="SCVtablebody"/>
              <w:jc w:val="right"/>
            </w:pPr>
            <w:r>
              <w:t>10.1</w:t>
            </w:r>
            <w:r w:rsidR="000A0764">
              <w:t>%</w:t>
            </w:r>
          </w:p>
        </w:tc>
      </w:tr>
      <w:tr w:rsidR="004808FC" w14:paraId="06B76409" w14:textId="77777777" w:rsidTr="004808FC">
        <w:tc>
          <w:tcPr>
            <w:tcW w:w="6663" w:type="dxa"/>
          </w:tcPr>
          <w:p w14:paraId="69AACCE5" w14:textId="77777777" w:rsidR="004808FC" w:rsidRDefault="004808FC" w:rsidP="004808FC">
            <w:pPr>
              <w:pStyle w:val="SCVtablebody"/>
            </w:pPr>
            <w:r w:rsidRPr="00557D6B">
              <w:t>Other gastrointestinal tract malignancy</w:t>
            </w:r>
          </w:p>
        </w:tc>
        <w:tc>
          <w:tcPr>
            <w:tcW w:w="1701" w:type="dxa"/>
          </w:tcPr>
          <w:p w14:paraId="58834B3A" w14:textId="77777777" w:rsidR="004808FC" w:rsidRDefault="004808FC" w:rsidP="004808FC">
            <w:pPr>
              <w:pStyle w:val="SCVtablebody"/>
              <w:jc w:val="right"/>
            </w:pPr>
            <w:r>
              <w:t>54</w:t>
            </w:r>
          </w:p>
        </w:tc>
        <w:tc>
          <w:tcPr>
            <w:tcW w:w="1840" w:type="dxa"/>
          </w:tcPr>
          <w:p w14:paraId="3FE9C856" w14:textId="77777777" w:rsidR="004808FC" w:rsidRDefault="004808FC" w:rsidP="004808FC">
            <w:pPr>
              <w:pStyle w:val="SCVtablebody"/>
              <w:jc w:val="right"/>
            </w:pPr>
            <w:r>
              <w:t>13.3</w:t>
            </w:r>
            <w:r w:rsidR="000A0764">
              <w:t>%</w:t>
            </w:r>
          </w:p>
        </w:tc>
      </w:tr>
      <w:tr w:rsidR="004808FC" w14:paraId="2E0D80AE" w14:textId="77777777" w:rsidTr="004808FC">
        <w:tc>
          <w:tcPr>
            <w:tcW w:w="6663" w:type="dxa"/>
            <w:tcBorders>
              <w:bottom w:val="single" w:sz="2" w:space="0" w:color="80808B"/>
            </w:tcBorders>
          </w:tcPr>
          <w:p w14:paraId="44856A1D" w14:textId="77777777" w:rsidR="004808FC" w:rsidRPr="00557D6B" w:rsidRDefault="004808FC" w:rsidP="004808FC">
            <w:pPr>
              <w:pStyle w:val="SCVtablebody"/>
            </w:pPr>
            <w:r w:rsidRPr="00557D6B">
              <w:t>Other malignancy</w:t>
            </w:r>
          </w:p>
        </w:tc>
        <w:tc>
          <w:tcPr>
            <w:tcW w:w="1701" w:type="dxa"/>
            <w:tcBorders>
              <w:bottom w:val="single" w:sz="2" w:space="0" w:color="80808B"/>
            </w:tcBorders>
          </w:tcPr>
          <w:p w14:paraId="4D44A0E4" w14:textId="77777777" w:rsidR="004808FC" w:rsidRDefault="004808FC" w:rsidP="004808FC">
            <w:pPr>
              <w:pStyle w:val="SCVtablebody"/>
              <w:jc w:val="right"/>
            </w:pPr>
            <w:r>
              <w:t>150</w:t>
            </w:r>
          </w:p>
        </w:tc>
        <w:tc>
          <w:tcPr>
            <w:tcW w:w="1840" w:type="dxa"/>
            <w:tcBorders>
              <w:bottom w:val="single" w:sz="2" w:space="0" w:color="80808B"/>
            </w:tcBorders>
          </w:tcPr>
          <w:p w14:paraId="5CDD3A2C" w14:textId="77777777" w:rsidR="004808FC" w:rsidRDefault="004808FC" w:rsidP="004808FC">
            <w:pPr>
              <w:pStyle w:val="SCVtablebody"/>
              <w:jc w:val="right"/>
            </w:pPr>
            <w:r>
              <w:t>37.0</w:t>
            </w:r>
            <w:r w:rsidR="000A0764">
              <w:t>%</w:t>
            </w:r>
          </w:p>
        </w:tc>
      </w:tr>
      <w:tr w:rsidR="004808FC" w14:paraId="3EE37D76" w14:textId="77777777" w:rsidTr="004808FC">
        <w:tc>
          <w:tcPr>
            <w:tcW w:w="6663" w:type="dxa"/>
            <w:shd w:val="clear" w:color="auto" w:fill="F2F2F2" w:themeFill="background1" w:themeFillShade="F2"/>
          </w:tcPr>
          <w:p w14:paraId="570E4CC1" w14:textId="77777777" w:rsidR="004808FC" w:rsidRPr="00557D6B" w:rsidRDefault="004808FC" w:rsidP="004808FC">
            <w:pPr>
              <w:pStyle w:val="SCVtablerowhead"/>
            </w:pPr>
            <w:r w:rsidRPr="00557D6B">
              <w:t>Non-</w:t>
            </w:r>
            <w:r>
              <w:t>m</w:t>
            </w:r>
            <w:r w:rsidRPr="00557D6B">
              <w:t>alignancy</w:t>
            </w:r>
          </w:p>
        </w:tc>
        <w:tc>
          <w:tcPr>
            <w:tcW w:w="1701" w:type="dxa"/>
            <w:shd w:val="clear" w:color="auto" w:fill="F2F2F2" w:themeFill="background1" w:themeFillShade="F2"/>
          </w:tcPr>
          <w:p w14:paraId="5AA37522" w14:textId="77777777" w:rsidR="004808FC" w:rsidRDefault="004808FC" w:rsidP="004808FC">
            <w:pPr>
              <w:pStyle w:val="SCVtablebody"/>
              <w:jc w:val="right"/>
            </w:pPr>
          </w:p>
        </w:tc>
        <w:tc>
          <w:tcPr>
            <w:tcW w:w="1840" w:type="dxa"/>
            <w:shd w:val="clear" w:color="auto" w:fill="F2F2F2" w:themeFill="background1" w:themeFillShade="F2"/>
          </w:tcPr>
          <w:p w14:paraId="4BD17E34" w14:textId="77777777" w:rsidR="004808FC" w:rsidRDefault="004808FC" w:rsidP="004808FC">
            <w:pPr>
              <w:pStyle w:val="SCVtablebody"/>
              <w:jc w:val="right"/>
            </w:pPr>
          </w:p>
        </w:tc>
      </w:tr>
      <w:tr w:rsidR="004808FC" w14:paraId="2DE2009E" w14:textId="77777777" w:rsidTr="004808FC">
        <w:tc>
          <w:tcPr>
            <w:tcW w:w="6663" w:type="dxa"/>
          </w:tcPr>
          <w:p w14:paraId="3850F946" w14:textId="77777777" w:rsidR="004808FC" w:rsidRPr="00557D6B" w:rsidRDefault="004808FC" w:rsidP="004808FC">
            <w:pPr>
              <w:pStyle w:val="SCVtablebody"/>
            </w:pPr>
            <w:r w:rsidRPr="00557D6B">
              <w:t>Neurodegenerative disease</w:t>
            </w:r>
          </w:p>
        </w:tc>
        <w:tc>
          <w:tcPr>
            <w:tcW w:w="1701" w:type="dxa"/>
          </w:tcPr>
          <w:p w14:paraId="1577D15E" w14:textId="77777777" w:rsidR="004808FC" w:rsidRDefault="004808FC" w:rsidP="004808FC">
            <w:pPr>
              <w:pStyle w:val="SCVtablebody"/>
              <w:jc w:val="right"/>
            </w:pPr>
            <w:r>
              <w:t>37</w:t>
            </w:r>
          </w:p>
        </w:tc>
        <w:tc>
          <w:tcPr>
            <w:tcW w:w="1840" w:type="dxa"/>
          </w:tcPr>
          <w:p w14:paraId="30A7BBF2" w14:textId="77777777" w:rsidR="004808FC" w:rsidRDefault="004808FC" w:rsidP="004808FC">
            <w:pPr>
              <w:pStyle w:val="SCVtablebody"/>
              <w:jc w:val="right"/>
            </w:pPr>
            <w:r>
              <w:t>44.6</w:t>
            </w:r>
            <w:r w:rsidR="000A0764">
              <w:t>%</w:t>
            </w:r>
          </w:p>
        </w:tc>
      </w:tr>
      <w:tr w:rsidR="004808FC" w14:paraId="67DA157C" w14:textId="77777777" w:rsidTr="004808FC">
        <w:tc>
          <w:tcPr>
            <w:tcW w:w="6663" w:type="dxa"/>
          </w:tcPr>
          <w:p w14:paraId="523E6EBC" w14:textId="77777777" w:rsidR="004808FC" w:rsidRPr="00557D6B" w:rsidRDefault="004808FC" w:rsidP="004808FC">
            <w:pPr>
              <w:pStyle w:val="SCVtablebody"/>
            </w:pPr>
            <w:r w:rsidRPr="00557D6B">
              <w:t>Respiratory failure</w:t>
            </w:r>
          </w:p>
        </w:tc>
        <w:tc>
          <w:tcPr>
            <w:tcW w:w="1701" w:type="dxa"/>
          </w:tcPr>
          <w:p w14:paraId="402B0B1F" w14:textId="77777777" w:rsidR="004808FC" w:rsidRDefault="004808FC" w:rsidP="004808FC">
            <w:pPr>
              <w:pStyle w:val="SCVtablebody"/>
              <w:jc w:val="right"/>
            </w:pPr>
            <w:r>
              <w:t>18</w:t>
            </w:r>
          </w:p>
        </w:tc>
        <w:tc>
          <w:tcPr>
            <w:tcW w:w="1840" w:type="dxa"/>
          </w:tcPr>
          <w:p w14:paraId="4E568285" w14:textId="77777777" w:rsidR="004808FC" w:rsidRDefault="004808FC" w:rsidP="004808FC">
            <w:pPr>
              <w:pStyle w:val="SCVtablebody"/>
              <w:jc w:val="right"/>
            </w:pPr>
            <w:r>
              <w:t>21.7</w:t>
            </w:r>
            <w:r w:rsidR="000A0764">
              <w:t>%</w:t>
            </w:r>
          </w:p>
        </w:tc>
      </w:tr>
      <w:tr w:rsidR="004808FC" w14:paraId="6747368E" w14:textId="77777777" w:rsidTr="004808FC">
        <w:tc>
          <w:tcPr>
            <w:tcW w:w="6663" w:type="dxa"/>
          </w:tcPr>
          <w:p w14:paraId="347728D7" w14:textId="77777777" w:rsidR="004808FC" w:rsidRPr="00557D6B" w:rsidRDefault="004808FC" w:rsidP="004808FC">
            <w:pPr>
              <w:pStyle w:val="SCVtablebody"/>
            </w:pPr>
            <w:r w:rsidRPr="00557D6B">
              <w:t>Other</w:t>
            </w:r>
          </w:p>
        </w:tc>
        <w:tc>
          <w:tcPr>
            <w:tcW w:w="1701" w:type="dxa"/>
          </w:tcPr>
          <w:p w14:paraId="5A667E12" w14:textId="77777777" w:rsidR="004808FC" w:rsidRDefault="004808FC" w:rsidP="004808FC">
            <w:pPr>
              <w:pStyle w:val="SCVtablebody"/>
              <w:jc w:val="right"/>
            </w:pPr>
            <w:r>
              <w:t>28</w:t>
            </w:r>
          </w:p>
        </w:tc>
        <w:tc>
          <w:tcPr>
            <w:tcW w:w="1840" w:type="dxa"/>
          </w:tcPr>
          <w:p w14:paraId="28FF5AB2" w14:textId="77777777" w:rsidR="004808FC" w:rsidRDefault="004808FC" w:rsidP="004808FC">
            <w:pPr>
              <w:pStyle w:val="SCVtablebody"/>
              <w:jc w:val="right"/>
            </w:pPr>
            <w:r>
              <w:t>33.7</w:t>
            </w:r>
            <w:r w:rsidR="000A0764">
              <w:t>%</w:t>
            </w:r>
          </w:p>
        </w:tc>
      </w:tr>
    </w:tbl>
    <w:p w14:paraId="3204C1E6" w14:textId="77777777" w:rsidR="00B768E9" w:rsidRPr="00B768E9" w:rsidRDefault="00B768E9" w:rsidP="00B768E9">
      <w:pPr>
        <w:pStyle w:val="SCVtablefigurenote"/>
        <w:rPr>
          <w:rStyle w:val="FootnoteReference"/>
          <w:rFonts w:cs="Arial"/>
          <w:sz w:val="14"/>
          <w:szCs w:val="14"/>
          <w:vertAlign w:val="baseline"/>
        </w:rPr>
      </w:pPr>
      <w:r w:rsidRPr="00B768E9">
        <w:rPr>
          <w:rStyle w:val="FootnoteReference"/>
          <w:sz w:val="14"/>
          <w:szCs w:val="14"/>
          <w:vertAlign w:val="baseline"/>
        </w:rPr>
        <w:t># Figures have been rounded to one decimal place and due to rounding the total figure for malignancy is less than 100 per cent.</w:t>
      </w:r>
      <w:r w:rsidRPr="00B768E9">
        <w:rPr>
          <w:rStyle w:val="FootnoteReference"/>
          <w:rFonts w:cs="Arial"/>
          <w:sz w:val="14"/>
          <w:szCs w:val="14"/>
          <w:vertAlign w:val="baseline"/>
        </w:rPr>
        <w:t xml:space="preserve"> </w:t>
      </w:r>
    </w:p>
    <w:p w14:paraId="7B8F6600" w14:textId="77777777" w:rsidR="00B768E9" w:rsidRDefault="00B768E9">
      <w:pPr>
        <w:spacing w:line="280" w:lineRule="atLeast"/>
      </w:pPr>
      <w:r>
        <w:br w:type="page"/>
      </w:r>
    </w:p>
    <w:p w14:paraId="4748F8D9" w14:textId="77777777" w:rsidR="00B768E9" w:rsidRDefault="00B768E9" w:rsidP="00B768E9">
      <w:pPr>
        <w:pStyle w:val="Heading2"/>
      </w:pPr>
      <w:r>
        <w:lastRenderedPageBreak/>
        <w:t>Withdrawals</w:t>
      </w:r>
    </w:p>
    <w:p w14:paraId="557F7792" w14:textId="77777777" w:rsidR="004936A3" w:rsidRDefault="004936A3" w:rsidP="00B768E9">
      <w:pPr>
        <w:pStyle w:val="SCVbodyafterheading"/>
        <w:sectPr w:rsidR="004936A3" w:rsidSect="00F16C4F">
          <w:type w:val="continuous"/>
          <w:pgSz w:w="11906" w:h="16838" w:code="9"/>
          <w:pgMar w:top="3402" w:right="851" w:bottom="1361" w:left="851" w:header="851" w:footer="851" w:gutter="0"/>
          <w:cols w:space="284"/>
          <w:docGrid w:linePitch="360"/>
          <w15:footnoteColumns w:val="1"/>
        </w:sectPr>
      </w:pPr>
    </w:p>
    <w:p w14:paraId="161AF49B" w14:textId="77777777" w:rsidR="004936A3" w:rsidRDefault="00B768E9" w:rsidP="00B768E9">
      <w:pPr>
        <w:pStyle w:val="SCVbodyafterheading"/>
      </w:pPr>
      <w:r>
        <w:t>The Board receives death information for all applicants, including voluntary assisted dying applications that are withdrawn. An application is considered withdrawn if it does not reach the stage of dispensing of the medication for a self-administration/practitioner administration permit. Between 1 January and 30 June 2021 there were no cases withdrawn because the applicant decided not to proceed.</w:t>
      </w:r>
    </w:p>
    <w:p w14:paraId="2326AC9C" w14:textId="77777777" w:rsidR="00B768E9" w:rsidRDefault="00B768E9" w:rsidP="00B768E9">
      <w:pPr>
        <w:pStyle w:val="SCVbodyafterheading"/>
      </w:pPr>
      <w:r>
        <w:t>The main reason for withdrawal was due to death of the applicant before completion of the voluntary assisted dying application process. Data capture has recently been strengthened with the addition of a new reason for withdrawal in the portal, ‘The applicant no longer has decision making capacity in relation to voluntary assisted dying’</w:t>
      </w:r>
      <w:r w:rsidR="000A0764">
        <w:t>.</w:t>
      </w:r>
      <w:r>
        <w:t xml:space="preserve"> This data will be included in future reports.</w:t>
      </w:r>
    </w:p>
    <w:p w14:paraId="1DB8AF65" w14:textId="77777777" w:rsidR="004936A3" w:rsidRDefault="004936A3" w:rsidP="00B768E9">
      <w:pPr>
        <w:pStyle w:val="SCVtablecaption"/>
        <w:sectPr w:rsidR="004936A3" w:rsidSect="004936A3">
          <w:type w:val="continuous"/>
          <w:pgSz w:w="11906" w:h="16838" w:code="9"/>
          <w:pgMar w:top="3402" w:right="851" w:bottom="1361" w:left="851" w:header="851" w:footer="851" w:gutter="0"/>
          <w:cols w:num="2" w:space="284"/>
          <w:docGrid w:linePitch="360"/>
          <w15:footnoteColumns w:val="1"/>
        </w:sectPr>
      </w:pPr>
    </w:p>
    <w:p w14:paraId="512D7D8C" w14:textId="77777777" w:rsidR="009222A5" w:rsidRDefault="00B768E9" w:rsidP="00B768E9">
      <w:pPr>
        <w:pStyle w:val="SCVtablecaption"/>
      </w:pPr>
      <w:r>
        <w:t>Table 6: Reasons for withdrawal (1 Jan–30 Jun 2021)</w:t>
      </w:r>
    </w:p>
    <w:tbl>
      <w:tblPr>
        <w:tblStyle w:val="TableGrid"/>
        <w:tblW w:w="10206" w:type="dxa"/>
        <w:tblLook w:val="04A0" w:firstRow="1" w:lastRow="0" w:firstColumn="1" w:lastColumn="0" w:noHBand="0" w:noVBand="1"/>
      </w:tblPr>
      <w:tblGrid>
        <w:gridCol w:w="8505"/>
        <w:gridCol w:w="1701"/>
      </w:tblGrid>
      <w:tr w:rsidR="00B768E9" w14:paraId="19C01898" w14:textId="77777777" w:rsidTr="00B768E9">
        <w:trPr>
          <w:cnfStyle w:val="100000000000" w:firstRow="1" w:lastRow="0" w:firstColumn="0" w:lastColumn="0" w:oddVBand="0" w:evenVBand="0" w:oddHBand="0" w:evenHBand="0" w:firstRowFirstColumn="0" w:firstRowLastColumn="0" w:lastRowFirstColumn="0" w:lastRowLastColumn="0"/>
        </w:trPr>
        <w:tc>
          <w:tcPr>
            <w:tcW w:w="8505" w:type="dxa"/>
          </w:tcPr>
          <w:p w14:paraId="5936451D" w14:textId="77777777" w:rsidR="00B768E9" w:rsidRDefault="00B768E9" w:rsidP="00B768E9">
            <w:pPr>
              <w:pStyle w:val="SCVtablecolhead"/>
            </w:pPr>
            <w:r w:rsidRPr="00A20282">
              <w:t>Reason for withdrawal</w:t>
            </w:r>
          </w:p>
        </w:tc>
        <w:tc>
          <w:tcPr>
            <w:tcW w:w="1701" w:type="dxa"/>
          </w:tcPr>
          <w:p w14:paraId="120660E6" w14:textId="77777777" w:rsidR="00B768E9" w:rsidRDefault="00B768E9" w:rsidP="00815A57">
            <w:pPr>
              <w:pStyle w:val="SCVtablecolhead"/>
              <w:jc w:val="right"/>
            </w:pPr>
            <w:r w:rsidRPr="00B768E9">
              <w:t>Total</w:t>
            </w:r>
          </w:p>
        </w:tc>
      </w:tr>
      <w:tr w:rsidR="00B768E9" w14:paraId="2C18679C" w14:textId="77777777" w:rsidTr="00B768E9">
        <w:tc>
          <w:tcPr>
            <w:tcW w:w="8505" w:type="dxa"/>
          </w:tcPr>
          <w:p w14:paraId="797C4C2B" w14:textId="77777777" w:rsidR="00B768E9" w:rsidRDefault="00B768E9" w:rsidP="000A0764">
            <w:pPr>
              <w:pStyle w:val="SCVtablebody"/>
            </w:pPr>
            <w:r w:rsidRPr="00B768E9">
              <w:t>Coordinating medical practitioner notified of death</w:t>
            </w:r>
          </w:p>
        </w:tc>
        <w:tc>
          <w:tcPr>
            <w:tcW w:w="1701" w:type="dxa"/>
          </w:tcPr>
          <w:p w14:paraId="3082FC5E" w14:textId="77777777" w:rsidR="00B768E9" w:rsidRDefault="00B768E9" w:rsidP="000A0764">
            <w:pPr>
              <w:pStyle w:val="SCVtablebody"/>
              <w:jc w:val="right"/>
            </w:pPr>
            <w:r w:rsidRPr="00B768E9">
              <w:t>53</w:t>
            </w:r>
          </w:p>
        </w:tc>
      </w:tr>
      <w:tr w:rsidR="00B768E9" w14:paraId="5FF71863" w14:textId="77777777" w:rsidTr="00B768E9">
        <w:tc>
          <w:tcPr>
            <w:tcW w:w="8505" w:type="dxa"/>
          </w:tcPr>
          <w:p w14:paraId="3F4B8DC2" w14:textId="77777777" w:rsidR="00B768E9" w:rsidRDefault="00B768E9" w:rsidP="000A0764">
            <w:pPr>
              <w:pStyle w:val="SCVtablebody"/>
            </w:pPr>
            <w:r w:rsidRPr="00B768E9">
              <w:t>Secretariat notified of death</w:t>
            </w:r>
            <w:r w:rsidRPr="00B768E9">
              <w:rPr>
                <w:vertAlign w:val="superscript"/>
              </w:rPr>
              <w:t>#</w:t>
            </w:r>
          </w:p>
        </w:tc>
        <w:tc>
          <w:tcPr>
            <w:tcW w:w="1701" w:type="dxa"/>
          </w:tcPr>
          <w:p w14:paraId="508A2D42" w14:textId="77777777" w:rsidR="00B768E9" w:rsidRDefault="00B768E9" w:rsidP="000A0764">
            <w:pPr>
              <w:pStyle w:val="SCVtablebody"/>
              <w:jc w:val="right"/>
            </w:pPr>
            <w:r w:rsidRPr="00B768E9">
              <w:t>37</w:t>
            </w:r>
          </w:p>
        </w:tc>
      </w:tr>
      <w:tr w:rsidR="00B768E9" w14:paraId="1F5989F1" w14:textId="77777777" w:rsidTr="00B768E9">
        <w:tc>
          <w:tcPr>
            <w:tcW w:w="8505" w:type="dxa"/>
          </w:tcPr>
          <w:p w14:paraId="256F7EE2" w14:textId="77777777" w:rsidR="00B768E9" w:rsidRDefault="00B768E9" w:rsidP="000A0764">
            <w:pPr>
              <w:pStyle w:val="SCVtablebody"/>
            </w:pPr>
            <w:r w:rsidRPr="00B768E9">
              <w:t>Applicant decided not to proceed</w:t>
            </w:r>
          </w:p>
        </w:tc>
        <w:tc>
          <w:tcPr>
            <w:tcW w:w="1701" w:type="dxa"/>
          </w:tcPr>
          <w:p w14:paraId="416373AD" w14:textId="77777777" w:rsidR="00B768E9" w:rsidRDefault="00B768E9" w:rsidP="000A0764">
            <w:pPr>
              <w:pStyle w:val="SCVtablebody"/>
              <w:jc w:val="right"/>
            </w:pPr>
            <w:r w:rsidRPr="00B768E9">
              <w:t>0</w:t>
            </w:r>
          </w:p>
        </w:tc>
      </w:tr>
      <w:tr w:rsidR="00B768E9" w14:paraId="4CC6D5E6" w14:textId="77777777" w:rsidTr="00B768E9">
        <w:tc>
          <w:tcPr>
            <w:tcW w:w="8505" w:type="dxa"/>
          </w:tcPr>
          <w:p w14:paraId="490DB113" w14:textId="77777777" w:rsidR="00B768E9" w:rsidRPr="00B768E9" w:rsidRDefault="00B768E9" w:rsidP="000A0764">
            <w:pPr>
              <w:pStyle w:val="SCVtablebody"/>
            </w:pPr>
            <w:r w:rsidRPr="00B768E9">
              <w:t>Other*</w:t>
            </w:r>
          </w:p>
        </w:tc>
        <w:tc>
          <w:tcPr>
            <w:tcW w:w="1701" w:type="dxa"/>
          </w:tcPr>
          <w:p w14:paraId="2D4F0D88" w14:textId="77777777" w:rsidR="00B768E9" w:rsidRDefault="00B768E9" w:rsidP="000A0764">
            <w:pPr>
              <w:pStyle w:val="SCVtablebody"/>
              <w:jc w:val="right"/>
            </w:pPr>
            <w:r w:rsidRPr="00B768E9">
              <w:t>13</w:t>
            </w:r>
          </w:p>
        </w:tc>
      </w:tr>
    </w:tbl>
    <w:p w14:paraId="0308BAF1" w14:textId="77777777" w:rsidR="00B768E9" w:rsidRPr="00B768E9" w:rsidRDefault="00B768E9" w:rsidP="00B768E9">
      <w:pPr>
        <w:pStyle w:val="SCVtablefigurenote"/>
        <w:rPr>
          <w:rStyle w:val="FootnoteReference"/>
          <w:sz w:val="14"/>
          <w:szCs w:val="14"/>
          <w:vertAlign w:val="baseline"/>
        </w:rPr>
      </w:pPr>
      <w:r w:rsidRPr="00B768E9">
        <w:rPr>
          <w:rStyle w:val="FootnoteReference"/>
          <w:sz w:val="14"/>
          <w:szCs w:val="14"/>
          <w:vertAlign w:val="baseline"/>
        </w:rPr>
        <w:t># The secretariat may receive notification of death via the coordinating medical practitioner, Births, Deaths and Marriages, or a care navigator/care coordinator.</w:t>
      </w:r>
    </w:p>
    <w:p w14:paraId="00F84FA0" w14:textId="77777777" w:rsidR="00B768E9" w:rsidRPr="00B768E9" w:rsidRDefault="00B768E9" w:rsidP="00B768E9">
      <w:pPr>
        <w:pStyle w:val="SCVtablefigurenote"/>
        <w:rPr>
          <w:rStyle w:val="FootnoteReference"/>
          <w:sz w:val="14"/>
          <w:szCs w:val="14"/>
          <w:vertAlign w:val="baseline"/>
        </w:rPr>
      </w:pPr>
      <w:r w:rsidRPr="00B768E9">
        <w:rPr>
          <w:rStyle w:val="FootnoteReference"/>
          <w:sz w:val="14"/>
          <w:szCs w:val="14"/>
          <w:vertAlign w:val="baseline"/>
        </w:rPr>
        <w:t>* Other reasons for withdrawal may include an administrative error, deterioration or improvement in condition and thus no longer meeting eligibility criteria and a transfer of care to a different medical practitioner or health service.</w:t>
      </w:r>
    </w:p>
    <w:p w14:paraId="511356B6" w14:textId="77777777" w:rsidR="004936A3" w:rsidRDefault="004936A3">
      <w:pPr>
        <w:spacing w:line="280" w:lineRule="atLeast"/>
      </w:pPr>
      <w:r>
        <w:br w:type="page"/>
      </w:r>
    </w:p>
    <w:p w14:paraId="6DF26DAF" w14:textId="77777777" w:rsidR="004936A3" w:rsidRDefault="004936A3" w:rsidP="004936A3">
      <w:pPr>
        <w:pStyle w:val="Heading1"/>
      </w:pPr>
      <w:r>
        <w:lastRenderedPageBreak/>
        <w:t>Feedback</w:t>
      </w:r>
    </w:p>
    <w:p w14:paraId="0866BD0D" w14:textId="77777777" w:rsidR="004936A3" w:rsidRDefault="004936A3" w:rsidP="004936A3">
      <w:pPr>
        <w:pStyle w:val="SCVintroductorytext"/>
      </w:pPr>
      <w:r>
        <w:t>The Board has the privilege of hearing from applicants and the people who support them.</w:t>
      </w:r>
    </w:p>
    <w:p w14:paraId="686F538B" w14:textId="77777777" w:rsidR="004936A3" w:rsidRDefault="004936A3" w:rsidP="004936A3">
      <w:pPr>
        <w:pStyle w:val="Heading2"/>
        <w:sectPr w:rsidR="004936A3" w:rsidSect="00F16C4F">
          <w:type w:val="continuous"/>
          <w:pgSz w:w="11906" w:h="16838" w:code="9"/>
          <w:pgMar w:top="3402" w:right="851" w:bottom="1361" w:left="851" w:header="851" w:footer="851" w:gutter="0"/>
          <w:cols w:space="284"/>
          <w:docGrid w:linePitch="360"/>
          <w15:footnoteColumns w:val="1"/>
        </w:sectPr>
      </w:pPr>
    </w:p>
    <w:p w14:paraId="11E4E1B4" w14:textId="77777777" w:rsidR="004936A3" w:rsidRDefault="004936A3" w:rsidP="004936A3">
      <w:pPr>
        <w:pStyle w:val="Heading2"/>
        <w:spacing w:before="0"/>
      </w:pPr>
      <w:r>
        <w:t>Importance of voluntary assisted dying</w:t>
      </w:r>
    </w:p>
    <w:p w14:paraId="14B36094" w14:textId="77777777" w:rsidR="004936A3" w:rsidRDefault="004936A3" w:rsidP="004936A3">
      <w:pPr>
        <w:pStyle w:val="SCVbodyafterheading"/>
        <w:spacing w:after="120" w:line="260" w:lineRule="atLeast"/>
      </w:pPr>
      <w:r>
        <w:t xml:space="preserve">Overwhelmingly, applicants talk about having the choice to decide the timing and manner of their death. It gives them a sense of control at the end of their </w:t>
      </w:r>
      <w:proofErr w:type="gramStart"/>
      <w:r>
        <w:t>life, when</w:t>
      </w:r>
      <w:proofErr w:type="gramEnd"/>
      <w:r>
        <w:t xml:space="preserve"> many other choices are no longer available to them.</w:t>
      </w:r>
    </w:p>
    <w:p w14:paraId="408CCB5B" w14:textId="77777777" w:rsidR="004936A3" w:rsidRDefault="004936A3" w:rsidP="004936A3">
      <w:pPr>
        <w:pStyle w:val="SCVquote"/>
        <w:spacing w:before="120" w:after="120" w:line="260" w:lineRule="atLeast"/>
      </w:pPr>
      <w:r>
        <w:t>“I am losing control of many important bodily functions and do not want that to contribute further to my suffering.” – Applicant</w:t>
      </w:r>
    </w:p>
    <w:p w14:paraId="746247BC" w14:textId="77777777" w:rsidR="004936A3" w:rsidRDefault="004936A3" w:rsidP="004936A3">
      <w:pPr>
        <w:pStyle w:val="SCVquote"/>
        <w:spacing w:before="120" w:after="120" w:line="260" w:lineRule="atLeast"/>
      </w:pPr>
      <w:r>
        <w:t>“I have always believed in [voluntary assisted dying]. My body, my brain – my decision. I embrace what I have decided. I’m getting a lot of wonderful healing that I am grateful for.” – Applicant</w:t>
      </w:r>
    </w:p>
    <w:p w14:paraId="7966E3CA" w14:textId="77777777" w:rsidR="004936A3" w:rsidRDefault="004936A3" w:rsidP="004936A3">
      <w:pPr>
        <w:pStyle w:val="SCVbody"/>
        <w:spacing w:before="120" w:after="120" w:line="260" w:lineRule="atLeast"/>
      </w:pPr>
      <w:r>
        <w:t xml:space="preserve">For some, it is simply having the knowledge that they have the permit or medication available </w:t>
      </w:r>
      <w:r w:rsidR="000A0764">
        <w:t>–</w:t>
      </w:r>
      <w:r>
        <w:t xml:space="preserve"> even though they may choose to never take it. It gives many people great comfort knowing they have a choice to take the medication.</w:t>
      </w:r>
    </w:p>
    <w:p w14:paraId="7B3DBD2E" w14:textId="77777777" w:rsidR="004936A3" w:rsidRDefault="004936A3" w:rsidP="004936A3">
      <w:pPr>
        <w:pStyle w:val="SCVquote"/>
        <w:spacing w:before="120" w:after="120" w:line="260" w:lineRule="atLeast"/>
      </w:pPr>
      <w:r>
        <w:t>“[The applicant] was so appreciative that VAD was an option for her and it gave her great relief and comfort to know it was there if she wanted it. So, even though in the end she didn’t choose to use it she was so happy to have the choice.” – Contact person</w:t>
      </w:r>
    </w:p>
    <w:p w14:paraId="0A8F9735" w14:textId="77777777" w:rsidR="004936A3" w:rsidRDefault="004936A3" w:rsidP="004936A3">
      <w:pPr>
        <w:pStyle w:val="SCVbody"/>
        <w:spacing w:before="120" w:after="120" w:line="260" w:lineRule="atLeast"/>
      </w:pPr>
      <w:r>
        <w:t xml:space="preserve">Of all permit holders, 32 per cent died without taking the voluntary assisted dying medication between </w:t>
      </w:r>
      <w:r w:rsidR="000A0764">
        <w:br/>
      </w:r>
      <w:r>
        <w:t>1 January and 30 June 2021.</w:t>
      </w:r>
    </w:p>
    <w:p w14:paraId="41A88BB8" w14:textId="77777777" w:rsidR="004936A3" w:rsidRDefault="004936A3" w:rsidP="004936A3">
      <w:pPr>
        <w:pStyle w:val="SCVquote"/>
        <w:spacing w:before="120" w:after="120" w:line="260" w:lineRule="atLeast"/>
      </w:pPr>
      <w:r>
        <w:t>“[The applicant] said my time has come and I’m falling to bits. After that, the process was easy…</w:t>
      </w:r>
      <w:r w:rsidR="000A0764">
        <w:t xml:space="preserve"> </w:t>
      </w:r>
      <w:r>
        <w:t>and well thought through. We had talked about assisted dying extensively. Until we found [voluntary assisted dying], we had talked about going to the Netherlands or Switzerland if the time ever came. We were so lucky to be living in Victoria so we could access it at home.” – Contact person</w:t>
      </w:r>
    </w:p>
    <w:p w14:paraId="7A04E5E9" w14:textId="77777777" w:rsidR="004936A3" w:rsidRDefault="004936A3" w:rsidP="004936A3">
      <w:pPr>
        <w:pStyle w:val="SCVquote"/>
      </w:pPr>
      <w:r>
        <w:t>“The availability of VAD is important because of the choice and control it affords people. Not just to those that use the medication, but anyone who starts the process. The care navigators very regularly receive feedback from family members of people who have died that, just knowing VAD was an option, or that the process was underway, provided great comfort to their loved one.” – Care navigator</w:t>
      </w:r>
    </w:p>
    <w:p w14:paraId="28F51435" w14:textId="77777777" w:rsidR="004936A3" w:rsidRDefault="004936A3" w:rsidP="004936A3">
      <w:pPr>
        <w:pStyle w:val="Heading2"/>
      </w:pPr>
      <w:r>
        <w:t>Information on voluntary assisted dying</w:t>
      </w:r>
    </w:p>
    <w:p w14:paraId="5D14F2C5" w14:textId="77777777" w:rsidR="004936A3" w:rsidRDefault="004936A3" w:rsidP="004936A3">
      <w:pPr>
        <w:pStyle w:val="SCVbodyafterheading"/>
      </w:pPr>
      <w:r>
        <w:t xml:space="preserve">There are resources available to help those interested in learning more about the voluntary assisted dying process and what to talk to their medical practitioner about. Please refer to the </w:t>
      </w:r>
      <w:hyperlink r:id="rId37" w:history="1">
        <w:r w:rsidR="000A0764" w:rsidRPr="000A0764">
          <w:rPr>
            <w:rStyle w:val="Hyperlink"/>
            <w:u w:val="none"/>
          </w:rPr>
          <w:t>Department of Health website</w:t>
        </w:r>
      </w:hyperlink>
      <w:r w:rsidR="000A0764" w:rsidRPr="000A0764">
        <w:t>.</w:t>
      </w:r>
    </w:p>
    <w:p w14:paraId="07B24E48" w14:textId="77777777" w:rsidR="004936A3" w:rsidRDefault="004936A3" w:rsidP="004936A3">
      <w:pPr>
        <w:pStyle w:val="SCVbody"/>
      </w:pPr>
      <w:r>
        <w:t>It has been two years since the legislation was enacted, and community awareness and understanding of voluntary assisted dying is still growing.</w:t>
      </w:r>
    </w:p>
    <w:p w14:paraId="5E71C40C" w14:textId="77777777" w:rsidR="004936A3" w:rsidRDefault="004936A3" w:rsidP="004936A3">
      <w:pPr>
        <w:pStyle w:val="SCVquote"/>
      </w:pPr>
      <w:r>
        <w:t>“I have believed that dying and death required more open discussion. Now I am in a position of being able to apply to take part in voluntary assisted dying, I appreciate even more the difficulties involved in passing the Victorian state legislation.” – Applicant</w:t>
      </w:r>
    </w:p>
    <w:p w14:paraId="4D7ADA6C" w14:textId="77777777" w:rsidR="004936A3" w:rsidRDefault="004936A3" w:rsidP="004936A3">
      <w:pPr>
        <w:pStyle w:val="SCVquote"/>
      </w:pPr>
      <w:r>
        <w:t>“We think that the information needs to be more public so people can have it as choice. It needs to be publicised more. I know it’s a grey area, but it’s not right for all those people who don’t know about it.” – Contact person</w:t>
      </w:r>
    </w:p>
    <w:p w14:paraId="0843409E" w14:textId="77777777" w:rsidR="00F438CC" w:rsidRDefault="00F438CC">
      <w:pPr>
        <w:spacing w:line="280" w:lineRule="atLeast"/>
        <w:rPr>
          <w:rFonts w:ascii="Arial" w:eastAsiaTheme="majorEastAsia" w:hAnsi="Arial" w:cstheme="majorBidi"/>
          <w:b/>
          <w:sz w:val="24"/>
          <w:szCs w:val="24"/>
        </w:rPr>
      </w:pPr>
      <w:r>
        <w:br w:type="page"/>
      </w:r>
    </w:p>
    <w:p w14:paraId="7D1A47CF" w14:textId="3172480F" w:rsidR="004936A3" w:rsidRDefault="004936A3" w:rsidP="004936A3">
      <w:pPr>
        <w:pStyle w:val="Heading2"/>
      </w:pPr>
      <w:r>
        <w:lastRenderedPageBreak/>
        <w:t>Changing from a self-administration permit to a practitioner administration permit</w:t>
      </w:r>
    </w:p>
    <w:p w14:paraId="7441C396" w14:textId="77777777" w:rsidR="004936A3" w:rsidRDefault="004936A3" w:rsidP="004936A3">
      <w:pPr>
        <w:pStyle w:val="SCVbodyafterheading"/>
      </w:pPr>
      <w:r>
        <w:t xml:space="preserve">A change in circumstances can occur for applicants holding a self-administration permit causing them to be unable to administer the medication themselves. This may require them to apply for a practitioner administration permit. In these instances, the Act requires any dispensed medication </w:t>
      </w:r>
      <w:r w:rsidR="000A0764">
        <w:t>to</w:t>
      </w:r>
      <w:r>
        <w:t xml:space="preserve"> be returned prior to the coordinating medical practitioner applying for the practitioner administration permit. The process of returning the medication and then applying for and gaining a practitioner administration permit takes time.</w:t>
      </w:r>
    </w:p>
    <w:p w14:paraId="19F94735" w14:textId="77777777" w:rsidR="004936A3" w:rsidRDefault="004936A3" w:rsidP="004936A3">
      <w:pPr>
        <w:pStyle w:val="SCVbody"/>
      </w:pPr>
      <w:r>
        <w:t>Applicants should also be aware that not all voluntary assisted dying trained medical practitioners feel comfortable to administer the medication. This is something an applicant should discuss early with their coordinating medical practitioner.</w:t>
      </w:r>
    </w:p>
    <w:p w14:paraId="0B2D7D85" w14:textId="77777777" w:rsidR="004936A3" w:rsidRDefault="004936A3" w:rsidP="004936A3">
      <w:pPr>
        <w:pStyle w:val="SCVbody"/>
      </w:pPr>
      <w:r>
        <w:t>The Board recommends that coordinating medical practitioners consider their willingness to participate in practitioner administration and any likelihood that the applicant may develop difficulties that may impact their ability to self-administer the medication (for example, swallowing difficulties).</w:t>
      </w:r>
    </w:p>
    <w:p w14:paraId="6B3512CF" w14:textId="18357873" w:rsidR="004936A3" w:rsidRDefault="000A0764" w:rsidP="004936A3">
      <w:pPr>
        <w:pStyle w:val="SCVquote"/>
      </w:pPr>
      <w:r>
        <w:t>“</w:t>
      </w:r>
      <w:r w:rsidR="004936A3">
        <w:t xml:space="preserve">48 hours to change over a permit from self-administration to practitioner administration when there is no medication to collect or script to destroy needs serious attention. This happens because there is a sudden change in the patient's trajectory and clinical situation.” </w:t>
      </w:r>
      <w:r w:rsidR="00F438CC">
        <w:br/>
      </w:r>
      <w:r w:rsidR="004936A3">
        <w:t>– Coordinating medical practitioner</w:t>
      </w:r>
    </w:p>
    <w:p w14:paraId="6E1F7194" w14:textId="77777777" w:rsidR="004936A3" w:rsidRDefault="004936A3" w:rsidP="004936A3">
      <w:pPr>
        <w:pStyle w:val="Heading2"/>
      </w:pPr>
      <w:r>
        <w:br w:type="column"/>
      </w:r>
      <w:r>
        <w:t>Death and support for families</w:t>
      </w:r>
    </w:p>
    <w:p w14:paraId="475527A3" w14:textId="77777777" w:rsidR="004936A3" w:rsidRDefault="004936A3" w:rsidP="004936A3">
      <w:pPr>
        <w:pStyle w:val="SCVbodyafterheading"/>
      </w:pPr>
      <w:r>
        <w:t xml:space="preserve">Death can be a confronting experience for families, friends, </w:t>
      </w:r>
      <w:proofErr w:type="gramStart"/>
      <w:r>
        <w:t>carers</w:t>
      </w:r>
      <w:proofErr w:type="gramEnd"/>
      <w:r>
        <w:t xml:space="preserve"> and health practitioners. The Board encourages people to seek support from grief and bereavement services should they need it.</w:t>
      </w:r>
    </w:p>
    <w:p w14:paraId="28DE6F35" w14:textId="77777777" w:rsidR="004936A3" w:rsidRDefault="004936A3" w:rsidP="004936A3">
      <w:pPr>
        <w:pStyle w:val="SCVbody"/>
      </w:pPr>
      <w:r>
        <w:t>Details for services that may help have been included on page 2</w:t>
      </w:r>
      <w:r w:rsidR="00E833AF">
        <w:t>2</w:t>
      </w:r>
      <w:r>
        <w:t>.</w:t>
      </w:r>
    </w:p>
    <w:p w14:paraId="785D19AB" w14:textId="77777777" w:rsidR="004936A3" w:rsidRDefault="004936A3" w:rsidP="004936A3">
      <w:pPr>
        <w:pStyle w:val="SCVquote"/>
      </w:pPr>
      <w:r>
        <w:t>“I think it would be really helpful for some counselling to be provided to the family regarding what to expect when the patient is dying.” – Contact person</w:t>
      </w:r>
    </w:p>
    <w:p w14:paraId="26AEB806" w14:textId="77777777" w:rsidR="004936A3" w:rsidRDefault="004936A3" w:rsidP="004936A3">
      <w:pPr>
        <w:pStyle w:val="SCVquote"/>
      </w:pPr>
      <w:r>
        <w:t>“We called the oncologist when [the applicant] was ready and she was admitted to the hospital under palliative care. She was given a lovely single room with a comfortable recliner to take the medicine. The oncologist drove a long way to be with us. As [the applicant] took the medication, she bought with her some beautiful classical music to listen to. It was a wonderful process and I got to hug her the whole way through until she died. I spent another hour on my own with her after she died. Because we had the substance for a few months, we were both very comfortable with the decision and it was easy to do.” – Contact person</w:t>
      </w:r>
    </w:p>
    <w:p w14:paraId="17D67E3F" w14:textId="77777777" w:rsidR="004936A3" w:rsidRDefault="004936A3">
      <w:pPr>
        <w:spacing w:line="280" w:lineRule="atLeast"/>
        <w:sectPr w:rsidR="004936A3" w:rsidSect="004936A3">
          <w:type w:val="continuous"/>
          <w:pgSz w:w="11906" w:h="16838" w:code="9"/>
          <w:pgMar w:top="3402" w:right="851" w:bottom="1361" w:left="851" w:header="851" w:footer="851" w:gutter="0"/>
          <w:cols w:num="2" w:space="284"/>
          <w:docGrid w:linePitch="360"/>
          <w15:footnoteColumns w:val="1"/>
        </w:sectPr>
      </w:pPr>
    </w:p>
    <w:p w14:paraId="1AB5F5FB" w14:textId="77777777" w:rsidR="004936A3" w:rsidRDefault="004936A3">
      <w:pPr>
        <w:spacing w:line="280" w:lineRule="atLeast"/>
        <w:rPr>
          <w:sz w:val="19"/>
          <w:szCs w:val="19"/>
        </w:rPr>
      </w:pPr>
      <w:r>
        <w:br w:type="page"/>
      </w:r>
    </w:p>
    <w:p w14:paraId="51AA4F69" w14:textId="77777777" w:rsidR="004936A3" w:rsidRDefault="004936A3" w:rsidP="004936A3">
      <w:pPr>
        <w:pStyle w:val="Heading1"/>
      </w:pPr>
      <w:r>
        <w:lastRenderedPageBreak/>
        <w:t>About end of life care and options</w:t>
      </w:r>
    </w:p>
    <w:p w14:paraId="0DB555F3" w14:textId="77777777" w:rsidR="004936A3" w:rsidRDefault="004936A3" w:rsidP="004936A3">
      <w:pPr>
        <w:pStyle w:val="SCVintroductorytext"/>
      </w:pPr>
      <w:r>
        <w:t xml:space="preserve">Voluntary assisted dying is part of a whole of end of life care perspective. The Board remains committed to ensuring terminally ill Victorians are informed about all their end of life care choices, including advance care planning, palliative </w:t>
      </w:r>
      <w:proofErr w:type="gramStart"/>
      <w:r>
        <w:t>care</w:t>
      </w:r>
      <w:proofErr w:type="gramEnd"/>
      <w:r>
        <w:t xml:space="preserve"> and voluntary assisted dying.</w:t>
      </w:r>
    </w:p>
    <w:p w14:paraId="00AF06D9" w14:textId="77777777" w:rsidR="004936A3" w:rsidRDefault="004936A3" w:rsidP="004936A3">
      <w:pPr>
        <w:pStyle w:val="Heading2"/>
        <w:spacing w:before="0"/>
      </w:pPr>
      <w:r>
        <w:t>Palliative care involvement</w:t>
      </w:r>
    </w:p>
    <w:p w14:paraId="55A675D1" w14:textId="77777777" w:rsidR="004936A3" w:rsidRDefault="004936A3" w:rsidP="004936A3">
      <w:pPr>
        <w:pStyle w:val="SCVbodyafterheading"/>
        <w:sectPr w:rsidR="004936A3" w:rsidSect="00F16C4F">
          <w:type w:val="continuous"/>
          <w:pgSz w:w="11906" w:h="16838" w:code="9"/>
          <w:pgMar w:top="3402" w:right="851" w:bottom="1361" w:left="851" w:header="851" w:footer="851" w:gutter="0"/>
          <w:cols w:space="284"/>
          <w:docGrid w:linePitch="360"/>
          <w15:footnoteColumns w:val="1"/>
        </w:sectPr>
      </w:pPr>
    </w:p>
    <w:p w14:paraId="6E02BB99" w14:textId="77777777" w:rsidR="004936A3" w:rsidRDefault="004936A3" w:rsidP="004936A3">
      <w:pPr>
        <w:pStyle w:val="SCVbodyafterheading"/>
        <w:spacing w:after="120"/>
      </w:pPr>
      <w:r>
        <w:t>Palliative care services are available to all Victorians and vary depending on the person’s care needs. This may include hospital-based care or care delivered in the person’s home or residential facility. In some instances, palliative care may be provided by a specialist palliative care provider or specialist consult service.</w:t>
      </w:r>
    </w:p>
    <w:p w14:paraId="79E3DEBB" w14:textId="77777777" w:rsidR="004936A3" w:rsidRDefault="004936A3" w:rsidP="004936A3">
      <w:pPr>
        <w:pStyle w:val="SCVbody"/>
        <w:spacing w:before="120" w:after="120"/>
      </w:pPr>
      <w:r>
        <w:t>This is the first time the Board has published data specific to applicants who are receiving care and support from a palliative care service.</w:t>
      </w:r>
    </w:p>
    <w:p w14:paraId="35E49968" w14:textId="77777777" w:rsidR="004936A3" w:rsidRDefault="004936A3" w:rsidP="004936A3">
      <w:pPr>
        <w:pStyle w:val="SCVbody"/>
        <w:spacing w:before="120" w:after="120"/>
      </w:pPr>
      <w:r>
        <w:t>It demonstrates that most applicants applying for voluntary assisted dying are currently accessing palliative care services while completing the voluntary assisted dying application process. Palliative care is an essential service available to all Victorians and the Board is pleased to see the integration between these end of life care options and the positive attitudes of voluntary assisted dying applicants about their palliative care experiences.</w:t>
      </w:r>
    </w:p>
    <w:p w14:paraId="1DDDECCC" w14:textId="77777777" w:rsidR="004936A3" w:rsidRDefault="004936A3" w:rsidP="004936A3">
      <w:pPr>
        <w:pStyle w:val="SCVtablecaption"/>
        <w:sectPr w:rsidR="004936A3" w:rsidSect="004936A3">
          <w:type w:val="continuous"/>
          <w:pgSz w:w="11906" w:h="16838" w:code="9"/>
          <w:pgMar w:top="3402" w:right="851" w:bottom="1361" w:left="851" w:header="851" w:footer="851" w:gutter="0"/>
          <w:cols w:num="2" w:space="284"/>
          <w:docGrid w:linePitch="360"/>
          <w15:footnoteColumns w:val="1"/>
        </w:sectPr>
      </w:pPr>
    </w:p>
    <w:p w14:paraId="65D2028F" w14:textId="7BAC347B" w:rsidR="004936A3" w:rsidRDefault="004936A3" w:rsidP="004936A3">
      <w:pPr>
        <w:pStyle w:val="SCVtablecaption"/>
        <w:spacing w:before="240"/>
      </w:pPr>
      <w:r>
        <w:t xml:space="preserve">Table 7: </w:t>
      </w:r>
      <w:r w:rsidR="00064BFD">
        <w:t>Use of palliative care by VAD a</w:t>
      </w:r>
      <w:r>
        <w:t>pplicants (19 Jun 2019–30 Jun 2021)</w:t>
      </w:r>
    </w:p>
    <w:tbl>
      <w:tblPr>
        <w:tblStyle w:val="TableGrid"/>
        <w:tblW w:w="0" w:type="auto"/>
        <w:tblLook w:val="04A0" w:firstRow="1" w:lastRow="0" w:firstColumn="1" w:lastColumn="0" w:noHBand="0" w:noVBand="1"/>
      </w:tblPr>
      <w:tblGrid>
        <w:gridCol w:w="6237"/>
        <w:gridCol w:w="1985"/>
        <w:gridCol w:w="1982"/>
      </w:tblGrid>
      <w:tr w:rsidR="004936A3" w14:paraId="2355E3F5" w14:textId="77777777" w:rsidTr="009C1F75">
        <w:trPr>
          <w:cnfStyle w:val="100000000000" w:firstRow="1" w:lastRow="0" w:firstColumn="0" w:lastColumn="0" w:oddVBand="0" w:evenVBand="0" w:oddHBand="0" w:evenHBand="0" w:firstRowFirstColumn="0" w:firstRowLastColumn="0" w:lastRowFirstColumn="0" w:lastRowLastColumn="0"/>
        </w:trPr>
        <w:tc>
          <w:tcPr>
            <w:tcW w:w="6237" w:type="dxa"/>
          </w:tcPr>
          <w:p w14:paraId="44B9077C" w14:textId="77777777" w:rsidR="004936A3" w:rsidRDefault="004936A3" w:rsidP="004936A3">
            <w:pPr>
              <w:pStyle w:val="SCVtablecolhead"/>
            </w:pPr>
            <w:r w:rsidRPr="004B0C7D">
              <w:t>Palliative care services</w:t>
            </w:r>
          </w:p>
        </w:tc>
        <w:tc>
          <w:tcPr>
            <w:tcW w:w="1985" w:type="dxa"/>
          </w:tcPr>
          <w:p w14:paraId="0960EA3B" w14:textId="77777777" w:rsidR="004936A3" w:rsidRDefault="00CB5368" w:rsidP="00064BFD">
            <w:pPr>
              <w:pStyle w:val="SCVtablecolhead"/>
              <w:jc w:val="right"/>
            </w:pPr>
            <w:r>
              <w:rPr>
                <w:rFonts w:eastAsiaTheme="minorHAnsi"/>
                <w:noProof/>
              </w:rPr>
              <w:t xml:space="preserve">Total </w:t>
            </w:r>
            <w:r w:rsidR="004936A3">
              <w:rPr>
                <w:rFonts w:eastAsiaTheme="minorHAnsi"/>
                <w:noProof/>
              </w:rPr>
              <w:t>(</w:t>
            </w:r>
            <w:r>
              <w:rPr>
                <w:rFonts w:eastAsiaTheme="minorHAnsi"/>
                <w:noProof/>
              </w:rPr>
              <w:t>n</w:t>
            </w:r>
            <w:r w:rsidR="004936A3" w:rsidRPr="00A06272">
              <w:rPr>
                <w:rFonts w:eastAsiaTheme="minorHAnsi"/>
                <w:noProof/>
              </w:rPr>
              <w:t>=900</w:t>
            </w:r>
            <w:r w:rsidR="004936A3">
              <w:rPr>
                <w:rFonts w:eastAsiaTheme="minorHAnsi"/>
                <w:noProof/>
              </w:rPr>
              <w:t>)</w:t>
            </w:r>
          </w:p>
        </w:tc>
        <w:tc>
          <w:tcPr>
            <w:tcW w:w="1982" w:type="dxa"/>
          </w:tcPr>
          <w:p w14:paraId="6606862A" w14:textId="77777777" w:rsidR="004936A3" w:rsidRDefault="004936A3" w:rsidP="00064BFD">
            <w:pPr>
              <w:pStyle w:val="SCVtablecolhead"/>
              <w:jc w:val="right"/>
            </w:pPr>
            <w:r>
              <w:t>%</w:t>
            </w:r>
          </w:p>
        </w:tc>
      </w:tr>
      <w:tr w:rsidR="004936A3" w14:paraId="1C51FF22" w14:textId="77777777" w:rsidTr="009C1F75">
        <w:tc>
          <w:tcPr>
            <w:tcW w:w="6237" w:type="dxa"/>
            <w:tcBorders>
              <w:top w:val="single" w:sz="24" w:space="0" w:color="CCDFED" w:themeColor="accent2" w:themeTint="66"/>
            </w:tcBorders>
            <w:shd w:val="clear" w:color="auto" w:fill="F2F2F2" w:themeFill="background1" w:themeFillShade="F2"/>
          </w:tcPr>
          <w:p w14:paraId="3116FAA8" w14:textId="77777777" w:rsidR="004936A3" w:rsidRDefault="004936A3" w:rsidP="004936A3">
            <w:pPr>
              <w:pStyle w:val="SCVtablerowhead"/>
            </w:pPr>
            <w:r w:rsidRPr="004936A3">
              <w:t>Accessed</w:t>
            </w:r>
          </w:p>
        </w:tc>
        <w:tc>
          <w:tcPr>
            <w:tcW w:w="1985" w:type="dxa"/>
            <w:tcBorders>
              <w:top w:val="single" w:sz="24" w:space="0" w:color="CCDFED" w:themeColor="accent2" w:themeTint="66"/>
            </w:tcBorders>
            <w:shd w:val="clear" w:color="auto" w:fill="F2F2F2" w:themeFill="background1" w:themeFillShade="F2"/>
          </w:tcPr>
          <w:p w14:paraId="599AD1E7" w14:textId="77777777" w:rsidR="004936A3" w:rsidRDefault="004936A3" w:rsidP="004936A3">
            <w:pPr>
              <w:pStyle w:val="SCVtablerowhead"/>
            </w:pPr>
          </w:p>
        </w:tc>
        <w:tc>
          <w:tcPr>
            <w:tcW w:w="1982" w:type="dxa"/>
            <w:tcBorders>
              <w:top w:val="single" w:sz="24" w:space="0" w:color="CCDFED" w:themeColor="accent2" w:themeTint="66"/>
            </w:tcBorders>
            <w:shd w:val="clear" w:color="auto" w:fill="F2F2F2" w:themeFill="background1" w:themeFillShade="F2"/>
          </w:tcPr>
          <w:p w14:paraId="237360B7" w14:textId="77777777" w:rsidR="004936A3" w:rsidRDefault="004936A3" w:rsidP="004936A3">
            <w:pPr>
              <w:pStyle w:val="SCVtablerowhead"/>
            </w:pPr>
          </w:p>
        </w:tc>
      </w:tr>
      <w:tr w:rsidR="004936A3" w14:paraId="657897A8" w14:textId="77777777" w:rsidTr="00CB5368">
        <w:tc>
          <w:tcPr>
            <w:tcW w:w="6237" w:type="dxa"/>
          </w:tcPr>
          <w:p w14:paraId="10B58D1A" w14:textId="77777777" w:rsidR="004936A3" w:rsidRDefault="004936A3" w:rsidP="004936A3">
            <w:pPr>
              <w:pStyle w:val="SCVtablebody"/>
            </w:pPr>
            <w:r w:rsidRPr="004B0C7D">
              <w:t xml:space="preserve">Yes, </w:t>
            </w:r>
            <w:r w:rsidRPr="004936A3">
              <w:t>currently</w:t>
            </w:r>
          </w:p>
        </w:tc>
        <w:tc>
          <w:tcPr>
            <w:tcW w:w="1985" w:type="dxa"/>
          </w:tcPr>
          <w:p w14:paraId="1FF2D871" w14:textId="77777777" w:rsidR="004936A3" w:rsidRDefault="004936A3" w:rsidP="00CB5368">
            <w:pPr>
              <w:pStyle w:val="SCVtablebody"/>
              <w:jc w:val="right"/>
            </w:pPr>
            <w:r w:rsidRPr="004B0C7D">
              <w:t>740</w:t>
            </w:r>
          </w:p>
        </w:tc>
        <w:tc>
          <w:tcPr>
            <w:tcW w:w="1982" w:type="dxa"/>
          </w:tcPr>
          <w:p w14:paraId="42663128" w14:textId="77777777" w:rsidR="004936A3" w:rsidRDefault="004936A3" w:rsidP="00CB5368">
            <w:pPr>
              <w:pStyle w:val="SCVtablebody"/>
              <w:jc w:val="right"/>
            </w:pPr>
            <w:r w:rsidRPr="004B0C7D">
              <w:t>82.2%</w:t>
            </w:r>
          </w:p>
        </w:tc>
      </w:tr>
      <w:tr w:rsidR="004936A3" w14:paraId="08C295CF" w14:textId="77777777" w:rsidTr="00CB5368">
        <w:tc>
          <w:tcPr>
            <w:tcW w:w="6237" w:type="dxa"/>
          </w:tcPr>
          <w:p w14:paraId="5E5EF6D9" w14:textId="77777777" w:rsidR="004936A3" w:rsidRDefault="004936A3" w:rsidP="004936A3">
            <w:pPr>
              <w:pStyle w:val="SCVtablebody"/>
            </w:pPr>
            <w:r w:rsidRPr="004B0C7D">
              <w:t>Yes, previously</w:t>
            </w:r>
          </w:p>
        </w:tc>
        <w:tc>
          <w:tcPr>
            <w:tcW w:w="1985" w:type="dxa"/>
          </w:tcPr>
          <w:p w14:paraId="7C30D578" w14:textId="77777777" w:rsidR="004936A3" w:rsidRDefault="004936A3" w:rsidP="00CB5368">
            <w:pPr>
              <w:pStyle w:val="SCVtablebody"/>
              <w:jc w:val="right"/>
            </w:pPr>
            <w:r w:rsidRPr="004B0C7D">
              <w:t>14</w:t>
            </w:r>
          </w:p>
        </w:tc>
        <w:tc>
          <w:tcPr>
            <w:tcW w:w="1982" w:type="dxa"/>
          </w:tcPr>
          <w:p w14:paraId="787A5959" w14:textId="77777777" w:rsidR="004936A3" w:rsidRDefault="004936A3" w:rsidP="00CB5368">
            <w:pPr>
              <w:pStyle w:val="SCVtablebody"/>
              <w:jc w:val="right"/>
            </w:pPr>
            <w:r w:rsidRPr="004B0C7D">
              <w:t>1.6%</w:t>
            </w:r>
          </w:p>
        </w:tc>
      </w:tr>
      <w:tr w:rsidR="004936A3" w14:paraId="28FECFBE" w14:textId="77777777" w:rsidTr="00CB5368">
        <w:tc>
          <w:tcPr>
            <w:tcW w:w="6237" w:type="dxa"/>
          </w:tcPr>
          <w:p w14:paraId="2BF9DE06" w14:textId="77777777" w:rsidR="004936A3" w:rsidRPr="004B0C7D" w:rsidRDefault="004936A3" w:rsidP="004936A3">
            <w:pPr>
              <w:pStyle w:val="SCVtablebody"/>
            </w:pPr>
            <w:r w:rsidRPr="004B0C7D">
              <w:t>No</w:t>
            </w:r>
          </w:p>
        </w:tc>
        <w:tc>
          <w:tcPr>
            <w:tcW w:w="1985" w:type="dxa"/>
          </w:tcPr>
          <w:p w14:paraId="2BC74C05" w14:textId="77777777" w:rsidR="004936A3" w:rsidRDefault="004936A3" w:rsidP="00CB5368">
            <w:pPr>
              <w:pStyle w:val="SCVtablebody"/>
              <w:jc w:val="right"/>
            </w:pPr>
            <w:r w:rsidRPr="004B0C7D">
              <w:t>122</w:t>
            </w:r>
          </w:p>
        </w:tc>
        <w:tc>
          <w:tcPr>
            <w:tcW w:w="1982" w:type="dxa"/>
          </w:tcPr>
          <w:p w14:paraId="17BC2C5E" w14:textId="77777777" w:rsidR="004936A3" w:rsidRDefault="004936A3" w:rsidP="00CB5368">
            <w:pPr>
              <w:pStyle w:val="SCVtablebody"/>
              <w:jc w:val="right"/>
            </w:pPr>
            <w:r w:rsidRPr="004B0C7D">
              <w:t>13.6%</w:t>
            </w:r>
          </w:p>
        </w:tc>
      </w:tr>
      <w:tr w:rsidR="004936A3" w14:paraId="1CA89924" w14:textId="77777777" w:rsidTr="009C1F75">
        <w:tc>
          <w:tcPr>
            <w:tcW w:w="6237" w:type="dxa"/>
            <w:tcBorders>
              <w:bottom w:val="single" w:sz="2" w:space="0" w:color="80808B"/>
            </w:tcBorders>
          </w:tcPr>
          <w:p w14:paraId="52746B56" w14:textId="77777777" w:rsidR="004936A3" w:rsidRPr="004B0C7D" w:rsidRDefault="004936A3" w:rsidP="004936A3">
            <w:pPr>
              <w:pStyle w:val="SCVtablebody"/>
            </w:pPr>
            <w:r w:rsidRPr="004B0C7D">
              <w:t>Unknown</w:t>
            </w:r>
          </w:p>
        </w:tc>
        <w:tc>
          <w:tcPr>
            <w:tcW w:w="1985" w:type="dxa"/>
            <w:tcBorders>
              <w:bottom w:val="single" w:sz="2" w:space="0" w:color="80808B"/>
            </w:tcBorders>
          </w:tcPr>
          <w:p w14:paraId="5746AEBD" w14:textId="77777777" w:rsidR="004936A3" w:rsidRDefault="004936A3" w:rsidP="00CB5368">
            <w:pPr>
              <w:pStyle w:val="SCVtablebody"/>
              <w:jc w:val="right"/>
            </w:pPr>
            <w:r w:rsidRPr="00BA2692">
              <w:t>24</w:t>
            </w:r>
          </w:p>
        </w:tc>
        <w:tc>
          <w:tcPr>
            <w:tcW w:w="1982" w:type="dxa"/>
            <w:tcBorders>
              <w:bottom w:val="single" w:sz="2" w:space="0" w:color="80808B"/>
            </w:tcBorders>
          </w:tcPr>
          <w:p w14:paraId="4DAA6319" w14:textId="77777777" w:rsidR="004936A3" w:rsidRDefault="004936A3" w:rsidP="00CB5368">
            <w:pPr>
              <w:pStyle w:val="SCVtablebody"/>
              <w:jc w:val="right"/>
            </w:pPr>
            <w:r w:rsidRPr="00BA2692">
              <w:t>2.7%</w:t>
            </w:r>
          </w:p>
        </w:tc>
      </w:tr>
      <w:tr w:rsidR="004936A3" w14:paraId="1AA13CC2" w14:textId="77777777" w:rsidTr="009C1F75">
        <w:tc>
          <w:tcPr>
            <w:tcW w:w="6237" w:type="dxa"/>
            <w:shd w:val="clear" w:color="auto" w:fill="F2F2F2" w:themeFill="background1" w:themeFillShade="F2"/>
          </w:tcPr>
          <w:p w14:paraId="0B07B281" w14:textId="77777777" w:rsidR="004936A3" w:rsidRPr="004B0C7D" w:rsidRDefault="004936A3" w:rsidP="004936A3">
            <w:pPr>
              <w:pStyle w:val="SCVtablerowhead"/>
            </w:pPr>
            <w:r w:rsidRPr="004B0C7D">
              <w:t>Duration</w:t>
            </w:r>
          </w:p>
        </w:tc>
        <w:tc>
          <w:tcPr>
            <w:tcW w:w="1985" w:type="dxa"/>
            <w:shd w:val="clear" w:color="auto" w:fill="F2F2F2" w:themeFill="background1" w:themeFillShade="F2"/>
          </w:tcPr>
          <w:p w14:paraId="4157A9B9" w14:textId="77777777" w:rsidR="004936A3" w:rsidRPr="00BA2692" w:rsidRDefault="004936A3" w:rsidP="00CB5368">
            <w:pPr>
              <w:pStyle w:val="SCVtablerowhead"/>
              <w:jc w:val="right"/>
            </w:pPr>
          </w:p>
        </w:tc>
        <w:tc>
          <w:tcPr>
            <w:tcW w:w="1982" w:type="dxa"/>
            <w:shd w:val="clear" w:color="auto" w:fill="F2F2F2" w:themeFill="background1" w:themeFillShade="F2"/>
          </w:tcPr>
          <w:p w14:paraId="5B16F426" w14:textId="77777777" w:rsidR="004936A3" w:rsidRPr="00BA2692" w:rsidRDefault="004936A3" w:rsidP="00CB5368">
            <w:pPr>
              <w:pStyle w:val="SCVtablerowhead"/>
              <w:jc w:val="right"/>
            </w:pPr>
          </w:p>
        </w:tc>
      </w:tr>
      <w:tr w:rsidR="004936A3" w14:paraId="7F2AD0FA" w14:textId="77777777" w:rsidTr="00CB5368">
        <w:tc>
          <w:tcPr>
            <w:tcW w:w="6237" w:type="dxa"/>
          </w:tcPr>
          <w:p w14:paraId="36A4A7FB" w14:textId="77777777" w:rsidR="004936A3" w:rsidRPr="004B0C7D" w:rsidRDefault="004936A3" w:rsidP="004936A3">
            <w:pPr>
              <w:pStyle w:val="SCVtablebody"/>
            </w:pPr>
            <w:r w:rsidRPr="004B0C7D">
              <w:t>Less than 12 months</w:t>
            </w:r>
          </w:p>
        </w:tc>
        <w:tc>
          <w:tcPr>
            <w:tcW w:w="1985" w:type="dxa"/>
          </w:tcPr>
          <w:p w14:paraId="65CD294A" w14:textId="77777777" w:rsidR="004936A3" w:rsidRPr="00BA2692" w:rsidRDefault="004936A3" w:rsidP="00CB5368">
            <w:pPr>
              <w:pStyle w:val="SCVtablebody"/>
              <w:jc w:val="right"/>
            </w:pPr>
            <w:r w:rsidRPr="004B0C7D">
              <w:t>618</w:t>
            </w:r>
          </w:p>
        </w:tc>
        <w:tc>
          <w:tcPr>
            <w:tcW w:w="1982" w:type="dxa"/>
          </w:tcPr>
          <w:p w14:paraId="0AB5E54F" w14:textId="77777777" w:rsidR="004936A3" w:rsidRPr="00BA2692" w:rsidRDefault="004936A3" w:rsidP="00CB5368">
            <w:pPr>
              <w:pStyle w:val="SCVtablebody"/>
              <w:jc w:val="right"/>
            </w:pPr>
            <w:r>
              <w:t>68.7</w:t>
            </w:r>
            <w:r w:rsidRPr="004B0C7D">
              <w:t>%</w:t>
            </w:r>
          </w:p>
        </w:tc>
      </w:tr>
      <w:tr w:rsidR="004936A3" w14:paraId="4EC173B4" w14:textId="77777777" w:rsidTr="00CB5368">
        <w:tc>
          <w:tcPr>
            <w:tcW w:w="6237" w:type="dxa"/>
          </w:tcPr>
          <w:p w14:paraId="289FF963" w14:textId="77777777" w:rsidR="004936A3" w:rsidRPr="004B0C7D" w:rsidRDefault="004936A3" w:rsidP="004936A3">
            <w:pPr>
              <w:pStyle w:val="SCVtablebody"/>
            </w:pPr>
            <w:r w:rsidRPr="004B0C7D">
              <w:t>Greater than 12 months</w:t>
            </w:r>
          </w:p>
        </w:tc>
        <w:tc>
          <w:tcPr>
            <w:tcW w:w="1985" w:type="dxa"/>
          </w:tcPr>
          <w:p w14:paraId="1C2F1A77" w14:textId="77777777" w:rsidR="004936A3" w:rsidRPr="004B0C7D" w:rsidRDefault="004936A3" w:rsidP="00CB5368">
            <w:pPr>
              <w:pStyle w:val="SCVtablebody"/>
              <w:jc w:val="right"/>
            </w:pPr>
            <w:r w:rsidRPr="004B0C7D">
              <w:t>69</w:t>
            </w:r>
          </w:p>
        </w:tc>
        <w:tc>
          <w:tcPr>
            <w:tcW w:w="1982" w:type="dxa"/>
          </w:tcPr>
          <w:p w14:paraId="5617165B" w14:textId="77777777" w:rsidR="004936A3" w:rsidRDefault="004936A3" w:rsidP="00CB5368">
            <w:pPr>
              <w:pStyle w:val="SCVtablebody"/>
              <w:jc w:val="right"/>
            </w:pPr>
            <w:r>
              <w:t>7</w:t>
            </w:r>
            <w:r w:rsidRPr="004B0C7D">
              <w:t>.</w:t>
            </w:r>
            <w:r>
              <w:t>7</w:t>
            </w:r>
            <w:r w:rsidRPr="004B0C7D">
              <w:t>%</w:t>
            </w:r>
          </w:p>
        </w:tc>
      </w:tr>
      <w:tr w:rsidR="004936A3" w14:paraId="282E4AEC" w14:textId="77777777" w:rsidTr="00CB5368">
        <w:tc>
          <w:tcPr>
            <w:tcW w:w="6237" w:type="dxa"/>
          </w:tcPr>
          <w:p w14:paraId="6E80A7A4" w14:textId="77777777" w:rsidR="004936A3" w:rsidRPr="004B0C7D" w:rsidRDefault="004936A3" w:rsidP="004936A3">
            <w:pPr>
              <w:pStyle w:val="SCVtablebody"/>
            </w:pPr>
            <w:r>
              <w:t>Unknown</w:t>
            </w:r>
          </w:p>
        </w:tc>
        <w:tc>
          <w:tcPr>
            <w:tcW w:w="1985" w:type="dxa"/>
          </w:tcPr>
          <w:p w14:paraId="58AC23F4" w14:textId="77777777" w:rsidR="004936A3" w:rsidRPr="004B0C7D" w:rsidRDefault="004936A3" w:rsidP="00CB5368">
            <w:pPr>
              <w:pStyle w:val="SCVtablebody"/>
              <w:jc w:val="right"/>
            </w:pPr>
            <w:r>
              <w:t>213</w:t>
            </w:r>
          </w:p>
        </w:tc>
        <w:tc>
          <w:tcPr>
            <w:tcW w:w="1982" w:type="dxa"/>
          </w:tcPr>
          <w:p w14:paraId="5EEC3EB3" w14:textId="77777777" w:rsidR="004936A3" w:rsidRDefault="004936A3" w:rsidP="00CB5368">
            <w:pPr>
              <w:pStyle w:val="SCVtablebody"/>
              <w:jc w:val="right"/>
            </w:pPr>
            <w:r>
              <w:t>23.7</w:t>
            </w:r>
            <w:r w:rsidR="00CB5368">
              <w:t>%</w:t>
            </w:r>
          </w:p>
        </w:tc>
      </w:tr>
      <w:tr w:rsidR="004936A3" w14:paraId="6EF13563" w14:textId="77777777" w:rsidTr="00CB5368">
        <w:tc>
          <w:tcPr>
            <w:tcW w:w="6237" w:type="dxa"/>
          </w:tcPr>
          <w:p w14:paraId="12FCF6CF" w14:textId="77777777" w:rsidR="004936A3" w:rsidRDefault="004936A3" w:rsidP="004936A3">
            <w:pPr>
              <w:pStyle w:val="SCVtablebody"/>
            </w:pPr>
            <w:r w:rsidRPr="004B0C7D">
              <w:t>Median months (range)</w:t>
            </w:r>
            <w:r>
              <w:t>*</w:t>
            </w:r>
          </w:p>
        </w:tc>
        <w:tc>
          <w:tcPr>
            <w:tcW w:w="1985" w:type="dxa"/>
          </w:tcPr>
          <w:p w14:paraId="0D952A16" w14:textId="77777777" w:rsidR="004936A3" w:rsidRPr="004B0C7D" w:rsidRDefault="004936A3" w:rsidP="00CB5368">
            <w:pPr>
              <w:pStyle w:val="SCVtablebody"/>
              <w:jc w:val="right"/>
            </w:pPr>
            <w:r w:rsidRPr="004B0C7D">
              <w:t>3 months</w:t>
            </w:r>
          </w:p>
        </w:tc>
        <w:tc>
          <w:tcPr>
            <w:tcW w:w="1982" w:type="dxa"/>
          </w:tcPr>
          <w:p w14:paraId="2E7C3B07" w14:textId="77777777" w:rsidR="004936A3" w:rsidRDefault="004936A3" w:rsidP="00CB5368">
            <w:pPr>
              <w:pStyle w:val="SCVtablebody"/>
              <w:jc w:val="right"/>
            </w:pPr>
            <w:r w:rsidRPr="004B0C7D">
              <w:t>(0-72 months)</w:t>
            </w:r>
          </w:p>
        </w:tc>
      </w:tr>
    </w:tbl>
    <w:p w14:paraId="3699F97F" w14:textId="77777777" w:rsidR="004936A3" w:rsidRPr="004936A3" w:rsidRDefault="004936A3" w:rsidP="004936A3">
      <w:pPr>
        <w:pStyle w:val="SCVtablefigurenote"/>
        <w:rPr>
          <w:rStyle w:val="FootnoteReference"/>
          <w:sz w:val="14"/>
          <w:szCs w:val="14"/>
          <w:vertAlign w:val="baseline"/>
        </w:rPr>
      </w:pPr>
      <w:r w:rsidRPr="004936A3">
        <w:rPr>
          <w:rStyle w:val="FootnoteReference"/>
          <w:sz w:val="14"/>
          <w:szCs w:val="14"/>
          <w:vertAlign w:val="baseline"/>
        </w:rPr>
        <w:t xml:space="preserve"># Figures have been rounded to one decimal place and due to rounding the total figure exceeds 100 per cent. </w:t>
      </w:r>
    </w:p>
    <w:p w14:paraId="4C055195" w14:textId="77777777" w:rsidR="004936A3" w:rsidRPr="004936A3" w:rsidRDefault="004936A3" w:rsidP="004936A3">
      <w:pPr>
        <w:pStyle w:val="SCVtablefigurenote"/>
        <w:rPr>
          <w:rStyle w:val="FootnoteReference"/>
          <w:sz w:val="14"/>
          <w:szCs w:val="14"/>
          <w:vertAlign w:val="baseline"/>
        </w:rPr>
      </w:pPr>
      <w:r w:rsidRPr="004936A3">
        <w:rPr>
          <w:rStyle w:val="FootnoteReference"/>
          <w:sz w:val="14"/>
          <w:szCs w:val="14"/>
          <w:vertAlign w:val="baseline"/>
        </w:rPr>
        <w:t>* Missing values are not included in the calculation of the median.</w:t>
      </w:r>
    </w:p>
    <w:p w14:paraId="03178FCF" w14:textId="77777777" w:rsidR="004936A3" w:rsidRDefault="004936A3" w:rsidP="004936A3">
      <w:pPr>
        <w:pStyle w:val="SCVquote"/>
        <w:rPr>
          <w:szCs w:val="19"/>
        </w:rPr>
      </w:pPr>
      <w:r>
        <w:t xml:space="preserve">“Mum received the most amazing care from the palliative care team. They had already had four people access VAD, so they knew everything about how to help us. The nurse said to us, the more she saw of VAD, the more convinced she was of everyone being able to access it.” – Contact person </w:t>
      </w:r>
      <w:r>
        <w:br w:type="page"/>
      </w:r>
    </w:p>
    <w:p w14:paraId="39F4A109" w14:textId="77777777" w:rsidR="004936A3" w:rsidRDefault="004936A3" w:rsidP="004936A3">
      <w:pPr>
        <w:pStyle w:val="SCVquote"/>
        <w:sectPr w:rsidR="004936A3" w:rsidSect="00F16C4F">
          <w:type w:val="continuous"/>
          <w:pgSz w:w="11906" w:h="16838" w:code="9"/>
          <w:pgMar w:top="3402" w:right="851" w:bottom="1361" w:left="851" w:header="851" w:footer="851" w:gutter="0"/>
          <w:cols w:space="284"/>
          <w:docGrid w:linePitch="360"/>
          <w15:footnoteColumns w:val="1"/>
        </w:sectPr>
      </w:pPr>
    </w:p>
    <w:p w14:paraId="78D2AFE2" w14:textId="77777777" w:rsidR="004936A3" w:rsidRDefault="004936A3" w:rsidP="004936A3">
      <w:pPr>
        <w:pStyle w:val="Heading2"/>
        <w:spacing w:before="0"/>
      </w:pPr>
      <w:r>
        <w:lastRenderedPageBreak/>
        <w:t>About conscientious objection</w:t>
      </w:r>
    </w:p>
    <w:p w14:paraId="45B26B3C" w14:textId="77777777" w:rsidR="004936A3" w:rsidRDefault="004936A3" w:rsidP="004936A3">
      <w:pPr>
        <w:pStyle w:val="SCVbodyafterheading"/>
      </w:pPr>
      <w:r>
        <w:t>The Act allows for conscientious objection for registered health professionals who do not wish to participate in voluntary assisted dying.</w:t>
      </w:r>
    </w:p>
    <w:p w14:paraId="68C8B9A2" w14:textId="77777777" w:rsidR="004936A3" w:rsidRDefault="004936A3" w:rsidP="004936A3">
      <w:pPr>
        <w:pStyle w:val="SCVbody"/>
      </w:pPr>
      <w:r>
        <w:t>There are several pathways available to health services and health professionals who decline to become involved that still supports the applicant’s rights.</w:t>
      </w:r>
    </w:p>
    <w:p w14:paraId="778657B6" w14:textId="77777777" w:rsidR="004936A3" w:rsidRDefault="004936A3" w:rsidP="004936A3">
      <w:pPr>
        <w:pStyle w:val="SCVbody"/>
      </w:pPr>
      <w:r>
        <w:t>The Board expects that Victorian health services and health professionals will facilitate an applicant’s access to information and support, and that conscientious objection will not obstruct or delay the process. Where a health service’s values (or those of a particular department within a health service) conflict with voluntary assisted dying, the Board expects the service to utilise policies and procedures for handling applicant information requests.</w:t>
      </w:r>
    </w:p>
    <w:p w14:paraId="77DFD57A" w14:textId="7F6E9D51" w:rsidR="004936A3" w:rsidRDefault="004936A3" w:rsidP="00CB5368">
      <w:pPr>
        <w:pStyle w:val="SCVbody"/>
        <w:ind w:right="-143"/>
      </w:pPr>
      <w:r>
        <w:t xml:space="preserve">Some applicants have reported to the Board </w:t>
      </w:r>
      <w:r w:rsidR="00064BFD">
        <w:t>that they have had</w:t>
      </w:r>
      <w:r>
        <w:t xml:space="preserve"> difficult</w:t>
      </w:r>
      <w:r w:rsidR="00064BFD">
        <w:t>y</w:t>
      </w:r>
      <w:r>
        <w:t xml:space="preserve"> accessing voluntary assisted dying where conscientious objection has been a factor. If health practitioners do not wish to be involved in supporting an individual’s request to access voluntary assisted dying, the Board encourages them to refer the individual to the </w:t>
      </w:r>
      <w:r w:rsidR="00CB5368">
        <w:t xml:space="preserve">Statewide </w:t>
      </w:r>
      <w:r>
        <w:t>Care Navigator Service</w:t>
      </w:r>
      <w:r w:rsidR="00CB5368">
        <w:t xml:space="preserve"> on </w:t>
      </w:r>
      <w:r>
        <w:t xml:space="preserve">0436 848 344 or </w:t>
      </w:r>
      <w:hyperlink r:id="rId38" w:history="1">
        <w:r w:rsidR="00CB5368" w:rsidRPr="00CB5368">
          <w:rPr>
            <w:rStyle w:val="Hyperlink"/>
            <w:u w:val="none"/>
          </w:rPr>
          <w:t>vadcarenavigator@petermac.org</w:t>
        </w:r>
      </w:hyperlink>
      <w:r w:rsidR="00CB5368">
        <w:t>.</w:t>
      </w:r>
      <w:r w:rsidR="009F0C82">
        <w:t xml:space="preserve"> </w:t>
      </w:r>
      <w:r w:rsidR="009F0C82" w:rsidRPr="009F0C82">
        <w:t>Inhibiting access to VAD is unlawful in Victoria.</w:t>
      </w:r>
    </w:p>
    <w:p w14:paraId="610DACF8" w14:textId="77777777" w:rsidR="00CB5368" w:rsidRDefault="00CB5368" w:rsidP="00CB5368">
      <w:pPr>
        <w:pStyle w:val="SCVquote"/>
      </w:pPr>
      <w:r>
        <w:t>“The applicant had to ‘fight hard’ at the hospital to access VAD and this was upsetting for her and the family.” – Contact person</w:t>
      </w:r>
    </w:p>
    <w:p w14:paraId="64B1857A" w14:textId="77777777" w:rsidR="004936A3" w:rsidRDefault="004936A3" w:rsidP="004936A3">
      <w:pPr>
        <w:pStyle w:val="SCVbody"/>
      </w:pPr>
      <w:r>
        <w:t xml:space="preserve">Individuals seeking information or access to voluntary assisted dying can also contact the </w:t>
      </w:r>
      <w:r w:rsidR="00CB5368">
        <w:t xml:space="preserve">Statewide </w:t>
      </w:r>
      <w:r>
        <w:t>Care Navigator Service directly.</w:t>
      </w:r>
    </w:p>
    <w:p w14:paraId="095A7BEE" w14:textId="77777777" w:rsidR="004936A3" w:rsidRDefault="004936A3" w:rsidP="004936A3">
      <w:pPr>
        <w:pStyle w:val="SCVquote"/>
      </w:pPr>
      <w:r>
        <w:t>“Her own specialist is a conscientious objector but made the referral himself.” – Contact person</w:t>
      </w:r>
    </w:p>
    <w:p w14:paraId="6F510E6F" w14:textId="77777777" w:rsidR="004936A3" w:rsidRDefault="004936A3" w:rsidP="004936A3">
      <w:pPr>
        <w:pStyle w:val="SCVbody"/>
        <w:sectPr w:rsidR="004936A3" w:rsidSect="004936A3">
          <w:type w:val="continuous"/>
          <w:pgSz w:w="11906" w:h="16838" w:code="9"/>
          <w:pgMar w:top="3402" w:right="851" w:bottom="1361" w:left="851" w:header="851" w:footer="851" w:gutter="0"/>
          <w:cols w:num="2" w:space="284"/>
          <w:docGrid w:linePitch="360"/>
          <w15:footnoteColumns w:val="1"/>
        </w:sectPr>
      </w:pPr>
    </w:p>
    <w:p w14:paraId="13A3A247" w14:textId="77777777" w:rsidR="00E833AF" w:rsidRDefault="00E833AF">
      <w:pPr>
        <w:spacing w:line="280" w:lineRule="atLeast"/>
        <w:rPr>
          <w:sz w:val="19"/>
          <w:szCs w:val="19"/>
        </w:rPr>
      </w:pPr>
      <w:r>
        <w:br w:type="page"/>
      </w:r>
    </w:p>
    <w:p w14:paraId="07952B47" w14:textId="77777777" w:rsidR="00E833AF" w:rsidRDefault="00E833AF" w:rsidP="00E833AF">
      <w:pPr>
        <w:pStyle w:val="Heading1"/>
      </w:pPr>
      <w:r>
        <w:lastRenderedPageBreak/>
        <w:t>Commonwealth Criminal Code</w:t>
      </w:r>
    </w:p>
    <w:p w14:paraId="00AA0017" w14:textId="77777777" w:rsidR="00E833AF" w:rsidRDefault="00E833AF" w:rsidP="00E833AF">
      <w:pPr>
        <w:pStyle w:val="SCVintroductorytext"/>
      </w:pPr>
      <w:r>
        <w:t>Telehealth is an accepted form of accessing medical care</w:t>
      </w:r>
      <w:r w:rsidR="00CB5368">
        <w:t>. H</w:t>
      </w:r>
      <w:r>
        <w:t>owever, because of the Commonwealth Criminal Code, telehealth is not available to Victorians wishing to access voluntary assisted dying. The Board continues to urge the Commonwealth to consider an exemption approach and acknowledges the barrier the current situation presents to applicants and coordinating and consulting medical practitioners.</w:t>
      </w:r>
    </w:p>
    <w:p w14:paraId="14D215CD" w14:textId="77777777" w:rsidR="00E833AF" w:rsidRDefault="00E833AF" w:rsidP="00E833AF">
      <w:pPr>
        <w:pStyle w:val="Heading2"/>
        <w:sectPr w:rsidR="00E833AF" w:rsidSect="00F16C4F">
          <w:type w:val="continuous"/>
          <w:pgSz w:w="11906" w:h="16838" w:code="9"/>
          <w:pgMar w:top="3402" w:right="851" w:bottom="1361" w:left="851" w:header="851" w:footer="851" w:gutter="0"/>
          <w:cols w:space="284"/>
          <w:docGrid w:linePitch="360"/>
          <w15:footnoteColumns w:val="1"/>
        </w:sectPr>
      </w:pPr>
    </w:p>
    <w:p w14:paraId="5A9B09BA" w14:textId="77777777" w:rsidR="00E833AF" w:rsidRDefault="00E833AF" w:rsidP="00E833AF">
      <w:pPr>
        <w:pStyle w:val="Heading2"/>
        <w:spacing w:before="0"/>
      </w:pPr>
      <w:r>
        <w:t>Inability to access telehealth remains</w:t>
      </w:r>
    </w:p>
    <w:p w14:paraId="08D10904" w14:textId="77777777" w:rsidR="00E833AF" w:rsidRDefault="00E833AF" w:rsidP="00E833AF">
      <w:pPr>
        <w:pStyle w:val="SCVbodyafterheading"/>
      </w:pPr>
      <w:r>
        <w:t>As stated in the previous Board report, the ongoing pandemic has highlighted the success of telehealth for healthcare access.</w:t>
      </w:r>
    </w:p>
    <w:p w14:paraId="5653918E" w14:textId="77777777" w:rsidR="00E833AF" w:rsidRDefault="00E833AF" w:rsidP="00E833AF">
      <w:pPr>
        <w:pStyle w:val="SCVbody"/>
      </w:pPr>
      <w:r>
        <w:t xml:space="preserve">Unfortunately, due to sections 474.29A and 474.29B of the Commonwealth Criminal Code 1995 as amended by the </w:t>
      </w:r>
      <w:r w:rsidRPr="00CB5368">
        <w:rPr>
          <w:i/>
          <w:iCs/>
        </w:rPr>
        <w:t>Criminal Code Amendment (Suicide Related Material Offences) Act 2005</w:t>
      </w:r>
      <w:r>
        <w:t>, there is a risk of breaching the Commonwealth Criminal Code to medical practitioners if voluntary assisted dying assessments are conducted via a carriage service (such as telephone or telehealth). This was already a complicating factor for the medical community, but even more so as the pandemic continues.</w:t>
      </w:r>
    </w:p>
    <w:p w14:paraId="5F03C9C7" w14:textId="77777777" w:rsidR="00E833AF" w:rsidRDefault="00E833AF" w:rsidP="00E833AF">
      <w:pPr>
        <w:pStyle w:val="SCVquote"/>
      </w:pPr>
      <w:r>
        <w:t xml:space="preserve">“This needs to be addressed as a matter of urgency so that the unedifying spectacle of dying people commuting up and down the Hume can be avoided.” – Medical practitioner </w:t>
      </w:r>
    </w:p>
    <w:p w14:paraId="2F60C54A" w14:textId="77777777" w:rsidR="00E833AF" w:rsidRDefault="00E833AF" w:rsidP="00E833AF">
      <w:pPr>
        <w:pStyle w:val="SCVbody"/>
      </w:pPr>
      <w:r>
        <w:t>The Board continues to urge the Commonwealth to consider an exemption for those accessing voluntary assisted dying, and for it to be treated in the manner of other telehealth consultation options.</w:t>
      </w:r>
    </w:p>
    <w:p w14:paraId="2E7D743C" w14:textId="77777777" w:rsidR="00E833AF" w:rsidRDefault="00E833AF" w:rsidP="00E833AF">
      <w:pPr>
        <w:pStyle w:val="SCVbody"/>
      </w:pPr>
      <w:r>
        <w:t>Both contact persons and coordinating and consulting medical practitioners have provided feedback to the Board about the added hardship this is causing for applicants.</w:t>
      </w:r>
    </w:p>
    <w:p w14:paraId="1DE0FF29" w14:textId="77777777" w:rsidR="00E833AF" w:rsidRDefault="00E833AF" w:rsidP="00E833AF">
      <w:pPr>
        <w:pStyle w:val="SCVquote"/>
      </w:pPr>
      <w:r>
        <w:t>“The difficulty in physically accessing a consulting practitioner meant that in his dying days, the unfortunate gentleman was required to make a trip to Melbourne (5-6 hours each way) to see a specialist. This is unfair and undignified. I understand and support the need for a consulting practitioner's opinion, but the ban on the use of telehealth creates an unfair and onerous burden for rural and remote patients.” – Medical practitioner</w:t>
      </w:r>
    </w:p>
    <w:p w14:paraId="5BA987CF" w14:textId="77777777" w:rsidR="00E833AF" w:rsidRDefault="00E833AF">
      <w:pPr>
        <w:spacing w:line="280" w:lineRule="atLeast"/>
        <w:sectPr w:rsidR="00E833AF" w:rsidSect="00E833AF">
          <w:type w:val="continuous"/>
          <w:pgSz w:w="11906" w:h="16838" w:code="9"/>
          <w:pgMar w:top="3402" w:right="851" w:bottom="1361" w:left="851" w:header="851" w:footer="851" w:gutter="0"/>
          <w:cols w:num="2" w:space="284"/>
          <w:docGrid w:linePitch="360"/>
          <w15:footnoteColumns w:val="1"/>
        </w:sectPr>
      </w:pPr>
    </w:p>
    <w:p w14:paraId="11CBE7B8" w14:textId="77777777" w:rsidR="00E833AF" w:rsidRDefault="00E833AF">
      <w:pPr>
        <w:spacing w:line="280" w:lineRule="atLeast"/>
        <w:rPr>
          <w:sz w:val="19"/>
          <w:szCs w:val="19"/>
        </w:rPr>
      </w:pPr>
      <w:r>
        <w:br w:type="page"/>
      </w:r>
    </w:p>
    <w:p w14:paraId="56853750" w14:textId="77777777" w:rsidR="00E833AF" w:rsidRDefault="00E833AF" w:rsidP="00E833AF">
      <w:pPr>
        <w:pStyle w:val="Heading1"/>
      </w:pPr>
      <w:r>
        <w:lastRenderedPageBreak/>
        <w:t>Compliance reviews</w:t>
      </w:r>
    </w:p>
    <w:p w14:paraId="4FA7DE1D" w14:textId="77777777" w:rsidR="00E833AF" w:rsidRDefault="00E833AF" w:rsidP="00E833AF">
      <w:pPr>
        <w:pStyle w:val="SCVintroductorytext"/>
      </w:pPr>
      <w:r>
        <w:t>The Board retrospectively reviews cases at monthly meetings and determines compliance with the Act for all cases where a permit has been issued and medication dispensed. The Board also reviews potential barriers and seeks to identify improvement opportunities.</w:t>
      </w:r>
    </w:p>
    <w:p w14:paraId="7600E782" w14:textId="77777777" w:rsidR="00E833AF" w:rsidRDefault="00E833AF" w:rsidP="00E833AF">
      <w:pPr>
        <w:pStyle w:val="Heading2"/>
        <w:sectPr w:rsidR="00E833AF" w:rsidSect="00F16C4F">
          <w:type w:val="continuous"/>
          <w:pgSz w:w="11906" w:h="16838" w:code="9"/>
          <w:pgMar w:top="3402" w:right="851" w:bottom="1361" w:left="851" w:header="851" w:footer="851" w:gutter="0"/>
          <w:cols w:space="284"/>
          <w:docGrid w:linePitch="360"/>
          <w15:footnoteColumns w:val="1"/>
        </w:sectPr>
      </w:pPr>
    </w:p>
    <w:p w14:paraId="1BBE526D" w14:textId="77777777" w:rsidR="00E833AF" w:rsidRDefault="00E833AF" w:rsidP="00E833AF">
      <w:pPr>
        <w:pStyle w:val="Heading2"/>
        <w:spacing w:before="0"/>
      </w:pPr>
      <w:r>
        <w:t>Case compliance</w:t>
      </w:r>
    </w:p>
    <w:p w14:paraId="6F6CDE29" w14:textId="77777777" w:rsidR="00E833AF" w:rsidRDefault="00E833AF" w:rsidP="00E833AF">
      <w:pPr>
        <w:pStyle w:val="SCVbodyafterheading"/>
      </w:pPr>
      <w:r>
        <w:t>In the six months to 30 June 2021, the Board found one case to be non-compliant with the Act.</w:t>
      </w:r>
    </w:p>
    <w:p w14:paraId="3E93BE6F" w14:textId="77777777" w:rsidR="00E833AF" w:rsidRDefault="00E833AF" w:rsidP="00E833AF">
      <w:pPr>
        <w:pStyle w:val="SCVbody"/>
      </w:pPr>
      <w:r>
        <w:t>It is a requirement of the Act that at least one of the coordinating or consulting medical practitioners have practised for at least five years after completing fellowship with a specialist medical college or vocational registration.</w:t>
      </w:r>
    </w:p>
    <w:p w14:paraId="44FD85C3" w14:textId="77777777" w:rsidR="00E833AF" w:rsidRDefault="00E833AF" w:rsidP="00E833AF">
      <w:pPr>
        <w:pStyle w:val="SCVbody"/>
      </w:pPr>
      <w:r>
        <w:t>In the case deemed non-compliant with the Act, the Board confirmed an error on the part of the coordinating medical practitioner, who believed the consulting medical practitioner met the five-year requirement.</w:t>
      </w:r>
    </w:p>
    <w:p w14:paraId="4D0150B9" w14:textId="77777777" w:rsidR="00E833AF" w:rsidRDefault="00E833AF" w:rsidP="00E833AF">
      <w:pPr>
        <w:pStyle w:val="SCVbody"/>
      </w:pPr>
      <w:r>
        <w:t>The Board was satisfied that the applicant was eligible to access voluntary assisted dying and met all the eligibility criteria.</w:t>
      </w:r>
    </w:p>
    <w:p w14:paraId="46829C9A" w14:textId="77777777" w:rsidR="00E833AF" w:rsidRDefault="00E833AF" w:rsidP="00E833AF">
      <w:pPr>
        <w:pStyle w:val="SCVbody"/>
      </w:pPr>
      <w:r>
        <w:t>The case is being used to inform improvement, with additional measures and protections added to the portal and processes to support medical practitioners to avoid this error and ensure that at least one of the medical practitioners meets this requirement.</w:t>
      </w:r>
    </w:p>
    <w:p w14:paraId="1BBEA028" w14:textId="77777777" w:rsidR="00E833AF" w:rsidRDefault="00E833AF" w:rsidP="00E833AF">
      <w:pPr>
        <w:pStyle w:val="SCVbody"/>
      </w:pPr>
      <w:r>
        <w:t>From 1 January to 30 June 2021, 99 per cent of applications have been compliant.</w:t>
      </w:r>
    </w:p>
    <w:p w14:paraId="7B12DAB2" w14:textId="77777777" w:rsidR="00E833AF" w:rsidRDefault="00E833AF" w:rsidP="00E833AF">
      <w:pPr>
        <w:pStyle w:val="Heading2"/>
      </w:pPr>
      <w:r>
        <w:t>Referral to other agencies</w:t>
      </w:r>
    </w:p>
    <w:p w14:paraId="1D5CD966" w14:textId="77777777" w:rsidR="00E833AF" w:rsidRDefault="00E833AF" w:rsidP="00CB5368">
      <w:pPr>
        <w:pStyle w:val="SCVbodyafterheading"/>
        <w:sectPr w:rsidR="00E833AF" w:rsidSect="00E833AF">
          <w:type w:val="continuous"/>
          <w:pgSz w:w="11906" w:h="16838" w:code="9"/>
          <w:pgMar w:top="3402" w:right="851" w:bottom="1361" w:left="851" w:header="851" w:footer="851" w:gutter="0"/>
          <w:cols w:num="2" w:space="284"/>
          <w:docGrid w:linePitch="360"/>
          <w15:footnoteColumns w:val="1"/>
        </w:sectPr>
      </w:pPr>
      <w:r>
        <w:t>During this reporting period, no deaths were considered reportable to the State Coroner. There were no referrals made to the Chief Commissioner of Police or Ahpra.</w:t>
      </w:r>
    </w:p>
    <w:p w14:paraId="0E0CE5EA" w14:textId="77777777" w:rsidR="00E833AF" w:rsidRDefault="00E833AF">
      <w:pPr>
        <w:spacing w:line="280" w:lineRule="atLeast"/>
        <w:rPr>
          <w:sz w:val="19"/>
          <w:szCs w:val="19"/>
        </w:rPr>
      </w:pPr>
      <w:r>
        <w:br w:type="page"/>
      </w:r>
    </w:p>
    <w:p w14:paraId="1FDCFCE7" w14:textId="77777777" w:rsidR="00E833AF" w:rsidRDefault="00E833AF" w:rsidP="00E833AF">
      <w:pPr>
        <w:pStyle w:val="Heading1"/>
      </w:pPr>
      <w:r>
        <w:lastRenderedPageBreak/>
        <w:t>Key contacts</w:t>
      </w:r>
    </w:p>
    <w:p w14:paraId="7BDEFAEA" w14:textId="77777777" w:rsidR="00E833AF" w:rsidRPr="00E833AF" w:rsidRDefault="00E833AF" w:rsidP="00E833AF">
      <w:pPr>
        <w:pStyle w:val="SCVbody"/>
        <w:rPr>
          <w:b/>
          <w:bCs/>
        </w:rPr>
      </w:pPr>
      <w:r w:rsidRPr="00E833AF">
        <w:rPr>
          <w:b/>
          <w:bCs/>
        </w:rPr>
        <w:t>Safer Care Victoria secretariat</w:t>
      </w:r>
    </w:p>
    <w:p w14:paraId="344CCA69" w14:textId="77777777" w:rsidR="00E833AF" w:rsidRPr="00CB5368" w:rsidRDefault="0092445D" w:rsidP="00E833AF">
      <w:pPr>
        <w:pStyle w:val="SCVbody"/>
      </w:pPr>
      <w:hyperlink r:id="rId39" w:history="1">
        <w:r w:rsidR="00CB5368" w:rsidRPr="00CB5368">
          <w:rPr>
            <w:rStyle w:val="Hyperlink"/>
            <w:u w:val="none"/>
          </w:rPr>
          <w:t>VADboard@safercare.vic.gov.au</w:t>
        </w:r>
      </w:hyperlink>
      <w:r w:rsidR="00CB5368" w:rsidRPr="00CB5368">
        <w:t xml:space="preserve"> </w:t>
      </w:r>
    </w:p>
    <w:p w14:paraId="00FDEB1A" w14:textId="77777777" w:rsidR="00E833AF" w:rsidRPr="00E833AF" w:rsidRDefault="00E833AF" w:rsidP="00E833AF">
      <w:pPr>
        <w:pStyle w:val="SCVbody"/>
        <w:rPr>
          <w:b/>
          <w:bCs/>
        </w:rPr>
      </w:pPr>
      <w:r w:rsidRPr="00E833AF">
        <w:rPr>
          <w:b/>
          <w:bCs/>
        </w:rPr>
        <w:t>Statewide Care Navigator Service</w:t>
      </w:r>
    </w:p>
    <w:p w14:paraId="2830E677" w14:textId="77777777" w:rsidR="00E833AF" w:rsidRPr="00CB5368" w:rsidRDefault="0092445D" w:rsidP="00E833AF">
      <w:pPr>
        <w:pStyle w:val="SCVbody"/>
      </w:pPr>
      <w:hyperlink r:id="rId40" w:history="1">
        <w:r w:rsidR="00CB5368" w:rsidRPr="00CB5368">
          <w:rPr>
            <w:rStyle w:val="Hyperlink"/>
            <w:u w:val="none"/>
          </w:rPr>
          <w:t>vadcarenavigator@petermac.org</w:t>
        </w:r>
      </w:hyperlink>
      <w:r w:rsidR="00CB5368" w:rsidRPr="00CB5368">
        <w:t xml:space="preserve"> </w:t>
      </w:r>
    </w:p>
    <w:p w14:paraId="7706288A" w14:textId="77777777" w:rsidR="00E833AF" w:rsidRPr="00E833AF" w:rsidRDefault="00E833AF" w:rsidP="00E833AF">
      <w:pPr>
        <w:pStyle w:val="SCVbody"/>
        <w:rPr>
          <w:b/>
          <w:bCs/>
        </w:rPr>
      </w:pPr>
      <w:r w:rsidRPr="00E833AF">
        <w:rPr>
          <w:b/>
          <w:bCs/>
        </w:rPr>
        <w:t>Statewide Pharmacy Service</w:t>
      </w:r>
    </w:p>
    <w:p w14:paraId="424E1C26" w14:textId="77777777" w:rsidR="00E833AF" w:rsidRPr="00CB5368" w:rsidRDefault="0092445D" w:rsidP="00E833AF">
      <w:pPr>
        <w:pStyle w:val="SCVbody"/>
      </w:pPr>
      <w:hyperlink r:id="rId41" w:history="1">
        <w:r w:rsidR="00CB5368" w:rsidRPr="00CB5368">
          <w:rPr>
            <w:rStyle w:val="Hyperlink"/>
            <w:u w:val="none"/>
          </w:rPr>
          <w:t>statewidepharmacy@alfred.org.au</w:t>
        </w:r>
      </w:hyperlink>
      <w:r w:rsidR="00CB5368" w:rsidRPr="00CB5368">
        <w:t xml:space="preserve"> </w:t>
      </w:r>
    </w:p>
    <w:p w14:paraId="499AB027" w14:textId="77777777" w:rsidR="00E833AF" w:rsidRPr="00E833AF" w:rsidRDefault="00E833AF" w:rsidP="00E833AF">
      <w:pPr>
        <w:pStyle w:val="SCVbody"/>
        <w:rPr>
          <w:b/>
          <w:bCs/>
        </w:rPr>
      </w:pPr>
      <w:r w:rsidRPr="00E833AF">
        <w:rPr>
          <w:b/>
          <w:bCs/>
        </w:rPr>
        <w:t>End of life care team, Department of Health</w:t>
      </w:r>
    </w:p>
    <w:p w14:paraId="4E64938C" w14:textId="77777777" w:rsidR="00E833AF" w:rsidRPr="00CB5368" w:rsidRDefault="0092445D" w:rsidP="00E833AF">
      <w:pPr>
        <w:pStyle w:val="SCVbody"/>
      </w:pPr>
      <w:hyperlink r:id="rId42" w:history="1">
        <w:r w:rsidR="00CB5368" w:rsidRPr="00CB5368">
          <w:rPr>
            <w:rStyle w:val="Hyperlink"/>
            <w:u w:val="none"/>
          </w:rPr>
          <w:t>EndofLifecare@health.vic.gov.au</w:t>
        </w:r>
      </w:hyperlink>
      <w:r w:rsidR="00CB5368" w:rsidRPr="00CB5368">
        <w:t xml:space="preserve"> </w:t>
      </w:r>
    </w:p>
    <w:p w14:paraId="037D315D" w14:textId="77777777" w:rsidR="00E833AF" w:rsidRDefault="00E833AF" w:rsidP="00E833AF">
      <w:pPr>
        <w:pStyle w:val="Heading2"/>
      </w:pPr>
      <w:r>
        <w:t>Join a community of practice</w:t>
      </w:r>
    </w:p>
    <w:p w14:paraId="74DB658B" w14:textId="77777777" w:rsidR="00E833AF" w:rsidRPr="00CB5368" w:rsidRDefault="00E833AF" w:rsidP="00CB5368">
      <w:pPr>
        <w:pStyle w:val="SCVbodyafterheading"/>
      </w:pPr>
      <w:r>
        <w:t xml:space="preserve">For healthcare professionals who support people to access voluntary assisted dying </w:t>
      </w:r>
      <w:hyperlink r:id="rId43" w:history="1">
        <w:r w:rsidR="00CB5368" w:rsidRPr="00CB5368">
          <w:rPr>
            <w:rStyle w:val="Hyperlink"/>
            <w:u w:val="none"/>
          </w:rPr>
          <w:t>vadcarenavigator@petermac.org</w:t>
        </w:r>
      </w:hyperlink>
      <w:r w:rsidR="00CB5368" w:rsidRPr="00CB5368">
        <w:t xml:space="preserve"> </w:t>
      </w:r>
    </w:p>
    <w:p w14:paraId="1FD37E82" w14:textId="77777777" w:rsidR="00E833AF" w:rsidRPr="00CB5368" w:rsidRDefault="00E833AF" w:rsidP="00E833AF">
      <w:pPr>
        <w:pStyle w:val="SCVbody"/>
      </w:pPr>
      <w:r>
        <w:t xml:space="preserve">For medical practitioners who have completed the voluntary assisted dying training </w:t>
      </w:r>
      <w:hyperlink r:id="rId44" w:history="1">
        <w:r w:rsidR="00CB5368" w:rsidRPr="00CB5368">
          <w:rPr>
            <w:rStyle w:val="Hyperlink"/>
            <w:u w:val="none"/>
          </w:rPr>
          <w:t>vadcommunity@westvicphn.com.au</w:t>
        </w:r>
      </w:hyperlink>
      <w:r w:rsidR="00CB5368" w:rsidRPr="00CB5368">
        <w:t xml:space="preserve"> </w:t>
      </w:r>
    </w:p>
    <w:p w14:paraId="0FA90231" w14:textId="77777777" w:rsidR="00E833AF" w:rsidRDefault="00E833AF" w:rsidP="00E833AF">
      <w:pPr>
        <w:pStyle w:val="Heading2"/>
      </w:pPr>
      <w:r>
        <w:t>Grief and bereavement services</w:t>
      </w:r>
    </w:p>
    <w:p w14:paraId="61C5D7C8" w14:textId="77777777" w:rsidR="00E833AF" w:rsidRDefault="00E833AF" w:rsidP="008360F6">
      <w:pPr>
        <w:pStyle w:val="SCVbodyafterheading"/>
      </w:pPr>
      <w:r w:rsidRPr="008360F6">
        <w:rPr>
          <w:b/>
          <w:bCs/>
        </w:rPr>
        <w:t xml:space="preserve">Lifeline </w:t>
      </w:r>
      <w:r>
        <w:t>(Tel. 13 11 14) provides telephone or online support and counselling 24 hours a day, 7 days a week.</w:t>
      </w:r>
    </w:p>
    <w:p w14:paraId="7DF40685" w14:textId="77777777" w:rsidR="00E833AF" w:rsidRDefault="00E833AF" w:rsidP="00E833AF">
      <w:pPr>
        <w:pStyle w:val="SCVbody"/>
      </w:pPr>
      <w:r w:rsidRPr="008360F6">
        <w:rPr>
          <w:b/>
          <w:bCs/>
        </w:rPr>
        <w:t>Australian Centre for Grief and Bereavement</w:t>
      </w:r>
      <w:r>
        <w:t xml:space="preserve"> (Tel. 1800 642 066) provides a statewide specialist bereavement service (including counselling and support groups) for individuals, </w:t>
      </w:r>
      <w:proofErr w:type="gramStart"/>
      <w:r>
        <w:t>children</w:t>
      </w:r>
      <w:proofErr w:type="gramEnd"/>
      <w:r>
        <w:t xml:space="preserve"> and families. </w:t>
      </w:r>
    </w:p>
    <w:p w14:paraId="15AB079E" w14:textId="77777777" w:rsidR="00E833AF" w:rsidRDefault="00E833AF" w:rsidP="00E833AF">
      <w:pPr>
        <w:pStyle w:val="SCVbody"/>
      </w:pPr>
      <w:r w:rsidRPr="008360F6">
        <w:rPr>
          <w:b/>
          <w:bCs/>
        </w:rPr>
        <w:t>Beyond Blue</w:t>
      </w:r>
      <w:r>
        <w:t xml:space="preserve"> (Tel. 1300 224 636) provides support 24 hours a day, 7 days a week, with options including telephone, online, email and forums.</w:t>
      </w:r>
    </w:p>
    <w:p w14:paraId="5D4FF012" w14:textId="77777777" w:rsidR="00E833AF" w:rsidRDefault="00E833AF" w:rsidP="00E833AF">
      <w:pPr>
        <w:pStyle w:val="SCVbody"/>
      </w:pPr>
      <w:r w:rsidRPr="008360F6">
        <w:rPr>
          <w:b/>
          <w:bCs/>
        </w:rPr>
        <w:t>Palliative Care Victoria</w:t>
      </w:r>
      <w:r>
        <w:t xml:space="preserve"> (www.pallcarevic.asn.au) provides information and resources about grief and loss, including details for grief and bereavement services. </w:t>
      </w:r>
    </w:p>
    <w:p w14:paraId="5EB9BACE" w14:textId="77777777" w:rsidR="00E833AF" w:rsidRDefault="00E833AF">
      <w:pPr>
        <w:spacing w:line="280" w:lineRule="atLeast"/>
        <w:rPr>
          <w:sz w:val="19"/>
          <w:szCs w:val="19"/>
        </w:rPr>
      </w:pPr>
      <w:r>
        <w:br w:type="page"/>
      </w:r>
    </w:p>
    <w:p w14:paraId="164049A1" w14:textId="77777777" w:rsidR="00E833AF" w:rsidRDefault="00E833AF" w:rsidP="00E833AF">
      <w:pPr>
        <w:pStyle w:val="Heading1"/>
      </w:pPr>
      <w:r>
        <w:lastRenderedPageBreak/>
        <w:t>Glossary</w:t>
      </w:r>
    </w:p>
    <w:p w14:paraId="3B556255" w14:textId="77777777" w:rsidR="00E833AF" w:rsidRDefault="00E833AF" w:rsidP="00E833AF">
      <w:pPr>
        <w:pStyle w:val="Heading4"/>
      </w:pPr>
      <w:r>
        <w:t>Applicant</w:t>
      </w:r>
    </w:p>
    <w:p w14:paraId="55AA1D3C" w14:textId="77777777" w:rsidR="00E833AF" w:rsidRDefault="00E833AF" w:rsidP="00E833AF">
      <w:pPr>
        <w:pStyle w:val="SCVbodyafterheading"/>
      </w:pPr>
      <w:r>
        <w:t>A person wishing to make a request to access voluntary assisted dying. To be eligible they must:</w:t>
      </w:r>
    </w:p>
    <w:p w14:paraId="7A307623" w14:textId="77777777" w:rsidR="00E833AF" w:rsidRDefault="00E833AF" w:rsidP="00E833AF">
      <w:pPr>
        <w:pStyle w:val="SCVbullet1"/>
      </w:pPr>
      <w:r>
        <w:t>be aged 18 years or older</w:t>
      </w:r>
    </w:p>
    <w:p w14:paraId="303119C5" w14:textId="77777777" w:rsidR="00E833AF" w:rsidRDefault="00E833AF" w:rsidP="00E833AF">
      <w:pPr>
        <w:pStyle w:val="SCVbullet1"/>
      </w:pPr>
      <w:r>
        <w:t xml:space="preserve">be an Australian citizen or permanent resident </w:t>
      </w:r>
    </w:p>
    <w:p w14:paraId="66B67A8C" w14:textId="77777777" w:rsidR="00E833AF" w:rsidRDefault="00E833AF" w:rsidP="00E833AF">
      <w:pPr>
        <w:pStyle w:val="SCVbullet1"/>
      </w:pPr>
      <w:r>
        <w:t>be ordinarily a resident in Victoria</w:t>
      </w:r>
    </w:p>
    <w:p w14:paraId="018840DA" w14:textId="77777777" w:rsidR="00E833AF" w:rsidRDefault="00E833AF" w:rsidP="00E833AF">
      <w:pPr>
        <w:pStyle w:val="SCVbullet1"/>
      </w:pPr>
      <w:r>
        <w:t xml:space="preserve">at time of request, have been ordinarily a resident in Victoria for at least 12 months </w:t>
      </w:r>
    </w:p>
    <w:p w14:paraId="632CA590" w14:textId="77777777" w:rsidR="00E833AF" w:rsidRDefault="00E833AF" w:rsidP="00E833AF">
      <w:pPr>
        <w:pStyle w:val="SCVbullet1"/>
      </w:pPr>
      <w:r>
        <w:t>have decision-making capacity in relation to voluntary assisted dying</w:t>
      </w:r>
    </w:p>
    <w:p w14:paraId="42D87242" w14:textId="77777777" w:rsidR="00E833AF" w:rsidRDefault="00E833AF" w:rsidP="00E833AF">
      <w:pPr>
        <w:pStyle w:val="SCVbullet1"/>
      </w:pPr>
      <w:r>
        <w:t xml:space="preserve">be diagnosed with a disease, illness or medical condition that is incurable, </w:t>
      </w:r>
      <w:proofErr w:type="gramStart"/>
      <w:r>
        <w:t>advanced</w:t>
      </w:r>
      <w:proofErr w:type="gramEnd"/>
      <w:r>
        <w:t xml:space="preserve"> and progressive and:</w:t>
      </w:r>
    </w:p>
    <w:p w14:paraId="04A43754" w14:textId="77777777" w:rsidR="00E833AF" w:rsidRDefault="00E833AF" w:rsidP="00E833AF">
      <w:pPr>
        <w:pStyle w:val="SCVbullet2"/>
      </w:pPr>
      <w:r>
        <w:t xml:space="preserve">is expected to cause death within weeks or months, not exceeding six months (or 12 months for a neurodegenerative condition) </w:t>
      </w:r>
    </w:p>
    <w:p w14:paraId="2AEB53D4" w14:textId="77777777" w:rsidR="00E833AF" w:rsidRDefault="00E833AF" w:rsidP="00E833AF">
      <w:pPr>
        <w:pStyle w:val="SCVbullet2"/>
      </w:pPr>
      <w:r>
        <w:t>is causing suffering to the person that cannot be relieved in a manner that the person considers tolerable.</w:t>
      </w:r>
    </w:p>
    <w:p w14:paraId="20FBBC57" w14:textId="77777777" w:rsidR="00E833AF" w:rsidRDefault="00E833AF" w:rsidP="00E833AF">
      <w:pPr>
        <w:pStyle w:val="Heading4"/>
      </w:pPr>
      <w:r>
        <w:t>Contact person</w:t>
      </w:r>
    </w:p>
    <w:p w14:paraId="747524A7" w14:textId="77777777" w:rsidR="00E833AF" w:rsidRDefault="00E833AF" w:rsidP="00E833AF">
      <w:pPr>
        <w:pStyle w:val="SCVbodyafterheading"/>
      </w:pPr>
      <w:r>
        <w:t>A person appointed under section 39 of the Act. An applicant must, after making a final request, appoint a person who is aged 18 years or older as the contact person. The contact person must return to a pharmacist at the dispensing pharmacy any unused or remaining voluntary assisted dying substance dispensed to the person making the final request either:</w:t>
      </w:r>
    </w:p>
    <w:p w14:paraId="4D0C0CB5" w14:textId="77777777" w:rsidR="00E833AF" w:rsidRDefault="00E833AF" w:rsidP="00E833AF">
      <w:pPr>
        <w:pStyle w:val="SCVbullet1"/>
      </w:pPr>
      <w:r>
        <w:t>if the applicant dies and the contact person knows that any voluntary assisted dying substance is unused or remaining after the death, within 15 days after the date of death, or</w:t>
      </w:r>
    </w:p>
    <w:p w14:paraId="62506746" w14:textId="77777777" w:rsidR="00E833AF" w:rsidRDefault="00E833AF" w:rsidP="00E833AF">
      <w:pPr>
        <w:pStyle w:val="SCVbullet1"/>
      </w:pPr>
      <w:r>
        <w:t>if the applicant decides to make a request under section 53 for practitioner administration or decides not to self-administer, at the applicant’s request.</w:t>
      </w:r>
    </w:p>
    <w:p w14:paraId="4196DB5F" w14:textId="77777777" w:rsidR="00E833AF" w:rsidRDefault="00E833AF" w:rsidP="00E833AF">
      <w:pPr>
        <w:pStyle w:val="SCVbody"/>
      </w:pPr>
      <w:r>
        <w:t xml:space="preserve">The contact person will be contacted by the Board to provide feedback and confirm any unused substance has been returned. </w:t>
      </w:r>
    </w:p>
    <w:p w14:paraId="536A976A" w14:textId="77777777" w:rsidR="00E833AF" w:rsidRDefault="00E833AF">
      <w:pPr>
        <w:spacing w:line="280" w:lineRule="atLeast"/>
        <w:rPr>
          <w:rFonts w:asciiTheme="majorHAnsi" w:eastAsiaTheme="majorEastAsia" w:hAnsiTheme="majorHAnsi" w:cstheme="majorBidi"/>
          <w:iCs/>
          <w:color w:val="000000" w:themeColor="text1"/>
        </w:rPr>
      </w:pPr>
      <w:r>
        <w:br w:type="page"/>
      </w:r>
    </w:p>
    <w:p w14:paraId="3B3F976C" w14:textId="77777777" w:rsidR="00E833AF" w:rsidRDefault="00E833AF" w:rsidP="00E833AF">
      <w:pPr>
        <w:pStyle w:val="Heading4"/>
      </w:pPr>
      <w:r>
        <w:lastRenderedPageBreak/>
        <w:t>Coordinating medical practitioner</w:t>
      </w:r>
    </w:p>
    <w:p w14:paraId="11A0E2E1" w14:textId="77777777" w:rsidR="00E833AF" w:rsidRDefault="00E833AF" w:rsidP="00E833AF">
      <w:pPr>
        <w:pStyle w:val="SCVbodyafterheading"/>
      </w:pPr>
      <w:r>
        <w:t>A registered medical practitioner who accepts the applicant’s first request. Each coordinating medical practitioner and consulting medical practitioner must:</w:t>
      </w:r>
    </w:p>
    <w:p w14:paraId="642C80A4" w14:textId="77777777" w:rsidR="00E833AF" w:rsidRDefault="00E833AF" w:rsidP="00E833AF">
      <w:pPr>
        <w:pStyle w:val="SCVbullet1"/>
      </w:pPr>
      <w:r>
        <w:t>hold a fellowship with a specialist medical college, or</w:t>
      </w:r>
    </w:p>
    <w:p w14:paraId="1A50088B" w14:textId="77777777" w:rsidR="00E833AF" w:rsidRDefault="00E833AF" w:rsidP="00E833AF">
      <w:pPr>
        <w:pStyle w:val="SCVbullet1"/>
      </w:pPr>
      <w:r>
        <w:t>be a vocationally registered general practitioner.</w:t>
      </w:r>
    </w:p>
    <w:p w14:paraId="0B6484BB" w14:textId="77777777" w:rsidR="00E833AF" w:rsidRDefault="00E833AF" w:rsidP="00E833AF">
      <w:pPr>
        <w:pStyle w:val="SCVbody"/>
      </w:pPr>
      <w:r>
        <w:t>Either the coordinating medical practitioner or consulting medical practitioner must have practised as a registered medical practitioner for at least five years after completing a fellowship with a specialist medical college or vocational registration (as the case requires).</w:t>
      </w:r>
    </w:p>
    <w:p w14:paraId="2A44B14F" w14:textId="77777777" w:rsidR="00E833AF" w:rsidRDefault="00E833AF" w:rsidP="00E833AF">
      <w:pPr>
        <w:pStyle w:val="SCVbody"/>
      </w:pPr>
      <w:r>
        <w:t>Either the coordinating medical practitioner or each consulting medical practitioner must have relevant expertise and experience in the disease, illness or medical condition expected to cause the death of the applicant being assessed.</w:t>
      </w:r>
    </w:p>
    <w:p w14:paraId="2852E018" w14:textId="77777777" w:rsidR="00E833AF" w:rsidRDefault="00E833AF" w:rsidP="00E833AF">
      <w:pPr>
        <w:pStyle w:val="Heading4"/>
      </w:pPr>
      <w:r>
        <w:t>Consulting medical practitioner</w:t>
      </w:r>
    </w:p>
    <w:p w14:paraId="0E6BBBA2" w14:textId="77777777" w:rsidR="00A40DFD" w:rsidRDefault="00E833AF" w:rsidP="00E833AF">
      <w:pPr>
        <w:pStyle w:val="SCVbodyafterheading"/>
      </w:pPr>
      <w:r>
        <w:t>A registered medical practitioner who accepts a referral to conduct a consulting assessment of the applicant.</w:t>
      </w:r>
      <w:r w:rsidR="00A40DFD">
        <w:br w:type="page"/>
      </w:r>
    </w:p>
    <w:p w14:paraId="5609F132" w14:textId="77777777" w:rsidR="00EF2D3C" w:rsidRPr="00BE60CF" w:rsidRDefault="00E833AF" w:rsidP="00EF2D3C">
      <w:pPr>
        <w:pStyle w:val="SCVbody"/>
      </w:pPr>
      <w:r>
        <w:rPr>
          <w:noProof/>
        </w:rPr>
        <w:lastRenderedPageBreak/>
        <mc:AlternateContent>
          <mc:Choice Requires="wps">
            <w:drawing>
              <wp:anchor distT="0" distB="0" distL="114300" distR="114300" simplePos="0" relativeHeight="251663360" behindDoc="0" locked="0" layoutInCell="1" allowOverlap="1" wp14:anchorId="4D7579C1" wp14:editId="2ECCB842">
                <wp:simplePos x="0" y="0"/>
                <wp:positionH relativeFrom="column">
                  <wp:posOffset>-348999</wp:posOffset>
                </wp:positionH>
                <wp:positionV relativeFrom="paragraph">
                  <wp:posOffset>7515358</wp:posOffset>
                </wp:positionV>
                <wp:extent cx="7133841" cy="669851"/>
                <wp:effectExtent l="0" t="0" r="0" b="0"/>
                <wp:wrapNone/>
                <wp:docPr id="13" name="Rectangle 13"/>
                <wp:cNvGraphicFramePr/>
                <a:graphic xmlns:a="http://schemas.openxmlformats.org/drawingml/2006/main">
                  <a:graphicData uri="http://schemas.microsoft.com/office/word/2010/wordprocessingShape">
                    <wps:wsp>
                      <wps:cNvSpPr/>
                      <wps:spPr>
                        <a:xfrm>
                          <a:off x="0" y="0"/>
                          <a:ext cx="7133841" cy="66985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7EE90A" id="Rectangle 13" o:spid="_x0000_s1026" style="position:absolute;margin-left:-27.5pt;margin-top:591.75pt;width:561.7pt;height:5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" fillcolor="white [3212]" stroked="f" strokeweight="2pt"/>
            </w:pict>
          </mc:Fallback>
        </mc:AlternateContent>
      </w:r>
      <w:r>
        <w:rPr>
          <w:noProof/>
        </w:rPr>
        <mc:AlternateContent>
          <mc:Choice Requires="wps">
            <w:drawing>
              <wp:anchor distT="0" distB="0" distL="114300" distR="114300" simplePos="0" relativeHeight="251662336" behindDoc="0" locked="0" layoutInCell="1" allowOverlap="1" wp14:anchorId="7EC58FF8" wp14:editId="7C310EAF">
                <wp:simplePos x="0" y="0"/>
                <wp:positionH relativeFrom="column">
                  <wp:posOffset>-157613</wp:posOffset>
                </wp:positionH>
                <wp:positionV relativeFrom="paragraph">
                  <wp:posOffset>-1862558</wp:posOffset>
                </wp:positionV>
                <wp:extent cx="6943061" cy="733646"/>
                <wp:effectExtent l="0" t="0" r="0" b="9525"/>
                <wp:wrapNone/>
                <wp:docPr id="9" name="Rectangle 9"/>
                <wp:cNvGraphicFramePr/>
                <a:graphic xmlns:a="http://schemas.openxmlformats.org/drawingml/2006/main">
                  <a:graphicData uri="http://schemas.microsoft.com/office/word/2010/wordprocessingShape">
                    <wps:wsp>
                      <wps:cNvSpPr/>
                      <wps:spPr>
                        <a:xfrm>
                          <a:off x="0" y="0"/>
                          <a:ext cx="6943061" cy="73364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C9A31E" id="Rectangle 9" o:spid="_x0000_s1026" style="position:absolute;margin-left:-12.4pt;margin-top:-146.65pt;width:546.7pt;height:57.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" fillcolor="white [3212]" stroked="f" strokeweight="2pt"/>
            </w:pict>
          </mc:Fallback>
        </mc:AlternateContent>
      </w:r>
    </w:p>
    <w:p w14:paraId="5676DF9B" w14:textId="77777777" w:rsidR="005C12A8" w:rsidRPr="00BE60CF" w:rsidRDefault="005C12A8" w:rsidP="00A45CB0">
      <w:pPr>
        <w:pStyle w:val="SCVbody"/>
        <w:sectPr w:rsidR="005C12A8" w:rsidRPr="00BE60CF" w:rsidSect="00F16C4F">
          <w:type w:val="continuous"/>
          <w:pgSz w:w="11906" w:h="16838" w:code="9"/>
          <w:pgMar w:top="3402" w:right="851" w:bottom="1361" w:left="851" w:header="851" w:footer="851" w:gutter="0"/>
          <w:cols w:space="284"/>
          <w:docGrid w:linePitch="360"/>
          <w15:footnoteColumns w:val="1"/>
        </w:sectPr>
      </w:pPr>
    </w:p>
    <w:p w14:paraId="296D3259" w14:textId="77777777" w:rsidR="0099181C" w:rsidRPr="00BE60CF" w:rsidRDefault="0099181C" w:rsidP="00A45CB0">
      <w:pPr>
        <w:pStyle w:val="SCVbody"/>
      </w:pPr>
    </w:p>
    <w:sectPr w:rsidR="0099181C" w:rsidRPr="00BE60CF" w:rsidSect="00BE60CF">
      <w:headerReference w:type="even" r:id="rId45"/>
      <w:headerReference w:type="default" r:id="rId46"/>
      <w:footerReference w:type="even" r:id="rId47"/>
      <w:footerReference w:type="default" r:id="rId48"/>
      <w:pgSz w:w="11906" w:h="16838" w:code="9"/>
      <w:pgMar w:top="3402" w:right="851" w:bottom="1361" w:left="851" w:header="851" w:footer="851" w:gutter="0"/>
      <w:cols w:space="720"/>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D7708" w14:textId="77777777" w:rsidR="0092445D" w:rsidRDefault="0092445D" w:rsidP="002D711A">
      <w:pPr>
        <w:spacing w:after="0" w:line="240" w:lineRule="auto"/>
      </w:pPr>
      <w:r>
        <w:separator/>
      </w:r>
    </w:p>
  </w:endnote>
  <w:endnote w:type="continuationSeparator" w:id="0">
    <w:p w14:paraId="59D5B8A0" w14:textId="77777777" w:rsidR="0092445D" w:rsidRDefault="0092445D"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VIC">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IC SemiBold">
    <w:panose1 w:val="000007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6CE12" w14:textId="77777777" w:rsidR="0092445D" w:rsidRDefault="0092445D">
    <w:pPr>
      <w:pStyle w:val="Footer"/>
    </w:pPr>
    <w:r>
      <mc:AlternateContent>
        <mc:Choice Requires="wps">
          <w:drawing>
            <wp:anchor distT="0" distB="0" distL="114300" distR="114300" simplePos="0" relativeHeight="251708130" behindDoc="0" locked="0" layoutInCell="0" allowOverlap="1" wp14:anchorId="200F4BA4" wp14:editId="05D5A8F9">
              <wp:simplePos x="0" y="0"/>
              <wp:positionH relativeFrom="page">
                <wp:posOffset>0</wp:posOffset>
              </wp:positionH>
              <wp:positionV relativeFrom="page">
                <wp:posOffset>10234930</wp:posOffset>
              </wp:positionV>
              <wp:extent cx="7560310" cy="266700"/>
              <wp:effectExtent l="0" t="0" r="0" b="0"/>
              <wp:wrapNone/>
              <wp:docPr id="4" name="MSIPCM778c4c7da650f796005b5f3f"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3B69F0" w14:textId="77777777" w:rsidR="0092445D" w:rsidRPr="00F635D9" w:rsidRDefault="0092445D" w:rsidP="00F635D9">
                          <w:pPr>
                            <w:spacing w:before="0" w:after="0"/>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0F4BA4" id="_x0000_t202" coordsize="21600,21600" o:spt="202" path="m,l,21600r21600,l21600,xe">
              <v:stroke joinstyle="miter"/>
              <v:path gradientshapeok="t" o:connecttype="rect"/>
            </v:shapetype>
            <v:shape id="MSIPCM778c4c7da650f796005b5f3f" o:spid="_x0000_s1026" type="#_x0000_t202" alt="{&quot;HashCode&quot;:904758361,&quot;Height&quot;:841.0,&quot;Width&quot;:595.0,&quot;Placement&quot;:&quot;Footer&quot;,&quot;Index&quot;:&quot;OddAndEven&quot;,&quot;Section&quot;:1,&quot;Top&quot;:0.0,&quot;Left&quot;:0.0}" style="position:absolute;margin-left:0;margin-top:805.9pt;width:595.3pt;height:21pt;z-index:25170813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" o:allowincell="f" filled="f" stroked="f" strokeweight=".5pt">
              <v:textbox inset=",0,,0">
                <w:txbxContent>
                  <w:p w14:paraId="3A3B69F0" w14:textId="77777777" w:rsidR="0092445D" w:rsidRPr="00F635D9" w:rsidRDefault="0092445D" w:rsidP="00F635D9">
                    <w:pPr>
                      <w:spacing w:before="0" w:after="0"/>
                      <w:jc w:val="center"/>
                      <w:rPr>
                        <w:rFonts w:ascii="Arial Black" w:hAnsi="Arial Black"/>
                        <w:color w:val="000000"/>
                      </w:rPr>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ADBB8" w14:textId="77777777" w:rsidR="0092445D" w:rsidRPr="002A5891" w:rsidRDefault="0092445D" w:rsidP="00BC437C">
    <w:pPr>
      <w:pStyle w:val="SCVfooterempty"/>
    </w:pPr>
    <w:r>
      <w:rPr>
        <w:noProof/>
      </w:rPr>
      <mc:AlternateContent>
        <mc:Choice Requires="wps">
          <w:drawing>
            <wp:anchor distT="0" distB="0" distL="114300" distR="114300" simplePos="0" relativeHeight="251713536" behindDoc="0" locked="0" layoutInCell="0" allowOverlap="1" wp14:anchorId="26FEFC09" wp14:editId="1F17BDB0">
              <wp:simplePos x="0" y="0"/>
              <wp:positionH relativeFrom="page">
                <wp:posOffset>0</wp:posOffset>
              </wp:positionH>
              <wp:positionV relativeFrom="page">
                <wp:posOffset>10234930</wp:posOffset>
              </wp:positionV>
              <wp:extent cx="7560310" cy="266700"/>
              <wp:effectExtent l="0" t="0" r="0" b="0"/>
              <wp:wrapNone/>
              <wp:docPr id="26" name="MSIPCM1f8c48f1beeefeaf6a42f6e8" descr="{&quot;HashCode&quot;:904758361,&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33192C" w14:textId="77777777" w:rsidR="0092445D" w:rsidRPr="00A23BA4" w:rsidRDefault="0092445D" w:rsidP="00A23BA4">
                          <w:pPr>
                            <w:spacing w:before="0" w:after="0"/>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FEFC09" id="_x0000_t202" coordsize="21600,21600" o:spt="202" path="m,l,21600r21600,l21600,xe">
              <v:stroke joinstyle="miter"/>
              <v:path gradientshapeok="t" o:connecttype="rect"/>
            </v:shapetype>
            <v:shape id="MSIPCM1f8c48f1beeefeaf6a42f6e8" o:spid="_x0000_s1028" type="#_x0000_t202" alt="{&quot;HashCode&quot;:904758361,&quot;Height&quot;:841.0,&quot;Width&quot;:595.0,&quot;Placement&quot;:&quot;Footer&quot;,&quot;Index&quot;:&quot;Primary&quot;,&quot;Section&quot;:5,&quot;Top&quot;:0.0,&quot;Left&quot;:0.0}" style="position:absolute;margin-left:0;margin-top:805.9pt;width:595.3pt;height:21pt;z-index:2517135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" o:allowincell="f" filled="f" stroked="f" strokeweight=".5pt">
              <v:textbox inset=",0,,0">
                <w:txbxContent>
                  <w:p w14:paraId="1E33192C" w14:textId="77777777" w:rsidR="0092445D" w:rsidRPr="00A23BA4" w:rsidRDefault="0092445D" w:rsidP="00A23BA4">
                    <w:pPr>
                      <w:spacing w:before="0" w:after="0"/>
                      <w:jc w:val="center"/>
                      <w:rPr>
                        <w:rFonts w:ascii="Arial Black" w:hAnsi="Arial Black"/>
                        <w:color w:val="00000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C83B1" w14:textId="77777777" w:rsidR="00F438CC" w:rsidRDefault="00F438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23CF7" w14:textId="77777777" w:rsidR="00F438CC" w:rsidRDefault="00F438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DAB4B" w14:textId="77777777" w:rsidR="0092445D" w:rsidRPr="002A5891" w:rsidRDefault="0092445D" w:rsidP="006B337A">
    <w:pPr>
      <w:pStyle w:val="SCVfooterempt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DDDCE" w14:textId="77777777" w:rsidR="0092445D" w:rsidRPr="006B337A" w:rsidRDefault="0092445D" w:rsidP="006B337A">
    <w:pPr>
      <w:pStyle w:val="SCVheaderempty"/>
    </w:pPr>
    <w:r>
      <w:rPr>
        <w:noProof/>
      </w:rPr>
      <mc:AlternateContent>
        <mc:Choice Requires="wps">
          <w:drawing>
            <wp:anchor distT="0" distB="0" distL="114300" distR="114300" simplePos="0" relativeHeight="251710810" behindDoc="0" locked="0" layoutInCell="0" allowOverlap="1" wp14:anchorId="64453391" wp14:editId="4DD82614">
              <wp:simplePos x="0" y="0"/>
              <wp:positionH relativeFrom="page">
                <wp:posOffset>0</wp:posOffset>
              </wp:positionH>
              <wp:positionV relativeFrom="page">
                <wp:posOffset>10234930</wp:posOffset>
              </wp:positionV>
              <wp:extent cx="7560310" cy="266700"/>
              <wp:effectExtent l="0" t="0" r="0" b="0"/>
              <wp:wrapNone/>
              <wp:docPr id="10" name="MSIPCMf32b45bb90028cdcf7528f9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05CF73" w14:textId="77777777" w:rsidR="0092445D" w:rsidRPr="00F635D9" w:rsidRDefault="0092445D" w:rsidP="00F635D9">
                          <w:pPr>
                            <w:spacing w:before="0" w:after="0"/>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453391" id="_x0000_t202" coordsize="21600,21600" o:spt="202" path="m,l,21600r21600,l21600,xe">
              <v:stroke joinstyle="miter"/>
              <v:path gradientshapeok="t" o:connecttype="rect"/>
            </v:shapetype>
            <v:shape id="MSIPCMf32b45bb90028cdcf7528f90" o:spid="_x0000_s1027" type="#_x0000_t202" alt="{&quot;HashCode&quot;:904758361,&quot;Height&quot;:841.0,&quot;Width&quot;:595.0,&quot;Placement&quot;:&quot;Footer&quot;,&quot;Index&quot;:&quot;Primary&quot;,&quot;Section&quot;:2,&quot;Top&quot;:0.0,&quot;Left&quot;:0.0}" style="position:absolute;margin-left:0;margin-top:805.9pt;width:595.3pt;height:21pt;z-index:25171081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" o:allowincell="f" filled="f" stroked="f" strokeweight=".5pt">
              <v:textbox inset=",0,,0">
                <w:txbxContent>
                  <w:p w14:paraId="7E05CF73" w14:textId="77777777" w:rsidR="0092445D" w:rsidRPr="00F635D9" w:rsidRDefault="0092445D" w:rsidP="00F635D9">
                    <w:pPr>
                      <w:spacing w:before="0" w:after="0"/>
                      <w:jc w:val="center"/>
                      <w:rPr>
                        <w:rFonts w:ascii="Arial Black" w:hAnsi="Arial Black"/>
                        <w:color w:val="000000"/>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B79E8" w14:textId="77777777" w:rsidR="0092445D" w:rsidRDefault="0092445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95DA5" w14:textId="6E9B2E72" w:rsidR="0092445D" w:rsidRPr="0092445D" w:rsidRDefault="0092445D" w:rsidP="00903F81">
    <w:pPr>
      <w:pStyle w:val="SCVfootereven"/>
      <w:rPr>
        <w:rFonts w:ascii="Arial" w:hAnsi="Arial" w:cs="Arial"/>
      </w:rPr>
    </w:pPr>
    <w:r>
      <w:rPr>
        <w:noProof w:val="0"/>
      </w:rPr>
      <w:fldChar w:fldCharType="begin"/>
    </w:r>
    <w:r>
      <w:instrText xml:space="preserve"> PAGE   \* MERGEFORMAT </w:instrText>
    </w:r>
    <w:r>
      <w:rPr>
        <w:noProof w:val="0"/>
      </w:rPr>
      <w:fldChar w:fldCharType="separate"/>
    </w:r>
    <w:r>
      <w:t>8</w:t>
    </w:r>
    <w:r>
      <w:fldChar w:fldCharType="end"/>
    </w:r>
    <w:r>
      <w:t xml:space="preserve"> </w:t>
    </w:r>
    <w:r>
      <w:t> </w:t>
    </w:r>
    <w:r>
      <w:t> </w:t>
    </w:r>
    <w:r w:rsidRPr="002E4EB3">
      <w:t xml:space="preserve"> </w:t>
    </w:r>
    <w:r w:rsidRPr="0092445D">
      <w:rPr>
        <w:rFonts w:ascii="Arial" w:hAnsi="Arial" w:cs="Arial"/>
        <w:b/>
      </w:rPr>
      <w:t>Voluntary Assisted Dying Review Board</w:t>
    </w:r>
    <w:r w:rsidRPr="002E4EB3">
      <w:rPr>
        <w:b/>
      </w:rPr>
      <w:t xml:space="preserve"> </w:t>
    </w:r>
    <w:r>
      <w:t> </w:t>
    </w:r>
    <w:r>
      <w:t> </w:t>
    </w:r>
    <w:r w:rsidRPr="0092445D">
      <w:rPr>
        <w:rFonts w:ascii="Arial" w:hAnsi="Arial" w:cs="Arial"/>
      </w:rPr>
      <w:fldChar w:fldCharType="begin"/>
    </w:r>
    <w:r w:rsidRPr="0092445D">
      <w:rPr>
        <w:rFonts w:ascii="Arial" w:hAnsi="Arial" w:cs="Arial"/>
      </w:rPr>
      <w:instrText xml:space="preserve"> STYLEREF  "SCV report title"  \* MERGEFORMAT </w:instrText>
    </w:r>
    <w:r w:rsidRPr="0092445D">
      <w:rPr>
        <w:rFonts w:ascii="Arial" w:hAnsi="Arial" w:cs="Arial"/>
      </w:rPr>
      <w:fldChar w:fldCharType="separate"/>
    </w:r>
    <w:r w:rsidR="00A42525">
      <w:rPr>
        <w:rFonts w:ascii="Arial" w:hAnsi="Arial" w:cs="Arial"/>
      </w:rPr>
      <w:t>Report of operations</w:t>
    </w:r>
    <w:r w:rsidRPr="0092445D">
      <w:rPr>
        <w:rFonts w:ascii="Arial" w:hAnsi="Arial" w:cs="Arial"/>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42E1C" w14:textId="25149422" w:rsidR="0092445D" w:rsidRPr="00F438CC" w:rsidRDefault="0092445D" w:rsidP="00972812">
    <w:pPr>
      <w:pStyle w:val="SCVfooterodd"/>
      <w:rPr>
        <w:rFonts w:ascii="Arial" w:hAnsi="Arial" w:cs="Arial"/>
      </w:rPr>
    </w:pPr>
    <w:r w:rsidRPr="00F438CC">
      <w:rPr>
        <w:rFonts w:ascii="Arial" w:hAnsi="Arial" w:cs="Arial"/>
      </w:rPr>
      <w:fldChar w:fldCharType="begin"/>
    </w:r>
    <w:r w:rsidRPr="00F438CC">
      <w:rPr>
        <w:rFonts w:ascii="Arial" w:hAnsi="Arial" w:cs="Arial"/>
      </w:rPr>
      <w:instrText xml:space="preserve"> STYLEREF  "SCV report title"  \* MERGEFORMAT </w:instrText>
    </w:r>
    <w:r w:rsidRPr="00F438CC">
      <w:rPr>
        <w:rFonts w:ascii="Arial" w:hAnsi="Arial" w:cs="Arial"/>
      </w:rPr>
      <w:fldChar w:fldCharType="separate"/>
    </w:r>
    <w:r w:rsidR="00A42525">
      <w:rPr>
        <w:rFonts w:ascii="Arial" w:hAnsi="Arial" w:cs="Arial"/>
      </w:rPr>
      <w:t>Report of operations</w:t>
    </w:r>
    <w:r w:rsidRPr="00F438CC">
      <w:rPr>
        <w:rFonts w:ascii="Arial" w:hAnsi="Arial" w:cs="Arial"/>
      </w:rPr>
      <w:fldChar w:fldCharType="end"/>
    </w:r>
    <w:r w:rsidRPr="00F438CC">
      <w:rPr>
        <w:rFonts w:ascii="Arial" w:hAnsi="Arial" w:cs="Arial"/>
      </w:rPr>
      <w:t> </w:t>
    </w:r>
    <w:r w:rsidRPr="00F438CC">
      <w:rPr>
        <w:rFonts w:ascii="Arial" w:hAnsi="Arial" w:cs="Arial"/>
      </w:rPr>
      <w:t> </w:t>
    </w:r>
    <w:r w:rsidRPr="00F438CC">
      <w:rPr>
        <w:rFonts w:ascii="Arial" w:hAnsi="Arial" w:cs="Arial"/>
      </w:rPr>
      <w:t xml:space="preserve"> </w:t>
    </w:r>
    <w:r w:rsidRPr="00F438CC">
      <w:rPr>
        <w:rFonts w:ascii="Arial" w:hAnsi="Arial" w:cs="Arial"/>
        <w:b/>
      </w:rPr>
      <w:t xml:space="preserve">Voluntary Assisted Dying Review Board </w:t>
    </w:r>
    <w:r w:rsidRPr="00F438CC">
      <w:rPr>
        <w:rFonts w:ascii="Arial" w:hAnsi="Arial" w:cs="Arial"/>
      </w:rPr>
      <w:t> </w:t>
    </w:r>
    <w:r w:rsidRPr="00F438CC">
      <w:rPr>
        <w:rFonts w:ascii="Arial" w:hAnsi="Arial" w:cs="Arial"/>
      </w:rPr>
      <w:t> </w:t>
    </w:r>
    <w:r w:rsidRPr="00F438CC">
      <w:rPr>
        <w:rFonts w:ascii="Arial" w:hAnsi="Arial" w:cs="Arial"/>
        <w:noProof w:val="0"/>
      </w:rPr>
      <w:fldChar w:fldCharType="begin"/>
    </w:r>
    <w:r w:rsidRPr="00F438CC">
      <w:rPr>
        <w:rFonts w:ascii="Arial" w:hAnsi="Arial" w:cs="Arial"/>
      </w:rPr>
      <w:instrText xml:space="preserve"> PAGE   \* MERGEFORMAT </w:instrText>
    </w:r>
    <w:r w:rsidRPr="00F438CC">
      <w:rPr>
        <w:rFonts w:ascii="Arial" w:hAnsi="Arial" w:cs="Arial"/>
        <w:noProof w:val="0"/>
      </w:rPr>
      <w:fldChar w:fldCharType="separate"/>
    </w:r>
    <w:r w:rsidRPr="00F438CC">
      <w:rPr>
        <w:rFonts w:ascii="Arial" w:hAnsi="Arial" w:cs="Arial"/>
      </w:rPr>
      <w:t>3</w:t>
    </w:r>
    <w:r w:rsidRPr="00F438CC">
      <w:rPr>
        <w:rFonts w:ascii="Arial" w:hAnsi="Arial" w:cs="Arial"/>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C1DED" w14:textId="77777777" w:rsidR="0092445D" w:rsidRPr="002A5891" w:rsidRDefault="0092445D" w:rsidP="00BC437C">
    <w:pPr>
      <w:pStyle w:val="SCVfooterempt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8B1E3" w14:textId="77777777" w:rsidR="0092445D" w:rsidRDefault="0092445D" w:rsidP="00E33E08">
      <w:pPr>
        <w:spacing w:before="0" w:after="0" w:line="240" w:lineRule="auto"/>
      </w:pPr>
    </w:p>
  </w:footnote>
  <w:footnote w:type="continuationSeparator" w:id="0">
    <w:p w14:paraId="4E98A696" w14:textId="77777777" w:rsidR="0092445D" w:rsidRDefault="0092445D"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8910B" w14:textId="77777777" w:rsidR="00F438CC" w:rsidRDefault="00F438C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694E6" w14:textId="77777777" w:rsidR="0092445D" w:rsidRDefault="0092445D" w:rsidP="006B337A">
    <w:pPr>
      <w:pStyle w:val="SCVheaderempty"/>
    </w:pPr>
    <w:r>
      <w:rPr>
        <w:noProof/>
      </w:rPr>
      <w:drawing>
        <wp:anchor distT="0" distB="0" distL="114300" distR="114300" simplePos="0" relativeHeight="251720704" behindDoc="1" locked="1" layoutInCell="1" allowOverlap="1" wp14:anchorId="6A87C86F" wp14:editId="76214BF2">
          <wp:simplePos x="0" y="0"/>
          <wp:positionH relativeFrom="page">
            <wp:align>left</wp:align>
          </wp:positionH>
          <wp:positionV relativeFrom="page">
            <wp:align>top</wp:align>
          </wp:positionV>
          <wp:extent cx="7558560" cy="10691640"/>
          <wp:effectExtent l="0" t="0" r="4445" b="0"/>
          <wp:wrapNone/>
          <wp:docPr id="7" name="back cover"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 cover" descr="Safer Care Victoria"/>
                  <pic:cNvPicPr/>
                </pic:nvPicPr>
                <pic:blipFill>
                  <a:blip r:embed="rId1">
                    <a:extLst>
                      <a:ext uri="{28A0092B-C50C-407E-A947-70E740481C1C}">
                        <a14:useLocalDpi xmlns:a14="http://schemas.microsoft.com/office/drawing/2010/main" val="0"/>
                      </a:ext>
                    </a:extLst>
                  </a:blip>
                  <a:stretch>
                    <a:fillRect/>
                  </a:stretch>
                </pic:blipFill>
                <pic:spPr>
                  <a:xfrm>
                    <a:off x="0" y="0"/>
                    <a:ext cx="7558560" cy="10691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1CA2F" w14:textId="77777777" w:rsidR="0092445D" w:rsidRDefault="0092445D" w:rsidP="00BC437C">
    <w:pPr>
      <w:pStyle w:val="SCVheaderempty"/>
    </w:pPr>
    <w:r>
      <w:rPr>
        <w:noProof/>
      </w:rPr>
      <w:drawing>
        <wp:anchor distT="0" distB="0" distL="114300" distR="114300" simplePos="0" relativeHeight="251718656" behindDoc="1" locked="1" layoutInCell="1" allowOverlap="1" wp14:anchorId="766B8C41" wp14:editId="16F097DF">
          <wp:simplePos x="538163" y="671513"/>
          <wp:positionH relativeFrom="page">
            <wp:align>left</wp:align>
          </wp:positionH>
          <wp:positionV relativeFrom="page">
            <wp:align>top</wp:align>
          </wp:positionV>
          <wp:extent cx="7558405" cy="10691495"/>
          <wp:effectExtent l="0" t="0" r="4445" b="0"/>
          <wp:wrapNone/>
          <wp:docPr id="1" name="back cover"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 cover" descr="Safer Care Victoria"/>
                  <pic:cNvPicPr/>
                </pic:nvPicPr>
                <pic:blipFill>
                  <a:blip r:embed="rId1">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1FA5E" w14:textId="77777777" w:rsidR="00F438CC" w:rsidRDefault="00F438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7D079" w14:textId="77777777" w:rsidR="00F438CC" w:rsidRDefault="00F438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4C93B" w14:textId="77777777" w:rsidR="0092445D" w:rsidRDefault="0092445D" w:rsidP="00947A0F">
    <w:pPr>
      <w:pStyle w:val="SCVheaderempty"/>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3C492" w14:textId="77777777" w:rsidR="0092445D" w:rsidRDefault="0092445D" w:rsidP="0086277A">
    <w:pPr>
      <w:pStyle w:val="NoSpacing"/>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3A4FA" w14:textId="77777777" w:rsidR="0092445D" w:rsidRDefault="0092445D" w:rsidP="00947A0F">
    <w:pPr>
      <w:pStyle w:val="SCVheaderempty"/>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5CA57" w14:textId="77777777" w:rsidR="0092445D" w:rsidRDefault="0092445D" w:rsidP="00947A0F">
    <w:pPr>
      <w:pStyle w:val="SCVheaderempty"/>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ABA91" w14:textId="77777777" w:rsidR="0092445D" w:rsidRDefault="0092445D" w:rsidP="00BC437C">
    <w:pPr>
      <w:pStyle w:val="SCV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20210" w14:textId="77777777" w:rsidR="0092445D" w:rsidRDefault="0092445D" w:rsidP="00972812">
    <w:pPr>
      <w:pStyle w:val="SCV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63A5"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3"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5" w15:restartNumberingAfterBreak="0">
    <w:nsid w:val="61320433"/>
    <w:multiLevelType w:val="multilevel"/>
    <w:tmpl w:val="FDD22E88"/>
    <w:styleLink w:val="ZZBullets"/>
    <w:lvl w:ilvl="0">
      <w:start w:val="1"/>
      <w:numFmt w:val="bullet"/>
      <w:pStyle w:val="SCVbullet1"/>
      <w:lvlText w:val=""/>
      <w:lvlJc w:val="left"/>
      <w:pPr>
        <w:ind w:left="284" w:hanging="284"/>
      </w:pPr>
      <w:rPr>
        <w:rFonts w:ascii="Wingdings 2" w:hAnsi="Wingdings 2" w:hint="default"/>
        <w:color w:val="408ABB" w:themeColor="accent1"/>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172684E6"/>
    <w:styleLink w:val="ZZQuotebullets"/>
    <w:lvl w:ilvl="0">
      <w:start w:val="1"/>
      <w:numFmt w:val="bullet"/>
      <w:pStyle w:val="SCVquotebullet1"/>
      <w:lvlText w:val="•"/>
      <w:lvlJc w:val="left"/>
      <w:pPr>
        <w:ind w:left="680" w:hanging="283"/>
      </w:pPr>
      <w:rPr>
        <w:rFonts w:ascii="Calibri" w:hAnsi="Calibri" w:hint="default"/>
        <w:color w:val="0063A5" w:themeColor="text2"/>
      </w:rPr>
    </w:lvl>
    <w:lvl w:ilvl="1">
      <w:start w:val="1"/>
      <w:numFmt w:val="bullet"/>
      <w:lvlRestart w:val="0"/>
      <w:pStyle w:val="SCVquotebullet2"/>
      <w:lvlText w:val="–"/>
      <w:lvlJc w:val="left"/>
      <w:pPr>
        <w:ind w:left="964" w:hanging="284"/>
      </w:pPr>
      <w:rPr>
        <w:rFonts w:ascii="Calibri" w:hAnsi="Calibri" w:hint="default"/>
        <w:color w:val="0063A5"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7"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2"/>
  </w:num>
  <w:num w:numId="9">
    <w:abstractNumId w:val="0"/>
  </w:num>
  <w:num w:numId="10">
    <w:abstractNumId w:val="6"/>
  </w:num>
  <w:num w:numId="11">
    <w:abstractNumId w:val="4"/>
  </w:num>
  <w:num w:numId="12">
    <w:abstractNumId w:val="3"/>
  </w:num>
  <w:num w:numId="1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5"/>
  </w:num>
  <w:num w:numId="16">
    <w:abstractNumId w:val="7"/>
  </w:num>
  <w:num w:numId="17">
    <w:abstractNumId w:val="2"/>
  </w:num>
  <w:num w:numId="18">
    <w:abstractNumId w:val="2"/>
  </w:num>
  <w:num w:numId="19">
    <w:abstractNumId w:val="0"/>
  </w:num>
  <w:num w:numId="20">
    <w:abstractNumId w:val="6"/>
  </w:num>
  <w:num w:numId="21">
    <w:abstractNumId w:val="6"/>
  </w:num>
  <w:num w:numId="22">
    <w:abstractNumId w:val="4"/>
  </w:num>
  <w:num w:numId="23">
    <w:abstractNumId w:val="4"/>
  </w:num>
  <w:num w:numId="24">
    <w:abstractNumId w:val="3"/>
  </w:num>
  <w:num w:numId="25">
    <w:abstractNumId w:val="3"/>
  </w:num>
  <w:num w:numId="26">
    <w:abstractNumId w:val="5"/>
  </w:num>
  <w:num w:numId="27">
    <w:abstractNumId w:val="7"/>
  </w:num>
  <w:num w:numId="28">
    <w:abstractNumId w:val="2"/>
  </w:num>
  <w:num w:numId="29">
    <w:abstractNumId w:val="0"/>
  </w:num>
  <w:num w:numId="30">
    <w:abstractNumId w:val="6"/>
  </w:num>
  <w:num w:numId="31">
    <w:abstractNumId w:val="4"/>
  </w:num>
  <w:num w:numId="32">
    <w:abstractNumId w:val="3"/>
  </w:num>
  <w:num w:numId="3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attachedTemplate r:id="rId1"/>
  <w:stylePaneSortMethod w:val="0000"/>
  <w:defaultTabStop w:val="720"/>
  <w:evenAndOddHeader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C4F"/>
    <w:rsid w:val="00012F6F"/>
    <w:rsid w:val="00014213"/>
    <w:rsid w:val="00014B55"/>
    <w:rsid w:val="00020E3E"/>
    <w:rsid w:val="0002328B"/>
    <w:rsid w:val="00023BF3"/>
    <w:rsid w:val="00026811"/>
    <w:rsid w:val="00040E1E"/>
    <w:rsid w:val="0004185E"/>
    <w:rsid w:val="0004698F"/>
    <w:rsid w:val="000477DC"/>
    <w:rsid w:val="00056988"/>
    <w:rsid w:val="00064BFD"/>
    <w:rsid w:val="00072279"/>
    <w:rsid w:val="00075E6C"/>
    <w:rsid w:val="000763E6"/>
    <w:rsid w:val="00081C12"/>
    <w:rsid w:val="00087D42"/>
    <w:rsid w:val="000A0764"/>
    <w:rsid w:val="000A2620"/>
    <w:rsid w:val="000B29AD"/>
    <w:rsid w:val="000C6372"/>
    <w:rsid w:val="000D7841"/>
    <w:rsid w:val="000E392D"/>
    <w:rsid w:val="000E39B6"/>
    <w:rsid w:val="000E3D05"/>
    <w:rsid w:val="000F4288"/>
    <w:rsid w:val="000F7165"/>
    <w:rsid w:val="00100361"/>
    <w:rsid w:val="00102379"/>
    <w:rsid w:val="00103722"/>
    <w:rsid w:val="00105EB8"/>
    <w:rsid w:val="001065D6"/>
    <w:rsid w:val="001068D5"/>
    <w:rsid w:val="00121252"/>
    <w:rsid w:val="00124609"/>
    <w:rsid w:val="001254CE"/>
    <w:rsid w:val="001422CC"/>
    <w:rsid w:val="00142CC3"/>
    <w:rsid w:val="00145346"/>
    <w:rsid w:val="00150333"/>
    <w:rsid w:val="001617B6"/>
    <w:rsid w:val="00165E66"/>
    <w:rsid w:val="00174F38"/>
    <w:rsid w:val="00176E7F"/>
    <w:rsid w:val="001849FD"/>
    <w:rsid w:val="0019351B"/>
    <w:rsid w:val="00194B79"/>
    <w:rsid w:val="00195901"/>
    <w:rsid w:val="00196143"/>
    <w:rsid w:val="001A24FC"/>
    <w:rsid w:val="001C7BAE"/>
    <w:rsid w:val="001E31FA"/>
    <w:rsid w:val="001E48F9"/>
    <w:rsid w:val="001E64F6"/>
    <w:rsid w:val="001E7AEB"/>
    <w:rsid w:val="001F0109"/>
    <w:rsid w:val="00204B82"/>
    <w:rsid w:val="00205C68"/>
    <w:rsid w:val="00222BEB"/>
    <w:rsid w:val="00223217"/>
    <w:rsid w:val="00225E60"/>
    <w:rsid w:val="00226400"/>
    <w:rsid w:val="00230BBB"/>
    <w:rsid w:val="0023202C"/>
    <w:rsid w:val="00234253"/>
    <w:rsid w:val="00234619"/>
    <w:rsid w:val="00245043"/>
    <w:rsid w:val="00254488"/>
    <w:rsid w:val="0025578B"/>
    <w:rsid w:val="002570BD"/>
    <w:rsid w:val="0026028E"/>
    <w:rsid w:val="00267D39"/>
    <w:rsid w:val="00272EC4"/>
    <w:rsid w:val="00276717"/>
    <w:rsid w:val="00282118"/>
    <w:rsid w:val="00284FA2"/>
    <w:rsid w:val="00286657"/>
    <w:rsid w:val="00292D36"/>
    <w:rsid w:val="00294A5A"/>
    <w:rsid w:val="00297281"/>
    <w:rsid w:val="00297A47"/>
    <w:rsid w:val="002A4AD5"/>
    <w:rsid w:val="002A5891"/>
    <w:rsid w:val="002B03F1"/>
    <w:rsid w:val="002B5E2B"/>
    <w:rsid w:val="002B6DAA"/>
    <w:rsid w:val="002D6F3C"/>
    <w:rsid w:val="002D70F7"/>
    <w:rsid w:val="002D711A"/>
    <w:rsid w:val="002D7336"/>
    <w:rsid w:val="002E3396"/>
    <w:rsid w:val="002E4EB3"/>
    <w:rsid w:val="002F2953"/>
    <w:rsid w:val="002F4173"/>
    <w:rsid w:val="00303E66"/>
    <w:rsid w:val="0031149C"/>
    <w:rsid w:val="00315B8F"/>
    <w:rsid w:val="00316FC9"/>
    <w:rsid w:val="00317070"/>
    <w:rsid w:val="00325E21"/>
    <w:rsid w:val="00345B45"/>
    <w:rsid w:val="00345F0B"/>
    <w:rsid w:val="00350441"/>
    <w:rsid w:val="00354D98"/>
    <w:rsid w:val="0036778F"/>
    <w:rsid w:val="0038771C"/>
    <w:rsid w:val="003A430B"/>
    <w:rsid w:val="003A541A"/>
    <w:rsid w:val="003A6923"/>
    <w:rsid w:val="003C2C67"/>
    <w:rsid w:val="003C2D4C"/>
    <w:rsid w:val="003C3B3A"/>
    <w:rsid w:val="003C5BA4"/>
    <w:rsid w:val="003E3E26"/>
    <w:rsid w:val="003E5220"/>
    <w:rsid w:val="003F1295"/>
    <w:rsid w:val="003F5102"/>
    <w:rsid w:val="003F76FC"/>
    <w:rsid w:val="004002EB"/>
    <w:rsid w:val="004068DC"/>
    <w:rsid w:val="00407A79"/>
    <w:rsid w:val="004108A6"/>
    <w:rsid w:val="00422DDC"/>
    <w:rsid w:val="004231B5"/>
    <w:rsid w:val="004236C8"/>
    <w:rsid w:val="00427681"/>
    <w:rsid w:val="00433DB7"/>
    <w:rsid w:val="0043696B"/>
    <w:rsid w:val="00443FE8"/>
    <w:rsid w:val="00453750"/>
    <w:rsid w:val="00456941"/>
    <w:rsid w:val="00463C5A"/>
    <w:rsid w:val="004702EA"/>
    <w:rsid w:val="004777DB"/>
    <w:rsid w:val="004808FC"/>
    <w:rsid w:val="0048259C"/>
    <w:rsid w:val="00482D02"/>
    <w:rsid w:val="00484326"/>
    <w:rsid w:val="00490369"/>
    <w:rsid w:val="004936A3"/>
    <w:rsid w:val="00497EB0"/>
    <w:rsid w:val="004A7519"/>
    <w:rsid w:val="004B64B1"/>
    <w:rsid w:val="004D01AC"/>
    <w:rsid w:val="004D3518"/>
    <w:rsid w:val="004D62D6"/>
    <w:rsid w:val="004D6898"/>
    <w:rsid w:val="004D7778"/>
    <w:rsid w:val="004E0327"/>
    <w:rsid w:val="004F2019"/>
    <w:rsid w:val="004F3F4E"/>
    <w:rsid w:val="00501DA9"/>
    <w:rsid w:val="005079B2"/>
    <w:rsid w:val="00510167"/>
    <w:rsid w:val="00511E12"/>
    <w:rsid w:val="00513E86"/>
    <w:rsid w:val="00515958"/>
    <w:rsid w:val="00523E77"/>
    <w:rsid w:val="005306A2"/>
    <w:rsid w:val="0053416C"/>
    <w:rsid w:val="005416D7"/>
    <w:rsid w:val="00541C2F"/>
    <w:rsid w:val="005450D9"/>
    <w:rsid w:val="00547A71"/>
    <w:rsid w:val="00552DE4"/>
    <w:rsid w:val="005619BB"/>
    <w:rsid w:val="00563527"/>
    <w:rsid w:val="0057407A"/>
    <w:rsid w:val="00576382"/>
    <w:rsid w:val="0058124E"/>
    <w:rsid w:val="005848A5"/>
    <w:rsid w:val="005875A3"/>
    <w:rsid w:val="00593A04"/>
    <w:rsid w:val="005953EA"/>
    <w:rsid w:val="005A3416"/>
    <w:rsid w:val="005B27FE"/>
    <w:rsid w:val="005B76DF"/>
    <w:rsid w:val="005B79CB"/>
    <w:rsid w:val="005C04F0"/>
    <w:rsid w:val="005C12A8"/>
    <w:rsid w:val="005E08D7"/>
    <w:rsid w:val="005E4C16"/>
    <w:rsid w:val="005E57E1"/>
    <w:rsid w:val="005E5947"/>
    <w:rsid w:val="005F61DF"/>
    <w:rsid w:val="0060163A"/>
    <w:rsid w:val="006023F9"/>
    <w:rsid w:val="00610559"/>
    <w:rsid w:val="00614076"/>
    <w:rsid w:val="00616087"/>
    <w:rsid w:val="00617BB5"/>
    <w:rsid w:val="006208C4"/>
    <w:rsid w:val="00632F2E"/>
    <w:rsid w:val="006332F6"/>
    <w:rsid w:val="00633C69"/>
    <w:rsid w:val="006413F2"/>
    <w:rsid w:val="00645E9B"/>
    <w:rsid w:val="006534B2"/>
    <w:rsid w:val="0065503B"/>
    <w:rsid w:val="0065615D"/>
    <w:rsid w:val="00656D42"/>
    <w:rsid w:val="00657011"/>
    <w:rsid w:val="006650B5"/>
    <w:rsid w:val="006651B1"/>
    <w:rsid w:val="00665778"/>
    <w:rsid w:val="006659DA"/>
    <w:rsid w:val="00676E5F"/>
    <w:rsid w:val="006945CA"/>
    <w:rsid w:val="006A3309"/>
    <w:rsid w:val="006A3A5A"/>
    <w:rsid w:val="006A5B34"/>
    <w:rsid w:val="006B337A"/>
    <w:rsid w:val="006C4830"/>
    <w:rsid w:val="006C77A9"/>
    <w:rsid w:val="006D4720"/>
    <w:rsid w:val="006D5B85"/>
    <w:rsid w:val="006E40A2"/>
    <w:rsid w:val="006E6CDF"/>
    <w:rsid w:val="006E7C80"/>
    <w:rsid w:val="006F37F2"/>
    <w:rsid w:val="006F4836"/>
    <w:rsid w:val="006F6693"/>
    <w:rsid w:val="00704EAC"/>
    <w:rsid w:val="00707FE8"/>
    <w:rsid w:val="00714AAE"/>
    <w:rsid w:val="00724962"/>
    <w:rsid w:val="00724A0F"/>
    <w:rsid w:val="00726D2F"/>
    <w:rsid w:val="00736732"/>
    <w:rsid w:val="00740019"/>
    <w:rsid w:val="007432F9"/>
    <w:rsid w:val="00746426"/>
    <w:rsid w:val="00750BF9"/>
    <w:rsid w:val="00750CBE"/>
    <w:rsid w:val="007650D2"/>
    <w:rsid w:val="00766B5A"/>
    <w:rsid w:val="00767B8C"/>
    <w:rsid w:val="00772209"/>
    <w:rsid w:val="007730AA"/>
    <w:rsid w:val="007770A5"/>
    <w:rsid w:val="007834F2"/>
    <w:rsid w:val="0078432C"/>
    <w:rsid w:val="00791020"/>
    <w:rsid w:val="00796484"/>
    <w:rsid w:val="007A04D2"/>
    <w:rsid w:val="007A5F82"/>
    <w:rsid w:val="007B19B7"/>
    <w:rsid w:val="007B55C7"/>
    <w:rsid w:val="007D5F9E"/>
    <w:rsid w:val="007D6713"/>
    <w:rsid w:val="007E098F"/>
    <w:rsid w:val="007E3BA2"/>
    <w:rsid w:val="007F1A4C"/>
    <w:rsid w:val="007F723F"/>
    <w:rsid w:val="008022C3"/>
    <w:rsid w:val="008041E6"/>
    <w:rsid w:val="008065D2"/>
    <w:rsid w:val="00815A57"/>
    <w:rsid w:val="00815A8A"/>
    <w:rsid w:val="0082194C"/>
    <w:rsid w:val="008222FF"/>
    <w:rsid w:val="008241FF"/>
    <w:rsid w:val="00827454"/>
    <w:rsid w:val="0083539D"/>
    <w:rsid w:val="008360F6"/>
    <w:rsid w:val="00836CC9"/>
    <w:rsid w:val="008411E9"/>
    <w:rsid w:val="00841617"/>
    <w:rsid w:val="0084200F"/>
    <w:rsid w:val="00843B2C"/>
    <w:rsid w:val="00844F16"/>
    <w:rsid w:val="00847745"/>
    <w:rsid w:val="00855FF9"/>
    <w:rsid w:val="0086277A"/>
    <w:rsid w:val="00865A5B"/>
    <w:rsid w:val="008668A8"/>
    <w:rsid w:val="008719DF"/>
    <w:rsid w:val="008768AD"/>
    <w:rsid w:val="00880AC4"/>
    <w:rsid w:val="00897447"/>
    <w:rsid w:val="008A4900"/>
    <w:rsid w:val="008A55FE"/>
    <w:rsid w:val="008B146D"/>
    <w:rsid w:val="008B42AD"/>
    <w:rsid w:val="008B5666"/>
    <w:rsid w:val="008B77E4"/>
    <w:rsid w:val="008D0281"/>
    <w:rsid w:val="008D34DA"/>
    <w:rsid w:val="008D6AEE"/>
    <w:rsid w:val="008E2348"/>
    <w:rsid w:val="008E347D"/>
    <w:rsid w:val="008E4DFC"/>
    <w:rsid w:val="008F04C8"/>
    <w:rsid w:val="008F6D45"/>
    <w:rsid w:val="00903F5A"/>
    <w:rsid w:val="00903F81"/>
    <w:rsid w:val="00905E6A"/>
    <w:rsid w:val="00907FF7"/>
    <w:rsid w:val="00916FB6"/>
    <w:rsid w:val="00920E37"/>
    <w:rsid w:val="009222A5"/>
    <w:rsid w:val="00922944"/>
    <w:rsid w:val="0092445D"/>
    <w:rsid w:val="00931FD9"/>
    <w:rsid w:val="00934C41"/>
    <w:rsid w:val="00936479"/>
    <w:rsid w:val="00937A10"/>
    <w:rsid w:val="009464B0"/>
    <w:rsid w:val="00947A0F"/>
    <w:rsid w:val="009579EA"/>
    <w:rsid w:val="00966115"/>
    <w:rsid w:val="00972812"/>
    <w:rsid w:val="009834C0"/>
    <w:rsid w:val="00986AAC"/>
    <w:rsid w:val="009905FA"/>
    <w:rsid w:val="0099181C"/>
    <w:rsid w:val="00995526"/>
    <w:rsid w:val="009A0E50"/>
    <w:rsid w:val="009A1DA2"/>
    <w:rsid w:val="009A35AA"/>
    <w:rsid w:val="009A3704"/>
    <w:rsid w:val="009A4739"/>
    <w:rsid w:val="009A674F"/>
    <w:rsid w:val="009A6D22"/>
    <w:rsid w:val="009B199C"/>
    <w:rsid w:val="009B3849"/>
    <w:rsid w:val="009B5979"/>
    <w:rsid w:val="009B61F1"/>
    <w:rsid w:val="009B62E0"/>
    <w:rsid w:val="009C1110"/>
    <w:rsid w:val="009C1F75"/>
    <w:rsid w:val="009C3D88"/>
    <w:rsid w:val="009E0ECD"/>
    <w:rsid w:val="009E1651"/>
    <w:rsid w:val="009E3858"/>
    <w:rsid w:val="009E467D"/>
    <w:rsid w:val="009E70DD"/>
    <w:rsid w:val="009F0C82"/>
    <w:rsid w:val="009F2ED9"/>
    <w:rsid w:val="009F3231"/>
    <w:rsid w:val="009F5C58"/>
    <w:rsid w:val="00A023A0"/>
    <w:rsid w:val="00A034F7"/>
    <w:rsid w:val="00A05EBC"/>
    <w:rsid w:val="00A1562B"/>
    <w:rsid w:val="00A170F4"/>
    <w:rsid w:val="00A21408"/>
    <w:rsid w:val="00A21CFD"/>
    <w:rsid w:val="00A2227D"/>
    <w:rsid w:val="00A23BA4"/>
    <w:rsid w:val="00A25B78"/>
    <w:rsid w:val="00A27B01"/>
    <w:rsid w:val="00A400CC"/>
    <w:rsid w:val="00A40495"/>
    <w:rsid w:val="00A40DFD"/>
    <w:rsid w:val="00A42525"/>
    <w:rsid w:val="00A45CB0"/>
    <w:rsid w:val="00A46288"/>
    <w:rsid w:val="00A46BA8"/>
    <w:rsid w:val="00A47634"/>
    <w:rsid w:val="00A612FE"/>
    <w:rsid w:val="00A66F4D"/>
    <w:rsid w:val="00A703B3"/>
    <w:rsid w:val="00A70B49"/>
    <w:rsid w:val="00A740D4"/>
    <w:rsid w:val="00A8084F"/>
    <w:rsid w:val="00A87816"/>
    <w:rsid w:val="00A92D94"/>
    <w:rsid w:val="00AA120E"/>
    <w:rsid w:val="00AA26B8"/>
    <w:rsid w:val="00AA4288"/>
    <w:rsid w:val="00AA4907"/>
    <w:rsid w:val="00AB1B76"/>
    <w:rsid w:val="00AB24E4"/>
    <w:rsid w:val="00AC0B87"/>
    <w:rsid w:val="00AC2624"/>
    <w:rsid w:val="00AC32A8"/>
    <w:rsid w:val="00AD1351"/>
    <w:rsid w:val="00AD4528"/>
    <w:rsid w:val="00AD7E4E"/>
    <w:rsid w:val="00AE271D"/>
    <w:rsid w:val="00AF4898"/>
    <w:rsid w:val="00AF4D58"/>
    <w:rsid w:val="00AF6666"/>
    <w:rsid w:val="00AF7BC5"/>
    <w:rsid w:val="00B065FB"/>
    <w:rsid w:val="00B116E3"/>
    <w:rsid w:val="00B15592"/>
    <w:rsid w:val="00B16D2B"/>
    <w:rsid w:val="00B23AE9"/>
    <w:rsid w:val="00B37FF8"/>
    <w:rsid w:val="00B41DEC"/>
    <w:rsid w:val="00B515DB"/>
    <w:rsid w:val="00B556E1"/>
    <w:rsid w:val="00B673BB"/>
    <w:rsid w:val="00B7281A"/>
    <w:rsid w:val="00B73B9C"/>
    <w:rsid w:val="00B768E9"/>
    <w:rsid w:val="00B81B44"/>
    <w:rsid w:val="00B9053B"/>
    <w:rsid w:val="00B9777C"/>
    <w:rsid w:val="00BA0C37"/>
    <w:rsid w:val="00BA3782"/>
    <w:rsid w:val="00BA5BEB"/>
    <w:rsid w:val="00BB4D98"/>
    <w:rsid w:val="00BB4EBF"/>
    <w:rsid w:val="00BB59E0"/>
    <w:rsid w:val="00BB7DF0"/>
    <w:rsid w:val="00BC3422"/>
    <w:rsid w:val="00BC437C"/>
    <w:rsid w:val="00BC6E19"/>
    <w:rsid w:val="00BD05FA"/>
    <w:rsid w:val="00BD0B31"/>
    <w:rsid w:val="00BD4FF1"/>
    <w:rsid w:val="00BD5018"/>
    <w:rsid w:val="00BE1608"/>
    <w:rsid w:val="00BE4092"/>
    <w:rsid w:val="00BE4EDC"/>
    <w:rsid w:val="00BE5ADC"/>
    <w:rsid w:val="00BE60CF"/>
    <w:rsid w:val="00BF4169"/>
    <w:rsid w:val="00BF4F96"/>
    <w:rsid w:val="00C015B9"/>
    <w:rsid w:val="00C022F9"/>
    <w:rsid w:val="00C032EA"/>
    <w:rsid w:val="00C06EB5"/>
    <w:rsid w:val="00C1050F"/>
    <w:rsid w:val="00C1145F"/>
    <w:rsid w:val="00C11CD1"/>
    <w:rsid w:val="00C15701"/>
    <w:rsid w:val="00C258F2"/>
    <w:rsid w:val="00C2715F"/>
    <w:rsid w:val="00C32D49"/>
    <w:rsid w:val="00C33AD3"/>
    <w:rsid w:val="00C41B3C"/>
    <w:rsid w:val="00C43F06"/>
    <w:rsid w:val="00C45702"/>
    <w:rsid w:val="00C47503"/>
    <w:rsid w:val="00C50A2B"/>
    <w:rsid w:val="00C51C01"/>
    <w:rsid w:val="00C539DC"/>
    <w:rsid w:val="00C637E1"/>
    <w:rsid w:val="00C67EAC"/>
    <w:rsid w:val="00C70D50"/>
    <w:rsid w:val="00C72252"/>
    <w:rsid w:val="00C81050"/>
    <w:rsid w:val="00C907D7"/>
    <w:rsid w:val="00C92338"/>
    <w:rsid w:val="00C95E66"/>
    <w:rsid w:val="00C96051"/>
    <w:rsid w:val="00C97B86"/>
    <w:rsid w:val="00CA05DC"/>
    <w:rsid w:val="00CA7B47"/>
    <w:rsid w:val="00CB1DD6"/>
    <w:rsid w:val="00CB3976"/>
    <w:rsid w:val="00CB441A"/>
    <w:rsid w:val="00CB5368"/>
    <w:rsid w:val="00CC6087"/>
    <w:rsid w:val="00CD0307"/>
    <w:rsid w:val="00CD3D1B"/>
    <w:rsid w:val="00CE083F"/>
    <w:rsid w:val="00CF2474"/>
    <w:rsid w:val="00CF2FFA"/>
    <w:rsid w:val="00CF6EC4"/>
    <w:rsid w:val="00D02663"/>
    <w:rsid w:val="00D0633E"/>
    <w:rsid w:val="00D07E64"/>
    <w:rsid w:val="00D12E74"/>
    <w:rsid w:val="00D140D8"/>
    <w:rsid w:val="00D15955"/>
    <w:rsid w:val="00D2312F"/>
    <w:rsid w:val="00D23B04"/>
    <w:rsid w:val="00D269C1"/>
    <w:rsid w:val="00D27944"/>
    <w:rsid w:val="00D40D8B"/>
    <w:rsid w:val="00D41B2F"/>
    <w:rsid w:val="00D44953"/>
    <w:rsid w:val="00D542F3"/>
    <w:rsid w:val="00D54513"/>
    <w:rsid w:val="00D54AAE"/>
    <w:rsid w:val="00D5644B"/>
    <w:rsid w:val="00D56E25"/>
    <w:rsid w:val="00D57E89"/>
    <w:rsid w:val="00D60E1A"/>
    <w:rsid w:val="00D63D34"/>
    <w:rsid w:val="00D6560D"/>
    <w:rsid w:val="00D65D77"/>
    <w:rsid w:val="00D662E0"/>
    <w:rsid w:val="00D718D7"/>
    <w:rsid w:val="00D814B7"/>
    <w:rsid w:val="00D863EB"/>
    <w:rsid w:val="00D90688"/>
    <w:rsid w:val="00DA3AAD"/>
    <w:rsid w:val="00DB0804"/>
    <w:rsid w:val="00DB312B"/>
    <w:rsid w:val="00DC5654"/>
    <w:rsid w:val="00DC658F"/>
    <w:rsid w:val="00DC674A"/>
    <w:rsid w:val="00DD34D3"/>
    <w:rsid w:val="00DD6383"/>
    <w:rsid w:val="00DD7FAE"/>
    <w:rsid w:val="00DE0E4E"/>
    <w:rsid w:val="00DE60CC"/>
    <w:rsid w:val="00DF52CC"/>
    <w:rsid w:val="00E06416"/>
    <w:rsid w:val="00E223A3"/>
    <w:rsid w:val="00E22A20"/>
    <w:rsid w:val="00E26B32"/>
    <w:rsid w:val="00E31CD4"/>
    <w:rsid w:val="00E31E60"/>
    <w:rsid w:val="00E33E08"/>
    <w:rsid w:val="00E407B6"/>
    <w:rsid w:val="00E41EF1"/>
    <w:rsid w:val="00E42942"/>
    <w:rsid w:val="00E543D9"/>
    <w:rsid w:val="00E55536"/>
    <w:rsid w:val="00E65A0A"/>
    <w:rsid w:val="00E71BDF"/>
    <w:rsid w:val="00E72E8A"/>
    <w:rsid w:val="00E739E4"/>
    <w:rsid w:val="00E75CCB"/>
    <w:rsid w:val="00E8245B"/>
    <w:rsid w:val="00E82C21"/>
    <w:rsid w:val="00E82F59"/>
    <w:rsid w:val="00E833AF"/>
    <w:rsid w:val="00E83CA7"/>
    <w:rsid w:val="00E92192"/>
    <w:rsid w:val="00E95A71"/>
    <w:rsid w:val="00EA030C"/>
    <w:rsid w:val="00EA2B81"/>
    <w:rsid w:val="00EA5761"/>
    <w:rsid w:val="00EA5B68"/>
    <w:rsid w:val="00EB363A"/>
    <w:rsid w:val="00EB6068"/>
    <w:rsid w:val="00EB7014"/>
    <w:rsid w:val="00EC5CDE"/>
    <w:rsid w:val="00ED3077"/>
    <w:rsid w:val="00ED487E"/>
    <w:rsid w:val="00ED64F1"/>
    <w:rsid w:val="00ED656C"/>
    <w:rsid w:val="00EE33A1"/>
    <w:rsid w:val="00EE7A0D"/>
    <w:rsid w:val="00EF295D"/>
    <w:rsid w:val="00EF2D3C"/>
    <w:rsid w:val="00EF4286"/>
    <w:rsid w:val="00F0222C"/>
    <w:rsid w:val="00F12312"/>
    <w:rsid w:val="00F16C4F"/>
    <w:rsid w:val="00F177C7"/>
    <w:rsid w:val="00F17CE1"/>
    <w:rsid w:val="00F2115C"/>
    <w:rsid w:val="00F22ABA"/>
    <w:rsid w:val="00F349C9"/>
    <w:rsid w:val="00F36B12"/>
    <w:rsid w:val="00F438CC"/>
    <w:rsid w:val="00F47C64"/>
    <w:rsid w:val="00F504CA"/>
    <w:rsid w:val="00F60F9F"/>
    <w:rsid w:val="00F635D9"/>
    <w:rsid w:val="00F64F08"/>
    <w:rsid w:val="00F70055"/>
    <w:rsid w:val="00F71150"/>
    <w:rsid w:val="00F71D46"/>
    <w:rsid w:val="00F734F5"/>
    <w:rsid w:val="00F73B5B"/>
    <w:rsid w:val="00F90EA5"/>
    <w:rsid w:val="00F91F5A"/>
    <w:rsid w:val="00F966B1"/>
    <w:rsid w:val="00F97D48"/>
    <w:rsid w:val="00FA0311"/>
    <w:rsid w:val="00FA1489"/>
    <w:rsid w:val="00FA39E1"/>
    <w:rsid w:val="00FA53DE"/>
    <w:rsid w:val="00FD50F0"/>
    <w:rsid w:val="00FD640F"/>
    <w:rsid w:val="00FD6B4C"/>
    <w:rsid w:val="00FD7069"/>
    <w:rsid w:val="00FE0553"/>
    <w:rsid w:val="00FE25D0"/>
    <w:rsid w:val="00FE6CB3"/>
    <w:rsid w:val="00FF411C"/>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7D54B7"/>
  <w15:docId w15:val="{528213CA-286A-4961-95BD-349A74DA6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040E1E"/>
    <w:pPr>
      <w:spacing w:line="280" w:lineRule="auto"/>
    </w:pPr>
  </w:style>
  <w:style w:type="paragraph" w:styleId="Heading1">
    <w:name w:val="heading 1"/>
    <w:basedOn w:val="Normal"/>
    <w:next w:val="SCVbody"/>
    <w:link w:val="Heading1Char"/>
    <w:qFormat/>
    <w:rsid w:val="0092445D"/>
    <w:pPr>
      <w:keepNext/>
      <w:keepLines/>
      <w:pageBreakBefore/>
      <w:suppressAutoHyphens/>
      <w:spacing w:before="0" w:after="320" w:line="240" w:lineRule="auto"/>
      <w:outlineLvl w:val="0"/>
    </w:pPr>
    <w:rPr>
      <w:rFonts w:ascii="Arial" w:eastAsiaTheme="majorEastAsia" w:hAnsi="Arial" w:cstheme="majorBidi"/>
      <w:b/>
      <w:color w:val="0063A5" w:themeColor="text2"/>
      <w:sz w:val="48"/>
      <w:szCs w:val="44"/>
    </w:rPr>
  </w:style>
  <w:style w:type="paragraph" w:styleId="Heading2">
    <w:name w:val="heading 2"/>
    <w:basedOn w:val="Normal"/>
    <w:next w:val="SCVbody"/>
    <w:link w:val="Heading2Char"/>
    <w:qFormat/>
    <w:rsid w:val="0092445D"/>
    <w:pPr>
      <w:keepNext/>
      <w:keepLines/>
      <w:spacing w:before="280" w:after="80" w:line="240" w:lineRule="auto"/>
      <w:outlineLvl w:val="1"/>
    </w:pPr>
    <w:rPr>
      <w:rFonts w:ascii="Arial" w:eastAsiaTheme="majorEastAsia" w:hAnsi="Arial" w:cstheme="majorBidi"/>
      <w:b/>
      <w:sz w:val="24"/>
      <w:szCs w:val="24"/>
    </w:rPr>
  </w:style>
  <w:style w:type="paragraph" w:styleId="Heading3">
    <w:name w:val="heading 3"/>
    <w:basedOn w:val="Normal"/>
    <w:next w:val="SCVbody"/>
    <w:link w:val="Heading3Char"/>
    <w:qFormat/>
    <w:rsid w:val="0065503B"/>
    <w:pPr>
      <w:keepNext/>
      <w:keepLines/>
      <w:spacing w:before="240" w:after="80" w:line="240" w:lineRule="auto"/>
      <w:outlineLvl w:val="2"/>
    </w:pPr>
    <w:rPr>
      <w:rFonts w:asciiTheme="majorHAnsi" w:eastAsiaTheme="majorEastAsia" w:hAnsiTheme="majorHAnsi" w:cstheme="majorBidi"/>
      <w:color w:val="0063A5" w:themeColor="text2"/>
      <w:sz w:val="23"/>
      <w:szCs w:val="23"/>
    </w:rPr>
  </w:style>
  <w:style w:type="paragraph" w:styleId="Heading4">
    <w:name w:val="heading 4"/>
    <w:basedOn w:val="Normal"/>
    <w:next w:val="SCVbody"/>
    <w:link w:val="Heading4Char"/>
    <w:qFormat/>
    <w:rsid w:val="0092445D"/>
    <w:pPr>
      <w:keepNext/>
      <w:keepLines/>
      <w:spacing w:before="320" w:after="70" w:line="240" w:lineRule="auto"/>
      <w:outlineLvl w:val="3"/>
    </w:pPr>
    <w:rPr>
      <w:rFonts w:ascii="Arial" w:eastAsiaTheme="majorEastAsia" w:hAnsi="Arial" w:cstheme="majorBidi"/>
      <w:b/>
      <w:iCs/>
      <w:color w:val="000000" w:themeColor="text1"/>
    </w:rPr>
  </w:style>
  <w:style w:type="paragraph" w:styleId="Heading5">
    <w:name w:val="heading 5"/>
    <w:basedOn w:val="Normal"/>
    <w:next w:val="SCVbody"/>
    <w:link w:val="Heading5Char"/>
    <w:uiPriority w:val="1"/>
    <w:semiHidden/>
    <w:qFormat/>
    <w:rsid w:val="0065503B"/>
    <w:pPr>
      <w:keepNext/>
      <w:keepLines/>
      <w:spacing w:before="280" w:after="80" w:line="264" w:lineRule="auto"/>
      <w:outlineLvl w:val="4"/>
    </w:pPr>
    <w:rPr>
      <w:rFonts w:asciiTheme="majorHAnsi" w:eastAsiaTheme="majorEastAsia" w:hAnsiTheme="majorHAnsi" w:cstheme="majorBidi"/>
      <w:color w:val="30678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65503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040E1E"/>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DFED" w:themeColor="accent2" w:themeTint="66"/>
          <w:right w:val="nil"/>
          <w:insideH w:val="nil"/>
          <w:insideV w:val="nil"/>
          <w:tl2br w:val="nil"/>
          <w:tr2bl w:val="nil"/>
        </w:tcBorders>
        <w:shd w:val="clear" w:color="auto" w:fill="E6EFF6" w:themeFill="background2"/>
      </w:tcPr>
    </w:tblStylePr>
  </w:style>
  <w:style w:type="table" w:styleId="LightList-Accent4">
    <w:name w:val="Light List Accent 4"/>
    <w:basedOn w:val="TableNormal"/>
    <w:uiPriority w:val="61"/>
    <w:semiHidden/>
    <w:rsid w:val="0065503B"/>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65503B"/>
    <w:pPr>
      <w:spacing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pPr>
        <w:spacing w:before="0" w:after="0" w:line="240" w:lineRule="auto"/>
      </w:pPr>
      <w:rPr>
        <w:b/>
        <w:bCs/>
        <w:color w:val="FFFFFF" w:themeColor="background1"/>
      </w:rPr>
      <w:tblPr/>
      <w:tcPr>
        <w:shd w:val="clear" w:color="auto" w:fill="408ABB" w:themeFill="accent1"/>
      </w:tcPr>
    </w:tblStylePr>
    <w:tblStylePr w:type="lastRow">
      <w:pPr>
        <w:spacing w:before="0" w:after="0" w:line="240" w:lineRule="auto"/>
      </w:pPr>
      <w:rPr>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tcBorders>
      </w:tcPr>
    </w:tblStylePr>
    <w:tblStylePr w:type="firstCol">
      <w:rPr>
        <w:b/>
        <w:bCs/>
      </w:rPr>
    </w:tblStylePr>
    <w:tblStylePr w:type="lastCol">
      <w:rPr>
        <w:b/>
        <w:bCs/>
      </w:r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style>
  <w:style w:type="paragraph" w:styleId="TOC1">
    <w:name w:val="toc 1"/>
    <w:basedOn w:val="Normal"/>
    <w:next w:val="Normal"/>
    <w:uiPriority w:val="39"/>
    <w:rsid w:val="0065503B"/>
    <w:pPr>
      <w:keepNext/>
      <w:keepLines/>
      <w:pBdr>
        <w:bottom w:val="single" w:sz="2" w:space="1" w:color="000016"/>
        <w:between w:val="single" w:sz="2" w:space="1" w:color="000000" w:themeColor="text1"/>
      </w:pBdr>
      <w:tabs>
        <w:tab w:val="right" w:pos="10206"/>
      </w:tabs>
      <w:spacing w:before="120" w:after="0" w:line="280" w:lineRule="atLeast"/>
      <w:ind w:right="57"/>
    </w:pPr>
    <w:rPr>
      <w:rFonts w:asciiTheme="majorHAnsi" w:hAnsiTheme="majorHAnsi"/>
      <w:bCs/>
      <w:noProof/>
      <w:lang w:eastAsia="en-US"/>
    </w:rPr>
  </w:style>
  <w:style w:type="paragraph" w:styleId="TOC2">
    <w:name w:val="toc 2"/>
    <w:basedOn w:val="Normal"/>
    <w:next w:val="Normal"/>
    <w:uiPriority w:val="39"/>
    <w:rsid w:val="0065503B"/>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rFonts w:asciiTheme="majorHAnsi" w:hAnsiTheme="majorHAnsi"/>
      <w:bCs/>
      <w:noProof/>
      <w:color w:val="0063A5" w:themeColor="text2"/>
    </w:rPr>
  </w:style>
  <w:style w:type="paragraph" w:styleId="TOC3">
    <w:name w:val="toc 3"/>
    <w:basedOn w:val="TOC2"/>
    <w:next w:val="Normal"/>
    <w:uiPriority w:val="39"/>
    <w:rsid w:val="0065503B"/>
    <w:pPr>
      <w:spacing w:before="0" w:line="280" w:lineRule="atLeast"/>
    </w:pPr>
    <w:rPr>
      <w:b/>
      <w:bCs w:val="0"/>
      <w:color w:val="000000" w:themeColor="text1"/>
    </w:rPr>
  </w:style>
  <w:style w:type="paragraph" w:styleId="Index1">
    <w:name w:val="index 1"/>
    <w:basedOn w:val="Normal"/>
    <w:next w:val="Normal"/>
    <w:uiPriority w:val="1"/>
    <w:semiHidden/>
    <w:rsid w:val="0065503B"/>
    <w:pPr>
      <w:spacing w:after="60" w:line="240" w:lineRule="auto"/>
    </w:pPr>
    <w:rPr>
      <w:sz w:val="16"/>
    </w:rPr>
  </w:style>
  <w:style w:type="paragraph" w:styleId="Index2">
    <w:name w:val="index 2"/>
    <w:basedOn w:val="Normal"/>
    <w:next w:val="Normal"/>
    <w:uiPriority w:val="1"/>
    <w:semiHidden/>
    <w:rsid w:val="0065503B"/>
    <w:pPr>
      <w:spacing w:after="0" w:line="240" w:lineRule="auto"/>
      <w:ind w:left="216"/>
    </w:pPr>
    <w:rPr>
      <w:sz w:val="16"/>
      <w:szCs w:val="16"/>
    </w:rPr>
  </w:style>
  <w:style w:type="character" w:styleId="Hyperlink">
    <w:name w:val="Hyperlink"/>
    <w:basedOn w:val="DefaultParagraphFont"/>
    <w:uiPriority w:val="99"/>
    <w:rsid w:val="0065503B"/>
    <w:rPr>
      <w:color w:val="004C97"/>
      <w:u w:val="single"/>
    </w:rPr>
  </w:style>
  <w:style w:type="character" w:customStyle="1" w:styleId="Heading1Char">
    <w:name w:val="Heading 1 Char"/>
    <w:basedOn w:val="DefaultParagraphFont"/>
    <w:link w:val="Heading1"/>
    <w:rsid w:val="0092445D"/>
    <w:rPr>
      <w:rFonts w:ascii="Arial" w:eastAsiaTheme="majorEastAsia" w:hAnsi="Arial" w:cstheme="majorBidi"/>
      <w:b/>
      <w:color w:val="0063A5" w:themeColor="text2"/>
      <w:sz w:val="48"/>
      <w:szCs w:val="44"/>
    </w:rPr>
  </w:style>
  <w:style w:type="character" w:customStyle="1" w:styleId="Heading2Char">
    <w:name w:val="Heading 2 Char"/>
    <w:basedOn w:val="DefaultParagraphFont"/>
    <w:link w:val="Heading2"/>
    <w:rsid w:val="0092445D"/>
    <w:rPr>
      <w:rFonts w:ascii="Arial" w:eastAsiaTheme="majorEastAsia" w:hAnsi="Arial" w:cstheme="majorBidi"/>
      <w:b/>
      <w:sz w:val="24"/>
      <w:szCs w:val="24"/>
    </w:rPr>
  </w:style>
  <w:style w:type="paragraph" w:customStyle="1" w:styleId="SCVbullet1">
    <w:name w:val="SCV bullet 1"/>
    <w:basedOn w:val="SCVbody"/>
    <w:uiPriority w:val="9"/>
    <w:qFormat/>
    <w:rsid w:val="0092445D"/>
    <w:pPr>
      <w:numPr>
        <w:numId w:val="26"/>
      </w:numPr>
      <w:spacing w:before="60" w:after="60"/>
    </w:pPr>
  </w:style>
  <w:style w:type="paragraph" w:customStyle="1" w:styleId="SCVbullet2">
    <w:name w:val="SCV bullet 2"/>
    <w:basedOn w:val="SCVbullet1"/>
    <w:uiPriority w:val="9"/>
    <w:qFormat/>
    <w:rsid w:val="00EA5B68"/>
    <w:pPr>
      <w:numPr>
        <w:ilvl w:val="1"/>
      </w:numPr>
    </w:pPr>
  </w:style>
  <w:style w:type="paragraph" w:styleId="Quote">
    <w:name w:val="Quote"/>
    <w:basedOn w:val="Normal"/>
    <w:next w:val="Normal"/>
    <w:link w:val="QuoteChar"/>
    <w:uiPriority w:val="1"/>
    <w:semiHidden/>
    <w:qFormat/>
    <w:rsid w:val="0065503B"/>
    <w:pPr>
      <w:ind w:left="567" w:right="567"/>
      <w:jc w:val="center"/>
    </w:pPr>
    <w:rPr>
      <w:i/>
      <w:iCs/>
      <w:color w:val="000000" w:themeColor="text1"/>
    </w:rPr>
  </w:style>
  <w:style w:type="paragraph" w:customStyle="1" w:styleId="SCVbody">
    <w:name w:val="SCV body"/>
    <w:basedOn w:val="Normal"/>
    <w:link w:val="SCVbodyChar"/>
    <w:qFormat/>
    <w:rsid w:val="0092445D"/>
    <w:pPr>
      <w:spacing w:line="280" w:lineRule="atLeast"/>
    </w:pPr>
    <w:rPr>
      <w:rFonts w:ascii="Arial" w:hAnsi="Arial"/>
      <w:szCs w:val="19"/>
    </w:rPr>
  </w:style>
  <w:style w:type="paragraph" w:customStyle="1" w:styleId="SCVfigurecaption">
    <w:name w:val="SCV figure caption"/>
    <w:basedOn w:val="SCVtablecaption"/>
    <w:uiPriority w:val="14"/>
    <w:qFormat/>
    <w:rsid w:val="0065503B"/>
    <w:pPr>
      <w:spacing w:before="300"/>
    </w:pPr>
  </w:style>
  <w:style w:type="paragraph" w:customStyle="1" w:styleId="SCVbodyafterheading">
    <w:name w:val="SCV body after heading"/>
    <w:basedOn w:val="SCVbody"/>
    <w:qFormat/>
    <w:rsid w:val="0092445D"/>
    <w:pPr>
      <w:spacing w:before="0"/>
    </w:pPr>
  </w:style>
  <w:style w:type="character" w:customStyle="1" w:styleId="Heading3Char">
    <w:name w:val="Heading 3 Char"/>
    <w:basedOn w:val="DefaultParagraphFont"/>
    <w:link w:val="Heading3"/>
    <w:rsid w:val="0065503B"/>
    <w:rPr>
      <w:rFonts w:asciiTheme="majorHAnsi" w:eastAsiaTheme="majorEastAsia" w:hAnsiTheme="majorHAnsi" w:cstheme="majorBidi"/>
      <w:color w:val="0063A5" w:themeColor="text2"/>
      <w:sz w:val="23"/>
      <w:szCs w:val="23"/>
    </w:rPr>
  </w:style>
  <w:style w:type="numbering" w:customStyle="1" w:styleId="ZZBullets">
    <w:name w:val="ZZ Bullets"/>
    <w:basedOn w:val="NoList"/>
    <w:uiPriority w:val="99"/>
    <w:rsid w:val="00EA5B68"/>
    <w:pPr>
      <w:numPr>
        <w:numId w:val="6"/>
      </w:numPr>
    </w:pPr>
  </w:style>
  <w:style w:type="character" w:customStyle="1" w:styleId="Heading4Char">
    <w:name w:val="Heading 4 Char"/>
    <w:basedOn w:val="DefaultParagraphFont"/>
    <w:link w:val="Heading4"/>
    <w:rsid w:val="0092445D"/>
    <w:rPr>
      <w:rFonts w:ascii="Arial" w:eastAsiaTheme="majorEastAsia" w:hAnsi="Arial" w:cstheme="majorBidi"/>
      <w:b/>
      <w:iCs/>
      <w:color w:val="000000" w:themeColor="text1"/>
    </w:rPr>
  </w:style>
  <w:style w:type="paragraph" w:customStyle="1" w:styleId="SCVreporttitle">
    <w:name w:val="SCV report title"/>
    <w:uiPriority w:val="29"/>
    <w:rsid w:val="0065503B"/>
    <w:pPr>
      <w:keepLines/>
      <w:pBdr>
        <w:top w:val="single" w:sz="24" w:space="24" w:color="CCCCD0"/>
      </w:pBdr>
      <w:suppressAutoHyphens/>
      <w:spacing w:before="480" w:line="216" w:lineRule="auto"/>
    </w:pPr>
    <w:rPr>
      <w:rFonts w:asciiTheme="majorHAnsi" w:eastAsia="Times New Roman" w:hAnsiTheme="majorHAnsi" w:cstheme="majorHAnsi"/>
      <w:bCs/>
      <w:color w:val="FFFFFF" w:themeColor="background1"/>
      <w:spacing w:val="-2"/>
      <w:sz w:val="72"/>
      <w:szCs w:val="72"/>
    </w:rPr>
  </w:style>
  <w:style w:type="paragraph" w:customStyle="1" w:styleId="SCVtablefigurenote">
    <w:name w:val="SCV table/figure note"/>
    <w:basedOn w:val="Normal"/>
    <w:uiPriority w:val="29"/>
    <w:rsid w:val="0092445D"/>
    <w:pPr>
      <w:spacing w:before="80" w:after="80" w:line="264" w:lineRule="auto"/>
    </w:pPr>
    <w:rPr>
      <w:rFonts w:ascii="Arial" w:hAnsi="Arial"/>
      <w:sz w:val="17"/>
      <w:szCs w:val="17"/>
    </w:rPr>
  </w:style>
  <w:style w:type="paragraph" w:customStyle="1" w:styleId="Spacer">
    <w:name w:val="Spacer"/>
    <w:basedOn w:val="Normal"/>
    <w:uiPriority w:val="1"/>
    <w:semiHidden/>
    <w:qFormat/>
    <w:rsid w:val="0065503B"/>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65503B"/>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65503B"/>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65503B"/>
    <w:pPr>
      <w:spacing w:after="100"/>
      <w:ind w:left="600"/>
    </w:pPr>
  </w:style>
  <w:style w:type="paragraph" w:styleId="Title">
    <w:name w:val="Title"/>
    <w:next w:val="Subtitle"/>
    <w:link w:val="TitleChar"/>
    <w:uiPriority w:val="99"/>
    <w:semiHidden/>
    <w:rsid w:val="0065503B"/>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63A5" w:themeColor="text2"/>
      <w:spacing w:val="-2"/>
      <w:sz w:val="76"/>
      <w:szCs w:val="22"/>
    </w:rPr>
  </w:style>
  <w:style w:type="character" w:customStyle="1" w:styleId="TitleChar">
    <w:name w:val="Title Char"/>
    <w:basedOn w:val="DefaultParagraphFont"/>
    <w:link w:val="Title"/>
    <w:uiPriority w:val="99"/>
    <w:semiHidden/>
    <w:rsid w:val="0065503B"/>
    <w:rPr>
      <w:rFonts w:asciiTheme="majorHAnsi" w:eastAsia="Times New Roman" w:hAnsiTheme="majorHAnsi" w:cstheme="majorHAnsi"/>
      <w:b/>
      <w:color w:val="0063A5" w:themeColor="text2"/>
      <w:spacing w:val="-2"/>
      <w:sz w:val="76"/>
      <w:szCs w:val="22"/>
    </w:rPr>
  </w:style>
  <w:style w:type="paragraph" w:styleId="BalloonText">
    <w:name w:val="Balloon Text"/>
    <w:basedOn w:val="Normal"/>
    <w:link w:val="BalloonTextChar"/>
    <w:uiPriority w:val="1"/>
    <w:semiHidden/>
    <w:rsid w:val="00655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65503B"/>
    <w:rPr>
      <w:rFonts w:ascii="Tahoma" w:hAnsi="Tahoma" w:cs="Tahoma"/>
      <w:sz w:val="16"/>
      <w:szCs w:val="16"/>
    </w:rPr>
  </w:style>
  <w:style w:type="character" w:customStyle="1" w:styleId="QuoteChar">
    <w:name w:val="Quote Char"/>
    <w:basedOn w:val="DefaultParagraphFont"/>
    <w:link w:val="Quote"/>
    <w:uiPriority w:val="1"/>
    <w:semiHidden/>
    <w:rsid w:val="0065503B"/>
    <w:rPr>
      <w:i/>
      <w:iCs/>
      <w:color w:val="000000" w:themeColor="text1"/>
    </w:rPr>
  </w:style>
  <w:style w:type="paragraph" w:styleId="IndexHeading">
    <w:name w:val="index heading"/>
    <w:basedOn w:val="Normal"/>
    <w:next w:val="Index1"/>
    <w:uiPriority w:val="1"/>
    <w:semiHidden/>
    <w:rsid w:val="0065503B"/>
    <w:rPr>
      <w:rFonts w:asciiTheme="majorHAnsi" w:eastAsiaTheme="majorEastAsia" w:hAnsiTheme="majorHAnsi" w:cstheme="majorBidi"/>
      <w:b/>
      <w:bCs/>
    </w:rPr>
  </w:style>
  <w:style w:type="paragraph" w:styleId="Header">
    <w:name w:val="header"/>
    <w:basedOn w:val="Normal"/>
    <w:link w:val="HeaderChar"/>
    <w:uiPriority w:val="99"/>
    <w:rsid w:val="0065503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65503B"/>
  </w:style>
  <w:style w:type="paragraph" w:styleId="Footer">
    <w:name w:val="footer"/>
    <w:basedOn w:val="Normal"/>
    <w:link w:val="FooterChar"/>
    <w:uiPriority w:val="99"/>
    <w:rsid w:val="0065503B"/>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65503B"/>
    <w:rPr>
      <w:noProof/>
      <w:sz w:val="13"/>
      <w:szCs w:val="18"/>
    </w:rPr>
  </w:style>
  <w:style w:type="character" w:styleId="PageNumber">
    <w:name w:val="page number"/>
    <w:uiPriority w:val="1"/>
    <w:semiHidden/>
    <w:rsid w:val="0065503B"/>
    <w:rPr>
      <w:rFonts w:asciiTheme="minorHAnsi" w:hAnsiTheme="minorHAnsi"/>
      <w:b w:val="0"/>
      <w:color w:val="000000" w:themeColor="text1"/>
    </w:rPr>
  </w:style>
  <w:style w:type="paragraph" w:styleId="TOCHeading">
    <w:name w:val="TOC Heading"/>
    <w:basedOn w:val="Heading1"/>
    <w:next w:val="Normal"/>
    <w:uiPriority w:val="99"/>
    <w:semiHidden/>
    <w:rsid w:val="0065503B"/>
    <w:pPr>
      <w:outlineLvl w:val="9"/>
    </w:pPr>
    <w:rPr>
      <w:spacing w:val="2"/>
    </w:rPr>
  </w:style>
  <w:style w:type="paragraph" w:customStyle="1" w:styleId="NormalTight">
    <w:name w:val="Normal Tight"/>
    <w:uiPriority w:val="1"/>
    <w:semiHidden/>
    <w:rsid w:val="0065503B"/>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65503B"/>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65503B"/>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65503B"/>
    <w:pPr>
      <w:spacing w:before="5800"/>
      <w:ind w:right="1382"/>
    </w:pPr>
  </w:style>
  <w:style w:type="table" w:styleId="ColorfulGrid">
    <w:name w:val="Colorful Grid"/>
    <w:basedOn w:val="TableNormal"/>
    <w:uiPriority w:val="73"/>
    <w:semiHidden/>
    <w:rsid w:val="0065503B"/>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65503B"/>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E7F1" w:themeFill="accent1" w:themeFillTint="33"/>
    </w:tcPr>
    <w:tblStylePr w:type="firstRow">
      <w:rPr>
        <w:b/>
        <w:bCs/>
      </w:rPr>
      <w:tblPr/>
      <w:tcPr>
        <w:shd w:val="clear" w:color="auto" w:fill="B1D0E4" w:themeFill="accent1" w:themeFillTint="66"/>
      </w:tcPr>
    </w:tblStylePr>
    <w:tblStylePr w:type="lastRow">
      <w:rPr>
        <w:b/>
        <w:bCs/>
        <w:color w:val="000000" w:themeColor="text1"/>
      </w:rPr>
      <w:tblPr/>
      <w:tcPr>
        <w:shd w:val="clear" w:color="auto" w:fill="B1D0E4" w:themeFill="accent1" w:themeFillTint="66"/>
      </w:tcPr>
    </w:tblStylePr>
    <w:tblStylePr w:type="firstCol">
      <w:rPr>
        <w:color w:val="FFFFFF" w:themeColor="background1"/>
      </w:rPr>
      <w:tblPr/>
      <w:tcPr>
        <w:shd w:val="clear" w:color="auto" w:fill="30678C" w:themeFill="accent1" w:themeFillShade="BF"/>
      </w:tcPr>
    </w:tblStylePr>
    <w:tblStylePr w:type="lastCol">
      <w:rPr>
        <w:color w:val="FFFFFF" w:themeColor="background1"/>
      </w:rPr>
      <w:tblPr/>
      <w:tcPr>
        <w:shd w:val="clear" w:color="auto" w:fill="30678C" w:themeFill="accent1" w:themeFillShade="BF"/>
      </w:tc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paragraph" w:customStyle="1" w:styleId="SCVreportsubtitle">
    <w:name w:val="SCV report subtitle"/>
    <w:uiPriority w:val="29"/>
    <w:rsid w:val="0065503B"/>
    <w:pPr>
      <w:keepLines/>
      <w:spacing w:before="0" w:line="240" w:lineRule="auto"/>
    </w:pPr>
    <w:rPr>
      <w:rFonts w:eastAsia="Times New Roman" w:cstheme="majorHAnsi"/>
      <w:color w:val="FFFFFF" w:themeColor="background1"/>
      <w:sz w:val="48"/>
      <w:szCs w:val="48"/>
    </w:rPr>
  </w:style>
  <w:style w:type="paragraph" w:customStyle="1" w:styleId="SCVfooterempty">
    <w:name w:val="SCV footer empty"/>
    <w:basedOn w:val="SCVfooter"/>
    <w:uiPriority w:val="98"/>
    <w:rsid w:val="0065503B"/>
    <w:pPr>
      <w:pBdr>
        <w:top w:val="none" w:sz="0" w:space="0" w:color="auto"/>
      </w:pBdr>
    </w:pPr>
    <w:rPr>
      <w:noProof w:val="0"/>
    </w:rPr>
  </w:style>
  <w:style w:type="paragraph" w:customStyle="1" w:styleId="SCVheaderempty">
    <w:name w:val="SCV header empty"/>
    <w:basedOn w:val="SCVfooterempty"/>
    <w:uiPriority w:val="1"/>
    <w:rsid w:val="0065503B"/>
  </w:style>
  <w:style w:type="paragraph" w:styleId="ListParagraph">
    <w:name w:val="List Paragraph"/>
    <w:basedOn w:val="Normal"/>
    <w:uiPriority w:val="34"/>
    <w:semiHidden/>
    <w:qFormat/>
    <w:rsid w:val="0065503B"/>
    <w:pPr>
      <w:ind w:left="720"/>
      <w:contextualSpacing/>
    </w:pPr>
  </w:style>
  <w:style w:type="paragraph" w:styleId="FootnoteText">
    <w:name w:val="footnote text"/>
    <w:basedOn w:val="Normal"/>
    <w:link w:val="FootnoteTextChar"/>
    <w:uiPriority w:val="8"/>
    <w:rsid w:val="0065503B"/>
    <w:pPr>
      <w:spacing w:before="0" w:after="60" w:line="288" w:lineRule="auto"/>
    </w:pPr>
    <w:rPr>
      <w:sz w:val="17"/>
      <w:szCs w:val="17"/>
    </w:rPr>
  </w:style>
  <w:style w:type="character" w:customStyle="1" w:styleId="FootnoteTextChar">
    <w:name w:val="Footnote Text Char"/>
    <w:basedOn w:val="DefaultParagraphFont"/>
    <w:link w:val="FootnoteText"/>
    <w:uiPriority w:val="8"/>
    <w:rsid w:val="0065503B"/>
    <w:rPr>
      <w:sz w:val="17"/>
      <w:szCs w:val="17"/>
    </w:rPr>
  </w:style>
  <w:style w:type="character" w:styleId="FootnoteReference">
    <w:name w:val="footnote reference"/>
    <w:basedOn w:val="DefaultParagraphFont"/>
    <w:uiPriority w:val="8"/>
    <w:rsid w:val="0065503B"/>
    <w:rPr>
      <w:vertAlign w:val="superscript"/>
    </w:rPr>
  </w:style>
  <w:style w:type="table" w:styleId="ColorfulGrid-Accent2">
    <w:name w:val="Colorful Grid Accent 2"/>
    <w:basedOn w:val="TableNormal"/>
    <w:uiPriority w:val="73"/>
    <w:semiHidden/>
    <w:rsid w:val="0065503B"/>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FF6" w:themeFill="accent2" w:themeFillTint="33"/>
    </w:tcPr>
    <w:tblStylePr w:type="firstRow">
      <w:rPr>
        <w:b/>
        <w:bCs/>
      </w:rPr>
      <w:tblPr/>
      <w:tcPr>
        <w:shd w:val="clear" w:color="auto" w:fill="CCDFED" w:themeFill="accent2" w:themeFillTint="66"/>
      </w:tcPr>
    </w:tblStylePr>
    <w:tblStylePr w:type="lastRow">
      <w:rPr>
        <w:b/>
        <w:bCs/>
        <w:color w:val="000000" w:themeColor="text1"/>
      </w:rPr>
      <w:tblPr/>
      <w:tcPr>
        <w:shd w:val="clear" w:color="auto" w:fill="CCDFED" w:themeFill="accent2" w:themeFillTint="66"/>
      </w:tcPr>
    </w:tblStylePr>
    <w:tblStylePr w:type="firstCol">
      <w:rPr>
        <w:color w:val="FFFFFF" w:themeColor="background1"/>
      </w:rPr>
      <w:tblPr/>
      <w:tcPr>
        <w:shd w:val="clear" w:color="auto" w:fill="428ABA" w:themeFill="accent2" w:themeFillShade="BF"/>
      </w:tcPr>
    </w:tblStylePr>
    <w:tblStylePr w:type="lastCol">
      <w:rPr>
        <w:color w:val="FFFFFF" w:themeColor="background1"/>
      </w:rPr>
      <w:tblPr/>
      <w:tcPr>
        <w:shd w:val="clear" w:color="auto" w:fill="428ABA" w:themeFill="accent2" w:themeFillShade="BF"/>
      </w:tc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ColorfulGrid-Accent3">
    <w:name w:val="Colorful Grid Accent 3"/>
    <w:basedOn w:val="TableNormal"/>
    <w:uiPriority w:val="73"/>
    <w:semiHidden/>
    <w:rsid w:val="0065503B"/>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7FA" w:themeFill="accent3" w:themeFillTint="33"/>
    </w:tcPr>
    <w:tblStylePr w:type="firstRow">
      <w:rPr>
        <w:b/>
        <w:bCs/>
      </w:rPr>
      <w:tblPr/>
      <w:tcPr>
        <w:shd w:val="clear" w:color="auto" w:fill="E5EFF5" w:themeFill="accent3" w:themeFillTint="66"/>
      </w:tcPr>
    </w:tblStylePr>
    <w:tblStylePr w:type="lastRow">
      <w:rPr>
        <w:b/>
        <w:bCs/>
        <w:color w:val="000000" w:themeColor="text1"/>
      </w:rPr>
      <w:tblPr/>
      <w:tcPr>
        <w:shd w:val="clear" w:color="auto" w:fill="E5EFF5" w:themeFill="accent3" w:themeFillTint="66"/>
      </w:tcPr>
    </w:tblStylePr>
    <w:tblStylePr w:type="firstCol">
      <w:rPr>
        <w:color w:val="FFFFFF" w:themeColor="background1"/>
      </w:rPr>
      <w:tblPr/>
      <w:tcPr>
        <w:shd w:val="clear" w:color="auto" w:fill="70A8CC" w:themeFill="accent3" w:themeFillShade="BF"/>
      </w:tcPr>
    </w:tblStylePr>
    <w:tblStylePr w:type="lastCol">
      <w:rPr>
        <w:color w:val="FFFFFF" w:themeColor="background1"/>
      </w:rPr>
      <w:tblPr/>
      <w:tcPr>
        <w:shd w:val="clear" w:color="auto" w:fill="70A8CC" w:themeFill="accent3" w:themeFillShade="BF"/>
      </w:tc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paragraph" w:styleId="Caption">
    <w:name w:val="caption"/>
    <w:basedOn w:val="Normal"/>
    <w:next w:val="Normal"/>
    <w:uiPriority w:val="1"/>
    <w:semiHidden/>
    <w:rsid w:val="0065503B"/>
    <w:pPr>
      <w:spacing w:before="280" w:after="210" w:line="260" w:lineRule="atLeast"/>
    </w:pPr>
    <w:rPr>
      <w:b/>
      <w:bCs/>
      <w:color w:val="0063A5" w:themeColor="text2"/>
      <w:szCs w:val="18"/>
    </w:rPr>
  </w:style>
  <w:style w:type="paragraph" w:customStyle="1" w:styleId="SCVtablecaption">
    <w:name w:val="SCV table caption"/>
    <w:next w:val="SCVbody"/>
    <w:uiPriority w:val="20"/>
    <w:qFormat/>
    <w:rsid w:val="0092445D"/>
    <w:pPr>
      <w:keepNext/>
      <w:tabs>
        <w:tab w:val="left" w:pos="1080"/>
      </w:tabs>
      <w:spacing w:before="280" w:after="120" w:line="264" w:lineRule="auto"/>
    </w:pPr>
    <w:rPr>
      <w:rFonts w:ascii="Arial" w:hAnsi="Arial"/>
      <w:b/>
      <w:color w:val="0063A5" w:themeColor="text2"/>
      <w:spacing w:val="2"/>
      <w:szCs w:val="18"/>
    </w:rPr>
  </w:style>
  <w:style w:type="character" w:styleId="PlaceholderText">
    <w:name w:val="Placeholder Text"/>
    <w:basedOn w:val="DefaultParagraphFont"/>
    <w:uiPriority w:val="1"/>
    <w:semiHidden/>
    <w:rsid w:val="0065503B"/>
    <w:rPr>
      <w:color w:val="808080"/>
    </w:rPr>
  </w:style>
  <w:style w:type="paragraph" w:customStyle="1" w:styleId="SCVfooterodd">
    <w:name w:val="SCV footer odd"/>
    <w:basedOn w:val="SCVfootereven"/>
    <w:uiPriority w:val="99"/>
    <w:rsid w:val="0065503B"/>
    <w:pPr>
      <w:jc w:val="right"/>
    </w:pPr>
  </w:style>
  <w:style w:type="paragraph" w:customStyle="1" w:styleId="SCVfootereven">
    <w:name w:val="SCV footer even"/>
    <w:basedOn w:val="Footer"/>
    <w:uiPriority w:val="99"/>
    <w:rsid w:val="0065503B"/>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92445D"/>
    <w:pPr>
      <w:spacing w:before="400" w:after="240" w:line="280" w:lineRule="atLeast"/>
    </w:pPr>
    <w:rPr>
      <w:rFonts w:ascii="Arial" w:hAnsi="Arial"/>
      <w:b/>
      <w:bCs/>
      <w:color w:val="0063A5" w:themeColor="text2"/>
      <w:sz w:val="22"/>
    </w:rPr>
  </w:style>
  <w:style w:type="paragraph" w:styleId="NoSpacing">
    <w:name w:val="No Spacing"/>
    <w:uiPriority w:val="1"/>
    <w:semiHidden/>
    <w:qFormat/>
    <w:rsid w:val="0065503B"/>
    <w:pPr>
      <w:spacing w:before="0" w:after="0" w:line="240" w:lineRule="auto"/>
    </w:pPr>
  </w:style>
  <w:style w:type="table" w:styleId="ColorfulGrid-Accent4">
    <w:name w:val="Colorful Grid Accent 4"/>
    <w:basedOn w:val="TableNormal"/>
    <w:uiPriority w:val="73"/>
    <w:semiHidden/>
    <w:rsid w:val="0065503B"/>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65503B"/>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65503B"/>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65503B"/>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65503B"/>
    <w:pPr>
      <w:spacing w:before="0" w:after="0" w:line="240" w:lineRule="auto"/>
    </w:pPr>
    <w:rPr>
      <w:color w:val="000000" w:themeColor="text1"/>
    </w:rPr>
    <w:tblPr>
      <w:tblStyleRowBandSize w:val="1"/>
      <w:tblStyleColBandSize w:val="1"/>
    </w:tblPr>
    <w:tcPr>
      <w:shd w:val="clear" w:color="auto" w:fill="EBF3F8" w:themeFill="accen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2EE" w:themeFill="accent1" w:themeFillTint="3F"/>
      </w:tcPr>
    </w:tblStylePr>
    <w:tblStylePr w:type="band1Horz">
      <w:tblPr/>
      <w:tcPr>
        <w:shd w:val="clear" w:color="auto" w:fill="D8E7F1" w:themeFill="accent1" w:themeFillTint="33"/>
      </w:tcPr>
    </w:tblStylePr>
  </w:style>
  <w:style w:type="table" w:styleId="ColorfulList-Accent2">
    <w:name w:val="Colorful List Accent 2"/>
    <w:basedOn w:val="TableNormal"/>
    <w:uiPriority w:val="72"/>
    <w:semiHidden/>
    <w:rsid w:val="0065503B"/>
    <w:pPr>
      <w:spacing w:before="0" w:after="0" w:line="240" w:lineRule="auto"/>
    </w:pPr>
    <w:rPr>
      <w:color w:val="000000" w:themeColor="text1"/>
    </w:rPr>
    <w:tblPr>
      <w:tblStyleRowBandSize w:val="1"/>
      <w:tblStyleColBandSize w:val="1"/>
    </w:tblPr>
    <w:tcPr>
      <w:shd w:val="clear" w:color="auto" w:fill="F2F7FA" w:themeFill="accent2"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BF3" w:themeFill="accent2" w:themeFillTint="3F"/>
      </w:tcPr>
    </w:tblStylePr>
    <w:tblStylePr w:type="band1Horz">
      <w:tblPr/>
      <w:tcPr>
        <w:shd w:val="clear" w:color="auto" w:fill="E5EFF6" w:themeFill="accent2" w:themeFillTint="33"/>
      </w:tcPr>
    </w:tblStylePr>
  </w:style>
  <w:style w:type="table" w:styleId="ColorfulList-Accent3">
    <w:name w:val="Colorful List Accent 3"/>
    <w:basedOn w:val="TableNormal"/>
    <w:uiPriority w:val="72"/>
    <w:semiHidden/>
    <w:rsid w:val="0065503B"/>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5F9" w:themeFill="accent3" w:themeFillTint="3F"/>
      </w:tcPr>
    </w:tblStylePr>
    <w:tblStylePr w:type="band1Horz">
      <w:tblPr/>
      <w:tcPr>
        <w:shd w:val="clear" w:color="auto" w:fill="F2F7FA" w:themeFill="accent3" w:themeFillTint="33"/>
      </w:tcPr>
    </w:tblStylePr>
  </w:style>
  <w:style w:type="table" w:styleId="ColorfulList-Accent4">
    <w:name w:val="Colorful List Accent 4"/>
    <w:basedOn w:val="TableNormal"/>
    <w:uiPriority w:val="72"/>
    <w:semiHidden/>
    <w:rsid w:val="0065503B"/>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0B1D1" w:themeFill="accent3" w:themeFillShade="CC"/>
      </w:tcPr>
    </w:tblStylePr>
    <w:tblStylePr w:type="lastRow">
      <w:rPr>
        <w:b/>
        <w:bCs/>
        <w:color w:val="80B1D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65503B"/>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65503B"/>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65503B"/>
    <w:pPr>
      <w:spacing w:before="0" w:after="0" w:line="240" w:lineRule="auto"/>
    </w:pPr>
    <w:rPr>
      <w:color w:val="000000" w:themeColor="text1"/>
    </w:rPr>
    <w:tblPr>
      <w:tblStyleRowBandSize w:val="1"/>
      <w:tblStyleColBandSize w:val="1"/>
      <w:tblBorders>
        <w:top w:val="single" w:sz="24" w:space="0" w:color="80B1D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65503B"/>
    <w:pPr>
      <w:spacing w:before="0" w:after="0" w:line="240" w:lineRule="auto"/>
    </w:pPr>
    <w:rPr>
      <w:color w:val="000000" w:themeColor="text1"/>
    </w:rPr>
    <w:tblPr>
      <w:tblStyleRowBandSize w:val="1"/>
      <w:tblStyleColBandSize w:val="1"/>
      <w:tblBorders>
        <w:top w:val="single" w:sz="24" w:space="0" w:color="80B1D2" w:themeColor="accent2"/>
        <w:left w:val="single" w:sz="4" w:space="0" w:color="408ABB" w:themeColor="accent1"/>
        <w:bottom w:val="single" w:sz="4" w:space="0" w:color="408ABB" w:themeColor="accent1"/>
        <w:right w:val="single" w:sz="4" w:space="0" w:color="408ABB" w:themeColor="accent1"/>
        <w:insideH w:val="single" w:sz="4" w:space="0" w:color="FFFFFF" w:themeColor="background1"/>
        <w:insideV w:val="single" w:sz="4" w:space="0" w:color="FFFFFF" w:themeColor="background1"/>
      </w:tblBorders>
    </w:tblPr>
    <w:tcPr>
      <w:shd w:val="clear" w:color="auto" w:fill="EBF3F8" w:themeFill="accen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26F" w:themeFill="accent1" w:themeFillShade="99"/>
      </w:tcPr>
    </w:tblStylePr>
    <w:tblStylePr w:type="firstCol">
      <w:rPr>
        <w:color w:val="FFFFFF" w:themeColor="background1"/>
      </w:rPr>
      <w:tblPr/>
      <w:tcPr>
        <w:tcBorders>
          <w:top w:val="nil"/>
          <w:left w:val="nil"/>
          <w:bottom w:val="nil"/>
          <w:right w:val="nil"/>
          <w:insideH w:val="single" w:sz="4" w:space="0" w:color="26526F" w:themeColor="accent1" w:themeShade="99"/>
          <w:insideV w:val="nil"/>
        </w:tcBorders>
        <w:shd w:val="clear" w:color="auto" w:fill="2652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26F" w:themeFill="accent1" w:themeFillShade="99"/>
      </w:tcPr>
    </w:tblStylePr>
    <w:tblStylePr w:type="band1Vert">
      <w:tblPr/>
      <w:tcPr>
        <w:shd w:val="clear" w:color="auto" w:fill="B1D0E4" w:themeFill="accent1" w:themeFillTint="66"/>
      </w:tcPr>
    </w:tblStylePr>
    <w:tblStylePr w:type="band1Horz">
      <w:tblPr/>
      <w:tcPr>
        <w:shd w:val="clear" w:color="auto" w:fill="9EC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65503B"/>
    <w:pPr>
      <w:spacing w:before="0" w:after="0" w:line="240" w:lineRule="auto"/>
    </w:pPr>
    <w:rPr>
      <w:color w:val="000000" w:themeColor="text1"/>
    </w:rPr>
    <w:tblPr>
      <w:tblStyleRowBandSize w:val="1"/>
      <w:tblStyleColBandSize w:val="1"/>
      <w:tblBorders>
        <w:top w:val="single" w:sz="24" w:space="0" w:color="80B1D2" w:themeColor="accent2"/>
        <w:left w:val="single" w:sz="4" w:space="0" w:color="80B1D2" w:themeColor="accent2"/>
        <w:bottom w:val="single" w:sz="4" w:space="0" w:color="80B1D2" w:themeColor="accent2"/>
        <w:right w:val="single" w:sz="4" w:space="0" w:color="80B1D2" w:themeColor="accent2"/>
        <w:insideH w:val="single" w:sz="4" w:space="0" w:color="FFFFFF" w:themeColor="background1"/>
        <w:insideV w:val="single" w:sz="4" w:space="0" w:color="FFFFFF" w:themeColor="background1"/>
      </w:tblBorders>
    </w:tblPr>
    <w:tcPr>
      <w:shd w:val="clear" w:color="auto" w:fill="F2F7FA" w:themeFill="accent2"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E95" w:themeFill="accent2" w:themeFillShade="99"/>
      </w:tcPr>
    </w:tblStylePr>
    <w:tblStylePr w:type="firstCol">
      <w:rPr>
        <w:color w:val="FFFFFF" w:themeColor="background1"/>
      </w:rPr>
      <w:tblPr/>
      <w:tcPr>
        <w:tcBorders>
          <w:top w:val="nil"/>
          <w:left w:val="nil"/>
          <w:bottom w:val="nil"/>
          <w:right w:val="nil"/>
          <w:insideH w:val="single" w:sz="4" w:space="0" w:color="356E95" w:themeColor="accent2" w:themeShade="99"/>
          <w:insideV w:val="nil"/>
        </w:tcBorders>
        <w:shd w:val="clear" w:color="auto" w:fill="356E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6E95" w:themeFill="accent2" w:themeFillShade="99"/>
      </w:tcPr>
    </w:tblStylePr>
    <w:tblStylePr w:type="band1Vert">
      <w:tblPr/>
      <w:tcPr>
        <w:shd w:val="clear" w:color="auto" w:fill="CCDFED" w:themeFill="accent2" w:themeFillTint="66"/>
      </w:tcPr>
    </w:tblStylePr>
    <w:tblStylePr w:type="band1Horz">
      <w:tblPr/>
      <w:tcPr>
        <w:shd w:val="clear" w:color="auto" w:fill="BFD8E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65503B"/>
    <w:pPr>
      <w:spacing w:before="0" w:after="0" w:line="240" w:lineRule="auto"/>
    </w:pPr>
    <w:rPr>
      <w:color w:val="000000" w:themeColor="text1"/>
    </w:rPr>
    <w:tblPr>
      <w:tblStyleRowBandSize w:val="1"/>
      <w:tblStyleColBandSize w:val="1"/>
      <w:tblBorders>
        <w:top w:val="single" w:sz="24" w:space="0" w:color="404050" w:themeColor="accent4"/>
        <w:left w:val="single" w:sz="4" w:space="0" w:color="BFD8E8" w:themeColor="accent3"/>
        <w:bottom w:val="single" w:sz="4" w:space="0" w:color="BFD8E8" w:themeColor="accent3"/>
        <w:right w:val="single" w:sz="4" w:space="0" w:color="BFD8E8"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BBA" w:themeFill="accent3" w:themeFillShade="99"/>
      </w:tcPr>
    </w:tblStylePr>
    <w:tblStylePr w:type="firstCol">
      <w:rPr>
        <w:color w:val="FFFFFF" w:themeColor="background1"/>
      </w:rPr>
      <w:tblPr/>
      <w:tcPr>
        <w:tcBorders>
          <w:top w:val="nil"/>
          <w:left w:val="nil"/>
          <w:bottom w:val="nil"/>
          <w:right w:val="nil"/>
          <w:insideH w:val="single" w:sz="4" w:space="0" w:color="438BBA" w:themeColor="accent3" w:themeShade="99"/>
          <w:insideV w:val="nil"/>
        </w:tcBorders>
        <w:shd w:val="clear" w:color="auto" w:fill="438BB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38BBA" w:themeFill="accent3" w:themeFillShade="99"/>
      </w:tcPr>
    </w:tblStylePr>
    <w:tblStylePr w:type="band1Vert">
      <w:tblPr/>
      <w:tcPr>
        <w:shd w:val="clear" w:color="auto" w:fill="E5EFF5" w:themeFill="accent3" w:themeFillTint="66"/>
      </w:tcPr>
    </w:tblStylePr>
    <w:tblStylePr w:type="band1Horz">
      <w:tblPr/>
      <w:tcPr>
        <w:shd w:val="clear" w:color="auto" w:fill="DFEBF3" w:themeFill="accent3" w:themeFillTint="7F"/>
      </w:tcPr>
    </w:tblStylePr>
  </w:style>
  <w:style w:type="table" w:styleId="ColorfulShading-Accent4">
    <w:name w:val="Colorful Shading Accent 4"/>
    <w:basedOn w:val="TableNormal"/>
    <w:uiPriority w:val="71"/>
    <w:semiHidden/>
    <w:rsid w:val="0065503B"/>
    <w:pPr>
      <w:spacing w:before="0" w:after="0" w:line="240" w:lineRule="auto"/>
    </w:pPr>
    <w:rPr>
      <w:color w:val="000000" w:themeColor="text1"/>
    </w:rPr>
    <w:tblPr>
      <w:tblStyleRowBandSize w:val="1"/>
      <w:tblStyleColBandSize w:val="1"/>
      <w:tblBorders>
        <w:top w:val="single" w:sz="24" w:space="0" w:color="BFD8E8"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65503B"/>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65503B"/>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65503B"/>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65503B"/>
    <w:pPr>
      <w:spacing w:before="0" w:after="0" w:line="240" w:lineRule="auto"/>
    </w:pPr>
    <w:rPr>
      <w:color w:val="FFFFFF" w:themeColor="background1"/>
    </w:rPr>
    <w:tblPr>
      <w:tblStyleRowBandSize w:val="1"/>
      <w:tblStyleColBandSize w:val="1"/>
    </w:tblPr>
    <w:tcPr>
      <w:shd w:val="clear" w:color="auto" w:fill="408AB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4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67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678C" w:themeFill="accent1" w:themeFillShade="BF"/>
      </w:tcPr>
    </w:tblStylePr>
    <w:tblStylePr w:type="band1Vert">
      <w:tblPr/>
      <w:tcPr>
        <w:tcBorders>
          <w:top w:val="nil"/>
          <w:left w:val="nil"/>
          <w:bottom w:val="nil"/>
          <w:right w:val="nil"/>
          <w:insideH w:val="nil"/>
          <w:insideV w:val="nil"/>
        </w:tcBorders>
        <w:shd w:val="clear" w:color="auto" w:fill="30678C" w:themeFill="accent1" w:themeFillShade="BF"/>
      </w:tcPr>
    </w:tblStylePr>
    <w:tblStylePr w:type="band1Horz">
      <w:tblPr/>
      <w:tcPr>
        <w:tcBorders>
          <w:top w:val="nil"/>
          <w:left w:val="nil"/>
          <w:bottom w:val="nil"/>
          <w:right w:val="nil"/>
          <w:insideH w:val="nil"/>
          <w:insideV w:val="nil"/>
        </w:tcBorders>
        <w:shd w:val="clear" w:color="auto" w:fill="30678C" w:themeFill="accent1" w:themeFillShade="BF"/>
      </w:tcPr>
    </w:tblStylePr>
  </w:style>
  <w:style w:type="table" w:styleId="DarkList-Accent2">
    <w:name w:val="Dark List Accent 2"/>
    <w:basedOn w:val="TableNormal"/>
    <w:uiPriority w:val="70"/>
    <w:semiHidden/>
    <w:rsid w:val="0065503B"/>
    <w:pPr>
      <w:spacing w:before="0" w:after="0" w:line="240" w:lineRule="auto"/>
    </w:pPr>
    <w:rPr>
      <w:color w:val="FFFFFF" w:themeColor="background1"/>
    </w:rPr>
    <w:tblPr>
      <w:tblStyleRowBandSize w:val="1"/>
      <w:tblStyleColBandSize w:val="1"/>
    </w:tblPr>
    <w:tcPr>
      <w:shd w:val="clear" w:color="auto" w:fill="80B1D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B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8A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8ABA" w:themeFill="accent2" w:themeFillShade="BF"/>
      </w:tcPr>
    </w:tblStylePr>
    <w:tblStylePr w:type="band1Vert">
      <w:tblPr/>
      <w:tcPr>
        <w:tcBorders>
          <w:top w:val="nil"/>
          <w:left w:val="nil"/>
          <w:bottom w:val="nil"/>
          <w:right w:val="nil"/>
          <w:insideH w:val="nil"/>
          <w:insideV w:val="nil"/>
        </w:tcBorders>
        <w:shd w:val="clear" w:color="auto" w:fill="428ABA" w:themeFill="accent2" w:themeFillShade="BF"/>
      </w:tcPr>
    </w:tblStylePr>
    <w:tblStylePr w:type="band1Horz">
      <w:tblPr/>
      <w:tcPr>
        <w:tcBorders>
          <w:top w:val="nil"/>
          <w:left w:val="nil"/>
          <w:bottom w:val="nil"/>
          <w:right w:val="nil"/>
          <w:insideH w:val="nil"/>
          <w:insideV w:val="nil"/>
        </w:tcBorders>
        <w:shd w:val="clear" w:color="auto" w:fill="428ABA" w:themeFill="accent2" w:themeFillShade="BF"/>
      </w:tcPr>
    </w:tblStylePr>
  </w:style>
  <w:style w:type="table" w:styleId="DarkList-Accent3">
    <w:name w:val="Dark List Accent 3"/>
    <w:basedOn w:val="TableNormal"/>
    <w:uiPriority w:val="70"/>
    <w:semiHidden/>
    <w:rsid w:val="0065503B"/>
    <w:pPr>
      <w:spacing w:before="0" w:after="0" w:line="240" w:lineRule="auto"/>
    </w:pPr>
    <w:rPr>
      <w:color w:val="FFFFFF" w:themeColor="background1"/>
    </w:rPr>
    <w:tblPr>
      <w:tblStyleRowBandSize w:val="1"/>
      <w:tblStyleColBandSize w:val="1"/>
    </w:tblPr>
    <w:tcPr>
      <w:shd w:val="clear" w:color="auto" w:fill="BFD8E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749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A8C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A8CC" w:themeFill="accent3" w:themeFillShade="BF"/>
      </w:tcPr>
    </w:tblStylePr>
    <w:tblStylePr w:type="band1Vert">
      <w:tblPr/>
      <w:tcPr>
        <w:tcBorders>
          <w:top w:val="nil"/>
          <w:left w:val="nil"/>
          <w:bottom w:val="nil"/>
          <w:right w:val="nil"/>
          <w:insideH w:val="nil"/>
          <w:insideV w:val="nil"/>
        </w:tcBorders>
        <w:shd w:val="clear" w:color="auto" w:fill="70A8CC" w:themeFill="accent3" w:themeFillShade="BF"/>
      </w:tcPr>
    </w:tblStylePr>
    <w:tblStylePr w:type="band1Horz">
      <w:tblPr/>
      <w:tcPr>
        <w:tcBorders>
          <w:top w:val="nil"/>
          <w:left w:val="nil"/>
          <w:bottom w:val="nil"/>
          <w:right w:val="nil"/>
          <w:insideH w:val="nil"/>
          <w:insideV w:val="nil"/>
        </w:tcBorders>
        <w:shd w:val="clear" w:color="auto" w:fill="70A8CC" w:themeFill="accent3" w:themeFillShade="BF"/>
      </w:tcPr>
    </w:tblStylePr>
  </w:style>
  <w:style w:type="table" w:styleId="DarkList-Accent4">
    <w:name w:val="Dark List Accent 4"/>
    <w:basedOn w:val="TableNormal"/>
    <w:uiPriority w:val="70"/>
    <w:semiHidden/>
    <w:rsid w:val="0065503B"/>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65503B"/>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65503B"/>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65503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65503B"/>
    <w:pPr>
      <w:spacing w:after="0" w:line="240" w:lineRule="auto"/>
    </w:pPr>
    <w:tblPr>
      <w:tblStyleRowBandSize w:val="1"/>
      <w:tblStyleColBandSize w:val="1"/>
      <w:tblBorders>
        <w:top w:val="single" w:sz="4" w:space="0" w:color="B1D0E4" w:themeColor="accent1" w:themeTint="66"/>
        <w:left w:val="single" w:sz="4" w:space="0" w:color="B1D0E4" w:themeColor="accent1" w:themeTint="66"/>
        <w:bottom w:val="single" w:sz="4" w:space="0" w:color="B1D0E4" w:themeColor="accent1" w:themeTint="66"/>
        <w:right w:val="single" w:sz="4" w:space="0" w:color="B1D0E4" w:themeColor="accent1" w:themeTint="66"/>
        <w:insideH w:val="single" w:sz="4" w:space="0" w:color="B1D0E4" w:themeColor="accent1" w:themeTint="66"/>
        <w:insideV w:val="single" w:sz="4" w:space="0" w:color="B1D0E4" w:themeColor="accent1" w:themeTint="66"/>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2" w:space="0" w:color="8BB8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65503B"/>
    <w:pPr>
      <w:spacing w:after="0" w:line="240" w:lineRule="auto"/>
    </w:pPr>
    <w:tblPr>
      <w:tblStyleRowBandSize w:val="1"/>
      <w:tblStyleColBandSize w:val="1"/>
      <w:tblBorders>
        <w:top w:val="single" w:sz="4" w:space="0" w:color="CCDFED" w:themeColor="accent2" w:themeTint="66"/>
        <w:left w:val="single" w:sz="4" w:space="0" w:color="CCDFED" w:themeColor="accent2" w:themeTint="66"/>
        <w:bottom w:val="single" w:sz="4" w:space="0" w:color="CCDFED" w:themeColor="accent2" w:themeTint="66"/>
        <w:right w:val="single" w:sz="4" w:space="0" w:color="CCDFED" w:themeColor="accent2" w:themeTint="66"/>
        <w:insideH w:val="single" w:sz="4" w:space="0" w:color="CCDFED" w:themeColor="accent2" w:themeTint="66"/>
        <w:insideV w:val="single" w:sz="4" w:space="0" w:color="CCDFED" w:themeColor="accent2" w:themeTint="66"/>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2" w:space="0" w:color="B2D0E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65503B"/>
    <w:pPr>
      <w:spacing w:after="0" w:line="240" w:lineRule="auto"/>
    </w:pPr>
    <w:tblPr>
      <w:tblStyleRowBandSize w:val="1"/>
      <w:tblStyleColBandSize w:val="1"/>
      <w:tblBorders>
        <w:top w:val="single" w:sz="4" w:space="0" w:color="E5EFF5" w:themeColor="accent3" w:themeTint="66"/>
        <w:left w:val="single" w:sz="4" w:space="0" w:color="E5EFF5" w:themeColor="accent3" w:themeTint="66"/>
        <w:bottom w:val="single" w:sz="4" w:space="0" w:color="E5EFF5" w:themeColor="accent3" w:themeTint="66"/>
        <w:right w:val="single" w:sz="4" w:space="0" w:color="E5EFF5" w:themeColor="accent3" w:themeTint="66"/>
        <w:insideH w:val="single" w:sz="4" w:space="0" w:color="E5EFF5" w:themeColor="accent3" w:themeTint="66"/>
        <w:insideV w:val="single" w:sz="4" w:space="0" w:color="E5EFF5" w:themeColor="accent3" w:themeTint="66"/>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2" w:space="0" w:color="D8E7F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65503B"/>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65503B"/>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65503B"/>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65503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65503B"/>
    <w:pPr>
      <w:spacing w:after="0" w:line="240" w:lineRule="auto"/>
    </w:pPr>
    <w:tblPr>
      <w:tblStyleRowBandSize w:val="1"/>
      <w:tblStyleColBandSize w:val="1"/>
      <w:tblBorders>
        <w:top w:val="single" w:sz="2" w:space="0" w:color="8BB8D7" w:themeColor="accent1" w:themeTint="99"/>
        <w:bottom w:val="single" w:sz="2" w:space="0" w:color="8BB8D7" w:themeColor="accent1" w:themeTint="99"/>
        <w:insideH w:val="single" w:sz="2" w:space="0" w:color="8BB8D7" w:themeColor="accent1" w:themeTint="99"/>
        <w:insideV w:val="single" w:sz="2" w:space="0" w:color="8BB8D7" w:themeColor="accent1" w:themeTint="99"/>
      </w:tblBorders>
    </w:tblPr>
    <w:tblStylePr w:type="firstRow">
      <w:rPr>
        <w:b/>
        <w:bCs/>
      </w:rPr>
      <w:tblPr/>
      <w:tcPr>
        <w:tcBorders>
          <w:top w:val="nil"/>
          <w:bottom w:val="single" w:sz="12" w:space="0" w:color="8BB8D7" w:themeColor="accent1" w:themeTint="99"/>
          <w:insideH w:val="nil"/>
          <w:insideV w:val="nil"/>
        </w:tcBorders>
        <w:shd w:val="clear" w:color="auto" w:fill="FFFFFF" w:themeFill="background1"/>
      </w:tcPr>
    </w:tblStylePr>
    <w:tblStylePr w:type="lastRow">
      <w:rPr>
        <w:b/>
        <w:bCs/>
      </w:rPr>
      <w:tblPr/>
      <w:tcPr>
        <w:tcBorders>
          <w:top w:val="double" w:sz="2" w:space="0" w:color="8BB8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2-Accent2">
    <w:name w:val="Grid Table 2 Accent 2"/>
    <w:basedOn w:val="TableNormal"/>
    <w:uiPriority w:val="47"/>
    <w:semiHidden/>
    <w:rsid w:val="0065503B"/>
    <w:pPr>
      <w:spacing w:after="0" w:line="240" w:lineRule="auto"/>
    </w:pPr>
    <w:tblPr>
      <w:tblStyleRowBandSize w:val="1"/>
      <w:tblStyleColBandSize w:val="1"/>
      <w:tblBorders>
        <w:top w:val="single" w:sz="2" w:space="0" w:color="B2D0E4" w:themeColor="accent2" w:themeTint="99"/>
        <w:bottom w:val="single" w:sz="2" w:space="0" w:color="B2D0E4" w:themeColor="accent2" w:themeTint="99"/>
        <w:insideH w:val="single" w:sz="2" w:space="0" w:color="B2D0E4" w:themeColor="accent2" w:themeTint="99"/>
        <w:insideV w:val="single" w:sz="2" w:space="0" w:color="B2D0E4" w:themeColor="accent2" w:themeTint="99"/>
      </w:tblBorders>
    </w:tblPr>
    <w:tblStylePr w:type="firstRow">
      <w:rPr>
        <w:b/>
        <w:bCs/>
      </w:rPr>
      <w:tblPr/>
      <w:tcPr>
        <w:tcBorders>
          <w:top w:val="nil"/>
          <w:bottom w:val="single" w:sz="12" w:space="0" w:color="B2D0E4" w:themeColor="accent2" w:themeTint="99"/>
          <w:insideH w:val="nil"/>
          <w:insideV w:val="nil"/>
        </w:tcBorders>
        <w:shd w:val="clear" w:color="auto" w:fill="FFFFFF" w:themeFill="background1"/>
      </w:tcPr>
    </w:tblStylePr>
    <w:tblStylePr w:type="lastRow">
      <w:rPr>
        <w:b/>
        <w:bCs/>
      </w:rPr>
      <w:tblPr/>
      <w:tcPr>
        <w:tcBorders>
          <w:top w:val="double" w:sz="2" w:space="0" w:color="B2D0E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2-Accent3">
    <w:name w:val="Grid Table 2 Accent 3"/>
    <w:basedOn w:val="TableNormal"/>
    <w:uiPriority w:val="47"/>
    <w:semiHidden/>
    <w:rsid w:val="0065503B"/>
    <w:pPr>
      <w:spacing w:after="0" w:line="240" w:lineRule="auto"/>
    </w:pPr>
    <w:tblPr>
      <w:tblStyleRowBandSize w:val="1"/>
      <w:tblStyleColBandSize w:val="1"/>
      <w:tblBorders>
        <w:top w:val="single" w:sz="2" w:space="0" w:color="D8E7F1" w:themeColor="accent3" w:themeTint="99"/>
        <w:bottom w:val="single" w:sz="2" w:space="0" w:color="D8E7F1" w:themeColor="accent3" w:themeTint="99"/>
        <w:insideH w:val="single" w:sz="2" w:space="0" w:color="D8E7F1" w:themeColor="accent3" w:themeTint="99"/>
        <w:insideV w:val="single" w:sz="2" w:space="0" w:color="D8E7F1" w:themeColor="accent3" w:themeTint="99"/>
      </w:tblBorders>
    </w:tblPr>
    <w:tblStylePr w:type="firstRow">
      <w:rPr>
        <w:b/>
        <w:bCs/>
      </w:rPr>
      <w:tblPr/>
      <w:tcPr>
        <w:tcBorders>
          <w:top w:val="nil"/>
          <w:bottom w:val="single" w:sz="12" w:space="0" w:color="D8E7F1" w:themeColor="accent3" w:themeTint="99"/>
          <w:insideH w:val="nil"/>
          <w:insideV w:val="nil"/>
        </w:tcBorders>
        <w:shd w:val="clear" w:color="auto" w:fill="FFFFFF" w:themeFill="background1"/>
      </w:tcPr>
    </w:tblStylePr>
    <w:tblStylePr w:type="lastRow">
      <w:rPr>
        <w:b/>
        <w:bCs/>
      </w:rPr>
      <w:tblPr/>
      <w:tcPr>
        <w:tcBorders>
          <w:top w:val="double" w:sz="2" w:space="0" w:color="D8E7F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2-Accent4">
    <w:name w:val="Grid Table 2 Accent 4"/>
    <w:basedOn w:val="TableNormal"/>
    <w:uiPriority w:val="47"/>
    <w:semiHidden/>
    <w:rsid w:val="0065503B"/>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65503B"/>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65503B"/>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6550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65503B"/>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3-Accent2">
    <w:name w:val="Grid Table 3 Accent 2"/>
    <w:basedOn w:val="TableNormal"/>
    <w:uiPriority w:val="48"/>
    <w:semiHidden/>
    <w:rsid w:val="0065503B"/>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3-Accent3">
    <w:name w:val="Grid Table 3 Accent 3"/>
    <w:basedOn w:val="TableNormal"/>
    <w:uiPriority w:val="48"/>
    <w:semiHidden/>
    <w:rsid w:val="0065503B"/>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3-Accent4">
    <w:name w:val="Grid Table 3 Accent 4"/>
    <w:basedOn w:val="TableNormal"/>
    <w:uiPriority w:val="48"/>
    <w:semiHidden/>
    <w:rsid w:val="0065503B"/>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65503B"/>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65503B"/>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6550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65503B"/>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insideV w:val="nil"/>
        </w:tcBorders>
        <w:shd w:val="clear" w:color="auto" w:fill="408ABB" w:themeFill="accent1"/>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4-Accent2">
    <w:name w:val="Grid Table 4 Accent 2"/>
    <w:basedOn w:val="TableNormal"/>
    <w:uiPriority w:val="49"/>
    <w:semiHidden/>
    <w:rsid w:val="0065503B"/>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insideV w:val="nil"/>
        </w:tcBorders>
        <w:shd w:val="clear" w:color="auto" w:fill="80B1D2" w:themeFill="accent2"/>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4-Accent3">
    <w:name w:val="Grid Table 4 Accent 3"/>
    <w:basedOn w:val="TableNormal"/>
    <w:uiPriority w:val="49"/>
    <w:semiHidden/>
    <w:rsid w:val="0065503B"/>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insideV w:val="nil"/>
        </w:tcBorders>
        <w:shd w:val="clear" w:color="auto" w:fill="BFD8E8" w:themeFill="accent3"/>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4-Accent4">
    <w:name w:val="Grid Table 4 Accent 4"/>
    <w:basedOn w:val="TableNormal"/>
    <w:uiPriority w:val="49"/>
    <w:semiHidden/>
    <w:rsid w:val="0065503B"/>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65503B"/>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65503B"/>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6550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6550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7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8AB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8AB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8AB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8ABB" w:themeFill="accent1"/>
      </w:tcPr>
    </w:tblStylePr>
    <w:tblStylePr w:type="band1Vert">
      <w:tblPr/>
      <w:tcPr>
        <w:shd w:val="clear" w:color="auto" w:fill="B1D0E4" w:themeFill="accent1" w:themeFillTint="66"/>
      </w:tcPr>
    </w:tblStylePr>
    <w:tblStylePr w:type="band1Horz">
      <w:tblPr/>
      <w:tcPr>
        <w:shd w:val="clear" w:color="auto" w:fill="B1D0E4" w:themeFill="accent1" w:themeFillTint="66"/>
      </w:tcPr>
    </w:tblStylePr>
  </w:style>
  <w:style w:type="table" w:styleId="GridTable5Dark-Accent2">
    <w:name w:val="Grid Table 5 Dark Accent 2"/>
    <w:basedOn w:val="TableNormal"/>
    <w:uiPriority w:val="50"/>
    <w:semiHidden/>
    <w:rsid w:val="006550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1D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1D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1D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1D2" w:themeFill="accent2"/>
      </w:tcPr>
    </w:tblStylePr>
    <w:tblStylePr w:type="band1Vert">
      <w:tblPr/>
      <w:tcPr>
        <w:shd w:val="clear" w:color="auto" w:fill="CCDFED" w:themeFill="accent2" w:themeFillTint="66"/>
      </w:tcPr>
    </w:tblStylePr>
    <w:tblStylePr w:type="band1Horz">
      <w:tblPr/>
      <w:tcPr>
        <w:shd w:val="clear" w:color="auto" w:fill="CCDFED" w:themeFill="accent2" w:themeFillTint="66"/>
      </w:tcPr>
    </w:tblStylePr>
  </w:style>
  <w:style w:type="table" w:styleId="GridTable5Dark-Accent3">
    <w:name w:val="Grid Table 5 Dark Accent 3"/>
    <w:basedOn w:val="TableNormal"/>
    <w:uiPriority w:val="50"/>
    <w:semiHidden/>
    <w:rsid w:val="006550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7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8E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8E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8E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8E8" w:themeFill="accent3"/>
      </w:tcPr>
    </w:tblStylePr>
    <w:tblStylePr w:type="band1Vert">
      <w:tblPr/>
      <w:tcPr>
        <w:shd w:val="clear" w:color="auto" w:fill="E5EFF5" w:themeFill="accent3" w:themeFillTint="66"/>
      </w:tcPr>
    </w:tblStylePr>
    <w:tblStylePr w:type="band1Horz">
      <w:tblPr/>
      <w:tcPr>
        <w:shd w:val="clear" w:color="auto" w:fill="E5EFF5" w:themeFill="accent3" w:themeFillTint="66"/>
      </w:tcPr>
    </w:tblStylePr>
  </w:style>
  <w:style w:type="table" w:styleId="GridTable5Dark-Accent4">
    <w:name w:val="Grid Table 5 Dark Accent 4"/>
    <w:basedOn w:val="TableNormal"/>
    <w:uiPriority w:val="50"/>
    <w:semiHidden/>
    <w:rsid w:val="006550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6550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6550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65503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65503B"/>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6Colorful-Accent2">
    <w:name w:val="Grid Table 6 Colorful Accent 2"/>
    <w:basedOn w:val="TableNormal"/>
    <w:uiPriority w:val="51"/>
    <w:semiHidden/>
    <w:rsid w:val="0065503B"/>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6Colorful-Accent3">
    <w:name w:val="Grid Table 6 Colorful Accent 3"/>
    <w:basedOn w:val="TableNormal"/>
    <w:uiPriority w:val="51"/>
    <w:semiHidden/>
    <w:rsid w:val="0065503B"/>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6Colorful-Accent4">
    <w:name w:val="Grid Table 6 Colorful Accent 4"/>
    <w:basedOn w:val="TableNormal"/>
    <w:uiPriority w:val="51"/>
    <w:semiHidden/>
    <w:rsid w:val="0065503B"/>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65503B"/>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65503B"/>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65503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65503B"/>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7Colorful-Accent2">
    <w:name w:val="Grid Table 7 Colorful Accent 2"/>
    <w:basedOn w:val="TableNormal"/>
    <w:uiPriority w:val="52"/>
    <w:semiHidden/>
    <w:rsid w:val="0065503B"/>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7Colorful-Accent3">
    <w:name w:val="Grid Table 7 Colorful Accent 3"/>
    <w:basedOn w:val="TableNormal"/>
    <w:uiPriority w:val="52"/>
    <w:semiHidden/>
    <w:rsid w:val="0065503B"/>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7Colorful-Accent4">
    <w:name w:val="Grid Table 7 Colorful Accent 4"/>
    <w:basedOn w:val="TableNormal"/>
    <w:uiPriority w:val="52"/>
    <w:semiHidden/>
    <w:rsid w:val="0065503B"/>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65503B"/>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65503B"/>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65503B"/>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65503B"/>
    <w:pPr>
      <w:spacing w:before="0"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18" w:space="0" w:color="408ABB" w:themeColor="accent1"/>
          <w:right w:val="single" w:sz="8" w:space="0" w:color="408ABB" w:themeColor="accent1"/>
          <w:insideH w:val="nil"/>
          <w:insideV w:val="single" w:sz="8" w:space="0" w:color="408AB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insideH w:val="nil"/>
          <w:insideV w:val="single" w:sz="8" w:space="0" w:color="408AB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shd w:val="clear" w:color="auto" w:fill="CFE2EE" w:themeFill="accent1" w:themeFillTint="3F"/>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shd w:val="clear" w:color="auto" w:fill="CFE2EE" w:themeFill="accent1" w:themeFillTint="3F"/>
      </w:tcPr>
    </w:tblStylePr>
    <w:tblStylePr w:type="band2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tcPr>
    </w:tblStylePr>
  </w:style>
  <w:style w:type="table" w:styleId="LightGrid-Accent2">
    <w:name w:val="Light Grid Accent 2"/>
    <w:basedOn w:val="TableNormal"/>
    <w:uiPriority w:val="62"/>
    <w:semiHidden/>
    <w:rsid w:val="0065503B"/>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18" w:space="0" w:color="80B1D2" w:themeColor="accent2"/>
          <w:right w:val="single" w:sz="8" w:space="0" w:color="80B1D2" w:themeColor="accent2"/>
          <w:insideH w:val="nil"/>
          <w:insideV w:val="single" w:sz="8" w:space="0" w:color="80B1D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insideH w:val="nil"/>
          <w:insideV w:val="single" w:sz="8" w:space="0" w:color="80B1D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shd w:val="clear" w:color="auto" w:fill="DFEBF3" w:themeFill="accent2" w:themeFillTint="3F"/>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shd w:val="clear" w:color="auto" w:fill="DFEBF3" w:themeFill="accent2" w:themeFillTint="3F"/>
      </w:tcPr>
    </w:tblStylePr>
    <w:tblStylePr w:type="band2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tcPr>
    </w:tblStylePr>
  </w:style>
  <w:style w:type="table" w:styleId="LightGrid-Accent3">
    <w:name w:val="Light Grid Accent 3"/>
    <w:basedOn w:val="TableNormal"/>
    <w:uiPriority w:val="62"/>
    <w:semiHidden/>
    <w:rsid w:val="0065503B"/>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18" w:space="0" w:color="BFD8E8" w:themeColor="accent3"/>
          <w:right w:val="single" w:sz="8" w:space="0" w:color="BFD8E8" w:themeColor="accent3"/>
          <w:insideH w:val="nil"/>
          <w:insideV w:val="single" w:sz="8" w:space="0" w:color="BFD8E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insideH w:val="nil"/>
          <w:insideV w:val="single" w:sz="8" w:space="0" w:color="BFD8E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shd w:val="clear" w:color="auto" w:fill="EFF5F9" w:themeFill="accent3" w:themeFillTint="3F"/>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shd w:val="clear" w:color="auto" w:fill="EFF5F9" w:themeFill="accent3" w:themeFillTint="3F"/>
      </w:tcPr>
    </w:tblStylePr>
    <w:tblStylePr w:type="band2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tcPr>
    </w:tblStylePr>
  </w:style>
  <w:style w:type="table" w:styleId="LightGrid-Accent4">
    <w:name w:val="Light Grid Accent 4"/>
    <w:basedOn w:val="TableNormal"/>
    <w:uiPriority w:val="62"/>
    <w:semiHidden/>
    <w:rsid w:val="0065503B"/>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65503B"/>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65503B"/>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65503B"/>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65503B"/>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pPr>
        <w:spacing w:before="0" w:after="0" w:line="240" w:lineRule="auto"/>
      </w:pPr>
      <w:rPr>
        <w:b/>
        <w:bCs/>
        <w:color w:val="FFFFFF" w:themeColor="background1"/>
      </w:rPr>
      <w:tblPr/>
      <w:tcPr>
        <w:shd w:val="clear" w:color="auto" w:fill="80B1D2" w:themeFill="accent2"/>
      </w:tcPr>
    </w:tblStylePr>
    <w:tblStylePr w:type="lastRow">
      <w:pPr>
        <w:spacing w:before="0" w:after="0" w:line="240" w:lineRule="auto"/>
      </w:pPr>
      <w:rPr>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tcBorders>
      </w:tcPr>
    </w:tblStylePr>
    <w:tblStylePr w:type="firstCol">
      <w:rPr>
        <w:b/>
        <w:bCs/>
      </w:rPr>
    </w:tblStylePr>
    <w:tblStylePr w:type="lastCol">
      <w:rPr>
        <w:b/>
        <w:bCs/>
      </w:r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style>
  <w:style w:type="table" w:styleId="LightList-Accent3">
    <w:name w:val="Light List Accent 3"/>
    <w:basedOn w:val="TableNormal"/>
    <w:uiPriority w:val="61"/>
    <w:semiHidden/>
    <w:rsid w:val="0065503B"/>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pPr>
        <w:spacing w:before="0" w:after="0" w:line="240" w:lineRule="auto"/>
      </w:pPr>
      <w:rPr>
        <w:b/>
        <w:bCs/>
        <w:color w:val="FFFFFF" w:themeColor="background1"/>
      </w:rPr>
      <w:tblPr/>
      <w:tcPr>
        <w:shd w:val="clear" w:color="auto" w:fill="BFD8E8" w:themeFill="accent3"/>
      </w:tcPr>
    </w:tblStylePr>
    <w:tblStylePr w:type="lastRow">
      <w:pPr>
        <w:spacing w:before="0" w:after="0" w:line="240" w:lineRule="auto"/>
      </w:pPr>
      <w:rPr>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tcBorders>
      </w:tcPr>
    </w:tblStylePr>
    <w:tblStylePr w:type="firstCol">
      <w:rPr>
        <w:b/>
        <w:bCs/>
      </w:rPr>
    </w:tblStylePr>
    <w:tblStylePr w:type="lastCol">
      <w:rPr>
        <w:b/>
        <w:bCs/>
      </w:r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style>
  <w:style w:type="table" w:styleId="LightList-Accent5">
    <w:name w:val="Light List Accent 5"/>
    <w:basedOn w:val="TableNormal"/>
    <w:uiPriority w:val="61"/>
    <w:semiHidden/>
    <w:rsid w:val="0065503B"/>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65503B"/>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65503B"/>
    <w:pPr>
      <w:spacing w:before="0" w:after="0" w:line="240" w:lineRule="auto"/>
    </w:pPr>
    <w:rPr>
      <w:color w:val="30678C" w:themeColor="accent1" w:themeShade="BF"/>
    </w:rPr>
    <w:tblPr>
      <w:tblStyleRowBandSize w:val="1"/>
      <w:tblStyleColBandSize w:val="1"/>
      <w:tblBorders>
        <w:top w:val="single" w:sz="8" w:space="0" w:color="408ABB" w:themeColor="accent1"/>
        <w:bottom w:val="single" w:sz="8" w:space="0" w:color="408ABB" w:themeColor="accent1"/>
      </w:tblBorders>
    </w:tblPr>
    <w:tblStylePr w:type="fir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la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left w:val="nil"/>
          <w:right w:val="nil"/>
          <w:insideH w:val="nil"/>
          <w:insideV w:val="nil"/>
        </w:tcBorders>
        <w:shd w:val="clear" w:color="auto" w:fill="CFE2EE" w:themeFill="accent1" w:themeFillTint="3F"/>
      </w:tcPr>
    </w:tblStylePr>
  </w:style>
  <w:style w:type="table" w:styleId="LightShading-Accent2">
    <w:name w:val="Light Shading Accent 2"/>
    <w:basedOn w:val="TableNormal"/>
    <w:uiPriority w:val="60"/>
    <w:semiHidden/>
    <w:rsid w:val="0065503B"/>
    <w:pPr>
      <w:spacing w:before="0" w:after="0" w:line="240" w:lineRule="auto"/>
    </w:pPr>
    <w:rPr>
      <w:color w:val="428ABA" w:themeColor="accent2" w:themeShade="BF"/>
    </w:rPr>
    <w:tblPr>
      <w:tblStyleRowBandSize w:val="1"/>
      <w:tblStyleColBandSize w:val="1"/>
      <w:tblBorders>
        <w:top w:val="single" w:sz="8" w:space="0" w:color="80B1D2" w:themeColor="accent2"/>
        <w:bottom w:val="single" w:sz="8" w:space="0" w:color="80B1D2" w:themeColor="accent2"/>
      </w:tblBorders>
    </w:tblPr>
    <w:tblStylePr w:type="fir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la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left w:val="nil"/>
          <w:right w:val="nil"/>
          <w:insideH w:val="nil"/>
          <w:insideV w:val="nil"/>
        </w:tcBorders>
        <w:shd w:val="clear" w:color="auto" w:fill="DFEBF3" w:themeFill="accent2" w:themeFillTint="3F"/>
      </w:tcPr>
    </w:tblStylePr>
  </w:style>
  <w:style w:type="table" w:styleId="LightShading-Accent3">
    <w:name w:val="Light Shading Accent 3"/>
    <w:basedOn w:val="TableNormal"/>
    <w:uiPriority w:val="60"/>
    <w:semiHidden/>
    <w:rsid w:val="0065503B"/>
    <w:pPr>
      <w:spacing w:before="0" w:after="0" w:line="240" w:lineRule="auto"/>
    </w:pPr>
    <w:rPr>
      <w:color w:val="70A8CC" w:themeColor="accent3" w:themeShade="BF"/>
    </w:rPr>
    <w:tblPr>
      <w:tblStyleRowBandSize w:val="1"/>
      <w:tblStyleColBandSize w:val="1"/>
      <w:tblBorders>
        <w:top w:val="single" w:sz="8" w:space="0" w:color="BFD8E8" w:themeColor="accent3"/>
        <w:bottom w:val="single" w:sz="8" w:space="0" w:color="BFD8E8" w:themeColor="accent3"/>
      </w:tblBorders>
    </w:tblPr>
    <w:tblStylePr w:type="fir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la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left w:val="nil"/>
          <w:right w:val="nil"/>
          <w:insideH w:val="nil"/>
          <w:insideV w:val="nil"/>
        </w:tcBorders>
        <w:shd w:val="clear" w:color="auto" w:fill="EFF5F9" w:themeFill="accent3" w:themeFillTint="3F"/>
      </w:tcPr>
    </w:tblStylePr>
  </w:style>
  <w:style w:type="table" w:styleId="LightShading-Accent4">
    <w:name w:val="Light Shading Accent 4"/>
    <w:basedOn w:val="TableNormal"/>
    <w:uiPriority w:val="60"/>
    <w:semiHidden/>
    <w:rsid w:val="0065503B"/>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65503B"/>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65503B"/>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65503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65503B"/>
    <w:pPr>
      <w:spacing w:after="0" w:line="240" w:lineRule="auto"/>
    </w:pPr>
    <w:tblPr>
      <w:tblStyleRowBandSize w:val="1"/>
      <w:tblStyleColBandSize w:val="1"/>
    </w:tblPr>
    <w:tblStylePr w:type="firstRow">
      <w:rPr>
        <w:b/>
        <w:bCs/>
      </w:rPr>
      <w:tblPr/>
      <w:tcPr>
        <w:tcBorders>
          <w:bottom w:val="single" w:sz="4" w:space="0" w:color="8BB8D7" w:themeColor="accent1" w:themeTint="99"/>
        </w:tcBorders>
      </w:tcPr>
    </w:tblStylePr>
    <w:tblStylePr w:type="lastRow">
      <w:rPr>
        <w:b/>
        <w:bCs/>
      </w:rPr>
      <w:tblPr/>
      <w:tcPr>
        <w:tcBorders>
          <w:top w:val="sing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1Light-Accent2">
    <w:name w:val="List Table 1 Light Accent 2"/>
    <w:basedOn w:val="TableNormal"/>
    <w:uiPriority w:val="46"/>
    <w:semiHidden/>
    <w:rsid w:val="0065503B"/>
    <w:pPr>
      <w:spacing w:after="0" w:line="240" w:lineRule="auto"/>
    </w:pPr>
    <w:tblPr>
      <w:tblStyleRowBandSize w:val="1"/>
      <w:tblStyleColBandSize w:val="1"/>
    </w:tblPr>
    <w:tblStylePr w:type="firstRow">
      <w:rPr>
        <w:b/>
        <w:bCs/>
      </w:rPr>
      <w:tblPr/>
      <w:tcPr>
        <w:tcBorders>
          <w:bottom w:val="single" w:sz="4" w:space="0" w:color="B2D0E4" w:themeColor="accent2" w:themeTint="99"/>
        </w:tcBorders>
      </w:tcPr>
    </w:tblStylePr>
    <w:tblStylePr w:type="lastRow">
      <w:rPr>
        <w:b/>
        <w:bCs/>
      </w:rPr>
      <w:tblPr/>
      <w:tcPr>
        <w:tcBorders>
          <w:top w:val="sing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1Light-Accent3">
    <w:name w:val="List Table 1 Light Accent 3"/>
    <w:basedOn w:val="TableNormal"/>
    <w:uiPriority w:val="46"/>
    <w:semiHidden/>
    <w:rsid w:val="0065503B"/>
    <w:pPr>
      <w:spacing w:after="0" w:line="240" w:lineRule="auto"/>
    </w:pPr>
    <w:tblPr>
      <w:tblStyleRowBandSize w:val="1"/>
      <w:tblStyleColBandSize w:val="1"/>
    </w:tblPr>
    <w:tblStylePr w:type="firstRow">
      <w:rPr>
        <w:b/>
        <w:bCs/>
      </w:rPr>
      <w:tblPr/>
      <w:tcPr>
        <w:tcBorders>
          <w:bottom w:val="single" w:sz="4" w:space="0" w:color="D8E7F1" w:themeColor="accent3" w:themeTint="99"/>
        </w:tcBorders>
      </w:tcPr>
    </w:tblStylePr>
    <w:tblStylePr w:type="lastRow">
      <w:rPr>
        <w:b/>
        <w:bCs/>
      </w:rPr>
      <w:tblPr/>
      <w:tcPr>
        <w:tcBorders>
          <w:top w:val="sing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1Light-Accent4">
    <w:name w:val="List Table 1 Light Accent 4"/>
    <w:basedOn w:val="TableNormal"/>
    <w:uiPriority w:val="46"/>
    <w:semiHidden/>
    <w:rsid w:val="0065503B"/>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65503B"/>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65503B"/>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65503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65503B"/>
    <w:pPr>
      <w:spacing w:after="0" w:line="240" w:lineRule="auto"/>
    </w:pPr>
    <w:tblPr>
      <w:tblStyleRowBandSize w:val="1"/>
      <w:tblStyleColBandSize w:val="1"/>
      <w:tblBorders>
        <w:top w:val="single" w:sz="4" w:space="0" w:color="8BB8D7" w:themeColor="accent1" w:themeTint="99"/>
        <w:bottom w:val="single" w:sz="4" w:space="0" w:color="8BB8D7" w:themeColor="accent1" w:themeTint="99"/>
        <w:insideH w:val="single" w:sz="4" w:space="0" w:color="8BB8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2-Accent2">
    <w:name w:val="List Table 2 Accent 2"/>
    <w:basedOn w:val="TableNormal"/>
    <w:uiPriority w:val="47"/>
    <w:semiHidden/>
    <w:rsid w:val="0065503B"/>
    <w:pPr>
      <w:spacing w:after="0" w:line="240" w:lineRule="auto"/>
    </w:pPr>
    <w:tblPr>
      <w:tblStyleRowBandSize w:val="1"/>
      <w:tblStyleColBandSize w:val="1"/>
      <w:tblBorders>
        <w:top w:val="single" w:sz="4" w:space="0" w:color="B2D0E4" w:themeColor="accent2" w:themeTint="99"/>
        <w:bottom w:val="single" w:sz="4" w:space="0" w:color="B2D0E4" w:themeColor="accent2" w:themeTint="99"/>
        <w:insideH w:val="single" w:sz="4" w:space="0" w:color="B2D0E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2-Accent3">
    <w:name w:val="List Table 2 Accent 3"/>
    <w:basedOn w:val="TableNormal"/>
    <w:uiPriority w:val="47"/>
    <w:semiHidden/>
    <w:rsid w:val="0065503B"/>
    <w:pPr>
      <w:spacing w:after="0" w:line="240" w:lineRule="auto"/>
    </w:pPr>
    <w:tblPr>
      <w:tblStyleRowBandSize w:val="1"/>
      <w:tblStyleColBandSize w:val="1"/>
      <w:tblBorders>
        <w:top w:val="single" w:sz="4" w:space="0" w:color="D8E7F1" w:themeColor="accent3" w:themeTint="99"/>
        <w:bottom w:val="single" w:sz="4" w:space="0" w:color="D8E7F1" w:themeColor="accent3" w:themeTint="99"/>
        <w:insideH w:val="single" w:sz="4" w:space="0" w:color="D8E7F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2-Accent4">
    <w:name w:val="List Table 2 Accent 4"/>
    <w:basedOn w:val="TableNormal"/>
    <w:uiPriority w:val="47"/>
    <w:semiHidden/>
    <w:rsid w:val="0065503B"/>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65503B"/>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65503B"/>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65503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65503B"/>
    <w:pPr>
      <w:spacing w:after="0" w:line="240" w:lineRule="auto"/>
    </w:pPr>
    <w:tblPr>
      <w:tblStyleRowBandSize w:val="1"/>
      <w:tblStyleColBandSize w:val="1"/>
      <w:tblBorders>
        <w:top w:val="single" w:sz="4" w:space="0" w:color="408ABB" w:themeColor="accent1"/>
        <w:left w:val="single" w:sz="4" w:space="0" w:color="408ABB" w:themeColor="accent1"/>
        <w:bottom w:val="single" w:sz="4" w:space="0" w:color="408ABB" w:themeColor="accent1"/>
        <w:right w:val="single" w:sz="4" w:space="0" w:color="408ABB" w:themeColor="accent1"/>
      </w:tblBorders>
    </w:tblPr>
    <w:tblStylePr w:type="firstRow">
      <w:rPr>
        <w:b/>
        <w:bCs/>
        <w:color w:val="FFFFFF" w:themeColor="background1"/>
      </w:rPr>
      <w:tblPr/>
      <w:tcPr>
        <w:shd w:val="clear" w:color="auto" w:fill="408ABB" w:themeFill="accent1"/>
      </w:tcPr>
    </w:tblStylePr>
    <w:tblStylePr w:type="lastRow">
      <w:rPr>
        <w:b/>
        <w:bCs/>
      </w:rPr>
      <w:tblPr/>
      <w:tcPr>
        <w:tcBorders>
          <w:top w:val="double" w:sz="4" w:space="0" w:color="408AB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8ABB" w:themeColor="accent1"/>
          <w:right w:val="single" w:sz="4" w:space="0" w:color="408ABB" w:themeColor="accent1"/>
        </w:tcBorders>
      </w:tcPr>
    </w:tblStylePr>
    <w:tblStylePr w:type="band1Horz">
      <w:tblPr/>
      <w:tcPr>
        <w:tcBorders>
          <w:top w:val="single" w:sz="4" w:space="0" w:color="408ABB" w:themeColor="accent1"/>
          <w:bottom w:val="single" w:sz="4" w:space="0" w:color="408AB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8ABB" w:themeColor="accent1"/>
          <w:left w:val="nil"/>
        </w:tcBorders>
      </w:tcPr>
    </w:tblStylePr>
    <w:tblStylePr w:type="swCell">
      <w:tblPr/>
      <w:tcPr>
        <w:tcBorders>
          <w:top w:val="double" w:sz="4" w:space="0" w:color="408ABB" w:themeColor="accent1"/>
          <w:right w:val="nil"/>
        </w:tcBorders>
      </w:tcPr>
    </w:tblStylePr>
  </w:style>
  <w:style w:type="table" w:styleId="ListTable3-Accent2">
    <w:name w:val="List Table 3 Accent 2"/>
    <w:basedOn w:val="TableNormal"/>
    <w:uiPriority w:val="48"/>
    <w:semiHidden/>
    <w:rsid w:val="0065503B"/>
    <w:pPr>
      <w:spacing w:after="0" w:line="240" w:lineRule="auto"/>
    </w:pPr>
    <w:tblPr>
      <w:tblStyleRowBandSize w:val="1"/>
      <w:tblStyleColBandSize w:val="1"/>
      <w:tblBorders>
        <w:top w:val="single" w:sz="4" w:space="0" w:color="80B1D2" w:themeColor="accent2"/>
        <w:left w:val="single" w:sz="4" w:space="0" w:color="80B1D2" w:themeColor="accent2"/>
        <w:bottom w:val="single" w:sz="4" w:space="0" w:color="80B1D2" w:themeColor="accent2"/>
        <w:right w:val="single" w:sz="4" w:space="0" w:color="80B1D2" w:themeColor="accent2"/>
      </w:tblBorders>
    </w:tblPr>
    <w:tblStylePr w:type="firstRow">
      <w:rPr>
        <w:b/>
        <w:bCs/>
        <w:color w:val="FFFFFF" w:themeColor="background1"/>
      </w:rPr>
      <w:tblPr/>
      <w:tcPr>
        <w:shd w:val="clear" w:color="auto" w:fill="80B1D2" w:themeFill="accent2"/>
      </w:tcPr>
    </w:tblStylePr>
    <w:tblStylePr w:type="lastRow">
      <w:rPr>
        <w:b/>
        <w:bCs/>
      </w:rPr>
      <w:tblPr/>
      <w:tcPr>
        <w:tcBorders>
          <w:top w:val="double" w:sz="4" w:space="0" w:color="80B1D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1D2" w:themeColor="accent2"/>
          <w:right w:val="single" w:sz="4" w:space="0" w:color="80B1D2" w:themeColor="accent2"/>
        </w:tcBorders>
      </w:tcPr>
    </w:tblStylePr>
    <w:tblStylePr w:type="band1Horz">
      <w:tblPr/>
      <w:tcPr>
        <w:tcBorders>
          <w:top w:val="single" w:sz="4" w:space="0" w:color="80B1D2" w:themeColor="accent2"/>
          <w:bottom w:val="single" w:sz="4" w:space="0" w:color="80B1D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1D2" w:themeColor="accent2"/>
          <w:left w:val="nil"/>
        </w:tcBorders>
      </w:tcPr>
    </w:tblStylePr>
    <w:tblStylePr w:type="swCell">
      <w:tblPr/>
      <w:tcPr>
        <w:tcBorders>
          <w:top w:val="double" w:sz="4" w:space="0" w:color="80B1D2" w:themeColor="accent2"/>
          <w:right w:val="nil"/>
        </w:tcBorders>
      </w:tcPr>
    </w:tblStylePr>
  </w:style>
  <w:style w:type="table" w:styleId="ListTable3-Accent3">
    <w:name w:val="List Table 3 Accent 3"/>
    <w:basedOn w:val="TableNormal"/>
    <w:uiPriority w:val="48"/>
    <w:semiHidden/>
    <w:rsid w:val="0065503B"/>
    <w:pPr>
      <w:spacing w:after="0" w:line="240" w:lineRule="auto"/>
    </w:pPr>
    <w:tblPr>
      <w:tblStyleRowBandSize w:val="1"/>
      <w:tblStyleColBandSize w:val="1"/>
      <w:tblBorders>
        <w:top w:val="single" w:sz="4" w:space="0" w:color="BFD8E8" w:themeColor="accent3"/>
        <w:left w:val="single" w:sz="4" w:space="0" w:color="BFD8E8" w:themeColor="accent3"/>
        <w:bottom w:val="single" w:sz="4" w:space="0" w:color="BFD8E8" w:themeColor="accent3"/>
        <w:right w:val="single" w:sz="4" w:space="0" w:color="BFD8E8" w:themeColor="accent3"/>
      </w:tblBorders>
    </w:tblPr>
    <w:tblStylePr w:type="firstRow">
      <w:rPr>
        <w:b/>
        <w:bCs/>
        <w:color w:val="FFFFFF" w:themeColor="background1"/>
      </w:rPr>
      <w:tblPr/>
      <w:tcPr>
        <w:shd w:val="clear" w:color="auto" w:fill="BFD8E8" w:themeFill="accent3"/>
      </w:tcPr>
    </w:tblStylePr>
    <w:tblStylePr w:type="lastRow">
      <w:rPr>
        <w:b/>
        <w:bCs/>
      </w:rPr>
      <w:tblPr/>
      <w:tcPr>
        <w:tcBorders>
          <w:top w:val="double" w:sz="4" w:space="0" w:color="BFD8E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8E8" w:themeColor="accent3"/>
          <w:right w:val="single" w:sz="4" w:space="0" w:color="BFD8E8" w:themeColor="accent3"/>
        </w:tcBorders>
      </w:tcPr>
    </w:tblStylePr>
    <w:tblStylePr w:type="band1Horz">
      <w:tblPr/>
      <w:tcPr>
        <w:tcBorders>
          <w:top w:val="single" w:sz="4" w:space="0" w:color="BFD8E8" w:themeColor="accent3"/>
          <w:bottom w:val="single" w:sz="4" w:space="0" w:color="BFD8E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8E8" w:themeColor="accent3"/>
          <w:left w:val="nil"/>
        </w:tcBorders>
      </w:tcPr>
    </w:tblStylePr>
    <w:tblStylePr w:type="swCell">
      <w:tblPr/>
      <w:tcPr>
        <w:tcBorders>
          <w:top w:val="double" w:sz="4" w:space="0" w:color="BFD8E8" w:themeColor="accent3"/>
          <w:right w:val="nil"/>
        </w:tcBorders>
      </w:tcPr>
    </w:tblStylePr>
  </w:style>
  <w:style w:type="table" w:styleId="ListTable3-Accent4">
    <w:name w:val="List Table 3 Accent 4"/>
    <w:basedOn w:val="TableNormal"/>
    <w:uiPriority w:val="48"/>
    <w:semiHidden/>
    <w:rsid w:val="0065503B"/>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65503B"/>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65503B"/>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6550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65503B"/>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tcBorders>
        <w:shd w:val="clear" w:color="auto" w:fill="408ABB" w:themeFill="accent1"/>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4-Accent2">
    <w:name w:val="List Table 4 Accent 2"/>
    <w:basedOn w:val="TableNormal"/>
    <w:uiPriority w:val="49"/>
    <w:semiHidden/>
    <w:rsid w:val="0065503B"/>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tcBorders>
        <w:shd w:val="clear" w:color="auto" w:fill="80B1D2" w:themeFill="accent2"/>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4-Accent3">
    <w:name w:val="List Table 4 Accent 3"/>
    <w:basedOn w:val="TableNormal"/>
    <w:uiPriority w:val="49"/>
    <w:semiHidden/>
    <w:rsid w:val="0065503B"/>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tcBorders>
        <w:shd w:val="clear" w:color="auto" w:fill="BFD8E8" w:themeFill="accent3"/>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4-Accent4">
    <w:name w:val="List Table 4 Accent 4"/>
    <w:basedOn w:val="TableNormal"/>
    <w:uiPriority w:val="49"/>
    <w:semiHidden/>
    <w:rsid w:val="0065503B"/>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65503B"/>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65503B"/>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65503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65503B"/>
    <w:pPr>
      <w:spacing w:after="0" w:line="240" w:lineRule="auto"/>
    </w:pPr>
    <w:rPr>
      <w:color w:val="FFFFFF" w:themeColor="background1"/>
    </w:rPr>
    <w:tblPr>
      <w:tblStyleRowBandSize w:val="1"/>
      <w:tblStyleColBandSize w:val="1"/>
      <w:tblBorders>
        <w:top w:val="single" w:sz="24" w:space="0" w:color="408ABB" w:themeColor="accent1"/>
        <w:left w:val="single" w:sz="24" w:space="0" w:color="408ABB" w:themeColor="accent1"/>
        <w:bottom w:val="single" w:sz="24" w:space="0" w:color="408ABB" w:themeColor="accent1"/>
        <w:right w:val="single" w:sz="24" w:space="0" w:color="408ABB" w:themeColor="accent1"/>
      </w:tblBorders>
    </w:tblPr>
    <w:tcPr>
      <w:shd w:val="clear" w:color="auto" w:fill="408AB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65503B"/>
    <w:pPr>
      <w:spacing w:after="0" w:line="240" w:lineRule="auto"/>
    </w:pPr>
    <w:rPr>
      <w:color w:val="FFFFFF" w:themeColor="background1"/>
    </w:rPr>
    <w:tblPr>
      <w:tblStyleRowBandSize w:val="1"/>
      <w:tblStyleColBandSize w:val="1"/>
      <w:tblBorders>
        <w:top w:val="single" w:sz="24" w:space="0" w:color="80B1D2" w:themeColor="accent2"/>
        <w:left w:val="single" w:sz="24" w:space="0" w:color="80B1D2" w:themeColor="accent2"/>
        <w:bottom w:val="single" w:sz="24" w:space="0" w:color="80B1D2" w:themeColor="accent2"/>
        <w:right w:val="single" w:sz="24" w:space="0" w:color="80B1D2" w:themeColor="accent2"/>
      </w:tblBorders>
    </w:tblPr>
    <w:tcPr>
      <w:shd w:val="clear" w:color="auto" w:fill="80B1D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65503B"/>
    <w:pPr>
      <w:spacing w:after="0" w:line="240" w:lineRule="auto"/>
    </w:pPr>
    <w:rPr>
      <w:color w:val="FFFFFF" w:themeColor="background1"/>
    </w:rPr>
    <w:tblPr>
      <w:tblStyleRowBandSize w:val="1"/>
      <w:tblStyleColBandSize w:val="1"/>
      <w:tblBorders>
        <w:top w:val="single" w:sz="24" w:space="0" w:color="BFD8E8" w:themeColor="accent3"/>
        <w:left w:val="single" w:sz="24" w:space="0" w:color="BFD8E8" w:themeColor="accent3"/>
        <w:bottom w:val="single" w:sz="24" w:space="0" w:color="BFD8E8" w:themeColor="accent3"/>
        <w:right w:val="single" w:sz="24" w:space="0" w:color="BFD8E8" w:themeColor="accent3"/>
      </w:tblBorders>
    </w:tblPr>
    <w:tcPr>
      <w:shd w:val="clear" w:color="auto" w:fill="BFD8E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65503B"/>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65503B"/>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65503B"/>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65503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65503B"/>
    <w:pPr>
      <w:spacing w:after="0" w:line="240" w:lineRule="auto"/>
    </w:pPr>
    <w:rPr>
      <w:color w:val="30678C" w:themeColor="accent1" w:themeShade="BF"/>
    </w:rPr>
    <w:tblPr>
      <w:tblStyleRowBandSize w:val="1"/>
      <w:tblStyleColBandSize w:val="1"/>
      <w:tblBorders>
        <w:top w:val="single" w:sz="4" w:space="0" w:color="408ABB" w:themeColor="accent1"/>
        <w:bottom w:val="single" w:sz="4" w:space="0" w:color="408ABB" w:themeColor="accent1"/>
      </w:tblBorders>
    </w:tblPr>
    <w:tblStylePr w:type="firstRow">
      <w:rPr>
        <w:b/>
        <w:bCs/>
      </w:rPr>
      <w:tblPr/>
      <w:tcPr>
        <w:tcBorders>
          <w:bottom w:val="single" w:sz="4" w:space="0" w:color="408ABB" w:themeColor="accent1"/>
        </w:tcBorders>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6Colorful-Accent2">
    <w:name w:val="List Table 6 Colorful Accent 2"/>
    <w:basedOn w:val="TableNormal"/>
    <w:uiPriority w:val="51"/>
    <w:semiHidden/>
    <w:rsid w:val="0065503B"/>
    <w:pPr>
      <w:spacing w:after="0" w:line="240" w:lineRule="auto"/>
    </w:pPr>
    <w:rPr>
      <w:color w:val="428ABA" w:themeColor="accent2" w:themeShade="BF"/>
    </w:rPr>
    <w:tblPr>
      <w:tblStyleRowBandSize w:val="1"/>
      <w:tblStyleColBandSize w:val="1"/>
      <w:tblBorders>
        <w:top w:val="single" w:sz="4" w:space="0" w:color="80B1D2" w:themeColor="accent2"/>
        <w:bottom w:val="single" w:sz="4" w:space="0" w:color="80B1D2" w:themeColor="accent2"/>
      </w:tblBorders>
    </w:tblPr>
    <w:tblStylePr w:type="firstRow">
      <w:rPr>
        <w:b/>
        <w:bCs/>
      </w:rPr>
      <w:tblPr/>
      <w:tcPr>
        <w:tcBorders>
          <w:bottom w:val="single" w:sz="4" w:space="0" w:color="80B1D2" w:themeColor="accent2"/>
        </w:tcBorders>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6Colorful-Accent3">
    <w:name w:val="List Table 6 Colorful Accent 3"/>
    <w:basedOn w:val="TableNormal"/>
    <w:uiPriority w:val="51"/>
    <w:semiHidden/>
    <w:rsid w:val="0065503B"/>
    <w:pPr>
      <w:spacing w:after="0" w:line="240" w:lineRule="auto"/>
    </w:pPr>
    <w:rPr>
      <w:color w:val="70A8CC" w:themeColor="accent3" w:themeShade="BF"/>
    </w:rPr>
    <w:tblPr>
      <w:tblStyleRowBandSize w:val="1"/>
      <w:tblStyleColBandSize w:val="1"/>
      <w:tblBorders>
        <w:top w:val="single" w:sz="4" w:space="0" w:color="BFD8E8" w:themeColor="accent3"/>
        <w:bottom w:val="single" w:sz="4" w:space="0" w:color="BFD8E8" w:themeColor="accent3"/>
      </w:tblBorders>
    </w:tblPr>
    <w:tblStylePr w:type="firstRow">
      <w:rPr>
        <w:b/>
        <w:bCs/>
      </w:rPr>
      <w:tblPr/>
      <w:tcPr>
        <w:tcBorders>
          <w:bottom w:val="single" w:sz="4" w:space="0" w:color="BFD8E8" w:themeColor="accent3"/>
        </w:tcBorders>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6Colorful-Accent4">
    <w:name w:val="List Table 6 Colorful Accent 4"/>
    <w:basedOn w:val="TableNormal"/>
    <w:uiPriority w:val="51"/>
    <w:semiHidden/>
    <w:rsid w:val="0065503B"/>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65503B"/>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65503B"/>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65503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65503B"/>
    <w:pPr>
      <w:spacing w:after="0" w:line="240" w:lineRule="auto"/>
    </w:pPr>
    <w:rPr>
      <w:color w:val="3067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8AB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8AB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8AB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8ABB" w:themeColor="accent1"/>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65503B"/>
    <w:pPr>
      <w:spacing w:after="0" w:line="240" w:lineRule="auto"/>
    </w:pPr>
    <w:rPr>
      <w:color w:val="428A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1D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1D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1D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1D2" w:themeColor="accent2"/>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65503B"/>
    <w:pPr>
      <w:spacing w:after="0" w:line="240" w:lineRule="auto"/>
    </w:pPr>
    <w:rPr>
      <w:color w:val="70A8C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8E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8E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8E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8E8" w:themeColor="accent3"/>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65503B"/>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65503B"/>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65503B"/>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65503B"/>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65503B"/>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insideV w:val="single" w:sz="8" w:space="0" w:color="6EA7CD" w:themeColor="accent1" w:themeTint="BF"/>
      </w:tblBorders>
    </w:tblPr>
    <w:tcPr>
      <w:shd w:val="clear" w:color="auto" w:fill="CFE2EE" w:themeFill="accent1" w:themeFillTint="3F"/>
    </w:tcPr>
    <w:tblStylePr w:type="firstRow">
      <w:rPr>
        <w:b/>
        <w:bCs/>
      </w:rPr>
    </w:tblStylePr>
    <w:tblStylePr w:type="lastRow">
      <w:rPr>
        <w:b/>
        <w:bCs/>
      </w:rPr>
      <w:tblPr/>
      <w:tcPr>
        <w:tcBorders>
          <w:top w:val="single" w:sz="18" w:space="0" w:color="6EA7CD" w:themeColor="accent1" w:themeTint="BF"/>
        </w:tcBorders>
      </w:tcPr>
    </w:tblStylePr>
    <w:tblStylePr w:type="firstCol">
      <w:rPr>
        <w:b/>
        <w:bCs/>
      </w:rPr>
    </w:tblStylePr>
    <w:tblStylePr w:type="lastCol">
      <w:rPr>
        <w:b/>
        <w:bCs/>
      </w:r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table" w:styleId="MediumGrid1-Accent2">
    <w:name w:val="Medium Grid 1 Accent 2"/>
    <w:basedOn w:val="TableNormal"/>
    <w:uiPriority w:val="67"/>
    <w:semiHidden/>
    <w:rsid w:val="0065503B"/>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insideV w:val="single" w:sz="8" w:space="0" w:color="9FC4DD" w:themeColor="accent2" w:themeTint="BF"/>
      </w:tblBorders>
    </w:tblPr>
    <w:tcPr>
      <w:shd w:val="clear" w:color="auto" w:fill="DFEBF3" w:themeFill="accent2" w:themeFillTint="3F"/>
    </w:tcPr>
    <w:tblStylePr w:type="firstRow">
      <w:rPr>
        <w:b/>
        <w:bCs/>
      </w:rPr>
    </w:tblStylePr>
    <w:tblStylePr w:type="lastRow">
      <w:rPr>
        <w:b/>
        <w:bCs/>
      </w:rPr>
      <w:tblPr/>
      <w:tcPr>
        <w:tcBorders>
          <w:top w:val="single" w:sz="18" w:space="0" w:color="9FC4DD" w:themeColor="accent2" w:themeTint="BF"/>
        </w:tcBorders>
      </w:tcPr>
    </w:tblStylePr>
    <w:tblStylePr w:type="firstCol">
      <w:rPr>
        <w:b/>
        <w:bCs/>
      </w:rPr>
    </w:tblStylePr>
    <w:tblStylePr w:type="lastCol">
      <w:rPr>
        <w:b/>
        <w:bCs/>
      </w:r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MediumGrid1-Accent3">
    <w:name w:val="Medium Grid 1 Accent 3"/>
    <w:basedOn w:val="TableNormal"/>
    <w:uiPriority w:val="67"/>
    <w:semiHidden/>
    <w:rsid w:val="0065503B"/>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insideV w:val="single" w:sz="8" w:space="0" w:color="CEE1ED" w:themeColor="accent3" w:themeTint="BF"/>
      </w:tblBorders>
    </w:tblPr>
    <w:tcPr>
      <w:shd w:val="clear" w:color="auto" w:fill="EFF5F9" w:themeFill="accent3" w:themeFillTint="3F"/>
    </w:tcPr>
    <w:tblStylePr w:type="firstRow">
      <w:rPr>
        <w:b/>
        <w:bCs/>
      </w:rPr>
    </w:tblStylePr>
    <w:tblStylePr w:type="lastRow">
      <w:rPr>
        <w:b/>
        <w:bCs/>
      </w:rPr>
      <w:tblPr/>
      <w:tcPr>
        <w:tcBorders>
          <w:top w:val="single" w:sz="18" w:space="0" w:color="CEE1ED" w:themeColor="accent3" w:themeTint="BF"/>
        </w:tcBorders>
      </w:tcPr>
    </w:tblStylePr>
    <w:tblStylePr w:type="firstCol">
      <w:rPr>
        <w:b/>
        <w:bCs/>
      </w:rPr>
    </w:tblStylePr>
    <w:tblStylePr w:type="lastCol">
      <w:rPr>
        <w:b/>
        <w:bCs/>
      </w:r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table" w:styleId="MediumGrid1-Accent4">
    <w:name w:val="Medium Grid 1 Accent 4"/>
    <w:basedOn w:val="TableNormal"/>
    <w:uiPriority w:val="67"/>
    <w:semiHidden/>
    <w:rsid w:val="0065503B"/>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65503B"/>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65503B"/>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65503B"/>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65503B"/>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cPr>
      <w:shd w:val="clear" w:color="auto" w:fill="CFE2EE" w:themeFill="accent1" w:themeFillTint="3F"/>
    </w:tcPr>
    <w:tblStylePr w:type="firstRow">
      <w:rPr>
        <w:b/>
        <w:bCs/>
        <w:color w:val="000000" w:themeColor="text1"/>
      </w:rPr>
      <w:tblPr/>
      <w:tcPr>
        <w:shd w:val="clear" w:color="auto" w:fill="EBF3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7F1" w:themeFill="accent1" w:themeFillTint="33"/>
      </w:tcPr>
    </w:tblStylePr>
    <w:tblStylePr w:type="band1Vert">
      <w:tblPr/>
      <w:tcPr>
        <w:shd w:val="clear" w:color="auto" w:fill="9EC4DE" w:themeFill="accent1" w:themeFillTint="7F"/>
      </w:tcPr>
    </w:tblStylePr>
    <w:tblStylePr w:type="band1Horz">
      <w:tblPr/>
      <w:tcPr>
        <w:tcBorders>
          <w:insideH w:val="single" w:sz="6" w:space="0" w:color="408ABB" w:themeColor="accent1"/>
          <w:insideV w:val="single" w:sz="6" w:space="0" w:color="408ABB" w:themeColor="accent1"/>
        </w:tcBorders>
        <w:shd w:val="clear" w:color="auto" w:fill="9EC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65503B"/>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cPr>
      <w:shd w:val="clear" w:color="auto" w:fill="DFEBF3" w:themeFill="accent2" w:themeFillTint="3F"/>
    </w:tcPr>
    <w:tblStylePr w:type="firstRow">
      <w:rPr>
        <w:b/>
        <w:bCs/>
        <w:color w:val="000000" w:themeColor="text1"/>
      </w:rPr>
      <w:tblPr/>
      <w:tcPr>
        <w:shd w:val="clear" w:color="auto" w:fill="F2F7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FF6" w:themeFill="accent2" w:themeFillTint="33"/>
      </w:tcPr>
    </w:tblStylePr>
    <w:tblStylePr w:type="band1Vert">
      <w:tblPr/>
      <w:tcPr>
        <w:shd w:val="clear" w:color="auto" w:fill="BFD8E8" w:themeFill="accent2" w:themeFillTint="7F"/>
      </w:tcPr>
    </w:tblStylePr>
    <w:tblStylePr w:type="band1Horz">
      <w:tblPr/>
      <w:tcPr>
        <w:tcBorders>
          <w:insideH w:val="single" w:sz="6" w:space="0" w:color="80B1D2" w:themeColor="accent2"/>
          <w:insideV w:val="single" w:sz="6" w:space="0" w:color="80B1D2" w:themeColor="accent2"/>
        </w:tcBorders>
        <w:shd w:val="clear" w:color="auto" w:fill="BFD8E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65503B"/>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cPr>
      <w:shd w:val="clear" w:color="auto" w:fill="EFF5F9"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7FA" w:themeFill="accent3" w:themeFillTint="33"/>
      </w:tcPr>
    </w:tblStylePr>
    <w:tblStylePr w:type="band1Vert">
      <w:tblPr/>
      <w:tcPr>
        <w:shd w:val="clear" w:color="auto" w:fill="DFEBF3" w:themeFill="accent3" w:themeFillTint="7F"/>
      </w:tcPr>
    </w:tblStylePr>
    <w:tblStylePr w:type="band1Horz">
      <w:tblPr/>
      <w:tcPr>
        <w:tcBorders>
          <w:insideH w:val="single" w:sz="6" w:space="0" w:color="BFD8E8" w:themeColor="accent3"/>
          <w:insideV w:val="single" w:sz="6" w:space="0" w:color="BFD8E8" w:themeColor="accent3"/>
        </w:tcBorders>
        <w:shd w:val="clear" w:color="auto" w:fill="DFEBF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65503B"/>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65503B"/>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65503B"/>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65503B"/>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65503B"/>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2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8AB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8AB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C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C4DE" w:themeFill="accent1" w:themeFillTint="7F"/>
      </w:tcPr>
    </w:tblStylePr>
  </w:style>
  <w:style w:type="table" w:styleId="MediumGrid3-Accent2">
    <w:name w:val="Medium Grid 3 Accent 2"/>
    <w:basedOn w:val="TableNormal"/>
    <w:uiPriority w:val="69"/>
    <w:semiHidden/>
    <w:rsid w:val="0065503B"/>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B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1D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1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8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8E8" w:themeFill="accent2" w:themeFillTint="7F"/>
      </w:tcPr>
    </w:tblStylePr>
  </w:style>
  <w:style w:type="table" w:styleId="MediumGrid3-Accent3">
    <w:name w:val="Medium Grid 3 Accent 3"/>
    <w:basedOn w:val="TableNormal"/>
    <w:uiPriority w:val="69"/>
    <w:semiHidden/>
    <w:rsid w:val="0065503B"/>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5F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8E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8E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BF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BF3" w:themeFill="accent3" w:themeFillTint="7F"/>
      </w:tcPr>
    </w:tblStylePr>
  </w:style>
  <w:style w:type="table" w:styleId="MediumGrid3-Accent4">
    <w:name w:val="Medium Grid 3 Accent 4"/>
    <w:basedOn w:val="TableNormal"/>
    <w:uiPriority w:val="69"/>
    <w:semiHidden/>
    <w:rsid w:val="0065503B"/>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65503B"/>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65503B"/>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65503B"/>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3A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65503B"/>
    <w:pPr>
      <w:spacing w:before="0" w:after="0" w:line="240" w:lineRule="auto"/>
    </w:pPr>
    <w:rPr>
      <w:color w:val="000000" w:themeColor="text1"/>
    </w:rPr>
    <w:tblPr>
      <w:tblStyleRowBandSize w:val="1"/>
      <w:tblStyleColBandSize w:val="1"/>
      <w:tblBorders>
        <w:top w:val="single" w:sz="8" w:space="0" w:color="408ABB" w:themeColor="accent1"/>
        <w:bottom w:val="single" w:sz="8" w:space="0" w:color="408ABB" w:themeColor="accent1"/>
      </w:tblBorders>
    </w:tblPr>
    <w:tblStylePr w:type="firstRow">
      <w:rPr>
        <w:rFonts w:asciiTheme="majorHAnsi" w:eastAsiaTheme="majorEastAsia" w:hAnsiTheme="majorHAnsi" w:cstheme="majorBidi"/>
      </w:rPr>
      <w:tblPr/>
      <w:tcPr>
        <w:tcBorders>
          <w:top w:val="nil"/>
          <w:bottom w:val="single" w:sz="8" w:space="0" w:color="408ABB" w:themeColor="accent1"/>
        </w:tcBorders>
      </w:tcPr>
    </w:tblStylePr>
    <w:tblStylePr w:type="lastRow">
      <w:rPr>
        <w:b/>
        <w:bCs/>
        <w:color w:val="0063A5" w:themeColor="text2"/>
      </w:rPr>
      <w:tblPr/>
      <w:tcPr>
        <w:tcBorders>
          <w:top w:val="single" w:sz="8" w:space="0" w:color="408ABB" w:themeColor="accent1"/>
          <w:bottom w:val="single" w:sz="8" w:space="0" w:color="408ABB" w:themeColor="accent1"/>
        </w:tcBorders>
      </w:tcPr>
    </w:tblStylePr>
    <w:tblStylePr w:type="firstCol">
      <w:rPr>
        <w:b/>
        <w:bCs/>
      </w:rPr>
    </w:tblStylePr>
    <w:tblStylePr w:type="lastCol">
      <w:rPr>
        <w:b/>
        <w:bCs/>
      </w:rPr>
      <w:tblPr/>
      <w:tcPr>
        <w:tcBorders>
          <w:top w:val="single" w:sz="8" w:space="0" w:color="408ABB" w:themeColor="accent1"/>
          <w:bottom w:val="single" w:sz="8" w:space="0" w:color="408ABB" w:themeColor="accent1"/>
        </w:tcBorders>
      </w:tcPr>
    </w:tblStylePr>
    <w:tblStylePr w:type="band1Vert">
      <w:tblPr/>
      <w:tcPr>
        <w:shd w:val="clear" w:color="auto" w:fill="CFE2EE" w:themeFill="accent1" w:themeFillTint="3F"/>
      </w:tcPr>
    </w:tblStylePr>
    <w:tblStylePr w:type="band1Horz">
      <w:tblPr/>
      <w:tcPr>
        <w:shd w:val="clear" w:color="auto" w:fill="CFE2EE" w:themeFill="accent1" w:themeFillTint="3F"/>
      </w:tcPr>
    </w:tblStylePr>
  </w:style>
  <w:style w:type="table" w:styleId="MediumList1-Accent2">
    <w:name w:val="Medium List 1 Accent 2"/>
    <w:basedOn w:val="TableNormal"/>
    <w:uiPriority w:val="65"/>
    <w:semiHidden/>
    <w:rsid w:val="0065503B"/>
    <w:pPr>
      <w:spacing w:before="0" w:after="0" w:line="240" w:lineRule="auto"/>
    </w:pPr>
    <w:rPr>
      <w:color w:val="000000" w:themeColor="text1"/>
    </w:rPr>
    <w:tblPr>
      <w:tblStyleRowBandSize w:val="1"/>
      <w:tblStyleColBandSize w:val="1"/>
      <w:tblBorders>
        <w:top w:val="single" w:sz="8" w:space="0" w:color="80B1D2" w:themeColor="accent2"/>
        <w:bottom w:val="single" w:sz="8" w:space="0" w:color="80B1D2" w:themeColor="accent2"/>
      </w:tblBorders>
    </w:tblPr>
    <w:tblStylePr w:type="firstRow">
      <w:rPr>
        <w:rFonts w:asciiTheme="majorHAnsi" w:eastAsiaTheme="majorEastAsia" w:hAnsiTheme="majorHAnsi" w:cstheme="majorBidi"/>
      </w:rPr>
      <w:tblPr/>
      <w:tcPr>
        <w:tcBorders>
          <w:top w:val="nil"/>
          <w:bottom w:val="single" w:sz="8" w:space="0" w:color="80B1D2" w:themeColor="accent2"/>
        </w:tcBorders>
      </w:tcPr>
    </w:tblStylePr>
    <w:tblStylePr w:type="lastRow">
      <w:rPr>
        <w:b/>
        <w:bCs/>
        <w:color w:val="0063A5" w:themeColor="text2"/>
      </w:rPr>
      <w:tblPr/>
      <w:tcPr>
        <w:tcBorders>
          <w:top w:val="single" w:sz="8" w:space="0" w:color="80B1D2" w:themeColor="accent2"/>
          <w:bottom w:val="single" w:sz="8" w:space="0" w:color="80B1D2" w:themeColor="accent2"/>
        </w:tcBorders>
      </w:tcPr>
    </w:tblStylePr>
    <w:tblStylePr w:type="firstCol">
      <w:rPr>
        <w:b/>
        <w:bCs/>
      </w:rPr>
    </w:tblStylePr>
    <w:tblStylePr w:type="lastCol">
      <w:rPr>
        <w:b/>
        <w:bCs/>
      </w:rPr>
      <w:tblPr/>
      <w:tcPr>
        <w:tcBorders>
          <w:top w:val="single" w:sz="8" w:space="0" w:color="80B1D2" w:themeColor="accent2"/>
          <w:bottom w:val="single" w:sz="8" w:space="0" w:color="80B1D2" w:themeColor="accent2"/>
        </w:tcBorders>
      </w:tcPr>
    </w:tblStylePr>
    <w:tblStylePr w:type="band1Vert">
      <w:tblPr/>
      <w:tcPr>
        <w:shd w:val="clear" w:color="auto" w:fill="DFEBF3" w:themeFill="accent2" w:themeFillTint="3F"/>
      </w:tcPr>
    </w:tblStylePr>
    <w:tblStylePr w:type="band1Horz">
      <w:tblPr/>
      <w:tcPr>
        <w:shd w:val="clear" w:color="auto" w:fill="DFEBF3" w:themeFill="accent2" w:themeFillTint="3F"/>
      </w:tcPr>
    </w:tblStylePr>
  </w:style>
  <w:style w:type="table" w:styleId="MediumList1-Accent3">
    <w:name w:val="Medium List 1 Accent 3"/>
    <w:basedOn w:val="TableNormal"/>
    <w:uiPriority w:val="65"/>
    <w:semiHidden/>
    <w:rsid w:val="0065503B"/>
    <w:pPr>
      <w:spacing w:before="0" w:after="0" w:line="240" w:lineRule="auto"/>
    </w:pPr>
    <w:rPr>
      <w:color w:val="000000" w:themeColor="text1"/>
    </w:rPr>
    <w:tblPr>
      <w:tblStyleRowBandSize w:val="1"/>
      <w:tblStyleColBandSize w:val="1"/>
      <w:tblBorders>
        <w:top w:val="single" w:sz="8" w:space="0" w:color="BFD8E8" w:themeColor="accent3"/>
        <w:bottom w:val="single" w:sz="8" w:space="0" w:color="BFD8E8" w:themeColor="accent3"/>
      </w:tblBorders>
    </w:tblPr>
    <w:tblStylePr w:type="firstRow">
      <w:rPr>
        <w:rFonts w:asciiTheme="majorHAnsi" w:eastAsiaTheme="majorEastAsia" w:hAnsiTheme="majorHAnsi" w:cstheme="majorBidi"/>
      </w:rPr>
      <w:tblPr/>
      <w:tcPr>
        <w:tcBorders>
          <w:top w:val="nil"/>
          <w:bottom w:val="single" w:sz="8" w:space="0" w:color="BFD8E8" w:themeColor="accent3"/>
        </w:tcBorders>
      </w:tcPr>
    </w:tblStylePr>
    <w:tblStylePr w:type="lastRow">
      <w:rPr>
        <w:b/>
        <w:bCs/>
        <w:color w:val="0063A5" w:themeColor="text2"/>
      </w:rPr>
      <w:tblPr/>
      <w:tcPr>
        <w:tcBorders>
          <w:top w:val="single" w:sz="8" w:space="0" w:color="BFD8E8" w:themeColor="accent3"/>
          <w:bottom w:val="single" w:sz="8" w:space="0" w:color="BFD8E8" w:themeColor="accent3"/>
        </w:tcBorders>
      </w:tcPr>
    </w:tblStylePr>
    <w:tblStylePr w:type="firstCol">
      <w:rPr>
        <w:b/>
        <w:bCs/>
      </w:rPr>
    </w:tblStylePr>
    <w:tblStylePr w:type="lastCol">
      <w:rPr>
        <w:b/>
        <w:bCs/>
      </w:rPr>
      <w:tblPr/>
      <w:tcPr>
        <w:tcBorders>
          <w:top w:val="single" w:sz="8" w:space="0" w:color="BFD8E8" w:themeColor="accent3"/>
          <w:bottom w:val="single" w:sz="8" w:space="0" w:color="BFD8E8" w:themeColor="accent3"/>
        </w:tcBorders>
      </w:tcPr>
    </w:tblStylePr>
    <w:tblStylePr w:type="band1Vert">
      <w:tblPr/>
      <w:tcPr>
        <w:shd w:val="clear" w:color="auto" w:fill="EFF5F9" w:themeFill="accent3" w:themeFillTint="3F"/>
      </w:tcPr>
    </w:tblStylePr>
    <w:tblStylePr w:type="band1Horz">
      <w:tblPr/>
      <w:tcPr>
        <w:shd w:val="clear" w:color="auto" w:fill="EFF5F9" w:themeFill="accent3" w:themeFillTint="3F"/>
      </w:tcPr>
    </w:tblStylePr>
  </w:style>
  <w:style w:type="table" w:styleId="MediumList1-Accent4">
    <w:name w:val="Medium List 1 Accent 4"/>
    <w:basedOn w:val="TableNormal"/>
    <w:uiPriority w:val="65"/>
    <w:semiHidden/>
    <w:rsid w:val="0065503B"/>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63A5"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65503B"/>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63A5"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65503B"/>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63A5"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65503B"/>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65503B"/>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rPr>
        <w:sz w:val="24"/>
        <w:szCs w:val="24"/>
      </w:rPr>
      <w:tblPr/>
      <w:tcPr>
        <w:tcBorders>
          <w:top w:val="nil"/>
          <w:left w:val="nil"/>
          <w:bottom w:val="single" w:sz="24" w:space="0" w:color="408ABB" w:themeColor="accent1"/>
          <w:right w:val="nil"/>
          <w:insideH w:val="nil"/>
          <w:insideV w:val="nil"/>
        </w:tcBorders>
        <w:shd w:val="clear" w:color="auto" w:fill="FFFFFF" w:themeFill="background1"/>
      </w:tcPr>
    </w:tblStylePr>
    <w:tblStylePr w:type="lastRow">
      <w:tblPr/>
      <w:tcPr>
        <w:tcBorders>
          <w:top w:val="single" w:sz="8" w:space="0" w:color="408AB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8ABB" w:themeColor="accent1"/>
          <w:insideH w:val="nil"/>
          <w:insideV w:val="nil"/>
        </w:tcBorders>
        <w:shd w:val="clear" w:color="auto" w:fill="FFFFFF" w:themeFill="background1"/>
      </w:tcPr>
    </w:tblStylePr>
    <w:tblStylePr w:type="lastCol">
      <w:tblPr/>
      <w:tcPr>
        <w:tcBorders>
          <w:top w:val="nil"/>
          <w:left w:val="single" w:sz="8" w:space="0" w:color="408AB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top w:val="nil"/>
          <w:bottom w:val="nil"/>
          <w:insideH w:val="nil"/>
          <w:insideV w:val="nil"/>
        </w:tcBorders>
        <w:shd w:val="clear" w:color="auto" w:fill="CFE2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65503B"/>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rPr>
        <w:sz w:val="24"/>
        <w:szCs w:val="24"/>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tblPr/>
      <w:tcPr>
        <w:tcBorders>
          <w:top w:val="single" w:sz="8" w:space="0" w:color="80B1D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1D2" w:themeColor="accent2"/>
          <w:insideH w:val="nil"/>
          <w:insideV w:val="nil"/>
        </w:tcBorders>
        <w:shd w:val="clear" w:color="auto" w:fill="FFFFFF" w:themeFill="background1"/>
      </w:tcPr>
    </w:tblStylePr>
    <w:tblStylePr w:type="lastCol">
      <w:tblPr/>
      <w:tcPr>
        <w:tcBorders>
          <w:top w:val="nil"/>
          <w:left w:val="single" w:sz="8" w:space="0" w:color="80B1D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top w:val="nil"/>
          <w:bottom w:val="nil"/>
          <w:insideH w:val="nil"/>
          <w:insideV w:val="nil"/>
        </w:tcBorders>
        <w:shd w:val="clear" w:color="auto" w:fill="DFEB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65503B"/>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rPr>
        <w:sz w:val="24"/>
        <w:szCs w:val="24"/>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tblPr/>
      <w:tcPr>
        <w:tcBorders>
          <w:top w:val="single" w:sz="8" w:space="0" w:color="BFD8E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8E8" w:themeColor="accent3"/>
          <w:insideH w:val="nil"/>
          <w:insideV w:val="nil"/>
        </w:tcBorders>
        <w:shd w:val="clear" w:color="auto" w:fill="FFFFFF" w:themeFill="background1"/>
      </w:tcPr>
    </w:tblStylePr>
    <w:tblStylePr w:type="lastCol">
      <w:tblPr/>
      <w:tcPr>
        <w:tcBorders>
          <w:top w:val="nil"/>
          <w:left w:val="single" w:sz="8" w:space="0" w:color="BFD8E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top w:val="nil"/>
          <w:bottom w:val="nil"/>
          <w:insideH w:val="nil"/>
          <w:insideV w:val="nil"/>
        </w:tcBorders>
        <w:shd w:val="clear" w:color="auto" w:fill="EFF5F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65503B"/>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65503B"/>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65503B"/>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65503B"/>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65503B"/>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tblBorders>
    </w:tblPr>
    <w:tblStylePr w:type="firstRow">
      <w:pPr>
        <w:spacing w:before="0" w:after="0" w:line="240" w:lineRule="auto"/>
      </w:pPr>
      <w:rPr>
        <w:b/>
        <w:bCs/>
        <w:color w:val="FFFFFF" w:themeColor="background1"/>
      </w:rPr>
      <w:tblPr/>
      <w:tcPr>
        <w:tc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shd w:val="clear" w:color="auto" w:fill="408ABB" w:themeFill="accent1"/>
      </w:tcPr>
    </w:tblStylePr>
    <w:tblStylePr w:type="lastRow">
      <w:pPr>
        <w:spacing w:before="0" w:after="0" w:line="240" w:lineRule="auto"/>
      </w:pPr>
      <w:rPr>
        <w:b/>
        <w:bCs/>
      </w:rPr>
      <w:tblPr/>
      <w:tcPr>
        <w:tcBorders>
          <w:top w:val="double" w:sz="6"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E2EE" w:themeFill="accent1" w:themeFillTint="3F"/>
      </w:tcPr>
    </w:tblStylePr>
    <w:tblStylePr w:type="band1Horz">
      <w:tblPr/>
      <w:tcPr>
        <w:tcBorders>
          <w:insideH w:val="nil"/>
          <w:insideV w:val="nil"/>
        </w:tcBorders>
        <w:shd w:val="clear" w:color="auto" w:fill="CFE2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65503B"/>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tblBorders>
    </w:tblPr>
    <w:tblStylePr w:type="firstRow">
      <w:pPr>
        <w:spacing w:before="0" w:after="0" w:line="240" w:lineRule="auto"/>
      </w:pPr>
      <w:rPr>
        <w:b/>
        <w:bCs/>
        <w:color w:val="FFFFFF" w:themeColor="background1"/>
      </w:rPr>
      <w:tblPr/>
      <w:tcPr>
        <w:tc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shd w:val="clear" w:color="auto" w:fill="80B1D2" w:themeFill="accent2"/>
      </w:tcPr>
    </w:tblStylePr>
    <w:tblStylePr w:type="lastRow">
      <w:pPr>
        <w:spacing w:before="0" w:after="0" w:line="240" w:lineRule="auto"/>
      </w:pPr>
      <w:rPr>
        <w:b/>
        <w:bCs/>
      </w:rPr>
      <w:tblPr/>
      <w:tcPr>
        <w:tcBorders>
          <w:top w:val="double" w:sz="6"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BF3" w:themeFill="accent2" w:themeFillTint="3F"/>
      </w:tcPr>
    </w:tblStylePr>
    <w:tblStylePr w:type="band1Horz">
      <w:tblPr/>
      <w:tcPr>
        <w:tcBorders>
          <w:insideH w:val="nil"/>
          <w:insideV w:val="nil"/>
        </w:tcBorders>
        <w:shd w:val="clear" w:color="auto" w:fill="DFEBF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65503B"/>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tblBorders>
    </w:tblPr>
    <w:tblStylePr w:type="firstRow">
      <w:pPr>
        <w:spacing w:before="0" w:after="0" w:line="240" w:lineRule="auto"/>
      </w:pPr>
      <w:rPr>
        <w:b/>
        <w:bCs/>
        <w:color w:val="FFFFFF" w:themeColor="background1"/>
      </w:rPr>
      <w:tblPr/>
      <w:tcPr>
        <w:tc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shd w:val="clear" w:color="auto" w:fill="BFD8E8" w:themeFill="accent3"/>
      </w:tcPr>
    </w:tblStylePr>
    <w:tblStylePr w:type="lastRow">
      <w:pPr>
        <w:spacing w:before="0" w:after="0" w:line="240" w:lineRule="auto"/>
      </w:pPr>
      <w:rPr>
        <w:b/>
        <w:bCs/>
      </w:rPr>
      <w:tblPr/>
      <w:tcPr>
        <w:tcBorders>
          <w:top w:val="double" w:sz="6"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5F9" w:themeFill="accent3" w:themeFillTint="3F"/>
      </w:tcPr>
    </w:tblStylePr>
    <w:tblStylePr w:type="band1Horz">
      <w:tblPr/>
      <w:tcPr>
        <w:tcBorders>
          <w:insideH w:val="nil"/>
          <w:insideV w:val="nil"/>
        </w:tcBorders>
        <w:shd w:val="clear" w:color="auto" w:fill="EFF5F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65503B"/>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65503B"/>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65503B"/>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65503B"/>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65503B"/>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8AB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8ABB" w:themeFill="accent1"/>
      </w:tcPr>
    </w:tblStylePr>
    <w:tblStylePr w:type="lastCol">
      <w:rPr>
        <w:b/>
        <w:bCs/>
        <w:color w:val="FFFFFF" w:themeColor="background1"/>
      </w:rPr>
      <w:tblPr/>
      <w:tcPr>
        <w:tcBorders>
          <w:left w:val="nil"/>
          <w:right w:val="nil"/>
          <w:insideH w:val="nil"/>
          <w:insideV w:val="nil"/>
        </w:tcBorders>
        <w:shd w:val="clear" w:color="auto" w:fill="408AB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65503B"/>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1D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1D2" w:themeFill="accent2"/>
      </w:tcPr>
    </w:tblStylePr>
    <w:tblStylePr w:type="lastCol">
      <w:rPr>
        <w:b/>
        <w:bCs/>
        <w:color w:val="FFFFFF" w:themeColor="background1"/>
      </w:rPr>
      <w:tblPr/>
      <w:tcPr>
        <w:tcBorders>
          <w:left w:val="nil"/>
          <w:right w:val="nil"/>
          <w:insideH w:val="nil"/>
          <w:insideV w:val="nil"/>
        </w:tcBorders>
        <w:shd w:val="clear" w:color="auto" w:fill="80B1D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65503B"/>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8E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8E8" w:themeFill="accent3"/>
      </w:tcPr>
    </w:tblStylePr>
    <w:tblStylePr w:type="lastCol">
      <w:rPr>
        <w:b/>
        <w:bCs/>
        <w:color w:val="FFFFFF" w:themeColor="background1"/>
      </w:rPr>
      <w:tblPr/>
      <w:tcPr>
        <w:tcBorders>
          <w:left w:val="nil"/>
          <w:right w:val="nil"/>
          <w:insideH w:val="nil"/>
          <w:insideV w:val="nil"/>
        </w:tcBorders>
        <w:shd w:val="clear" w:color="auto" w:fill="BFD8E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65503B"/>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65503B"/>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65503B"/>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65503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65503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65503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65503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65503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6550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65503B"/>
    <w:pPr>
      <w:spacing w:after="120"/>
    </w:pPr>
    <w:rPr>
      <w:color w:val="0063A5" w:themeColor="text2"/>
    </w:rPr>
  </w:style>
  <w:style w:type="paragraph" w:customStyle="1" w:styleId="SCVpulloutheading">
    <w:name w:val="SCV pullout heading"/>
    <w:basedOn w:val="SCVpullouttext"/>
    <w:next w:val="SCVpullouttext"/>
    <w:uiPriority w:val="13"/>
    <w:qFormat/>
    <w:rsid w:val="0065503B"/>
    <w:pPr>
      <w:keepNext/>
      <w:keepLines/>
      <w:spacing w:before="0" w:line="240" w:lineRule="auto"/>
    </w:pPr>
    <w:rPr>
      <w:rFonts w:asciiTheme="majorHAnsi" w:hAnsiTheme="majorHAnsi"/>
      <w:bCs/>
      <w:sz w:val="24"/>
    </w:rPr>
  </w:style>
  <w:style w:type="table" w:customStyle="1" w:styleId="SCVInformationTable">
    <w:name w:val="SCV Information Table"/>
    <w:basedOn w:val="TableNormal"/>
    <w:uiPriority w:val="99"/>
    <w:rsid w:val="0065503B"/>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65503B"/>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65503B"/>
    <w:rPr>
      <w:rFonts w:asciiTheme="majorHAnsi" w:eastAsiaTheme="majorEastAsia" w:hAnsiTheme="majorHAnsi" w:cstheme="majorBidi"/>
      <w:color w:val="30678C" w:themeColor="accent1" w:themeShade="BF"/>
    </w:rPr>
  </w:style>
  <w:style w:type="paragraph" w:customStyle="1" w:styleId="SCVnumberloweralphaindent">
    <w:name w:val="SCV number lower alpha indent"/>
    <w:basedOn w:val="SCVbody"/>
    <w:uiPriority w:val="29"/>
    <w:rsid w:val="0065503B"/>
    <w:pPr>
      <w:numPr>
        <w:ilvl w:val="1"/>
        <w:numId w:val="28"/>
      </w:numPr>
      <w:spacing w:before="60" w:after="60"/>
    </w:pPr>
    <w:rPr>
      <w:rFonts w:eastAsia="Times New Roman" w:cstheme="minorHAnsi"/>
      <w:lang w:eastAsia="en-US"/>
    </w:rPr>
  </w:style>
  <w:style w:type="paragraph" w:customStyle="1" w:styleId="SCVtablebody">
    <w:name w:val="SCV table body"/>
    <w:uiPriority w:val="22"/>
    <w:qFormat/>
    <w:rsid w:val="0092445D"/>
    <w:pPr>
      <w:spacing w:before="80" w:after="60" w:line="240" w:lineRule="atLeast"/>
    </w:pPr>
    <w:rPr>
      <w:rFonts w:ascii="Arial" w:eastAsia="Times New Roman" w:hAnsi="Arial" w:cstheme="minorHAnsi"/>
      <w:sz w:val="18"/>
      <w:szCs w:val="21"/>
      <w:lang w:eastAsia="en-US"/>
    </w:rPr>
  </w:style>
  <w:style w:type="paragraph" w:customStyle="1" w:styleId="SCVnumberdigit">
    <w:name w:val="SCV number digit"/>
    <w:basedOn w:val="SCVbody"/>
    <w:uiPriority w:val="29"/>
    <w:rsid w:val="0065503B"/>
    <w:pPr>
      <w:numPr>
        <w:numId w:val="28"/>
      </w:numPr>
      <w:spacing w:before="60" w:after="60"/>
    </w:pPr>
    <w:rPr>
      <w:rFonts w:eastAsia="Times New Roman" w:cstheme="minorHAnsi"/>
      <w:lang w:eastAsia="en-US"/>
    </w:rPr>
  </w:style>
  <w:style w:type="paragraph" w:customStyle="1" w:styleId="SCVtablecolhead">
    <w:name w:val="SCV table col head"/>
    <w:uiPriority w:val="3"/>
    <w:qFormat/>
    <w:rsid w:val="0092445D"/>
    <w:pPr>
      <w:keepNext/>
      <w:keepLines/>
      <w:spacing w:before="80" w:after="60" w:line="240" w:lineRule="auto"/>
    </w:pPr>
    <w:rPr>
      <w:rFonts w:ascii="Arial" w:eastAsia="Times New Roman" w:hAnsi="Arial" w:cstheme="minorHAnsi"/>
      <w:b/>
      <w:color w:val="0063A5" w:themeColor="text2"/>
      <w:sz w:val="18"/>
      <w:szCs w:val="18"/>
      <w:lang w:eastAsia="en-US"/>
    </w:rPr>
  </w:style>
  <w:style w:type="paragraph" w:customStyle="1" w:styleId="SCVbodyaftertablefigure">
    <w:name w:val="SCV body after table/figure"/>
    <w:basedOn w:val="SCVbody"/>
    <w:next w:val="SCVbody"/>
    <w:uiPriority w:val="24"/>
    <w:rsid w:val="0065503B"/>
    <w:pPr>
      <w:spacing w:before="240"/>
    </w:pPr>
    <w:rPr>
      <w:rFonts w:eastAsia="Times New Roman" w:cstheme="minorHAnsi"/>
      <w:lang w:eastAsia="en-US"/>
    </w:rPr>
  </w:style>
  <w:style w:type="paragraph" w:customStyle="1" w:styleId="SCVquote">
    <w:name w:val="SCV quote"/>
    <w:basedOn w:val="SCVbody"/>
    <w:uiPriority w:val="29"/>
    <w:rsid w:val="0065503B"/>
    <w:pPr>
      <w:ind w:left="397"/>
    </w:pPr>
    <w:rPr>
      <w:rFonts w:eastAsia="Times New Roman" w:cstheme="minorHAnsi"/>
      <w:color w:val="0063A5" w:themeColor="text2"/>
      <w:szCs w:val="18"/>
      <w:lang w:eastAsia="en-US"/>
    </w:rPr>
  </w:style>
  <w:style w:type="numbering" w:customStyle="1" w:styleId="ZZBulletsafternumbers">
    <w:name w:val="ZZ Bullets after numbers"/>
    <w:basedOn w:val="NoList"/>
    <w:uiPriority w:val="99"/>
    <w:rsid w:val="0065503B"/>
    <w:pPr>
      <w:numPr>
        <w:numId w:val="7"/>
      </w:numPr>
    </w:pPr>
  </w:style>
  <w:style w:type="paragraph" w:customStyle="1" w:styleId="SCVbulletafternumbers">
    <w:name w:val="SCV bullet after numbers"/>
    <w:basedOn w:val="SCVbody"/>
    <w:uiPriority w:val="24"/>
    <w:rsid w:val="0065503B"/>
    <w:pPr>
      <w:numPr>
        <w:ilvl w:val="1"/>
        <w:numId w:val="27"/>
      </w:numPr>
      <w:spacing w:before="60" w:after="60"/>
    </w:pPr>
  </w:style>
  <w:style w:type="paragraph" w:customStyle="1" w:styleId="SCVquotebullet1">
    <w:name w:val="SCV quote bullet 1"/>
    <w:basedOn w:val="SCVquote"/>
    <w:uiPriority w:val="29"/>
    <w:rsid w:val="0065503B"/>
    <w:pPr>
      <w:numPr>
        <w:numId w:val="30"/>
      </w:numPr>
      <w:spacing w:before="60" w:after="60"/>
    </w:pPr>
  </w:style>
  <w:style w:type="paragraph" w:customStyle="1" w:styleId="SCVquotebullet2">
    <w:name w:val="SCV quote bullet 2"/>
    <w:basedOn w:val="SCVquote"/>
    <w:uiPriority w:val="29"/>
    <w:rsid w:val="0065503B"/>
    <w:pPr>
      <w:numPr>
        <w:ilvl w:val="1"/>
        <w:numId w:val="30"/>
      </w:numPr>
      <w:spacing w:before="60" w:after="60"/>
    </w:pPr>
  </w:style>
  <w:style w:type="paragraph" w:customStyle="1" w:styleId="SCVtablebullet1">
    <w:name w:val="SCV table bullet 1"/>
    <w:basedOn w:val="SCVtablebody"/>
    <w:uiPriority w:val="23"/>
    <w:qFormat/>
    <w:rsid w:val="0065503B"/>
    <w:pPr>
      <w:numPr>
        <w:numId w:val="31"/>
      </w:numPr>
    </w:pPr>
    <w:rPr>
      <w:szCs w:val="18"/>
    </w:rPr>
  </w:style>
  <w:style w:type="paragraph" w:customStyle="1" w:styleId="SCVtablebullet2">
    <w:name w:val="SCV table bullet 2"/>
    <w:basedOn w:val="SCVtablebody"/>
    <w:uiPriority w:val="23"/>
    <w:rsid w:val="0065503B"/>
    <w:pPr>
      <w:numPr>
        <w:ilvl w:val="1"/>
        <w:numId w:val="31"/>
      </w:numPr>
    </w:pPr>
    <w:rPr>
      <w:szCs w:val="18"/>
    </w:rPr>
  </w:style>
  <w:style w:type="character" w:customStyle="1" w:styleId="SCVbodyChar">
    <w:name w:val="SCV body Char"/>
    <w:basedOn w:val="DefaultParagraphFont"/>
    <w:link w:val="SCVbody"/>
    <w:locked/>
    <w:rsid w:val="0092445D"/>
    <w:rPr>
      <w:rFonts w:ascii="Arial" w:hAnsi="Arial"/>
      <w:szCs w:val="19"/>
    </w:rPr>
  </w:style>
  <w:style w:type="numbering" w:customStyle="1" w:styleId="ZZNumbersdigit">
    <w:name w:val="ZZ Numbers digit"/>
    <w:rsid w:val="0065503B"/>
    <w:pPr>
      <w:numPr>
        <w:numId w:val="8"/>
      </w:numPr>
    </w:pPr>
  </w:style>
  <w:style w:type="numbering" w:customStyle="1" w:styleId="ZZTablebullets">
    <w:name w:val="ZZ Table bullets"/>
    <w:rsid w:val="0065503B"/>
    <w:pPr>
      <w:numPr>
        <w:numId w:val="11"/>
      </w:numPr>
    </w:pPr>
  </w:style>
  <w:style w:type="numbering" w:customStyle="1" w:styleId="ZZQuotebullets">
    <w:name w:val="ZZ Quote bullets"/>
    <w:rsid w:val="0065503B"/>
    <w:pPr>
      <w:numPr>
        <w:numId w:val="10"/>
      </w:numPr>
    </w:pPr>
  </w:style>
  <w:style w:type="paragraph" w:customStyle="1" w:styleId="SCVheader">
    <w:name w:val="SCV header"/>
    <w:basedOn w:val="Header"/>
    <w:uiPriority w:val="1"/>
    <w:rsid w:val="0065503B"/>
    <w:pPr>
      <w:pBdr>
        <w:bottom w:val="single" w:sz="24" w:space="1" w:color="CCCCD0"/>
      </w:pBdr>
    </w:pPr>
  </w:style>
  <w:style w:type="paragraph" w:customStyle="1" w:styleId="SCVtablerowhead">
    <w:name w:val="SCV table row head"/>
    <w:basedOn w:val="SCVtablecolhead"/>
    <w:uiPriority w:val="21"/>
    <w:qFormat/>
    <w:rsid w:val="0092445D"/>
    <w:rPr>
      <w:rFonts w:cs="Times New Roman"/>
    </w:rPr>
  </w:style>
  <w:style w:type="paragraph" w:customStyle="1" w:styleId="SCVaccessibilitypara">
    <w:name w:val="SCV accessibility para"/>
    <w:basedOn w:val="SCVbody"/>
    <w:uiPriority w:val="29"/>
    <w:rsid w:val="0065503B"/>
    <w:rPr>
      <w:sz w:val="24"/>
    </w:rPr>
  </w:style>
  <w:style w:type="character" w:styleId="UnresolvedMention">
    <w:name w:val="Unresolved Mention"/>
    <w:basedOn w:val="DefaultParagraphFont"/>
    <w:uiPriority w:val="99"/>
    <w:semiHidden/>
    <w:unhideWhenUsed/>
    <w:rsid w:val="0065503B"/>
    <w:rPr>
      <w:color w:val="605E5C"/>
      <w:shd w:val="clear" w:color="auto" w:fill="E1DFDD"/>
    </w:rPr>
  </w:style>
  <w:style w:type="character" w:styleId="FollowedHyperlink">
    <w:name w:val="FollowedHyperlink"/>
    <w:basedOn w:val="DefaultParagraphFont"/>
    <w:uiPriority w:val="1"/>
    <w:rsid w:val="0065503B"/>
    <w:rPr>
      <w:color w:val="0063A5" w:themeColor="text2"/>
      <w:u w:val="single"/>
    </w:rPr>
  </w:style>
  <w:style w:type="table" w:customStyle="1" w:styleId="SCVpulloutbox">
    <w:name w:val="SCV pullout box"/>
    <w:basedOn w:val="PlainTable1"/>
    <w:uiPriority w:val="99"/>
    <w:rsid w:val="00040E1E"/>
    <w:pPr>
      <w:spacing w:before="0" w:after="120" w:line="280" w:lineRule="atLeast"/>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6EFF6" w:themeFill="background2"/>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65503B"/>
    <w:pPr>
      <w:numPr>
        <w:numId w:val="12"/>
      </w:numPr>
    </w:pPr>
  </w:style>
  <w:style w:type="paragraph" w:customStyle="1" w:styleId="SCVtablenumber1">
    <w:name w:val="SCV table number 1"/>
    <w:basedOn w:val="SCVtablebody"/>
    <w:uiPriority w:val="29"/>
    <w:rsid w:val="0065503B"/>
    <w:pPr>
      <w:numPr>
        <w:numId w:val="32"/>
      </w:numPr>
    </w:pPr>
  </w:style>
  <w:style w:type="paragraph" w:customStyle="1" w:styleId="SCVtablenumber2">
    <w:name w:val="SCV table number 2"/>
    <w:basedOn w:val="SCVtablebody"/>
    <w:uiPriority w:val="29"/>
    <w:rsid w:val="0065503B"/>
    <w:pPr>
      <w:numPr>
        <w:ilvl w:val="1"/>
        <w:numId w:val="32"/>
      </w:numPr>
      <w:spacing w:before="60" w:line="192" w:lineRule="atLeast"/>
    </w:pPr>
    <w:rPr>
      <w:rFonts w:eastAsiaTheme="minorHAnsi"/>
    </w:rPr>
  </w:style>
  <w:style w:type="paragraph" w:customStyle="1" w:styleId="SCVTOCheading">
    <w:name w:val="SCV TOC heading"/>
    <w:basedOn w:val="Heading1"/>
    <w:uiPriority w:val="29"/>
    <w:rsid w:val="0065503B"/>
  </w:style>
  <w:style w:type="paragraph" w:customStyle="1" w:styleId="SCVprotectivemarkingbelowsubtitle">
    <w:name w:val="SCV protective marking below subtitle"/>
    <w:basedOn w:val="SCVbody"/>
    <w:uiPriority w:val="1"/>
    <w:rsid w:val="0065503B"/>
    <w:pPr>
      <w:spacing w:before="400" w:after="400" w:line="240" w:lineRule="auto"/>
    </w:pPr>
    <w:rPr>
      <w:caps/>
      <w:color w:val="FFFFFF" w:themeColor="background1"/>
      <w:sz w:val="24"/>
      <w:szCs w:val="24"/>
    </w:rPr>
  </w:style>
  <w:style w:type="character" w:styleId="CommentReference">
    <w:name w:val="annotation reference"/>
    <w:basedOn w:val="DefaultParagraphFont"/>
    <w:uiPriority w:val="1"/>
    <w:semiHidden/>
    <w:unhideWhenUsed/>
    <w:rsid w:val="0065503B"/>
    <w:rPr>
      <w:sz w:val="16"/>
      <w:szCs w:val="16"/>
    </w:rPr>
  </w:style>
  <w:style w:type="paragraph" w:styleId="CommentText">
    <w:name w:val="annotation text"/>
    <w:basedOn w:val="Normal"/>
    <w:link w:val="CommentTextChar"/>
    <w:uiPriority w:val="1"/>
    <w:semiHidden/>
    <w:unhideWhenUsed/>
    <w:rsid w:val="0065503B"/>
    <w:pPr>
      <w:spacing w:line="240" w:lineRule="auto"/>
    </w:pPr>
  </w:style>
  <w:style w:type="character" w:customStyle="1" w:styleId="CommentTextChar">
    <w:name w:val="Comment Text Char"/>
    <w:basedOn w:val="DefaultParagraphFont"/>
    <w:link w:val="CommentText"/>
    <w:uiPriority w:val="1"/>
    <w:semiHidden/>
    <w:rsid w:val="0065503B"/>
  </w:style>
  <w:style w:type="paragraph" w:styleId="CommentSubject">
    <w:name w:val="annotation subject"/>
    <w:basedOn w:val="CommentText"/>
    <w:next w:val="CommentText"/>
    <w:link w:val="CommentSubjectChar"/>
    <w:uiPriority w:val="1"/>
    <w:semiHidden/>
    <w:unhideWhenUsed/>
    <w:rsid w:val="0065503B"/>
    <w:rPr>
      <w:b/>
      <w:bCs/>
    </w:rPr>
  </w:style>
  <w:style w:type="character" w:customStyle="1" w:styleId="CommentSubjectChar">
    <w:name w:val="Comment Subject Char"/>
    <w:basedOn w:val="CommentTextChar"/>
    <w:link w:val="CommentSubject"/>
    <w:uiPriority w:val="1"/>
    <w:semiHidden/>
    <w:rsid w:val="0065503B"/>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65503B"/>
    <w:pPr>
      <w:spacing w:before="0" w:after="120"/>
    </w:pPr>
    <w:rPr>
      <w:sz w:val="18"/>
      <w:szCs w:val="18"/>
    </w:rPr>
  </w:style>
  <w:style w:type="paragraph" w:customStyle="1" w:styleId="SCVpulloutbullet">
    <w:name w:val="SCV pullout bullet"/>
    <w:basedOn w:val="SCVpullouttext"/>
    <w:uiPriority w:val="1"/>
    <w:rsid w:val="0065503B"/>
    <w:pPr>
      <w:numPr>
        <w:numId w:val="29"/>
      </w:numPr>
      <w:spacing w:before="0"/>
    </w:pPr>
  </w:style>
  <w:style w:type="numbering" w:customStyle="1" w:styleId="ZZPulloutbullets">
    <w:name w:val="ZZ Pullout bullets"/>
    <w:basedOn w:val="NoList"/>
    <w:uiPriority w:val="99"/>
    <w:rsid w:val="0065503B"/>
    <w:pPr>
      <w:numPr>
        <w:numId w:val="9"/>
      </w:numPr>
    </w:pPr>
  </w:style>
  <w:style w:type="paragraph" w:customStyle="1" w:styleId="SCVdate">
    <w:name w:val="SCV date"/>
    <w:basedOn w:val="SCVbody"/>
    <w:uiPriority w:val="1"/>
    <w:rsid w:val="0065503B"/>
    <w:pPr>
      <w:spacing w:before="0" w:after="0"/>
    </w:pPr>
    <w:rPr>
      <w:b/>
      <w:bCs/>
      <w:sz w:val="28"/>
      <w:szCs w:val="28"/>
    </w:rPr>
  </w:style>
  <w:style w:type="paragraph" w:customStyle="1" w:styleId="SCVborderabovetitle">
    <w:name w:val="SCV border above title"/>
    <w:basedOn w:val="SCVbody"/>
    <w:uiPriority w:val="1"/>
    <w:rsid w:val="0065503B"/>
    <w:pPr>
      <w:pBdr>
        <w:top w:val="single" w:sz="24" w:space="1" w:color="D9D9D9" w:themeColor="background1" w:themeShade="D9"/>
      </w:pBdr>
      <w:spacing w:before="0" w:after="0"/>
    </w:pPr>
    <w:rPr>
      <w:sz w:val="12"/>
    </w:rPr>
  </w:style>
  <w:style w:type="paragraph" w:customStyle="1" w:styleId="SCVfooter">
    <w:name w:val="SCV footer"/>
    <w:basedOn w:val="Footer"/>
    <w:uiPriority w:val="99"/>
    <w:rsid w:val="0065503B"/>
    <w:pPr>
      <w:pBdr>
        <w:top w:val="single" w:sz="8" w:space="6" w:color="CCCCD0"/>
      </w:pBdr>
      <w:spacing w:line="240" w:lineRule="auto"/>
    </w:pPr>
    <w:rPr>
      <w:sz w:val="18"/>
    </w:rPr>
  </w:style>
  <w:style w:type="paragraph" w:customStyle="1" w:styleId="Tableheader">
    <w:name w:val="Table header"/>
    <w:basedOn w:val="Normal"/>
    <w:uiPriority w:val="2"/>
    <w:qFormat/>
    <w:rsid w:val="00F16C4F"/>
    <w:pPr>
      <w:keepNext/>
      <w:keepLines/>
      <w:spacing w:before="0" w:after="0" w:line="260" w:lineRule="atLeast"/>
    </w:pPr>
    <w:rPr>
      <w:rFonts w:ascii="Arial" w:eastAsiaTheme="minorHAnsi" w:hAnsi="Arial" w:cs="Arial"/>
      <w:b/>
      <w:noProof/>
      <w:color w:val="0063A5"/>
      <w:sz w:val="16"/>
      <w:szCs w:val="21"/>
      <w:lang w:eastAsia="en-US"/>
    </w:rPr>
  </w:style>
  <w:style w:type="table" w:customStyle="1" w:styleId="TableGrid1">
    <w:name w:val="Table Grid1"/>
    <w:basedOn w:val="TableNormal"/>
    <w:next w:val="TableGrid"/>
    <w:uiPriority w:val="59"/>
    <w:rsid w:val="00F16C4F"/>
    <w:pPr>
      <w:spacing w:before="60" w:after="60" w:line="192" w:lineRule="atLeast"/>
    </w:pPr>
    <w:rPr>
      <w:rFonts w:eastAsia="Arial"/>
      <w:sz w:val="16"/>
      <w:szCs w:val="21"/>
      <w:lang w:eastAsia="en-US"/>
    </w:rPr>
    <w:tblPr>
      <w:tblStyleColBandSize w:val="1"/>
      <w:tblBorders>
        <w:top w:val="single" w:sz="2" w:space="0" w:color="4D92C0"/>
        <w:bottom w:val="single" w:sz="2" w:space="0" w:color="4D92C0"/>
        <w:insideH w:val="single" w:sz="2" w:space="0" w:color="4D92C0"/>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63A5"/>
        <w:sz w:val="16"/>
      </w:rPr>
      <w:tblPr/>
      <w:tcPr>
        <w:tcBorders>
          <w:top w:val="single" w:sz="2" w:space="0" w:color="E6EFF6"/>
          <w:left w:val="nil"/>
          <w:bottom w:val="single" w:sz="24" w:space="0" w:color="CCE0ED"/>
          <w:right w:val="nil"/>
          <w:insideH w:val="nil"/>
          <w:insideV w:val="nil"/>
          <w:tl2br w:val="nil"/>
          <w:tr2bl w:val="nil"/>
        </w:tcBorders>
        <w:shd w:val="clear" w:color="auto" w:fill="EDF5F7"/>
        <w:tcMar>
          <w:top w:w="79" w:type="dxa"/>
          <w:left w:w="113" w:type="dxa"/>
          <w:bottom w:w="79"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63A5"/>
        <w:sz w:val="16"/>
      </w:rPr>
    </w:tblStylePr>
    <w:tblStylePr w:type="band1Vert">
      <w:pPr>
        <w:jc w:val="right"/>
      </w:pPr>
    </w:tblStylePr>
    <w:tblStylePr w:type="band2Vert">
      <w:pPr>
        <w:jc w:val="righ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315570124">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401608653">
      <w:bodyDiv w:val="1"/>
      <w:marLeft w:val="0"/>
      <w:marRight w:val="0"/>
      <w:marTop w:val="0"/>
      <w:marBottom w:val="0"/>
      <w:divBdr>
        <w:top w:val="none" w:sz="0" w:space="0" w:color="auto"/>
        <w:left w:val="none" w:sz="0" w:space="0" w:color="auto"/>
        <w:bottom w:val="none" w:sz="0" w:space="0" w:color="auto"/>
        <w:right w:val="none" w:sz="0" w:space="0" w:color="auto"/>
      </w:divBdr>
    </w:div>
    <w:div w:id="497427457">
      <w:bodyDiv w:val="1"/>
      <w:marLeft w:val="0"/>
      <w:marRight w:val="0"/>
      <w:marTop w:val="0"/>
      <w:marBottom w:val="0"/>
      <w:divBdr>
        <w:top w:val="none" w:sz="0" w:space="0" w:color="auto"/>
        <w:left w:val="none" w:sz="0" w:space="0" w:color="auto"/>
        <w:bottom w:val="none" w:sz="0" w:space="0" w:color="auto"/>
        <w:right w:val="none" w:sz="0" w:space="0" w:color="auto"/>
      </w:divBdr>
    </w:div>
    <w:div w:id="511720547">
      <w:bodyDiv w:val="1"/>
      <w:marLeft w:val="0"/>
      <w:marRight w:val="0"/>
      <w:marTop w:val="0"/>
      <w:marBottom w:val="0"/>
      <w:divBdr>
        <w:top w:val="none" w:sz="0" w:space="0" w:color="auto"/>
        <w:left w:val="none" w:sz="0" w:space="0" w:color="auto"/>
        <w:bottom w:val="none" w:sz="0" w:space="0" w:color="auto"/>
        <w:right w:val="none" w:sz="0" w:space="0" w:color="auto"/>
      </w:divBdr>
    </w:div>
    <w:div w:id="536818928">
      <w:bodyDiv w:val="1"/>
      <w:marLeft w:val="0"/>
      <w:marRight w:val="0"/>
      <w:marTop w:val="0"/>
      <w:marBottom w:val="0"/>
      <w:divBdr>
        <w:top w:val="none" w:sz="0" w:space="0" w:color="auto"/>
        <w:left w:val="none" w:sz="0" w:space="0" w:color="auto"/>
        <w:bottom w:val="none" w:sz="0" w:space="0" w:color="auto"/>
        <w:right w:val="none" w:sz="0" w:space="0" w:color="auto"/>
      </w:divBdr>
    </w:div>
    <w:div w:id="625627562">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1056860141">
      <w:bodyDiv w:val="1"/>
      <w:marLeft w:val="0"/>
      <w:marRight w:val="0"/>
      <w:marTop w:val="0"/>
      <w:marBottom w:val="0"/>
      <w:divBdr>
        <w:top w:val="none" w:sz="0" w:space="0" w:color="auto"/>
        <w:left w:val="none" w:sz="0" w:space="0" w:color="auto"/>
        <w:bottom w:val="none" w:sz="0" w:space="0" w:color="auto"/>
        <w:right w:val="none" w:sz="0" w:space="0" w:color="auto"/>
      </w:divBdr>
    </w:div>
    <w:div w:id="1334140497">
      <w:bodyDiv w:val="1"/>
      <w:marLeft w:val="0"/>
      <w:marRight w:val="0"/>
      <w:marTop w:val="0"/>
      <w:marBottom w:val="0"/>
      <w:divBdr>
        <w:top w:val="none" w:sz="0" w:space="0" w:color="auto"/>
        <w:left w:val="none" w:sz="0" w:space="0" w:color="auto"/>
        <w:bottom w:val="none" w:sz="0" w:space="0" w:color="auto"/>
        <w:right w:val="none" w:sz="0" w:space="0" w:color="auto"/>
      </w:divBdr>
    </w:div>
    <w:div w:id="1464033643">
      <w:bodyDiv w:val="1"/>
      <w:marLeft w:val="0"/>
      <w:marRight w:val="0"/>
      <w:marTop w:val="0"/>
      <w:marBottom w:val="0"/>
      <w:divBdr>
        <w:top w:val="none" w:sz="0" w:space="0" w:color="auto"/>
        <w:left w:val="none" w:sz="0" w:space="0" w:color="auto"/>
        <w:bottom w:val="none" w:sz="0" w:space="0" w:color="auto"/>
        <w:right w:val="none" w:sz="0" w:space="0" w:color="auto"/>
      </w:divBdr>
    </w:div>
    <w:div w:id="1473599999">
      <w:bodyDiv w:val="1"/>
      <w:marLeft w:val="0"/>
      <w:marRight w:val="0"/>
      <w:marTop w:val="0"/>
      <w:marBottom w:val="0"/>
      <w:divBdr>
        <w:top w:val="none" w:sz="0" w:space="0" w:color="auto"/>
        <w:left w:val="none" w:sz="0" w:space="0" w:color="auto"/>
        <w:bottom w:val="none" w:sz="0" w:space="0" w:color="auto"/>
        <w:right w:val="none" w:sz="0" w:space="0" w:color="auto"/>
      </w:divBdr>
    </w:div>
    <w:div w:id="1722241838">
      <w:bodyDiv w:val="1"/>
      <w:marLeft w:val="0"/>
      <w:marRight w:val="0"/>
      <w:marTop w:val="0"/>
      <w:marBottom w:val="0"/>
      <w:divBdr>
        <w:top w:val="none" w:sz="0" w:space="0" w:color="auto"/>
        <w:left w:val="none" w:sz="0" w:space="0" w:color="auto"/>
        <w:bottom w:val="none" w:sz="0" w:space="0" w:color="auto"/>
        <w:right w:val="none" w:sz="0" w:space="0" w:color="auto"/>
      </w:divBdr>
    </w:div>
    <w:div w:id="208942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safercarevictoria@dhhs.vic" TargetMode="External"/><Relationship Id="rId26" Type="http://schemas.openxmlformats.org/officeDocument/2006/relationships/footer" Target="footer6.xml"/><Relationship Id="rId39" Type="http://schemas.openxmlformats.org/officeDocument/2006/relationships/hyperlink" Target="mailto:VADboard@safercare.vic.gov.au"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hyperlink" Target="mailto:vadcommunity@westvicphn.com.au" TargetMode="External"/><Relationship Id="rId42" Type="http://schemas.openxmlformats.org/officeDocument/2006/relationships/hyperlink" Target="mailto:EndofLifecare@health.vic.gov.au" TargetMode="External"/><Relationship Id="rId47" Type="http://schemas.openxmlformats.org/officeDocument/2006/relationships/footer" Target="footer9.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info@safercarevictoria.vic.gov.au" TargetMode="External"/><Relationship Id="rId25" Type="http://schemas.openxmlformats.org/officeDocument/2006/relationships/header" Target="header5.xml"/><Relationship Id="rId33" Type="http://schemas.openxmlformats.org/officeDocument/2006/relationships/header" Target="header9.xml"/><Relationship Id="rId38" Type="http://schemas.openxmlformats.org/officeDocument/2006/relationships/hyperlink" Target="mailto:vadcarenavigator@petermac.org" TargetMode="External"/><Relationship Id="rId46"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https://bettersafercare.vic.gov.au/vad" TargetMode="External"/><Relationship Id="rId20" Type="http://schemas.openxmlformats.org/officeDocument/2006/relationships/hyperlink" Target="http://www.safercare.vic" TargetMode="External"/><Relationship Id="rId29" Type="http://schemas.openxmlformats.org/officeDocument/2006/relationships/footer" Target="footer7.xml"/><Relationship Id="rId41" Type="http://schemas.openxmlformats.org/officeDocument/2006/relationships/hyperlink" Target="mailto:statewidepharmacy@alfred.org.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header" Target="header8.xml"/><Relationship Id="rId37" Type="http://schemas.openxmlformats.org/officeDocument/2006/relationships/hyperlink" Target="https://www2.health.vic.gov.au/hospitals-and-health-services/patient-care/end-of-life-care/voluntary-assisted-dying" TargetMode="External"/><Relationship Id="rId40" Type="http://schemas.openxmlformats.org/officeDocument/2006/relationships/hyperlink" Target="mailto:vadcarenavigator@petermac.org" TargetMode="External"/><Relationship Id="rId45"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header" Target="header7.xml"/><Relationship Id="rId36" Type="http://schemas.openxmlformats.org/officeDocument/2006/relationships/chart" Target="charts/chart1.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safercare.vic.gov.au" TargetMode="External"/><Relationship Id="rId31" Type="http://schemas.openxmlformats.org/officeDocument/2006/relationships/image" Target="media/image4.png"/><Relationship Id="rId44" Type="http://schemas.openxmlformats.org/officeDocument/2006/relationships/hyperlink" Target="mailto:vadcommunity@westvicphn.com.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footer" Target="footer8.xml"/><Relationship Id="rId35" Type="http://schemas.openxmlformats.org/officeDocument/2006/relationships/hyperlink" Target="mailto:vadcarenavigator@petermac.org" TargetMode="External"/><Relationship Id="rId43" Type="http://schemas.openxmlformats.org/officeDocument/2006/relationships/hyperlink" Target="mailto:vadcarenavigator@petermac.org" TargetMode="External"/><Relationship Id="rId48" Type="http://schemas.openxmlformats.org/officeDocument/2006/relationships/footer" Target="footer10.xml"/><Relationship Id="rId8"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5.png"/></Relationships>
</file>

<file path=word/_rels/header1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F:\Safer%20Care%20Victoria\Office%20of%20the%20CEO\Strategy,%20Implementation%20and%20Communications\Communications\Style%20guides%20and%20branding\Templates\2021%20templates\Council-Board%20report%20VIC.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First assessment report form</c:v>
                </c:pt>
              </c:strCache>
            </c:strRef>
          </c:tx>
          <c:spPr>
            <a:solidFill>
              <a:schemeClr val="accent1"/>
            </a:solidFill>
            <a:ln>
              <a:noFill/>
            </a:ln>
            <a:effectLst/>
          </c:spPr>
          <c:invertIfNegative val="0"/>
          <c:cat>
            <c:strRef>
              <c:f>Sheet1!$A$2:$A$9</c:f>
              <c:strCache>
                <c:ptCount val="6"/>
                <c:pt idx="0">
                  <c:v>Jan-21</c:v>
                </c:pt>
                <c:pt idx="1">
                  <c:v>Feb-21</c:v>
                </c:pt>
                <c:pt idx="2">
                  <c:v>Mar-21</c:v>
                </c:pt>
                <c:pt idx="3">
                  <c:v>Apr-21</c:v>
                </c:pt>
                <c:pt idx="4">
                  <c:v>May-21</c:v>
                </c:pt>
                <c:pt idx="5">
                  <c:v>Jun-21</c:v>
                </c:pt>
              </c:strCache>
            </c:strRef>
          </c:cat>
          <c:val>
            <c:numRef>
              <c:f>Sheet1!$B$2:$B$9</c:f>
              <c:numCache>
                <c:formatCode>General</c:formatCode>
                <c:ptCount val="6"/>
                <c:pt idx="0">
                  <c:v>38</c:v>
                </c:pt>
                <c:pt idx="1">
                  <c:v>31</c:v>
                </c:pt>
                <c:pt idx="2">
                  <c:v>48</c:v>
                </c:pt>
                <c:pt idx="3">
                  <c:v>47</c:v>
                </c:pt>
                <c:pt idx="4">
                  <c:v>48</c:v>
                </c:pt>
                <c:pt idx="5">
                  <c:v>46</c:v>
                </c:pt>
              </c:numCache>
            </c:numRef>
          </c:val>
          <c:extLst>
            <c:ext xmlns:c16="http://schemas.microsoft.com/office/drawing/2014/chart" uri="{C3380CC4-5D6E-409C-BE32-E72D297353CC}">
              <c16:uniqueId val="{00000000-6643-4353-AABD-9C9F41E4B91A}"/>
            </c:ext>
          </c:extLst>
        </c:ser>
        <c:ser>
          <c:idx val="1"/>
          <c:order val="1"/>
          <c:tx>
            <c:strRef>
              <c:f>Sheet1!$C$1</c:f>
              <c:strCache>
                <c:ptCount val="1"/>
                <c:pt idx="0">
                  <c:v>Consulting assessment report form</c:v>
                </c:pt>
              </c:strCache>
            </c:strRef>
          </c:tx>
          <c:spPr>
            <a:solidFill>
              <a:schemeClr val="accent2"/>
            </a:solidFill>
            <a:ln>
              <a:noFill/>
            </a:ln>
            <a:effectLst/>
          </c:spPr>
          <c:invertIfNegative val="0"/>
          <c:cat>
            <c:strRef>
              <c:f>Sheet1!$A$2:$A$9</c:f>
              <c:strCache>
                <c:ptCount val="6"/>
                <c:pt idx="0">
                  <c:v>Jan-21</c:v>
                </c:pt>
                <c:pt idx="1">
                  <c:v>Feb-21</c:v>
                </c:pt>
                <c:pt idx="2">
                  <c:v>Mar-21</c:v>
                </c:pt>
                <c:pt idx="3">
                  <c:v>Apr-21</c:v>
                </c:pt>
                <c:pt idx="4">
                  <c:v>May-21</c:v>
                </c:pt>
                <c:pt idx="5">
                  <c:v>Jun-21</c:v>
                </c:pt>
              </c:strCache>
            </c:strRef>
          </c:cat>
          <c:val>
            <c:numRef>
              <c:f>Sheet1!$C$2:$C$9</c:f>
              <c:numCache>
                <c:formatCode>General</c:formatCode>
                <c:ptCount val="6"/>
                <c:pt idx="0">
                  <c:v>32</c:v>
                </c:pt>
                <c:pt idx="1">
                  <c:v>27</c:v>
                </c:pt>
                <c:pt idx="2">
                  <c:v>34</c:v>
                </c:pt>
                <c:pt idx="3">
                  <c:v>34</c:v>
                </c:pt>
                <c:pt idx="4">
                  <c:v>48</c:v>
                </c:pt>
                <c:pt idx="5">
                  <c:v>44</c:v>
                </c:pt>
              </c:numCache>
            </c:numRef>
          </c:val>
          <c:extLst>
            <c:ext xmlns:c16="http://schemas.microsoft.com/office/drawing/2014/chart" uri="{C3380CC4-5D6E-409C-BE32-E72D297353CC}">
              <c16:uniqueId val="{00000001-6643-4353-AABD-9C9F41E4B91A}"/>
            </c:ext>
          </c:extLst>
        </c:ser>
        <c:ser>
          <c:idx val="2"/>
          <c:order val="2"/>
          <c:tx>
            <c:strRef>
              <c:f>Sheet1!$D$1</c:f>
              <c:strCache>
                <c:ptCount val="1"/>
                <c:pt idx="0">
                  <c:v>Patient forms</c:v>
                </c:pt>
              </c:strCache>
            </c:strRef>
          </c:tx>
          <c:spPr>
            <a:solidFill>
              <a:schemeClr val="accent3"/>
            </a:solidFill>
            <a:ln>
              <a:noFill/>
            </a:ln>
            <a:effectLst/>
          </c:spPr>
          <c:invertIfNegative val="0"/>
          <c:cat>
            <c:strRef>
              <c:f>Sheet1!$A$2:$A$9</c:f>
              <c:strCache>
                <c:ptCount val="6"/>
                <c:pt idx="0">
                  <c:v>Jan-21</c:v>
                </c:pt>
                <c:pt idx="1">
                  <c:v>Feb-21</c:v>
                </c:pt>
                <c:pt idx="2">
                  <c:v>Mar-21</c:v>
                </c:pt>
                <c:pt idx="3">
                  <c:v>Apr-21</c:v>
                </c:pt>
                <c:pt idx="4">
                  <c:v>May-21</c:v>
                </c:pt>
                <c:pt idx="5">
                  <c:v>Jun-21</c:v>
                </c:pt>
              </c:strCache>
            </c:strRef>
          </c:cat>
          <c:val>
            <c:numRef>
              <c:f>Sheet1!$D$2:$D$9</c:f>
              <c:numCache>
                <c:formatCode>General</c:formatCode>
                <c:ptCount val="6"/>
                <c:pt idx="0">
                  <c:v>32</c:v>
                </c:pt>
                <c:pt idx="1">
                  <c:v>25</c:v>
                </c:pt>
                <c:pt idx="2">
                  <c:v>27</c:v>
                </c:pt>
                <c:pt idx="3">
                  <c:v>27</c:v>
                </c:pt>
                <c:pt idx="4">
                  <c:v>41</c:v>
                </c:pt>
                <c:pt idx="5">
                  <c:v>49</c:v>
                </c:pt>
              </c:numCache>
            </c:numRef>
          </c:val>
          <c:extLst>
            <c:ext xmlns:c16="http://schemas.microsoft.com/office/drawing/2014/chart" uri="{C3380CC4-5D6E-409C-BE32-E72D297353CC}">
              <c16:uniqueId val="{00000002-6643-4353-AABD-9C9F41E4B91A}"/>
            </c:ext>
          </c:extLst>
        </c:ser>
        <c:ser>
          <c:idx val="3"/>
          <c:order val="3"/>
          <c:tx>
            <c:strRef>
              <c:f>Sheet1!$E$1</c:f>
              <c:strCache>
                <c:ptCount val="1"/>
                <c:pt idx="0">
                  <c:v>Final review form</c:v>
                </c:pt>
              </c:strCache>
            </c:strRef>
          </c:tx>
          <c:spPr>
            <a:solidFill>
              <a:schemeClr val="accent4"/>
            </a:solidFill>
            <a:ln>
              <a:noFill/>
            </a:ln>
            <a:effectLst/>
          </c:spPr>
          <c:invertIfNegative val="0"/>
          <c:cat>
            <c:strRef>
              <c:f>Sheet1!$A$2:$A$9</c:f>
              <c:strCache>
                <c:ptCount val="6"/>
                <c:pt idx="0">
                  <c:v>Jan-21</c:v>
                </c:pt>
                <c:pt idx="1">
                  <c:v>Feb-21</c:v>
                </c:pt>
                <c:pt idx="2">
                  <c:v>Mar-21</c:v>
                </c:pt>
                <c:pt idx="3">
                  <c:v>Apr-21</c:v>
                </c:pt>
                <c:pt idx="4">
                  <c:v>May-21</c:v>
                </c:pt>
                <c:pt idx="5">
                  <c:v>Jun-21</c:v>
                </c:pt>
              </c:strCache>
            </c:strRef>
          </c:cat>
          <c:val>
            <c:numRef>
              <c:f>Sheet1!$E$2:$E$9</c:f>
              <c:numCache>
                <c:formatCode>General</c:formatCode>
                <c:ptCount val="6"/>
                <c:pt idx="0">
                  <c:v>33</c:v>
                </c:pt>
                <c:pt idx="1">
                  <c:v>26</c:v>
                </c:pt>
                <c:pt idx="2">
                  <c:v>27</c:v>
                </c:pt>
                <c:pt idx="3">
                  <c:v>28</c:v>
                </c:pt>
                <c:pt idx="4">
                  <c:v>41</c:v>
                </c:pt>
                <c:pt idx="5">
                  <c:v>48</c:v>
                </c:pt>
              </c:numCache>
            </c:numRef>
          </c:val>
          <c:extLst>
            <c:ext xmlns:c16="http://schemas.microsoft.com/office/drawing/2014/chart" uri="{C3380CC4-5D6E-409C-BE32-E72D297353CC}">
              <c16:uniqueId val="{00000003-6643-4353-AABD-9C9F41E4B91A}"/>
            </c:ext>
          </c:extLst>
        </c:ser>
        <c:ser>
          <c:idx val="4"/>
          <c:order val="4"/>
          <c:tx>
            <c:strRef>
              <c:f>Sheet1!$F$1</c:f>
              <c:strCache>
                <c:ptCount val="1"/>
                <c:pt idx="0">
                  <c:v>Self-administration permit</c:v>
                </c:pt>
              </c:strCache>
            </c:strRef>
          </c:tx>
          <c:spPr>
            <a:solidFill>
              <a:schemeClr val="accent5"/>
            </a:solidFill>
            <a:ln>
              <a:noFill/>
            </a:ln>
            <a:effectLst/>
          </c:spPr>
          <c:invertIfNegative val="0"/>
          <c:cat>
            <c:strRef>
              <c:f>Sheet1!$A$2:$A$9</c:f>
              <c:strCache>
                <c:ptCount val="6"/>
                <c:pt idx="0">
                  <c:v>Jan-21</c:v>
                </c:pt>
                <c:pt idx="1">
                  <c:v>Feb-21</c:v>
                </c:pt>
                <c:pt idx="2">
                  <c:v>Mar-21</c:v>
                </c:pt>
                <c:pt idx="3">
                  <c:v>Apr-21</c:v>
                </c:pt>
                <c:pt idx="4">
                  <c:v>May-21</c:v>
                </c:pt>
                <c:pt idx="5">
                  <c:v>Jun-21</c:v>
                </c:pt>
              </c:strCache>
            </c:strRef>
          </c:cat>
          <c:val>
            <c:numRef>
              <c:f>Sheet1!$F$2:$F$9</c:f>
              <c:numCache>
                <c:formatCode>General</c:formatCode>
                <c:ptCount val="6"/>
                <c:pt idx="0">
                  <c:v>31</c:v>
                </c:pt>
                <c:pt idx="1">
                  <c:v>27</c:v>
                </c:pt>
                <c:pt idx="2">
                  <c:v>27</c:v>
                </c:pt>
                <c:pt idx="3">
                  <c:v>30</c:v>
                </c:pt>
                <c:pt idx="4">
                  <c:v>42</c:v>
                </c:pt>
                <c:pt idx="5">
                  <c:v>49</c:v>
                </c:pt>
              </c:numCache>
            </c:numRef>
          </c:val>
          <c:extLst>
            <c:ext xmlns:c16="http://schemas.microsoft.com/office/drawing/2014/chart" uri="{C3380CC4-5D6E-409C-BE32-E72D297353CC}">
              <c16:uniqueId val="{00000004-6643-4353-AABD-9C9F41E4B91A}"/>
            </c:ext>
          </c:extLst>
        </c:ser>
        <c:ser>
          <c:idx val="5"/>
          <c:order val="5"/>
          <c:tx>
            <c:strRef>
              <c:f>Sheet1!$G$1</c:f>
              <c:strCache>
                <c:ptCount val="1"/>
                <c:pt idx="0">
                  <c:v>Practitioner administration permit</c:v>
                </c:pt>
              </c:strCache>
            </c:strRef>
          </c:tx>
          <c:spPr>
            <a:solidFill>
              <a:schemeClr val="accent6"/>
            </a:solidFill>
            <a:ln>
              <a:noFill/>
            </a:ln>
            <a:effectLst/>
          </c:spPr>
          <c:invertIfNegative val="0"/>
          <c:cat>
            <c:strRef>
              <c:f>Sheet1!$A$2:$A$9</c:f>
              <c:strCache>
                <c:ptCount val="6"/>
                <c:pt idx="0">
                  <c:v>Jan-21</c:v>
                </c:pt>
                <c:pt idx="1">
                  <c:v>Feb-21</c:v>
                </c:pt>
                <c:pt idx="2">
                  <c:v>Mar-21</c:v>
                </c:pt>
                <c:pt idx="3">
                  <c:v>Apr-21</c:v>
                </c:pt>
                <c:pt idx="4">
                  <c:v>May-21</c:v>
                </c:pt>
                <c:pt idx="5">
                  <c:v>Jun-21</c:v>
                </c:pt>
              </c:strCache>
            </c:strRef>
          </c:cat>
          <c:val>
            <c:numRef>
              <c:f>Sheet1!$G$2:$G$9</c:f>
              <c:numCache>
                <c:formatCode>General</c:formatCode>
                <c:ptCount val="6"/>
                <c:pt idx="0">
                  <c:v>3</c:v>
                </c:pt>
                <c:pt idx="1">
                  <c:v>1</c:v>
                </c:pt>
                <c:pt idx="2">
                  <c:v>4</c:v>
                </c:pt>
                <c:pt idx="3">
                  <c:v>5</c:v>
                </c:pt>
                <c:pt idx="4">
                  <c:v>2</c:v>
                </c:pt>
                <c:pt idx="5">
                  <c:v>5</c:v>
                </c:pt>
              </c:numCache>
            </c:numRef>
          </c:val>
          <c:extLst>
            <c:ext xmlns:c16="http://schemas.microsoft.com/office/drawing/2014/chart" uri="{C3380CC4-5D6E-409C-BE32-E72D297353CC}">
              <c16:uniqueId val="{00000005-6643-4353-AABD-9C9F41E4B91A}"/>
            </c:ext>
          </c:extLst>
        </c:ser>
        <c:ser>
          <c:idx val="6"/>
          <c:order val="6"/>
          <c:tx>
            <c:strRef>
              <c:f>Sheet1!$H$1</c:f>
              <c:strCache>
                <c:ptCount val="1"/>
                <c:pt idx="0">
                  <c:v>Substance dispensing form</c:v>
                </c:pt>
              </c:strCache>
            </c:strRef>
          </c:tx>
          <c:spPr>
            <a:solidFill>
              <a:schemeClr val="accent1">
                <a:lumMod val="60000"/>
              </a:schemeClr>
            </a:solidFill>
            <a:ln>
              <a:noFill/>
            </a:ln>
            <a:effectLst/>
          </c:spPr>
          <c:invertIfNegative val="0"/>
          <c:cat>
            <c:strRef>
              <c:f>Sheet1!$A$2:$A$9</c:f>
              <c:strCache>
                <c:ptCount val="6"/>
                <c:pt idx="0">
                  <c:v>Jan-21</c:v>
                </c:pt>
                <c:pt idx="1">
                  <c:v>Feb-21</c:v>
                </c:pt>
                <c:pt idx="2">
                  <c:v>Mar-21</c:v>
                </c:pt>
                <c:pt idx="3">
                  <c:v>Apr-21</c:v>
                </c:pt>
                <c:pt idx="4">
                  <c:v>May-21</c:v>
                </c:pt>
                <c:pt idx="5">
                  <c:v>Jun-21</c:v>
                </c:pt>
              </c:strCache>
            </c:strRef>
          </c:cat>
          <c:val>
            <c:numRef>
              <c:f>Sheet1!$H$2:$H$9</c:f>
              <c:numCache>
                <c:formatCode>General</c:formatCode>
                <c:ptCount val="6"/>
                <c:pt idx="0">
                  <c:v>22</c:v>
                </c:pt>
                <c:pt idx="1">
                  <c:v>19</c:v>
                </c:pt>
                <c:pt idx="2">
                  <c:v>20</c:v>
                </c:pt>
                <c:pt idx="3">
                  <c:v>18</c:v>
                </c:pt>
                <c:pt idx="4">
                  <c:v>25</c:v>
                </c:pt>
                <c:pt idx="5">
                  <c:v>28</c:v>
                </c:pt>
              </c:numCache>
            </c:numRef>
          </c:val>
          <c:extLst>
            <c:ext xmlns:c16="http://schemas.microsoft.com/office/drawing/2014/chart" uri="{C3380CC4-5D6E-409C-BE32-E72D297353CC}">
              <c16:uniqueId val="{00000006-6643-4353-AABD-9C9F41E4B91A}"/>
            </c:ext>
          </c:extLst>
        </c:ser>
        <c:ser>
          <c:idx val="7"/>
          <c:order val="7"/>
          <c:tx>
            <c:strRef>
              <c:f>Sheet1!$I$1</c:f>
              <c:strCache>
                <c:ptCount val="1"/>
                <c:pt idx="0">
                  <c:v>Substance disposal form</c:v>
                </c:pt>
              </c:strCache>
            </c:strRef>
          </c:tx>
          <c:spPr>
            <a:solidFill>
              <a:schemeClr val="accent2">
                <a:lumMod val="60000"/>
              </a:schemeClr>
            </a:solidFill>
            <a:ln>
              <a:noFill/>
            </a:ln>
            <a:effectLst/>
          </c:spPr>
          <c:invertIfNegative val="0"/>
          <c:cat>
            <c:strRef>
              <c:f>Sheet1!$A$2:$A$9</c:f>
              <c:strCache>
                <c:ptCount val="6"/>
                <c:pt idx="0">
                  <c:v>Jan-21</c:v>
                </c:pt>
                <c:pt idx="1">
                  <c:v>Feb-21</c:v>
                </c:pt>
                <c:pt idx="2">
                  <c:v>Mar-21</c:v>
                </c:pt>
                <c:pt idx="3">
                  <c:v>Apr-21</c:v>
                </c:pt>
                <c:pt idx="4">
                  <c:v>May-21</c:v>
                </c:pt>
                <c:pt idx="5">
                  <c:v>Jun-21</c:v>
                </c:pt>
              </c:strCache>
            </c:strRef>
          </c:cat>
          <c:val>
            <c:numRef>
              <c:f>Sheet1!$I$2:$I$9</c:f>
              <c:numCache>
                <c:formatCode>General</c:formatCode>
                <c:ptCount val="6"/>
                <c:pt idx="0">
                  <c:v>6</c:v>
                </c:pt>
                <c:pt idx="1">
                  <c:v>3</c:v>
                </c:pt>
                <c:pt idx="2">
                  <c:v>7</c:v>
                </c:pt>
                <c:pt idx="3">
                  <c:v>2</c:v>
                </c:pt>
                <c:pt idx="4">
                  <c:v>3</c:v>
                </c:pt>
                <c:pt idx="5">
                  <c:v>7</c:v>
                </c:pt>
              </c:numCache>
            </c:numRef>
          </c:val>
          <c:extLst>
            <c:ext xmlns:c16="http://schemas.microsoft.com/office/drawing/2014/chart" uri="{C3380CC4-5D6E-409C-BE32-E72D297353CC}">
              <c16:uniqueId val="{00000007-6643-4353-AABD-9C9F41E4B91A}"/>
            </c:ext>
          </c:extLst>
        </c:ser>
        <c:ser>
          <c:idx val="8"/>
          <c:order val="8"/>
          <c:tx>
            <c:strRef>
              <c:f>Sheet1!$J$1</c:f>
              <c:strCache>
                <c:ptCount val="1"/>
                <c:pt idx="0">
                  <c:v>Medical practitioner administration form</c:v>
                </c:pt>
              </c:strCache>
            </c:strRef>
          </c:tx>
          <c:spPr>
            <a:solidFill>
              <a:schemeClr val="accent3">
                <a:lumMod val="60000"/>
              </a:schemeClr>
            </a:solidFill>
            <a:ln>
              <a:noFill/>
            </a:ln>
            <a:effectLst/>
          </c:spPr>
          <c:invertIfNegative val="0"/>
          <c:cat>
            <c:strRef>
              <c:f>Sheet1!$A$2:$A$9</c:f>
              <c:strCache>
                <c:ptCount val="6"/>
                <c:pt idx="0">
                  <c:v>Jan-21</c:v>
                </c:pt>
                <c:pt idx="1">
                  <c:v>Feb-21</c:v>
                </c:pt>
                <c:pt idx="2">
                  <c:v>Mar-21</c:v>
                </c:pt>
                <c:pt idx="3">
                  <c:v>Apr-21</c:v>
                </c:pt>
                <c:pt idx="4">
                  <c:v>May-21</c:v>
                </c:pt>
                <c:pt idx="5">
                  <c:v>Jun-21</c:v>
                </c:pt>
              </c:strCache>
            </c:strRef>
          </c:cat>
          <c:val>
            <c:numRef>
              <c:f>Sheet1!$J$2:$J$9</c:f>
              <c:numCache>
                <c:formatCode>General</c:formatCode>
                <c:ptCount val="6"/>
                <c:pt idx="0">
                  <c:v>1</c:v>
                </c:pt>
                <c:pt idx="1">
                  <c:v>1</c:v>
                </c:pt>
                <c:pt idx="2">
                  <c:v>1</c:v>
                </c:pt>
                <c:pt idx="3">
                  <c:v>5</c:v>
                </c:pt>
                <c:pt idx="4">
                  <c:v>0</c:v>
                </c:pt>
                <c:pt idx="5">
                  <c:v>1</c:v>
                </c:pt>
              </c:numCache>
            </c:numRef>
          </c:val>
          <c:extLst>
            <c:ext xmlns:c16="http://schemas.microsoft.com/office/drawing/2014/chart" uri="{C3380CC4-5D6E-409C-BE32-E72D297353CC}">
              <c16:uniqueId val="{00000008-6643-4353-AABD-9C9F41E4B91A}"/>
            </c:ext>
          </c:extLst>
        </c:ser>
        <c:dLbls>
          <c:showLegendKey val="0"/>
          <c:showVal val="0"/>
          <c:showCatName val="0"/>
          <c:showSerName val="0"/>
          <c:showPercent val="0"/>
          <c:showBubbleSize val="0"/>
        </c:dLbls>
        <c:gapWidth val="150"/>
        <c:overlap val="100"/>
        <c:axId val="1041454064"/>
        <c:axId val="1041454392"/>
      </c:barChart>
      <c:catAx>
        <c:axId val="1041454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41454392"/>
        <c:crosses val="autoZero"/>
        <c:auto val="1"/>
        <c:lblAlgn val="ctr"/>
        <c:lblOffset val="100"/>
        <c:noMultiLvlLbl val="1"/>
      </c:catAx>
      <c:valAx>
        <c:axId val="1041454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41454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SCV Council 111020">
      <a:dk1>
        <a:srgbClr val="000000"/>
      </a:dk1>
      <a:lt1>
        <a:srgbClr val="FFFFFF"/>
      </a:lt1>
      <a:dk2>
        <a:srgbClr val="0063A5"/>
      </a:dk2>
      <a:lt2>
        <a:srgbClr val="E6EFF6"/>
      </a:lt2>
      <a:accent1>
        <a:srgbClr val="408ABB"/>
      </a:accent1>
      <a:accent2>
        <a:srgbClr val="80B1D2"/>
      </a:accent2>
      <a:accent3>
        <a:srgbClr val="BFD8E8"/>
      </a:accent3>
      <a:accent4>
        <a:srgbClr val="404050"/>
      </a:accent4>
      <a:accent5>
        <a:srgbClr val="80808B"/>
      </a:accent5>
      <a:accent6>
        <a:srgbClr val="CCCCD0"/>
      </a:accent6>
      <a:hlink>
        <a:srgbClr val="000000"/>
      </a:hlink>
      <a:folHlink>
        <a:srgbClr val="0063A5"/>
      </a:folHlink>
    </a:clrScheme>
    <a:fontScheme name="VIC Semibold + VIC">
      <a:majorFont>
        <a:latin typeface="VIC SemiBold"/>
        <a:ea typeface="Arial"/>
        <a:cs typeface="Arial"/>
      </a:majorFont>
      <a:minorFont>
        <a:latin typeface="ViC"/>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9A0B9-623A-46E0-899D-92B98A2E3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Council-Board report VIC.dotx</Template>
  <TotalTime>28</TotalTime>
  <Pages>28</Pages>
  <Words>7891</Words>
  <Characters>44985</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Insert title here</vt:lpstr>
    </vt:vector>
  </TitlesOfParts>
  <Manager/>
  <Company>Safer Care Victoria</Company>
  <LinksUpToDate>false</LinksUpToDate>
  <CharactersWithSpaces>52771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creator>Emma Gumbleton (DHHS)</dc:creator>
  <cp:lastModifiedBy>Courtney Lynch (DHHS)</cp:lastModifiedBy>
  <cp:revision>4</cp:revision>
  <cp:lastPrinted>2021-08-09T02:05:00Z</cp:lastPrinted>
  <dcterms:created xsi:type="dcterms:W3CDTF">2021-08-27T03:27:00Z</dcterms:created>
  <dcterms:modified xsi:type="dcterms:W3CDTF">2021-08-27T03:51:00Z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etDate">
    <vt:lpwstr>2021-08-08T23:48:26Z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a3ce051a-17ef-434c-9918-cb20d84163ff</vt:lpwstr>
  </property>
  <property fmtid="{D5CDD505-2E9C-101B-9397-08002B2CF9AE}" pid="9" name="MSIP_Label_efdf5488-3066-4b6c-8fea-9472b8a1f34c_ContentBits">
    <vt:lpwstr>0</vt:lpwstr>
  </property>
</Properties>
</file>