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9D67" w14:textId="77777777" w:rsidR="00521CA5" w:rsidRPr="00876171" w:rsidRDefault="00521CA5" w:rsidP="00521CA5">
      <w:pPr>
        <w:pStyle w:val="SCVborderabovetitle"/>
        <w:pBdr>
          <w:top w:val="single" w:sz="24" w:space="1" w:color="CCCCD0"/>
        </w:pBdr>
      </w:pPr>
    </w:p>
    <w:p w14:paraId="15356FC8" w14:textId="77777777" w:rsidR="00521CA5" w:rsidRPr="00876171" w:rsidRDefault="00521CA5" w:rsidP="00521CA5">
      <w:pPr>
        <w:pStyle w:val="SCVborderabovetitle"/>
        <w:sectPr w:rsidR="00521CA5" w:rsidRPr="00876171" w:rsidSect="00BE763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438" w:right="737" w:bottom="1361" w:left="737" w:header="454" w:footer="851" w:gutter="0"/>
          <w:cols w:space="284"/>
          <w:docGrid w:linePitch="360"/>
        </w:sectPr>
      </w:pPr>
    </w:p>
    <w:p w14:paraId="163C9046" w14:textId="77777777" w:rsidR="00A50CB2" w:rsidRDefault="00A50CB2" w:rsidP="00474184">
      <w:pPr>
        <w:pStyle w:val="SCVfactsheettitle"/>
      </w:pPr>
      <w:r w:rsidRPr="00A50CB2">
        <w:t xml:space="preserve">Annual plan 2021-22 </w:t>
      </w:r>
      <w:bookmarkStart w:id="0" w:name="_Toc52978538"/>
      <w:bookmarkStart w:id="1" w:name="_Toc43470670"/>
    </w:p>
    <w:p w14:paraId="0214C508" w14:textId="5FCEC742" w:rsidR="00A50CB2" w:rsidRPr="00A50CB2" w:rsidRDefault="00A50CB2" w:rsidP="00A50CB2">
      <w:pPr>
        <w:pStyle w:val="Heading1"/>
        <w:rPr>
          <w:rFonts w:eastAsiaTheme="minorEastAsia"/>
        </w:rPr>
      </w:pPr>
      <w:r w:rsidRPr="00A50CB2">
        <w:rPr>
          <w:rFonts w:eastAsiaTheme="minorEastAsia"/>
        </w:rPr>
        <w:t xml:space="preserve">Our vision </w:t>
      </w:r>
    </w:p>
    <w:p w14:paraId="71E65DF4" w14:textId="51774D2B" w:rsidR="00A50CB2" w:rsidRPr="00A50CB2" w:rsidRDefault="00A50CB2" w:rsidP="00A50CB2">
      <w:pPr>
        <w:pStyle w:val="SCVbullet1"/>
      </w:pPr>
      <w:r w:rsidRPr="00A50CB2">
        <w:t xml:space="preserve">Outstanding healthcare for all Victorians. Always. </w:t>
      </w:r>
    </w:p>
    <w:p w14:paraId="3AFF8640" w14:textId="4CA25270" w:rsidR="00A50CB2" w:rsidRPr="00A50CB2" w:rsidRDefault="00A50CB2" w:rsidP="00A50CB2">
      <w:pPr>
        <w:pStyle w:val="Heading1"/>
        <w:rPr>
          <w:rFonts w:eastAsiaTheme="minorEastAsia"/>
        </w:rPr>
      </w:pPr>
      <w:r w:rsidRPr="00A50CB2">
        <w:rPr>
          <w:rFonts w:eastAsiaTheme="minorEastAsia"/>
        </w:rPr>
        <w:t xml:space="preserve">Our strategic aim 2020-23 </w:t>
      </w:r>
    </w:p>
    <w:p w14:paraId="38BED0DF" w14:textId="729EE330" w:rsidR="00A50CB2" w:rsidRDefault="00A50CB2" w:rsidP="009B79AE">
      <w:pPr>
        <w:pStyle w:val="SCVbullet1"/>
      </w:pPr>
      <w:r w:rsidRPr="00A50CB2">
        <w:t xml:space="preserve">To improve healthcare across Victoria so it is safer, more effective and person-centred by 30 June 2023. </w:t>
      </w:r>
    </w:p>
    <w:p w14:paraId="30637192" w14:textId="77777777" w:rsidR="009A7B97" w:rsidRPr="00A50CB2" w:rsidRDefault="00A50CB2" w:rsidP="00A50CB2">
      <w:pPr>
        <w:pStyle w:val="Heading1"/>
        <w:rPr>
          <w:rFonts w:eastAsiaTheme="minorEastAsia"/>
        </w:rPr>
      </w:pPr>
      <w:r w:rsidRPr="00A50CB2">
        <w:rPr>
          <w:rFonts w:eastAsiaTheme="minorEastAsia"/>
        </w:rPr>
        <w:t xml:space="preserve">Our strategic priorities </w:t>
      </w:r>
    </w:p>
    <w:tbl>
      <w:tblPr>
        <w:tblStyle w:val="SCVpulloutbox"/>
        <w:tblpPr w:leftFromText="180" w:rightFromText="180" w:vertAnchor="text" w:tblpX="6663" w:tblpY="1"/>
        <w:tblOverlap w:val="never"/>
        <w:tblW w:w="0" w:type="auto"/>
        <w:tblLook w:val="04A0" w:firstRow="1" w:lastRow="0" w:firstColumn="1" w:lastColumn="0" w:noHBand="0" w:noVBand="1"/>
      </w:tblPr>
      <w:tblGrid>
        <w:gridCol w:w="3402"/>
      </w:tblGrid>
      <w:tr w:rsidR="009A7B97" w14:paraId="529B22DF" w14:textId="77777777" w:rsidTr="009A7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A249EDA" w14:textId="77777777" w:rsidR="009A7B97" w:rsidRPr="009A7B97" w:rsidRDefault="009A7B97" w:rsidP="009A7B97">
            <w:pPr>
              <w:pStyle w:val="SCVpulloutheading"/>
              <w:rPr>
                <w:b/>
                <w:bCs w:val="0"/>
              </w:rPr>
            </w:pPr>
            <w:r w:rsidRPr="009A7B97">
              <w:rPr>
                <w:b/>
                <w:bCs w:val="0"/>
              </w:rPr>
              <w:t xml:space="preserve">Our values </w:t>
            </w:r>
          </w:p>
          <w:p w14:paraId="09EEE0FF" w14:textId="4334F555" w:rsidR="009A7B97" w:rsidRPr="009A7B97" w:rsidRDefault="009A7B97" w:rsidP="009A7B97">
            <w:pPr>
              <w:pStyle w:val="SCVpulloutbullet"/>
              <w:rPr>
                <w:b w:val="0"/>
                <w:bCs w:val="0"/>
              </w:rPr>
            </w:pPr>
            <w:r w:rsidRPr="009A7B97">
              <w:rPr>
                <w:b w:val="0"/>
                <w:bCs w:val="0"/>
              </w:rPr>
              <w:t xml:space="preserve">Challenge the norm </w:t>
            </w:r>
          </w:p>
          <w:p w14:paraId="2C3A5B46" w14:textId="00D7BB29" w:rsidR="009A7B97" w:rsidRPr="009A7B97" w:rsidRDefault="009A7B97" w:rsidP="009A7B97">
            <w:pPr>
              <w:pStyle w:val="SCVpulloutbullet"/>
              <w:rPr>
                <w:b w:val="0"/>
                <w:bCs w:val="0"/>
              </w:rPr>
            </w:pPr>
            <w:r w:rsidRPr="009A7B97">
              <w:rPr>
                <w:b w:val="0"/>
                <w:bCs w:val="0"/>
              </w:rPr>
              <w:t xml:space="preserve">One team </w:t>
            </w:r>
          </w:p>
          <w:p w14:paraId="55CC4E97" w14:textId="76DB6D6F" w:rsidR="009A7B97" w:rsidRPr="009A7B97" w:rsidRDefault="009A7B97" w:rsidP="009A7B97">
            <w:pPr>
              <w:pStyle w:val="SCVpulloutbullet"/>
              <w:rPr>
                <w:b w:val="0"/>
                <w:bCs w:val="0"/>
              </w:rPr>
            </w:pPr>
            <w:r w:rsidRPr="009A7B97">
              <w:rPr>
                <w:b w:val="0"/>
                <w:bCs w:val="0"/>
              </w:rPr>
              <w:t xml:space="preserve">Accept nothing less than excellence </w:t>
            </w:r>
          </w:p>
          <w:p w14:paraId="19EFDF9C" w14:textId="63E32683" w:rsidR="009A7B97" w:rsidRPr="009A7B97" w:rsidRDefault="009A7B97" w:rsidP="009A7B97">
            <w:pPr>
              <w:pStyle w:val="SCVpulloutbullet"/>
              <w:rPr>
                <w:b w:val="0"/>
                <w:bCs w:val="0"/>
              </w:rPr>
            </w:pPr>
            <w:r w:rsidRPr="009A7B97">
              <w:rPr>
                <w:b w:val="0"/>
                <w:bCs w:val="0"/>
              </w:rPr>
              <w:t xml:space="preserve">Bring your whole self </w:t>
            </w:r>
          </w:p>
          <w:p w14:paraId="548A2430" w14:textId="526AEFB3" w:rsidR="009A7B97" w:rsidRPr="009A7B97" w:rsidRDefault="009A7B97" w:rsidP="009A7B97">
            <w:pPr>
              <w:pStyle w:val="SCVpulloutbullet"/>
            </w:pPr>
            <w:r w:rsidRPr="009A7B97">
              <w:rPr>
                <w:b w:val="0"/>
                <w:bCs w:val="0"/>
              </w:rPr>
              <w:t>Tell it like it is</w:t>
            </w:r>
            <w:r w:rsidRPr="00A50CB2">
              <w:t xml:space="preserve"> </w:t>
            </w:r>
          </w:p>
        </w:tc>
      </w:tr>
    </w:tbl>
    <w:p w14:paraId="3242380C" w14:textId="4DFC791F" w:rsidR="00A50CB2" w:rsidRPr="00A50CB2" w:rsidRDefault="00A50CB2" w:rsidP="00A50CB2">
      <w:pPr>
        <w:pStyle w:val="Heading2"/>
        <w:rPr>
          <w:rFonts w:eastAsiaTheme="minorEastAsia"/>
        </w:rPr>
      </w:pPr>
      <w:r w:rsidRPr="00A50CB2">
        <w:t>Leadership</w:t>
      </w:r>
      <w:r w:rsidRPr="00A50CB2">
        <w:rPr>
          <w:rFonts w:eastAsiaTheme="minorEastAsia"/>
        </w:rPr>
        <w:t xml:space="preserve"> </w:t>
      </w:r>
    </w:p>
    <w:p w14:paraId="6DE24A64" w14:textId="6066CA02" w:rsidR="00A50CB2" w:rsidRPr="00A50CB2" w:rsidRDefault="00A50CB2" w:rsidP="00A50CB2">
      <w:pPr>
        <w:pStyle w:val="SCVbullet1"/>
      </w:pPr>
      <w:r w:rsidRPr="00A50CB2">
        <w:t xml:space="preserve">Partner with leaders to improve quality and safety </w:t>
      </w:r>
    </w:p>
    <w:p w14:paraId="237B81DD" w14:textId="0B8B0BEF" w:rsidR="00A50CB2" w:rsidRPr="00A50CB2" w:rsidRDefault="00A50CB2" w:rsidP="00A50CB2">
      <w:pPr>
        <w:pStyle w:val="SCVbullet1"/>
      </w:pPr>
      <w:r w:rsidRPr="00A50CB2">
        <w:t xml:space="preserve">Build leadership capability at all levels of the health system </w:t>
      </w:r>
    </w:p>
    <w:p w14:paraId="077312A2" w14:textId="68C98E73" w:rsidR="00A50CB2" w:rsidRPr="00A50CB2" w:rsidRDefault="00A50CB2" w:rsidP="00A50CB2">
      <w:pPr>
        <w:pStyle w:val="SCVbullet1"/>
      </w:pPr>
      <w:r w:rsidRPr="00A50CB2">
        <w:t xml:space="preserve">Promote and support the strengthening of organisational cultures in our response functions </w:t>
      </w:r>
    </w:p>
    <w:p w14:paraId="286DEFB9" w14:textId="512F9C69" w:rsidR="00A50CB2" w:rsidRPr="00A50CB2" w:rsidRDefault="00A50CB2" w:rsidP="00A50CB2">
      <w:pPr>
        <w:pStyle w:val="Heading2"/>
        <w:rPr>
          <w:rFonts w:eastAsiaTheme="minorEastAsia"/>
        </w:rPr>
      </w:pPr>
      <w:r w:rsidRPr="00A50CB2">
        <w:rPr>
          <w:rFonts w:eastAsiaTheme="minorEastAsia"/>
        </w:rPr>
        <w:t xml:space="preserve">Partnership and planning </w:t>
      </w:r>
    </w:p>
    <w:p w14:paraId="7A04FA53" w14:textId="68C20C4A" w:rsidR="00A50CB2" w:rsidRPr="00A50CB2" w:rsidRDefault="00A50CB2" w:rsidP="00A50CB2">
      <w:pPr>
        <w:pStyle w:val="SCVbullet1"/>
      </w:pPr>
      <w:r w:rsidRPr="00A50CB2">
        <w:t xml:space="preserve">Be a trusted partner in quality and safety </w:t>
      </w:r>
    </w:p>
    <w:p w14:paraId="5333B22C" w14:textId="1806228F" w:rsidR="00A50CB2" w:rsidRPr="00A50CB2" w:rsidRDefault="00A50CB2" w:rsidP="00A50CB2">
      <w:pPr>
        <w:pStyle w:val="SCVbullet1"/>
      </w:pPr>
      <w:r w:rsidRPr="00A50CB2">
        <w:t xml:space="preserve">Engage purposefully to achieve improved care </w:t>
      </w:r>
    </w:p>
    <w:p w14:paraId="3BF63A68" w14:textId="4FD5FB30" w:rsidR="00A50CB2" w:rsidRPr="00A50CB2" w:rsidRDefault="00A50CB2" w:rsidP="00A50CB2">
      <w:pPr>
        <w:pStyle w:val="SCVbullet1"/>
      </w:pPr>
      <w:r w:rsidRPr="00A50CB2">
        <w:t xml:space="preserve">Apply a whole of SCV approach for consistency </w:t>
      </w:r>
    </w:p>
    <w:p w14:paraId="0FCE61EB" w14:textId="681D33B1" w:rsidR="00A50CB2" w:rsidRPr="00A50CB2" w:rsidRDefault="00A50CB2" w:rsidP="00A50CB2">
      <w:pPr>
        <w:pStyle w:val="Heading2"/>
        <w:rPr>
          <w:rFonts w:eastAsiaTheme="minorEastAsia"/>
        </w:rPr>
      </w:pPr>
      <w:r w:rsidRPr="00A50CB2">
        <w:t>Monitoring</w:t>
      </w:r>
      <w:r w:rsidRPr="00A50CB2">
        <w:rPr>
          <w:rFonts w:eastAsiaTheme="minorEastAsia"/>
        </w:rPr>
        <w:t xml:space="preserve"> </w:t>
      </w:r>
    </w:p>
    <w:p w14:paraId="4974B495" w14:textId="36FB487A" w:rsidR="00A50CB2" w:rsidRPr="00A50CB2" w:rsidRDefault="00A50CB2" w:rsidP="00A50CB2">
      <w:pPr>
        <w:pStyle w:val="SCVbullet1"/>
      </w:pPr>
      <w:r w:rsidRPr="00A50CB2">
        <w:t xml:space="preserve">Transform how we collect, monitor, integrate, analyse and share data and information </w:t>
      </w:r>
    </w:p>
    <w:p w14:paraId="33605A30" w14:textId="70230BB9" w:rsidR="00A50CB2" w:rsidRPr="00A50CB2" w:rsidRDefault="00A50CB2" w:rsidP="00A50CB2">
      <w:pPr>
        <w:pStyle w:val="SCVbullet1"/>
      </w:pPr>
      <w:r w:rsidRPr="00A50CB2">
        <w:t xml:space="preserve">Identify and learn from variation </w:t>
      </w:r>
    </w:p>
    <w:p w14:paraId="59DC6D3A" w14:textId="168080B1" w:rsidR="00A50CB2" w:rsidRPr="00A50CB2" w:rsidRDefault="00A50CB2" w:rsidP="00A50CB2">
      <w:pPr>
        <w:pStyle w:val="SCVbullet1"/>
      </w:pPr>
      <w:r w:rsidRPr="00A50CB2">
        <w:t xml:space="preserve">Be both proactive and responsive to system and service vulnerabilities </w:t>
      </w:r>
    </w:p>
    <w:p w14:paraId="785737B0" w14:textId="77777777" w:rsidR="00A50CB2" w:rsidRPr="00A50CB2" w:rsidRDefault="00A50CB2" w:rsidP="00A50CB2">
      <w:pPr>
        <w:pStyle w:val="Heading2"/>
        <w:rPr>
          <w:rFonts w:eastAsiaTheme="minorEastAsia"/>
        </w:rPr>
      </w:pPr>
      <w:r w:rsidRPr="00A50CB2">
        <w:t>Improvement</w:t>
      </w:r>
      <w:r w:rsidRPr="00A50CB2">
        <w:rPr>
          <w:rFonts w:eastAsiaTheme="minorEastAsia"/>
        </w:rPr>
        <w:t xml:space="preserve"> </w:t>
      </w:r>
    </w:p>
    <w:p w14:paraId="2FB26C6D" w14:textId="35599901" w:rsidR="00A50CB2" w:rsidRPr="00A50CB2" w:rsidRDefault="00A50CB2" w:rsidP="00A50CB2">
      <w:pPr>
        <w:pStyle w:val="SCVbullet1"/>
      </w:pPr>
      <w:r w:rsidRPr="00A50CB2">
        <w:t xml:space="preserve">Lead major improvement programs </w:t>
      </w:r>
    </w:p>
    <w:p w14:paraId="5BA1E008" w14:textId="38E946E3" w:rsidR="00A50CB2" w:rsidRPr="00A50CB2" w:rsidRDefault="00A50CB2" w:rsidP="00A50CB2">
      <w:pPr>
        <w:pStyle w:val="SCVbullet1"/>
      </w:pPr>
      <w:r w:rsidRPr="00A50CB2">
        <w:t xml:space="preserve">Build knowledge and skills to deliver quality improvement </w:t>
      </w:r>
    </w:p>
    <w:p w14:paraId="3FEB9E85" w14:textId="53573812" w:rsidR="00A50CB2" w:rsidRPr="00A50CB2" w:rsidRDefault="00A50CB2" w:rsidP="00A50CB2">
      <w:pPr>
        <w:pStyle w:val="SCVbullet1"/>
      </w:pPr>
      <w:r w:rsidRPr="00A50CB2">
        <w:t xml:space="preserve">Advise and coach teams and individuals to design and deliver improvement </w:t>
      </w:r>
    </w:p>
    <w:p w14:paraId="2CE36ED7" w14:textId="77777777" w:rsidR="009A7B97" w:rsidRDefault="009A7B97">
      <w:pPr>
        <w:rPr>
          <w:rFonts w:asciiTheme="majorHAnsi" w:hAnsiTheme="majorHAnsi" w:cstheme="majorBidi"/>
          <w:b/>
          <w:bCs/>
          <w:sz w:val="26"/>
          <w:szCs w:val="26"/>
        </w:rPr>
      </w:pPr>
      <w:r>
        <w:br w:type="page"/>
      </w:r>
    </w:p>
    <w:p w14:paraId="58E62AFD" w14:textId="340131E2" w:rsidR="00A50CB2" w:rsidRPr="00A50CB2" w:rsidRDefault="00A50CB2" w:rsidP="00C54363">
      <w:pPr>
        <w:pStyle w:val="Heading1"/>
        <w:rPr>
          <w:rFonts w:asciiTheme="minorHAnsi" w:eastAsiaTheme="minorEastAsia" w:hAnsiTheme="minorHAnsi" w:cstheme="minorBidi"/>
          <w:sz w:val="20"/>
          <w:szCs w:val="20"/>
        </w:rPr>
      </w:pPr>
      <w:r w:rsidRPr="00A50CB2">
        <w:rPr>
          <w:rFonts w:eastAsiaTheme="minorEastAsia"/>
        </w:rPr>
        <w:lastRenderedPageBreak/>
        <w:t xml:space="preserve">Leadership </w:t>
      </w:r>
    </w:p>
    <w:tbl>
      <w:tblPr>
        <w:tblStyle w:val="TableGrid"/>
        <w:tblW w:w="0" w:type="auto"/>
        <w:tblLook w:val="0680" w:firstRow="0" w:lastRow="0" w:firstColumn="1" w:lastColumn="0" w:noHBand="1" w:noVBand="1"/>
      </w:tblPr>
      <w:tblGrid>
        <w:gridCol w:w="7933"/>
        <w:gridCol w:w="2489"/>
      </w:tblGrid>
      <w:tr w:rsidR="00767265" w14:paraId="22263E97" w14:textId="77777777" w:rsidTr="00C028AE">
        <w:tc>
          <w:tcPr>
            <w:tcW w:w="7933" w:type="dxa"/>
          </w:tcPr>
          <w:p w14:paraId="3F5E23AF" w14:textId="4692FCD7" w:rsidR="00767265" w:rsidRPr="00C028AE" w:rsidRDefault="00767265" w:rsidP="009A7B97">
            <w:pPr>
              <w:pStyle w:val="SCVtablebody"/>
              <w:rPr>
                <w:rFonts w:eastAsiaTheme="minorEastAsia"/>
              </w:rPr>
            </w:pPr>
            <w:r w:rsidRPr="00C028AE">
              <w:rPr>
                <w:rFonts w:eastAsiaTheme="minorEastAsia"/>
              </w:rPr>
              <w:t>Progress legislative reform through the Quality and Safety Bill to balance transparency and protections for adverse event reviews</w:t>
            </w:r>
          </w:p>
        </w:tc>
        <w:tc>
          <w:tcPr>
            <w:tcW w:w="2489" w:type="dxa"/>
          </w:tcPr>
          <w:p w14:paraId="198BC58C" w14:textId="6602FB26" w:rsidR="00767265" w:rsidRPr="009A7B97" w:rsidRDefault="00767265" w:rsidP="009A7B97">
            <w:pPr>
              <w:pStyle w:val="SCVtablebody"/>
              <w:rPr>
                <w:rFonts w:eastAsiaTheme="minorEastAsia"/>
              </w:rPr>
            </w:pPr>
            <w:r w:rsidRPr="009A7B97">
              <w:rPr>
                <w:rFonts w:eastAsiaTheme="minorEastAsia"/>
              </w:rPr>
              <w:t>Release duty of candour, review protections guidelines by June 2022</w:t>
            </w:r>
          </w:p>
        </w:tc>
      </w:tr>
      <w:tr w:rsidR="00767265" w14:paraId="7D4E8640" w14:textId="77777777" w:rsidTr="00C028AE">
        <w:tc>
          <w:tcPr>
            <w:tcW w:w="7933" w:type="dxa"/>
          </w:tcPr>
          <w:p w14:paraId="303BD935" w14:textId="44E7EB80" w:rsidR="00767265" w:rsidRPr="009A7B97" w:rsidRDefault="00767265" w:rsidP="009A7B97">
            <w:pPr>
              <w:pStyle w:val="SCVtablebody"/>
              <w:rPr>
                <w:rFonts w:eastAsiaTheme="minorEastAsia"/>
              </w:rPr>
            </w:pPr>
            <w:r w:rsidRPr="009A7B97">
              <w:rPr>
                <w:rFonts w:eastAsiaTheme="minorEastAsia"/>
              </w:rPr>
              <w:t>Contribute to legislative reform relating to the Non-Emergency Patient Transport (NEPT) Act 2003 to improve quality and safety of out</w:t>
            </w:r>
            <w:r w:rsidRPr="009A7B97">
              <w:rPr>
                <w:rFonts w:ascii="Cambria Math" w:eastAsiaTheme="minorEastAsia" w:hAnsi="Cambria Math" w:cs="Cambria Math"/>
              </w:rPr>
              <w:t>‑</w:t>
            </w:r>
            <w:r w:rsidRPr="009A7B97">
              <w:rPr>
                <w:rFonts w:eastAsiaTheme="minorEastAsia"/>
              </w:rPr>
              <w:t>of</w:t>
            </w:r>
            <w:r w:rsidRPr="009A7B97">
              <w:rPr>
                <w:rFonts w:ascii="Cambria Math" w:eastAsiaTheme="minorEastAsia" w:hAnsi="Cambria Math" w:cs="Cambria Math"/>
              </w:rPr>
              <w:t>‑</w:t>
            </w:r>
            <w:r w:rsidRPr="009A7B97">
              <w:rPr>
                <w:rFonts w:eastAsiaTheme="minorEastAsia"/>
              </w:rPr>
              <w:t>hospital patient transport</w:t>
            </w:r>
          </w:p>
        </w:tc>
        <w:tc>
          <w:tcPr>
            <w:tcW w:w="2489" w:type="dxa"/>
          </w:tcPr>
          <w:p w14:paraId="0308A27F" w14:textId="443E1BFB" w:rsidR="00767265" w:rsidRPr="009A7B97" w:rsidRDefault="00767265" w:rsidP="009A7B97">
            <w:pPr>
              <w:pStyle w:val="SCVtablebody"/>
              <w:rPr>
                <w:rFonts w:eastAsiaTheme="minorEastAsia"/>
              </w:rPr>
            </w:pPr>
            <w:r w:rsidRPr="009A7B97">
              <w:rPr>
                <w:rFonts w:eastAsiaTheme="minorEastAsia"/>
              </w:rPr>
              <w:t>Review NEPT and First Aid regulations by September 2021</w:t>
            </w:r>
          </w:p>
        </w:tc>
      </w:tr>
      <w:tr w:rsidR="00767265" w14:paraId="39560E66" w14:textId="77777777" w:rsidTr="00C028AE">
        <w:tc>
          <w:tcPr>
            <w:tcW w:w="7933" w:type="dxa"/>
          </w:tcPr>
          <w:p w14:paraId="48813439" w14:textId="4132F841" w:rsidR="00767265" w:rsidRPr="009A7B97" w:rsidRDefault="00767265" w:rsidP="009A7B97">
            <w:pPr>
              <w:pStyle w:val="SCVtablebody"/>
              <w:rPr>
                <w:rFonts w:eastAsiaTheme="minorEastAsia"/>
              </w:rPr>
            </w:pPr>
            <w:r w:rsidRPr="009A7B97">
              <w:rPr>
                <w:rFonts w:eastAsiaTheme="minorEastAsia"/>
              </w:rPr>
              <w:t xml:space="preserve">Develop and deliver </w:t>
            </w:r>
            <w:r w:rsidRPr="00474184">
              <w:rPr>
                <w:rFonts w:eastAsiaTheme="minorEastAsia"/>
                <w:b/>
                <w:bCs/>
              </w:rPr>
              <w:t>Just Culture</w:t>
            </w:r>
            <w:r w:rsidRPr="009A7B97">
              <w:rPr>
                <w:rFonts w:eastAsiaTheme="minorEastAsia"/>
              </w:rPr>
              <w:t xml:space="preserve"> training to help health service leaders focus on improving systems, rather than individual actions, after adverse events</w:t>
            </w:r>
          </w:p>
        </w:tc>
        <w:tc>
          <w:tcPr>
            <w:tcW w:w="2489" w:type="dxa"/>
          </w:tcPr>
          <w:p w14:paraId="1FBD3990" w14:textId="30C92E2A" w:rsidR="00767265" w:rsidRPr="009A7B97" w:rsidRDefault="009A7B97" w:rsidP="009A7B97">
            <w:pPr>
              <w:pStyle w:val="SCVtablebody"/>
              <w:rPr>
                <w:rFonts w:eastAsiaTheme="minorEastAsia"/>
              </w:rPr>
            </w:pPr>
            <w:r w:rsidRPr="009A7B97">
              <w:rPr>
                <w:rFonts w:eastAsiaTheme="minorEastAsia"/>
              </w:rPr>
              <w:t>10 sessions by</w:t>
            </w:r>
            <w:r w:rsidRPr="009A7B97">
              <w:rPr>
                <w:rFonts w:eastAsiaTheme="minorEastAsia"/>
              </w:rPr>
              <w:t xml:space="preserve"> </w:t>
            </w:r>
            <w:r w:rsidRPr="009A7B97">
              <w:rPr>
                <w:rFonts w:eastAsiaTheme="minorEastAsia"/>
              </w:rPr>
              <w:t>June 2022</w:t>
            </w:r>
          </w:p>
        </w:tc>
      </w:tr>
      <w:tr w:rsidR="00767265" w14:paraId="7BE49B31" w14:textId="77777777" w:rsidTr="00C028AE">
        <w:tc>
          <w:tcPr>
            <w:tcW w:w="7933" w:type="dxa"/>
          </w:tcPr>
          <w:p w14:paraId="357324AA" w14:textId="32024230" w:rsidR="00767265" w:rsidRPr="009A7B97" w:rsidRDefault="009A7B97" w:rsidP="009A7B97">
            <w:pPr>
              <w:pStyle w:val="SCVtablebody"/>
              <w:rPr>
                <w:rFonts w:eastAsiaTheme="minorEastAsia"/>
              </w:rPr>
            </w:pPr>
            <w:r w:rsidRPr="009A7B97">
              <w:rPr>
                <w:rFonts w:eastAsiaTheme="minorEastAsia"/>
              </w:rPr>
              <w:t>The state’s Chief Clinical Officers will provide sector-wide leadership to strengthen professional engagement across the system and advocate for the clinician voice to be reflected in policy development and reform</w:t>
            </w:r>
          </w:p>
        </w:tc>
        <w:tc>
          <w:tcPr>
            <w:tcW w:w="2489" w:type="dxa"/>
          </w:tcPr>
          <w:p w14:paraId="1D525DC9" w14:textId="48CAE5AC" w:rsidR="00767265" w:rsidRPr="009A7B97" w:rsidRDefault="009A7B97" w:rsidP="009A7B97">
            <w:pPr>
              <w:pStyle w:val="SCVtablebody"/>
              <w:rPr>
                <w:rFonts w:eastAsiaTheme="minorEastAsia"/>
              </w:rPr>
            </w:pPr>
            <w:r>
              <w:rPr>
                <w:rFonts w:eastAsiaTheme="minorEastAsia"/>
              </w:rPr>
              <w:t>June 2022</w:t>
            </w:r>
          </w:p>
        </w:tc>
      </w:tr>
      <w:tr w:rsidR="00767265" w14:paraId="6BA0FC02" w14:textId="77777777" w:rsidTr="00C028AE">
        <w:tc>
          <w:tcPr>
            <w:tcW w:w="7933" w:type="dxa"/>
          </w:tcPr>
          <w:p w14:paraId="0C22A954" w14:textId="3583293B" w:rsidR="00767265" w:rsidRPr="00C028AE" w:rsidRDefault="009A7B97" w:rsidP="009A7B97">
            <w:pPr>
              <w:pStyle w:val="SCVtablebody"/>
              <w:rPr>
                <w:rFonts w:eastAsiaTheme="minorEastAsia"/>
              </w:rPr>
            </w:pPr>
            <w:r w:rsidRPr="00C028AE">
              <w:rPr>
                <w:rFonts w:eastAsiaTheme="minorEastAsia"/>
              </w:rPr>
              <w:t>Improve our own culture and leadership using staff feedback/surveys, and support staff returning from parental leave</w:t>
            </w:r>
          </w:p>
        </w:tc>
        <w:tc>
          <w:tcPr>
            <w:tcW w:w="2489" w:type="dxa"/>
          </w:tcPr>
          <w:p w14:paraId="28C6BF2D" w14:textId="7BBC7BF1" w:rsidR="00767265" w:rsidRPr="009A7B97" w:rsidRDefault="009A7B97" w:rsidP="009A7B97">
            <w:pPr>
              <w:pStyle w:val="SCVtablebody"/>
              <w:rPr>
                <w:rFonts w:eastAsiaTheme="minorEastAsia"/>
              </w:rPr>
            </w:pPr>
            <w:r w:rsidRPr="009A7B97">
              <w:rPr>
                <w:rFonts w:eastAsiaTheme="minorEastAsia"/>
              </w:rPr>
              <w:t>Trial new ‘Gateway’ program from</w:t>
            </w:r>
            <w:r>
              <w:rPr>
                <w:rFonts w:eastAsiaTheme="minorEastAsia"/>
              </w:rPr>
              <w:t xml:space="preserve"> </w:t>
            </w:r>
            <w:r w:rsidRPr="009A7B97">
              <w:rPr>
                <w:rFonts w:eastAsiaTheme="minorEastAsia"/>
              </w:rPr>
              <w:t>July 2021</w:t>
            </w:r>
          </w:p>
        </w:tc>
      </w:tr>
      <w:tr w:rsidR="00767265" w14:paraId="2169F5A4" w14:textId="77777777" w:rsidTr="00C028AE">
        <w:tc>
          <w:tcPr>
            <w:tcW w:w="7933" w:type="dxa"/>
          </w:tcPr>
          <w:p w14:paraId="19F0D0B0" w14:textId="4DB23AE3" w:rsidR="00767265" w:rsidRPr="00C028AE" w:rsidRDefault="009A7B97" w:rsidP="009A7B97">
            <w:pPr>
              <w:pStyle w:val="SCVtablebody"/>
              <w:rPr>
                <w:rFonts w:eastAsiaTheme="minorEastAsia"/>
              </w:rPr>
            </w:pPr>
            <w:r w:rsidRPr="00C028AE">
              <w:rPr>
                <w:rFonts w:eastAsiaTheme="minorEastAsia"/>
              </w:rPr>
              <w:t>Test a novel leadership program to uplift capability and reinvigorate their clinical governance strategy</w:t>
            </w:r>
          </w:p>
        </w:tc>
        <w:tc>
          <w:tcPr>
            <w:tcW w:w="2489" w:type="dxa"/>
          </w:tcPr>
          <w:p w14:paraId="4682C26F" w14:textId="5F3DBF5C" w:rsidR="00767265" w:rsidRPr="009A7B97" w:rsidRDefault="009A7B97" w:rsidP="009A7B97">
            <w:pPr>
              <w:pStyle w:val="SCVtablebody"/>
              <w:rPr>
                <w:rFonts w:eastAsiaTheme="minorEastAsia"/>
              </w:rPr>
            </w:pPr>
            <w:r w:rsidRPr="009A7B97">
              <w:rPr>
                <w:rFonts w:eastAsiaTheme="minorEastAsia"/>
              </w:rPr>
              <w:t>Test with two health service Board and Executive teams by</w:t>
            </w:r>
            <w:r>
              <w:rPr>
                <w:rFonts w:eastAsiaTheme="minorEastAsia"/>
              </w:rPr>
              <w:t xml:space="preserve"> </w:t>
            </w:r>
            <w:r w:rsidRPr="009A7B97">
              <w:rPr>
                <w:rFonts w:eastAsiaTheme="minorEastAsia"/>
              </w:rPr>
              <w:t>June 2022</w:t>
            </w:r>
          </w:p>
        </w:tc>
      </w:tr>
    </w:tbl>
    <w:p w14:paraId="0E7D6480" w14:textId="77777777" w:rsidR="00A50CB2" w:rsidRPr="00A50CB2" w:rsidRDefault="00A50CB2" w:rsidP="00A50CB2">
      <w:pPr>
        <w:pStyle w:val="Heading2"/>
        <w:rPr>
          <w:rFonts w:asciiTheme="minorHAnsi" w:eastAsiaTheme="minorEastAsia" w:hAnsiTheme="minorHAnsi" w:cstheme="minorBidi"/>
          <w:b w:val="0"/>
          <w:bCs w:val="0"/>
          <w:sz w:val="20"/>
          <w:szCs w:val="20"/>
        </w:rPr>
      </w:pPr>
    </w:p>
    <w:p w14:paraId="7B854482" w14:textId="77777777" w:rsidR="00A50CB2" w:rsidRPr="00A50CB2" w:rsidRDefault="00A50CB2" w:rsidP="00A50CB2">
      <w:pPr>
        <w:pStyle w:val="Heading2"/>
        <w:rPr>
          <w:rFonts w:asciiTheme="minorHAnsi" w:eastAsiaTheme="minorEastAsia" w:hAnsiTheme="minorHAnsi" w:cstheme="minorBidi"/>
          <w:b w:val="0"/>
          <w:bCs w:val="0"/>
          <w:sz w:val="20"/>
          <w:szCs w:val="20"/>
        </w:rPr>
      </w:pPr>
    </w:p>
    <w:p w14:paraId="4C902673" w14:textId="77777777" w:rsidR="00C54363" w:rsidRDefault="00C54363">
      <w:pPr>
        <w:rPr>
          <w:rFonts w:asciiTheme="majorHAnsi" w:hAnsiTheme="majorHAnsi" w:cstheme="majorBidi"/>
          <w:b/>
          <w:bCs/>
          <w:color w:val="007586" w:themeColor="text2"/>
          <w:sz w:val="32"/>
          <w:szCs w:val="32"/>
        </w:rPr>
      </w:pPr>
      <w:r>
        <w:br w:type="page"/>
      </w:r>
    </w:p>
    <w:p w14:paraId="7D29ADE0" w14:textId="0CDB1A64" w:rsidR="00A50CB2" w:rsidRPr="00A50CB2" w:rsidRDefault="00A50CB2" w:rsidP="00C54363">
      <w:pPr>
        <w:pStyle w:val="Heading1"/>
        <w:rPr>
          <w:rFonts w:eastAsiaTheme="minorEastAsia"/>
        </w:rPr>
      </w:pPr>
      <w:r w:rsidRPr="00A50CB2">
        <w:rPr>
          <w:rFonts w:eastAsiaTheme="minorEastAsia"/>
        </w:rPr>
        <w:lastRenderedPageBreak/>
        <w:t xml:space="preserve">Partnership and </w:t>
      </w:r>
      <w:r w:rsidRPr="00C54363">
        <w:t>planning</w:t>
      </w:r>
      <w:r w:rsidRPr="00A50CB2">
        <w:rPr>
          <w:rFonts w:eastAsiaTheme="minorEastAsia"/>
        </w:rPr>
        <w:t xml:space="preserve"> </w:t>
      </w:r>
    </w:p>
    <w:p w14:paraId="67627B04" w14:textId="788722FF" w:rsidR="00A50CB2" w:rsidRDefault="00A50CB2" w:rsidP="00C54363">
      <w:pPr>
        <w:pStyle w:val="SCVintroductorytext"/>
      </w:pPr>
      <w:r w:rsidRPr="00A50CB2">
        <w:t xml:space="preserve">Our focus on working with clinicians and consumers will continue through our new engagement framework </w:t>
      </w:r>
    </w:p>
    <w:tbl>
      <w:tblPr>
        <w:tblStyle w:val="SCVpulloutbox"/>
        <w:tblW w:w="0" w:type="auto"/>
        <w:tblLook w:val="04A0" w:firstRow="1" w:lastRow="0" w:firstColumn="1" w:lastColumn="0" w:noHBand="0" w:noVBand="1"/>
      </w:tblPr>
      <w:tblGrid>
        <w:gridCol w:w="10432"/>
      </w:tblGrid>
      <w:tr w:rsidR="00C54363" w14:paraId="3CF7047D" w14:textId="77777777" w:rsidTr="00C54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2" w:type="dxa"/>
          </w:tcPr>
          <w:p w14:paraId="2B7120B9" w14:textId="77777777" w:rsidR="00C54363" w:rsidRPr="006E1AE0" w:rsidRDefault="00C54363" w:rsidP="00C54363">
            <w:pPr>
              <w:pStyle w:val="SCVpulloutheading"/>
              <w:rPr>
                <w:b/>
                <w:bCs w:val="0"/>
                <w:sz w:val="22"/>
                <w:szCs w:val="22"/>
              </w:rPr>
            </w:pPr>
            <w:r w:rsidRPr="006E1AE0">
              <w:rPr>
                <w:b/>
                <w:bCs w:val="0"/>
                <w:sz w:val="22"/>
                <w:szCs w:val="22"/>
              </w:rPr>
              <w:t xml:space="preserve">Embed our new engagement and advisory bodies </w:t>
            </w:r>
          </w:p>
          <w:p w14:paraId="7AE2D523" w14:textId="77777777" w:rsidR="00C54363" w:rsidRPr="006E1AE0" w:rsidRDefault="00C54363" w:rsidP="00C54363">
            <w:pPr>
              <w:pStyle w:val="SCVpullouttext"/>
              <w:rPr>
                <w:b w:val="0"/>
                <w:bCs w:val="0"/>
                <w:sz w:val="18"/>
                <w:szCs w:val="18"/>
              </w:rPr>
            </w:pPr>
            <w:r w:rsidRPr="006E1AE0">
              <w:rPr>
                <w:b w:val="0"/>
                <w:bCs w:val="0"/>
                <w:sz w:val="18"/>
                <w:szCs w:val="18"/>
              </w:rPr>
              <w:t xml:space="preserve">By June 2022, we will establish new advisory bodies: </w:t>
            </w:r>
          </w:p>
          <w:p w14:paraId="7044E685" w14:textId="77777777" w:rsidR="00C54363" w:rsidRPr="006E1AE0" w:rsidRDefault="00C54363" w:rsidP="006A57B0">
            <w:pPr>
              <w:pStyle w:val="SCVpulloutbullet"/>
              <w:rPr>
                <w:sz w:val="18"/>
                <w:szCs w:val="18"/>
              </w:rPr>
            </w:pPr>
            <w:r w:rsidRPr="006E1AE0">
              <w:rPr>
                <w:sz w:val="18"/>
                <w:szCs w:val="18"/>
              </w:rPr>
              <w:t xml:space="preserve">Quality and Safety Executive Council </w:t>
            </w:r>
          </w:p>
          <w:p w14:paraId="7226BDC8" w14:textId="77777777" w:rsidR="00C54363" w:rsidRPr="006E1AE0" w:rsidRDefault="00C54363" w:rsidP="00C54363">
            <w:pPr>
              <w:pStyle w:val="SCVpulloutbullet"/>
              <w:numPr>
                <w:ilvl w:val="0"/>
                <w:numId w:val="0"/>
              </w:numPr>
              <w:ind w:left="284"/>
              <w:rPr>
                <w:sz w:val="18"/>
                <w:szCs w:val="18"/>
              </w:rPr>
            </w:pPr>
            <w:r w:rsidRPr="006E1AE0">
              <w:rPr>
                <w:b w:val="0"/>
                <w:bCs w:val="0"/>
                <w:sz w:val="18"/>
                <w:szCs w:val="18"/>
              </w:rPr>
              <w:t xml:space="preserve">Contributes to, challenges and guides the development and implementation of our strategy. </w:t>
            </w:r>
          </w:p>
          <w:p w14:paraId="26CFAB2E" w14:textId="77777777" w:rsidR="00C54363" w:rsidRPr="006E1AE0" w:rsidRDefault="00C54363" w:rsidP="00C54363">
            <w:pPr>
              <w:pStyle w:val="SCVpulloutbullet"/>
              <w:rPr>
                <w:sz w:val="18"/>
                <w:szCs w:val="18"/>
              </w:rPr>
            </w:pPr>
            <w:r w:rsidRPr="006E1AE0">
              <w:rPr>
                <w:sz w:val="18"/>
                <w:szCs w:val="18"/>
              </w:rPr>
              <w:t xml:space="preserve">Clinical Advisory Group </w:t>
            </w:r>
          </w:p>
          <w:p w14:paraId="4AA89C70" w14:textId="77777777" w:rsidR="00C54363" w:rsidRPr="006E1AE0" w:rsidRDefault="00C54363" w:rsidP="00C54363">
            <w:pPr>
              <w:pStyle w:val="SCVpulloutbullet"/>
              <w:numPr>
                <w:ilvl w:val="0"/>
                <w:numId w:val="0"/>
              </w:numPr>
              <w:ind w:left="284"/>
              <w:rPr>
                <w:sz w:val="18"/>
                <w:szCs w:val="18"/>
              </w:rPr>
            </w:pPr>
            <w:r w:rsidRPr="006E1AE0">
              <w:rPr>
                <w:b w:val="0"/>
                <w:bCs w:val="0"/>
                <w:sz w:val="18"/>
                <w:szCs w:val="18"/>
              </w:rPr>
              <w:t>Provides governance,</w:t>
            </w:r>
            <w:r w:rsidRPr="006E1AE0">
              <w:rPr>
                <w:sz w:val="18"/>
                <w:szCs w:val="18"/>
              </w:rPr>
              <w:t xml:space="preserve"> </w:t>
            </w:r>
            <w:r w:rsidRPr="006E1AE0">
              <w:rPr>
                <w:b w:val="0"/>
                <w:bCs w:val="0"/>
                <w:sz w:val="18"/>
                <w:szCs w:val="18"/>
              </w:rPr>
              <w:t xml:space="preserve">guidance and advice on prioritising projects, and provides frontline service delivery insights. </w:t>
            </w:r>
          </w:p>
          <w:p w14:paraId="76DC73DE" w14:textId="77777777" w:rsidR="00C54363" w:rsidRPr="006E1AE0" w:rsidRDefault="00C54363" w:rsidP="00C54363">
            <w:pPr>
              <w:pStyle w:val="SCVpulloutbullet"/>
              <w:rPr>
                <w:sz w:val="18"/>
                <w:szCs w:val="18"/>
              </w:rPr>
            </w:pPr>
            <w:r w:rsidRPr="006E1AE0">
              <w:rPr>
                <w:sz w:val="18"/>
                <w:szCs w:val="18"/>
              </w:rPr>
              <w:t xml:space="preserve">Quality and Safety Signals Group </w:t>
            </w:r>
          </w:p>
          <w:p w14:paraId="075624B1" w14:textId="5C9E4F2E" w:rsidR="00C54363" w:rsidRPr="006E1AE0" w:rsidRDefault="00C54363" w:rsidP="00C54363">
            <w:pPr>
              <w:pStyle w:val="SCVpulloutbullet"/>
              <w:numPr>
                <w:ilvl w:val="0"/>
                <w:numId w:val="0"/>
              </w:numPr>
              <w:ind w:left="284"/>
              <w:rPr>
                <w:b w:val="0"/>
                <w:bCs w:val="0"/>
                <w:sz w:val="18"/>
                <w:szCs w:val="18"/>
              </w:rPr>
            </w:pPr>
            <w:r w:rsidRPr="006E1AE0">
              <w:rPr>
                <w:b w:val="0"/>
                <w:bCs w:val="0"/>
                <w:sz w:val="18"/>
                <w:szCs w:val="18"/>
              </w:rPr>
              <w:t>Monitors</w:t>
            </w:r>
            <w:r w:rsidRPr="006E1AE0">
              <w:rPr>
                <w:sz w:val="18"/>
                <w:szCs w:val="18"/>
              </w:rPr>
              <w:t xml:space="preserve"> </w:t>
            </w:r>
            <w:r w:rsidRPr="006E1AE0">
              <w:rPr>
                <w:b w:val="0"/>
                <w:bCs w:val="0"/>
                <w:sz w:val="18"/>
                <w:szCs w:val="18"/>
              </w:rPr>
              <w:t xml:space="preserve">quality and safety information and intelligence to help us recognise system vulnerabilities and key risks. </w:t>
            </w:r>
          </w:p>
          <w:p w14:paraId="013C26CC" w14:textId="0955AFDC" w:rsidR="00C54363" w:rsidRPr="006E1AE0" w:rsidRDefault="00C54363" w:rsidP="00C54363">
            <w:pPr>
              <w:pStyle w:val="SCVpullouttext"/>
              <w:rPr>
                <w:b w:val="0"/>
                <w:bCs w:val="0"/>
                <w:sz w:val="18"/>
                <w:szCs w:val="18"/>
              </w:rPr>
            </w:pPr>
            <w:r w:rsidRPr="006E1AE0">
              <w:rPr>
                <w:b w:val="0"/>
                <w:bCs w:val="0"/>
                <w:sz w:val="18"/>
                <w:szCs w:val="18"/>
              </w:rPr>
              <w:t xml:space="preserve">We will improve our connections and engagement through the: </w:t>
            </w:r>
          </w:p>
          <w:p w14:paraId="27CAC8A4" w14:textId="77777777" w:rsidR="00C54363" w:rsidRPr="006E1AE0" w:rsidRDefault="00C54363" w:rsidP="00C54363">
            <w:pPr>
              <w:pStyle w:val="SCVpulloutbullet"/>
              <w:rPr>
                <w:sz w:val="18"/>
                <w:szCs w:val="18"/>
              </w:rPr>
            </w:pPr>
            <w:r w:rsidRPr="006E1AE0">
              <w:rPr>
                <w:sz w:val="18"/>
                <w:szCs w:val="18"/>
              </w:rPr>
              <w:t xml:space="preserve">SCV Consumer Caucus </w:t>
            </w:r>
          </w:p>
          <w:p w14:paraId="0070ED0A" w14:textId="77777777" w:rsidR="00C54363" w:rsidRPr="006E1AE0" w:rsidRDefault="00C54363" w:rsidP="00C54363">
            <w:pPr>
              <w:pStyle w:val="SCVpulloutbullet"/>
              <w:numPr>
                <w:ilvl w:val="0"/>
                <w:numId w:val="0"/>
              </w:numPr>
              <w:ind w:left="284"/>
              <w:rPr>
                <w:sz w:val="18"/>
                <w:szCs w:val="18"/>
              </w:rPr>
            </w:pPr>
            <w:r w:rsidRPr="006E1AE0">
              <w:rPr>
                <w:b w:val="0"/>
                <w:bCs w:val="0"/>
                <w:sz w:val="18"/>
                <w:szCs w:val="18"/>
              </w:rPr>
              <w:t>Bringing together</w:t>
            </w:r>
            <w:r w:rsidRPr="006E1AE0">
              <w:rPr>
                <w:sz w:val="18"/>
                <w:szCs w:val="18"/>
              </w:rPr>
              <w:t xml:space="preserve"> </w:t>
            </w:r>
            <w:r w:rsidRPr="006E1AE0">
              <w:rPr>
                <w:b w:val="0"/>
                <w:bCs w:val="0"/>
                <w:sz w:val="18"/>
                <w:szCs w:val="18"/>
              </w:rPr>
              <w:t>consumer members of the multiple committees and working groups to share their experiences</w:t>
            </w:r>
            <w:r w:rsidRPr="006E1AE0">
              <w:rPr>
                <w:sz w:val="18"/>
                <w:szCs w:val="18"/>
              </w:rPr>
              <w:t xml:space="preserve"> </w:t>
            </w:r>
            <w:r w:rsidRPr="006E1AE0">
              <w:rPr>
                <w:b w:val="0"/>
                <w:bCs w:val="0"/>
                <w:sz w:val="18"/>
                <w:szCs w:val="18"/>
              </w:rPr>
              <w:t>and guide SCV</w:t>
            </w:r>
            <w:r w:rsidRPr="006E1AE0">
              <w:rPr>
                <w:sz w:val="18"/>
                <w:szCs w:val="18"/>
              </w:rPr>
              <w:t>’</w:t>
            </w:r>
            <w:r w:rsidRPr="006E1AE0">
              <w:rPr>
                <w:b w:val="0"/>
                <w:bCs w:val="0"/>
                <w:sz w:val="18"/>
                <w:szCs w:val="18"/>
              </w:rPr>
              <w:t xml:space="preserve">s work </w:t>
            </w:r>
          </w:p>
          <w:p w14:paraId="6543BD73" w14:textId="77777777" w:rsidR="00C54363" w:rsidRPr="006E1AE0" w:rsidRDefault="00C54363" w:rsidP="00C54363">
            <w:pPr>
              <w:pStyle w:val="SCVpulloutbullet"/>
              <w:rPr>
                <w:sz w:val="18"/>
                <w:szCs w:val="18"/>
              </w:rPr>
            </w:pPr>
            <w:r w:rsidRPr="006E1AE0">
              <w:rPr>
                <w:sz w:val="18"/>
                <w:szCs w:val="18"/>
              </w:rPr>
              <w:t xml:space="preserve">SCV Village </w:t>
            </w:r>
          </w:p>
          <w:p w14:paraId="06065BA9" w14:textId="463AE10C" w:rsidR="00C54363" w:rsidRPr="00C54363" w:rsidRDefault="00C54363" w:rsidP="00C54363">
            <w:pPr>
              <w:pStyle w:val="SCVpulloutbullet"/>
              <w:numPr>
                <w:ilvl w:val="0"/>
                <w:numId w:val="0"/>
              </w:numPr>
              <w:ind w:left="284"/>
              <w:rPr>
                <w:bCs w:val="0"/>
              </w:rPr>
            </w:pPr>
            <w:r w:rsidRPr="006E1AE0">
              <w:rPr>
                <w:b w:val="0"/>
                <w:bCs w:val="0"/>
                <w:sz w:val="18"/>
                <w:szCs w:val="18"/>
              </w:rPr>
              <w:t>Includes everyone we work</w:t>
            </w:r>
            <w:r w:rsidRPr="006E1AE0">
              <w:rPr>
                <w:sz w:val="18"/>
                <w:szCs w:val="18"/>
              </w:rPr>
              <w:t xml:space="preserve"> </w:t>
            </w:r>
            <w:r w:rsidRPr="006E1AE0">
              <w:rPr>
                <w:b w:val="0"/>
                <w:bCs w:val="0"/>
                <w:sz w:val="18"/>
                <w:szCs w:val="18"/>
              </w:rPr>
              <w:t>with on our improvement projects and those we regularly engage with through our communications and events.</w:t>
            </w:r>
            <w:r w:rsidRPr="00A50CB2">
              <w:rPr>
                <w:b w:val="0"/>
                <w:bCs w:val="0"/>
              </w:rPr>
              <w:t xml:space="preserve"> </w:t>
            </w:r>
          </w:p>
        </w:tc>
      </w:tr>
    </w:tbl>
    <w:p w14:paraId="73569628" w14:textId="34EE28A6" w:rsidR="00C54363" w:rsidRDefault="00C54363" w:rsidP="00C54363">
      <w:pPr>
        <w:pStyle w:val="SCVintroductorytext"/>
        <w:rPr>
          <w:bCs/>
        </w:rPr>
      </w:pPr>
    </w:p>
    <w:tbl>
      <w:tblPr>
        <w:tblStyle w:val="TableGrid"/>
        <w:tblW w:w="0" w:type="auto"/>
        <w:tblLook w:val="0600" w:firstRow="0" w:lastRow="0" w:firstColumn="0" w:lastColumn="0" w:noHBand="1" w:noVBand="1"/>
      </w:tblPr>
      <w:tblGrid>
        <w:gridCol w:w="7938"/>
        <w:gridCol w:w="2494"/>
      </w:tblGrid>
      <w:tr w:rsidR="00C54363" w:rsidRPr="006E1AE0" w14:paraId="2C79FABC" w14:textId="77777777" w:rsidTr="00C028AE">
        <w:trPr>
          <w:trHeight w:val="283"/>
        </w:trPr>
        <w:tc>
          <w:tcPr>
            <w:tcW w:w="7938" w:type="dxa"/>
          </w:tcPr>
          <w:p w14:paraId="20D01CCB" w14:textId="03A0AE13" w:rsidR="00C54363" w:rsidRPr="006E1AE0" w:rsidRDefault="00C54363" w:rsidP="006E1AE0">
            <w:pPr>
              <w:pStyle w:val="SCVtablebody"/>
            </w:pPr>
            <w:r w:rsidRPr="006E1AE0">
              <w:t>Design a framework for perioperative morbidity and mortality committees in regional/rural Victoria to strengthen adverse event reviews</w:t>
            </w:r>
          </w:p>
        </w:tc>
        <w:tc>
          <w:tcPr>
            <w:tcW w:w="2494" w:type="dxa"/>
          </w:tcPr>
          <w:p w14:paraId="6AED4B98" w14:textId="13939179" w:rsidR="00C54363" w:rsidRPr="006E1AE0" w:rsidRDefault="006E1AE0" w:rsidP="006E1AE0">
            <w:pPr>
              <w:pStyle w:val="SCVtablebody"/>
            </w:pPr>
            <w:r w:rsidRPr="006E1AE0">
              <w:t>June 2022</w:t>
            </w:r>
          </w:p>
        </w:tc>
      </w:tr>
      <w:tr w:rsidR="00C54363" w14:paraId="505D45F8" w14:textId="77777777" w:rsidTr="00C028AE">
        <w:trPr>
          <w:trHeight w:val="283"/>
        </w:trPr>
        <w:tc>
          <w:tcPr>
            <w:tcW w:w="7938" w:type="dxa"/>
          </w:tcPr>
          <w:p w14:paraId="5E94C328" w14:textId="05F37E2A" w:rsidR="00C54363" w:rsidRDefault="006E1AE0" w:rsidP="006E1AE0">
            <w:pPr>
              <w:pStyle w:val="SCVtablebody"/>
              <w:rPr>
                <w:b/>
              </w:rPr>
            </w:pPr>
            <w:r w:rsidRPr="006E1AE0">
              <w:t>Design and test a new consumer fellowship program that will build consumer leadership capability and support partnering in healthcare</w:t>
            </w:r>
          </w:p>
        </w:tc>
        <w:tc>
          <w:tcPr>
            <w:tcW w:w="2494" w:type="dxa"/>
          </w:tcPr>
          <w:p w14:paraId="0C0FAC9A" w14:textId="1C8BF166" w:rsidR="00C54363" w:rsidRPr="006E1AE0" w:rsidRDefault="006E1AE0" w:rsidP="006E1AE0">
            <w:pPr>
              <w:pStyle w:val="SCVtablebody"/>
              <w:rPr>
                <w:bCs/>
              </w:rPr>
            </w:pPr>
            <w:r w:rsidRPr="006E1AE0">
              <w:rPr>
                <w:bCs/>
              </w:rPr>
              <w:t>Recruit two consumer fellows by May 2022</w:t>
            </w:r>
          </w:p>
        </w:tc>
      </w:tr>
      <w:tr w:rsidR="00C54363" w14:paraId="56D2939A" w14:textId="77777777" w:rsidTr="00C028AE">
        <w:trPr>
          <w:trHeight w:val="283"/>
        </w:trPr>
        <w:tc>
          <w:tcPr>
            <w:tcW w:w="7938" w:type="dxa"/>
          </w:tcPr>
          <w:p w14:paraId="25521383" w14:textId="63BA350E" w:rsidR="00C54363" w:rsidRPr="006E1AE0" w:rsidRDefault="006E1AE0" w:rsidP="006E1AE0">
            <w:pPr>
              <w:pStyle w:val="SCVtablebody"/>
              <w:rPr>
                <w:bCs/>
              </w:rPr>
            </w:pPr>
            <w:r w:rsidRPr="006E1AE0">
              <w:rPr>
                <w:bCs/>
              </w:rPr>
              <w:t>D</w:t>
            </w:r>
            <w:r w:rsidRPr="006E1AE0">
              <w:rPr>
                <w:bCs/>
              </w:rPr>
              <w:t>efine the best place for safe delivery of 37 low-volume surgical procedures across four clinical specialities</w:t>
            </w:r>
          </w:p>
        </w:tc>
        <w:tc>
          <w:tcPr>
            <w:tcW w:w="2494" w:type="dxa"/>
          </w:tcPr>
          <w:p w14:paraId="58C348F4" w14:textId="41EE0D4D" w:rsidR="00C54363" w:rsidRPr="006E1AE0" w:rsidRDefault="006E1AE0" w:rsidP="006E1AE0">
            <w:pPr>
              <w:pStyle w:val="SCVtablebody"/>
              <w:rPr>
                <w:bCs/>
              </w:rPr>
            </w:pPr>
            <w:r w:rsidRPr="006E1AE0">
              <w:rPr>
                <w:bCs/>
              </w:rPr>
              <w:t>June 2022</w:t>
            </w:r>
          </w:p>
        </w:tc>
      </w:tr>
      <w:tr w:rsidR="00C54363" w14:paraId="3B93E30B" w14:textId="77777777" w:rsidTr="00C028AE">
        <w:trPr>
          <w:trHeight w:val="283"/>
        </w:trPr>
        <w:tc>
          <w:tcPr>
            <w:tcW w:w="7938" w:type="dxa"/>
          </w:tcPr>
          <w:p w14:paraId="6775686A" w14:textId="26BA7380" w:rsidR="00C54363" w:rsidRPr="006E1AE0" w:rsidRDefault="006E1AE0" w:rsidP="006E1AE0">
            <w:pPr>
              <w:pStyle w:val="SCVtablebody"/>
              <w:rPr>
                <w:bCs/>
              </w:rPr>
            </w:pPr>
            <w:r w:rsidRPr="006E1AE0">
              <w:rPr>
                <w:bCs/>
              </w:rPr>
              <w:t xml:space="preserve">Host the virtual and in-person </w:t>
            </w:r>
            <w:r w:rsidRPr="006E1AE0">
              <w:rPr>
                <w:b/>
              </w:rPr>
              <w:t>GIANT STEPS 2022</w:t>
            </w:r>
            <w:r w:rsidRPr="006E1AE0">
              <w:rPr>
                <w:bCs/>
              </w:rPr>
              <w:t xml:space="preserve"> conference to inspire, share knowledge and encourage learning for the health sector</w:t>
            </w:r>
          </w:p>
        </w:tc>
        <w:tc>
          <w:tcPr>
            <w:tcW w:w="2494" w:type="dxa"/>
          </w:tcPr>
          <w:p w14:paraId="1E3392CF" w14:textId="422DB124" w:rsidR="00C54363" w:rsidRPr="006E1AE0" w:rsidRDefault="006E1AE0" w:rsidP="006E1AE0">
            <w:pPr>
              <w:pStyle w:val="SCVtablebody"/>
              <w:rPr>
                <w:bCs/>
              </w:rPr>
            </w:pPr>
            <w:r w:rsidRPr="006E1AE0">
              <w:rPr>
                <w:bCs/>
              </w:rPr>
              <w:t>May 2022</w:t>
            </w:r>
          </w:p>
        </w:tc>
      </w:tr>
      <w:tr w:rsidR="00C54363" w14:paraId="11858894" w14:textId="77777777" w:rsidTr="00C028AE">
        <w:trPr>
          <w:trHeight w:val="283"/>
        </w:trPr>
        <w:tc>
          <w:tcPr>
            <w:tcW w:w="7938" w:type="dxa"/>
          </w:tcPr>
          <w:p w14:paraId="337A00A7" w14:textId="1009B40F" w:rsidR="00C54363" w:rsidRPr="006E1AE0" w:rsidRDefault="006E1AE0" w:rsidP="006E1AE0">
            <w:pPr>
              <w:pStyle w:val="SCVtablebody"/>
              <w:rPr>
                <w:bCs/>
              </w:rPr>
            </w:pPr>
            <w:r w:rsidRPr="006E1AE0">
              <w:rPr>
                <w:bCs/>
              </w:rPr>
              <w:t>Design and deliver all improvement initiatives in partnership with consumers, carers and people with lived experience and subject matter expertise, using relevant data to ensure the programs of work deliver safer, people-centred services</w:t>
            </w:r>
          </w:p>
        </w:tc>
        <w:tc>
          <w:tcPr>
            <w:tcW w:w="2494" w:type="dxa"/>
          </w:tcPr>
          <w:p w14:paraId="6A77D078" w14:textId="19516A66" w:rsidR="00C54363" w:rsidRPr="006E1AE0" w:rsidRDefault="006E1AE0" w:rsidP="006E1AE0">
            <w:pPr>
              <w:pStyle w:val="SCVtablebody"/>
              <w:rPr>
                <w:bCs/>
              </w:rPr>
            </w:pPr>
            <w:r w:rsidRPr="006E1AE0">
              <w:rPr>
                <w:bCs/>
              </w:rPr>
              <w:t>June 2022</w:t>
            </w:r>
          </w:p>
        </w:tc>
      </w:tr>
    </w:tbl>
    <w:p w14:paraId="5B0E3D80" w14:textId="77777777" w:rsidR="00C028AE" w:rsidRDefault="00C028AE" w:rsidP="006E1AE0">
      <w:pPr>
        <w:pStyle w:val="Heading1"/>
        <w:rPr>
          <w:rFonts w:eastAsiaTheme="minorEastAsia"/>
        </w:rPr>
      </w:pPr>
    </w:p>
    <w:p w14:paraId="3ECCBE1E" w14:textId="77777777" w:rsidR="00C028AE" w:rsidRDefault="00C028AE">
      <w:pPr>
        <w:rPr>
          <w:rFonts w:asciiTheme="majorHAnsi" w:hAnsiTheme="majorHAnsi" w:cstheme="majorBidi"/>
          <w:b/>
          <w:bCs/>
          <w:color w:val="007586" w:themeColor="text2"/>
          <w:sz w:val="32"/>
          <w:szCs w:val="32"/>
        </w:rPr>
      </w:pPr>
      <w:r>
        <w:br w:type="page"/>
      </w:r>
    </w:p>
    <w:p w14:paraId="2B17C1EE" w14:textId="4C5A49C4" w:rsidR="00A50CB2" w:rsidRPr="00A50CB2" w:rsidRDefault="00A50CB2" w:rsidP="006E1AE0">
      <w:pPr>
        <w:pStyle w:val="Heading1"/>
        <w:rPr>
          <w:rFonts w:eastAsiaTheme="minorEastAsia"/>
        </w:rPr>
      </w:pPr>
      <w:r w:rsidRPr="00A50CB2">
        <w:rPr>
          <w:rFonts w:eastAsiaTheme="minorEastAsia"/>
        </w:rPr>
        <w:lastRenderedPageBreak/>
        <w:t xml:space="preserve">Monitoring </w:t>
      </w:r>
    </w:p>
    <w:p w14:paraId="7F0B2E3C" w14:textId="53A33086" w:rsidR="00A50CB2" w:rsidRPr="00A50CB2" w:rsidRDefault="00A50CB2" w:rsidP="006E1AE0">
      <w:pPr>
        <w:pStyle w:val="SCVintroductorytext"/>
        <w:rPr>
          <w:bCs/>
        </w:rPr>
      </w:pPr>
      <w:r w:rsidRPr="00A50CB2">
        <w:t xml:space="preserve">We will improve the systems and processes that help us monitor quality and safety </w:t>
      </w:r>
    </w:p>
    <w:tbl>
      <w:tblPr>
        <w:tblStyle w:val="TableGrid"/>
        <w:tblW w:w="0" w:type="auto"/>
        <w:tblLook w:val="0600" w:firstRow="0" w:lastRow="0" w:firstColumn="0" w:lastColumn="0" w:noHBand="1" w:noVBand="1"/>
      </w:tblPr>
      <w:tblGrid>
        <w:gridCol w:w="7655"/>
        <w:gridCol w:w="2777"/>
      </w:tblGrid>
      <w:tr w:rsidR="006E1AE0" w14:paraId="28BD6043" w14:textId="77777777" w:rsidTr="00C028AE">
        <w:tc>
          <w:tcPr>
            <w:tcW w:w="7655" w:type="dxa"/>
          </w:tcPr>
          <w:p w14:paraId="2087C373" w14:textId="3CF0C01F" w:rsidR="006E1AE0" w:rsidRDefault="006E1AE0" w:rsidP="00C028AE">
            <w:pPr>
              <w:pStyle w:val="SCVtablebody"/>
              <w:rPr>
                <w:rFonts w:eastAsiaTheme="minorEastAsia"/>
                <w:b/>
                <w:bCs/>
              </w:rPr>
            </w:pPr>
            <w:r w:rsidRPr="00A50CB2">
              <w:rPr>
                <w:rFonts w:eastAsiaTheme="minorEastAsia"/>
              </w:rPr>
              <w:t xml:space="preserve">Identify and develop a comprehensive suite of quality and safety performance indicators to better identify system risks and improvement opportunities </w:t>
            </w:r>
          </w:p>
        </w:tc>
        <w:tc>
          <w:tcPr>
            <w:tcW w:w="2777" w:type="dxa"/>
          </w:tcPr>
          <w:p w14:paraId="1361C488" w14:textId="1858667E" w:rsidR="006E1AE0" w:rsidRDefault="006E1AE0" w:rsidP="00C028AE">
            <w:pPr>
              <w:pStyle w:val="SCVtablebody"/>
              <w:rPr>
                <w:rFonts w:eastAsiaTheme="minorEastAsia"/>
                <w:b/>
                <w:bCs/>
              </w:rPr>
            </w:pPr>
            <w:r w:rsidRPr="00A50CB2">
              <w:rPr>
                <w:rFonts w:eastAsiaTheme="minorEastAsia"/>
              </w:rPr>
              <w:t>December 2021 for</w:t>
            </w:r>
            <w:r w:rsidRPr="00A50CB2">
              <w:rPr>
                <w:rFonts w:eastAsiaTheme="minorEastAsia"/>
                <w:b/>
                <w:bCs/>
              </w:rPr>
              <w:t xml:space="preserve"> </w:t>
            </w:r>
            <w:r w:rsidRPr="00A50CB2">
              <w:rPr>
                <w:rFonts w:eastAsiaTheme="minorEastAsia"/>
              </w:rPr>
              <w:t>implementation by</w:t>
            </w:r>
            <w:r w:rsidRPr="00A50CB2">
              <w:rPr>
                <w:rFonts w:eastAsiaTheme="minorEastAsia"/>
                <w:b/>
                <w:bCs/>
              </w:rPr>
              <w:t xml:space="preserve"> </w:t>
            </w:r>
            <w:r w:rsidRPr="00A50CB2">
              <w:rPr>
                <w:rFonts w:eastAsiaTheme="minorEastAsia"/>
              </w:rPr>
              <w:t>June 2022</w:t>
            </w:r>
          </w:p>
        </w:tc>
      </w:tr>
      <w:tr w:rsidR="006E1AE0" w14:paraId="3217F747" w14:textId="77777777" w:rsidTr="00C028AE">
        <w:tc>
          <w:tcPr>
            <w:tcW w:w="7655" w:type="dxa"/>
          </w:tcPr>
          <w:p w14:paraId="0422AF6D" w14:textId="0D7000CE" w:rsidR="006E1AE0" w:rsidRDefault="006E1AE0" w:rsidP="00C028AE">
            <w:pPr>
              <w:pStyle w:val="SCVtablebody"/>
              <w:rPr>
                <w:rFonts w:eastAsiaTheme="minorEastAsia"/>
                <w:b/>
                <w:bCs/>
              </w:rPr>
            </w:pPr>
            <w:r w:rsidRPr="00A50CB2">
              <w:rPr>
                <w:rFonts w:eastAsiaTheme="minorEastAsia"/>
              </w:rPr>
              <w:t xml:space="preserve">Streamline the SCV Alert process for recall of medications and medical devices to mitigate patient safety risks </w:t>
            </w:r>
          </w:p>
        </w:tc>
        <w:tc>
          <w:tcPr>
            <w:tcW w:w="2777" w:type="dxa"/>
          </w:tcPr>
          <w:p w14:paraId="41B0AE35" w14:textId="251CD815" w:rsidR="006E1AE0" w:rsidRDefault="006E1AE0" w:rsidP="00C028AE">
            <w:pPr>
              <w:pStyle w:val="SCVtablebody"/>
              <w:rPr>
                <w:rFonts w:eastAsiaTheme="minorEastAsia"/>
                <w:b/>
                <w:bCs/>
              </w:rPr>
            </w:pPr>
            <w:r w:rsidRPr="00A50CB2">
              <w:rPr>
                <w:rFonts w:eastAsiaTheme="minorEastAsia"/>
              </w:rPr>
              <w:t>October 2021</w:t>
            </w:r>
          </w:p>
        </w:tc>
      </w:tr>
      <w:tr w:rsidR="006E1AE0" w14:paraId="683AF681" w14:textId="77777777" w:rsidTr="00C028AE">
        <w:tc>
          <w:tcPr>
            <w:tcW w:w="7655" w:type="dxa"/>
          </w:tcPr>
          <w:p w14:paraId="5C763855" w14:textId="6675A266" w:rsidR="006E1AE0" w:rsidRDefault="006E1AE0" w:rsidP="00C028AE">
            <w:pPr>
              <w:pStyle w:val="SCVtablebody"/>
              <w:rPr>
                <w:rFonts w:eastAsiaTheme="minorEastAsia"/>
                <w:b/>
                <w:bCs/>
              </w:rPr>
            </w:pPr>
            <w:r w:rsidRPr="00A50CB2">
              <w:rPr>
                <w:rFonts w:eastAsiaTheme="minorEastAsia"/>
              </w:rPr>
              <w:t xml:space="preserve">Launch a secure sentinel events portal to make it easier for health services to notify us of adverse events, and improve our reporting and tracking systems </w:t>
            </w:r>
          </w:p>
        </w:tc>
        <w:tc>
          <w:tcPr>
            <w:tcW w:w="2777" w:type="dxa"/>
          </w:tcPr>
          <w:p w14:paraId="3E5BF10B" w14:textId="3D1D0804" w:rsidR="006E1AE0" w:rsidRDefault="006E1AE0" w:rsidP="00C028AE">
            <w:pPr>
              <w:pStyle w:val="SCVtablebody"/>
              <w:rPr>
                <w:rFonts w:eastAsiaTheme="minorEastAsia"/>
                <w:b/>
                <w:bCs/>
              </w:rPr>
            </w:pPr>
            <w:r w:rsidRPr="00A50CB2">
              <w:rPr>
                <w:rFonts w:eastAsiaTheme="minorEastAsia"/>
              </w:rPr>
              <w:t xml:space="preserve">June 2022 </w:t>
            </w:r>
          </w:p>
        </w:tc>
      </w:tr>
      <w:tr w:rsidR="006E1AE0" w14:paraId="46E84F5B" w14:textId="77777777" w:rsidTr="00C028AE">
        <w:tc>
          <w:tcPr>
            <w:tcW w:w="7655" w:type="dxa"/>
          </w:tcPr>
          <w:p w14:paraId="722D7EED" w14:textId="77777777" w:rsidR="006E1AE0" w:rsidRPr="00A50CB2" w:rsidRDefault="006E1AE0" w:rsidP="00C028AE">
            <w:pPr>
              <w:pStyle w:val="SCVtablebody"/>
              <w:rPr>
                <w:rFonts w:eastAsiaTheme="minorEastAsia"/>
                <w:b/>
                <w:bCs/>
              </w:rPr>
            </w:pPr>
            <w:r w:rsidRPr="00A50CB2">
              <w:rPr>
                <w:rFonts w:eastAsiaTheme="minorEastAsia"/>
              </w:rPr>
              <w:t xml:space="preserve">Upgrade digital platforms used by the independent boards/councils we support to improve data and reporting, including the: </w:t>
            </w:r>
          </w:p>
          <w:p w14:paraId="566B2CA1" w14:textId="77777777" w:rsidR="006E1AE0" w:rsidRPr="00A50CB2" w:rsidRDefault="006E1AE0" w:rsidP="00C028AE">
            <w:pPr>
              <w:pStyle w:val="SCVtablebullet1"/>
              <w:rPr>
                <w:rFonts w:eastAsiaTheme="minorEastAsia"/>
                <w:b/>
                <w:bCs/>
              </w:rPr>
            </w:pPr>
            <w:r w:rsidRPr="00A50CB2">
              <w:rPr>
                <w:rFonts w:eastAsiaTheme="minorEastAsia"/>
              </w:rPr>
              <w:t xml:space="preserve">voluntary assisted dying portal </w:t>
            </w:r>
          </w:p>
          <w:p w14:paraId="390FA5F4" w14:textId="45739171" w:rsidR="006E1AE0" w:rsidRPr="006E1AE0" w:rsidRDefault="006E1AE0" w:rsidP="00C028AE">
            <w:pPr>
              <w:pStyle w:val="SCVtablebullet1"/>
              <w:rPr>
                <w:rFonts w:eastAsiaTheme="minorEastAsia"/>
              </w:rPr>
            </w:pPr>
            <w:r w:rsidRPr="00A50CB2">
              <w:rPr>
                <w:rFonts w:eastAsiaTheme="minorEastAsia"/>
              </w:rPr>
              <w:t xml:space="preserve">the Victorian Perinatal Data Collection </w:t>
            </w:r>
          </w:p>
        </w:tc>
        <w:tc>
          <w:tcPr>
            <w:tcW w:w="2777" w:type="dxa"/>
          </w:tcPr>
          <w:p w14:paraId="285E5B7B" w14:textId="5BE076F7" w:rsidR="006E1AE0" w:rsidRDefault="006E1AE0" w:rsidP="00C028AE">
            <w:pPr>
              <w:pStyle w:val="SCVtablebody"/>
              <w:rPr>
                <w:rFonts w:eastAsiaTheme="minorEastAsia"/>
                <w:b/>
                <w:bCs/>
              </w:rPr>
            </w:pPr>
            <w:r w:rsidRPr="00A50CB2">
              <w:rPr>
                <w:rFonts w:eastAsiaTheme="minorEastAsia"/>
              </w:rPr>
              <w:t>June 2022</w:t>
            </w:r>
          </w:p>
        </w:tc>
      </w:tr>
    </w:tbl>
    <w:p w14:paraId="6AF9AC21" w14:textId="77777777" w:rsidR="00A50CB2" w:rsidRPr="00A50CB2" w:rsidRDefault="00A50CB2" w:rsidP="00A50CB2">
      <w:pPr>
        <w:pStyle w:val="Heading2"/>
        <w:rPr>
          <w:rFonts w:asciiTheme="minorHAnsi" w:eastAsiaTheme="minorEastAsia" w:hAnsiTheme="minorHAnsi" w:cstheme="minorBidi"/>
          <w:b w:val="0"/>
          <w:bCs w:val="0"/>
          <w:sz w:val="20"/>
          <w:szCs w:val="20"/>
        </w:rPr>
      </w:pPr>
    </w:p>
    <w:p w14:paraId="074D6368" w14:textId="77777777" w:rsidR="00A50CB2" w:rsidRPr="00A50CB2" w:rsidRDefault="00A50CB2" w:rsidP="00A50CB2">
      <w:pPr>
        <w:pStyle w:val="Heading2"/>
        <w:rPr>
          <w:rFonts w:asciiTheme="minorHAnsi" w:eastAsiaTheme="minorEastAsia" w:hAnsiTheme="minorHAnsi" w:cstheme="minorBidi"/>
          <w:b w:val="0"/>
          <w:bCs w:val="0"/>
          <w:sz w:val="20"/>
          <w:szCs w:val="20"/>
        </w:rPr>
      </w:pPr>
    </w:p>
    <w:p w14:paraId="7D5426C4" w14:textId="77777777" w:rsidR="00A50CB2" w:rsidRPr="00A50CB2" w:rsidRDefault="00A50CB2" w:rsidP="00A50CB2">
      <w:pPr>
        <w:pStyle w:val="Heading2"/>
        <w:rPr>
          <w:rFonts w:asciiTheme="minorHAnsi" w:eastAsiaTheme="minorEastAsia" w:hAnsiTheme="minorHAnsi" w:cstheme="minorBidi"/>
          <w:b w:val="0"/>
          <w:bCs w:val="0"/>
          <w:sz w:val="20"/>
          <w:szCs w:val="20"/>
        </w:rPr>
      </w:pPr>
    </w:p>
    <w:p w14:paraId="0C11B187" w14:textId="77777777" w:rsidR="00A50CB2" w:rsidRPr="00A50CB2" w:rsidRDefault="00A50CB2" w:rsidP="00A50CB2">
      <w:pPr>
        <w:pStyle w:val="Heading2"/>
        <w:rPr>
          <w:rFonts w:asciiTheme="minorHAnsi" w:eastAsiaTheme="minorEastAsia" w:hAnsiTheme="minorHAnsi" w:cstheme="minorBidi"/>
          <w:b w:val="0"/>
          <w:bCs w:val="0"/>
          <w:sz w:val="20"/>
          <w:szCs w:val="20"/>
        </w:rPr>
      </w:pPr>
    </w:p>
    <w:p w14:paraId="4D0031BC" w14:textId="77777777" w:rsidR="00A50CB2" w:rsidRPr="00A50CB2" w:rsidRDefault="00A50CB2" w:rsidP="00A50CB2">
      <w:pPr>
        <w:pStyle w:val="Heading2"/>
        <w:rPr>
          <w:rFonts w:asciiTheme="minorHAnsi" w:eastAsiaTheme="minorEastAsia" w:hAnsiTheme="minorHAnsi" w:cstheme="minorBidi"/>
          <w:b w:val="0"/>
          <w:bCs w:val="0"/>
          <w:sz w:val="20"/>
          <w:szCs w:val="20"/>
        </w:rPr>
      </w:pPr>
    </w:p>
    <w:p w14:paraId="69EBF223" w14:textId="77777777" w:rsidR="00A50CB2" w:rsidRPr="00A50CB2" w:rsidRDefault="00A50CB2" w:rsidP="00A50CB2">
      <w:pPr>
        <w:pStyle w:val="Heading2"/>
        <w:rPr>
          <w:rFonts w:asciiTheme="minorHAnsi" w:eastAsiaTheme="minorEastAsia" w:hAnsiTheme="minorHAnsi" w:cstheme="minorBidi"/>
          <w:b w:val="0"/>
          <w:bCs w:val="0"/>
          <w:sz w:val="20"/>
          <w:szCs w:val="20"/>
        </w:rPr>
      </w:pPr>
      <w:r w:rsidRPr="00A50CB2">
        <w:br w:type="page"/>
      </w:r>
    </w:p>
    <w:p w14:paraId="072F8E3F" w14:textId="77777777" w:rsidR="00A50CB2" w:rsidRPr="00A50CB2" w:rsidRDefault="00A50CB2" w:rsidP="006E1AE0">
      <w:pPr>
        <w:pStyle w:val="Heading1"/>
        <w:rPr>
          <w:rFonts w:eastAsiaTheme="minorEastAsia"/>
        </w:rPr>
      </w:pPr>
      <w:r w:rsidRPr="00A50CB2">
        <w:rPr>
          <w:rFonts w:eastAsiaTheme="minorEastAsia"/>
        </w:rPr>
        <w:lastRenderedPageBreak/>
        <w:t xml:space="preserve">Improvement </w:t>
      </w:r>
    </w:p>
    <w:tbl>
      <w:tblPr>
        <w:tblStyle w:val="SCVpulloutbox"/>
        <w:tblW w:w="0" w:type="auto"/>
        <w:tblLook w:val="06A0" w:firstRow="1" w:lastRow="0" w:firstColumn="1" w:lastColumn="0" w:noHBand="1" w:noVBand="1"/>
      </w:tblPr>
      <w:tblGrid>
        <w:gridCol w:w="3474"/>
        <w:gridCol w:w="3474"/>
        <w:gridCol w:w="3474"/>
      </w:tblGrid>
      <w:tr w:rsidR="006E1AE0" w14:paraId="69147777" w14:textId="77777777" w:rsidTr="00C02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gridSpan w:val="3"/>
          </w:tcPr>
          <w:p w14:paraId="4F7DA610" w14:textId="77777777" w:rsidR="00C028AE" w:rsidRDefault="006E1AE0" w:rsidP="00C028AE">
            <w:pPr>
              <w:pStyle w:val="SCVpulloutheading"/>
            </w:pPr>
            <w:r w:rsidRPr="0019418B">
              <w:rPr>
                <w:b/>
                <w:bCs w:val="0"/>
              </w:rPr>
              <w:t xml:space="preserve">Improve 100,000 lives by 2026 </w:t>
            </w:r>
          </w:p>
          <w:p w14:paraId="72A96F01" w14:textId="6B845A00" w:rsidR="006E1AE0" w:rsidRPr="00C028AE" w:rsidRDefault="006E1AE0" w:rsidP="00C028AE">
            <w:pPr>
              <w:pStyle w:val="SCVpullouttext"/>
              <w:rPr>
                <w:b w:val="0"/>
                <w:bCs w:val="0"/>
                <w:sz w:val="18"/>
                <w:szCs w:val="18"/>
              </w:rPr>
            </w:pPr>
            <w:r w:rsidRPr="00C028AE">
              <w:rPr>
                <w:b w:val="0"/>
                <w:bCs w:val="0"/>
                <w:sz w:val="18"/>
                <w:szCs w:val="18"/>
              </w:rPr>
              <w:t xml:space="preserve">In 2021-22 we will start projects and collaboratives under our new 100,000 lives initiative across three areas: </w:t>
            </w:r>
          </w:p>
        </w:tc>
      </w:tr>
      <w:tr w:rsidR="00270603" w14:paraId="4EC40126" w14:textId="77777777" w:rsidTr="00C028AE">
        <w:tc>
          <w:tcPr>
            <w:cnfStyle w:val="001000000000" w:firstRow="0" w:lastRow="0" w:firstColumn="1" w:lastColumn="0" w:oddVBand="0" w:evenVBand="0" w:oddHBand="0" w:evenHBand="0" w:firstRowFirstColumn="0" w:firstRowLastColumn="0" w:lastRowFirstColumn="0" w:lastRowLastColumn="0"/>
            <w:tcW w:w="3474" w:type="dxa"/>
          </w:tcPr>
          <w:p w14:paraId="7AF74992" w14:textId="77777777" w:rsidR="00270603" w:rsidRPr="00A50CB2" w:rsidRDefault="00270603" w:rsidP="00C028AE">
            <w:pPr>
              <w:pStyle w:val="SCVpullouttext"/>
              <w:spacing w:line="240" w:lineRule="auto"/>
            </w:pPr>
            <w:r w:rsidRPr="00A50CB2">
              <w:t xml:space="preserve">Safe in our hands </w:t>
            </w:r>
          </w:p>
          <w:p w14:paraId="4F4CC580" w14:textId="77777777" w:rsidR="00270603" w:rsidRPr="00C028AE" w:rsidRDefault="00270603" w:rsidP="00C028AE">
            <w:pPr>
              <w:pStyle w:val="SCVpulloutbullet"/>
              <w:spacing w:line="240" w:lineRule="auto"/>
              <w:rPr>
                <w:b w:val="0"/>
                <w:bCs w:val="0"/>
                <w:sz w:val="18"/>
                <w:szCs w:val="18"/>
              </w:rPr>
            </w:pPr>
            <w:r w:rsidRPr="00C028AE">
              <w:rPr>
                <w:b w:val="0"/>
                <w:bCs w:val="0"/>
                <w:sz w:val="18"/>
                <w:szCs w:val="18"/>
              </w:rPr>
              <w:t xml:space="preserve">Reduce rates of post-partum haemorrhage and medication errors </w:t>
            </w:r>
          </w:p>
          <w:p w14:paraId="4F41A64D" w14:textId="77777777" w:rsidR="00270603" w:rsidRPr="00C028AE" w:rsidRDefault="00270603" w:rsidP="00C028AE">
            <w:pPr>
              <w:pStyle w:val="SCVpulloutbullet"/>
              <w:spacing w:line="240" w:lineRule="auto"/>
              <w:rPr>
                <w:b w:val="0"/>
                <w:bCs w:val="0"/>
                <w:sz w:val="18"/>
                <w:szCs w:val="18"/>
              </w:rPr>
            </w:pPr>
            <w:r w:rsidRPr="00C028AE">
              <w:rPr>
                <w:b w:val="0"/>
                <w:bCs w:val="0"/>
                <w:sz w:val="18"/>
                <w:szCs w:val="18"/>
              </w:rPr>
              <w:t xml:space="preserve">Improve management of hospitalised people with diabetes, and children with sepsis </w:t>
            </w:r>
          </w:p>
          <w:p w14:paraId="144EBCF0" w14:textId="46667491" w:rsidR="00270603" w:rsidRPr="00270603" w:rsidRDefault="00270603" w:rsidP="00C028AE">
            <w:pPr>
              <w:pStyle w:val="SCVpulloutbullet"/>
              <w:spacing w:line="240" w:lineRule="auto"/>
              <w:rPr>
                <w:lang w:eastAsia="en-US"/>
              </w:rPr>
            </w:pPr>
            <w:r w:rsidRPr="00C028AE">
              <w:rPr>
                <w:b w:val="0"/>
                <w:bCs w:val="0"/>
                <w:sz w:val="18"/>
                <w:szCs w:val="18"/>
              </w:rPr>
              <w:t>Create age-friendly health services to improve outcomes for older people and test these in five health services</w:t>
            </w:r>
            <w:r w:rsidRPr="00A50CB2">
              <w:t xml:space="preserve"> </w:t>
            </w:r>
          </w:p>
        </w:tc>
        <w:tc>
          <w:tcPr>
            <w:tcW w:w="3474" w:type="dxa"/>
          </w:tcPr>
          <w:p w14:paraId="6ED35F8B" w14:textId="77777777" w:rsidR="00270603" w:rsidRPr="0019418B" w:rsidRDefault="00270603" w:rsidP="00C028AE">
            <w:pPr>
              <w:pStyle w:val="SCVpullouttext"/>
              <w:spacing w:line="240" w:lineRule="auto"/>
              <w:cnfStyle w:val="000000000000" w:firstRow="0" w:lastRow="0" w:firstColumn="0" w:lastColumn="0" w:oddVBand="0" w:evenVBand="0" w:oddHBand="0" w:evenHBand="0" w:firstRowFirstColumn="0" w:firstRowLastColumn="0" w:lastRowFirstColumn="0" w:lastRowLastColumn="0"/>
              <w:rPr>
                <w:b/>
                <w:bCs/>
              </w:rPr>
            </w:pPr>
            <w:r w:rsidRPr="0019418B">
              <w:rPr>
                <w:b/>
                <w:bCs/>
              </w:rPr>
              <w:t xml:space="preserve">Best care, best time </w:t>
            </w:r>
          </w:p>
          <w:p w14:paraId="225AE862" w14:textId="77777777" w:rsidR="00270603" w:rsidRPr="00C028AE" w:rsidRDefault="00270603" w:rsidP="00C028AE">
            <w:pPr>
              <w:pStyle w:val="SCVpulloutbulle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028AE">
              <w:rPr>
                <w:sz w:val="18"/>
                <w:szCs w:val="18"/>
              </w:rPr>
              <w:t xml:space="preserve">Improve patient flow through health services and reduce unnecessary surgical bed days </w:t>
            </w:r>
          </w:p>
          <w:p w14:paraId="2BB2F29E" w14:textId="77777777" w:rsidR="00270603" w:rsidRPr="00A50CB2" w:rsidRDefault="00270603" w:rsidP="00C028AE">
            <w:pPr>
              <w:pStyle w:val="SCVpullouttext"/>
              <w:spacing w:line="240" w:lineRule="auto"/>
              <w:cnfStyle w:val="000000000000" w:firstRow="0" w:lastRow="0" w:firstColumn="0" w:lastColumn="0" w:oddVBand="0" w:evenVBand="0" w:oddHBand="0" w:evenHBand="0" w:firstRowFirstColumn="0" w:firstRowLastColumn="0" w:lastRowFirstColumn="0" w:lastRowLastColumn="0"/>
              <w:rPr>
                <w:rFonts w:eastAsiaTheme="minorHAnsi"/>
                <w:sz w:val="22"/>
                <w:lang w:eastAsia="en-US"/>
              </w:rPr>
            </w:pPr>
          </w:p>
        </w:tc>
        <w:tc>
          <w:tcPr>
            <w:tcW w:w="3474" w:type="dxa"/>
          </w:tcPr>
          <w:p w14:paraId="4A6EE0B7" w14:textId="77777777" w:rsidR="00270603" w:rsidRPr="0019418B" w:rsidRDefault="00270603" w:rsidP="00C028AE">
            <w:pPr>
              <w:pStyle w:val="SCVpullouttext"/>
              <w:spacing w:line="240" w:lineRule="auto"/>
              <w:cnfStyle w:val="000000000000" w:firstRow="0" w:lastRow="0" w:firstColumn="0" w:lastColumn="0" w:oddVBand="0" w:evenVBand="0" w:oddHBand="0" w:evenHBand="0" w:firstRowFirstColumn="0" w:firstRowLastColumn="0" w:lastRowFirstColumn="0" w:lastRowLastColumn="0"/>
              <w:rPr>
                <w:b/>
                <w:bCs/>
              </w:rPr>
            </w:pPr>
            <w:r w:rsidRPr="0019418B">
              <w:rPr>
                <w:b/>
                <w:bCs/>
              </w:rPr>
              <w:t xml:space="preserve">Stay well, stay home </w:t>
            </w:r>
          </w:p>
          <w:p w14:paraId="4C275C43" w14:textId="77777777" w:rsidR="00270603" w:rsidRPr="00C028AE" w:rsidRDefault="00270603" w:rsidP="00C028AE">
            <w:pPr>
              <w:pStyle w:val="SCVpulloutbullet"/>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028AE">
              <w:rPr>
                <w:sz w:val="18"/>
                <w:szCs w:val="18"/>
              </w:rPr>
              <w:t xml:space="preserve">Reduce avoidable acute care admissions for heart failure </w:t>
            </w:r>
          </w:p>
          <w:p w14:paraId="30C34893" w14:textId="0C913A85" w:rsidR="00270603" w:rsidRPr="00270603" w:rsidRDefault="00270603" w:rsidP="00C028AE">
            <w:pPr>
              <w:pStyle w:val="SCVpulloutbullet"/>
              <w:spacing w:line="240" w:lineRule="auto"/>
              <w:cnfStyle w:val="000000000000" w:firstRow="0" w:lastRow="0" w:firstColumn="0" w:lastColumn="0" w:oddVBand="0" w:evenVBand="0" w:oddHBand="0" w:evenHBand="0" w:firstRowFirstColumn="0" w:firstRowLastColumn="0" w:lastRowFirstColumn="0" w:lastRowLastColumn="0"/>
            </w:pPr>
            <w:r w:rsidRPr="00C028AE">
              <w:rPr>
                <w:sz w:val="18"/>
                <w:szCs w:val="18"/>
              </w:rPr>
              <w:t>Improve access to cardiovascular care in regional/rural Victoria</w:t>
            </w:r>
            <w:r w:rsidRPr="00A50CB2">
              <w:t xml:space="preserve"> </w:t>
            </w:r>
          </w:p>
        </w:tc>
      </w:tr>
    </w:tbl>
    <w:p w14:paraId="4670C3BA" w14:textId="77777777" w:rsidR="00A50CB2" w:rsidRPr="00A50CB2" w:rsidRDefault="00A50CB2" w:rsidP="00A50CB2">
      <w:pPr>
        <w:pStyle w:val="Heading2"/>
        <w:rPr>
          <w:rFonts w:asciiTheme="minorHAnsi" w:eastAsiaTheme="minorEastAsia" w:hAnsiTheme="minorHAnsi" w:cstheme="minorBidi"/>
          <w:b w:val="0"/>
          <w:bCs w:val="0"/>
          <w:sz w:val="20"/>
          <w:szCs w:val="20"/>
        </w:rPr>
      </w:pPr>
    </w:p>
    <w:tbl>
      <w:tblPr>
        <w:tblStyle w:val="TableGrid"/>
        <w:tblW w:w="0" w:type="auto"/>
        <w:tblLook w:val="0680" w:firstRow="0" w:lastRow="0" w:firstColumn="1" w:lastColumn="0" w:noHBand="1" w:noVBand="1"/>
      </w:tblPr>
      <w:tblGrid>
        <w:gridCol w:w="8647"/>
        <w:gridCol w:w="1785"/>
      </w:tblGrid>
      <w:tr w:rsidR="0019418B" w:rsidRPr="0019418B" w14:paraId="30E611DC" w14:textId="77777777" w:rsidTr="0019418B">
        <w:tc>
          <w:tcPr>
            <w:tcW w:w="8647" w:type="dxa"/>
          </w:tcPr>
          <w:p w14:paraId="73A3CF60" w14:textId="5100376C" w:rsidR="0019418B" w:rsidRPr="0019418B" w:rsidRDefault="0019418B" w:rsidP="0019418B">
            <w:pPr>
              <w:pStyle w:val="SCVtablebody"/>
              <w:rPr>
                <w:rFonts w:eastAsiaTheme="minorEastAsia"/>
              </w:rPr>
            </w:pPr>
            <w:r w:rsidRPr="0019418B">
              <w:rPr>
                <w:rFonts w:eastAsiaTheme="minorEastAsia"/>
              </w:rPr>
              <w:t xml:space="preserve">Establish a </w:t>
            </w:r>
            <w:r w:rsidRPr="00474184">
              <w:rPr>
                <w:rFonts w:eastAsiaTheme="minorEastAsia"/>
                <w:b/>
                <w:bCs/>
              </w:rPr>
              <w:t>Mental health improvement unit</w:t>
            </w:r>
            <w:r w:rsidRPr="0019418B">
              <w:rPr>
                <w:rFonts w:eastAsiaTheme="minorEastAsia"/>
              </w:rPr>
              <w:t xml:space="preserve"> to provide quality improvement leadership and support Victorian mental health and wellbeing services </w:t>
            </w:r>
          </w:p>
        </w:tc>
        <w:tc>
          <w:tcPr>
            <w:tcW w:w="1785" w:type="dxa"/>
          </w:tcPr>
          <w:p w14:paraId="434D67E7" w14:textId="77777777" w:rsidR="0019418B" w:rsidRPr="0019418B" w:rsidRDefault="0019418B" w:rsidP="0019418B">
            <w:pPr>
              <w:pStyle w:val="SCVtablebody"/>
              <w:rPr>
                <w:rFonts w:eastAsiaTheme="minorEastAsia"/>
              </w:rPr>
            </w:pPr>
            <w:r w:rsidRPr="0019418B">
              <w:rPr>
                <w:rFonts w:eastAsiaTheme="minorEastAsia"/>
              </w:rPr>
              <w:t xml:space="preserve">By January 2022 </w:t>
            </w:r>
          </w:p>
          <w:p w14:paraId="6E57946D" w14:textId="77777777" w:rsidR="0019418B" w:rsidRPr="0019418B" w:rsidRDefault="0019418B" w:rsidP="0019418B">
            <w:pPr>
              <w:pStyle w:val="SCVtablebody"/>
              <w:rPr>
                <w:rFonts w:eastAsiaTheme="minorEastAsia"/>
              </w:rPr>
            </w:pPr>
          </w:p>
        </w:tc>
      </w:tr>
      <w:tr w:rsidR="0019418B" w:rsidRPr="0019418B" w14:paraId="7F7818FF" w14:textId="77777777" w:rsidTr="0019418B">
        <w:tc>
          <w:tcPr>
            <w:tcW w:w="8647" w:type="dxa"/>
          </w:tcPr>
          <w:p w14:paraId="0547ECEF" w14:textId="503A910B" w:rsidR="0019418B" w:rsidRPr="0019418B" w:rsidRDefault="0019418B" w:rsidP="0019418B">
            <w:pPr>
              <w:pStyle w:val="SCVtablebody"/>
              <w:rPr>
                <w:rFonts w:eastAsiaTheme="minorEastAsia"/>
              </w:rPr>
            </w:pPr>
            <w:r w:rsidRPr="0019418B">
              <w:rPr>
                <w:rFonts w:eastAsiaTheme="minorEastAsia"/>
              </w:rPr>
              <w:t xml:space="preserve">Advance the </w:t>
            </w:r>
            <w:r w:rsidRPr="00474184">
              <w:rPr>
                <w:rFonts w:eastAsiaTheme="minorEastAsia"/>
                <w:b/>
                <w:bCs/>
              </w:rPr>
              <w:t>Healthcare worker wellbeing centre</w:t>
            </w:r>
            <w:r w:rsidRPr="0019418B">
              <w:rPr>
                <w:rFonts w:eastAsiaTheme="minorEastAsia"/>
              </w:rPr>
              <w:t xml:space="preserve"> activities to have greater impact on the wellbeing of healthcare workers </w:t>
            </w:r>
          </w:p>
        </w:tc>
        <w:tc>
          <w:tcPr>
            <w:tcW w:w="1785" w:type="dxa"/>
          </w:tcPr>
          <w:p w14:paraId="6E383C0F" w14:textId="77777777" w:rsidR="0019418B" w:rsidRPr="0019418B" w:rsidRDefault="0019418B" w:rsidP="0019418B">
            <w:pPr>
              <w:pStyle w:val="SCVtablebody"/>
              <w:rPr>
                <w:rFonts w:eastAsiaTheme="minorEastAsia"/>
              </w:rPr>
            </w:pPr>
            <w:r w:rsidRPr="0019418B">
              <w:rPr>
                <w:rFonts w:eastAsiaTheme="minorEastAsia"/>
              </w:rPr>
              <w:t xml:space="preserve">By June 2022 </w:t>
            </w:r>
          </w:p>
          <w:p w14:paraId="33592F4B" w14:textId="77777777" w:rsidR="0019418B" w:rsidRPr="0019418B" w:rsidRDefault="0019418B" w:rsidP="0019418B">
            <w:pPr>
              <w:pStyle w:val="SCVtablebody"/>
              <w:rPr>
                <w:rFonts w:eastAsiaTheme="minorEastAsia"/>
              </w:rPr>
            </w:pPr>
          </w:p>
        </w:tc>
      </w:tr>
      <w:tr w:rsidR="0019418B" w:rsidRPr="0019418B" w14:paraId="7C978F89" w14:textId="77777777" w:rsidTr="00C028AE">
        <w:trPr>
          <w:trHeight w:val="859"/>
        </w:trPr>
        <w:tc>
          <w:tcPr>
            <w:tcW w:w="8647" w:type="dxa"/>
          </w:tcPr>
          <w:p w14:paraId="3D63FD27" w14:textId="2765CC4B" w:rsidR="0019418B" w:rsidRPr="0019418B" w:rsidRDefault="0019418B" w:rsidP="0019418B">
            <w:pPr>
              <w:pStyle w:val="SCVtablebody"/>
              <w:rPr>
                <w:rFonts w:eastAsiaTheme="minorEastAsia"/>
              </w:rPr>
            </w:pPr>
            <w:r w:rsidRPr="0019418B">
              <w:rPr>
                <w:rFonts w:eastAsiaTheme="minorEastAsia"/>
              </w:rPr>
              <w:t xml:space="preserve">Support a further 1550 healthcare workers and consumers to uplift their knowledge of improvement science through the IHI open school, engagement in doing the work and formal training programs </w:t>
            </w:r>
          </w:p>
        </w:tc>
        <w:tc>
          <w:tcPr>
            <w:tcW w:w="1785" w:type="dxa"/>
          </w:tcPr>
          <w:p w14:paraId="12DD2761" w14:textId="77777777" w:rsidR="0019418B" w:rsidRPr="0019418B" w:rsidRDefault="0019418B" w:rsidP="0019418B">
            <w:pPr>
              <w:pStyle w:val="SCVtablebody"/>
              <w:rPr>
                <w:rFonts w:eastAsiaTheme="minorEastAsia"/>
              </w:rPr>
            </w:pPr>
            <w:r w:rsidRPr="0019418B">
              <w:rPr>
                <w:rFonts w:eastAsiaTheme="minorEastAsia"/>
              </w:rPr>
              <w:t xml:space="preserve">By June 2022 </w:t>
            </w:r>
          </w:p>
          <w:p w14:paraId="3FF3873A" w14:textId="77777777" w:rsidR="0019418B" w:rsidRPr="0019418B" w:rsidRDefault="0019418B" w:rsidP="0019418B">
            <w:pPr>
              <w:pStyle w:val="SCVtablebody"/>
              <w:rPr>
                <w:rFonts w:eastAsiaTheme="minorEastAsia"/>
              </w:rPr>
            </w:pPr>
          </w:p>
        </w:tc>
      </w:tr>
      <w:bookmarkEnd w:id="0"/>
      <w:bookmarkEnd w:id="1"/>
    </w:tbl>
    <w:p w14:paraId="4CB1008A" w14:textId="1661590A" w:rsidR="00B1051C" w:rsidRDefault="00B1051C" w:rsidP="00994B72">
      <w:pPr>
        <w:pStyle w:val="SCVimprint"/>
      </w:pPr>
    </w:p>
    <w:p w14:paraId="2FA18C61" w14:textId="2C47A597" w:rsidR="00C028AE" w:rsidRDefault="00C028AE" w:rsidP="00994B72">
      <w:pPr>
        <w:pStyle w:val="SCVimprint"/>
      </w:pPr>
    </w:p>
    <w:p w14:paraId="53A86C98" w14:textId="77777777" w:rsidR="00C028AE" w:rsidRDefault="00C028AE" w:rsidP="00994B72">
      <w:pPr>
        <w:pStyle w:val="SCVimprint"/>
      </w:pPr>
    </w:p>
    <w:tbl>
      <w:tblPr>
        <w:tblStyle w:val="SCVInformationTable"/>
        <w:tblW w:w="10206" w:type="dxa"/>
        <w:tblLook w:val="0600" w:firstRow="0" w:lastRow="0" w:firstColumn="0" w:lastColumn="0" w:noHBand="1" w:noVBand="1"/>
      </w:tblPr>
      <w:tblGrid>
        <w:gridCol w:w="10206"/>
      </w:tblGrid>
      <w:tr w:rsidR="00C028AE" w:rsidRPr="00876171" w14:paraId="206EFF51" w14:textId="77777777" w:rsidTr="00353D09">
        <w:trPr>
          <w:cantSplit/>
          <w:trHeight w:val="2693"/>
        </w:trPr>
        <w:tc>
          <w:tcPr>
            <w:tcW w:w="10206" w:type="dxa"/>
          </w:tcPr>
          <w:p w14:paraId="3ACDD8C8" w14:textId="77777777" w:rsidR="00C028AE" w:rsidRPr="00876171" w:rsidRDefault="00C028AE" w:rsidP="00353D09">
            <w:pPr>
              <w:pStyle w:val="SCVaccessibilitypara"/>
            </w:pPr>
            <w:r w:rsidRPr="00876171">
              <w:t xml:space="preserve">To receive this publication in an accessible format phone 03 9096 1384, </w:t>
            </w:r>
            <w:r w:rsidRPr="00876171">
              <w:br/>
              <w:t xml:space="preserve">using the National Relay Service 13 36 </w:t>
            </w:r>
            <w:r w:rsidRPr="00876171">
              <w:rPr>
                <w:spacing w:val="-2"/>
              </w:rPr>
              <w:t xml:space="preserve">77 if required, or </w:t>
            </w:r>
            <w:hyperlink r:id="rId14" w:history="1">
              <w:r w:rsidRPr="00876171">
                <w:rPr>
                  <w:rStyle w:val="Hyperlink"/>
                </w:rPr>
                <w:t>email Safer Care Victoria</w:t>
              </w:r>
            </w:hyperlink>
            <w:r w:rsidRPr="00876171">
              <w:t xml:space="preserve"> &lt;info@</w:t>
            </w:r>
            <w:hyperlink r:id="rId15" w:history="1">
              <w:r w:rsidRPr="00876171">
                <w:t>safercarevictoria.vic</w:t>
              </w:r>
            </w:hyperlink>
            <w:r w:rsidRPr="00876171">
              <w:t>.gov.au&gt;</w:t>
            </w:r>
          </w:p>
          <w:p w14:paraId="060233F2" w14:textId="77777777" w:rsidR="00C028AE" w:rsidRPr="00876171" w:rsidRDefault="00C028AE" w:rsidP="00353D09">
            <w:pPr>
              <w:pStyle w:val="SCVimprint"/>
            </w:pPr>
            <w:r w:rsidRPr="00876171">
              <w:t xml:space="preserve">Authorised and </w:t>
            </w:r>
            <w:r w:rsidRPr="00876171">
              <w:rPr>
                <w:spacing w:val="-2"/>
              </w:rPr>
              <w:t>published by the Victorian</w:t>
            </w:r>
            <w:r w:rsidRPr="00876171">
              <w:t xml:space="preserve"> Government, 1 Treasury Place, Melbourne.</w:t>
            </w:r>
          </w:p>
          <w:p w14:paraId="1D8F82BD" w14:textId="77777777" w:rsidR="00C028AE" w:rsidRPr="00C028AE" w:rsidRDefault="00C028AE" w:rsidP="00353D09">
            <w:pPr>
              <w:pStyle w:val="SCVimprint"/>
            </w:pPr>
            <w:r w:rsidRPr="00876171">
              <w:t xml:space="preserve">© State of Victoria, Australia, Safer Care Victoria, </w:t>
            </w:r>
            <w:r w:rsidRPr="00C028AE">
              <w:t>August 2021</w:t>
            </w:r>
          </w:p>
          <w:p w14:paraId="25974C80" w14:textId="77777777" w:rsidR="00C028AE" w:rsidRPr="00876171" w:rsidRDefault="00C028AE" w:rsidP="00353D09">
            <w:pPr>
              <w:pStyle w:val="SCVimprint"/>
            </w:pPr>
            <w:r w:rsidRPr="00876171">
              <w:t>ISBN/ISSN</w:t>
            </w:r>
            <w:r w:rsidRPr="00876171">
              <w:rPr>
                <w:noProof/>
              </w:rPr>
              <w:drawing>
                <wp:anchor distT="0" distB="0" distL="114300" distR="114300" simplePos="0" relativeHeight="251659264" behindDoc="0" locked="0" layoutInCell="1" allowOverlap="1" wp14:anchorId="5D4585BD" wp14:editId="4F289028">
                  <wp:simplePos x="1216025" y="2926080"/>
                  <wp:positionH relativeFrom="margin">
                    <wp:align>right</wp:align>
                  </wp:positionH>
                  <wp:positionV relativeFrom="margin">
                    <wp:align>top</wp:align>
                  </wp:positionV>
                  <wp:extent cx="795020" cy="453390"/>
                  <wp:effectExtent l="0" t="0" r="5080" b="3810"/>
                  <wp:wrapSquare wrapText="bothSides"/>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020" cy="453390"/>
                          </a:xfrm>
                          <a:prstGeom prst="rect">
                            <a:avLst/>
                          </a:prstGeom>
                        </pic:spPr>
                      </pic:pic>
                    </a:graphicData>
                  </a:graphic>
                </wp:anchor>
              </w:drawing>
            </w:r>
          </w:p>
          <w:p w14:paraId="385E9B0C" w14:textId="77777777" w:rsidR="00C028AE" w:rsidRPr="00876171" w:rsidRDefault="00C028AE" w:rsidP="00353D09">
            <w:pPr>
              <w:pStyle w:val="SCVimprint"/>
            </w:pPr>
            <w:r w:rsidRPr="00876171">
              <w:t xml:space="preserve">Available at the </w:t>
            </w:r>
            <w:hyperlink r:id="rId17" w:history="1">
              <w:r w:rsidRPr="00876171">
                <w:rPr>
                  <w:rStyle w:val="Hyperlink"/>
                </w:rPr>
                <w:t>Safer Care Victoria website</w:t>
              </w:r>
            </w:hyperlink>
            <w:r w:rsidRPr="00876171">
              <w:t xml:space="preserve"> &lt;https://</w:t>
            </w:r>
            <w:hyperlink r:id="rId18" w:history="1">
              <w:r w:rsidRPr="00876171">
                <w:t>www.safercare.vic</w:t>
              </w:r>
            </w:hyperlink>
            <w:r w:rsidRPr="00876171">
              <w:t>.gov.au&gt;</w:t>
            </w:r>
          </w:p>
        </w:tc>
      </w:tr>
    </w:tbl>
    <w:p w14:paraId="7F74BC9D" w14:textId="77777777" w:rsidR="00C028AE" w:rsidRPr="00876171" w:rsidRDefault="00C028AE" w:rsidP="00994B72">
      <w:pPr>
        <w:pStyle w:val="SCVimprint"/>
      </w:pPr>
    </w:p>
    <w:sectPr w:rsidR="00C028AE" w:rsidRPr="00876171" w:rsidSect="00C15DBE">
      <w:headerReference w:type="even" r:id="rId19"/>
      <w:headerReference w:type="default" r:id="rId20"/>
      <w:type w:val="continuous"/>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A3DBB" w14:textId="77777777" w:rsidR="00A50CB2" w:rsidRDefault="00A50CB2" w:rsidP="002D711A">
      <w:pPr>
        <w:spacing w:after="0" w:line="240" w:lineRule="auto"/>
      </w:pPr>
      <w:r>
        <w:separator/>
      </w:r>
    </w:p>
  </w:endnote>
  <w:endnote w:type="continuationSeparator" w:id="0">
    <w:p w14:paraId="5BF4A3E7" w14:textId="77777777" w:rsidR="00A50CB2" w:rsidRDefault="00A50CB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40DB" w14:textId="77777777" w:rsidR="00385D03" w:rsidRDefault="00385D03">
    <w:pPr>
      <w:pStyle w:val="Footer"/>
    </w:pPr>
    <w:r>
      <mc:AlternateContent>
        <mc:Choice Requires="wps">
          <w:drawing>
            <wp:anchor distT="0" distB="0" distL="114300" distR="114300" simplePos="0" relativeHeight="251662336" behindDoc="0" locked="0" layoutInCell="0" allowOverlap="1" wp14:anchorId="1B49E936" wp14:editId="7D846DB1">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F5E5E"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49E936"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yivuYsQIAAEgFAAAO&#10;AAAAAAAAAAAAAAAAAC4CAABkcnMvZTJvRG9jLnhtbFBLAQItABQABgAIAAAAIQCDso8r3wAAAAsB&#10;AAAPAAAAAAAAAAAAAAAAAAsFAABkcnMvZG93bnJldi54bWxQSwUGAAAAAAQABADzAAAAFwYAAAAA&#10;" o:allowincell="f" filled="f" stroked="f" strokeweight=".5pt">
              <v:textbox inset=",0,,0">
                <w:txbxContent>
                  <w:p w14:paraId="156F5E5E"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28E79" w14:textId="6B83BAB4" w:rsidR="00385D03" w:rsidRPr="006B337A" w:rsidRDefault="00767265" w:rsidP="00C15DBE">
    <w:pPr>
      <w:pStyle w:val="SCVfooter"/>
      <w:jc w:val="right"/>
    </w:pPr>
    <w:r>
      <mc:AlternateContent>
        <mc:Choice Requires="wps">
          <w:drawing>
            <wp:anchor distT="0" distB="0" distL="114300" distR="114300" simplePos="0" relativeHeight="251664384" behindDoc="0" locked="0" layoutInCell="0" allowOverlap="1" wp14:anchorId="2301A2FF" wp14:editId="41C6AF85">
              <wp:simplePos x="0" y="0"/>
              <wp:positionH relativeFrom="page">
                <wp:posOffset>0</wp:posOffset>
              </wp:positionH>
              <wp:positionV relativeFrom="page">
                <wp:posOffset>10189210</wp:posOffset>
              </wp:positionV>
              <wp:extent cx="7560310" cy="311785"/>
              <wp:effectExtent l="0" t="0" r="0" b="12065"/>
              <wp:wrapNone/>
              <wp:docPr id="6" name="MSIPCM286543709c5d875b60633e2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435FF" w14:textId="384C9C09" w:rsidR="00767265" w:rsidRPr="00767265" w:rsidRDefault="00767265" w:rsidP="00767265">
                          <w:pPr>
                            <w:spacing w:before="0" w:after="0"/>
                            <w:jc w:val="center"/>
                            <w:rPr>
                              <w:rFonts w:ascii="Arial Black" w:hAnsi="Arial Black"/>
                              <w:color w:val="000000"/>
                            </w:rPr>
                          </w:pPr>
                          <w:r w:rsidRPr="0076726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01A2FF" id="_x0000_t202" coordsize="21600,21600" o:spt="202" path="m,l,21600r21600,l21600,xe">
              <v:stroke joinstyle="miter"/>
              <v:path gradientshapeok="t" o:connecttype="rect"/>
            </v:shapetype>
            <v:shape id="MSIPCM286543709c5d875b60633e22"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YrQ/ergIAAEwFAAAOAAAA&#10;AAAAAAAAAAAAAC4CAABkcnMvZTJvRG9jLnhtbFBLAQItABQABgAIAAAAIQBIDV6a3wAAAAsBAAAP&#10;AAAAAAAAAAAAAAAAAAgFAABkcnMvZG93bnJldi54bWxQSwUGAAAAAAQABADzAAAAFAYAAAAA&#10;" o:allowincell="f" filled="f" stroked="f" strokeweight=".5pt">
              <v:textbox inset=",0,,0">
                <w:txbxContent>
                  <w:p w14:paraId="5AB435FF" w14:textId="384C9C09" w:rsidR="00767265" w:rsidRPr="00767265" w:rsidRDefault="00767265" w:rsidP="00767265">
                    <w:pPr>
                      <w:spacing w:before="0" w:after="0"/>
                      <w:jc w:val="center"/>
                      <w:rPr>
                        <w:rFonts w:ascii="Arial Black" w:hAnsi="Arial Black"/>
                        <w:color w:val="000000"/>
                      </w:rPr>
                    </w:pPr>
                    <w:r w:rsidRPr="00767265">
                      <w:rPr>
                        <w:rFonts w:ascii="Arial Black" w:hAnsi="Arial Black"/>
                        <w:color w:val="000000"/>
                      </w:rPr>
                      <w:t>OFFICIAL</w:t>
                    </w:r>
                  </w:p>
                </w:txbxContent>
              </v:textbox>
              <w10:wrap anchorx="page" anchory="page"/>
            </v:shape>
          </w:pict>
        </mc:Fallback>
      </mc:AlternateContent>
    </w:r>
    <w:fldSimple w:instr=" STYLEREF  &quot;SCV factsheet title&quot;  \* MERGEFORMAT ">
      <w:r w:rsidR="00474184" w:rsidRPr="00474184">
        <w:rPr>
          <w:b/>
          <w:bCs/>
          <w:lang w:val="en-US"/>
        </w:rPr>
        <w:t>Annual plan 2021-22</w:t>
      </w:r>
    </w:fldSimple>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EC1C" w14:textId="77777777" w:rsidR="00474184" w:rsidRDefault="0047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A429B" w14:textId="77777777" w:rsidR="00A50CB2" w:rsidRDefault="00A50CB2" w:rsidP="00E33E08">
      <w:pPr>
        <w:spacing w:before="0" w:after="0" w:line="240" w:lineRule="auto"/>
      </w:pPr>
    </w:p>
  </w:footnote>
  <w:footnote w:type="continuationSeparator" w:id="0">
    <w:p w14:paraId="43C4BDCD" w14:textId="77777777" w:rsidR="00A50CB2" w:rsidRDefault="00A50CB2"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E950" w14:textId="77777777" w:rsidR="00474184" w:rsidRDefault="00474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3E78" w14:textId="77777777" w:rsidR="00385D03" w:rsidRDefault="00385D03">
    <w:pPr>
      <w:pStyle w:val="Header"/>
    </w:pPr>
    <w:r>
      <w:rPr>
        <w:noProof/>
      </w:rPr>
      <w:drawing>
        <wp:anchor distT="0" distB="0" distL="114300" distR="114300" simplePos="0" relativeHeight="251663360" behindDoc="1" locked="1" layoutInCell="1" allowOverlap="1" wp14:anchorId="310DF7FC" wp14:editId="7FEF52D6">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2C18" w14:textId="77777777" w:rsidR="00474184" w:rsidRDefault="00474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7C63B"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E874B" w14:textId="4CEEDF97" w:rsidR="00385D03" w:rsidRPr="00A50CB2" w:rsidRDefault="00385D03" w:rsidP="00A5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7" w15:restartNumberingAfterBreak="0">
    <w:nsid w:val="67131F52"/>
    <w:multiLevelType w:val="hybridMultilevel"/>
    <w:tmpl w:val="8ABC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2"/>
  </w:num>
  <w:num w:numId="3">
    <w:abstractNumId w:val="6"/>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B2"/>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81C12"/>
    <w:rsid w:val="00087D42"/>
    <w:rsid w:val="000A2620"/>
    <w:rsid w:val="000B29AD"/>
    <w:rsid w:val="000C6372"/>
    <w:rsid w:val="000D1042"/>
    <w:rsid w:val="000D7841"/>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422CC"/>
    <w:rsid w:val="00142CC3"/>
    <w:rsid w:val="00145346"/>
    <w:rsid w:val="00150333"/>
    <w:rsid w:val="001617B6"/>
    <w:rsid w:val="00165E66"/>
    <w:rsid w:val="00174F38"/>
    <w:rsid w:val="001849FD"/>
    <w:rsid w:val="0019351B"/>
    <w:rsid w:val="0019418B"/>
    <w:rsid w:val="00194B79"/>
    <w:rsid w:val="00196143"/>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0603"/>
    <w:rsid w:val="00272EC4"/>
    <w:rsid w:val="00276717"/>
    <w:rsid w:val="00282118"/>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5B45"/>
    <w:rsid w:val="00345F0B"/>
    <w:rsid w:val="00350441"/>
    <w:rsid w:val="00354D98"/>
    <w:rsid w:val="0036778F"/>
    <w:rsid w:val="00385D03"/>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108A6"/>
    <w:rsid w:val="00422DDC"/>
    <w:rsid w:val="004231B5"/>
    <w:rsid w:val="004236C8"/>
    <w:rsid w:val="00427681"/>
    <w:rsid w:val="00433DB7"/>
    <w:rsid w:val="0043696B"/>
    <w:rsid w:val="00453750"/>
    <w:rsid w:val="00456941"/>
    <w:rsid w:val="00463C5A"/>
    <w:rsid w:val="004702EA"/>
    <w:rsid w:val="00474184"/>
    <w:rsid w:val="004777DB"/>
    <w:rsid w:val="0048259C"/>
    <w:rsid w:val="00482D02"/>
    <w:rsid w:val="00484326"/>
    <w:rsid w:val="00490369"/>
    <w:rsid w:val="00497EB0"/>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3A04"/>
    <w:rsid w:val="005953EA"/>
    <w:rsid w:val="005A3416"/>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34B2"/>
    <w:rsid w:val="0065615D"/>
    <w:rsid w:val="00657011"/>
    <w:rsid w:val="006650B5"/>
    <w:rsid w:val="006651B1"/>
    <w:rsid w:val="00665778"/>
    <w:rsid w:val="00676E5F"/>
    <w:rsid w:val="006945CA"/>
    <w:rsid w:val="006A3309"/>
    <w:rsid w:val="006A3A5A"/>
    <w:rsid w:val="006A5B34"/>
    <w:rsid w:val="006B337A"/>
    <w:rsid w:val="006C77A9"/>
    <w:rsid w:val="006D4720"/>
    <w:rsid w:val="006D5B85"/>
    <w:rsid w:val="006E1AE0"/>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265"/>
    <w:rsid w:val="00767B8C"/>
    <w:rsid w:val="00772209"/>
    <w:rsid w:val="007770A5"/>
    <w:rsid w:val="00777ABD"/>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A7B97"/>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50CB2"/>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515DB"/>
    <w:rsid w:val="00B51C51"/>
    <w:rsid w:val="00B556E1"/>
    <w:rsid w:val="00B673BB"/>
    <w:rsid w:val="00B73B9C"/>
    <w:rsid w:val="00B81B44"/>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28AE"/>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54363"/>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2663"/>
    <w:rsid w:val="00D0633E"/>
    <w:rsid w:val="00D12E74"/>
    <w:rsid w:val="00D15955"/>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4286"/>
    <w:rsid w:val="00F0222C"/>
    <w:rsid w:val="00F024AD"/>
    <w:rsid w:val="00F12312"/>
    <w:rsid w:val="00F177C7"/>
    <w:rsid w:val="00F17CE1"/>
    <w:rsid w:val="00F2115C"/>
    <w:rsid w:val="00F22ABA"/>
    <w:rsid w:val="00F349C9"/>
    <w:rsid w:val="00F36B12"/>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9D734"/>
  <w15:docId w15:val="{DBDEBA07-2174-4F5E-9658-B8EFBB0F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9"/>
      </w:numPr>
    </w:pPr>
  </w:style>
  <w:style w:type="paragraph" w:customStyle="1" w:styleId="SCVbulletafternumbers">
    <w:name w:val="SCV bullet after numbers"/>
    <w:basedOn w:val="SCVbody"/>
    <w:uiPriority w:val="24"/>
    <w:rsid w:val="00AE5E04"/>
    <w:pPr>
      <w:numPr>
        <w:ilvl w:val="1"/>
        <w:numId w:val="9"/>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10"/>
      </w:numPr>
      <w:spacing w:before="0"/>
    </w:pPr>
  </w:style>
  <w:style w:type="numbering" w:customStyle="1" w:styleId="ZZPulloutbullets">
    <w:name w:val="ZZ Pullout bullets"/>
    <w:basedOn w:val="NoList"/>
    <w:uiPriority w:val="99"/>
    <w:rsid w:val="002F4173"/>
    <w:pPr>
      <w:numPr>
        <w:numId w:val="10"/>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afercare.vi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afercare.vic.gov.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fercarevictoria@dhhs.vic"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afercarevictoria.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060\group\Safer%20Care%20Victoria\Common%20folder%20(for%20all%20SCV)\Branding%20toolkit\1.%20Templates\2021%20templates\SCV%20factsheet.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factsheet.dotx</Template>
  <TotalTime>123</TotalTime>
  <Pages>5</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Courtney Lynch (DHHS)</dc:creator>
  <cp:lastModifiedBy>Courtney Lynch (DHHS)</cp:lastModifiedBy>
  <cp:revision>5</cp:revision>
  <cp:lastPrinted>2020-08-13T04:56:00Z</cp:lastPrinted>
  <dcterms:created xsi:type="dcterms:W3CDTF">2021-10-07T06:19:00Z</dcterms:created>
  <dcterms:modified xsi:type="dcterms:W3CDTF">2021-10-08T01:42:00Z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2021-10-08T01:42:08Z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ies>
</file>