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813EF3" w:rsidP="003D59D3">
      <w:pPr>
        <w:pStyle w:val="DHHSbody"/>
      </w:pPr>
      <w:r>
        <w:rPr>
          <w:noProof/>
          <w:lang w:eastAsia="en-AU"/>
        </w:rPr>
        <w:drawing>
          <wp:anchor distT="0" distB="0" distL="114300" distR="114300" simplePos="0" relativeHeight="251658241" behindDoc="1" locked="1" layoutInCell="0" allowOverlap="1" wp14:anchorId="57AC69E2" wp14:editId="6396685C">
            <wp:simplePos x="0" y="0"/>
            <wp:positionH relativeFrom="page">
              <wp:posOffset>0</wp:posOffset>
            </wp:positionH>
            <wp:positionV relativeFrom="page">
              <wp:posOffset>12700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2E5154" w:rsidRDefault="0045440A" w:rsidP="002E5154">
            <w:pPr>
              <w:pStyle w:val="DHHSreportmaintitlewhite"/>
            </w:pPr>
            <w:r>
              <w:t xml:space="preserve">A statutory duty of candour </w:t>
            </w:r>
          </w:p>
          <w:p w:rsidR="002E5154" w:rsidRPr="002E5154" w:rsidRDefault="0045440A" w:rsidP="002E5154">
            <w:pPr>
              <w:pStyle w:val="DHHSreportmaintitlewhite"/>
              <w:rPr>
                <w:sz w:val="30"/>
                <w:szCs w:val="30"/>
              </w:rPr>
            </w:pPr>
            <w:r w:rsidRPr="002E5154">
              <w:rPr>
                <w:sz w:val="30"/>
                <w:szCs w:val="30"/>
              </w:rPr>
              <w:t>Victorian Government response to the</w:t>
            </w:r>
            <w:r w:rsidR="00CB7796">
              <w:rPr>
                <w:sz w:val="30"/>
                <w:szCs w:val="30"/>
              </w:rPr>
              <w:t xml:space="preserve"> </w:t>
            </w:r>
            <w:r w:rsidR="0064094B">
              <w:rPr>
                <w:sz w:val="30"/>
                <w:szCs w:val="30"/>
              </w:rPr>
              <w:br/>
            </w:r>
            <w:r w:rsidRPr="002E5154">
              <w:rPr>
                <w:sz w:val="30"/>
                <w:szCs w:val="30"/>
              </w:rPr>
              <w:t>Expert Working Group</w:t>
            </w:r>
            <w:r w:rsidR="0064094B">
              <w:rPr>
                <w:sz w:val="30"/>
                <w:szCs w:val="30"/>
              </w:rPr>
              <w:t>’s report</w:t>
            </w:r>
          </w:p>
          <w:p w:rsidR="0045440A" w:rsidRPr="003072C6" w:rsidRDefault="0045440A" w:rsidP="002E5154">
            <w:pPr>
              <w:pStyle w:val="DHHSreportsubtitlewhite"/>
              <w:spacing w:before="3360"/>
            </w:pP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2"/>
          <w:footerReference w:type="default" r:id="rId13"/>
          <w:type w:val="oddPage"/>
          <w:pgSz w:w="11906" w:h="16838"/>
          <w:pgMar w:top="3969" w:right="1304"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3D1E2CE6">
        <w:trPr>
          <w:trHeight w:val="4313"/>
        </w:trPr>
        <w:tc>
          <w:tcPr>
            <w:tcW w:w="9298" w:type="dxa"/>
          </w:tcPr>
          <w:tbl>
            <w:tblPr>
              <w:tblW w:w="0" w:type="auto"/>
              <w:tblCellMar>
                <w:top w:w="113" w:type="dxa"/>
                <w:left w:w="0" w:type="dxa"/>
                <w:bottom w:w="57" w:type="dxa"/>
                <w:right w:w="0" w:type="dxa"/>
              </w:tblCellMar>
              <w:tblLook w:val="00A0" w:firstRow="1" w:lastRow="0" w:firstColumn="1" w:lastColumn="0" w:noHBand="0" w:noVBand="0"/>
            </w:tblPr>
            <w:tblGrid>
              <w:gridCol w:w="9298"/>
            </w:tblGrid>
            <w:tr w:rsidR="0045440A" w:rsidRPr="003072C6" w:rsidTr="3D1E2CE6">
              <w:trPr>
                <w:trHeight w:val="4313"/>
              </w:trPr>
              <w:tc>
                <w:tcPr>
                  <w:tcW w:w="9298" w:type="dxa"/>
                </w:tcPr>
                <w:p w:rsidR="0045440A" w:rsidRPr="00605B5B" w:rsidRDefault="00813EF3" w:rsidP="00023752">
                  <w:pPr>
                    <w:pStyle w:val="DHHSbody"/>
                    <w:rPr>
                      <w:i/>
                      <w:color w:val="008950"/>
                      <w:sz w:val="26"/>
                      <w:szCs w:val="26"/>
                    </w:rPr>
                  </w:pPr>
                  <w:r>
                    <w:rPr>
                      <w:noProof/>
                      <w:lang w:eastAsia="en-AU"/>
                    </w:rPr>
                    <w:lastRenderedPageBreak/>
                    <mc:AlternateContent>
                      <mc:Choice Requires="wps">
                        <w:drawing>
                          <wp:anchor distT="0" distB="0" distL="114300" distR="114300" simplePos="0" relativeHeight="251658242" behindDoc="0" locked="0" layoutInCell="1" allowOverlap="1" wp14:anchorId="7012690F" wp14:editId="0D5552BF">
                            <wp:simplePos x="0" y="0"/>
                            <wp:positionH relativeFrom="column">
                              <wp:posOffset>4572000</wp:posOffset>
                            </wp:positionH>
                            <wp:positionV relativeFrom="paragraph">
                              <wp:posOffset>10172700</wp:posOffset>
                            </wp:positionV>
                            <wp:extent cx="2514600" cy="3429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752" w:rsidRDefault="00023752" w:rsidP="0045440A">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690F" id="_x0000_t202" coordsize="21600,21600" o:spt="202" path="m,l,21600r21600,l21600,xe">
                            <v:stroke joinstyle="miter"/>
                            <v:path gradientshapeok="t" o:connecttype="rect"/>
                          </v:shapetype>
                          <v:shape id="Text Box 24" o:spid="_x0000_s1026" type="#_x0000_t202" style="position:absolute;margin-left:5in;margin-top:801pt;width:198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f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" filled="f" stroked="f">
                            <v:textbox>
                              <w:txbxContent>
                                <w:p w:rsidR="00023752" w:rsidRDefault="00023752" w:rsidP="0045440A">
                                  <w:pPr>
                                    <w:jc w:val="right"/>
                                  </w:pPr>
                                  <w:r w:rsidRPr="000147AF">
                                    <w:rPr>
                                      <w:rFonts w:ascii="Arial" w:hAnsi="Arial" w:cs="Arial"/>
                                      <w:color w:val="808080"/>
                                      <w:sz w:val="22"/>
                                      <w:szCs w:val="22"/>
                                    </w:rPr>
                                    <w:t>Department of Health</w:t>
                                  </w:r>
                                </w:p>
                              </w:txbxContent>
                            </v:textbox>
                          </v:shape>
                        </w:pict>
                      </mc:Fallback>
                    </mc:AlternateContent>
                  </w:r>
                </w:p>
              </w:tc>
            </w:tr>
            <w:tr w:rsidR="0045440A" w:rsidRPr="003072C6" w:rsidTr="3D1E2CE6">
              <w:trPr>
                <w:trHeight w:val="6336"/>
              </w:trPr>
              <w:tc>
                <w:tcPr>
                  <w:tcW w:w="9298" w:type="dxa"/>
                  <w:vAlign w:val="bottom"/>
                </w:tcPr>
                <w:p w:rsidR="0045440A" w:rsidRPr="00605B5B" w:rsidRDefault="0045440A" w:rsidP="00023752">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email </w:t>
                  </w:r>
                  <w:r w:rsidRPr="00E1389F">
                    <w:rPr>
                      <w:rFonts w:ascii="Arial" w:eastAsia="Times" w:hAnsi="Arial"/>
                      <w:sz w:val="24"/>
                      <w:szCs w:val="19"/>
                    </w:rPr>
                    <w:t>dutyofcandour@dhhs.vic.gov.au</w:t>
                  </w:r>
                </w:p>
                <w:p w:rsidR="0045440A" w:rsidRPr="00605B5B" w:rsidRDefault="0045440A" w:rsidP="00023752">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45440A" w:rsidRPr="00605B5B" w:rsidRDefault="7FA0EB90" w:rsidP="00023752">
                  <w:pPr>
                    <w:spacing w:after="120" w:line="270" w:lineRule="atLeast"/>
                    <w:rPr>
                      <w:rFonts w:ascii="Arial" w:eastAsia="Times" w:hAnsi="Arial"/>
                    </w:rPr>
                  </w:pPr>
                  <w:r w:rsidRPr="3D1E2CE6">
                    <w:rPr>
                      <w:rFonts w:ascii="Arial" w:eastAsia="Times" w:hAnsi="Arial"/>
                    </w:rPr>
                    <w:t xml:space="preserve">© State of Victoria, Department of Health and Human Services, </w:t>
                  </w:r>
                  <w:r w:rsidR="00D36664">
                    <w:rPr>
                      <w:rFonts w:ascii="Arial" w:eastAsia="Times" w:hAnsi="Arial"/>
                    </w:rPr>
                    <w:t>November</w:t>
                  </w:r>
                  <w:r w:rsidR="005F47E1">
                    <w:rPr>
                      <w:rFonts w:ascii="Arial" w:hAnsi="Arial" w:cs="Arial"/>
                    </w:rPr>
                    <w:t xml:space="preserve">, </w:t>
                  </w:r>
                  <w:r w:rsidR="46570A8C" w:rsidRPr="3D1E2CE6">
                    <w:rPr>
                      <w:rFonts w:ascii="Arial" w:hAnsi="Arial" w:cs="Arial"/>
                    </w:rPr>
                    <w:t>2020</w:t>
                  </w:r>
                  <w:r w:rsidR="65F5210E" w:rsidRPr="3D1E2CE6">
                    <w:rPr>
                      <w:rFonts w:ascii="Arial" w:hAnsi="Arial" w:cs="Arial"/>
                    </w:rPr>
                    <w:t>.</w:t>
                  </w:r>
                </w:p>
                <w:p w:rsidR="0045440A" w:rsidRPr="00B85C95" w:rsidRDefault="0045440A" w:rsidP="00023752">
                  <w:pPr>
                    <w:spacing w:after="120" w:line="270" w:lineRule="atLeast"/>
                    <w:rPr>
                      <w:rFonts w:ascii="Arial" w:eastAsia="Times" w:hAnsi="Arial"/>
                    </w:rPr>
                  </w:pPr>
                  <w:r w:rsidRPr="61D11729">
                    <w:rPr>
                      <w:rFonts w:ascii="Arial" w:eastAsia="Times" w:hAnsi="Arial"/>
                    </w:rPr>
                    <w:t xml:space="preserve">Available at </w:t>
                  </w:r>
                  <w:hyperlink r:id="rId14">
                    <w:r w:rsidRPr="61D11729">
                      <w:rPr>
                        <w:rFonts w:ascii="Helv" w:hAnsi="Helv" w:cs="Helv"/>
                        <w:u w:val="single"/>
                        <w:lang w:eastAsia="en-AU"/>
                      </w:rPr>
                      <w:t>h</w:t>
                    </w:r>
                    <w:r w:rsidRPr="61D11729">
                      <w:rPr>
                        <w:rFonts w:ascii="Arial" w:eastAsia="Times" w:hAnsi="Arial"/>
                        <w:u w:val="single"/>
                      </w:rPr>
                      <w:t>ttps://www2.health.vic.gov.au/hospitals-and-health-services/quality-safety-service/better-safer-care/statutory-duty-of-candour</w:t>
                    </w:r>
                  </w:hyperlink>
                </w:p>
              </w:tc>
            </w:tr>
          </w:tbl>
          <w:p w:rsidR="00564E8F" w:rsidRPr="00605B5B" w:rsidRDefault="00564E8F" w:rsidP="00031263">
            <w:pPr>
              <w:pStyle w:val="DHHSbody"/>
              <w:rPr>
                <w:i/>
                <w:color w:val="008950"/>
                <w:sz w:val="26"/>
                <w:szCs w:val="26"/>
              </w:rPr>
            </w:pPr>
          </w:p>
        </w:tc>
      </w:tr>
    </w:tbl>
    <w:p w:rsidR="00ED4D17" w:rsidRPr="003072C6" w:rsidRDefault="00ED4D17" w:rsidP="003072C6">
      <w:pPr>
        <w:pStyle w:val="DHHSbody"/>
      </w:pPr>
    </w:p>
    <w:p w:rsidR="00442986" w:rsidRPr="003072C6" w:rsidRDefault="00442986" w:rsidP="00E91933">
      <w:pPr>
        <w:pStyle w:val="DHHSbody"/>
      </w:pPr>
    </w:p>
    <w:p w:rsidR="00AC0C3B" w:rsidRPr="003072C6" w:rsidRDefault="00AC0C3B" w:rsidP="00E91933">
      <w:pPr>
        <w:pStyle w:val="DHHSbody"/>
        <w:sectPr w:rsidR="00AC0C3B" w:rsidRPr="003072C6" w:rsidSect="00442986">
          <w:pgSz w:w="11906" w:h="16838"/>
          <w:pgMar w:top="2127" w:right="1304" w:bottom="1134" w:left="1304" w:header="454" w:footer="567" w:gutter="0"/>
          <w:cols w:space="720"/>
          <w:docGrid w:linePitch="360"/>
        </w:sectPr>
      </w:pPr>
    </w:p>
    <w:p w:rsidR="00510468" w:rsidRPr="00FF453F" w:rsidRDefault="00510468" w:rsidP="00FF453F">
      <w:pPr>
        <w:pStyle w:val="DHHSbody"/>
        <w:rPr>
          <w:color w:val="87189D"/>
          <w:sz w:val="44"/>
          <w:szCs w:val="44"/>
        </w:rPr>
      </w:pPr>
      <w:bookmarkStart w:id="0" w:name="_Toc442704398"/>
      <w:r w:rsidRPr="00FF453F">
        <w:rPr>
          <w:color w:val="87189D"/>
          <w:sz w:val="44"/>
          <w:szCs w:val="44"/>
        </w:rPr>
        <w:lastRenderedPageBreak/>
        <w:t>Contents</w:t>
      </w:r>
    </w:p>
    <w:sdt>
      <w:sdtPr>
        <w:rPr>
          <w:rFonts w:ascii="Cambria" w:hAnsi="Cambria"/>
          <w:b w:val="0"/>
          <w:bCs/>
          <w:noProof w:val="0"/>
        </w:rPr>
        <w:id w:val="1396396333"/>
        <w:docPartObj>
          <w:docPartGallery w:val="Table of Contents"/>
          <w:docPartUnique/>
        </w:docPartObj>
      </w:sdtPr>
      <w:sdtEndPr>
        <w:rPr>
          <w:bCs w:val="0"/>
        </w:rPr>
      </w:sdtEndPr>
      <w:sdtContent>
        <w:p w:rsidR="00FB2DC5" w:rsidRDefault="00510468">
          <w:pPr>
            <w:pStyle w:val="TOC1"/>
            <w:rPr>
              <w:rFonts w:asciiTheme="minorHAnsi" w:eastAsiaTheme="minorEastAsia" w:hAnsiTheme="minorHAnsi" w:cstheme="minorBidi"/>
              <w:b w:val="0"/>
              <w:sz w:val="22"/>
              <w:szCs w:val="22"/>
              <w:lang w:eastAsia="en-AU"/>
            </w:rPr>
          </w:pPr>
          <w:r w:rsidRPr="00510468">
            <w:fldChar w:fldCharType="begin"/>
          </w:r>
          <w:r w:rsidRPr="00510468">
            <w:instrText xml:space="preserve"> TOC \o "1-3" \h \z \u </w:instrText>
          </w:r>
          <w:r w:rsidRPr="00510468">
            <w:fldChar w:fldCharType="separate"/>
          </w:r>
          <w:hyperlink w:anchor="_Toc47964993" w:history="1">
            <w:r w:rsidR="00FB2DC5" w:rsidRPr="003E7ED3">
              <w:rPr>
                <w:rStyle w:val="Hyperlink"/>
              </w:rPr>
              <w:t>Ministerial foreword</w:t>
            </w:r>
            <w:r w:rsidR="00FB2DC5">
              <w:rPr>
                <w:webHidden/>
              </w:rPr>
              <w:tab/>
            </w:r>
            <w:r w:rsidR="00FB2DC5">
              <w:rPr>
                <w:webHidden/>
              </w:rPr>
              <w:fldChar w:fldCharType="begin"/>
            </w:r>
            <w:r w:rsidR="00FB2DC5">
              <w:rPr>
                <w:webHidden/>
              </w:rPr>
              <w:instrText xml:space="preserve"> PAGEREF _Toc47964993 \h </w:instrText>
            </w:r>
            <w:r w:rsidR="00FB2DC5">
              <w:rPr>
                <w:webHidden/>
              </w:rPr>
            </w:r>
            <w:r w:rsidR="00FB2DC5">
              <w:rPr>
                <w:webHidden/>
              </w:rPr>
              <w:fldChar w:fldCharType="separate"/>
            </w:r>
            <w:r w:rsidR="00FB2DC5">
              <w:rPr>
                <w:webHidden/>
              </w:rPr>
              <w:t>4</w:t>
            </w:r>
            <w:r w:rsidR="00FB2DC5">
              <w:rPr>
                <w:webHidden/>
              </w:rPr>
              <w:fldChar w:fldCharType="end"/>
            </w:r>
          </w:hyperlink>
        </w:p>
        <w:p w:rsidR="00FB2DC5" w:rsidRDefault="00D36664">
          <w:pPr>
            <w:pStyle w:val="TOC1"/>
            <w:rPr>
              <w:rFonts w:asciiTheme="minorHAnsi" w:eastAsiaTheme="minorEastAsia" w:hAnsiTheme="minorHAnsi" w:cstheme="minorBidi"/>
              <w:b w:val="0"/>
              <w:sz w:val="22"/>
              <w:szCs w:val="22"/>
              <w:lang w:eastAsia="en-AU"/>
            </w:rPr>
          </w:pPr>
          <w:hyperlink w:anchor="_Toc47964994" w:history="1">
            <w:r w:rsidR="00FB2DC5" w:rsidRPr="003E7ED3">
              <w:rPr>
                <w:rStyle w:val="Hyperlink"/>
              </w:rPr>
              <w:t>Introduction</w:t>
            </w:r>
            <w:r w:rsidR="00FB2DC5">
              <w:rPr>
                <w:webHidden/>
              </w:rPr>
              <w:tab/>
            </w:r>
            <w:r w:rsidR="00FB2DC5">
              <w:rPr>
                <w:webHidden/>
              </w:rPr>
              <w:fldChar w:fldCharType="begin"/>
            </w:r>
            <w:r w:rsidR="00FB2DC5">
              <w:rPr>
                <w:webHidden/>
              </w:rPr>
              <w:instrText xml:space="preserve"> PAGEREF _Toc47964994 \h </w:instrText>
            </w:r>
            <w:r w:rsidR="00FB2DC5">
              <w:rPr>
                <w:webHidden/>
              </w:rPr>
            </w:r>
            <w:r w:rsidR="00FB2DC5">
              <w:rPr>
                <w:webHidden/>
              </w:rPr>
              <w:fldChar w:fldCharType="separate"/>
            </w:r>
            <w:r w:rsidR="00FB2DC5">
              <w:rPr>
                <w:webHidden/>
              </w:rPr>
              <w:t>5</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4995" w:history="1">
            <w:r w:rsidR="00FB2DC5" w:rsidRPr="003E7ED3">
              <w:rPr>
                <w:rStyle w:val="Hyperlink"/>
                <w:i/>
              </w:rPr>
              <w:t>Targeting Zero</w:t>
            </w:r>
            <w:r w:rsidR="00FB2DC5">
              <w:rPr>
                <w:webHidden/>
              </w:rPr>
              <w:tab/>
            </w:r>
            <w:r w:rsidR="00FB2DC5">
              <w:rPr>
                <w:webHidden/>
              </w:rPr>
              <w:fldChar w:fldCharType="begin"/>
            </w:r>
            <w:r w:rsidR="00FB2DC5">
              <w:rPr>
                <w:webHidden/>
              </w:rPr>
              <w:instrText xml:space="preserve"> PAGEREF _Toc47964995 \h </w:instrText>
            </w:r>
            <w:r w:rsidR="00FB2DC5">
              <w:rPr>
                <w:webHidden/>
              </w:rPr>
            </w:r>
            <w:r w:rsidR="00FB2DC5">
              <w:rPr>
                <w:webHidden/>
              </w:rPr>
              <w:fldChar w:fldCharType="separate"/>
            </w:r>
            <w:r w:rsidR="00FB2DC5">
              <w:rPr>
                <w:webHidden/>
              </w:rPr>
              <w:t>5</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4996" w:history="1">
            <w:r w:rsidR="00FB2DC5" w:rsidRPr="003E7ED3">
              <w:rPr>
                <w:rStyle w:val="Hyperlink"/>
              </w:rPr>
              <w:t>Expert Working Group</w:t>
            </w:r>
            <w:r w:rsidR="00FB2DC5">
              <w:rPr>
                <w:webHidden/>
              </w:rPr>
              <w:tab/>
            </w:r>
            <w:r w:rsidR="00FB2DC5">
              <w:rPr>
                <w:webHidden/>
              </w:rPr>
              <w:fldChar w:fldCharType="begin"/>
            </w:r>
            <w:r w:rsidR="00FB2DC5">
              <w:rPr>
                <w:webHidden/>
              </w:rPr>
              <w:instrText xml:space="preserve"> PAGEREF _Toc47964996 \h </w:instrText>
            </w:r>
            <w:r w:rsidR="00FB2DC5">
              <w:rPr>
                <w:webHidden/>
              </w:rPr>
            </w:r>
            <w:r w:rsidR="00FB2DC5">
              <w:rPr>
                <w:webHidden/>
              </w:rPr>
              <w:fldChar w:fldCharType="separate"/>
            </w:r>
            <w:r w:rsidR="00FB2DC5">
              <w:rPr>
                <w:webHidden/>
              </w:rPr>
              <w:t>5</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4997" w:history="1">
            <w:r w:rsidR="00FB2DC5" w:rsidRPr="003E7ED3">
              <w:rPr>
                <w:rStyle w:val="Hyperlink"/>
              </w:rPr>
              <w:t>Public consultation</w:t>
            </w:r>
            <w:r w:rsidR="00FB2DC5">
              <w:rPr>
                <w:webHidden/>
              </w:rPr>
              <w:tab/>
            </w:r>
            <w:r w:rsidR="00FB2DC5">
              <w:rPr>
                <w:webHidden/>
              </w:rPr>
              <w:fldChar w:fldCharType="begin"/>
            </w:r>
            <w:r w:rsidR="00FB2DC5">
              <w:rPr>
                <w:webHidden/>
              </w:rPr>
              <w:instrText xml:space="preserve"> PAGEREF _Toc47964997 \h </w:instrText>
            </w:r>
            <w:r w:rsidR="00FB2DC5">
              <w:rPr>
                <w:webHidden/>
              </w:rPr>
            </w:r>
            <w:r w:rsidR="00FB2DC5">
              <w:rPr>
                <w:webHidden/>
              </w:rPr>
              <w:fldChar w:fldCharType="separate"/>
            </w:r>
            <w:r w:rsidR="00FB2DC5">
              <w:rPr>
                <w:webHidden/>
              </w:rPr>
              <w:t>6</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4998" w:history="1">
            <w:r w:rsidR="00FB2DC5" w:rsidRPr="003E7ED3">
              <w:rPr>
                <w:rStyle w:val="Hyperlink"/>
              </w:rPr>
              <w:t>Report on statutory duty of candour</w:t>
            </w:r>
            <w:r w:rsidR="00FB2DC5">
              <w:rPr>
                <w:webHidden/>
              </w:rPr>
              <w:tab/>
            </w:r>
            <w:r w:rsidR="00FB2DC5">
              <w:rPr>
                <w:webHidden/>
              </w:rPr>
              <w:fldChar w:fldCharType="begin"/>
            </w:r>
            <w:r w:rsidR="00FB2DC5">
              <w:rPr>
                <w:webHidden/>
              </w:rPr>
              <w:instrText xml:space="preserve"> PAGEREF _Toc47964998 \h </w:instrText>
            </w:r>
            <w:r w:rsidR="00FB2DC5">
              <w:rPr>
                <w:webHidden/>
              </w:rPr>
            </w:r>
            <w:r w:rsidR="00FB2DC5">
              <w:rPr>
                <w:webHidden/>
              </w:rPr>
              <w:fldChar w:fldCharType="separate"/>
            </w:r>
            <w:r w:rsidR="00FB2DC5">
              <w:rPr>
                <w:webHidden/>
              </w:rPr>
              <w:t>6</w:t>
            </w:r>
            <w:r w:rsidR="00FB2DC5">
              <w:rPr>
                <w:webHidden/>
              </w:rPr>
              <w:fldChar w:fldCharType="end"/>
            </w:r>
          </w:hyperlink>
        </w:p>
        <w:p w:rsidR="00FB2DC5" w:rsidRDefault="00D36664">
          <w:pPr>
            <w:pStyle w:val="TOC1"/>
            <w:rPr>
              <w:rFonts w:asciiTheme="minorHAnsi" w:eastAsiaTheme="minorEastAsia" w:hAnsiTheme="minorHAnsi" w:cstheme="minorBidi"/>
              <w:b w:val="0"/>
              <w:sz w:val="22"/>
              <w:szCs w:val="22"/>
              <w:lang w:eastAsia="en-AU"/>
            </w:rPr>
          </w:pPr>
          <w:hyperlink w:anchor="_Toc47964999" w:history="1">
            <w:r w:rsidR="00FB2DC5" w:rsidRPr="003E7ED3">
              <w:rPr>
                <w:rStyle w:val="Hyperlink"/>
              </w:rPr>
              <w:t>Response to the Expert Working Group’s report</w:t>
            </w:r>
            <w:r w:rsidR="00FB2DC5">
              <w:rPr>
                <w:webHidden/>
              </w:rPr>
              <w:tab/>
            </w:r>
            <w:r w:rsidR="00FB2DC5">
              <w:rPr>
                <w:webHidden/>
              </w:rPr>
              <w:fldChar w:fldCharType="begin"/>
            </w:r>
            <w:r w:rsidR="00FB2DC5">
              <w:rPr>
                <w:webHidden/>
              </w:rPr>
              <w:instrText xml:space="preserve"> PAGEREF _Toc47964999 \h </w:instrText>
            </w:r>
            <w:r w:rsidR="00FB2DC5">
              <w:rPr>
                <w:webHidden/>
              </w:rPr>
            </w:r>
            <w:r w:rsidR="00FB2DC5">
              <w:rPr>
                <w:webHidden/>
              </w:rPr>
              <w:fldChar w:fldCharType="separate"/>
            </w:r>
            <w:r w:rsidR="00FB2DC5">
              <w:rPr>
                <w:webHidden/>
              </w:rPr>
              <w:t>7</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5000" w:history="1">
            <w:r w:rsidR="00FB2DC5" w:rsidRPr="003E7ED3">
              <w:rPr>
                <w:rStyle w:val="Hyperlink"/>
              </w:rPr>
              <w:t>Supporting the reforms in principle</w:t>
            </w:r>
            <w:r w:rsidR="00FB2DC5">
              <w:rPr>
                <w:webHidden/>
              </w:rPr>
              <w:tab/>
            </w:r>
            <w:r w:rsidR="00FB2DC5">
              <w:rPr>
                <w:webHidden/>
              </w:rPr>
              <w:fldChar w:fldCharType="begin"/>
            </w:r>
            <w:r w:rsidR="00FB2DC5">
              <w:rPr>
                <w:webHidden/>
              </w:rPr>
              <w:instrText xml:space="preserve"> PAGEREF _Toc47965000 \h </w:instrText>
            </w:r>
            <w:r w:rsidR="00FB2DC5">
              <w:rPr>
                <w:webHidden/>
              </w:rPr>
            </w:r>
            <w:r w:rsidR="00FB2DC5">
              <w:rPr>
                <w:webHidden/>
              </w:rPr>
              <w:fldChar w:fldCharType="separate"/>
            </w:r>
            <w:r w:rsidR="00FB2DC5">
              <w:rPr>
                <w:webHidden/>
              </w:rPr>
              <w:t>7</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5001" w:history="1">
            <w:r w:rsidR="00FB2DC5" w:rsidRPr="003E7ED3">
              <w:rPr>
                <w:rStyle w:val="Hyperlink"/>
              </w:rPr>
              <w:t>Further consultation to design the reforms</w:t>
            </w:r>
            <w:r w:rsidR="00FB2DC5">
              <w:rPr>
                <w:webHidden/>
              </w:rPr>
              <w:tab/>
            </w:r>
            <w:r w:rsidR="00FB2DC5">
              <w:rPr>
                <w:webHidden/>
              </w:rPr>
              <w:fldChar w:fldCharType="begin"/>
            </w:r>
            <w:r w:rsidR="00FB2DC5">
              <w:rPr>
                <w:webHidden/>
              </w:rPr>
              <w:instrText xml:space="preserve"> PAGEREF _Toc47965001 \h </w:instrText>
            </w:r>
            <w:r w:rsidR="00FB2DC5">
              <w:rPr>
                <w:webHidden/>
              </w:rPr>
            </w:r>
            <w:r w:rsidR="00FB2DC5">
              <w:rPr>
                <w:webHidden/>
              </w:rPr>
              <w:fldChar w:fldCharType="separate"/>
            </w:r>
            <w:r w:rsidR="00FB2DC5">
              <w:rPr>
                <w:webHidden/>
              </w:rPr>
              <w:t>7</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5002" w:history="1">
            <w:r w:rsidR="00FB2DC5" w:rsidRPr="003E7ED3">
              <w:rPr>
                <w:rStyle w:val="Hyperlink"/>
              </w:rPr>
              <w:t>Statutory duty of candour</w:t>
            </w:r>
            <w:r w:rsidR="00FB2DC5">
              <w:rPr>
                <w:webHidden/>
              </w:rPr>
              <w:tab/>
            </w:r>
            <w:r w:rsidR="00FB2DC5">
              <w:rPr>
                <w:webHidden/>
              </w:rPr>
              <w:fldChar w:fldCharType="begin"/>
            </w:r>
            <w:r w:rsidR="00FB2DC5">
              <w:rPr>
                <w:webHidden/>
              </w:rPr>
              <w:instrText xml:space="preserve"> PAGEREF _Toc47965002 \h </w:instrText>
            </w:r>
            <w:r w:rsidR="00FB2DC5">
              <w:rPr>
                <w:webHidden/>
              </w:rPr>
            </w:r>
            <w:r w:rsidR="00FB2DC5">
              <w:rPr>
                <w:webHidden/>
              </w:rPr>
              <w:fldChar w:fldCharType="separate"/>
            </w:r>
            <w:r w:rsidR="00FB2DC5">
              <w:rPr>
                <w:webHidden/>
              </w:rPr>
              <w:t>8</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5003" w:history="1">
            <w:r w:rsidR="00FB2DC5" w:rsidRPr="003E7ED3">
              <w:rPr>
                <w:rStyle w:val="Hyperlink"/>
              </w:rPr>
              <w:t>Protections for clinical incident reviews</w:t>
            </w:r>
            <w:r w:rsidR="00FB2DC5">
              <w:rPr>
                <w:webHidden/>
              </w:rPr>
              <w:tab/>
            </w:r>
            <w:r w:rsidR="00FB2DC5">
              <w:rPr>
                <w:webHidden/>
              </w:rPr>
              <w:fldChar w:fldCharType="begin"/>
            </w:r>
            <w:r w:rsidR="00FB2DC5">
              <w:rPr>
                <w:webHidden/>
              </w:rPr>
              <w:instrText xml:space="preserve"> PAGEREF _Toc47965003 \h </w:instrText>
            </w:r>
            <w:r w:rsidR="00FB2DC5">
              <w:rPr>
                <w:webHidden/>
              </w:rPr>
            </w:r>
            <w:r w:rsidR="00FB2DC5">
              <w:rPr>
                <w:webHidden/>
              </w:rPr>
              <w:fldChar w:fldCharType="separate"/>
            </w:r>
            <w:r w:rsidR="00FB2DC5">
              <w:rPr>
                <w:webHidden/>
              </w:rPr>
              <w:t>8</w:t>
            </w:r>
            <w:r w:rsidR="00FB2DC5">
              <w:rPr>
                <w:webHidden/>
              </w:rPr>
              <w:fldChar w:fldCharType="end"/>
            </w:r>
          </w:hyperlink>
        </w:p>
        <w:p w:rsidR="00FB2DC5" w:rsidRDefault="00D36664">
          <w:pPr>
            <w:pStyle w:val="TOC1"/>
            <w:rPr>
              <w:rFonts w:asciiTheme="minorHAnsi" w:eastAsiaTheme="minorEastAsia" w:hAnsiTheme="minorHAnsi" w:cstheme="minorBidi"/>
              <w:b w:val="0"/>
              <w:sz w:val="22"/>
              <w:szCs w:val="22"/>
              <w:lang w:eastAsia="en-AU"/>
            </w:rPr>
          </w:pPr>
          <w:hyperlink w:anchor="_Toc47965004" w:history="1">
            <w:r w:rsidR="00FB2DC5" w:rsidRPr="003E7ED3">
              <w:rPr>
                <w:rStyle w:val="Hyperlink"/>
              </w:rPr>
              <w:t>Areas for further consultation</w:t>
            </w:r>
            <w:r w:rsidR="00FB2DC5">
              <w:rPr>
                <w:webHidden/>
              </w:rPr>
              <w:tab/>
            </w:r>
            <w:r w:rsidR="00FB2DC5">
              <w:rPr>
                <w:webHidden/>
              </w:rPr>
              <w:fldChar w:fldCharType="begin"/>
            </w:r>
            <w:r w:rsidR="00FB2DC5">
              <w:rPr>
                <w:webHidden/>
              </w:rPr>
              <w:instrText xml:space="preserve"> PAGEREF _Toc47965004 \h </w:instrText>
            </w:r>
            <w:r w:rsidR="00FB2DC5">
              <w:rPr>
                <w:webHidden/>
              </w:rPr>
            </w:r>
            <w:r w:rsidR="00FB2DC5">
              <w:rPr>
                <w:webHidden/>
              </w:rPr>
              <w:fldChar w:fldCharType="separate"/>
            </w:r>
            <w:r w:rsidR="00FB2DC5">
              <w:rPr>
                <w:webHidden/>
              </w:rPr>
              <w:t>10</w:t>
            </w:r>
            <w:r w:rsidR="00FB2DC5">
              <w:rPr>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5005" w:history="1">
            <w:r w:rsidR="00FB2DC5" w:rsidRPr="003E7ED3">
              <w:rPr>
                <w:rStyle w:val="Hyperlink"/>
                <w:i/>
              </w:rPr>
              <w:t>Victorian candour and open disclosure guidelines</w:t>
            </w:r>
            <w:r w:rsidR="00FB2DC5">
              <w:rPr>
                <w:webHidden/>
              </w:rPr>
              <w:tab/>
            </w:r>
            <w:r w:rsidR="00FB2DC5">
              <w:rPr>
                <w:webHidden/>
              </w:rPr>
              <w:fldChar w:fldCharType="begin"/>
            </w:r>
            <w:r w:rsidR="00FB2DC5">
              <w:rPr>
                <w:webHidden/>
              </w:rPr>
              <w:instrText xml:space="preserve"> PAGEREF _Toc47965005 \h </w:instrText>
            </w:r>
            <w:r w:rsidR="00FB2DC5">
              <w:rPr>
                <w:webHidden/>
              </w:rPr>
            </w:r>
            <w:r w:rsidR="00FB2DC5">
              <w:rPr>
                <w:webHidden/>
              </w:rPr>
              <w:fldChar w:fldCharType="separate"/>
            </w:r>
            <w:r w:rsidR="00FB2DC5">
              <w:rPr>
                <w:webHidden/>
              </w:rPr>
              <w:t>10</w:t>
            </w:r>
            <w:r w:rsidR="00FB2DC5">
              <w:rPr>
                <w:webHidden/>
              </w:rPr>
              <w:fldChar w:fldCharType="end"/>
            </w:r>
          </w:hyperlink>
        </w:p>
        <w:p w:rsidR="00FB2DC5" w:rsidRDefault="00D36664">
          <w:pPr>
            <w:pStyle w:val="TOC3"/>
            <w:rPr>
              <w:rFonts w:asciiTheme="minorHAnsi" w:eastAsiaTheme="minorEastAsia" w:hAnsiTheme="minorHAnsi" w:cstheme="minorBidi"/>
              <w:noProof/>
              <w:sz w:val="22"/>
              <w:szCs w:val="22"/>
              <w:lang w:eastAsia="en-AU"/>
            </w:rPr>
          </w:pPr>
          <w:hyperlink r:id="rId15" w:anchor="_Toc47965006" w:history="1">
            <w:r w:rsidR="00FB2DC5" w:rsidRPr="003E7ED3">
              <w:rPr>
                <w:rStyle w:val="Hyperlink"/>
                <w:noProof/>
              </w:rPr>
              <w:t xml:space="preserve">Consultation questions – </w:t>
            </w:r>
            <w:r w:rsidR="00FB2DC5" w:rsidRPr="003E7ED3">
              <w:rPr>
                <w:rStyle w:val="Hyperlink"/>
                <w:i/>
                <w:noProof/>
              </w:rPr>
              <w:t>Victorian candour and open disclosure guidelines</w:t>
            </w:r>
            <w:r w:rsidR="00FB2DC5">
              <w:rPr>
                <w:noProof/>
                <w:webHidden/>
              </w:rPr>
              <w:tab/>
            </w:r>
            <w:r w:rsidR="00FB2DC5">
              <w:rPr>
                <w:noProof/>
                <w:webHidden/>
              </w:rPr>
              <w:fldChar w:fldCharType="begin"/>
            </w:r>
            <w:r w:rsidR="00FB2DC5">
              <w:rPr>
                <w:noProof/>
                <w:webHidden/>
              </w:rPr>
              <w:instrText xml:space="preserve"> PAGEREF _Toc47965006 \h </w:instrText>
            </w:r>
            <w:r w:rsidR="00FB2DC5">
              <w:rPr>
                <w:noProof/>
                <w:webHidden/>
              </w:rPr>
            </w:r>
            <w:r w:rsidR="00FB2DC5">
              <w:rPr>
                <w:noProof/>
                <w:webHidden/>
              </w:rPr>
              <w:fldChar w:fldCharType="separate"/>
            </w:r>
            <w:r w:rsidR="00FB2DC5">
              <w:rPr>
                <w:noProof/>
                <w:webHidden/>
              </w:rPr>
              <w:t>11</w:t>
            </w:r>
            <w:r w:rsidR="00FB2DC5">
              <w:rPr>
                <w:noProof/>
                <w:webHidden/>
              </w:rPr>
              <w:fldChar w:fldCharType="end"/>
            </w:r>
          </w:hyperlink>
        </w:p>
        <w:p w:rsidR="00FB2DC5" w:rsidRDefault="00D36664">
          <w:pPr>
            <w:pStyle w:val="TOC2"/>
            <w:rPr>
              <w:rFonts w:asciiTheme="minorHAnsi" w:eastAsiaTheme="minorEastAsia" w:hAnsiTheme="minorHAnsi" w:cstheme="minorBidi"/>
              <w:sz w:val="22"/>
              <w:szCs w:val="22"/>
              <w:lang w:eastAsia="en-AU"/>
            </w:rPr>
          </w:pPr>
          <w:hyperlink w:anchor="_Toc47965007" w:history="1">
            <w:r w:rsidR="00FB2DC5" w:rsidRPr="003E7ED3">
              <w:rPr>
                <w:rStyle w:val="Hyperlink"/>
              </w:rPr>
              <w:t>Proposed model of protections for clinical incident reviews</w:t>
            </w:r>
            <w:r w:rsidR="00FB2DC5">
              <w:rPr>
                <w:webHidden/>
              </w:rPr>
              <w:tab/>
            </w:r>
            <w:r w:rsidR="00FB2DC5">
              <w:rPr>
                <w:webHidden/>
              </w:rPr>
              <w:fldChar w:fldCharType="begin"/>
            </w:r>
            <w:r w:rsidR="00FB2DC5">
              <w:rPr>
                <w:webHidden/>
              </w:rPr>
              <w:instrText xml:space="preserve"> PAGEREF _Toc47965007 \h </w:instrText>
            </w:r>
            <w:r w:rsidR="00FB2DC5">
              <w:rPr>
                <w:webHidden/>
              </w:rPr>
            </w:r>
            <w:r w:rsidR="00FB2DC5">
              <w:rPr>
                <w:webHidden/>
              </w:rPr>
              <w:fldChar w:fldCharType="separate"/>
            </w:r>
            <w:r w:rsidR="00FB2DC5">
              <w:rPr>
                <w:webHidden/>
              </w:rPr>
              <w:t>12</w:t>
            </w:r>
            <w:r w:rsidR="00FB2DC5">
              <w:rPr>
                <w:webHidden/>
              </w:rPr>
              <w:fldChar w:fldCharType="end"/>
            </w:r>
          </w:hyperlink>
        </w:p>
        <w:p w:rsidR="00FB2DC5" w:rsidRDefault="00D36664">
          <w:pPr>
            <w:pStyle w:val="TOC3"/>
            <w:rPr>
              <w:rFonts w:asciiTheme="minorHAnsi" w:eastAsiaTheme="minorEastAsia" w:hAnsiTheme="minorHAnsi" w:cstheme="minorBidi"/>
              <w:noProof/>
              <w:sz w:val="22"/>
              <w:szCs w:val="22"/>
              <w:lang w:eastAsia="en-AU"/>
            </w:rPr>
          </w:pPr>
          <w:hyperlink r:id="rId16" w:anchor="_Toc47965008" w:history="1">
            <w:r w:rsidR="00FB2DC5" w:rsidRPr="003E7ED3">
              <w:rPr>
                <w:rStyle w:val="Hyperlink"/>
                <w:noProof/>
              </w:rPr>
              <w:t>Consultation questions – protections for clinical incident reviews</w:t>
            </w:r>
            <w:r w:rsidR="00FB2DC5">
              <w:rPr>
                <w:noProof/>
                <w:webHidden/>
              </w:rPr>
              <w:tab/>
            </w:r>
            <w:r w:rsidR="00FB2DC5">
              <w:rPr>
                <w:noProof/>
                <w:webHidden/>
              </w:rPr>
              <w:fldChar w:fldCharType="begin"/>
            </w:r>
            <w:r w:rsidR="00FB2DC5">
              <w:rPr>
                <w:noProof/>
                <w:webHidden/>
              </w:rPr>
              <w:instrText xml:space="preserve"> PAGEREF _Toc47965008 \h </w:instrText>
            </w:r>
            <w:r w:rsidR="00FB2DC5">
              <w:rPr>
                <w:noProof/>
                <w:webHidden/>
              </w:rPr>
            </w:r>
            <w:r w:rsidR="00FB2DC5">
              <w:rPr>
                <w:noProof/>
                <w:webHidden/>
              </w:rPr>
              <w:fldChar w:fldCharType="separate"/>
            </w:r>
            <w:r w:rsidR="00FB2DC5">
              <w:rPr>
                <w:noProof/>
                <w:webHidden/>
              </w:rPr>
              <w:t>13</w:t>
            </w:r>
            <w:r w:rsidR="00FB2DC5">
              <w:rPr>
                <w:noProof/>
                <w:webHidden/>
              </w:rPr>
              <w:fldChar w:fldCharType="end"/>
            </w:r>
          </w:hyperlink>
        </w:p>
        <w:p w:rsidR="00510468" w:rsidRPr="00510468" w:rsidRDefault="00510468" w:rsidP="00510468">
          <w:pPr>
            <w:tabs>
              <w:tab w:val="right" w:leader="dot" w:pos="8789"/>
            </w:tabs>
            <w:ind w:right="681"/>
            <w:rPr>
              <w:noProof/>
            </w:rPr>
          </w:pPr>
          <w:r w:rsidRPr="00510468">
            <w:rPr>
              <w:b/>
              <w:bCs/>
              <w:noProof/>
            </w:rPr>
            <w:fldChar w:fldCharType="end"/>
          </w:r>
        </w:p>
      </w:sdtContent>
    </w:sdt>
    <w:p w:rsidR="00510468" w:rsidRDefault="00510468" w:rsidP="00291DB7">
      <w:pPr>
        <w:pStyle w:val="Heading1"/>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510468" w:rsidRDefault="00510468" w:rsidP="00510468">
      <w:pPr>
        <w:pStyle w:val="DHHSbody"/>
      </w:pPr>
    </w:p>
    <w:p w:rsidR="00FF453F" w:rsidRPr="00510468" w:rsidRDefault="00FF453F" w:rsidP="00510468">
      <w:pPr>
        <w:pStyle w:val="DHHSbody"/>
      </w:pPr>
    </w:p>
    <w:p w:rsidR="00291DB7" w:rsidRDefault="00291DB7" w:rsidP="00291DB7">
      <w:pPr>
        <w:pStyle w:val="Heading1"/>
      </w:pPr>
      <w:bookmarkStart w:id="1" w:name="_Toc47964993"/>
      <w:r>
        <w:lastRenderedPageBreak/>
        <w:t>Ministerial foreword</w:t>
      </w:r>
      <w:bookmarkEnd w:id="1"/>
    </w:p>
    <w:p w:rsidR="007E517C" w:rsidRDefault="007E517C" w:rsidP="007E517C">
      <w:pPr>
        <w:pStyle w:val="DHHSbody"/>
      </w:pPr>
      <w:r>
        <w:t>In September 201</w:t>
      </w:r>
      <w:r w:rsidR="00FF2E53">
        <w:t>7</w:t>
      </w:r>
      <w:r w:rsidR="009A15A7">
        <w:t>,</w:t>
      </w:r>
      <w:r>
        <w:t xml:space="preserve"> </w:t>
      </w:r>
      <w:r w:rsidR="00784735">
        <w:t>then Minister for Health, t</w:t>
      </w:r>
      <w:r w:rsidR="00784735" w:rsidRPr="00784735">
        <w:t>he Hon Jill Hennessy</w:t>
      </w:r>
      <w:r w:rsidR="00784735">
        <w:t xml:space="preserve"> </w:t>
      </w:r>
      <w:r>
        <w:t xml:space="preserve">appointed the Expert Working Group to provide advice on legislative reforms arising from </w:t>
      </w:r>
      <w:r>
        <w:rPr>
          <w:i/>
        </w:rPr>
        <w:t xml:space="preserve">Targeting Zero: </w:t>
      </w:r>
      <w:r>
        <w:rPr>
          <w:rFonts w:cs="Arial"/>
          <w:i/>
        </w:rPr>
        <w:t>Supporting the Victorian hospital system to eliminate avoidable harm and strengthen quality of care</w:t>
      </w:r>
      <w:r>
        <w:rPr>
          <w:rFonts w:cs="Arial"/>
        </w:rPr>
        <w:t xml:space="preserve">, </w:t>
      </w:r>
      <w:r>
        <w:t>the report of the Review of Hospital Safety and Quality Assurance in Victoria led by Dr Stephen Duckett (</w:t>
      </w:r>
      <w:r>
        <w:rPr>
          <w:i/>
        </w:rPr>
        <w:t>Targeting Zero)</w:t>
      </w:r>
      <w:r>
        <w:t>.</w:t>
      </w:r>
      <w:r w:rsidRPr="00170F65">
        <w:t xml:space="preserve"> </w:t>
      </w:r>
    </w:p>
    <w:p w:rsidR="00630C84" w:rsidRDefault="00165532" w:rsidP="00630C84">
      <w:pPr>
        <w:pStyle w:val="DHHSbody"/>
      </w:pPr>
      <w:r>
        <w:t xml:space="preserve">Its </w:t>
      </w:r>
      <w:r w:rsidR="007B5513">
        <w:t xml:space="preserve">task was to </w:t>
      </w:r>
      <w:r w:rsidR="009A15A7">
        <w:t xml:space="preserve">consider the implementation of a statutory duty of candour in Victoria. </w:t>
      </w:r>
    </w:p>
    <w:p w:rsidR="000A2558" w:rsidRDefault="000A2558" w:rsidP="00442986">
      <w:pPr>
        <w:pStyle w:val="DHHSbody"/>
      </w:pPr>
      <w:r>
        <w:t>The Expert Working Group undert</w:t>
      </w:r>
      <w:r w:rsidR="00C15C8C">
        <w:t>ook</w:t>
      </w:r>
      <w:r>
        <w:t xml:space="preserve"> a thorough review of the relevant issues</w:t>
      </w:r>
      <w:r w:rsidR="007E517C">
        <w:t>, drawing on the wealth of expertise and experience of its members</w:t>
      </w:r>
      <w:r w:rsidR="00493A3F">
        <w:t>,</w:t>
      </w:r>
      <w:r w:rsidR="007E517C">
        <w:t xml:space="preserve"> and </w:t>
      </w:r>
      <w:r>
        <w:t xml:space="preserve">taking into consideration </w:t>
      </w:r>
      <w:r w:rsidR="000E601A">
        <w:t>the matters raised by stakeholders</w:t>
      </w:r>
      <w:r w:rsidR="00493A3F">
        <w:t xml:space="preserve">, relevant literature and </w:t>
      </w:r>
      <w:r w:rsidR="000E601A">
        <w:t>comparable models</w:t>
      </w:r>
      <w:r>
        <w:t xml:space="preserve"> operating elsewhere in Australia and internationally</w:t>
      </w:r>
      <w:r w:rsidR="000E601A">
        <w:t>.</w:t>
      </w:r>
    </w:p>
    <w:p w:rsidR="00E46B2B" w:rsidRDefault="009A15A7" w:rsidP="00442986">
      <w:pPr>
        <w:pStyle w:val="DHHSbody"/>
      </w:pPr>
      <w:r>
        <w:t>Its</w:t>
      </w:r>
      <w:r w:rsidR="000A2558">
        <w:t xml:space="preserve"> report is compelling and thoughtful. </w:t>
      </w:r>
      <w:r>
        <w:t xml:space="preserve">At no point does the Expert Working Group </w:t>
      </w:r>
      <w:r w:rsidR="000A2558">
        <w:t xml:space="preserve">shy away from the complexities that must be engaged with in </w:t>
      </w:r>
      <w:bookmarkStart w:id="2" w:name="_Hlk40332308"/>
      <w:r w:rsidR="000A2558">
        <w:t xml:space="preserve">designing a workable and effective statutory duty of candour that will contribute to </w:t>
      </w:r>
      <w:r>
        <w:t>the meaningful</w:t>
      </w:r>
      <w:r w:rsidR="000A2558">
        <w:t xml:space="preserve"> change envisaged by </w:t>
      </w:r>
      <w:r w:rsidR="000A2558" w:rsidRPr="000A2558">
        <w:rPr>
          <w:i/>
        </w:rPr>
        <w:t>Targeting Zero</w:t>
      </w:r>
      <w:bookmarkEnd w:id="2"/>
      <w:r w:rsidR="000A2558">
        <w:t xml:space="preserve">. </w:t>
      </w:r>
    </w:p>
    <w:p w:rsidR="00E46B2B" w:rsidRDefault="00E46B2B" w:rsidP="00E46B2B">
      <w:pPr>
        <w:pStyle w:val="DHHSbody"/>
      </w:pPr>
      <w:r>
        <w:t xml:space="preserve">Despite </w:t>
      </w:r>
      <w:r w:rsidR="00493A3F">
        <w:t>this</w:t>
      </w:r>
      <w:r>
        <w:t xml:space="preserve"> challenge, t</w:t>
      </w:r>
      <w:r w:rsidR="000A2558">
        <w:t>he report presents a framework for how Victoria can introdu</w:t>
      </w:r>
      <w:r>
        <w:t xml:space="preserve">ce a statutory duty of candour. </w:t>
      </w:r>
    </w:p>
    <w:p w:rsidR="007B5513" w:rsidRDefault="00E46B2B" w:rsidP="00442986">
      <w:pPr>
        <w:pStyle w:val="DHHSbody"/>
      </w:pPr>
      <w:r>
        <w:t>I have</w:t>
      </w:r>
      <w:r w:rsidR="007B5513">
        <w:t xml:space="preserve"> </w:t>
      </w:r>
      <w:r w:rsidR="00442986">
        <w:t>considered the report and agree in principle to all its</w:t>
      </w:r>
      <w:r w:rsidR="004120D8">
        <w:t xml:space="preserve"> 27</w:t>
      </w:r>
      <w:r w:rsidR="00442986">
        <w:t xml:space="preserve"> recommendations. </w:t>
      </w:r>
      <w:r w:rsidR="007B5513">
        <w:t xml:space="preserve">It is </w:t>
      </w:r>
      <w:r w:rsidR="005F7F47">
        <w:t xml:space="preserve">the </w:t>
      </w:r>
      <w:r w:rsidR="007B5513">
        <w:t xml:space="preserve">government’s intention to </w:t>
      </w:r>
      <w:r w:rsidR="00784735">
        <w:t>develop</w:t>
      </w:r>
      <w:r w:rsidR="00C15C8C">
        <w:t xml:space="preserve"> </w:t>
      </w:r>
      <w:r w:rsidR="007B5513">
        <w:t xml:space="preserve">legislative reforms </w:t>
      </w:r>
      <w:r w:rsidR="009A15A7">
        <w:t xml:space="preserve">that </w:t>
      </w:r>
      <w:r w:rsidR="007B5513">
        <w:t>reflect the report’s recommendations.</w:t>
      </w:r>
    </w:p>
    <w:p w:rsidR="007B5513" w:rsidRDefault="00442986" w:rsidP="00442986">
      <w:pPr>
        <w:pStyle w:val="DHHSbody"/>
      </w:pPr>
      <w:r>
        <w:t xml:space="preserve">I </w:t>
      </w:r>
      <w:r w:rsidR="007B5513">
        <w:t xml:space="preserve">express my sincere gratitude </w:t>
      </w:r>
      <w:r w:rsidR="00E46B2B">
        <w:t>to each member of the Expert Working G</w:t>
      </w:r>
      <w:r>
        <w:t>roup for</w:t>
      </w:r>
      <w:r w:rsidR="007B5513">
        <w:t xml:space="preserve"> its</w:t>
      </w:r>
      <w:r>
        <w:t xml:space="preserve"> clear and comprehensive report.</w:t>
      </w:r>
      <w:r w:rsidR="00D3706B">
        <w:t xml:space="preserve"> </w:t>
      </w:r>
      <w:r w:rsidR="00E46B2B">
        <w:t xml:space="preserve">A statutory duty of candour is an important reform that will consolidate Victoria’s position as a leader in </w:t>
      </w:r>
      <w:r w:rsidR="009A15A7">
        <w:t xml:space="preserve">improving the quality and safety of hospital care. </w:t>
      </w:r>
    </w:p>
    <w:p w:rsidR="00170F65" w:rsidRDefault="00170F65" w:rsidP="00170F65">
      <w:pPr>
        <w:pStyle w:val="DHHSbody"/>
      </w:pPr>
      <w:r>
        <w:t xml:space="preserve">I acknowledge the support that my colleague </w:t>
      </w:r>
      <w:r w:rsidR="00784735">
        <w:t>The Hon.</w:t>
      </w:r>
      <w:r>
        <w:t xml:space="preserve"> Gabrielle William</w:t>
      </w:r>
      <w:r w:rsidR="00784735">
        <w:t>s</w:t>
      </w:r>
      <w:r>
        <w:t xml:space="preserve">, </w:t>
      </w:r>
      <w:r w:rsidR="00784735">
        <w:t xml:space="preserve">then </w:t>
      </w:r>
      <w:r>
        <w:t xml:space="preserve">Parliamentary Secretary for Health and Parliamentary Secretary for Carers and Volunteers </w:t>
      </w:r>
      <w:r w:rsidR="00784735">
        <w:t>(now Minister for Prevention of Family Violence, Women and Youth)</w:t>
      </w:r>
      <w:r w:rsidR="00FF2E53">
        <w:t>,</w:t>
      </w:r>
      <w:r w:rsidR="00784735">
        <w:t xml:space="preserve"> </w:t>
      </w:r>
      <w:r>
        <w:t>has provided</w:t>
      </w:r>
      <w:r w:rsidR="00493A3F">
        <w:t xml:space="preserve"> to</w:t>
      </w:r>
      <w:r>
        <w:t xml:space="preserve"> the Expert Working Group in </w:t>
      </w:r>
      <w:r w:rsidR="00493A3F">
        <w:t>this</w:t>
      </w:r>
      <w:r>
        <w:t xml:space="preserve"> endeavour</w:t>
      </w:r>
      <w:r w:rsidR="00784735">
        <w:t xml:space="preserve"> and The Hon</w:t>
      </w:r>
      <w:r w:rsidR="22B5CDFE">
        <w:t>.</w:t>
      </w:r>
      <w:r w:rsidR="00784735">
        <w:t xml:space="preserve"> </w:t>
      </w:r>
      <w:r w:rsidR="00784735" w:rsidRPr="00784735">
        <w:t>Jill Hennessy</w:t>
      </w:r>
      <w:r w:rsidR="00784735">
        <w:t xml:space="preserve"> for commissioning the review</w:t>
      </w:r>
      <w:r w:rsidR="00784735" w:rsidRPr="00A63711">
        <w:t xml:space="preserve">. </w:t>
      </w:r>
      <w:r w:rsidR="00A63711" w:rsidRPr="002B1228">
        <w:rPr>
          <w:rStyle w:val="normaltextrun"/>
          <w:rFonts w:cs="Arial"/>
          <w:color w:val="333333"/>
          <w:shd w:val="clear" w:color="auto" w:fill="FFFFFF"/>
        </w:rPr>
        <w:t>I would also like to acknowledge the work of the previous Minister for Health, The Hon. Jenny Mikakos, for her work in overseeing this process.</w:t>
      </w:r>
      <w:r w:rsidR="00A63711">
        <w:rPr>
          <w:rStyle w:val="eop"/>
          <w:rFonts w:cs="Arial"/>
          <w:color w:val="333333"/>
          <w:sz w:val="22"/>
          <w:szCs w:val="22"/>
          <w:shd w:val="clear" w:color="auto" w:fill="FFFFFF"/>
        </w:rPr>
        <w:t> </w:t>
      </w:r>
    </w:p>
    <w:p w:rsidR="007B5513" w:rsidRDefault="007B5513" w:rsidP="00442986">
      <w:pPr>
        <w:pStyle w:val="DHHSbody"/>
      </w:pPr>
      <w:r>
        <w:t xml:space="preserve">I also thank all </w:t>
      </w:r>
      <w:r w:rsidR="00477399">
        <w:t xml:space="preserve">the </w:t>
      </w:r>
      <w:r>
        <w:t xml:space="preserve">members of </w:t>
      </w:r>
      <w:r w:rsidR="009A15A7">
        <w:t xml:space="preserve">our </w:t>
      </w:r>
      <w:r>
        <w:t>community and health sector who have taken the time to contribute their ideas and wisdom toward the</w:t>
      </w:r>
      <w:r w:rsidR="00477399">
        <w:t xml:space="preserve"> development of</w:t>
      </w:r>
      <w:r>
        <w:t xml:space="preserve"> these important reforms.</w:t>
      </w:r>
      <w:r w:rsidR="00477399">
        <w:t xml:space="preserve"> </w:t>
      </w:r>
      <w:r w:rsidR="009A15A7">
        <w:t>T</w:t>
      </w:r>
      <w:r w:rsidR="00477399">
        <w:t xml:space="preserve">hat </w:t>
      </w:r>
      <w:r w:rsidR="009A15A7">
        <w:t>more than</w:t>
      </w:r>
      <w:r w:rsidR="00477399">
        <w:t xml:space="preserve"> 60 submissions were received by the Expert Working Group is testament to the</w:t>
      </w:r>
      <w:r w:rsidR="005F7F47">
        <w:t>ir</w:t>
      </w:r>
      <w:r w:rsidR="00477399">
        <w:t xml:space="preserve"> significance for Victoria.</w:t>
      </w:r>
      <w:r>
        <w:t xml:space="preserve"> </w:t>
      </w:r>
      <w:r w:rsidR="00477399">
        <w:t xml:space="preserve">I encourage and welcome further involvement from you as we </w:t>
      </w:r>
      <w:r w:rsidR="009A15A7">
        <w:t xml:space="preserve">work to </w:t>
      </w:r>
      <w:r w:rsidR="00477399">
        <w:t>refine the design of the</w:t>
      </w:r>
      <w:r w:rsidR="009A15A7">
        <w:t>se</w:t>
      </w:r>
      <w:r w:rsidR="00477399">
        <w:t xml:space="preserve"> reforms. </w:t>
      </w:r>
    </w:p>
    <w:p w:rsidR="0045440A" w:rsidRDefault="00C867EE" w:rsidP="0045440A">
      <w:pPr>
        <w:pStyle w:val="DHHSbodynospace"/>
        <w:rPr>
          <w:rFonts w:ascii="Tms Rmn" w:hAnsi="Tms Rmn"/>
          <w:noProof/>
          <w:sz w:val="24"/>
          <w:szCs w:val="24"/>
          <w:lang w:eastAsia="en-AU"/>
        </w:rPr>
      </w:pPr>
      <w:r>
        <w:rPr>
          <w:rFonts w:ascii="Tms Rmn" w:hAnsi="Tms Rmn"/>
          <w:noProof/>
          <w:sz w:val="24"/>
          <w:szCs w:val="24"/>
          <w:lang w:eastAsia="en-AU"/>
        </w:rPr>
        <w:drawing>
          <wp:anchor distT="0" distB="0" distL="114300" distR="114300" simplePos="0" relativeHeight="251659266" behindDoc="1" locked="0" layoutInCell="1" allowOverlap="1" wp14:editId="24450B95">
            <wp:simplePos x="0" y="0"/>
            <wp:positionH relativeFrom="margin">
              <wp:align>left</wp:align>
            </wp:positionH>
            <wp:positionV relativeFrom="paragraph">
              <wp:posOffset>4445</wp:posOffset>
            </wp:positionV>
            <wp:extent cx="1419225" cy="1171575"/>
            <wp:effectExtent l="0" t="0" r="9525" b="9525"/>
            <wp:wrapTight wrapText="bothSides">
              <wp:wrapPolygon edited="0">
                <wp:start x="0" y="0"/>
                <wp:lineTo x="0" y="21424"/>
                <wp:lineTo x="21455" y="21424"/>
                <wp:lineTo x="21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683" w:rsidRDefault="003A5683" w:rsidP="0045440A">
      <w:pPr>
        <w:pStyle w:val="DHHSbodynospace"/>
        <w:rPr>
          <w:rFonts w:ascii="Tms Rmn" w:hAnsi="Tms Rmn"/>
          <w:noProof/>
          <w:sz w:val="24"/>
          <w:szCs w:val="24"/>
          <w:lang w:eastAsia="en-AU"/>
        </w:rPr>
      </w:pPr>
    </w:p>
    <w:p w:rsidR="003A5683" w:rsidRDefault="003A5683" w:rsidP="0045440A">
      <w:pPr>
        <w:pStyle w:val="DHHSbodynospace"/>
        <w:rPr>
          <w:rFonts w:ascii="Tms Rmn" w:hAnsi="Tms Rmn"/>
          <w:noProof/>
          <w:sz w:val="24"/>
          <w:szCs w:val="24"/>
          <w:lang w:eastAsia="en-AU"/>
        </w:rPr>
      </w:pPr>
    </w:p>
    <w:p w:rsidR="003A5683" w:rsidRDefault="003A5683" w:rsidP="0045440A">
      <w:pPr>
        <w:pStyle w:val="DHHSbodynospace"/>
      </w:pPr>
    </w:p>
    <w:p w:rsidR="00C867EE" w:rsidRDefault="00C867EE" w:rsidP="0045440A">
      <w:pPr>
        <w:pStyle w:val="DHHSbodynospace"/>
      </w:pPr>
    </w:p>
    <w:p w:rsidR="00C867EE" w:rsidRDefault="00C867EE" w:rsidP="0045440A">
      <w:pPr>
        <w:pStyle w:val="DHHSbodynospace"/>
      </w:pPr>
    </w:p>
    <w:p w:rsidR="00C867EE" w:rsidRDefault="00C867EE" w:rsidP="0045440A">
      <w:pPr>
        <w:pStyle w:val="DHHSbodynospace"/>
      </w:pPr>
    </w:p>
    <w:p w:rsidR="0045440A" w:rsidRDefault="003A5683" w:rsidP="0045440A">
      <w:pPr>
        <w:pStyle w:val="DHHSbodynospace"/>
      </w:pPr>
      <w:r>
        <w:t>Martin Foley</w:t>
      </w:r>
      <w:r w:rsidR="004E775E">
        <w:t xml:space="preserve"> MP</w:t>
      </w:r>
    </w:p>
    <w:p w:rsidR="0045440A" w:rsidRDefault="0045440A" w:rsidP="009A15A7">
      <w:pPr>
        <w:pStyle w:val="DHHSbodynospace"/>
      </w:pPr>
      <w:r>
        <w:t>Minister for Health</w:t>
      </w:r>
      <w:r>
        <w:br w:type="page"/>
      </w:r>
      <w:bookmarkEnd w:id="0"/>
    </w:p>
    <w:p w:rsidR="0045440A" w:rsidRDefault="00B762B5" w:rsidP="00291DB7">
      <w:pPr>
        <w:pStyle w:val="Heading1"/>
      </w:pPr>
      <w:bookmarkStart w:id="3" w:name="_Toc47964994"/>
      <w:r>
        <w:lastRenderedPageBreak/>
        <w:t>Introduction</w:t>
      </w:r>
      <w:bookmarkEnd w:id="3"/>
    </w:p>
    <w:p w:rsidR="009F0F8F" w:rsidRPr="009F0F8F" w:rsidRDefault="009F0F8F" w:rsidP="009F0F8F">
      <w:pPr>
        <w:pStyle w:val="Heading2"/>
        <w:rPr>
          <w:i/>
        </w:rPr>
      </w:pPr>
      <w:bookmarkStart w:id="4" w:name="_Toc47964995"/>
      <w:bookmarkStart w:id="5" w:name="_Toc504693886"/>
      <w:bookmarkStart w:id="6" w:name="_Toc504500259"/>
      <w:r w:rsidRPr="009F0F8F">
        <w:rPr>
          <w:i/>
        </w:rPr>
        <w:t>Targeting Zero</w:t>
      </w:r>
      <w:bookmarkEnd w:id="4"/>
    </w:p>
    <w:p w:rsidR="00170F65" w:rsidRDefault="00477399" w:rsidP="00170F65">
      <w:pPr>
        <w:pStyle w:val="DHHSbody"/>
        <w:rPr>
          <w:i/>
        </w:rPr>
      </w:pPr>
      <w:r>
        <w:t xml:space="preserve">In </w:t>
      </w:r>
      <w:r w:rsidR="00170F65">
        <w:t>September</w:t>
      </w:r>
      <w:r>
        <w:t xml:space="preserve"> 2017</w:t>
      </w:r>
      <w:r w:rsidR="00FF2E53">
        <w:t>,</w:t>
      </w:r>
      <w:r>
        <w:t xml:space="preserve"> the </w:t>
      </w:r>
      <w:r w:rsidR="00784735">
        <w:t xml:space="preserve">then </w:t>
      </w:r>
      <w:r>
        <w:t xml:space="preserve">Minster for Health appointed an </w:t>
      </w:r>
      <w:r w:rsidR="00E46B2B">
        <w:t xml:space="preserve">Expert Working Group to provide advice on legislative reforms arising from </w:t>
      </w:r>
      <w:r w:rsidR="00E46B2B">
        <w:rPr>
          <w:i/>
        </w:rPr>
        <w:t xml:space="preserve">Targeting Zero: </w:t>
      </w:r>
      <w:r w:rsidR="00E46B2B">
        <w:rPr>
          <w:rFonts w:cs="Arial"/>
          <w:i/>
        </w:rPr>
        <w:t>Supporting the Victorian hospital system to eliminate avoidable harm and strengthen quality of care</w:t>
      </w:r>
      <w:r w:rsidR="00E46B2B">
        <w:rPr>
          <w:rFonts w:cs="Arial"/>
        </w:rPr>
        <w:t xml:space="preserve">, </w:t>
      </w:r>
      <w:r w:rsidR="00E46B2B">
        <w:t>the report of the Review of Hospital Safety and Quality Assurance in Victoria led by Dr Stephen Duckett (</w:t>
      </w:r>
      <w:r w:rsidR="00E46B2B">
        <w:rPr>
          <w:i/>
        </w:rPr>
        <w:t>Targeting Zero)</w:t>
      </w:r>
      <w:r w:rsidR="00E46B2B">
        <w:t>.</w:t>
      </w:r>
      <w:r w:rsidR="00170F65" w:rsidRPr="00170F65">
        <w:t xml:space="preserve"> </w:t>
      </w:r>
      <w:r w:rsidR="00170F65">
        <w:t xml:space="preserve">The review was commissioned by the </w:t>
      </w:r>
      <w:r w:rsidR="00784735">
        <w:t xml:space="preserve">then </w:t>
      </w:r>
      <w:r w:rsidR="00170F65">
        <w:t>Minister in 2015.</w:t>
      </w:r>
      <w:r w:rsidR="00170F65" w:rsidRPr="00170F65">
        <w:rPr>
          <w:i/>
        </w:rPr>
        <w:t xml:space="preserve"> </w:t>
      </w:r>
    </w:p>
    <w:p w:rsidR="00170F65" w:rsidRDefault="00170F65" w:rsidP="00170F65">
      <w:pPr>
        <w:pStyle w:val="DHHSbody"/>
        <w:rPr>
          <w:rFonts w:cs="Arial"/>
        </w:rPr>
      </w:pPr>
      <w:r>
        <w:rPr>
          <w:i/>
        </w:rPr>
        <w:t>Targeting Zero</w:t>
      </w:r>
      <w:r>
        <w:t xml:space="preserve"> provided a detailed and extensive analysis of quality and safety supports and oversight across the Victorian hospital system. It made 179 recommendations aimed at delivering better protections and improved outcomes for patients. </w:t>
      </w:r>
      <w:r>
        <w:rPr>
          <w:i/>
        </w:rPr>
        <w:t xml:space="preserve">Targeting Zero </w:t>
      </w:r>
      <w:r>
        <w:t>called for changes at government, board and management level to encourage and establish a culture of inquiry and open disclosure, and to introduce systems to monitor and improve the safety and quality of health care.</w:t>
      </w:r>
      <w:r w:rsidRPr="00170F65">
        <w:rPr>
          <w:rFonts w:cs="Arial"/>
        </w:rPr>
        <w:t xml:space="preserve"> </w:t>
      </w:r>
      <w:r>
        <w:rPr>
          <w:rFonts w:cs="Arial"/>
        </w:rPr>
        <w:t xml:space="preserve">A </w:t>
      </w:r>
      <w:r w:rsidR="008C3DC6">
        <w:rPr>
          <w:rFonts w:cs="Arial"/>
        </w:rPr>
        <w:t>significant</w:t>
      </w:r>
      <w:r>
        <w:rPr>
          <w:rFonts w:cs="Arial"/>
        </w:rPr>
        <w:t xml:space="preserve"> finding of the review was that the events </w:t>
      </w:r>
      <w:r w:rsidR="00D3706B">
        <w:rPr>
          <w:rFonts w:cs="Arial"/>
        </w:rPr>
        <w:t>that prompted the review</w:t>
      </w:r>
      <w:r>
        <w:rPr>
          <w:rFonts w:cs="Arial"/>
        </w:rPr>
        <w:t xml:space="preserve"> occurred in the context of catastrophic failures in clinical governance at all </w:t>
      </w:r>
      <w:r w:rsidR="00D3706B">
        <w:rPr>
          <w:rFonts w:cs="Arial"/>
        </w:rPr>
        <w:t xml:space="preserve">organisational </w:t>
      </w:r>
      <w:r>
        <w:rPr>
          <w:rFonts w:cs="Arial"/>
        </w:rPr>
        <w:t xml:space="preserve">levels. Importantly, the review found that the conditions that led to these failings were not unique to </w:t>
      </w:r>
      <w:r w:rsidR="00D3706B">
        <w:rPr>
          <w:rFonts w:cs="Arial"/>
        </w:rPr>
        <w:t>any hospital,</w:t>
      </w:r>
      <w:r>
        <w:rPr>
          <w:rFonts w:cs="Arial"/>
        </w:rPr>
        <w:t xml:space="preserve"> and that there was a need to elevate safety and quality across the hospital system as a whole.</w:t>
      </w:r>
    </w:p>
    <w:p w:rsidR="00E46B2B" w:rsidRDefault="00170F65" w:rsidP="00E46B2B">
      <w:pPr>
        <w:pStyle w:val="DHHSbody"/>
        <w:rPr>
          <w:rFonts w:cs="Arial"/>
        </w:rPr>
      </w:pPr>
      <w:r>
        <w:t xml:space="preserve">The Minister chose implementation of a statutory duty of candour </w:t>
      </w:r>
      <w:r w:rsidR="00493A3F">
        <w:t xml:space="preserve">in Victoria </w:t>
      </w:r>
      <w:r>
        <w:t>as the</w:t>
      </w:r>
      <w:r w:rsidR="53B7704B">
        <w:t xml:space="preserve"> topic</w:t>
      </w:r>
      <w:r>
        <w:t xml:space="preserve"> for the Expert Working Group’s consideration. </w:t>
      </w:r>
      <w:r w:rsidR="00E46B2B">
        <w:t xml:space="preserve">The </w:t>
      </w:r>
      <w:r w:rsidR="00477399">
        <w:t xml:space="preserve">Minister asked the </w:t>
      </w:r>
      <w:r w:rsidR="00E46B2B">
        <w:t xml:space="preserve">Expert Working Group to consider </w:t>
      </w:r>
      <w:r w:rsidR="00493A3F">
        <w:t xml:space="preserve">this </w:t>
      </w:r>
      <w:r w:rsidR="00E46B2B">
        <w:t xml:space="preserve">in response to Recommendation 5.3 made in </w:t>
      </w:r>
      <w:r w:rsidR="00E46B2B" w:rsidRPr="3D1E2CE6">
        <w:rPr>
          <w:i/>
          <w:iCs/>
        </w:rPr>
        <w:t xml:space="preserve">Targeting Zero </w:t>
      </w:r>
      <w:r w:rsidR="00E46B2B">
        <w:t>(p. 201):</w:t>
      </w:r>
    </w:p>
    <w:p w:rsidR="00E46B2B" w:rsidRPr="009A15A7" w:rsidRDefault="00E46B2B" w:rsidP="003100C1">
      <w:pPr>
        <w:pStyle w:val="DHHSbody"/>
        <w:ind w:left="567" w:right="651"/>
        <w:rPr>
          <w:i/>
        </w:rPr>
      </w:pPr>
      <w:r w:rsidRPr="009A15A7">
        <w:rPr>
          <w:i/>
        </w:rPr>
        <w:t>That a statutory duty of candour be introduced that requires all hospitals to ensure that any person harmed while receiving care is informed of this fact and apologised to by an appropriately trained professional in a manner consistent with the national Open Disclosure Framework.</w:t>
      </w:r>
    </w:p>
    <w:p w:rsidR="00E46B2B" w:rsidRDefault="0E57942E" w:rsidP="00E46B2B">
      <w:pPr>
        <w:pStyle w:val="DHHSbody"/>
        <w:rPr>
          <w:rFonts w:cs="Arial"/>
        </w:rPr>
      </w:pPr>
      <w:r w:rsidRPr="3D1E2CE6">
        <w:rPr>
          <w:rFonts w:cs="Arial"/>
        </w:rPr>
        <w:t>T</w:t>
      </w:r>
      <w:r w:rsidR="009A15A7" w:rsidRPr="3D1E2CE6">
        <w:rPr>
          <w:rFonts w:cs="Arial"/>
        </w:rPr>
        <w:t>his was one of a suite</w:t>
      </w:r>
      <w:r w:rsidR="00E46B2B" w:rsidRPr="3D1E2CE6">
        <w:rPr>
          <w:rFonts w:cs="Arial"/>
        </w:rPr>
        <w:t xml:space="preserve"> of recommendations aimed at improving the flow of information in the health system to ensure deficiencies in care are identified and focus attention on opportunities for improvement. It recognised that the faith of the community in the hospital system </w:t>
      </w:r>
      <w:r w:rsidR="00D3706B" w:rsidRPr="3D1E2CE6">
        <w:rPr>
          <w:rFonts w:cs="Arial"/>
        </w:rPr>
        <w:t xml:space="preserve">must be built up </w:t>
      </w:r>
      <w:r w:rsidR="00E46B2B" w:rsidRPr="3D1E2CE6">
        <w:rPr>
          <w:rFonts w:cs="Arial"/>
        </w:rPr>
        <w:t>through strengthened accountability to patients and greater transparency about hospital safety and quality.</w:t>
      </w:r>
      <w:r w:rsidR="00170F65" w:rsidRPr="3D1E2CE6">
        <w:rPr>
          <w:rFonts w:cs="Arial"/>
        </w:rPr>
        <w:t xml:space="preserve"> </w:t>
      </w:r>
      <w:r w:rsidR="00E46B2B" w:rsidRPr="3D1E2CE6">
        <w:rPr>
          <w:rFonts w:cs="Arial"/>
        </w:rPr>
        <w:t>This recommendation was also made in the context of strong observations about the influence of organisational culture and the need to establish</w:t>
      </w:r>
      <w:r w:rsidR="00493A3F" w:rsidRPr="3D1E2CE6">
        <w:rPr>
          <w:rFonts w:cs="Arial"/>
        </w:rPr>
        <w:t xml:space="preserve"> a</w:t>
      </w:r>
      <w:r w:rsidR="00E46B2B" w:rsidRPr="3D1E2CE6">
        <w:rPr>
          <w:rFonts w:cs="Arial"/>
        </w:rPr>
        <w:t xml:space="preserve"> ‘just</w:t>
      </w:r>
      <w:r w:rsidR="00493A3F" w:rsidRPr="3D1E2CE6">
        <w:rPr>
          <w:rFonts w:cs="Arial"/>
        </w:rPr>
        <w:t>’</w:t>
      </w:r>
      <w:r w:rsidR="00E46B2B" w:rsidRPr="3D1E2CE6">
        <w:rPr>
          <w:rFonts w:cs="Arial"/>
        </w:rPr>
        <w:t xml:space="preserve"> culture within the health</w:t>
      </w:r>
      <w:r w:rsidR="005F7F47" w:rsidRPr="3D1E2CE6">
        <w:rPr>
          <w:rFonts w:cs="Arial"/>
        </w:rPr>
        <w:t xml:space="preserve">care </w:t>
      </w:r>
      <w:r w:rsidR="00E46B2B" w:rsidRPr="3D1E2CE6">
        <w:rPr>
          <w:rFonts w:cs="Arial"/>
        </w:rPr>
        <w:t>environment.</w:t>
      </w:r>
    </w:p>
    <w:p w:rsidR="00AA03FF" w:rsidRDefault="004C050D" w:rsidP="004C050D">
      <w:pPr>
        <w:pStyle w:val="Heading2"/>
      </w:pPr>
      <w:bookmarkStart w:id="7" w:name="_Toc47964996"/>
      <w:r>
        <w:t>Expert Working Group</w:t>
      </w:r>
      <w:bookmarkEnd w:id="7"/>
    </w:p>
    <w:bookmarkEnd w:id="5"/>
    <w:bookmarkEnd w:id="6"/>
    <w:p w:rsidR="00E46B2B" w:rsidRDefault="000E2395" w:rsidP="00E46B2B">
      <w:pPr>
        <w:pStyle w:val="DHHSbody"/>
      </w:pPr>
      <w:r>
        <w:t xml:space="preserve">The Expert Working </w:t>
      </w:r>
      <w:r w:rsidR="5D6F5D27">
        <w:t>Group</w:t>
      </w:r>
      <w:r w:rsidR="5D2D164D">
        <w:t>’s term</w:t>
      </w:r>
      <w:r w:rsidR="00546109">
        <w:t xml:space="preserve"> </w:t>
      </w:r>
      <w:r w:rsidR="75628916">
        <w:t>ceased</w:t>
      </w:r>
      <w:r w:rsidR="004C050D">
        <w:t xml:space="preserve"> in 2018. The Expert Working Group </w:t>
      </w:r>
      <w:r>
        <w:t>comprise</w:t>
      </w:r>
      <w:r w:rsidR="00FB0510">
        <w:t>d</w:t>
      </w:r>
      <w:r>
        <w:t xml:space="preserve"> representatives of health service providers, health service consumers and clinical experts. Its </w:t>
      </w:r>
      <w:r w:rsidR="00170F65">
        <w:t xml:space="preserve">members </w:t>
      </w:r>
      <w:r w:rsidR="00FB0510">
        <w:t>were</w:t>
      </w:r>
      <w:r w:rsidR="00E46B2B">
        <w:t>:</w:t>
      </w:r>
    </w:p>
    <w:p w:rsidR="00E46B2B" w:rsidRDefault="00E46B2B" w:rsidP="008E66B5">
      <w:pPr>
        <w:pStyle w:val="DHHSbullet1"/>
        <w:numPr>
          <w:ilvl w:val="0"/>
          <w:numId w:val="6"/>
        </w:numPr>
      </w:pPr>
      <w:r>
        <w:t>Mr Michael Gorton (AM) (Chair), Partner, Russell Kennedy; Chair, Board of Alfred Health; Member, Board of Ambulance Victoria; Chair, Australian Health Practitioner Regulation Agency</w:t>
      </w:r>
    </w:p>
    <w:p w:rsidR="00E46B2B" w:rsidRDefault="00E46B2B" w:rsidP="008E66B5">
      <w:pPr>
        <w:pStyle w:val="DHHSbullet1"/>
        <w:numPr>
          <w:ilvl w:val="0"/>
          <w:numId w:val="6"/>
        </w:numPr>
      </w:pPr>
      <w:r>
        <w:t>Ms Sophy Athan, Chair, Board of Health Issues Centre; Member, Victorian Clinical Council</w:t>
      </w:r>
    </w:p>
    <w:p w:rsidR="00E46B2B" w:rsidRDefault="00E46B2B" w:rsidP="008E66B5">
      <w:pPr>
        <w:pStyle w:val="DHHSbullet1"/>
        <w:numPr>
          <w:ilvl w:val="0"/>
          <w:numId w:val="6"/>
        </w:numPr>
      </w:pPr>
      <w:r>
        <w:t>Dr Michael Walsh, Chief Executive Officer, Cabrini Health</w:t>
      </w:r>
    </w:p>
    <w:p w:rsidR="00E46B2B" w:rsidRDefault="00E46B2B" w:rsidP="008E66B5">
      <w:pPr>
        <w:pStyle w:val="DHHSbullet1"/>
        <w:numPr>
          <w:ilvl w:val="0"/>
          <w:numId w:val="6"/>
        </w:numPr>
      </w:pPr>
      <w:bookmarkStart w:id="8" w:name="_Hlk41431592"/>
      <w:r>
        <w:t>Ms Jan Child, Chief Executive Officer, Bass Coast Health Service</w:t>
      </w:r>
    </w:p>
    <w:p w:rsidR="00E46B2B" w:rsidRDefault="00E46B2B" w:rsidP="008E66B5">
      <w:pPr>
        <w:pStyle w:val="DHHSbullet1"/>
        <w:numPr>
          <w:ilvl w:val="0"/>
          <w:numId w:val="6"/>
        </w:numPr>
      </w:pPr>
      <w:bookmarkStart w:id="9" w:name="_Hlk41431754"/>
      <w:bookmarkEnd w:id="8"/>
      <w:r>
        <w:t xml:space="preserve">Dr John Ballard, Administrator, Djerriwarrh </w:t>
      </w:r>
      <w:bookmarkStart w:id="10" w:name="_Hlk41431921"/>
      <w:bookmarkEnd w:id="9"/>
      <w:r>
        <w:t>Health Services</w:t>
      </w:r>
      <w:bookmarkEnd w:id="10"/>
      <w:r>
        <w:t>; Associate Vice-Chancellor (Victoria), Australian Catholic University</w:t>
      </w:r>
    </w:p>
    <w:p w:rsidR="00E46B2B" w:rsidRDefault="00E46B2B" w:rsidP="008E66B5">
      <w:pPr>
        <w:pStyle w:val="DHHSbullet1"/>
        <w:numPr>
          <w:ilvl w:val="0"/>
          <w:numId w:val="6"/>
        </w:numPr>
      </w:pPr>
      <w:r>
        <w:t>Dr Victoria Atkinson, Group General Manager Clinical Governance/Chief Medical Officer, St Vincent’s Hospital; Deputy Chair, Board of Better Care Victoria; Member, Board of Alfred Health</w:t>
      </w:r>
    </w:p>
    <w:p w:rsidR="00E46B2B" w:rsidRDefault="00E46B2B" w:rsidP="008E66B5">
      <w:pPr>
        <w:pStyle w:val="DHHSbullet1"/>
        <w:numPr>
          <w:ilvl w:val="0"/>
          <w:numId w:val="6"/>
        </w:numPr>
      </w:pPr>
      <w:bookmarkStart w:id="11" w:name="_Hlk41432534"/>
      <w:r>
        <w:t>Dr Joanna Flynn</w:t>
      </w:r>
      <w:bookmarkEnd w:id="11"/>
      <w:r>
        <w:t xml:space="preserve">, Chair, Medical Board of Australia; Chair, Board of Eastern Health; </w:t>
      </w:r>
      <w:bookmarkStart w:id="12" w:name="_Hlk41432448"/>
      <w:r>
        <w:t>Member, Board of Ambulance Victoria</w:t>
      </w:r>
    </w:p>
    <w:p w:rsidR="00E46B2B" w:rsidRDefault="00E46B2B" w:rsidP="008E66B5">
      <w:pPr>
        <w:pStyle w:val="DHHSbullet1lastline"/>
        <w:numPr>
          <w:ilvl w:val="1"/>
          <w:numId w:val="6"/>
        </w:numPr>
      </w:pPr>
      <w:bookmarkStart w:id="13" w:name="_Hlk41432623"/>
      <w:bookmarkEnd w:id="12"/>
      <w:r>
        <w:t>Ms Karen Cusack</w:t>
      </w:r>
      <w:bookmarkEnd w:id="13"/>
      <w:r>
        <w:t>, Health Complaints Commissioner.</w:t>
      </w:r>
    </w:p>
    <w:p w:rsidR="004C050D" w:rsidRDefault="009F0F8F" w:rsidP="009F0F8F">
      <w:pPr>
        <w:pStyle w:val="Heading2"/>
      </w:pPr>
      <w:bookmarkStart w:id="14" w:name="_Toc47964997"/>
      <w:r>
        <w:lastRenderedPageBreak/>
        <w:t>Public consultation</w:t>
      </w:r>
      <w:bookmarkEnd w:id="14"/>
      <w:r>
        <w:t xml:space="preserve"> </w:t>
      </w:r>
    </w:p>
    <w:p w:rsidR="00E46B2B" w:rsidRDefault="000E601A" w:rsidP="00E46B2B">
      <w:pPr>
        <w:pStyle w:val="DHHSbody"/>
      </w:pPr>
      <w:r>
        <w:t xml:space="preserve">In late 2017, the </w:t>
      </w:r>
      <w:r w:rsidR="00E46B2B">
        <w:t>Expert Working Group</w:t>
      </w:r>
      <w:r>
        <w:t xml:space="preserve"> conducted a public consultation</w:t>
      </w:r>
      <w:r w:rsidR="00493A3F">
        <w:t xml:space="preserve"> process</w:t>
      </w:r>
      <w:r>
        <w:t xml:space="preserve">. Its consultation paper was released on </w:t>
      </w:r>
      <w:r w:rsidR="00E46B2B">
        <w:t>2 November 2017</w:t>
      </w:r>
      <w:r>
        <w:t xml:space="preserve"> and distribute</w:t>
      </w:r>
      <w:r w:rsidR="00493A3F">
        <w:t>d</w:t>
      </w:r>
      <w:r>
        <w:t xml:space="preserve"> to a broad range of health sector and consumer stakeholders. It posed the following questions</w:t>
      </w:r>
      <w:r w:rsidR="00E46B2B">
        <w:t>:</w:t>
      </w:r>
    </w:p>
    <w:p w:rsidR="00E46B2B" w:rsidRDefault="00E46B2B" w:rsidP="008E66B5">
      <w:pPr>
        <w:pStyle w:val="DHHSbullet1"/>
        <w:numPr>
          <w:ilvl w:val="0"/>
          <w:numId w:val="6"/>
        </w:numPr>
      </w:pPr>
      <w:r>
        <w:rPr>
          <w:i/>
        </w:rPr>
        <w:t>The scope of the duty</w:t>
      </w:r>
      <w:r>
        <w:t xml:space="preserve"> – which healthcare providers should be subject to the statutory duty?</w:t>
      </w:r>
    </w:p>
    <w:p w:rsidR="00E46B2B" w:rsidRDefault="00E46B2B" w:rsidP="008E66B5">
      <w:pPr>
        <w:pStyle w:val="DHHSbullet1"/>
        <w:numPr>
          <w:ilvl w:val="0"/>
          <w:numId w:val="6"/>
        </w:numPr>
      </w:pPr>
      <w:r>
        <w:rPr>
          <w:i/>
        </w:rPr>
        <w:t>When the duty applies</w:t>
      </w:r>
      <w:r>
        <w:t xml:space="preserve"> – what should be the trigger for the statutory duty to apply?</w:t>
      </w:r>
    </w:p>
    <w:p w:rsidR="00E46B2B" w:rsidRDefault="00E46B2B" w:rsidP="008E66B5">
      <w:pPr>
        <w:pStyle w:val="DHHSbullet1"/>
        <w:numPr>
          <w:ilvl w:val="0"/>
          <w:numId w:val="6"/>
        </w:numPr>
      </w:pPr>
      <w:r>
        <w:rPr>
          <w:i/>
        </w:rPr>
        <w:t>Requirements of the duty</w:t>
      </w:r>
      <w:r>
        <w:t xml:space="preserve"> – what elements of the process should be legislated?</w:t>
      </w:r>
    </w:p>
    <w:p w:rsidR="00E46B2B" w:rsidRDefault="00E46B2B" w:rsidP="008E66B5">
      <w:pPr>
        <w:pStyle w:val="DHHSbullet1"/>
        <w:numPr>
          <w:ilvl w:val="0"/>
          <w:numId w:val="6"/>
        </w:numPr>
      </w:pPr>
      <w:r>
        <w:rPr>
          <w:i/>
        </w:rPr>
        <w:t>Barriers and enablers</w:t>
      </w:r>
      <w:r>
        <w:t xml:space="preserve"> – what is required to ensure that the statutory duty is effective?</w:t>
      </w:r>
    </w:p>
    <w:p w:rsidR="00E46B2B" w:rsidRDefault="00E46B2B" w:rsidP="008E66B5">
      <w:pPr>
        <w:pStyle w:val="DHHSbullet1"/>
        <w:numPr>
          <w:ilvl w:val="0"/>
          <w:numId w:val="6"/>
        </w:numPr>
      </w:pPr>
      <w:r>
        <w:rPr>
          <w:i/>
        </w:rPr>
        <w:t>Legal protections</w:t>
      </w:r>
      <w:r>
        <w:t xml:space="preserve"> – are changes to apology laws or other protections required?</w:t>
      </w:r>
    </w:p>
    <w:p w:rsidR="00E46B2B" w:rsidRDefault="00E46B2B" w:rsidP="008E66B5">
      <w:pPr>
        <w:pStyle w:val="DHHSbullet1lastline"/>
        <w:numPr>
          <w:ilvl w:val="1"/>
          <w:numId w:val="6"/>
        </w:numPr>
      </w:pPr>
      <w:r>
        <w:rPr>
          <w:i/>
        </w:rPr>
        <w:t>Monitoring and compliance</w:t>
      </w:r>
      <w:r>
        <w:t xml:space="preserve"> – how should breaches of the duty be identified and responded to?</w:t>
      </w:r>
    </w:p>
    <w:p w:rsidR="00E46B2B" w:rsidRDefault="000E601A" w:rsidP="00E46B2B">
      <w:pPr>
        <w:pStyle w:val="DHHSbody"/>
      </w:pPr>
      <w:r>
        <w:t xml:space="preserve">Despite the short </w:t>
      </w:r>
      <w:r w:rsidR="00E46B2B">
        <w:t xml:space="preserve">timeframe available for submissions to be made, </w:t>
      </w:r>
      <w:r>
        <w:t>there was significant interest in the topic, with a total of</w:t>
      </w:r>
      <w:r w:rsidR="00E46B2B">
        <w:t xml:space="preserve"> 61 written submissions received from 18 individuals and 43 organisations</w:t>
      </w:r>
      <w:r>
        <w:t xml:space="preserve"> </w:t>
      </w:r>
      <w:r w:rsidR="00E46B2B">
        <w:t>includ</w:t>
      </w:r>
      <w:r>
        <w:t>ing</w:t>
      </w:r>
      <w:r w:rsidR="00E46B2B">
        <w:t xml:space="preserve"> health service providers, regulators, unions and professional associations, insurers, legal firms, ombudsmen/commissioners and peak bodies representing providers and consumers. </w:t>
      </w:r>
    </w:p>
    <w:p w:rsidR="009F0F8F" w:rsidRDefault="009F0F8F" w:rsidP="009F0F8F">
      <w:pPr>
        <w:pStyle w:val="Heading2"/>
      </w:pPr>
      <w:bookmarkStart w:id="15" w:name="_Toc47964998"/>
      <w:r>
        <w:t>Report on statutory duty of candour</w:t>
      </w:r>
      <w:bookmarkEnd w:id="15"/>
    </w:p>
    <w:p w:rsidR="000E2395" w:rsidRDefault="000E2395" w:rsidP="000E2395">
      <w:pPr>
        <w:pStyle w:val="DHHSbody"/>
      </w:pPr>
      <w:r>
        <w:t xml:space="preserve">The Expert Working Group submitted </w:t>
      </w:r>
      <w:r w:rsidR="009E2D9F">
        <w:t>a comprehensive report to the Minister</w:t>
      </w:r>
      <w:r>
        <w:t xml:space="preserve">. The report presents consultation and research findings and makes recommendations about an appropriate statutory model for the introduction of a duty of candour. </w:t>
      </w:r>
      <w:r w:rsidR="00493A3F">
        <w:t>Its</w:t>
      </w:r>
      <w:r>
        <w:t xml:space="preserve"> advice covers:</w:t>
      </w:r>
    </w:p>
    <w:p w:rsidR="000E2395" w:rsidRDefault="000E2395" w:rsidP="008E66B5">
      <w:pPr>
        <w:pStyle w:val="DHHSbullet1"/>
        <w:numPr>
          <w:ilvl w:val="0"/>
          <w:numId w:val="6"/>
        </w:numPr>
      </w:pPr>
      <w:r>
        <w:t>the scope of the duty and thresholds to apply</w:t>
      </w:r>
    </w:p>
    <w:p w:rsidR="000E2395" w:rsidRDefault="000E2395" w:rsidP="008E66B5">
      <w:pPr>
        <w:pStyle w:val="DHHSbullet1"/>
        <w:numPr>
          <w:ilvl w:val="0"/>
          <w:numId w:val="6"/>
        </w:numPr>
      </w:pPr>
      <w:r>
        <w:t>the processes, compliance measures and protections to accompany such an obligation</w:t>
      </w:r>
    </w:p>
    <w:p w:rsidR="000E2395" w:rsidRDefault="000E2395" w:rsidP="008E66B5">
      <w:pPr>
        <w:pStyle w:val="DHHSbullet1lastline"/>
        <w:numPr>
          <w:ilvl w:val="1"/>
          <w:numId w:val="6"/>
        </w:numPr>
      </w:pPr>
      <w:r>
        <w:t>the non-legislative supports required to implement the statutory change.</w:t>
      </w:r>
    </w:p>
    <w:p w:rsidR="000E2395" w:rsidRDefault="00855F44" w:rsidP="000E2395">
      <w:pPr>
        <w:pStyle w:val="DHHSbody"/>
      </w:pPr>
      <w:r>
        <w:t xml:space="preserve">The Victorian </w:t>
      </w:r>
      <w:r w:rsidR="00B92B44">
        <w:t>G</w:t>
      </w:r>
      <w:r>
        <w:t xml:space="preserve">overnment has progressed </w:t>
      </w:r>
      <w:r w:rsidR="252219FF">
        <w:t>several</w:t>
      </w:r>
      <w:r>
        <w:t xml:space="preserve"> other legislative reforms related to </w:t>
      </w:r>
      <w:r w:rsidRPr="3D1E2CE6">
        <w:rPr>
          <w:i/>
          <w:iCs/>
        </w:rPr>
        <w:t xml:space="preserve">Targeting Zero </w:t>
      </w:r>
      <w:r w:rsidR="00A74A9F">
        <w:t xml:space="preserve">since 2017 </w:t>
      </w:r>
      <w:r w:rsidR="00046D4F">
        <w:t xml:space="preserve">and </w:t>
      </w:r>
      <w:r>
        <w:t xml:space="preserve">is now in a position to respond to the report. </w:t>
      </w:r>
      <w:r w:rsidR="000E2395">
        <w:t xml:space="preserve">This </w:t>
      </w:r>
      <w:r w:rsidR="00493A3F">
        <w:t xml:space="preserve">document </w:t>
      </w:r>
      <w:r w:rsidR="000E2395">
        <w:t>sets out the Victorian Government’s response to the Expert Working Group’s report.</w:t>
      </w:r>
    </w:p>
    <w:p w:rsidR="000E2395" w:rsidRDefault="000E2395" w:rsidP="00E46B2B">
      <w:pPr>
        <w:pStyle w:val="DHHSbody"/>
      </w:pPr>
    </w:p>
    <w:p w:rsidR="00442986" w:rsidRDefault="00442986">
      <w:pPr>
        <w:rPr>
          <w:rFonts w:ascii="Arial" w:eastAsia="Times" w:hAnsi="Arial"/>
        </w:rPr>
      </w:pPr>
      <w:r>
        <w:br w:type="page"/>
      </w:r>
    </w:p>
    <w:p w:rsidR="00C26541" w:rsidRDefault="00442986" w:rsidP="00C26541">
      <w:pPr>
        <w:pStyle w:val="Heading1"/>
      </w:pPr>
      <w:bookmarkStart w:id="16" w:name="_Hlk40281513"/>
      <w:bookmarkStart w:id="17" w:name="_Toc47964999"/>
      <w:r>
        <w:lastRenderedPageBreak/>
        <w:t>Response to the Expert Working Group’s report</w:t>
      </w:r>
      <w:bookmarkEnd w:id="16"/>
      <w:bookmarkEnd w:id="17"/>
    </w:p>
    <w:p w:rsidR="00C26541" w:rsidRPr="00C26541" w:rsidRDefault="00C26541" w:rsidP="00C26541">
      <w:pPr>
        <w:pStyle w:val="Heading2"/>
      </w:pPr>
      <w:bookmarkStart w:id="18" w:name="_Toc47965000"/>
      <w:r>
        <w:t>Supporting the reforms in principle</w:t>
      </w:r>
      <w:bookmarkEnd w:id="18"/>
    </w:p>
    <w:p w:rsidR="00E75703" w:rsidRDefault="00E75703" w:rsidP="00E75703">
      <w:pPr>
        <w:pStyle w:val="DHHSbody"/>
      </w:pPr>
      <w:r>
        <w:t xml:space="preserve">The fundamental purpose of a statutory duty of candour – and open disclosure in general – is to engender a culture of honesty and openness in our hospitals and to improve the quality of health care, with a focus on safety and person-centeredness. </w:t>
      </w:r>
    </w:p>
    <w:p w:rsidR="00E75703" w:rsidRDefault="00E75703" w:rsidP="00E75703">
      <w:pPr>
        <w:pStyle w:val="DHHSbody"/>
      </w:pPr>
      <w:r>
        <w:t>We agree with the Expert Working Group that Victorians should have confidence in the safety and quality of our health system and – in the unfortunate event that harm does occur – have a right to an apology, an explanation of what hap</w:t>
      </w:r>
      <w:bookmarkStart w:id="19" w:name="_GoBack"/>
      <w:bookmarkEnd w:id="19"/>
      <w:r>
        <w:t>pened and why, and to be informed of lessons learnt and efforts made to ensure it never happens again.</w:t>
      </w:r>
    </w:p>
    <w:p w:rsidR="00FB0510" w:rsidRDefault="00FB0510" w:rsidP="00E75703">
      <w:pPr>
        <w:pStyle w:val="DHHSbody"/>
      </w:pPr>
      <w:r>
        <w:t>The Expert Working Group’s consultation process has yielded some valuable insights. The reforms it proposes</w:t>
      </w:r>
      <w:r w:rsidRPr="00EC6AA0">
        <w:t xml:space="preserve"> </w:t>
      </w:r>
      <w:r>
        <w:t xml:space="preserve">represent </w:t>
      </w:r>
      <w:r w:rsidRPr="00EC6AA0">
        <w:t>a</w:t>
      </w:r>
      <w:r w:rsidR="00855F44">
        <w:t xml:space="preserve">n important </w:t>
      </w:r>
      <w:r w:rsidRPr="00EC6AA0">
        <w:t xml:space="preserve">step in improving </w:t>
      </w:r>
      <w:r>
        <w:t xml:space="preserve">the </w:t>
      </w:r>
      <w:r w:rsidRPr="00EC6AA0">
        <w:t>quality and safety of services across Victoria’s hospital system and reducing avoidable harm</w:t>
      </w:r>
      <w:r>
        <w:t xml:space="preserve"> to consumers</w:t>
      </w:r>
      <w:r w:rsidRPr="00EC6AA0">
        <w:t xml:space="preserve">. </w:t>
      </w:r>
      <w:r>
        <w:t xml:space="preserve">They would implement the </w:t>
      </w:r>
      <w:r w:rsidRPr="007E517C">
        <w:rPr>
          <w:i/>
        </w:rPr>
        <w:t>Targeting Zero</w:t>
      </w:r>
      <w:r>
        <w:t xml:space="preserve"> </w:t>
      </w:r>
      <w:r w:rsidRPr="00EC6AA0">
        <w:t>recommendation for an Australian-f</w:t>
      </w:r>
      <w:r>
        <w:t xml:space="preserve">irst statutory duty of candour. </w:t>
      </w:r>
    </w:p>
    <w:p w:rsidR="00855F44" w:rsidRDefault="00493A3F" w:rsidP="00630C84">
      <w:pPr>
        <w:pStyle w:val="DHHSbody"/>
      </w:pPr>
      <w:r>
        <w:t>The Expert Working Group makes</w:t>
      </w:r>
      <w:r w:rsidR="004120D8">
        <w:t xml:space="preserve"> 27 recommendations in total. While most are squarely about legislative reform, </w:t>
      </w:r>
      <w:r w:rsidR="7DD151D0">
        <w:t>several</w:t>
      </w:r>
      <w:r w:rsidR="004120D8">
        <w:t xml:space="preserve"> recommendations </w:t>
      </w:r>
      <w:r w:rsidR="00D3706B">
        <w:t xml:space="preserve">recognise that </w:t>
      </w:r>
      <w:r w:rsidR="004120D8">
        <w:t>legislative change</w:t>
      </w:r>
      <w:r w:rsidR="005F7F47">
        <w:t xml:space="preserve"> must be accompanied by</w:t>
      </w:r>
      <w:r w:rsidR="004120D8">
        <w:t xml:space="preserve"> non-legislative enablers</w:t>
      </w:r>
      <w:r w:rsidR="00D3706B">
        <w:t xml:space="preserve"> and supports,</w:t>
      </w:r>
      <w:r w:rsidR="004120D8">
        <w:t xml:space="preserve"> </w:t>
      </w:r>
      <w:r w:rsidR="00D3706B">
        <w:t>in order to successfully achieve its objectives</w:t>
      </w:r>
      <w:r w:rsidR="004120D8">
        <w:t xml:space="preserve">. </w:t>
      </w:r>
    </w:p>
    <w:p w:rsidR="00E75703" w:rsidRDefault="00855F44" w:rsidP="00855F44">
      <w:pPr>
        <w:pStyle w:val="DHHSbody"/>
      </w:pPr>
      <w:r>
        <w:t xml:space="preserve">The government has considered the Expert Working Group’s report and supports in principle </w:t>
      </w:r>
      <w:r w:rsidR="20DEA7C2">
        <w:t>all</w:t>
      </w:r>
      <w:r>
        <w:t xml:space="preserve"> 27 recommendations. </w:t>
      </w:r>
      <w:r w:rsidR="00253703">
        <w:t xml:space="preserve">There will be further consultation sought before </w:t>
      </w:r>
      <w:r>
        <w:t xml:space="preserve">introducing </w:t>
      </w:r>
      <w:r w:rsidR="00253703">
        <w:t>the</w:t>
      </w:r>
      <w:r>
        <w:t xml:space="preserve"> legislative reforms that reflect the report’s recommendations</w:t>
      </w:r>
      <w:r w:rsidR="005A5624">
        <w:t xml:space="preserve"> into Parliament</w:t>
      </w:r>
      <w:r>
        <w:t xml:space="preserve">. </w:t>
      </w:r>
      <w:r w:rsidR="005A5624">
        <w:t xml:space="preserve">This </w:t>
      </w:r>
      <w:r w:rsidR="00503FB9">
        <w:t>consultation,</w:t>
      </w:r>
      <w:r w:rsidR="00E75703">
        <w:t xml:space="preserve"> </w:t>
      </w:r>
      <w:r w:rsidR="00253703">
        <w:t xml:space="preserve">however, </w:t>
      </w:r>
      <w:r w:rsidR="00E75703">
        <w:t>will not be duplicative of the Expert Working Group’s work.</w:t>
      </w:r>
    </w:p>
    <w:p w:rsidR="009C5DEF" w:rsidRDefault="009C5DEF" w:rsidP="009C5DEF">
      <w:pPr>
        <w:pStyle w:val="DHHSbody"/>
      </w:pPr>
      <w:bookmarkStart w:id="20" w:name="_Hlk40332627"/>
      <w:r>
        <w:t xml:space="preserve">The anticipated benefits of the recommendations made by the Expert Working Group are clear and compelling: </w:t>
      </w:r>
    </w:p>
    <w:p w:rsidR="009C5DEF" w:rsidRDefault="009C5DEF" w:rsidP="009C5DEF">
      <w:pPr>
        <w:pStyle w:val="DHHSbullet1"/>
        <w:numPr>
          <w:ilvl w:val="0"/>
          <w:numId w:val="20"/>
        </w:numPr>
      </w:pPr>
      <w:r w:rsidRPr="009C5DEF">
        <w:rPr>
          <w:i/>
        </w:rPr>
        <w:t>improved consumer experience and outcomes in relation to their health care, through provision of timely and accurate information to consumers in an effective and constructive way</w:t>
      </w:r>
      <w:r>
        <w:t xml:space="preserve"> – open and honest communication with consumers and their families following healthcare incidents is designed to contribute to a more patient-centred approach to healthcare provision and thereby improve patient experience, patient outcomes and quality of service provision. </w:t>
      </w:r>
    </w:p>
    <w:p w:rsidR="009C5DEF" w:rsidRDefault="009C5DEF" w:rsidP="009C5DEF">
      <w:pPr>
        <w:pStyle w:val="DHHSbullet1"/>
        <w:numPr>
          <w:ilvl w:val="0"/>
          <w:numId w:val="20"/>
        </w:numPr>
      </w:pPr>
      <w:r w:rsidRPr="3D1E2CE6">
        <w:rPr>
          <w:i/>
          <w:iCs/>
        </w:rPr>
        <w:t xml:space="preserve">potential improvements to the quality and safety of care provided by the entity, as a result of increased reporting and learning practices resulting from serious incidents (which is more likely in a ‘just culture’ environment) </w:t>
      </w:r>
      <w:r w:rsidR="006F1BAC">
        <w:t>–</w:t>
      </w:r>
      <w:r>
        <w:t xml:space="preserve"> in an open and transparent culture, staff will be more likely to spend time learning from incidents rather than trying to hide or defend themselves</w:t>
      </w:r>
      <w:r w:rsidR="00253703">
        <w:t>.</w:t>
      </w:r>
    </w:p>
    <w:p w:rsidR="00BB4923" w:rsidRDefault="000C3D06" w:rsidP="00BB4923">
      <w:pPr>
        <w:pStyle w:val="Heading2"/>
      </w:pPr>
      <w:bookmarkStart w:id="21" w:name="_Toc47965001"/>
      <w:bookmarkEnd w:id="20"/>
      <w:r>
        <w:t>Further consultation to d</w:t>
      </w:r>
      <w:r w:rsidR="008B2479">
        <w:t>esign the</w:t>
      </w:r>
      <w:r w:rsidR="00BB4923">
        <w:t xml:space="preserve"> reforms</w:t>
      </w:r>
      <w:bookmarkEnd w:id="21"/>
    </w:p>
    <w:p w:rsidR="00E75703" w:rsidRDefault="00E75703" w:rsidP="00855F44">
      <w:pPr>
        <w:pStyle w:val="DHHSbody"/>
      </w:pPr>
      <w:r>
        <w:t xml:space="preserve">While the report provides a valuable framework for the reforms, further work is required to ensure we get the balance right in their design. The government considers it prudent to rigorously test the proposed reforms with the public </w:t>
      </w:r>
      <w:r w:rsidR="00D226F2">
        <w:t xml:space="preserve">and </w:t>
      </w:r>
      <w:r>
        <w:t xml:space="preserve">relevant stakeholders in the course of finalising the detail. We will consult and engage further with sector and consumer stakeholders regarding issues and concerns related to the legislative reforms. This will help to ensure that the detailed design of the reforms reflects and achieves the government’s policy intention.  </w:t>
      </w:r>
    </w:p>
    <w:p w:rsidR="009F0F8F" w:rsidRDefault="00855F44" w:rsidP="00855F44">
      <w:pPr>
        <w:pStyle w:val="DHHSbody"/>
      </w:pPr>
      <w:r>
        <w:t>Consultation will occur in two stages:</w:t>
      </w:r>
    </w:p>
    <w:p w:rsidR="00855F44" w:rsidRDefault="009F0F8F" w:rsidP="009F0F8F">
      <w:pPr>
        <w:pStyle w:val="DHHSbody"/>
        <w:numPr>
          <w:ilvl w:val="0"/>
          <w:numId w:val="16"/>
        </w:numPr>
      </w:pPr>
      <w:r>
        <w:t xml:space="preserve">to inform the development of </w:t>
      </w:r>
      <w:r w:rsidRPr="00A72B32">
        <w:rPr>
          <w:i/>
        </w:rPr>
        <w:t xml:space="preserve">Victorian </w:t>
      </w:r>
      <w:r w:rsidR="00A72B32" w:rsidRPr="00A72B32">
        <w:rPr>
          <w:i/>
        </w:rPr>
        <w:t xml:space="preserve">candour and open disclosure </w:t>
      </w:r>
      <w:r w:rsidRPr="00A72B32">
        <w:rPr>
          <w:i/>
        </w:rPr>
        <w:t>guidelines</w:t>
      </w:r>
      <w:r>
        <w:t xml:space="preserve"> and proposed protections for clinical incident reviews (</w:t>
      </w:r>
      <w:r w:rsidR="009E7986">
        <w:t>in</w:t>
      </w:r>
      <w:r w:rsidR="00583AB6">
        <w:t xml:space="preserve"> </w:t>
      </w:r>
      <w:r>
        <w:t>2020)</w:t>
      </w:r>
    </w:p>
    <w:p w:rsidR="00855F44" w:rsidRDefault="009F0F8F" w:rsidP="009F0F8F">
      <w:pPr>
        <w:pStyle w:val="DHHSbody"/>
        <w:numPr>
          <w:ilvl w:val="0"/>
          <w:numId w:val="16"/>
        </w:numPr>
      </w:pPr>
      <w:r>
        <w:t>t</w:t>
      </w:r>
      <w:r w:rsidR="00855F44">
        <w:t xml:space="preserve">o </w:t>
      </w:r>
      <w:r>
        <w:t xml:space="preserve">provide feedback on </w:t>
      </w:r>
      <w:r w:rsidR="00F331DA">
        <w:t xml:space="preserve">the </w:t>
      </w:r>
      <w:r w:rsidR="00855F44">
        <w:t xml:space="preserve">exposure draft of legislation </w:t>
      </w:r>
      <w:r>
        <w:t>and the</w:t>
      </w:r>
      <w:r w:rsidR="00F331DA">
        <w:t xml:space="preserve"> associated</w:t>
      </w:r>
      <w:r>
        <w:t xml:space="preserve"> guidelines (anticipated </w:t>
      </w:r>
      <w:r w:rsidR="00583AB6">
        <w:t xml:space="preserve">to occur in </w:t>
      </w:r>
      <w:r>
        <w:t>2021)</w:t>
      </w:r>
      <w:r w:rsidR="00583AB6">
        <w:t>.</w:t>
      </w:r>
    </w:p>
    <w:p w:rsidR="00493A3F" w:rsidRDefault="00855F44" w:rsidP="00855F44">
      <w:pPr>
        <w:pStyle w:val="Heading2"/>
      </w:pPr>
      <w:bookmarkStart w:id="22" w:name="_Toc47965002"/>
      <w:r>
        <w:lastRenderedPageBreak/>
        <w:t>Statutory duty of candour</w:t>
      </w:r>
      <w:bookmarkEnd w:id="22"/>
      <w:r w:rsidR="004120D8">
        <w:t xml:space="preserve"> </w:t>
      </w:r>
    </w:p>
    <w:p w:rsidR="00FB0510" w:rsidRDefault="00855F44" w:rsidP="00FB0510">
      <w:pPr>
        <w:pStyle w:val="DHHSbody"/>
      </w:pPr>
      <w:r>
        <w:t>T</w:t>
      </w:r>
      <w:r w:rsidR="00FB0510">
        <w:t xml:space="preserve">he government intends to </w:t>
      </w:r>
      <w:r w:rsidR="00FB0510" w:rsidRPr="00EC6AA0">
        <w:t xml:space="preserve">create a new statutory duty of candour, which would require </w:t>
      </w:r>
      <w:r w:rsidR="00FB0510">
        <w:t>specified health service entities</w:t>
      </w:r>
      <w:r w:rsidR="00FB0510" w:rsidRPr="00EC6AA0">
        <w:t xml:space="preserve">, in the course of open disclosure, </w:t>
      </w:r>
      <w:r w:rsidR="00FB0510">
        <w:t xml:space="preserve">to </w:t>
      </w:r>
      <w:r w:rsidR="00FB0510" w:rsidRPr="00EC6AA0">
        <w:t>provide consumers impacted by a serious adve</w:t>
      </w:r>
      <w:r w:rsidR="00FB0510">
        <w:t xml:space="preserve">rse healthcare incident with: </w:t>
      </w:r>
    </w:p>
    <w:p w:rsidR="00FB0510" w:rsidRDefault="00FB0510" w:rsidP="00FB0510">
      <w:pPr>
        <w:pStyle w:val="DHHSbullet1"/>
      </w:pPr>
      <w:r w:rsidRPr="00EC6AA0">
        <w:t>the facts about what occu</w:t>
      </w:r>
      <w:r>
        <w:t>rred</w:t>
      </w:r>
    </w:p>
    <w:p w:rsidR="00FB0510" w:rsidRDefault="00FB0510" w:rsidP="00FB0510">
      <w:pPr>
        <w:pStyle w:val="DHHSbullet1"/>
      </w:pPr>
      <w:r>
        <w:t>an apology</w:t>
      </w:r>
    </w:p>
    <w:p w:rsidR="00FB0510" w:rsidRDefault="00FB0510" w:rsidP="00FB0510">
      <w:pPr>
        <w:pStyle w:val="DHHSbullet1lastline"/>
      </w:pPr>
      <w:r>
        <w:t xml:space="preserve">a description of the health service entity’s response and the </w:t>
      </w:r>
      <w:r w:rsidRPr="00EC6AA0">
        <w:t>improvements being put in place following the incident</w:t>
      </w:r>
      <w:r>
        <w:t xml:space="preserve">. </w:t>
      </w:r>
    </w:p>
    <w:p w:rsidR="009F0F8F" w:rsidRDefault="009F0F8F" w:rsidP="00FB0510">
      <w:pPr>
        <w:pStyle w:val="DHHSbody"/>
      </w:pPr>
      <w:r>
        <w:t>The statutory duty of candour will not replace current obligations to practice open disclosure under</w:t>
      </w:r>
      <w:r w:rsidR="00560929">
        <w:t xml:space="preserve"> the</w:t>
      </w:r>
      <w:r>
        <w:t xml:space="preserve"> existing Australian Open Disclosure Framework. Rather, </w:t>
      </w:r>
      <w:r w:rsidR="00E75703">
        <w:t>the duty will be</w:t>
      </w:r>
      <w:r>
        <w:t xml:space="preserve"> </w:t>
      </w:r>
      <w:r w:rsidR="00560929">
        <w:t xml:space="preserve">a </w:t>
      </w:r>
      <w:r>
        <w:t xml:space="preserve">complementary legal obligation to support improved compliance </w:t>
      </w:r>
      <w:r w:rsidR="00F331DA">
        <w:t>with</w:t>
      </w:r>
      <w:r>
        <w:t>in a defined set of circumstances.</w:t>
      </w:r>
    </w:p>
    <w:p w:rsidR="00FB0510" w:rsidRDefault="00855F44" w:rsidP="00FB0510">
      <w:pPr>
        <w:pStyle w:val="DHHSbody"/>
      </w:pPr>
      <w:r>
        <w:t xml:space="preserve">As recommended by the Expert Working Group, </w:t>
      </w:r>
      <w:r w:rsidR="00A72B32">
        <w:t xml:space="preserve">the </w:t>
      </w:r>
      <w:r w:rsidR="00A72B32" w:rsidRPr="00A72B32">
        <w:rPr>
          <w:i/>
        </w:rPr>
        <w:t xml:space="preserve">Victorian </w:t>
      </w:r>
      <w:r w:rsidR="00356FE0" w:rsidRPr="00A72B32">
        <w:rPr>
          <w:i/>
        </w:rPr>
        <w:t>candour and open disclosure guidelines</w:t>
      </w:r>
      <w:r w:rsidR="00356FE0">
        <w:t xml:space="preserve"> will be developed as a subordinate legislative instrument </w:t>
      </w:r>
      <w:r w:rsidR="00D73C40">
        <w:t xml:space="preserve">that will be </w:t>
      </w:r>
      <w:r w:rsidR="00356FE0">
        <w:t>referenced in</w:t>
      </w:r>
      <w:r w:rsidR="00D73C40">
        <w:t xml:space="preserve"> the</w:t>
      </w:r>
      <w:r w:rsidR="00356FE0">
        <w:t xml:space="preserve"> legislative provisions introducing the statutory duty of candour.</w:t>
      </w:r>
      <w:r w:rsidR="009F0F8F">
        <w:t xml:space="preserve"> Guidelines</w:t>
      </w:r>
      <w:r w:rsidR="00356FE0">
        <w:t xml:space="preserve"> will set out the minimum requirements for compliance with the statutory duty of candour and open disclosure obligations, as well as guidance and information to support best practice.</w:t>
      </w:r>
      <w:r w:rsidR="009F0F8F">
        <w:t xml:space="preserve"> </w:t>
      </w:r>
      <w:r w:rsidR="00E75703">
        <w:t xml:space="preserve">The </w:t>
      </w:r>
      <w:r w:rsidR="00FA158F">
        <w:t xml:space="preserve">detail </w:t>
      </w:r>
      <w:r w:rsidR="00DF664D">
        <w:t>to be included in the guidelines</w:t>
      </w:r>
      <w:r w:rsidR="009F0F8F">
        <w:t xml:space="preserve"> will be the subject of </w:t>
      </w:r>
      <w:r w:rsidR="00E75703">
        <w:t>consultation</w:t>
      </w:r>
      <w:r w:rsidR="00DF664D">
        <w:t xml:space="preserve"> in 2020.</w:t>
      </w:r>
      <w:r w:rsidR="00E75703">
        <w:t xml:space="preserve"> </w:t>
      </w:r>
      <w:r w:rsidR="00DF664D">
        <w:t>D</w:t>
      </w:r>
      <w:r w:rsidR="00E75703">
        <w:t xml:space="preserve">raft guidelines will be released along with </w:t>
      </w:r>
      <w:r w:rsidR="00500093">
        <w:t xml:space="preserve">an </w:t>
      </w:r>
      <w:r w:rsidR="00E75703">
        <w:t>exposure draft of the legislation for further public comment</w:t>
      </w:r>
      <w:r w:rsidR="00DF664D">
        <w:t xml:space="preserve"> (anticipated to occur in 2021)</w:t>
      </w:r>
      <w:r w:rsidR="00E75703">
        <w:t xml:space="preserve">. </w:t>
      </w:r>
    </w:p>
    <w:p w:rsidR="005278D0" w:rsidRPr="001C4963" w:rsidRDefault="005278D0" w:rsidP="005278D0">
      <w:pPr>
        <w:pStyle w:val="DHHSbody"/>
      </w:pPr>
      <w:r>
        <w:t>As recommended by the Expert Working Group</w:t>
      </w:r>
      <w:r w:rsidRPr="001C4963">
        <w:t>: </w:t>
      </w:r>
    </w:p>
    <w:p w:rsidR="005278D0" w:rsidRPr="00F32C51" w:rsidRDefault="005278D0" w:rsidP="005278D0">
      <w:pPr>
        <w:pStyle w:val="DHHSbullet1"/>
      </w:pPr>
      <w:r>
        <w:t>f</w:t>
      </w:r>
      <w:r w:rsidRPr="00F32C51">
        <w:t xml:space="preserve">actual statements about what has occurred </w:t>
      </w:r>
      <w:r>
        <w:t>will not be</w:t>
      </w:r>
      <w:r w:rsidRPr="00F32C51">
        <w:t xml:space="preserve"> restricted from use in </w:t>
      </w:r>
      <w:r w:rsidR="00A54B98">
        <w:t>legal</w:t>
      </w:r>
      <w:r w:rsidRPr="00F32C51">
        <w:t xml:space="preserve"> proceedings</w:t>
      </w:r>
    </w:p>
    <w:p w:rsidR="005278D0" w:rsidRPr="00F32C51" w:rsidRDefault="005278D0" w:rsidP="005278D0">
      <w:pPr>
        <w:pStyle w:val="DHHSbullet1"/>
      </w:pPr>
      <w:r>
        <w:t>s</w:t>
      </w:r>
      <w:r w:rsidRPr="00F32C51">
        <w:t xml:space="preserve">aying sorry will not constitute an admission of fault </w:t>
      </w:r>
      <w:r>
        <w:t>or</w:t>
      </w:r>
      <w:r w:rsidRPr="00F32C51">
        <w:t xml:space="preserve"> be relevant to court determinations</w:t>
      </w:r>
    </w:p>
    <w:p w:rsidR="005278D0" w:rsidRPr="001C4963" w:rsidRDefault="005278D0" w:rsidP="005278D0">
      <w:pPr>
        <w:pStyle w:val="DHHSbullet1lastline"/>
      </w:pPr>
      <w:r>
        <w:t>i</w:t>
      </w:r>
      <w:r w:rsidRPr="00F32C51">
        <w:t xml:space="preserve">nformation provided about any changes or improvements made subsequent to an incident </w:t>
      </w:r>
      <w:r>
        <w:t>will</w:t>
      </w:r>
      <w:r w:rsidRPr="00F32C51">
        <w:t xml:space="preserve"> not be taken as an admission of fault or liability </w:t>
      </w:r>
      <w:r>
        <w:t>but will be</w:t>
      </w:r>
      <w:r w:rsidRPr="00F32C51">
        <w:t xml:space="preserve"> admissible in </w:t>
      </w:r>
      <w:r w:rsidR="002C65BF">
        <w:t>legal</w:t>
      </w:r>
      <w:r w:rsidRPr="00F32C51">
        <w:t xml:space="preserve"> proceedings</w:t>
      </w:r>
      <w:r>
        <w:t>.</w:t>
      </w:r>
    </w:p>
    <w:p w:rsidR="00F32C51" w:rsidRPr="001C4963" w:rsidRDefault="00095431" w:rsidP="00F32C51">
      <w:pPr>
        <w:pStyle w:val="DHHSbody"/>
      </w:pPr>
      <w:r>
        <w:t xml:space="preserve">The government intends to </w:t>
      </w:r>
      <w:r w:rsidR="00CF6908">
        <w:t>legislate protection</w:t>
      </w:r>
      <w:r w:rsidR="002C65BF">
        <w:t>s for</w:t>
      </w:r>
      <w:r w:rsidR="00F32C51" w:rsidRPr="001C4963">
        <w:t xml:space="preserve"> apolog</w:t>
      </w:r>
      <w:r w:rsidR="002C65BF">
        <w:t>ies</w:t>
      </w:r>
      <w:r w:rsidR="00F32C51" w:rsidRPr="001C4963">
        <w:t xml:space="preserve"> </w:t>
      </w:r>
      <w:r w:rsidR="002C65BF" w:rsidRPr="00A54B98">
        <w:t>provided by a health service entity in connection with the provision of a health service</w:t>
      </w:r>
      <w:r w:rsidR="002C65BF">
        <w:t>. In the health service</w:t>
      </w:r>
      <w:r w:rsidR="00EE1EF5">
        <w:t xml:space="preserve"> context</w:t>
      </w:r>
      <w:r w:rsidR="002C65BF">
        <w:t xml:space="preserve">, an apology – </w:t>
      </w:r>
      <w:r w:rsidR="00F32C51" w:rsidRPr="001C4963">
        <w:t>being an expression of sympathy, regret or compassion, even if it may admit or imply an admission of fault –will not constitute an admission of fault or liability and will not be relevant to any determination of fault or liability</w:t>
      </w:r>
      <w:r w:rsidR="00A54B98">
        <w:t xml:space="preserve"> </w:t>
      </w:r>
      <w:r w:rsidR="00A54B98" w:rsidRPr="00A54B98">
        <w:t>any civil or disciplinary proceedings</w:t>
      </w:r>
      <w:r w:rsidR="00F32C51" w:rsidRPr="001C4963">
        <w:t xml:space="preserve">. Factual explanations of what has occurred, which will be required to be provided under the duty, will not be protected and can be used as evidence in any legal proceedings. </w:t>
      </w:r>
      <w:r w:rsidR="009F73DB">
        <w:t>We note</w:t>
      </w:r>
      <w:r w:rsidR="00F32C51" w:rsidRPr="001C4963">
        <w:t xml:space="preserve"> that consumers also have access to information about what occurred during the course of their treatment in a number of other ways</w:t>
      </w:r>
      <w:r w:rsidR="003D1990">
        <w:t>,</w:t>
      </w:r>
      <w:r w:rsidR="0047476C">
        <w:t xml:space="preserve"> and c</w:t>
      </w:r>
      <w:r w:rsidR="00F32C51" w:rsidRPr="001C4963">
        <w:t xml:space="preserve">hanges to apology </w:t>
      </w:r>
      <w:r w:rsidR="00F43063">
        <w:t>protections</w:t>
      </w:r>
      <w:r w:rsidR="00F32C51" w:rsidRPr="001C4963">
        <w:t xml:space="preserve"> will not restrict the use of this information in any medico-legal claim. </w:t>
      </w:r>
      <w:r w:rsidR="005278D0" w:rsidDel="005278D0">
        <w:rPr>
          <w:rStyle w:val="CommentReference"/>
          <w:rFonts w:ascii="Cambria" w:eastAsia="Times New Roman" w:hAnsi="Cambria"/>
        </w:rPr>
        <w:t xml:space="preserve"> </w:t>
      </w:r>
    </w:p>
    <w:p w:rsidR="00F32C51" w:rsidRDefault="00257774" w:rsidP="00FB0510">
      <w:pPr>
        <w:pStyle w:val="DHHSbody"/>
      </w:pPr>
      <w:r>
        <w:t>These p</w:t>
      </w:r>
      <w:r w:rsidR="00F32C51" w:rsidRPr="001C4963">
        <w:t>rotections for apologies are consistent with recommendations made in 2016 and 2017 for strengthened apology protections under the </w:t>
      </w:r>
      <w:r w:rsidR="00F32C51" w:rsidRPr="001C4963">
        <w:rPr>
          <w:i/>
          <w:iCs/>
        </w:rPr>
        <w:t>Wrongs Act 1958</w:t>
      </w:r>
      <w:r w:rsidR="00A54B98">
        <w:t>.</w:t>
      </w:r>
      <w:r w:rsidR="00F32C51" w:rsidRPr="001C4963">
        <w:t xml:space="preserve"> </w:t>
      </w:r>
    </w:p>
    <w:p w:rsidR="00E75703" w:rsidRDefault="00E75703" w:rsidP="00E75703">
      <w:pPr>
        <w:pStyle w:val="Heading2"/>
      </w:pPr>
      <w:bookmarkStart w:id="23" w:name="_Hlk41427605"/>
      <w:bookmarkStart w:id="24" w:name="_Toc47965003"/>
      <w:r>
        <w:t xml:space="preserve">Protections for </w:t>
      </w:r>
      <w:bookmarkEnd w:id="23"/>
      <w:r>
        <w:t>clinical incident reviews</w:t>
      </w:r>
      <w:bookmarkEnd w:id="24"/>
      <w:r>
        <w:t xml:space="preserve"> </w:t>
      </w:r>
    </w:p>
    <w:p w:rsidR="00BB4923" w:rsidRDefault="00FB0510" w:rsidP="61D11729">
      <w:pPr>
        <w:pStyle w:val="DHHSbody"/>
      </w:pPr>
      <w:r>
        <w:t>In addition to establishing the statutory duty of candour, we intend to introduce legislative reforms to</w:t>
      </w:r>
      <w:r w:rsidR="6064915C">
        <w:t xml:space="preserve"> </w:t>
      </w:r>
      <w:r>
        <w:t>establish protections for conduct of serious incident review processes</w:t>
      </w:r>
      <w:r w:rsidR="009E3837">
        <w:t xml:space="preserve"> by </w:t>
      </w:r>
      <w:r w:rsidR="00527FD9">
        <w:t xml:space="preserve">specified </w:t>
      </w:r>
      <w:r w:rsidR="009E3837">
        <w:t xml:space="preserve">health </w:t>
      </w:r>
      <w:r w:rsidR="00527FD9">
        <w:t>service entities</w:t>
      </w:r>
      <w:r w:rsidR="009E4741">
        <w:t>.</w:t>
      </w:r>
    </w:p>
    <w:p w:rsidR="00291DB7" w:rsidRDefault="00630C84" w:rsidP="00BB4923">
      <w:pPr>
        <w:pStyle w:val="DHHSbullet1"/>
        <w:numPr>
          <w:ilvl w:val="0"/>
          <w:numId w:val="0"/>
        </w:numPr>
        <w:spacing w:after="120"/>
      </w:pPr>
      <w:r>
        <w:t>The</w:t>
      </w:r>
      <w:r w:rsidR="00182D05">
        <w:t>se</w:t>
      </w:r>
      <w:r>
        <w:t xml:space="preserve"> reforms </w:t>
      </w:r>
      <w:r w:rsidR="007E517C">
        <w:t xml:space="preserve">would </w:t>
      </w:r>
      <w:r w:rsidR="00EC6AA0">
        <w:t xml:space="preserve">support and encourage an organisational and system-wide culture where errors and harm are effectively identified, discussed and reviewed and consumers are kept informed. In turn, such a culture </w:t>
      </w:r>
      <w:r w:rsidR="000C0566">
        <w:t xml:space="preserve">would </w:t>
      </w:r>
      <w:r w:rsidR="00EC6AA0">
        <w:t>improve</w:t>
      </w:r>
      <w:r w:rsidR="000C0566">
        <w:t xml:space="preserve"> consumer experience and allow</w:t>
      </w:r>
      <w:r w:rsidR="00EC6AA0">
        <w:t xml:space="preserve"> for </w:t>
      </w:r>
      <w:r w:rsidR="00F331DA">
        <w:t xml:space="preserve">timely </w:t>
      </w:r>
      <w:r w:rsidR="00EC6AA0">
        <w:t>risk</w:t>
      </w:r>
      <w:r w:rsidR="00F331DA">
        <w:t xml:space="preserve"> identification and mitigation, to optimise the ongoing safe delivery of quality healthcare in Victorian hospitals.  </w:t>
      </w:r>
      <w:r w:rsidR="00EC6AA0">
        <w:t xml:space="preserve"> </w:t>
      </w:r>
      <w:bookmarkStart w:id="25" w:name="_Hlk40267979"/>
    </w:p>
    <w:bookmarkEnd w:id="25"/>
    <w:p w:rsidR="004120D8" w:rsidRDefault="00C15C8C" w:rsidP="00BB4923">
      <w:pPr>
        <w:pStyle w:val="DHHSbody"/>
      </w:pPr>
      <w:r>
        <w:t>We are committed to introduc</w:t>
      </w:r>
      <w:r w:rsidR="003100C1">
        <w:t xml:space="preserve">ing these reforms at the earliest opportunity. </w:t>
      </w:r>
      <w:r w:rsidR="00493A3F">
        <w:t>However, the</w:t>
      </w:r>
      <w:r w:rsidR="00C5481A">
        <w:t>se</w:t>
      </w:r>
      <w:r w:rsidR="000C0566">
        <w:t xml:space="preserve"> </w:t>
      </w:r>
      <w:r w:rsidR="00E75703">
        <w:t>additional statutory reforms recommended by the Expert Working Group</w:t>
      </w:r>
      <w:r w:rsidR="000C0566">
        <w:t xml:space="preserve"> </w:t>
      </w:r>
      <w:r w:rsidR="00EC6AA0">
        <w:t>raise complex policy issues</w:t>
      </w:r>
      <w:r w:rsidR="003100C1">
        <w:t xml:space="preserve">. </w:t>
      </w:r>
      <w:r>
        <w:t xml:space="preserve">In the course of preparing the legislation, it has become evident that </w:t>
      </w:r>
      <w:r w:rsidR="000C0566">
        <w:t>the legislative design must strike a complex balance. The reforms</w:t>
      </w:r>
      <w:r w:rsidR="007B5513">
        <w:t xml:space="preserve"> include elements aimed at increasing transparency and consumer access to </w:t>
      </w:r>
      <w:r w:rsidR="007B5513">
        <w:lastRenderedPageBreak/>
        <w:t xml:space="preserve">information. They also establish restrictions on access to certain information, to support robust investigation and analysis of errors </w:t>
      </w:r>
      <w:r w:rsidR="00D3706B">
        <w:t xml:space="preserve">or adverse events </w:t>
      </w:r>
      <w:r w:rsidR="007B5513">
        <w:t xml:space="preserve">and quality and safety risks. </w:t>
      </w:r>
      <w:bookmarkStart w:id="26" w:name="_Hlk40332852"/>
      <w:bookmarkEnd w:id="26"/>
    </w:p>
    <w:p w:rsidR="00291DB7" w:rsidRDefault="005F7F47" w:rsidP="00BB4923">
      <w:pPr>
        <w:pStyle w:val="DHHSbody"/>
      </w:pPr>
      <w:r>
        <w:t>The g</w:t>
      </w:r>
      <w:r w:rsidR="00D3706B">
        <w:t xml:space="preserve">overnment </w:t>
      </w:r>
      <w:r w:rsidR="003100C1">
        <w:t xml:space="preserve">anticipates </w:t>
      </w:r>
      <w:r w:rsidR="00291DB7">
        <w:t>that some stakeholders may have concerns about aspects of the reforms. For example, service providers and clinicians (and their legal representatives and insurers)</w:t>
      </w:r>
      <w:r w:rsidR="00F331DA">
        <w:t>,</w:t>
      </w:r>
      <w:r w:rsidR="00291DB7">
        <w:t xml:space="preserve"> may have concerns about increased exposure to medico-legal risk as a result of new transparency measures. Conversely, consumers and their representatives and advocates may </w:t>
      </w:r>
      <w:r w:rsidR="00D3706B">
        <w:t>be concerned</w:t>
      </w:r>
      <w:r w:rsidR="00291DB7">
        <w:t xml:space="preserve"> </w:t>
      </w:r>
      <w:r w:rsidR="00D3706B">
        <w:t xml:space="preserve">about potential </w:t>
      </w:r>
      <w:r w:rsidR="00291DB7">
        <w:t>restrictions on their access to information</w:t>
      </w:r>
      <w:r w:rsidR="2136F94A">
        <w:t xml:space="preserve"> as a result of protections introduced for reviews</w:t>
      </w:r>
      <w:r w:rsidR="6FC04FF8">
        <w:t xml:space="preserve">.  </w:t>
      </w:r>
    </w:p>
    <w:p w:rsidR="00022FCF" w:rsidRPr="00022FCF" w:rsidRDefault="007B5513" w:rsidP="3D1E2CE6">
      <w:pPr>
        <w:pStyle w:val="DHHSbody"/>
      </w:pPr>
      <w:r>
        <w:t>We are not alone in</w:t>
      </w:r>
      <w:r w:rsidR="00EC6AA0">
        <w:t xml:space="preserve"> grappling with the complexities posed by these</w:t>
      </w:r>
      <w:r>
        <w:t xml:space="preserve"> reforms. Recent work in the United Kingdom underlines the need for careful consultation and design for such reforms. </w:t>
      </w:r>
      <w:r w:rsidR="000C0566">
        <w:t>In September 2017 the UK</w:t>
      </w:r>
      <w:r>
        <w:t xml:space="preserve"> government released an exposure draft of legislation that would establish arrangements for</w:t>
      </w:r>
      <w:r w:rsidR="00E75703">
        <w:t xml:space="preserve"> </w:t>
      </w:r>
      <w:r>
        <w:t>protected investigations of adverse incidents. This followed the 2013 report from the review of</w:t>
      </w:r>
      <w:r w:rsidR="001133AC">
        <w:t xml:space="preserve"> the</w:t>
      </w:r>
      <w:r>
        <w:t xml:space="preserve"> Mid Staffordshire NHS Foundation Trust. Feedback on the draft legislation led to the establishment of a Joint Parliamentary Committee to undertake further review and consultation. The report of that Committee was released in August 2018. The Committee considered how protections for investigations should be balanced with the existing UK duty of candour. </w:t>
      </w:r>
      <w:r w:rsidR="005D2B88">
        <w:t xml:space="preserve">Ultimately, </w:t>
      </w:r>
      <w:r w:rsidR="00D47114">
        <w:t xml:space="preserve">a </w:t>
      </w:r>
      <w:r w:rsidR="005D2B88">
        <w:t>Health Service Safety Investigations Bill</w:t>
      </w:r>
      <w:r w:rsidR="00022FCF">
        <w:t xml:space="preserve"> </w:t>
      </w:r>
      <w:r w:rsidR="00117546">
        <w:t xml:space="preserve">went to second reading in the House of Lords </w:t>
      </w:r>
      <w:r w:rsidR="00022FCF">
        <w:t>in October 2019</w:t>
      </w:r>
      <w:r w:rsidR="00117546">
        <w:t xml:space="preserve">. If passed, the Bill will </w:t>
      </w:r>
      <w:r w:rsidR="00022FCF">
        <w:t xml:space="preserve">create a ‘safe space’ for </w:t>
      </w:r>
      <w:r w:rsidR="00A31827">
        <w:t xml:space="preserve">health service safety </w:t>
      </w:r>
      <w:r w:rsidR="00022FCF">
        <w:t>investigations</w:t>
      </w:r>
      <w:r w:rsidR="00D47114">
        <w:t xml:space="preserve"> </w:t>
      </w:r>
      <w:r w:rsidR="00117546">
        <w:t>prohibiting the disclosure of information except in very limited circumstances.</w:t>
      </w:r>
    </w:p>
    <w:p w:rsidR="00B4286E" w:rsidRDefault="00C15C8C" w:rsidP="00B4286E">
      <w:pPr>
        <w:pStyle w:val="DHHSbody"/>
      </w:pPr>
      <w:r>
        <w:t xml:space="preserve">While </w:t>
      </w:r>
      <w:r w:rsidR="003100C1">
        <w:t>this development</w:t>
      </w:r>
      <w:r w:rsidR="007B5513" w:rsidRPr="007B5513">
        <w:t xml:space="preserve"> </w:t>
      </w:r>
      <w:r>
        <w:t xml:space="preserve">in the UK </w:t>
      </w:r>
      <w:r w:rsidR="007B5513" w:rsidRPr="007B5513">
        <w:t xml:space="preserve">is directly relevant to the </w:t>
      </w:r>
      <w:r w:rsidR="000C0566">
        <w:t>reforms recommended by the Expert Working Group</w:t>
      </w:r>
      <w:r>
        <w:t xml:space="preserve"> – and in some instances the </w:t>
      </w:r>
      <w:r w:rsidR="00B4286E">
        <w:t xml:space="preserve">Expert Working Group </w:t>
      </w:r>
      <w:r w:rsidR="009A43AA">
        <w:t>referred</w:t>
      </w:r>
      <w:r w:rsidR="00B4286E">
        <w:t xml:space="preserve"> to relevant approaches taken in other jurisdictions</w:t>
      </w:r>
      <w:r>
        <w:t xml:space="preserve"> –</w:t>
      </w:r>
      <w:r w:rsidR="003100C1">
        <w:t xml:space="preserve"> what operates elsewhere </w:t>
      </w:r>
      <w:r>
        <w:t xml:space="preserve">will not necessarily be </w:t>
      </w:r>
      <w:r w:rsidR="003100C1">
        <w:t>a</w:t>
      </w:r>
      <w:r>
        <w:t xml:space="preserve"> </w:t>
      </w:r>
      <w:r w:rsidR="003100C1">
        <w:t>perfect</w:t>
      </w:r>
      <w:r>
        <w:t xml:space="preserve"> fit for Victoria.</w:t>
      </w:r>
      <w:r w:rsidRPr="00B4286E">
        <w:t xml:space="preserve"> </w:t>
      </w:r>
      <w:r w:rsidR="00B4286E">
        <w:t xml:space="preserve">In designing the </w:t>
      </w:r>
      <w:r w:rsidR="003100C1">
        <w:t>best</w:t>
      </w:r>
      <w:r w:rsidR="00B4286E">
        <w:t xml:space="preserve"> model for Victoria, we are paying careful attention to the Expert Working Group’s advice but are not bound by the specific wording or parameters of its recommendations. </w:t>
      </w:r>
    </w:p>
    <w:p w:rsidR="00652FC4" w:rsidRDefault="00652FC4" w:rsidP="00652FC4">
      <w:pPr>
        <w:pStyle w:val="DHHSbody"/>
      </w:pPr>
      <w:r>
        <w:t xml:space="preserve">These are complex issues. Transparency and accountability are </w:t>
      </w:r>
      <w:r w:rsidR="00855F44">
        <w:t>clear</w:t>
      </w:r>
      <w:r>
        <w:t xml:space="preserve"> objectives. We also recognise the value of an environment where errors and systemic issues are discussed and analysed robustly, so that effective improvements can be made.  </w:t>
      </w:r>
    </w:p>
    <w:p w:rsidR="00117546" w:rsidRDefault="00117546" w:rsidP="00652FC4">
      <w:pPr>
        <w:pStyle w:val="DHHSbody"/>
      </w:pPr>
      <w:r w:rsidRPr="00117546">
        <w:t>We do not expect that the requirements for health service entities will be substantially different, in terms of burden, than existing and ongoing obligations for open disclosure and incident review. Rather, the reforms are designed to support and encourage improvements to maximise the quality and safety. The benefits identified are anticipated to flow from improvements in practice, for example open disclosure conducted with greater openness and compassion, and incident reviews conducted with increased frankness and rigour.</w:t>
      </w:r>
    </w:p>
    <w:p w:rsidR="009C5DEF" w:rsidRDefault="00652FC4" w:rsidP="009C5DEF">
      <w:pPr>
        <w:pStyle w:val="DHHSbody"/>
      </w:pPr>
      <w:r>
        <w:t xml:space="preserve">We intend to engage and consult further as we </w:t>
      </w:r>
      <w:r w:rsidR="00B4286E">
        <w:t xml:space="preserve">finalise the </w:t>
      </w:r>
      <w:r>
        <w:t>detail</w:t>
      </w:r>
      <w:r w:rsidR="00B4286E">
        <w:t xml:space="preserve"> of the</w:t>
      </w:r>
      <w:r>
        <w:t xml:space="preserve"> proposals</w:t>
      </w:r>
      <w:r w:rsidR="00291DB7">
        <w:t xml:space="preserve">, and the </w:t>
      </w:r>
      <w:r>
        <w:t>involvement</w:t>
      </w:r>
      <w:r w:rsidR="00291DB7">
        <w:t xml:space="preserve"> of health sector and</w:t>
      </w:r>
      <w:r>
        <w:t xml:space="preserve"> </w:t>
      </w:r>
      <w:r w:rsidR="00291DB7">
        <w:t xml:space="preserve">consumer stakeholders </w:t>
      </w:r>
      <w:r>
        <w:t xml:space="preserve">in that work will be </w:t>
      </w:r>
      <w:r w:rsidR="00291DB7">
        <w:t>invaluable</w:t>
      </w:r>
      <w:r w:rsidR="5587AD01">
        <w:t>.</w:t>
      </w:r>
    </w:p>
    <w:p w:rsidR="009E4741" w:rsidRDefault="009E4741">
      <w:pPr>
        <w:rPr>
          <w:rFonts w:ascii="Arial" w:hAnsi="Arial"/>
          <w:bCs/>
          <w:color w:val="87189D"/>
          <w:sz w:val="44"/>
          <w:szCs w:val="44"/>
        </w:rPr>
      </w:pPr>
      <w:r>
        <w:br w:type="page"/>
      </w:r>
    </w:p>
    <w:p w:rsidR="008D5866" w:rsidRPr="009E4741" w:rsidRDefault="00BB4923" w:rsidP="7C236DA8">
      <w:pPr>
        <w:pStyle w:val="Heading1"/>
      </w:pPr>
      <w:bookmarkStart w:id="27" w:name="_Toc47965004"/>
      <w:r>
        <w:lastRenderedPageBreak/>
        <w:t xml:space="preserve">Areas </w:t>
      </w:r>
      <w:r w:rsidR="009C5DEF">
        <w:t>for further</w:t>
      </w:r>
      <w:r>
        <w:t xml:space="preserve"> consultation</w:t>
      </w:r>
      <w:bookmarkEnd w:id="27"/>
    </w:p>
    <w:p w:rsidR="003A4384" w:rsidRPr="003A4384" w:rsidRDefault="007020BE">
      <w:pPr>
        <w:pStyle w:val="DHHSbody"/>
      </w:pPr>
      <w:r>
        <w:t>C</w:t>
      </w:r>
      <w:r w:rsidR="003A4384">
        <w:t xml:space="preserve">onsultation </w:t>
      </w:r>
      <w:r>
        <w:t xml:space="preserve">in 2020 </w:t>
      </w:r>
      <w:r w:rsidR="003A4384">
        <w:t>will</w:t>
      </w:r>
      <w:r w:rsidR="009E4741">
        <w:t xml:space="preserve"> </w:t>
      </w:r>
      <w:r w:rsidR="003A4384">
        <w:t>cover the following areas:</w:t>
      </w:r>
    </w:p>
    <w:p w:rsidR="003A4384" w:rsidRPr="00111F67" w:rsidRDefault="003A4384" w:rsidP="3D1E2CE6">
      <w:pPr>
        <w:pStyle w:val="DHHSbullet1"/>
        <w:rPr>
          <w:i/>
        </w:rPr>
      </w:pPr>
      <w:r w:rsidRPr="00111F67">
        <w:rPr>
          <w:i/>
        </w:rPr>
        <w:t>Victorian candour and open disclosure guidelines</w:t>
      </w:r>
    </w:p>
    <w:p w:rsidR="003A4384" w:rsidRPr="003A4384" w:rsidRDefault="005D0A8B" w:rsidP="3D1E2CE6">
      <w:pPr>
        <w:pStyle w:val="DHHSbullet1lastline"/>
      </w:pPr>
      <w:r>
        <w:t>p</w:t>
      </w:r>
      <w:r w:rsidR="003A4384">
        <w:t>roposed model for clinical incident review protections.</w:t>
      </w:r>
    </w:p>
    <w:p w:rsidR="003A4384" w:rsidRPr="005766C5" w:rsidRDefault="001C4963" w:rsidP="001C4963">
      <w:pPr>
        <w:pStyle w:val="Heading2"/>
        <w:rPr>
          <w:i/>
        </w:rPr>
      </w:pPr>
      <w:bookmarkStart w:id="28" w:name="_Toc47965005"/>
      <w:r w:rsidRPr="005766C5">
        <w:rPr>
          <w:i/>
        </w:rPr>
        <w:t>Victorian candour and open disclosure guidelines</w:t>
      </w:r>
      <w:bookmarkEnd w:id="28"/>
    </w:p>
    <w:p w:rsidR="001C4963" w:rsidRPr="001C4963" w:rsidRDefault="00BB4923" w:rsidP="001C4963">
      <w:pPr>
        <w:pStyle w:val="DHHSbody"/>
      </w:pPr>
      <w:r>
        <w:t>As recommended by the Expert Working Group, t</w:t>
      </w:r>
      <w:r w:rsidR="001C4963">
        <w:t>he proposed</w:t>
      </w:r>
      <w:r w:rsidR="007020BE">
        <w:t xml:space="preserve"> </w:t>
      </w:r>
      <w:r>
        <w:t>statutory</w:t>
      </w:r>
      <w:r w:rsidR="007020BE">
        <w:t xml:space="preserve"> </w:t>
      </w:r>
      <w:r w:rsidR="008C797F">
        <w:t xml:space="preserve">duty </w:t>
      </w:r>
      <w:r w:rsidR="001C4963">
        <w:t xml:space="preserve">will apply to incidents of a high severity rating </w:t>
      </w:r>
      <w:r w:rsidR="0011246D">
        <w:t xml:space="preserve">(1–2) </w:t>
      </w:r>
      <w:r w:rsidR="001C4963">
        <w:t xml:space="preserve">and will complement existing obligations under the Australian Open Disclosure Framework. The legislation will be high level. </w:t>
      </w:r>
      <w:r w:rsidR="001C4963" w:rsidRPr="00A54B98">
        <w:t>The</w:t>
      </w:r>
      <w:r w:rsidR="001C4963" w:rsidRPr="005766C5">
        <w:rPr>
          <w:i/>
        </w:rPr>
        <w:t xml:space="preserve"> Victorian</w:t>
      </w:r>
      <w:r w:rsidRPr="005766C5">
        <w:rPr>
          <w:i/>
        </w:rPr>
        <w:t xml:space="preserve"> candour</w:t>
      </w:r>
      <w:r w:rsidR="00F013D8" w:rsidRPr="005766C5">
        <w:rPr>
          <w:i/>
        </w:rPr>
        <w:t xml:space="preserve"> </w:t>
      </w:r>
      <w:r w:rsidR="001C4963" w:rsidRPr="005766C5">
        <w:rPr>
          <w:i/>
        </w:rPr>
        <w:t>and open disclosure</w:t>
      </w:r>
      <w:r w:rsidR="001C4963">
        <w:t xml:space="preserve"> guidelines will offer detailed instructions to health service</w:t>
      </w:r>
      <w:r w:rsidR="00F013D8">
        <w:t xml:space="preserve"> entitie</w:t>
      </w:r>
      <w:r w:rsidR="001C4963">
        <w:t>s on apologies, explanations, and details of preventative action.</w:t>
      </w:r>
      <w:r w:rsidR="00F013D8">
        <w:t xml:space="preserve"> </w:t>
      </w:r>
      <w:r w:rsidR="001C4963">
        <w:t>As recommended by the E</w:t>
      </w:r>
      <w:r w:rsidR="00F013D8">
        <w:t>xpert Working Group</w:t>
      </w:r>
      <w:r w:rsidR="001C4963">
        <w:t>, the guidelines</w:t>
      </w:r>
      <w:r w:rsidR="00F013D8">
        <w:t xml:space="preserve"> </w:t>
      </w:r>
      <w:r w:rsidR="001C4963">
        <w:t>will set out the minimum requirements for compliance with the</w:t>
      </w:r>
      <w:r w:rsidR="00F013D8">
        <w:t xml:space="preserve"> statutory duty of candour </w:t>
      </w:r>
      <w:r w:rsidR="001C4963">
        <w:t>and open disclosure obligations, as well as guidance and information to support best practice, including:</w:t>
      </w:r>
    </w:p>
    <w:p w:rsidR="001C4963" w:rsidRPr="001C4963" w:rsidRDefault="001C4963" w:rsidP="00111F67">
      <w:pPr>
        <w:pStyle w:val="DHHSbullet1"/>
      </w:pPr>
      <w:r w:rsidRPr="001C4963">
        <w:t>the</w:t>
      </w:r>
      <w:r w:rsidR="00F013D8">
        <w:t xml:space="preserve"> </w:t>
      </w:r>
      <w:r w:rsidRPr="001C4963">
        <w:rPr>
          <w:b/>
          <w:bCs/>
        </w:rPr>
        <w:t>underpinning principles</w:t>
      </w:r>
      <w:r w:rsidR="00F013D8">
        <w:t xml:space="preserve"> </w:t>
      </w:r>
      <w:r w:rsidRPr="001C4963">
        <w:t>and the anticipated benefits of candour and open disclosure</w:t>
      </w:r>
    </w:p>
    <w:p w:rsidR="001C4963" w:rsidRPr="001C4963" w:rsidRDefault="001C4963" w:rsidP="00111F67">
      <w:pPr>
        <w:pStyle w:val="DHHSbullet1"/>
      </w:pPr>
      <w:r w:rsidRPr="001C4963">
        <w:t>a simple description of the</w:t>
      </w:r>
      <w:r w:rsidR="00F013D8">
        <w:t xml:space="preserve"> </w:t>
      </w:r>
      <w:r w:rsidRPr="001C4963">
        <w:rPr>
          <w:b/>
          <w:bCs/>
        </w:rPr>
        <w:t>service settings in scope</w:t>
      </w:r>
      <w:r w:rsidR="00F013D8">
        <w:t xml:space="preserve"> </w:t>
      </w:r>
      <w:r w:rsidRPr="001C4963">
        <w:t>for the</w:t>
      </w:r>
      <w:r w:rsidR="00F013D8">
        <w:t xml:space="preserve"> statutory duty </w:t>
      </w:r>
      <w:r w:rsidRPr="001C4963">
        <w:t>and the scope of broader open disclosure obligations</w:t>
      </w:r>
    </w:p>
    <w:p w:rsidR="001C4963" w:rsidRPr="001C4963" w:rsidRDefault="001C4963" w:rsidP="00111F67">
      <w:pPr>
        <w:pStyle w:val="DHHSbullet1"/>
      </w:pPr>
      <w:r w:rsidRPr="001C4963">
        <w:t>an accessible and easily understood description of</w:t>
      </w:r>
      <w:r w:rsidR="00F013D8">
        <w:t xml:space="preserve"> </w:t>
      </w:r>
      <w:r w:rsidRPr="001C4963">
        <w:rPr>
          <w:b/>
          <w:bCs/>
        </w:rPr>
        <w:t>when the</w:t>
      </w:r>
      <w:r w:rsidR="00F013D8">
        <w:rPr>
          <w:b/>
          <w:bCs/>
        </w:rPr>
        <w:t xml:space="preserve"> statutory duty </w:t>
      </w:r>
      <w:r w:rsidRPr="001C4963">
        <w:rPr>
          <w:b/>
          <w:bCs/>
        </w:rPr>
        <w:t>will apply</w:t>
      </w:r>
      <w:r w:rsidR="00F013D8">
        <w:t xml:space="preserve"> </w:t>
      </w:r>
      <w:r w:rsidRPr="001C4963">
        <w:t>and when open disclosure should be undertaken (for incidents that may not reach the thresholds established for the</w:t>
      </w:r>
      <w:r w:rsidR="00F013D8">
        <w:t xml:space="preserve"> statutory duty</w:t>
      </w:r>
      <w:r w:rsidRPr="001C4963">
        <w:t>, but which otherwise warrant an open disclosure process)</w:t>
      </w:r>
    </w:p>
    <w:p w:rsidR="001C4963" w:rsidRPr="001C4963" w:rsidRDefault="001C4963" w:rsidP="00111F67">
      <w:pPr>
        <w:pStyle w:val="DHHSbullet1"/>
      </w:pPr>
      <w:r w:rsidRPr="001C4963">
        <w:t>mandatory requirements for discharging</w:t>
      </w:r>
      <w:r w:rsidR="00F013D8">
        <w:t xml:space="preserve"> the statutory duty</w:t>
      </w:r>
    </w:p>
    <w:p w:rsidR="001C4963" w:rsidRPr="001C4963" w:rsidRDefault="001C4963" w:rsidP="00111F67">
      <w:pPr>
        <w:pStyle w:val="DHHSbullet1"/>
      </w:pPr>
      <w:r w:rsidRPr="001C4963">
        <w:rPr>
          <w:b/>
          <w:bCs/>
        </w:rPr>
        <w:t>documentation and reporting requirements</w:t>
      </w:r>
      <w:r w:rsidR="00F013D8">
        <w:t xml:space="preserve"> </w:t>
      </w:r>
      <w:r w:rsidRPr="001C4963">
        <w:t>to demonstrate compliance with the</w:t>
      </w:r>
      <w:r w:rsidR="00F013D8">
        <w:t xml:space="preserve"> statutory duty</w:t>
      </w:r>
    </w:p>
    <w:p w:rsidR="001C4963" w:rsidRPr="001C4963" w:rsidRDefault="001C4963" w:rsidP="00111F67">
      <w:pPr>
        <w:pStyle w:val="DHHSbullet1"/>
      </w:pPr>
      <w:r w:rsidRPr="001C4963">
        <w:rPr>
          <w:b/>
          <w:bCs/>
        </w:rPr>
        <w:t>roles and responsibilities</w:t>
      </w:r>
      <w:r w:rsidR="00F013D8">
        <w:t xml:space="preserve"> </w:t>
      </w:r>
      <w:r w:rsidRPr="001C4963">
        <w:t>in relation to the</w:t>
      </w:r>
      <w:r w:rsidR="00F013D8">
        <w:t xml:space="preserve"> statutory duty</w:t>
      </w:r>
    </w:p>
    <w:p w:rsidR="001C4963" w:rsidRPr="001C4963" w:rsidRDefault="001C4963" w:rsidP="00111F67">
      <w:pPr>
        <w:pStyle w:val="DHHSbullet1lastline"/>
      </w:pPr>
      <w:r w:rsidRPr="00111F67">
        <w:rPr>
          <w:b/>
        </w:rPr>
        <w:t>organisational requirements</w:t>
      </w:r>
      <w:r w:rsidR="00F013D8">
        <w:t>.</w:t>
      </w:r>
    </w:p>
    <w:p w:rsidR="00625692" w:rsidRDefault="001C4963" w:rsidP="00625692">
      <w:pPr>
        <w:pStyle w:val="DHHSbody"/>
      </w:pPr>
      <w:r>
        <w:t xml:space="preserve">The </w:t>
      </w:r>
      <w:r w:rsidR="00625692">
        <w:t xml:space="preserve">Expert Working Group included draft content for the </w:t>
      </w:r>
      <w:r w:rsidR="00625692" w:rsidRPr="005766C5">
        <w:rPr>
          <w:i/>
        </w:rPr>
        <w:t>Victorian candour and open disclosure guidelines</w:t>
      </w:r>
      <w:r w:rsidR="00625692">
        <w:t xml:space="preserve"> in their report (Appendix D, pages 82</w:t>
      </w:r>
      <w:r w:rsidR="00F013D8">
        <w:t>–</w:t>
      </w:r>
      <w:r w:rsidR="00625692">
        <w:t xml:space="preserve">83). Once the guidelines have been developed, they will also be released with the exposure draft of the legislation.  </w:t>
      </w:r>
    </w:p>
    <w:p w:rsidR="00625692" w:rsidRDefault="00625692" w:rsidP="00625692">
      <w:pPr>
        <w:pStyle w:val="DHHSbody"/>
      </w:pPr>
      <w:r>
        <w:t xml:space="preserve">The Expert Working Group also identified significant confusion amongst both individual health practitioners and healthcare organisations as to when the qualified privilege afforded to ‘quality assurance committees’ declared under section 139 of </w:t>
      </w:r>
      <w:r w:rsidRPr="00625692">
        <w:t>th</w:t>
      </w:r>
      <w:r w:rsidRPr="00625692">
        <w:rPr>
          <w:i/>
        </w:rPr>
        <w:t>e Health Services Act 1988</w:t>
      </w:r>
      <w:r>
        <w:t xml:space="preserve"> does and does not apply. In particular, it was not clear to stakeholders how Victoria’s current regime of qualified privilege impacts on existing open disclosure obligations.</w:t>
      </w:r>
    </w:p>
    <w:p w:rsidR="0011246D" w:rsidRDefault="00023752" w:rsidP="0011246D">
      <w:pPr>
        <w:pStyle w:val="DHHSbody"/>
      </w:pPr>
      <w:r>
        <w:t>We</w:t>
      </w:r>
      <w:r w:rsidRPr="00023752">
        <w:t xml:space="preserve"> consider that the elements of the duty </w:t>
      </w:r>
      <w:r w:rsidR="009E6575">
        <w:t xml:space="preserve">proposed by the Expert Working Group </w:t>
      </w:r>
      <w:r w:rsidRPr="00023752">
        <w:t>are no more onerous than those set out in the Australian Open Disclosure Framework.</w:t>
      </w:r>
      <w:r w:rsidRPr="00023752">
        <w:rPr>
          <w:vertAlign w:val="superscript"/>
        </w:rPr>
        <w:footnoteReference w:id="2"/>
      </w:r>
      <w:r w:rsidRPr="00023752">
        <w:t xml:space="preserve"> </w:t>
      </w:r>
      <w:r w:rsidR="0011246D">
        <w:t xml:space="preserve">We do not expect the requirement for an apology and factual explanation of what occurred to place a significant additional burden on health service entities given the existing requirements of open disclosure. The likely extent of increased investment in open disclosure to meet the intended standard of practice under the duty of candour will be further explored in consultation with stakeholders. </w:t>
      </w:r>
    </w:p>
    <w:p w:rsidR="0079569B" w:rsidRDefault="0079569B" w:rsidP="004E6B31">
      <w:pPr>
        <w:pStyle w:val="DHHSbody"/>
      </w:pPr>
    </w:p>
    <w:p w:rsidR="004E6B31" w:rsidRPr="004E6B31" w:rsidRDefault="000C3D06" w:rsidP="004E6B31">
      <w:pPr>
        <w:pStyle w:val="DHHSbody"/>
      </w:pPr>
      <w:r>
        <w:lastRenderedPageBreak/>
        <w:t xml:space="preserve">Potential costs </w:t>
      </w:r>
      <w:r w:rsidR="009C5DEF">
        <w:t>to health service</w:t>
      </w:r>
      <w:r w:rsidR="001F25F0">
        <w:t xml:space="preserve"> entitie</w:t>
      </w:r>
      <w:r w:rsidR="009C5DEF">
        <w:t xml:space="preserve">s </w:t>
      </w:r>
      <w:r>
        <w:t>include</w:t>
      </w:r>
      <w:r w:rsidR="004E6B31">
        <w:t>:</w:t>
      </w:r>
    </w:p>
    <w:p w:rsidR="004E6B31" w:rsidRPr="009C5DEF" w:rsidRDefault="005644E9" w:rsidP="3D1E2CE6">
      <w:pPr>
        <w:pStyle w:val="DHHSbullet1"/>
      </w:pPr>
      <w:r>
        <w:t>c</w:t>
      </w:r>
      <w:r w:rsidR="004E6B31">
        <w:t>osts of conducting the required disclosure process</w:t>
      </w:r>
      <w:r w:rsidR="00B00AF3">
        <w:t xml:space="preserve">, including </w:t>
      </w:r>
      <w:r w:rsidR="004E6B31">
        <w:t>preparing for and conducting meetings</w:t>
      </w:r>
      <w:r w:rsidR="00B00AF3">
        <w:t xml:space="preserve"> and </w:t>
      </w:r>
      <w:r w:rsidR="004E6B31">
        <w:t>preparing documentation to provide to consumers</w:t>
      </w:r>
    </w:p>
    <w:p w:rsidR="004E6B31" w:rsidRPr="004E6B31" w:rsidRDefault="005644E9" w:rsidP="3D1E2CE6">
      <w:pPr>
        <w:pStyle w:val="DHHSbullet1"/>
      </w:pPr>
      <w:r>
        <w:t>c</w:t>
      </w:r>
      <w:r w:rsidR="004E6B31">
        <w:t xml:space="preserve">osts to strengthen both internal and external publicity about its existing policy on </w:t>
      </w:r>
      <w:r w:rsidR="00434C4F">
        <w:t>candour</w:t>
      </w:r>
      <w:r w:rsidR="00B00AF3">
        <w:t xml:space="preserve"> – </w:t>
      </w:r>
      <w:r w:rsidR="004E6B31">
        <w:t>likely to be mainly transitional costs</w:t>
      </w:r>
    </w:p>
    <w:p w:rsidR="004E6B31" w:rsidRPr="009C5DEF" w:rsidRDefault="00B00AF3" w:rsidP="3D1E2CE6">
      <w:pPr>
        <w:pStyle w:val="DHHSbullet1"/>
      </w:pPr>
      <w:r>
        <w:t>c</w:t>
      </w:r>
      <w:r w:rsidR="004E6B31">
        <w:t xml:space="preserve">osts to support and encourage staff to behave candidly and conduct effective open disclosure processes </w:t>
      </w:r>
    </w:p>
    <w:p w:rsidR="004E6B31" w:rsidRPr="004E6B31" w:rsidRDefault="00F839F6" w:rsidP="3D1E2CE6">
      <w:pPr>
        <w:pStyle w:val="DHHSbullet1"/>
      </w:pPr>
      <w:r>
        <w:t>c</w:t>
      </w:r>
      <w:r w:rsidR="004E6B31">
        <w:t xml:space="preserve">osts for record keeping of compliance with the duty </w:t>
      </w:r>
    </w:p>
    <w:p w:rsidR="004E6B31" w:rsidRDefault="00F839F6" w:rsidP="3D1E2CE6">
      <w:pPr>
        <w:pStyle w:val="DHHSbullet1lastline"/>
      </w:pPr>
      <w:r>
        <w:t>c</w:t>
      </w:r>
      <w:r w:rsidR="004E6B31">
        <w:t xml:space="preserve">osts of reporting about compliance. </w:t>
      </w:r>
    </w:p>
    <w:p w:rsidR="0079569B" w:rsidRPr="009C5DEF" w:rsidRDefault="00114383" w:rsidP="00114383">
      <w:pPr>
        <w:pStyle w:val="DHHSbody"/>
      </w:pPr>
      <w:r w:rsidRPr="00114383">
        <w:t>The effects of creating a statutory duty of candour on litigation costs is uncertain. On the one hand, to the extent litigation is a result of ongoing dissatisfaction on the part of the consumer, creating a statutory duty of candour that improves consumer experience may lead to decreased litigation costs. On the other hand, there may be a perceived risk of an increase in medico-legal proceedings upon introduction of a duty of candour, due to the increased level of information available to consumers. Although evidence suggests that the introduction of a duty of candour may lead to a temporary increase in medico-legal proceedings, evidence from the United States suggests that the disclosure of error has the potential to reduce legal costs. There has not been any obvious change to the number of claims or complaints being made since the introduction of a similar obligation in the United Kingdom</w:t>
      </w:r>
      <w:r w:rsidR="003A4B16">
        <w:t>.</w:t>
      </w:r>
    </w:p>
    <w:p w:rsidR="7C236DA8" w:rsidRDefault="00111F67" w:rsidP="7C236DA8">
      <w:pPr>
        <w:pStyle w:val="DHHSbody"/>
      </w:pPr>
      <w:bookmarkStart w:id="29" w:name="_Hlk40315678"/>
      <w:r w:rsidRPr="00111F67">
        <w:rPr>
          <w:rFonts w:ascii="Cambria" w:eastAsia="Times New Roman" w:hAnsi="Cambria"/>
          <w:noProof/>
        </w:rPr>
        <mc:AlternateContent>
          <mc:Choice Requires="wps">
            <w:drawing>
              <wp:inline distT="0" distB="0" distL="0" distR="0" wp14:anchorId="7A81C88F" wp14:editId="5FF822BD">
                <wp:extent cx="5886450" cy="1404620"/>
                <wp:effectExtent l="0" t="0" r="19050" b="2413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cap="rnd">
                          <a:solidFill>
                            <a:srgbClr val="87189D"/>
                          </a:solidFill>
                          <a:round/>
                          <a:headEnd/>
                          <a:tailEnd/>
                        </a:ln>
                      </wps:spPr>
                      <wps:txbx>
                        <w:txbxContent>
                          <w:p w:rsidR="00111F67" w:rsidRDefault="00111F67" w:rsidP="00111F67">
                            <w:pPr>
                              <w:pStyle w:val="Heading3"/>
                            </w:pPr>
                            <w:bookmarkStart w:id="30" w:name="_Toc40334306"/>
                            <w:bookmarkStart w:id="31" w:name="_Toc47965006"/>
                            <w:r>
                              <w:t xml:space="preserve">Consultation questions – </w:t>
                            </w:r>
                            <w:r w:rsidRPr="00F6610B">
                              <w:rPr>
                                <w:i/>
                              </w:rPr>
                              <w:t>Victorian candour and open disclosure guidelines</w:t>
                            </w:r>
                            <w:bookmarkEnd w:id="30"/>
                            <w:bookmarkEnd w:id="31"/>
                          </w:p>
                          <w:p w:rsidR="00111F67" w:rsidRDefault="00111F67" w:rsidP="00111F67">
                            <w:pPr>
                              <w:pStyle w:val="Heading4"/>
                              <w:ind w:left="720" w:hanging="660"/>
                            </w:pPr>
                            <w:bookmarkStart w:id="32" w:name="_Hlk40735209"/>
                            <w:bookmarkStart w:id="33" w:name="_Hlk40735210"/>
                            <w:bookmarkStart w:id="34" w:name="_Hlk40735211"/>
                            <w:bookmarkStart w:id="35" w:name="_Hlk40735212"/>
                            <w:bookmarkStart w:id="36" w:name="_Hlk40735213"/>
                            <w:bookmarkStart w:id="37" w:name="_Hlk40735214"/>
                            <w:bookmarkStart w:id="38" w:name="_Hlk40735215"/>
                            <w:bookmarkStart w:id="39" w:name="_Hlk40735216"/>
                            <w:bookmarkStart w:id="40" w:name="_Hlk40735217"/>
                            <w:bookmarkStart w:id="41" w:name="_Hlk40735218"/>
                            <w:r>
                              <w:t xml:space="preserve">Q1 </w:t>
                            </w:r>
                            <w:r>
                              <w:tab/>
                              <w:t xml:space="preserve">Do you </w:t>
                            </w:r>
                            <w:r w:rsidR="005766C5">
                              <w:t>support</w:t>
                            </w:r>
                            <w:r>
                              <w:t xml:space="preserve"> the proposed content and format of the </w:t>
                            </w:r>
                            <w:r w:rsidRPr="00F6610B">
                              <w:rPr>
                                <w:i/>
                              </w:rPr>
                              <w:t>Victorian candour and open disclosure guidelines</w:t>
                            </w:r>
                            <w:r>
                              <w:t xml:space="preserve"> (</w:t>
                            </w:r>
                            <w:r w:rsidRPr="006B14B3">
                              <w:t xml:space="preserve">noting </w:t>
                            </w:r>
                            <w:r w:rsidRPr="006B14B3">
                              <w:tab/>
                              <w:t>they are a detailed legislative instrument underpinning high level primary legislation)?</w:t>
                            </w:r>
                          </w:p>
                          <w:p w:rsidR="00111F67" w:rsidRPr="009C5DEF" w:rsidRDefault="00111F67" w:rsidP="00111F67">
                            <w:pPr>
                              <w:pStyle w:val="Heading4"/>
                              <w:ind w:left="720" w:hanging="720"/>
                            </w:pPr>
                            <w:r>
                              <w:t>Q2</w:t>
                            </w:r>
                            <w:r>
                              <w:tab/>
                              <w:t xml:space="preserve">Are there any matters which should be included or removed from the proposed content of the guidelines? </w:t>
                            </w:r>
                          </w:p>
                          <w:p w:rsidR="00111F67" w:rsidRDefault="00111F67" w:rsidP="00111F67">
                            <w:pPr>
                              <w:pStyle w:val="Heading4"/>
                              <w:ind w:left="720" w:hanging="720"/>
                            </w:pPr>
                            <w:r>
                              <w:t>Q3</w:t>
                            </w:r>
                            <w:r>
                              <w:tab/>
                              <w:t xml:space="preserve">Should the guidelines address how qualified privilege impacts on open disclosure process? </w:t>
                            </w:r>
                          </w:p>
                          <w:p w:rsidR="00111F67" w:rsidRDefault="00111F67" w:rsidP="00111F67">
                            <w:pPr>
                              <w:pStyle w:val="Heading4"/>
                            </w:pPr>
                            <w:r>
                              <w:t>Q4</w:t>
                            </w:r>
                            <w:r>
                              <w:tab/>
                              <w:t>For health service entities and practitioners:</w:t>
                            </w:r>
                          </w:p>
                          <w:p w:rsidR="00111F67" w:rsidRDefault="00111F67" w:rsidP="00111F67">
                            <w:pPr>
                              <w:pStyle w:val="Heading4"/>
                              <w:numPr>
                                <w:ilvl w:val="0"/>
                                <w:numId w:val="18"/>
                              </w:numPr>
                            </w:pPr>
                            <w:r>
                              <w:t>Will the introduction of a duty of candour lead to a significant alteration of practices given overlap with open disclosure? If so, please provide more information on compliance with open disclosure obligations.</w:t>
                            </w:r>
                          </w:p>
                          <w:p w:rsidR="00111F67" w:rsidRDefault="00111F67" w:rsidP="00111F67">
                            <w:pPr>
                              <w:pStyle w:val="Heading4"/>
                              <w:numPr>
                                <w:ilvl w:val="0"/>
                                <w:numId w:val="18"/>
                              </w:numPr>
                            </w:pPr>
                            <w:r>
                              <w:t xml:space="preserve">Is it likely that the additional requirements of candour, though largely similar to those for open disclosure, will lead to an increase in costs for compliance? If so, please provide more information and, if possible, an estimate of costs. </w:t>
                            </w:r>
                          </w:p>
                          <w:p w:rsidR="00111F67" w:rsidRPr="004E6B31" w:rsidRDefault="00111F67" w:rsidP="00111F67">
                            <w:pPr>
                              <w:pStyle w:val="Heading4"/>
                              <w:numPr>
                                <w:ilvl w:val="0"/>
                                <w:numId w:val="18"/>
                              </w:numPr>
                            </w:pPr>
                            <w:r>
                              <w:t>Is it likely that you</w:t>
                            </w:r>
                            <w:r w:rsidRPr="004E6B31">
                              <w:t xml:space="preserve"> </w:t>
                            </w:r>
                            <w:r>
                              <w:t>will need to</w:t>
                            </w:r>
                            <w:r w:rsidRPr="004E6B31">
                              <w:t xml:space="preserve"> alter</w:t>
                            </w:r>
                            <w:r>
                              <w:t xml:space="preserve"> </w:t>
                            </w:r>
                            <w:r w:rsidRPr="004E6B31">
                              <w:t>internal governance and reporting practices on open disclosure following introduction of a statutory duty (for example more regular or detailed reporting to the board or other high</w:t>
                            </w:r>
                            <w:r>
                              <w:t>-level</w:t>
                            </w:r>
                            <w:r w:rsidRPr="004E6B31">
                              <w:t xml:space="preserve"> governance bodies</w:t>
                            </w:r>
                            <w:r>
                              <w:t>)? If so, please provide more information.</w:t>
                            </w:r>
                          </w:p>
                          <w:p w:rsidR="00111F67" w:rsidRDefault="00111F67" w:rsidP="00111F67">
                            <w:pPr>
                              <w:pStyle w:val="Heading4"/>
                              <w:ind w:left="720" w:hanging="720"/>
                            </w:pPr>
                            <w:r>
                              <w:t xml:space="preserve">Q5 </w:t>
                            </w:r>
                            <w:r>
                              <w:tab/>
                            </w:r>
                            <w:r w:rsidRPr="009D77D9">
                              <w:t>Are there other issues</w:t>
                            </w:r>
                            <w:r>
                              <w:t xml:space="preserve"> or unintended consequences</w:t>
                            </w:r>
                            <w:r w:rsidRPr="009D77D9">
                              <w:t xml:space="preserve"> that should be addressed or considered as part of the </w:t>
                            </w:r>
                            <w:r>
                              <w:t>development of the guidelines</w:t>
                            </w:r>
                            <w:r w:rsidRPr="009D77D9">
                              <w:t>?</w:t>
                            </w:r>
                            <w:r>
                              <w:t xml:space="preserve"> Please note a draft of the guidelines will be released with the exposure draft of the legislation (anticipated in 2021).</w:t>
                            </w:r>
                            <w:bookmarkEnd w:id="32"/>
                            <w:bookmarkEnd w:id="33"/>
                            <w:bookmarkEnd w:id="34"/>
                            <w:bookmarkEnd w:id="35"/>
                            <w:bookmarkEnd w:id="36"/>
                            <w:bookmarkEnd w:id="37"/>
                            <w:bookmarkEnd w:id="38"/>
                            <w:bookmarkEnd w:id="39"/>
                            <w:bookmarkEnd w:id="40"/>
                            <w:bookmarkEnd w:id="41"/>
                          </w:p>
                        </w:txbxContent>
                      </wps:txbx>
                      <wps:bodyPr rot="0" vert="horz" wrap="square" lIns="91440" tIns="45720" rIns="91440" bIns="45720" anchor="t" anchorCtr="0">
                        <a:spAutoFit/>
                      </wps:bodyPr>
                    </wps:wsp>
                  </a:graphicData>
                </a:graphic>
              </wp:inline>
            </w:drawing>
          </mc:Choice>
          <mc:Fallback>
            <w:pict>
              <v:shape w14:anchorId="7A81C88F" id="Text Box 2" o:spid="_x0000_s1027" type="#_x0000_t202" style="width:46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" strokecolor="#87189d">
                <v:stroke joinstyle="round" endcap="round"/>
                <v:textbox style="mso-fit-shape-to-text:t">
                  <w:txbxContent>
                    <w:p w:rsidR="00111F67" w:rsidRDefault="00111F67" w:rsidP="00111F67">
                      <w:pPr>
                        <w:pStyle w:val="Heading3"/>
                      </w:pPr>
                      <w:bookmarkStart w:id="42" w:name="_Toc40334306"/>
                      <w:bookmarkStart w:id="43" w:name="_Toc47965006"/>
                      <w:r>
                        <w:t xml:space="preserve">Consultation questions – </w:t>
                      </w:r>
                      <w:r w:rsidRPr="00F6610B">
                        <w:rPr>
                          <w:i/>
                        </w:rPr>
                        <w:t>Victorian candour and open disclosure guidelines</w:t>
                      </w:r>
                      <w:bookmarkEnd w:id="42"/>
                      <w:bookmarkEnd w:id="43"/>
                    </w:p>
                    <w:p w:rsidR="00111F67" w:rsidRDefault="00111F67" w:rsidP="00111F67">
                      <w:pPr>
                        <w:pStyle w:val="Heading4"/>
                        <w:ind w:left="720" w:hanging="660"/>
                      </w:pPr>
                      <w:bookmarkStart w:id="44" w:name="_Hlk40735209"/>
                      <w:bookmarkStart w:id="45" w:name="_Hlk40735210"/>
                      <w:bookmarkStart w:id="46" w:name="_Hlk40735211"/>
                      <w:bookmarkStart w:id="47" w:name="_Hlk40735212"/>
                      <w:bookmarkStart w:id="48" w:name="_Hlk40735213"/>
                      <w:bookmarkStart w:id="49" w:name="_Hlk40735214"/>
                      <w:bookmarkStart w:id="50" w:name="_Hlk40735215"/>
                      <w:bookmarkStart w:id="51" w:name="_Hlk40735216"/>
                      <w:bookmarkStart w:id="52" w:name="_Hlk40735217"/>
                      <w:bookmarkStart w:id="53" w:name="_Hlk40735218"/>
                      <w:r>
                        <w:t xml:space="preserve">Q1 </w:t>
                      </w:r>
                      <w:r>
                        <w:tab/>
                        <w:t xml:space="preserve">Do you </w:t>
                      </w:r>
                      <w:r w:rsidR="005766C5">
                        <w:t>support</w:t>
                      </w:r>
                      <w:r>
                        <w:t xml:space="preserve"> the proposed content and format of the </w:t>
                      </w:r>
                      <w:r w:rsidRPr="00F6610B">
                        <w:rPr>
                          <w:i/>
                        </w:rPr>
                        <w:t>Victorian candour and open disclosure guidelines</w:t>
                      </w:r>
                      <w:r>
                        <w:t xml:space="preserve"> (</w:t>
                      </w:r>
                      <w:r w:rsidRPr="006B14B3">
                        <w:t xml:space="preserve">noting </w:t>
                      </w:r>
                      <w:r w:rsidRPr="006B14B3">
                        <w:tab/>
                        <w:t>they are a detailed legislative instrument underpinning high level primary legislation)?</w:t>
                      </w:r>
                    </w:p>
                    <w:p w:rsidR="00111F67" w:rsidRPr="009C5DEF" w:rsidRDefault="00111F67" w:rsidP="00111F67">
                      <w:pPr>
                        <w:pStyle w:val="Heading4"/>
                        <w:ind w:left="720" w:hanging="720"/>
                      </w:pPr>
                      <w:r>
                        <w:t>Q2</w:t>
                      </w:r>
                      <w:r>
                        <w:tab/>
                        <w:t xml:space="preserve">Are there any matters which should be included or removed from the proposed content of the guidelines? </w:t>
                      </w:r>
                    </w:p>
                    <w:p w:rsidR="00111F67" w:rsidRDefault="00111F67" w:rsidP="00111F67">
                      <w:pPr>
                        <w:pStyle w:val="Heading4"/>
                        <w:ind w:left="720" w:hanging="720"/>
                      </w:pPr>
                      <w:r>
                        <w:t>Q3</w:t>
                      </w:r>
                      <w:r>
                        <w:tab/>
                        <w:t xml:space="preserve">Should the guidelines address how qualified privilege impacts on open disclosure process? </w:t>
                      </w:r>
                    </w:p>
                    <w:p w:rsidR="00111F67" w:rsidRDefault="00111F67" w:rsidP="00111F67">
                      <w:pPr>
                        <w:pStyle w:val="Heading4"/>
                      </w:pPr>
                      <w:r>
                        <w:t>Q4</w:t>
                      </w:r>
                      <w:r>
                        <w:tab/>
                        <w:t>For health service entities and practitioners:</w:t>
                      </w:r>
                    </w:p>
                    <w:p w:rsidR="00111F67" w:rsidRDefault="00111F67" w:rsidP="00111F67">
                      <w:pPr>
                        <w:pStyle w:val="Heading4"/>
                        <w:numPr>
                          <w:ilvl w:val="0"/>
                          <w:numId w:val="18"/>
                        </w:numPr>
                      </w:pPr>
                      <w:r>
                        <w:t>Will the introduction of a duty of candour lead to a significant alteration of practices given overlap with open disclosure? If so, please provide more information on compliance with open disclosure obligations.</w:t>
                      </w:r>
                    </w:p>
                    <w:p w:rsidR="00111F67" w:rsidRDefault="00111F67" w:rsidP="00111F67">
                      <w:pPr>
                        <w:pStyle w:val="Heading4"/>
                        <w:numPr>
                          <w:ilvl w:val="0"/>
                          <w:numId w:val="18"/>
                        </w:numPr>
                      </w:pPr>
                      <w:r>
                        <w:t xml:space="preserve">Is it likely that the additional requirements of candour, though largely similar to those for open disclosure, will lead to an increase in costs for compliance? If so, please provide more information and, if possible, an estimate of costs. </w:t>
                      </w:r>
                    </w:p>
                    <w:p w:rsidR="00111F67" w:rsidRPr="004E6B31" w:rsidRDefault="00111F67" w:rsidP="00111F67">
                      <w:pPr>
                        <w:pStyle w:val="Heading4"/>
                        <w:numPr>
                          <w:ilvl w:val="0"/>
                          <w:numId w:val="18"/>
                        </w:numPr>
                      </w:pPr>
                      <w:r>
                        <w:t>Is it likely that you</w:t>
                      </w:r>
                      <w:r w:rsidRPr="004E6B31">
                        <w:t xml:space="preserve"> </w:t>
                      </w:r>
                      <w:r>
                        <w:t>will need to</w:t>
                      </w:r>
                      <w:r w:rsidRPr="004E6B31">
                        <w:t xml:space="preserve"> alter</w:t>
                      </w:r>
                      <w:r>
                        <w:t xml:space="preserve"> </w:t>
                      </w:r>
                      <w:r w:rsidRPr="004E6B31">
                        <w:t>internal governance and reporting practices on open disclosure following introduction of a statutory duty (for example more regular or detailed reporting to the board or other high</w:t>
                      </w:r>
                      <w:r>
                        <w:t>-level</w:t>
                      </w:r>
                      <w:r w:rsidRPr="004E6B31">
                        <w:t xml:space="preserve"> governance bodies</w:t>
                      </w:r>
                      <w:r>
                        <w:t>)? If so, please provide more information.</w:t>
                      </w:r>
                    </w:p>
                    <w:p w:rsidR="00111F67" w:rsidRDefault="00111F67" w:rsidP="00111F67">
                      <w:pPr>
                        <w:pStyle w:val="Heading4"/>
                        <w:ind w:left="720" w:hanging="720"/>
                      </w:pPr>
                      <w:r>
                        <w:t xml:space="preserve">Q5 </w:t>
                      </w:r>
                      <w:r>
                        <w:tab/>
                      </w:r>
                      <w:r w:rsidRPr="009D77D9">
                        <w:t>Are there other issues</w:t>
                      </w:r>
                      <w:r>
                        <w:t xml:space="preserve"> or unintended consequences</w:t>
                      </w:r>
                      <w:r w:rsidRPr="009D77D9">
                        <w:t xml:space="preserve"> that should be addressed or considered as part of the </w:t>
                      </w:r>
                      <w:r>
                        <w:t>development of the guidelines</w:t>
                      </w:r>
                      <w:r w:rsidRPr="009D77D9">
                        <w:t>?</w:t>
                      </w:r>
                      <w:r>
                        <w:t xml:space="preserve"> Please note a draft of the guidelines will be released with the exposure draft of the legislation (anticipated in 2021).</w:t>
                      </w:r>
                      <w:bookmarkEnd w:id="44"/>
                      <w:bookmarkEnd w:id="45"/>
                      <w:bookmarkEnd w:id="46"/>
                      <w:bookmarkEnd w:id="47"/>
                      <w:bookmarkEnd w:id="48"/>
                      <w:bookmarkEnd w:id="49"/>
                      <w:bookmarkEnd w:id="50"/>
                      <w:bookmarkEnd w:id="51"/>
                      <w:bookmarkEnd w:id="52"/>
                      <w:bookmarkEnd w:id="53"/>
                    </w:p>
                  </w:txbxContent>
                </v:textbox>
                <w10:anchorlock/>
              </v:shape>
            </w:pict>
          </mc:Fallback>
        </mc:AlternateContent>
      </w:r>
    </w:p>
    <w:p w:rsidR="000617CA" w:rsidRDefault="003A4B16" w:rsidP="0011246D">
      <w:pPr>
        <w:pStyle w:val="DHHSbody"/>
      </w:pPr>
      <w:r>
        <w:rPr>
          <w:noProof/>
          <w:lang w:eastAsia="en-AU"/>
        </w:rPr>
        <mc:AlternateContent>
          <mc:Choice Requires="wps">
            <w:drawing>
              <wp:anchor distT="0" distB="0" distL="114300" distR="114300" simplePos="0" relativeHeight="251658240" behindDoc="0" locked="0" layoutInCell="1" allowOverlap="1" wp14:anchorId="4ADE877C" wp14:editId="56006FC5">
                <wp:simplePos x="0" y="0"/>
                <wp:positionH relativeFrom="column">
                  <wp:posOffset>4566920</wp:posOffset>
                </wp:positionH>
                <wp:positionV relativeFrom="paragraph">
                  <wp:posOffset>-91943555</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752" w:rsidRDefault="00023752"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877C" id="Text Box 43" o:spid="_x0000_s1028" type="#_x0000_t202" style="position:absolute;margin-left:359.6pt;margin-top:-7239.65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zh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" filled="f" stroked="f">
                <v:textbox>
                  <w:txbxContent>
                    <w:p w:rsidR="00023752" w:rsidRDefault="00023752" w:rsidP="00AC0C3B">
                      <w:pPr>
                        <w:jc w:val="right"/>
                      </w:pPr>
                      <w:r w:rsidRPr="000147AF">
                        <w:rPr>
                          <w:rFonts w:ascii="Arial" w:hAnsi="Arial" w:cs="Arial"/>
                          <w:color w:val="808080"/>
                          <w:sz w:val="22"/>
                          <w:szCs w:val="22"/>
                        </w:rPr>
                        <w:t>Department of Health</w:t>
                      </w:r>
                    </w:p>
                  </w:txbxContent>
                </v:textbox>
              </v:shape>
            </w:pict>
          </mc:Fallback>
        </mc:AlternateContent>
      </w:r>
    </w:p>
    <w:p w:rsidR="001C4963" w:rsidRDefault="008B2479" w:rsidP="001C4963">
      <w:pPr>
        <w:pStyle w:val="Heading2"/>
      </w:pPr>
      <w:bookmarkStart w:id="54" w:name="_Toc47965007"/>
      <w:bookmarkEnd w:id="29"/>
      <w:r w:rsidDel="009E4741">
        <w:lastRenderedPageBreak/>
        <w:t xml:space="preserve">Proposed model </w:t>
      </w:r>
      <w:r w:rsidR="5C40DBFE" w:rsidDel="009E4741">
        <w:t xml:space="preserve">of protections for </w:t>
      </w:r>
      <w:r w:rsidR="001C4963">
        <w:t>clin</w:t>
      </w:r>
      <w:r w:rsidR="009C5DEF">
        <w:t>ical</w:t>
      </w:r>
      <w:r w:rsidR="001C4963">
        <w:t xml:space="preserve"> incident reviews</w:t>
      </w:r>
      <w:bookmarkEnd w:id="54"/>
    </w:p>
    <w:p w:rsidR="00C31CEB" w:rsidRDefault="001C4963" w:rsidP="001C4963">
      <w:pPr>
        <w:pStyle w:val="DHHSbody"/>
      </w:pPr>
      <w:bookmarkStart w:id="55" w:name="_Hlk40332545"/>
      <w:r>
        <w:t>Clinical incident review processes are valuable quality and safety improvement processes conducted</w:t>
      </w:r>
      <w:r w:rsidR="00EE0A5D">
        <w:t xml:space="preserve"> or commissioned</w:t>
      </w:r>
      <w:r>
        <w:t xml:space="preserve"> </w:t>
      </w:r>
      <w:r w:rsidR="008C3ACB">
        <w:t xml:space="preserve">by health service entities </w:t>
      </w:r>
      <w:r>
        <w:t>in relation to serious incidents, including where systemic issues are identified or suspected. Such processes involve sometimes speculative discussion about factors that may have contributed to the incident and/or related harm. It has been argued that the nature of that discussion is such that if details of the discussion were relied upon as evidence in civil legal proceedings, inappropriate or perverse outcomes may result. </w:t>
      </w:r>
      <w:bookmarkEnd w:id="55"/>
    </w:p>
    <w:p w:rsidR="001C4963" w:rsidRPr="001C4963" w:rsidRDefault="3624E01B" w:rsidP="001C4963">
      <w:pPr>
        <w:pStyle w:val="DHHSbody"/>
      </w:pPr>
      <w:r>
        <w:t>The</w:t>
      </w:r>
      <w:r w:rsidR="009A43AA">
        <w:t xml:space="preserve"> proposed model will </w:t>
      </w:r>
      <w:r w:rsidR="003A4B16">
        <w:t xml:space="preserve">ensure </w:t>
      </w:r>
      <w:r w:rsidR="009A43AA">
        <w:t>protections for reviews of specified serious incidents. Health service entities will be able to take advantage of the protections if they choose to conduct a review under the proposed provisions. The conduct of a review under the proposed provisions will only be mandated when an entity is directed by the Secretary</w:t>
      </w:r>
      <w:r w:rsidR="3DA0B246">
        <w:t xml:space="preserve"> of the Department of Health and Human Services</w:t>
      </w:r>
      <w:r w:rsidR="009A43AA">
        <w:t xml:space="preserve"> to appoint a </w:t>
      </w:r>
      <w:r w:rsidR="3DA0B246">
        <w:t xml:space="preserve">review </w:t>
      </w:r>
      <w:r w:rsidR="009A43AA">
        <w:t>team.</w:t>
      </w:r>
    </w:p>
    <w:p w:rsidR="001C4963" w:rsidRPr="001C4963" w:rsidRDefault="001C4963" w:rsidP="001C4963">
      <w:pPr>
        <w:pStyle w:val="DHHSbody"/>
      </w:pPr>
      <w:r w:rsidRPr="001C4963">
        <w:t>Consultation will occur on the following proposed model for clinical incident review protections: </w:t>
      </w:r>
    </w:p>
    <w:p w:rsidR="001C4963" w:rsidRPr="001C4963" w:rsidRDefault="00111F67" w:rsidP="3D1E2CE6">
      <w:pPr>
        <w:pStyle w:val="DHHSbullet1"/>
      </w:pPr>
      <w:r>
        <w:t>T</w:t>
      </w:r>
      <w:r w:rsidR="001C4963">
        <w:t>hose involved in the clinical incident review and the commissioning health service entity are under a confidentiality obligation in relation to the clinical incident review</w:t>
      </w:r>
    </w:p>
    <w:p w:rsidR="001C4963" w:rsidRPr="001C4963" w:rsidRDefault="00111F67" w:rsidP="3D1E2CE6">
      <w:pPr>
        <w:pStyle w:val="DHHSbullet1"/>
      </w:pPr>
      <w:r>
        <w:t>T</w:t>
      </w:r>
      <w:r w:rsidR="001C4963">
        <w:t>he report and working papers from the clinical incident review are exempt from Freedom of Information requests and are not admissible in court</w:t>
      </w:r>
    </w:p>
    <w:p w:rsidR="001C4963" w:rsidRPr="001C4963" w:rsidRDefault="00111F67" w:rsidP="3D1E2CE6">
      <w:pPr>
        <w:pStyle w:val="DHHSbullet1"/>
      </w:pPr>
      <w:r>
        <w:t>T</w:t>
      </w:r>
      <w:r w:rsidR="001C4963">
        <w:t>hose involved in the clinical incident review cannot be required to give evidence about review documents</w:t>
      </w:r>
      <w:r>
        <w:t xml:space="preserve"> and deliberations (e.g. interviews, discussions)</w:t>
      </w:r>
    </w:p>
    <w:p w:rsidR="001C4963" w:rsidRPr="001C4963" w:rsidRDefault="00111F67" w:rsidP="3D1E2CE6">
      <w:pPr>
        <w:pStyle w:val="DHHSbullet1"/>
      </w:pPr>
      <w:r>
        <w:t>D</w:t>
      </w:r>
      <w:r w:rsidR="001C4963">
        <w:t xml:space="preserve">isclosure of the </w:t>
      </w:r>
      <w:r w:rsidR="5E50AB56">
        <w:t xml:space="preserve">review </w:t>
      </w:r>
      <w:r w:rsidR="001C4963">
        <w:t>report to specified third parties is allowed, including disclosure to a person whom the commissioning health service entity considers has a sufficient personal and professional interest   </w:t>
      </w:r>
    </w:p>
    <w:p w:rsidR="001C4963" w:rsidRPr="001C4963" w:rsidRDefault="00111F67" w:rsidP="3D1E2CE6">
      <w:pPr>
        <w:pStyle w:val="DHHSbullet1"/>
      </w:pPr>
      <w:r>
        <w:t>P</w:t>
      </w:r>
      <w:r w:rsidR="001C4963">
        <w:t>ermitted disclosure does not make the report admissible in court or available under the </w:t>
      </w:r>
      <w:r w:rsidR="001C4963" w:rsidRPr="3D1E2CE6">
        <w:rPr>
          <w:i/>
          <w:iCs/>
        </w:rPr>
        <w:t>Freedom of Information Act 1982</w:t>
      </w:r>
    </w:p>
    <w:p w:rsidR="001C4963" w:rsidRDefault="005766C5" w:rsidP="3D1E2CE6">
      <w:pPr>
        <w:pStyle w:val="DHHSbullet1lastline"/>
      </w:pPr>
      <w:r>
        <w:t>P</w:t>
      </w:r>
      <w:r w:rsidR="001C4963">
        <w:t>roviding information to a review in good faith would not breach any professional ethics nor give rise to personal liability</w:t>
      </w:r>
    </w:p>
    <w:p w:rsidR="00111F67" w:rsidRPr="001C4963" w:rsidRDefault="00111F67" w:rsidP="3D1E2CE6">
      <w:pPr>
        <w:pStyle w:val="DHHSbullet1lastline"/>
      </w:pPr>
      <w:r w:rsidRPr="00111F67">
        <w:t>Health service</w:t>
      </w:r>
      <w:r w:rsidR="00582E56">
        <w:t xml:space="preserve"> entities</w:t>
      </w:r>
      <w:r w:rsidRPr="00111F67">
        <w:t xml:space="preserve"> are obligated to offer the clinical incident review report to consumers and to provide the report when consumers accept that offer. </w:t>
      </w:r>
      <w:r>
        <w:t xml:space="preserve">This </w:t>
      </w:r>
      <w:r w:rsidR="005766C5">
        <w:t xml:space="preserve">aligns with duty of candour and mitigates against restrictions </w:t>
      </w:r>
      <w:r w:rsidR="0079569B">
        <w:t xml:space="preserve">on consumer use of information. </w:t>
      </w:r>
      <w:r w:rsidRPr="00111F67">
        <w:t xml:space="preserve"> </w:t>
      </w:r>
    </w:p>
    <w:p w:rsidR="00111F67" w:rsidRPr="00111F67" w:rsidRDefault="005766C5" w:rsidP="005766C5">
      <w:pPr>
        <w:pStyle w:val="DHHSbody"/>
      </w:pPr>
      <w:r>
        <w:t>R</w:t>
      </w:r>
      <w:r w:rsidR="00111F67" w:rsidRPr="00111F67">
        <w:t>eports will not be admissible in court. The protections do not apply to primary source documents such as medical records and other corporate records of the health service entity. These are matters of fact and should be available to consumers and others, to the extent that they currently are.</w:t>
      </w:r>
    </w:p>
    <w:p w:rsidR="009C5DEF" w:rsidRDefault="009C5DEF" w:rsidP="001C4963">
      <w:pPr>
        <w:pStyle w:val="DHHSbody"/>
      </w:pPr>
    </w:p>
    <w:p w:rsidR="003A4B16" w:rsidRPr="001C4963" w:rsidRDefault="005766C5" w:rsidP="001C4963">
      <w:pPr>
        <w:pStyle w:val="DHHSbody"/>
      </w:pPr>
      <w:r w:rsidRPr="005766C5">
        <w:rPr>
          <w:rFonts w:ascii="Cambria" w:eastAsia="Times New Roman" w:hAnsi="Cambria"/>
          <w:noProof/>
        </w:rPr>
        <w:lastRenderedPageBreak/>
        <mc:AlternateContent>
          <mc:Choice Requires="wps">
            <w:drawing>
              <wp:inline distT="0" distB="0" distL="0" distR="0" wp14:anchorId="00ED1AED" wp14:editId="232E9605">
                <wp:extent cx="5886450" cy="1404620"/>
                <wp:effectExtent l="0" t="0" r="19050" b="241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cap="rnd">
                          <a:solidFill>
                            <a:srgbClr val="87189D"/>
                          </a:solidFill>
                          <a:round/>
                          <a:headEnd/>
                          <a:tailEnd/>
                        </a:ln>
                      </wps:spPr>
                      <wps:txbx>
                        <w:txbxContent>
                          <w:p w:rsidR="005766C5" w:rsidRDefault="005766C5" w:rsidP="005766C5">
                            <w:pPr>
                              <w:pStyle w:val="Heading3"/>
                            </w:pPr>
                            <w:bookmarkStart w:id="56" w:name="_Toc40334310"/>
                            <w:bookmarkStart w:id="57" w:name="_Toc47965008"/>
                            <w:bookmarkStart w:id="58" w:name="_Hlk40735328"/>
                            <w:bookmarkStart w:id="59" w:name="_Hlk40735329"/>
                            <w:bookmarkStart w:id="60" w:name="_Hlk40735330"/>
                            <w:bookmarkStart w:id="61" w:name="_Hlk40735331"/>
                            <w:bookmarkStart w:id="62" w:name="_Hlk40735332"/>
                            <w:bookmarkStart w:id="63" w:name="_Hlk40735333"/>
                            <w:bookmarkStart w:id="64" w:name="_Hlk40735334"/>
                            <w:bookmarkStart w:id="65" w:name="_Hlk40735335"/>
                            <w:bookmarkStart w:id="66" w:name="_Hlk40735336"/>
                            <w:bookmarkStart w:id="67" w:name="_Hlk40735337"/>
                            <w:bookmarkStart w:id="68" w:name="_Hlk40735338"/>
                            <w:bookmarkStart w:id="69" w:name="_Hlk40735339"/>
                            <w:bookmarkStart w:id="70" w:name="_Hlk40735340"/>
                            <w:bookmarkStart w:id="71" w:name="_Hlk40735341"/>
                            <w:bookmarkStart w:id="72" w:name="_Hlk40735342"/>
                            <w:bookmarkStart w:id="73" w:name="_Hlk40735343"/>
                            <w:bookmarkStart w:id="74" w:name="_Hlk40735344"/>
                            <w:bookmarkStart w:id="75" w:name="_Hlk40735345"/>
                            <w:bookmarkStart w:id="76" w:name="_Hlk40735351"/>
                            <w:bookmarkStart w:id="77" w:name="_Hlk40735352"/>
                            <w:bookmarkStart w:id="78" w:name="_Hlk40735353"/>
                            <w:bookmarkStart w:id="79" w:name="_Hlk40735354"/>
                            <w:bookmarkStart w:id="80" w:name="_Hlk40735355"/>
                            <w:bookmarkStart w:id="81" w:name="_Hlk40735356"/>
                            <w:bookmarkStart w:id="82" w:name="_Hlk40735357"/>
                            <w:bookmarkStart w:id="83" w:name="_Hlk40735358"/>
                            <w:bookmarkStart w:id="84" w:name="_Hlk40735359"/>
                            <w:bookmarkStart w:id="85" w:name="_Hlk40735360"/>
                            <w:bookmarkStart w:id="86" w:name="_Hlk40735361"/>
                            <w:bookmarkStart w:id="87" w:name="_Hlk40735362"/>
                            <w:r>
                              <w:t>Consultation questions – protections for clinical incident reviews</w:t>
                            </w:r>
                            <w:bookmarkEnd w:id="56"/>
                            <w:bookmarkEnd w:id="57"/>
                          </w:p>
                          <w:p w:rsidR="005766C5" w:rsidRDefault="005766C5" w:rsidP="005766C5">
                            <w:pPr>
                              <w:pStyle w:val="Heading4"/>
                              <w:ind w:left="720" w:hanging="660"/>
                            </w:pPr>
                            <w:r>
                              <w:t>Q6</w:t>
                            </w:r>
                            <w:r>
                              <w:tab/>
                              <w:t>Do you support the proposed model for clinical incident reviews? If not, is there an alternative model that would better meet the policy objective of fostering open and honest culture in health services?</w:t>
                            </w:r>
                          </w:p>
                          <w:p w:rsidR="005766C5" w:rsidRPr="009A43AA" w:rsidRDefault="005766C5" w:rsidP="005766C5">
                            <w:pPr>
                              <w:pStyle w:val="Heading4"/>
                              <w:ind w:left="720" w:hanging="720"/>
                            </w:pPr>
                            <w:r>
                              <w:t>Q7</w:t>
                            </w:r>
                            <w:r>
                              <w:tab/>
                            </w:r>
                            <w:r w:rsidRPr="001B2B08">
                              <w:t xml:space="preserve">Are there any unintended consequences or issues </w:t>
                            </w:r>
                            <w:r>
                              <w:t>with</w:t>
                            </w:r>
                            <w:r w:rsidRPr="001B2B08">
                              <w:t xml:space="preserve"> the model that should be addressed or considered?</w:t>
                            </w:r>
                            <w:r>
                              <w:t xml:space="preserve"> </w:t>
                            </w:r>
                          </w:p>
                          <w:p w:rsidR="005766C5" w:rsidRDefault="005766C5" w:rsidP="005766C5">
                            <w:pPr>
                              <w:pStyle w:val="Heading4"/>
                              <w:ind w:left="720" w:hanging="720"/>
                              <w:rPr>
                                <w:rFonts w:eastAsia="Times"/>
                              </w:rPr>
                            </w:pPr>
                            <w:r>
                              <w:rPr>
                                <w:rFonts w:eastAsia="Times"/>
                              </w:rPr>
                              <w:t>Q8</w:t>
                            </w:r>
                            <w:r>
                              <w:rPr>
                                <w:rFonts w:eastAsia="Times"/>
                              </w:rPr>
                              <w:tab/>
                            </w:r>
                            <w:r w:rsidRPr="00726E5C">
                              <w:rPr>
                                <w:rFonts w:eastAsia="Times"/>
                              </w:rPr>
                              <w:t xml:space="preserve">Should there be a mechanism to disseminate learnings and/or recommendations from incident review processes for quality and safety improvement purposes, including to those involved in the relevant case (although only relevant information may be provided to individual </w:t>
                            </w:r>
                            <w:r w:rsidRPr="00726E5C">
                              <w:rPr>
                                <w:rFonts w:eastAsia="Times"/>
                              </w:rPr>
                              <w:tab/>
                              <w:t>clinicians involved in the case)?</w:t>
                            </w:r>
                          </w:p>
                          <w:p w:rsidR="005766C5" w:rsidRDefault="005766C5" w:rsidP="005766C5">
                            <w:pPr>
                              <w:pStyle w:val="Heading4"/>
                              <w:ind w:left="720" w:hanging="720"/>
                              <w:rPr>
                                <w:rFonts w:eastAsia="Times"/>
                              </w:rPr>
                            </w:pPr>
                            <w:r>
                              <w:rPr>
                                <w:rFonts w:eastAsia="Times"/>
                              </w:rPr>
                              <w:t>Q9</w:t>
                            </w:r>
                            <w:r>
                              <w:rPr>
                                <w:rFonts w:eastAsia="Times"/>
                              </w:rPr>
                              <w:tab/>
                            </w:r>
                            <w:r w:rsidRPr="00726E5C">
                              <w:rPr>
                                <w:rFonts w:eastAsia="Times"/>
                              </w:rPr>
                              <w:t>To mitigate any unintended impact on decisions by health service entities about how incidents are classified, should there be a mechanism for a decision about an incident that does not meet the threshold for a protected incident review process and if so, what?</w:t>
                            </w:r>
                          </w:p>
                          <w:p w:rsidR="005766C5" w:rsidRDefault="005766C5" w:rsidP="005766C5">
                            <w:pPr>
                              <w:pStyle w:val="Heading4"/>
                              <w:ind w:left="720" w:hanging="720"/>
                              <w:rPr>
                                <w:rFonts w:eastAsia="Times"/>
                              </w:rPr>
                            </w:pPr>
                            <w:r>
                              <w:rPr>
                                <w:rFonts w:eastAsia="Times"/>
                              </w:rPr>
                              <w:t>Q10</w:t>
                            </w:r>
                            <w:r>
                              <w:rPr>
                                <w:rFonts w:eastAsia="Times"/>
                              </w:rPr>
                              <w:tab/>
                            </w:r>
                            <w:r w:rsidRPr="001B2B08">
                              <w:rPr>
                                <w:rFonts w:eastAsia="Times"/>
                              </w:rPr>
                              <w:t>What authorisations for information will ensure that protections for incident reviews do not restrict oversight and regulation of quality and safety, service delivery and professional conduct?  </w:t>
                            </w:r>
                          </w:p>
                          <w:p w:rsidR="005766C5" w:rsidRDefault="005766C5" w:rsidP="005766C5">
                            <w:pPr>
                              <w:pStyle w:val="Heading4"/>
                              <w:ind w:left="720" w:hanging="720"/>
                              <w:rPr>
                                <w:rFonts w:eastAsia="Times"/>
                              </w:rPr>
                            </w:pPr>
                            <w:r>
                              <w:rPr>
                                <w:rFonts w:eastAsia="Times"/>
                              </w:rPr>
                              <w:t>Q11</w:t>
                            </w:r>
                            <w:r>
                              <w:rPr>
                                <w:rFonts w:eastAsia="Times"/>
                              </w:rPr>
                              <w:tab/>
                            </w:r>
                            <w:r w:rsidRPr="001B2B08">
                              <w:rPr>
                                <w:rFonts w:eastAsia="Times"/>
                              </w:rPr>
                              <w:t>How and when should a statutory incident review team notify certain parties if they consider the incident to involve professional misconduct, unsatisfactory professional conduct, unsatisfactory professional performance or an impairment, to ensure there is clarity for services and practitioners?  </w:t>
                            </w:r>
                          </w:p>
                          <w:p w:rsidR="005766C5" w:rsidRDefault="005766C5" w:rsidP="005766C5">
                            <w:pPr>
                              <w:pStyle w:val="Heading4"/>
                              <w:ind w:left="720" w:hanging="720"/>
                            </w:pPr>
                            <w:r>
                              <w:rPr>
                                <w:rFonts w:eastAsia="Times"/>
                              </w:rPr>
                              <w:t>Q12</w:t>
                            </w:r>
                            <w:r>
                              <w:rPr>
                                <w:rFonts w:eastAsia="Times"/>
                              </w:rPr>
                              <w:tab/>
                              <w:t>S</w:t>
                            </w:r>
                            <w:r w:rsidRPr="001B2B08">
                              <w:rPr>
                                <w:rFonts w:eastAsia="Times"/>
                              </w:rPr>
                              <w:t>hould incident review protections include personal protections for those conducting or participating in a statutory incident review process in good faith?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xbxContent>
                      </wps:txbx>
                      <wps:bodyPr rot="0" vert="horz" wrap="square" lIns="91440" tIns="45720" rIns="91440" bIns="45720" anchor="t" anchorCtr="0">
                        <a:spAutoFit/>
                      </wps:bodyPr>
                    </wps:wsp>
                  </a:graphicData>
                </a:graphic>
              </wp:inline>
            </w:drawing>
          </mc:Choice>
          <mc:Fallback>
            <w:pict>
              <v:shape w14:anchorId="00ED1AED" id="_x0000_s1029" type="#_x0000_t202" style="width:46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" strokecolor="#87189d">
                <v:stroke joinstyle="round" endcap="round"/>
                <v:textbox style="mso-fit-shape-to-text:t">
                  <w:txbxContent>
                    <w:p w:rsidR="005766C5" w:rsidRDefault="005766C5" w:rsidP="005766C5">
                      <w:pPr>
                        <w:pStyle w:val="Heading3"/>
                      </w:pPr>
                      <w:bookmarkStart w:id="88" w:name="_Toc40334310"/>
                      <w:bookmarkStart w:id="89" w:name="_Toc47965008"/>
                      <w:bookmarkStart w:id="90" w:name="_Hlk40735328"/>
                      <w:bookmarkStart w:id="91" w:name="_Hlk40735329"/>
                      <w:bookmarkStart w:id="92" w:name="_Hlk40735330"/>
                      <w:bookmarkStart w:id="93" w:name="_Hlk40735331"/>
                      <w:bookmarkStart w:id="94" w:name="_Hlk40735332"/>
                      <w:bookmarkStart w:id="95" w:name="_Hlk40735333"/>
                      <w:bookmarkStart w:id="96" w:name="_Hlk40735334"/>
                      <w:bookmarkStart w:id="97" w:name="_Hlk40735335"/>
                      <w:bookmarkStart w:id="98" w:name="_Hlk40735336"/>
                      <w:bookmarkStart w:id="99" w:name="_Hlk40735337"/>
                      <w:bookmarkStart w:id="100" w:name="_Hlk40735338"/>
                      <w:bookmarkStart w:id="101" w:name="_Hlk40735339"/>
                      <w:bookmarkStart w:id="102" w:name="_Hlk40735340"/>
                      <w:bookmarkStart w:id="103" w:name="_Hlk40735341"/>
                      <w:bookmarkStart w:id="104" w:name="_Hlk40735342"/>
                      <w:bookmarkStart w:id="105" w:name="_Hlk40735343"/>
                      <w:bookmarkStart w:id="106" w:name="_Hlk40735344"/>
                      <w:bookmarkStart w:id="107" w:name="_Hlk40735345"/>
                      <w:bookmarkStart w:id="108" w:name="_Hlk40735351"/>
                      <w:bookmarkStart w:id="109" w:name="_Hlk40735352"/>
                      <w:bookmarkStart w:id="110" w:name="_Hlk40735353"/>
                      <w:bookmarkStart w:id="111" w:name="_Hlk40735354"/>
                      <w:bookmarkStart w:id="112" w:name="_Hlk40735355"/>
                      <w:bookmarkStart w:id="113" w:name="_Hlk40735356"/>
                      <w:bookmarkStart w:id="114" w:name="_Hlk40735357"/>
                      <w:bookmarkStart w:id="115" w:name="_Hlk40735358"/>
                      <w:bookmarkStart w:id="116" w:name="_Hlk40735359"/>
                      <w:bookmarkStart w:id="117" w:name="_Hlk40735360"/>
                      <w:bookmarkStart w:id="118" w:name="_Hlk40735361"/>
                      <w:bookmarkStart w:id="119" w:name="_Hlk40735362"/>
                      <w:r>
                        <w:t>Consultation questions – protections for clinical incident reviews</w:t>
                      </w:r>
                      <w:bookmarkEnd w:id="88"/>
                      <w:bookmarkEnd w:id="89"/>
                    </w:p>
                    <w:p w:rsidR="005766C5" w:rsidRDefault="005766C5" w:rsidP="005766C5">
                      <w:pPr>
                        <w:pStyle w:val="Heading4"/>
                        <w:ind w:left="720" w:hanging="660"/>
                      </w:pPr>
                      <w:r>
                        <w:t>Q6</w:t>
                      </w:r>
                      <w:r>
                        <w:tab/>
                        <w:t>Do you support the proposed model for clinical incident reviews? If not, is there an alternative model that would better meet the policy objective of fostering open and honest culture in health services?</w:t>
                      </w:r>
                    </w:p>
                    <w:p w:rsidR="005766C5" w:rsidRPr="009A43AA" w:rsidRDefault="005766C5" w:rsidP="005766C5">
                      <w:pPr>
                        <w:pStyle w:val="Heading4"/>
                        <w:ind w:left="720" w:hanging="720"/>
                      </w:pPr>
                      <w:r>
                        <w:t>Q7</w:t>
                      </w:r>
                      <w:r>
                        <w:tab/>
                      </w:r>
                      <w:r w:rsidRPr="001B2B08">
                        <w:t xml:space="preserve">Are there any unintended consequences or issues </w:t>
                      </w:r>
                      <w:r>
                        <w:t>with</w:t>
                      </w:r>
                      <w:r w:rsidRPr="001B2B08">
                        <w:t xml:space="preserve"> the model that should be addressed or considered?</w:t>
                      </w:r>
                      <w:r>
                        <w:t xml:space="preserve"> </w:t>
                      </w:r>
                    </w:p>
                    <w:p w:rsidR="005766C5" w:rsidRDefault="005766C5" w:rsidP="005766C5">
                      <w:pPr>
                        <w:pStyle w:val="Heading4"/>
                        <w:ind w:left="720" w:hanging="720"/>
                        <w:rPr>
                          <w:rFonts w:eastAsia="Times"/>
                        </w:rPr>
                      </w:pPr>
                      <w:r>
                        <w:rPr>
                          <w:rFonts w:eastAsia="Times"/>
                        </w:rPr>
                        <w:t>Q8</w:t>
                      </w:r>
                      <w:r>
                        <w:rPr>
                          <w:rFonts w:eastAsia="Times"/>
                        </w:rPr>
                        <w:tab/>
                      </w:r>
                      <w:r w:rsidRPr="00726E5C">
                        <w:rPr>
                          <w:rFonts w:eastAsia="Times"/>
                        </w:rPr>
                        <w:t xml:space="preserve">Should there be a mechanism to disseminate learnings and/or recommendations from incident review processes for quality and safety improvement purposes, including to those involved in the relevant case (although only relevant information may be provided to individual </w:t>
                      </w:r>
                      <w:r w:rsidRPr="00726E5C">
                        <w:rPr>
                          <w:rFonts w:eastAsia="Times"/>
                        </w:rPr>
                        <w:tab/>
                        <w:t>clinicians involved in the case)?</w:t>
                      </w:r>
                    </w:p>
                    <w:p w:rsidR="005766C5" w:rsidRDefault="005766C5" w:rsidP="005766C5">
                      <w:pPr>
                        <w:pStyle w:val="Heading4"/>
                        <w:ind w:left="720" w:hanging="720"/>
                        <w:rPr>
                          <w:rFonts w:eastAsia="Times"/>
                        </w:rPr>
                      </w:pPr>
                      <w:r>
                        <w:rPr>
                          <w:rFonts w:eastAsia="Times"/>
                        </w:rPr>
                        <w:t>Q9</w:t>
                      </w:r>
                      <w:r>
                        <w:rPr>
                          <w:rFonts w:eastAsia="Times"/>
                        </w:rPr>
                        <w:tab/>
                      </w:r>
                      <w:r w:rsidRPr="00726E5C">
                        <w:rPr>
                          <w:rFonts w:eastAsia="Times"/>
                        </w:rPr>
                        <w:t>To mitigate any unintended impact on decisions by health service entities about how incidents are classified, should there be a mechanism for a decision about an incident that does not meet the threshold for a protected incident review process and if so, what?</w:t>
                      </w:r>
                    </w:p>
                    <w:p w:rsidR="005766C5" w:rsidRDefault="005766C5" w:rsidP="005766C5">
                      <w:pPr>
                        <w:pStyle w:val="Heading4"/>
                        <w:ind w:left="720" w:hanging="720"/>
                        <w:rPr>
                          <w:rFonts w:eastAsia="Times"/>
                        </w:rPr>
                      </w:pPr>
                      <w:r>
                        <w:rPr>
                          <w:rFonts w:eastAsia="Times"/>
                        </w:rPr>
                        <w:t>Q10</w:t>
                      </w:r>
                      <w:r>
                        <w:rPr>
                          <w:rFonts w:eastAsia="Times"/>
                        </w:rPr>
                        <w:tab/>
                      </w:r>
                      <w:r w:rsidRPr="001B2B08">
                        <w:rPr>
                          <w:rFonts w:eastAsia="Times"/>
                        </w:rPr>
                        <w:t>What authorisations for information will ensure that protections for incident reviews do not restrict oversight and regulation of quality and safety, service delivery and professional conduct?  </w:t>
                      </w:r>
                    </w:p>
                    <w:p w:rsidR="005766C5" w:rsidRDefault="005766C5" w:rsidP="005766C5">
                      <w:pPr>
                        <w:pStyle w:val="Heading4"/>
                        <w:ind w:left="720" w:hanging="720"/>
                        <w:rPr>
                          <w:rFonts w:eastAsia="Times"/>
                        </w:rPr>
                      </w:pPr>
                      <w:r>
                        <w:rPr>
                          <w:rFonts w:eastAsia="Times"/>
                        </w:rPr>
                        <w:t>Q11</w:t>
                      </w:r>
                      <w:r>
                        <w:rPr>
                          <w:rFonts w:eastAsia="Times"/>
                        </w:rPr>
                        <w:tab/>
                      </w:r>
                      <w:r w:rsidRPr="001B2B08">
                        <w:rPr>
                          <w:rFonts w:eastAsia="Times"/>
                        </w:rPr>
                        <w:t>How and when should a statutory incident review team notify certain parties if they consider the incident to involve professional misconduct, unsatisfactory professional conduct, unsatisfactory professional performance or an impairment, to ensure there is clarity for services and practitioners?  </w:t>
                      </w:r>
                    </w:p>
                    <w:p w:rsidR="005766C5" w:rsidRDefault="005766C5" w:rsidP="005766C5">
                      <w:pPr>
                        <w:pStyle w:val="Heading4"/>
                        <w:ind w:left="720" w:hanging="720"/>
                      </w:pPr>
                      <w:r>
                        <w:rPr>
                          <w:rFonts w:eastAsia="Times"/>
                        </w:rPr>
                        <w:t>Q12</w:t>
                      </w:r>
                      <w:r>
                        <w:rPr>
                          <w:rFonts w:eastAsia="Times"/>
                        </w:rPr>
                        <w:tab/>
                        <w:t>S</w:t>
                      </w:r>
                      <w:r w:rsidRPr="001B2B08">
                        <w:rPr>
                          <w:rFonts w:eastAsia="Times"/>
                        </w:rPr>
                        <w:t>hould incident review protections include personal protections for those conducting or participating in a statutory incident review process in good faith?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xbxContent>
                </v:textbox>
                <w10:anchorlock/>
              </v:shape>
            </w:pict>
          </mc:Fallback>
        </mc:AlternateContent>
      </w:r>
    </w:p>
    <w:sectPr w:rsidR="003A4B16" w:rsidRPr="001C4963" w:rsidSect="00BA5E47">
      <w:headerReference w:type="even" r:id="rId18"/>
      <w:headerReference w:type="default" r:id="rId19"/>
      <w:footerReference w:type="even" r:id="rId20"/>
      <w:footerReference w:type="default" r:id="rId21"/>
      <w:headerReference w:type="first" r:id="rId22"/>
      <w:footerReference w:type="first" r:id="rId23"/>
      <w:pgSz w:w="11906" w:h="16838"/>
      <w:pgMar w:top="1701" w:right="1304" w:bottom="1134" w:left="1304" w:header="454" w:footer="51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1EB499" w16cex:dateUtc="2020-05-15T12:43:00Z"/>
  <w16cex:commentExtensible w16cex:durableId="2A08C6EE" w16cex:dateUtc="2020-05-15T12:45:00Z"/>
  <w16cex:commentExtensible w16cex:durableId="52CA5C58" w16cex:dateUtc="2020-05-18T00:43:00Z"/>
  <w16cex:commentExtensible w16cex:durableId="0160C7E6" w16cex:dateUtc="2020-05-15T12:41:00Z"/>
  <w16cex:commentExtensible w16cex:durableId="038FC4EE" w16cex:dateUtc="2020-05-18T01:23:00Z"/>
  <w16cex:commentExtensible w16cex:durableId="09DDDBD2" w16cex:dateUtc="2020-05-15T12: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8E" w:rsidRDefault="0087548E">
      <w:r>
        <w:separator/>
      </w:r>
    </w:p>
  </w:endnote>
  <w:endnote w:type="continuationSeparator" w:id="0">
    <w:p w:rsidR="0087548E" w:rsidRDefault="0087548E">
      <w:r>
        <w:continuationSeparator/>
      </w:r>
    </w:p>
  </w:endnote>
  <w:endnote w:type="continuationNotice" w:id="1">
    <w:p w:rsidR="0087548E" w:rsidRDefault="00875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Default="00D84B59">
    <w:pPr>
      <w:pStyle w:val="Footer"/>
    </w:pPr>
    <w:r>
      <w:rPr>
        <w:noProof/>
      </w:rPr>
      <mc:AlternateContent>
        <mc:Choice Requires="wps">
          <w:drawing>
            <wp:anchor distT="0" distB="0" distL="114300" distR="114300" simplePos="0" relativeHeight="251662345" behindDoc="0" locked="0" layoutInCell="0" allowOverlap="1" wp14:anchorId="3DD3BE11" wp14:editId="623571B8">
              <wp:simplePos x="0" y="0"/>
              <wp:positionH relativeFrom="page">
                <wp:posOffset>0</wp:posOffset>
              </wp:positionH>
              <wp:positionV relativeFrom="page">
                <wp:posOffset>10189210</wp:posOffset>
              </wp:positionV>
              <wp:extent cx="7560310" cy="311785"/>
              <wp:effectExtent l="0" t="0" r="0" b="12065"/>
              <wp:wrapNone/>
              <wp:docPr id="8" name="MSIPCMb167438288ee659823817a9a" descr="{&quot;HashCode&quot;:-130126752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4B59" w:rsidRPr="00D84B59" w:rsidRDefault="00D84B59" w:rsidP="00D84B59">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D3BE11" id="_x0000_t202" coordsize="21600,21600" o:spt="202" path="m,l,21600r21600,l21600,xe">
              <v:stroke joinstyle="miter"/>
              <v:path gradientshapeok="t" o:connecttype="rect"/>
            </v:shapetype>
            <v:shape id="MSIPCMb167438288ee659823817a9a" o:spid="_x0000_s1030" type="#_x0000_t202" alt="{&quot;HashCode&quot;:-1301267523,&quot;Height&quot;:841.0,&quot;Width&quot;:595.0,&quot;Placement&quot;:&quot;Footer&quot;,&quot;Index&quot;:&quot;OddAndEven&quot;,&quot;Section&quot;:1,&quot;Top&quot;:0.0,&quot;Left&quot;:0.0}" style="position:absolute;margin-left:0;margin-top:802.3pt;width:595.3pt;height:24.55pt;z-index:2516623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" o:allowincell="f" filled="f" stroked="f" strokeweight=".5pt">
              <v:textbox inset=",0,,0">
                <w:txbxContent>
                  <w:p w:rsidR="00D84B59" w:rsidRPr="00D84B59" w:rsidRDefault="00D84B59" w:rsidP="00D84B59">
                    <w:pPr>
                      <w:jc w:val="center"/>
                      <w:rPr>
                        <w:rFonts w:ascii="Arial Black" w:hAnsi="Arial Black"/>
                        <w:color w:val="E4100E"/>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Default="00D84B59">
    <w:pPr>
      <w:pStyle w:val="Footer"/>
    </w:pPr>
    <w:r>
      <w:rPr>
        <w:noProof/>
      </w:rPr>
      <mc:AlternateContent>
        <mc:Choice Requires="wps">
          <w:drawing>
            <wp:anchor distT="0" distB="0" distL="114300" distR="114300" simplePos="0" relativeHeight="251661321" behindDoc="0" locked="0" layoutInCell="0" allowOverlap="1" wp14:anchorId="4C6289A8" wp14:editId="2ADA193B">
              <wp:simplePos x="0" y="0"/>
              <wp:positionH relativeFrom="page">
                <wp:posOffset>0</wp:posOffset>
              </wp:positionH>
              <wp:positionV relativeFrom="page">
                <wp:posOffset>10189210</wp:posOffset>
              </wp:positionV>
              <wp:extent cx="7560310" cy="311785"/>
              <wp:effectExtent l="0" t="0" r="0" b="12065"/>
              <wp:wrapNone/>
              <wp:docPr id="2" name="MSIPCM87964f23bda5609bc2a17d19" descr="{&quot;HashCode&quot;:-130126752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4B59" w:rsidRPr="00D84B59" w:rsidRDefault="00D84B59" w:rsidP="00D36664">
                          <w:pPr>
                            <w:rPr>
                              <w:rFonts w:ascii="Arial Black" w:hAnsi="Arial Black"/>
                              <w:color w:val="E4100E"/>
                            </w:rPr>
                          </w:pPr>
                          <w:r w:rsidRPr="00D84B59">
                            <w:rPr>
                              <w:rFonts w:ascii="Arial Black" w:hAnsi="Arial Black"/>
                              <w:color w:val="E4100E"/>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6289A8" id="_x0000_t202" coordsize="21600,21600" o:spt="202" path="m,l,21600r21600,l21600,xe">
              <v:stroke joinstyle="miter"/>
              <v:path gradientshapeok="t" o:connecttype="rect"/>
            </v:shapetype>
            <v:shape id="MSIPCM87964f23bda5609bc2a17d19" o:spid="_x0000_s1031" type="#_x0000_t202" alt="{&quot;HashCode&quot;:-1301267523,&quot;Height&quot;:841.0,&quot;Width&quot;:595.0,&quot;Placement&quot;:&quot;Footer&quot;,&quot;Index&quot;:&quot;Primary&quot;,&quot;Section&quot;:1,&quot;Top&quot;:0.0,&quot;Left&quot;:0.0}" style="position:absolute;margin-left:0;margin-top:802.3pt;width:595.3pt;height:24.55pt;z-index:2516613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JKGQMAAD4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" o:allowincell="f" filled="f" stroked="f" strokeweight=".5pt">
              <v:textbox inset=",0,,0">
                <w:txbxContent>
                  <w:p w:rsidR="00D84B59" w:rsidRPr="00D84B59" w:rsidRDefault="00D84B59" w:rsidP="00D36664">
                    <w:pPr>
                      <w:rPr>
                        <w:rFonts w:ascii="Arial Black" w:hAnsi="Arial Black"/>
                        <w:color w:val="E4100E"/>
                      </w:rPr>
                    </w:pPr>
                    <w:r w:rsidRPr="00D84B59">
                      <w:rPr>
                        <w:rFonts w:ascii="Arial Black" w:hAnsi="Arial Black"/>
                        <w:color w:val="E4100E"/>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Pr="008114D1" w:rsidRDefault="00D84B59" w:rsidP="00E969B1">
    <w:pPr>
      <w:pStyle w:val="DHHSfooter"/>
    </w:pPr>
    <w:r>
      <w:rPr>
        <w:noProof/>
      </w:rPr>
      <mc:AlternateContent>
        <mc:Choice Requires="wps">
          <w:drawing>
            <wp:anchor distT="0" distB="0" distL="114300" distR="114300" simplePos="0" relativeHeight="251664393" behindDoc="0" locked="0" layoutInCell="0" allowOverlap="1" wp14:anchorId="0901D33D" wp14:editId="61C10034">
              <wp:simplePos x="0" y="0"/>
              <wp:positionH relativeFrom="page">
                <wp:posOffset>0</wp:posOffset>
              </wp:positionH>
              <wp:positionV relativeFrom="page">
                <wp:posOffset>10189210</wp:posOffset>
              </wp:positionV>
              <wp:extent cx="7560310" cy="311785"/>
              <wp:effectExtent l="0" t="0" r="0" b="12065"/>
              <wp:wrapNone/>
              <wp:docPr id="12" name="MSIPCM0cea42b4ab056bde03c35575" descr="{&quot;HashCode&quot;:-130126752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4B59" w:rsidRPr="00D84B59" w:rsidRDefault="00D84B59" w:rsidP="00D84B59">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01D33D" id="_x0000_t202" coordsize="21600,21600" o:spt="202" path="m,l,21600r21600,l21600,xe">
              <v:stroke joinstyle="miter"/>
              <v:path gradientshapeok="t" o:connecttype="rect"/>
            </v:shapetype>
            <v:shape id="MSIPCM0cea42b4ab056bde03c35575" o:spid="_x0000_s1032" type="#_x0000_t202" alt="{&quot;HashCode&quot;:-1301267523,&quot;Height&quot;:841.0,&quot;Width&quot;:595.0,&quot;Placement&quot;:&quot;Footer&quot;,&quot;Index&quot;:&quot;OddAndEven&quot;,&quot;Section&quot;:3,&quot;Top&quot;:0.0,&quot;Left&quot;:0.0}" style="position:absolute;margin-left:0;margin-top:802.3pt;width:595.3pt;height:24.55pt;z-index:2516643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DCtRN2HQMAAEIGAAAOAAAAAAAA&#10;AAAAAAAAAC4CAABkcnMvZTJvRG9jLnhtbFBLAQItABQABgAIAAAAIQBIDV6a3wAAAAsBAAAPAAAA&#10;AAAAAAAAAAAAAHcFAABkcnMvZG93bnJldi54bWxQSwUGAAAAAAQABADzAAAAgwYAAAAA&#10;" o:allowincell="f" filled="f" stroked="f" strokeweight=".5pt">
              <v:textbox inset=",0,,0">
                <w:txbxContent>
                  <w:p w:rsidR="00D84B59" w:rsidRPr="00D84B59" w:rsidRDefault="00D84B59" w:rsidP="00D84B59">
                    <w:pPr>
                      <w:jc w:val="center"/>
                      <w:rPr>
                        <w:rFonts w:ascii="Arial Black" w:hAnsi="Arial Black"/>
                        <w:color w:val="E4100E"/>
                      </w:rPr>
                    </w:pPr>
                  </w:p>
                </w:txbxContent>
              </v:textbox>
              <w10:wrap anchorx="page" anchory="page"/>
            </v:shape>
          </w:pict>
        </mc:Fallback>
      </mc:AlternateContent>
    </w:r>
    <w:r w:rsidR="00023752">
      <w:t xml:space="preserve">Page </w:t>
    </w:r>
    <w:r w:rsidR="00023752" w:rsidRPr="005A39EC">
      <w:fldChar w:fldCharType="begin"/>
    </w:r>
    <w:r w:rsidR="00023752" w:rsidRPr="005A39EC">
      <w:instrText xml:space="preserve"> PAGE </w:instrText>
    </w:r>
    <w:r w:rsidR="00023752" w:rsidRPr="005A39EC">
      <w:fldChar w:fldCharType="separate"/>
    </w:r>
    <w:r w:rsidR="00023752">
      <w:rPr>
        <w:noProof/>
      </w:rPr>
      <w:t>6</w:t>
    </w:r>
    <w:r w:rsidR="00023752" w:rsidRPr="005A39EC">
      <w:fldChar w:fldCharType="end"/>
    </w:r>
    <w:r w:rsidR="00023752">
      <w:tab/>
    </w:r>
    <w:r w:rsidR="00023752" w:rsidRPr="0045440A">
      <w:t>A statutory duty of candour</w:t>
    </w:r>
    <w:r w:rsidR="00023752">
      <w:t xml:space="preserve"> – Victorian Government response to the Expert Working Group’s report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Pr="0031753A" w:rsidRDefault="00D84B59" w:rsidP="000901BE">
    <w:pPr>
      <w:pStyle w:val="DHHSfooter"/>
    </w:pPr>
    <w:r>
      <w:rPr>
        <w:noProof/>
      </w:rPr>
      <mc:AlternateContent>
        <mc:Choice Requires="wps">
          <w:drawing>
            <wp:anchor distT="0" distB="0" distL="114300" distR="114300" simplePos="0" relativeHeight="251663369" behindDoc="0" locked="0" layoutInCell="0" allowOverlap="1" wp14:anchorId="1B685418" wp14:editId="738EA2BB">
              <wp:simplePos x="0" y="0"/>
              <wp:positionH relativeFrom="page">
                <wp:posOffset>0</wp:posOffset>
              </wp:positionH>
              <wp:positionV relativeFrom="page">
                <wp:posOffset>10189210</wp:posOffset>
              </wp:positionV>
              <wp:extent cx="7560310" cy="311785"/>
              <wp:effectExtent l="0" t="0" r="0" b="12065"/>
              <wp:wrapNone/>
              <wp:docPr id="11" name="MSIPCMefc54218b6dbae22161e171e" descr="{&quot;HashCode&quot;:-130126752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4B59" w:rsidRPr="00D84B59" w:rsidRDefault="00D84B59" w:rsidP="00D84B59">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685418" id="_x0000_t202" coordsize="21600,21600" o:spt="202" path="m,l,21600r21600,l21600,xe">
              <v:stroke joinstyle="miter"/>
              <v:path gradientshapeok="t" o:connecttype="rect"/>
            </v:shapetype>
            <v:shape id="MSIPCMefc54218b6dbae22161e171e" o:spid="_x0000_s1033" type="#_x0000_t202" alt="{&quot;HashCode&quot;:-1301267523,&quot;Height&quot;:841.0,&quot;Width&quot;:595.0,&quot;Placement&quot;:&quot;Footer&quot;,&quot;Index&quot;:&quot;Primary&quot;,&quot;Section&quot;:3,&quot;Top&quot;:0.0,&quot;Left&quot;:0.0}" style="position:absolute;margin-left:0;margin-top:802.3pt;width:595.3pt;height:24.55pt;z-index:2516633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" o:allowincell="f" filled="f" stroked="f" strokeweight=".5pt">
              <v:textbox inset=",0,,0">
                <w:txbxContent>
                  <w:p w:rsidR="00D84B59" w:rsidRPr="00D84B59" w:rsidRDefault="00D84B59" w:rsidP="00D84B59">
                    <w:pPr>
                      <w:jc w:val="center"/>
                      <w:rPr>
                        <w:rFonts w:ascii="Arial Black" w:hAnsi="Arial Black"/>
                        <w:color w:val="E4100E"/>
                      </w:rPr>
                    </w:pPr>
                  </w:p>
                </w:txbxContent>
              </v:textbox>
              <w10:wrap anchorx="page" anchory="page"/>
            </v:shape>
          </w:pict>
        </mc:Fallback>
      </mc:AlternateContent>
    </w:r>
    <w:r w:rsidR="00023752" w:rsidRPr="0045440A">
      <w:t>A statutory duty of candour</w:t>
    </w:r>
    <w:r w:rsidR="00023752">
      <w:t xml:space="preserve"> – Victorian Government response to the Expert Working Group’s report</w:t>
    </w:r>
    <w:r w:rsidR="00023752" w:rsidRPr="0031753A">
      <w:tab/>
      <w:t xml:space="preserve">Page </w:t>
    </w:r>
    <w:r w:rsidR="00023752" w:rsidRPr="0031753A">
      <w:fldChar w:fldCharType="begin"/>
    </w:r>
    <w:r w:rsidR="00023752" w:rsidRPr="0031753A">
      <w:instrText xml:space="preserve"> PAGE </w:instrText>
    </w:r>
    <w:r w:rsidR="00023752" w:rsidRPr="0031753A">
      <w:fldChar w:fldCharType="separate"/>
    </w:r>
    <w:r w:rsidR="00023752">
      <w:rPr>
        <w:noProof/>
      </w:rPr>
      <w:t>7</w:t>
    </w:r>
    <w:r w:rsidR="00023752"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Pr="001A7E04" w:rsidRDefault="0002375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8E" w:rsidRDefault="0087548E">
      <w:r>
        <w:separator/>
      </w:r>
    </w:p>
  </w:footnote>
  <w:footnote w:type="continuationSeparator" w:id="0">
    <w:p w:rsidR="0087548E" w:rsidRDefault="0087548E">
      <w:r>
        <w:continuationSeparator/>
      </w:r>
    </w:p>
  </w:footnote>
  <w:footnote w:type="continuationNotice" w:id="1">
    <w:p w:rsidR="0087548E" w:rsidRDefault="0087548E"/>
  </w:footnote>
  <w:footnote w:id="2">
    <w:p w:rsidR="00023752" w:rsidRPr="00B040AA" w:rsidRDefault="00023752" w:rsidP="00023752">
      <w:pPr>
        <w:pStyle w:val="FootnoteText"/>
        <w:ind w:left="142" w:hanging="142"/>
        <w:jc w:val="both"/>
        <w:rPr>
          <w:sz w:val="18"/>
          <w:szCs w:val="18"/>
        </w:rPr>
      </w:pPr>
      <w:r w:rsidRPr="00B040AA">
        <w:rPr>
          <w:rStyle w:val="FootnoteReference"/>
          <w:sz w:val="18"/>
          <w:szCs w:val="18"/>
        </w:rPr>
        <w:footnoteRef/>
      </w:r>
      <w:r w:rsidR="3D1E2CE6" w:rsidRPr="00B040AA">
        <w:rPr>
          <w:sz w:val="18"/>
          <w:szCs w:val="18"/>
        </w:rPr>
        <w:t xml:space="preserve"> </w:t>
      </w:r>
      <w:r w:rsidRPr="00B040AA">
        <w:rPr>
          <w:sz w:val="18"/>
          <w:szCs w:val="18"/>
        </w:rPr>
        <w:tab/>
      </w:r>
      <w:r w:rsidR="3D1E2CE6" w:rsidRPr="00B040AA">
        <w:rPr>
          <w:sz w:val="18"/>
          <w:szCs w:val="18"/>
        </w:rPr>
        <w:t xml:space="preserve">Compliance with the Australian Open Disclosure Framework is required by the Australian Commission on Safety and Quality in Health Care in order for health service entities to receive accreditation. In Victoria, the Department of Health and Human Services’ funding and policy guidelines require compliance with the framework for public entities. </w:t>
      </w:r>
      <w:r w:rsidR="3D1E2CE6">
        <w:rPr>
          <w:sz w:val="18"/>
          <w:szCs w:val="18"/>
        </w:rPr>
        <w:t>Since</w:t>
      </w:r>
      <w:r w:rsidR="3D1E2CE6" w:rsidRPr="00B040AA">
        <w:rPr>
          <w:sz w:val="18"/>
          <w:szCs w:val="18"/>
        </w:rPr>
        <w:t xml:space="preserve"> 1 July 2018, regulations made under the </w:t>
      </w:r>
      <w:r w:rsidR="3D1E2CE6" w:rsidRPr="3D1E2CE6">
        <w:rPr>
          <w:i/>
          <w:iCs/>
          <w:sz w:val="18"/>
          <w:szCs w:val="18"/>
        </w:rPr>
        <w:t>Health Legislation Amendment (Quality and Safety) Act 2017</w:t>
      </w:r>
      <w:r w:rsidR="3D1E2CE6" w:rsidRPr="00B040AA">
        <w:rPr>
          <w:sz w:val="18"/>
          <w:szCs w:val="18"/>
        </w:rPr>
        <w:t xml:space="preserve"> require private sector entities to also comply with the framework. Accreditation is also required by private health insurers as a precondition for the subsidisation of treatments provided to privately insured patients.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Pr="0069374A" w:rsidRDefault="00023752"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Default="00023752"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52" w:rsidRDefault="0002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54D"/>
    <w:multiLevelType w:val="hybridMultilevel"/>
    <w:tmpl w:val="B6A2D8E2"/>
    <w:lvl w:ilvl="0" w:tplc="F84AFBD6">
      <w:start w:val="1"/>
      <w:numFmt w:val="bullet"/>
      <w:lvlText w:val=""/>
      <w:lvlJc w:val="left"/>
      <w:pPr>
        <w:ind w:left="720" w:hanging="360"/>
      </w:pPr>
      <w:rPr>
        <w:rFonts w:ascii="Symbol" w:hAnsi="Symbol" w:hint="default"/>
      </w:rPr>
    </w:lvl>
    <w:lvl w:ilvl="1" w:tplc="E60279D6">
      <w:start w:val="1"/>
      <w:numFmt w:val="bullet"/>
      <w:lvlText w:val="o"/>
      <w:lvlJc w:val="left"/>
      <w:pPr>
        <w:ind w:left="1440" w:hanging="360"/>
      </w:pPr>
      <w:rPr>
        <w:rFonts w:ascii="Courier New" w:hAnsi="Courier New" w:hint="default"/>
      </w:rPr>
    </w:lvl>
    <w:lvl w:ilvl="2" w:tplc="8E6EA22E">
      <w:start w:val="1"/>
      <w:numFmt w:val="bullet"/>
      <w:lvlText w:val=""/>
      <w:lvlJc w:val="left"/>
      <w:pPr>
        <w:ind w:left="2160" w:hanging="360"/>
      </w:pPr>
      <w:rPr>
        <w:rFonts w:ascii="Wingdings" w:hAnsi="Wingdings" w:hint="default"/>
      </w:rPr>
    </w:lvl>
    <w:lvl w:ilvl="3" w:tplc="42CACBFE">
      <w:start w:val="1"/>
      <w:numFmt w:val="bullet"/>
      <w:lvlText w:val=""/>
      <w:lvlJc w:val="left"/>
      <w:pPr>
        <w:ind w:left="2880" w:hanging="360"/>
      </w:pPr>
      <w:rPr>
        <w:rFonts w:ascii="Symbol" w:hAnsi="Symbol" w:hint="default"/>
      </w:rPr>
    </w:lvl>
    <w:lvl w:ilvl="4" w:tplc="65D8886E">
      <w:start w:val="1"/>
      <w:numFmt w:val="bullet"/>
      <w:lvlText w:val="o"/>
      <w:lvlJc w:val="left"/>
      <w:pPr>
        <w:ind w:left="3600" w:hanging="360"/>
      </w:pPr>
      <w:rPr>
        <w:rFonts w:ascii="Courier New" w:hAnsi="Courier New" w:hint="default"/>
      </w:rPr>
    </w:lvl>
    <w:lvl w:ilvl="5" w:tplc="68340EF6">
      <w:start w:val="1"/>
      <w:numFmt w:val="bullet"/>
      <w:lvlText w:val=""/>
      <w:lvlJc w:val="left"/>
      <w:pPr>
        <w:ind w:left="4320" w:hanging="360"/>
      </w:pPr>
      <w:rPr>
        <w:rFonts w:ascii="Wingdings" w:hAnsi="Wingdings" w:hint="default"/>
      </w:rPr>
    </w:lvl>
    <w:lvl w:ilvl="6" w:tplc="6D42FBDC">
      <w:start w:val="1"/>
      <w:numFmt w:val="bullet"/>
      <w:lvlText w:val=""/>
      <w:lvlJc w:val="left"/>
      <w:pPr>
        <w:ind w:left="5040" w:hanging="360"/>
      </w:pPr>
      <w:rPr>
        <w:rFonts w:ascii="Symbol" w:hAnsi="Symbol" w:hint="default"/>
      </w:rPr>
    </w:lvl>
    <w:lvl w:ilvl="7" w:tplc="D12E67E4">
      <w:start w:val="1"/>
      <w:numFmt w:val="bullet"/>
      <w:lvlText w:val="o"/>
      <w:lvlJc w:val="left"/>
      <w:pPr>
        <w:ind w:left="5760" w:hanging="360"/>
      </w:pPr>
      <w:rPr>
        <w:rFonts w:ascii="Courier New" w:hAnsi="Courier New" w:hint="default"/>
      </w:rPr>
    </w:lvl>
    <w:lvl w:ilvl="8" w:tplc="20943720">
      <w:start w:val="1"/>
      <w:numFmt w:val="bullet"/>
      <w:lvlText w:val=""/>
      <w:lvlJc w:val="left"/>
      <w:pPr>
        <w:ind w:left="6480" w:hanging="360"/>
      </w:pPr>
      <w:rPr>
        <w:rFonts w:ascii="Wingdings" w:hAnsi="Wingdings" w:hint="default"/>
      </w:rPr>
    </w:lvl>
  </w:abstractNum>
  <w:abstractNum w:abstractNumId="1" w15:restartNumberingAfterBreak="0">
    <w:nsid w:val="0237228E"/>
    <w:multiLevelType w:val="multilevel"/>
    <w:tmpl w:val="C2280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464617"/>
    <w:multiLevelType w:val="hybridMultilevel"/>
    <w:tmpl w:val="FFFFFFFF"/>
    <w:lvl w:ilvl="0" w:tplc="2418F118">
      <w:start w:val="1"/>
      <w:numFmt w:val="bullet"/>
      <w:lvlText w:val=""/>
      <w:lvlJc w:val="left"/>
      <w:pPr>
        <w:ind w:left="720" w:hanging="360"/>
      </w:pPr>
      <w:rPr>
        <w:rFonts w:ascii="Symbol" w:hAnsi="Symbol" w:hint="default"/>
      </w:rPr>
    </w:lvl>
    <w:lvl w:ilvl="1" w:tplc="BF6293DA">
      <w:start w:val="1"/>
      <w:numFmt w:val="bullet"/>
      <w:lvlText w:val="o"/>
      <w:lvlJc w:val="left"/>
      <w:pPr>
        <w:ind w:left="1440" w:hanging="360"/>
      </w:pPr>
      <w:rPr>
        <w:rFonts w:ascii="Courier New" w:hAnsi="Courier New" w:hint="default"/>
      </w:rPr>
    </w:lvl>
    <w:lvl w:ilvl="2" w:tplc="B8924E22">
      <w:start w:val="1"/>
      <w:numFmt w:val="bullet"/>
      <w:lvlText w:val=""/>
      <w:lvlJc w:val="left"/>
      <w:pPr>
        <w:ind w:left="2160" w:hanging="360"/>
      </w:pPr>
      <w:rPr>
        <w:rFonts w:ascii="Wingdings" w:hAnsi="Wingdings" w:hint="default"/>
      </w:rPr>
    </w:lvl>
    <w:lvl w:ilvl="3" w:tplc="BD2CBE68">
      <w:start w:val="1"/>
      <w:numFmt w:val="bullet"/>
      <w:lvlText w:val=""/>
      <w:lvlJc w:val="left"/>
      <w:pPr>
        <w:ind w:left="2880" w:hanging="360"/>
      </w:pPr>
      <w:rPr>
        <w:rFonts w:ascii="Symbol" w:hAnsi="Symbol" w:hint="default"/>
      </w:rPr>
    </w:lvl>
    <w:lvl w:ilvl="4" w:tplc="11E26C4E">
      <w:start w:val="1"/>
      <w:numFmt w:val="bullet"/>
      <w:lvlText w:val="o"/>
      <w:lvlJc w:val="left"/>
      <w:pPr>
        <w:ind w:left="3600" w:hanging="360"/>
      </w:pPr>
      <w:rPr>
        <w:rFonts w:ascii="Courier New" w:hAnsi="Courier New" w:hint="default"/>
      </w:rPr>
    </w:lvl>
    <w:lvl w:ilvl="5" w:tplc="689A35F8">
      <w:start w:val="1"/>
      <w:numFmt w:val="bullet"/>
      <w:lvlText w:val=""/>
      <w:lvlJc w:val="left"/>
      <w:pPr>
        <w:ind w:left="4320" w:hanging="360"/>
      </w:pPr>
      <w:rPr>
        <w:rFonts w:ascii="Wingdings" w:hAnsi="Wingdings" w:hint="default"/>
      </w:rPr>
    </w:lvl>
    <w:lvl w:ilvl="6" w:tplc="EF1EE69E">
      <w:start w:val="1"/>
      <w:numFmt w:val="bullet"/>
      <w:lvlText w:val=""/>
      <w:lvlJc w:val="left"/>
      <w:pPr>
        <w:ind w:left="5040" w:hanging="360"/>
      </w:pPr>
      <w:rPr>
        <w:rFonts w:ascii="Symbol" w:hAnsi="Symbol" w:hint="default"/>
      </w:rPr>
    </w:lvl>
    <w:lvl w:ilvl="7" w:tplc="E70688EE">
      <w:start w:val="1"/>
      <w:numFmt w:val="bullet"/>
      <w:lvlText w:val="o"/>
      <w:lvlJc w:val="left"/>
      <w:pPr>
        <w:ind w:left="5760" w:hanging="360"/>
      </w:pPr>
      <w:rPr>
        <w:rFonts w:ascii="Courier New" w:hAnsi="Courier New" w:hint="default"/>
      </w:rPr>
    </w:lvl>
    <w:lvl w:ilvl="8" w:tplc="AC384E60">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85382FBE"/>
    <w:styleLink w:val="Numbers"/>
    <w:lvl w:ilvl="0">
      <w:start w:val="1"/>
      <w:numFmt w:val="decimal"/>
      <w:pStyle w:val="Numbers1"/>
      <w:lvlText w:val="%1."/>
      <w:lvlJc w:val="left"/>
      <w:pPr>
        <w:ind w:left="357" w:hanging="357"/>
      </w:pPr>
      <w:rPr>
        <w:rFonts w:hint="default"/>
      </w:rPr>
    </w:lvl>
    <w:lvl w:ilvl="1">
      <w:start w:val="1"/>
      <w:numFmt w:val="lowerLetter"/>
      <w:pStyle w:val="Numbers2"/>
      <w:lvlText w:val="%2."/>
      <w:lvlJc w:val="left"/>
      <w:pPr>
        <w:ind w:left="868" w:hanging="358"/>
      </w:pPr>
      <w:rPr>
        <w:rFonts w:hint="default"/>
      </w:rPr>
    </w:lvl>
    <w:lvl w:ilvl="2">
      <w:start w:val="1"/>
      <w:numFmt w:val="lowerRoman"/>
      <w:pStyle w:val="Numbers3"/>
      <w:lvlText w:val="%3."/>
      <w:lvlJc w:val="left"/>
      <w:pPr>
        <w:ind w:left="1378"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33DD50FF"/>
    <w:multiLevelType w:val="hybridMultilevel"/>
    <w:tmpl w:val="AE6CFE42"/>
    <w:lvl w:ilvl="0" w:tplc="95F8E9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AC83E70"/>
    <w:multiLevelType w:val="hybridMultilevel"/>
    <w:tmpl w:val="AE6ABDDE"/>
    <w:lvl w:ilvl="0" w:tplc="8E420B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045E9E"/>
    <w:multiLevelType w:val="multilevel"/>
    <w:tmpl w:val="28D4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710EC4"/>
    <w:multiLevelType w:val="hybridMultilevel"/>
    <w:tmpl w:val="461C0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4A2C65"/>
    <w:multiLevelType w:val="multilevel"/>
    <w:tmpl w:val="A72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F84EEA"/>
    <w:multiLevelType w:val="multilevel"/>
    <w:tmpl w:val="56A6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C11127"/>
    <w:multiLevelType w:val="multilevel"/>
    <w:tmpl w:val="23446BCA"/>
    <w:lvl w:ilvl="0">
      <w:start w:val="1"/>
      <w:numFmt w:val="decimal"/>
      <w:lvlText w:val="%1."/>
      <w:lvlJc w:val="left"/>
      <w:pPr>
        <w:tabs>
          <w:tab w:val="num" w:pos="714"/>
        </w:tabs>
        <w:ind w:left="714" w:hanging="181"/>
      </w:pPr>
      <w:rPr>
        <w:rFonts w:ascii="Times New Roman" w:hAnsi="Times New Roman" w:cs="Times New Roman" w:hint="default"/>
        <w:b w:val="0"/>
        <w:i w:val="0"/>
        <w:sz w:val="24"/>
      </w:rPr>
    </w:lvl>
    <w:lvl w:ilvl="1">
      <w:start w:val="1"/>
      <w:numFmt w:val="lowerLetter"/>
      <w:pStyle w:val="Para2"/>
      <w:lvlText w:val="%2."/>
      <w:lvlJc w:val="left"/>
      <w:pPr>
        <w:tabs>
          <w:tab w:val="num" w:pos="794"/>
        </w:tabs>
        <w:ind w:left="794" w:hanging="284"/>
      </w:pPr>
      <w:rPr>
        <w:rFonts w:asciiTheme="minorHAnsi" w:hAnsiTheme="minorHAnsi" w:cs="Times New Roman" w:hint="default"/>
        <w:b w:val="0"/>
        <w:i w:val="0"/>
        <w:sz w:val="24"/>
      </w:rPr>
    </w:lvl>
    <w:lvl w:ilvl="2">
      <w:start w:val="1"/>
      <w:numFmt w:val="decimal"/>
      <w:lvlText w:val="%3."/>
      <w:lvlJc w:val="left"/>
      <w:pPr>
        <w:tabs>
          <w:tab w:val="num" w:pos="2333"/>
        </w:tabs>
        <w:ind w:left="1973" w:firstLine="0"/>
      </w:pPr>
      <w:rPr>
        <w:rFonts w:cs="Times New Roman"/>
      </w:rPr>
    </w:lvl>
    <w:lvl w:ilvl="3">
      <w:start w:val="1"/>
      <w:numFmt w:val="lowerLetter"/>
      <w:lvlText w:val="%4)"/>
      <w:lvlJc w:val="left"/>
      <w:pPr>
        <w:tabs>
          <w:tab w:val="num" w:pos="3053"/>
        </w:tabs>
        <w:ind w:left="2693" w:firstLine="0"/>
      </w:pPr>
      <w:rPr>
        <w:rFonts w:cs="Times New Roman"/>
      </w:rPr>
    </w:lvl>
    <w:lvl w:ilvl="4">
      <w:start w:val="1"/>
      <w:numFmt w:val="decimal"/>
      <w:lvlText w:val="(%5)"/>
      <w:lvlJc w:val="left"/>
      <w:pPr>
        <w:tabs>
          <w:tab w:val="num" w:pos="3773"/>
        </w:tabs>
        <w:ind w:left="3413" w:firstLine="0"/>
      </w:pPr>
      <w:rPr>
        <w:rFonts w:cs="Times New Roman"/>
      </w:rPr>
    </w:lvl>
    <w:lvl w:ilvl="5">
      <w:start w:val="1"/>
      <w:numFmt w:val="lowerLetter"/>
      <w:lvlText w:val="(%6)"/>
      <w:lvlJc w:val="left"/>
      <w:pPr>
        <w:tabs>
          <w:tab w:val="num" w:pos="4493"/>
        </w:tabs>
        <w:ind w:left="4133" w:firstLine="0"/>
      </w:pPr>
      <w:rPr>
        <w:rFonts w:cs="Times New Roman"/>
      </w:rPr>
    </w:lvl>
    <w:lvl w:ilvl="6">
      <w:start w:val="1"/>
      <w:numFmt w:val="lowerRoman"/>
      <w:lvlText w:val="(%7)"/>
      <w:lvlJc w:val="left"/>
      <w:pPr>
        <w:tabs>
          <w:tab w:val="num" w:pos="5213"/>
        </w:tabs>
        <w:ind w:left="4853" w:firstLine="0"/>
      </w:pPr>
      <w:rPr>
        <w:rFonts w:cs="Times New Roman"/>
      </w:rPr>
    </w:lvl>
    <w:lvl w:ilvl="7">
      <w:start w:val="1"/>
      <w:numFmt w:val="lowerLetter"/>
      <w:lvlText w:val="(%8)"/>
      <w:lvlJc w:val="left"/>
      <w:pPr>
        <w:tabs>
          <w:tab w:val="num" w:pos="5933"/>
        </w:tabs>
        <w:ind w:left="5573" w:firstLine="0"/>
      </w:pPr>
      <w:rPr>
        <w:rFonts w:cs="Times New Roman"/>
      </w:rPr>
    </w:lvl>
    <w:lvl w:ilvl="8">
      <w:start w:val="1"/>
      <w:numFmt w:val="lowerRoman"/>
      <w:lvlText w:val="(%9)"/>
      <w:lvlJc w:val="left"/>
      <w:pPr>
        <w:tabs>
          <w:tab w:val="num" w:pos="6653"/>
        </w:tabs>
        <w:ind w:left="6293" w:firstLine="0"/>
      </w:pPr>
      <w:rPr>
        <w:rFonts w:cs="Times New Roman"/>
      </w:rPr>
    </w:lvl>
  </w:abstractNum>
  <w:abstractNum w:abstractNumId="13" w15:restartNumberingAfterBreak="0">
    <w:nsid w:val="5FEB0E3F"/>
    <w:multiLevelType w:val="hybridMultilevel"/>
    <w:tmpl w:val="6448A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A933DF"/>
    <w:multiLevelType w:val="multilevel"/>
    <w:tmpl w:val="5AF2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833DE2"/>
    <w:multiLevelType w:val="hybridMultilevel"/>
    <w:tmpl w:val="7CFC7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5940D5"/>
    <w:multiLevelType w:val="multilevel"/>
    <w:tmpl w:val="62C2229A"/>
    <w:styleLink w:val="Bullets"/>
    <w:lvl w:ilvl="0">
      <w:start w:val="1"/>
      <w:numFmt w:val="bullet"/>
      <w:pStyle w:val="Bullets1"/>
      <w:lvlText w:val="•"/>
      <w:lvlJc w:val="left"/>
      <w:pPr>
        <w:ind w:left="357" w:hanging="357"/>
      </w:pPr>
      <w:rPr>
        <w:rFonts w:ascii="Arial" w:hAnsi="Arial" w:hint="default"/>
        <w:color w:val="000000" w:themeColor="text1"/>
      </w:rPr>
    </w:lvl>
    <w:lvl w:ilvl="1">
      <w:start w:val="1"/>
      <w:numFmt w:val="bullet"/>
      <w:pStyle w:val="Bullets2"/>
      <w:lvlText w:val="–"/>
      <w:lvlJc w:val="left"/>
      <w:pPr>
        <w:ind w:left="868" w:hanging="358"/>
      </w:pPr>
      <w:rPr>
        <w:rFonts w:ascii="Arial" w:hAnsi="Arial" w:hint="default"/>
        <w:color w:val="000000" w:themeColor="text1"/>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F125D6E"/>
    <w:multiLevelType w:val="multilevel"/>
    <w:tmpl w:val="3E74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B4464"/>
    <w:multiLevelType w:val="multilevel"/>
    <w:tmpl w:val="CE5C22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7D455EF"/>
    <w:multiLevelType w:val="multilevel"/>
    <w:tmpl w:val="E4541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1"/>
  </w:num>
  <w:num w:numId="2">
    <w:abstractNumId w:val="6"/>
  </w:num>
  <w:num w:numId="3">
    <w:abstractNumId w:val="16"/>
  </w:num>
  <w:num w:numId="4">
    <w:abstractNumId w:val="3"/>
    <w:lvlOverride w:ilvl="0">
      <w:lvl w:ilvl="0">
        <w:start w:val="1"/>
        <w:numFmt w:val="decimal"/>
        <w:pStyle w:val="Numbers1"/>
        <w:lvlText w:val="%1."/>
        <w:lvlJc w:val="left"/>
        <w:pPr>
          <w:ind w:left="357" w:hanging="357"/>
        </w:pPr>
        <w:rPr>
          <w:rFonts w:hint="default"/>
          <w:b w:val="0"/>
        </w:rPr>
      </w:lvl>
    </w:lvlOverride>
  </w:num>
  <w:num w:numId="5">
    <w:abstractNumId w:val="3"/>
  </w:num>
  <w:num w:numId="6">
    <w:abstractNumId w:val="11"/>
    <w:lvlOverride w:ilvl="0"/>
    <w:lvlOverride w:ilvl="1"/>
    <w:lvlOverride w:ilvl="2"/>
    <w:lvlOverride w:ilvl="3"/>
    <w:lvlOverride w:ilvl="4"/>
    <w:lvlOverride w:ilvl="5"/>
    <w:lvlOverride w:ilvl="6"/>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7"/>
  </w:num>
  <w:num w:numId="11">
    <w:abstractNumId w:val="18"/>
  </w:num>
  <w:num w:numId="12">
    <w:abstractNumId w:val="9"/>
  </w:num>
  <w:num w:numId="13">
    <w:abstractNumId w:val="19"/>
  </w:num>
  <w:num w:numId="14">
    <w:abstractNumId w:val="1"/>
  </w:num>
  <w:num w:numId="15">
    <w:abstractNumId w:val="17"/>
  </w:num>
  <w:num w:numId="16">
    <w:abstractNumId w:val="15"/>
  </w:num>
  <w:num w:numId="17">
    <w:abstractNumId w:val="5"/>
  </w:num>
  <w:num w:numId="18">
    <w:abstractNumId w:val="4"/>
  </w:num>
  <w:num w:numId="19">
    <w:abstractNumId w:val="13"/>
  </w:num>
  <w:num w:numId="20">
    <w:abstractNumId w:val="8"/>
  </w:num>
  <w:num w:numId="21">
    <w:abstractNumId w:val="0"/>
  </w:num>
  <w:num w:numId="22">
    <w:abstractNumId w:val="2"/>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0A"/>
    <w:rsid w:val="00002214"/>
    <w:rsid w:val="00002990"/>
    <w:rsid w:val="000048AC"/>
    <w:rsid w:val="000077A8"/>
    <w:rsid w:val="00014FC4"/>
    <w:rsid w:val="00020AAB"/>
    <w:rsid w:val="000223A4"/>
    <w:rsid w:val="00022E60"/>
    <w:rsid w:val="00022FCF"/>
    <w:rsid w:val="00023752"/>
    <w:rsid w:val="00026C19"/>
    <w:rsid w:val="00031263"/>
    <w:rsid w:val="00032473"/>
    <w:rsid w:val="00032A3F"/>
    <w:rsid w:val="00046D4F"/>
    <w:rsid w:val="000543E4"/>
    <w:rsid w:val="00060E93"/>
    <w:rsid w:val="000612FF"/>
    <w:rsid w:val="000617CA"/>
    <w:rsid w:val="00062AF7"/>
    <w:rsid w:val="0006488A"/>
    <w:rsid w:val="00064936"/>
    <w:rsid w:val="00067C07"/>
    <w:rsid w:val="000734F8"/>
    <w:rsid w:val="000736B8"/>
    <w:rsid w:val="0007415D"/>
    <w:rsid w:val="00080FF4"/>
    <w:rsid w:val="000817CB"/>
    <w:rsid w:val="00085139"/>
    <w:rsid w:val="000873EF"/>
    <w:rsid w:val="0009005C"/>
    <w:rsid w:val="000901BE"/>
    <w:rsid w:val="00090C37"/>
    <w:rsid w:val="00091323"/>
    <w:rsid w:val="0009501E"/>
    <w:rsid w:val="00095431"/>
    <w:rsid w:val="000A2558"/>
    <w:rsid w:val="000B3792"/>
    <w:rsid w:val="000B609B"/>
    <w:rsid w:val="000C00D2"/>
    <w:rsid w:val="000C0566"/>
    <w:rsid w:val="000C3D06"/>
    <w:rsid w:val="000C6242"/>
    <w:rsid w:val="000C68DB"/>
    <w:rsid w:val="000D16D9"/>
    <w:rsid w:val="000D2C32"/>
    <w:rsid w:val="000D7848"/>
    <w:rsid w:val="000D7CBA"/>
    <w:rsid w:val="000E0700"/>
    <w:rsid w:val="000E2395"/>
    <w:rsid w:val="000E4953"/>
    <w:rsid w:val="000E601A"/>
    <w:rsid w:val="000E6F72"/>
    <w:rsid w:val="000F0070"/>
    <w:rsid w:val="000F0478"/>
    <w:rsid w:val="000F0A50"/>
    <w:rsid w:val="000F0B65"/>
    <w:rsid w:val="000F43A3"/>
    <w:rsid w:val="0010226F"/>
    <w:rsid w:val="00103D5E"/>
    <w:rsid w:val="00104EA7"/>
    <w:rsid w:val="00105FAD"/>
    <w:rsid w:val="0011155B"/>
    <w:rsid w:val="00111A6A"/>
    <w:rsid w:val="00111F67"/>
    <w:rsid w:val="0011246D"/>
    <w:rsid w:val="001133AC"/>
    <w:rsid w:val="00114383"/>
    <w:rsid w:val="00117546"/>
    <w:rsid w:val="00121BF1"/>
    <w:rsid w:val="00127A8B"/>
    <w:rsid w:val="00134BE5"/>
    <w:rsid w:val="001355B6"/>
    <w:rsid w:val="00140C93"/>
    <w:rsid w:val="001412D1"/>
    <w:rsid w:val="001423E3"/>
    <w:rsid w:val="0014244A"/>
    <w:rsid w:val="001475EA"/>
    <w:rsid w:val="001504F5"/>
    <w:rsid w:val="001517BD"/>
    <w:rsid w:val="00165532"/>
    <w:rsid w:val="00166C36"/>
    <w:rsid w:val="00170F65"/>
    <w:rsid w:val="0017248D"/>
    <w:rsid w:val="00173626"/>
    <w:rsid w:val="0017614A"/>
    <w:rsid w:val="001817CD"/>
    <w:rsid w:val="00182074"/>
    <w:rsid w:val="0018235E"/>
    <w:rsid w:val="00182D05"/>
    <w:rsid w:val="00183D2D"/>
    <w:rsid w:val="0018768C"/>
    <w:rsid w:val="00192175"/>
    <w:rsid w:val="00192BA0"/>
    <w:rsid w:val="00197303"/>
    <w:rsid w:val="001A17EA"/>
    <w:rsid w:val="001A1D17"/>
    <w:rsid w:val="001A22AA"/>
    <w:rsid w:val="001A7A18"/>
    <w:rsid w:val="001B1565"/>
    <w:rsid w:val="001B166D"/>
    <w:rsid w:val="001B28B5"/>
    <w:rsid w:val="001B2975"/>
    <w:rsid w:val="001B29ED"/>
    <w:rsid w:val="001B2B08"/>
    <w:rsid w:val="001C122D"/>
    <w:rsid w:val="001C4963"/>
    <w:rsid w:val="001C7BEF"/>
    <w:rsid w:val="001D2A82"/>
    <w:rsid w:val="001D569B"/>
    <w:rsid w:val="001E0EA3"/>
    <w:rsid w:val="001E2655"/>
    <w:rsid w:val="001E370A"/>
    <w:rsid w:val="001E4995"/>
    <w:rsid w:val="001E7531"/>
    <w:rsid w:val="001E7A42"/>
    <w:rsid w:val="001F09DC"/>
    <w:rsid w:val="001F25F0"/>
    <w:rsid w:val="001F43E6"/>
    <w:rsid w:val="001F5944"/>
    <w:rsid w:val="001F74EA"/>
    <w:rsid w:val="0020290C"/>
    <w:rsid w:val="00213772"/>
    <w:rsid w:val="00216F19"/>
    <w:rsid w:val="00220749"/>
    <w:rsid w:val="0022422C"/>
    <w:rsid w:val="00226C95"/>
    <w:rsid w:val="0022724E"/>
    <w:rsid w:val="00230666"/>
    <w:rsid w:val="00231153"/>
    <w:rsid w:val="0023252E"/>
    <w:rsid w:val="00235E8D"/>
    <w:rsid w:val="00241C31"/>
    <w:rsid w:val="00244D78"/>
    <w:rsid w:val="002478D5"/>
    <w:rsid w:val="00253703"/>
    <w:rsid w:val="00255EFD"/>
    <w:rsid w:val="00257774"/>
    <w:rsid w:val="002679D5"/>
    <w:rsid w:val="002714FD"/>
    <w:rsid w:val="00272FA5"/>
    <w:rsid w:val="00275F94"/>
    <w:rsid w:val="00281212"/>
    <w:rsid w:val="00281B9C"/>
    <w:rsid w:val="00284C9B"/>
    <w:rsid w:val="00290756"/>
    <w:rsid w:val="00291DB7"/>
    <w:rsid w:val="00293C6B"/>
    <w:rsid w:val="002A141B"/>
    <w:rsid w:val="002A26B6"/>
    <w:rsid w:val="002A537E"/>
    <w:rsid w:val="002A6A4E"/>
    <w:rsid w:val="002B00BE"/>
    <w:rsid w:val="002B1228"/>
    <w:rsid w:val="002B5A85"/>
    <w:rsid w:val="002B63A7"/>
    <w:rsid w:val="002C3792"/>
    <w:rsid w:val="002C5543"/>
    <w:rsid w:val="002C65BF"/>
    <w:rsid w:val="002D0F7F"/>
    <w:rsid w:val="002D30C1"/>
    <w:rsid w:val="002D361E"/>
    <w:rsid w:val="002E0198"/>
    <w:rsid w:val="002E1D7C"/>
    <w:rsid w:val="002E4EEA"/>
    <w:rsid w:val="002E5154"/>
    <w:rsid w:val="002E5F81"/>
    <w:rsid w:val="002E6A51"/>
    <w:rsid w:val="002F0C7A"/>
    <w:rsid w:val="002F0E83"/>
    <w:rsid w:val="002F104E"/>
    <w:rsid w:val="002F449B"/>
    <w:rsid w:val="002F4D86"/>
    <w:rsid w:val="002F5D69"/>
    <w:rsid w:val="002F7C77"/>
    <w:rsid w:val="00300CB3"/>
    <w:rsid w:val="003022CC"/>
    <w:rsid w:val="0030394B"/>
    <w:rsid w:val="003072B9"/>
    <w:rsid w:val="003072C6"/>
    <w:rsid w:val="003100C1"/>
    <w:rsid w:val="00310D8E"/>
    <w:rsid w:val="003121BE"/>
    <w:rsid w:val="00313418"/>
    <w:rsid w:val="00313855"/>
    <w:rsid w:val="00315BBD"/>
    <w:rsid w:val="0031753A"/>
    <w:rsid w:val="00320293"/>
    <w:rsid w:val="00322CC2"/>
    <w:rsid w:val="003271DC"/>
    <w:rsid w:val="00334B54"/>
    <w:rsid w:val="0033739E"/>
    <w:rsid w:val="003409AC"/>
    <w:rsid w:val="00343733"/>
    <w:rsid w:val="00345E33"/>
    <w:rsid w:val="003506C0"/>
    <w:rsid w:val="00353E81"/>
    <w:rsid w:val="00354BDE"/>
    <w:rsid w:val="00355886"/>
    <w:rsid w:val="00356814"/>
    <w:rsid w:val="00356FE0"/>
    <w:rsid w:val="003679E3"/>
    <w:rsid w:val="0037366E"/>
    <w:rsid w:val="0038019F"/>
    <w:rsid w:val="00380C13"/>
    <w:rsid w:val="00382071"/>
    <w:rsid w:val="00395327"/>
    <w:rsid w:val="003A2F25"/>
    <w:rsid w:val="003A4384"/>
    <w:rsid w:val="003A4B16"/>
    <w:rsid w:val="003A5683"/>
    <w:rsid w:val="003B2807"/>
    <w:rsid w:val="003C0634"/>
    <w:rsid w:val="003C1E3B"/>
    <w:rsid w:val="003C68F2"/>
    <w:rsid w:val="003D1990"/>
    <w:rsid w:val="003D58B8"/>
    <w:rsid w:val="003D59D3"/>
    <w:rsid w:val="003D5CFB"/>
    <w:rsid w:val="003E2636"/>
    <w:rsid w:val="003E2E12"/>
    <w:rsid w:val="003E5BE7"/>
    <w:rsid w:val="003F100D"/>
    <w:rsid w:val="003F1561"/>
    <w:rsid w:val="003F39CE"/>
    <w:rsid w:val="004005DD"/>
    <w:rsid w:val="00401108"/>
    <w:rsid w:val="00402927"/>
    <w:rsid w:val="00407993"/>
    <w:rsid w:val="00411833"/>
    <w:rsid w:val="004120D8"/>
    <w:rsid w:val="00412F64"/>
    <w:rsid w:val="00417BEB"/>
    <w:rsid w:val="00424E95"/>
    <w:rsid w:val="0042664B"/>
    <w:rsid w:val="00427FC7"/>
    <w:rsid w:val="004324FF"/>
    <w:rsid w:val="00432A55"/>
    <w:rsid w:val="00432E79"/>
    <w:rsid w:val="00433201"/>
    <w:rsid w:val="00434C4F"/>
    <w:rsid w:val="0044260A"/>
    <w:rsid w:val="00442986"/>
    <w:rsid w:val="00442D30"/>
    <w:rsid w:val="00444D82"/>
    <w:rsid w:val="004512C5"/>
    <w:rsid w:val="0045440A"/>
    <w:rsid w:val="004564C6"/>
    <w:rsid w:val="00460D22"/>
    <w:rsid w:val="004610CC"/>
    <w:rsid w:val="00465464"/>
    <w:rsid w:val="00465E87"/>
    <w:rsid w:val="00473AB9"/>
    <w:rsid w:val="0047476C"/>
    <w:rsid w:val="0047481A"/>
    <w:rsid w:val="00477399"/>
    <w:rsid w:val="0047786A"/>
    <w:rsid w:val="00477A65"/>
    <w:rsid w:val="00480F9A"/>
    <w:rsid w:val="00482DB3"/>
    <w:rsid w:val="00493A3F"/>
    <w:rsid w:val="004968BB"/>
    <w:rsid w:val="004A0236"/>
    <w:rsid w:val="004A369A"/>
    <w:rsid w:val="004A3B3E"/>
    <w:rsid w:val="004B070C"/>
    <w:rsid w:val="004B3A05"/>
    <w:rsid w:val="004B43BE"/>
    <w:rsid w:val="004C050D"/>
    <w:rsid w:val="004C3DE7"/>
    <w:rsid w:val="004C5456"/>
    <w:rsid w:val="004C5777"/>
    <w:rsid w:val="004D0173"/>
    <w:rsid w:val="004D1056"/>
    <w:rsid w:val="004E1EDE"/>
    <w:rsid w:val="004E21E2"/>
    <w:rsid w:val="004E293F"/>
    <w:rsid w:val="004E380D"/>
    <w:rsid w:val="004E6B31"/>
    <w:rsid w:val="004E775E"/>
    <w:rsid w:val="004E7922"/>
    <w:rsid w:val="004F0DFC"/>
    <w:rsid w:val="004F2212"/>
    <w:rsid w:val="004F3441"/>
    <w:rsid w:val="004F41B2"/>
    <w:rsid w:val="004F4AFC"/>
    <w:rsid w:val="004F52A5"/>
    <w:rsid w:val="004F7960"/>
    <w:rsid w:val="00500093"/>
    <w:rsid w:val="00500C8C"/>
    <w:rsid w:val="00501375"/>
    <w:rsid w:val="00501D3B"/>
    <w:rsid w:val="005022C9"/>
    <w:rsid w:val="00502AB9"/>
    <w:rsid w:val="00503FB9"/>
    <w:rsid w:val="0050779D"/>
    <w:rsid w:val="005101D9"/>
    <w:rsid w:val="00510468"/>
    <w:rsid w:val="005139EA"/>
    <w:rsid w:val="00515F87"/>
    <w:rsid w:val="00520BBB"/>
    <w:rsid w:val="0052531A"/>
    <w:rsid w:val="00525456"/>
    <w:rsid w:val="0052568D"/>
    <w:rsid w:val="005278D0"/>
    <w:rsid w:val="00527FD9"/>
    <w:rsid w:val="00532236"/>
    <w:rsid w:val="0053708C"/>
    <w:rsid w:val="00541DFE"/>
    <w:rsid w:val="00542E9C"/>
    <w:rsid w:val="00543E6C"/>
    <w:rsid w:val="00544184"/>
    <w:rsid w:val="00546109"/>
    <w:rsid w:val="00553882"/>
    <w:rsid w:val="005549B6"/>
    <w:rsid w:val="005552FD"/>
    <w:rsid w:val="00556907"/>
    <w:rsid w:val="00556EA5"/>
    <w:rsid w:val="005600E5"/>
    <w:rsid w:val="00560929"/>
    <w:rsid w:val="00563172"/>
    <w:rsid w:val="005644E9"/>
    <w:rsid w:val="00564E8F"/>
    <w:rsid w:val="00566DBB"/>
    <w:rsid w:val="00572358"/>
    <w:rsid w:val="005728A4"/>
    <w:rsid w:val="005763FC"/>
    <w:rsid w:val="005766C5"/>
    <w:rsid w:val="00576EB4"/>
    <w:rsid w:val="00577B30"/>
    <w:rsid w:val="00582768"/>
    <w:rsid w:val="00582E56"/>
    <w:rsid w:val="00583461"/>
    <w:rsid w:val="00583AB6"/>
    <w:rsid w:val="005856A4"/>
    <w:rsid w:val="00590730"/>
    <w:rsid w:val="005A1D10"/>
    <w:rsid w:val="005A3051"/>
    <w:rsid w:val="005A53FE"/>
    <w:rsid w:val="005A5624"/>
    <w:rsid w:val="005A628E"/>
    <w:rsid w:val="005B7D22"/>
    <w:rsid w:val="005C01CC"/>
    <w:rsid w:val="005C029E"/>
    <w:rsid w:val="005C56D5"/>
    <w:rsid w:val="005D0A8B"/>
    <w:rsid w:val="005D2B88"/>
    <w:rsid w:val="005D5238"/>
    <w:rsid w:val="005E085D"/>
    <w:rsid w:val="005E3FA7"/>
    <w:rsid w:val="005E7963"/>
    <w:rsid w:val="005F218C"/>
    <w:rsid w:val="005F4523"/>
    <w:rsid w:val="005F47E1"/>
    <w:rsid w:val="005F7F47"/>
    <w:rsid w:val="00601D4D"/>
    <w:rsid w:val="006021B4"/>
    <w:rsid w:val="00605B5B"/>
    <w:rsid w:val="006062D8"/>
    <w:rsid w:val="006062F1"/>
    <w:rsid w:val="00606827"/>
    <w:rsid w:val="00615CAD"/>
    <w:rsid w:val="00620262"/>
    <w:rsid w:val="00621B4C"/>
    <w:rsid w:val="00624B70"/>
    <w:rsid w:val="00625692"/>
    <w:rsid w:val="00627C52"/>
    <w:rsid w:val="00630937"/>
    <w:rsid w:val="00630C84"/>
    <w:rsid w:val="00632743"/>
    <w:rsid w:val="006362EA"/>
    <w:rsid w:val="00636E20"/>
    <w:rsid w:val="0064094B"/>
    <w:rsid w:val="00647609"/>
    <w:rsid w:val="00651D1E"/>
    <w:rsid w:val="00652FC4"/>
    <w:rsid w:val="00653692"/>
    <w:rsid w:val="00653B84"/>
    <w:rsid w:val="00653E0D"/>
    <w:rsid w:val="00655685"/>
    <w:rsid w:val="006767FB"/>
    <w:rsid w:val="006806BF"/>
    <w:rsid w:val="006865C8"/>
    <w:rsid w:val="00686B48"/>
    <w:rsid w:val="00687038"/>
    <w:rsid w:val="0068714E"/>
    <w:rsid w:val="006929F7"/>
    <w:rsid w:val="0069374A"/>
    <w:rsid w:val="00694AB8"/>
    <w:rsid w:val="00695EF7"/>
    <w:rsid w:val="0069699D"/>
    <w:rsid w:val="006A42DB"/>
    <w:rsid w:val="006A5358"/>
    <w:rsid w:val="006B2C51"/>
    <w:rsid w:val="006B6361"/>
    <w:rsid w:val="006C593B"/>
    <w:rsid w:val="006C6263"/>
    <w:rsid w:val="006C6E6D"/>
    <w:rsid w:val="006D360C"/>
    <w:rsid w:val="006D5AC9"/>
    <w:rsid w:val="006D66ED"/>
    <w:rsid w:val="006E786B"/>
    <w:rsid w:val="006F1BAC"/>
    <w:rsid w:val="007002B1"/>
    <w:rsid w:val="007020BE"/>
    <w:rsid w:val="0070307E"/>
    <w:rsid w:val="00704EB7"/>
    <w:rsid w:val="00705742"/>
    <w:rsid w:val="00706AC4"/>
    <w:rsid w:val="0071007D"/>
    <w:rsid w:val="0071035B"/>
    <w:rsid w:val="007104FE"/>
    <w:rsid w:val="00711B0C"/>
    <w:rsid w:val="007121A2"/>
    <w:rsid w:val="00712BB6"/>
    <w:rsid w:val="00713981"/>
    <w:rsid w:val="007176D6"/>
    <w:rsid w:val="007255D3"/>
    <w:rsid w:val="007256B1"/>
    <w:rsid w:val="00727D54"/>
    <w:rsid w:val="0073082A"/>
    <w:rsid w:val="00731EF2"/>
    <w:rsid w:val="00731FFD"/>
    <w:rsid w:val="007344C5"/>
    <w:rsid w:val="00734959"/>
    <w:rsid w:val="00734A3A"/>
    <w:rsid w:val="00735137"/>
    <w:rsid w:val="0073520D"/>
    <w:rsid w:val="00747EC2"/>
    <w:rsid w:val="00750FA0"/>
    <w:rsid w:val="00767770"/>
    <w:rsid w:val="00780226"/>
    <w:rsid w:val="00781AB4"/>
    <w:rsid w:val="00784735"/>
    <w:rsid w:val="007923B7"/>
    <w:rsid w:val="00792521"/>
    <w:rsid w:val="00792616"/>
    <w:rsid w:val="007926BB"/>
    <w:rsid w:val="007928D4"/>
    <w:rsid w:val="0079344C"/>
    <w:rsid w:val="0079569B"/>
    <w:rsid w:val="007968AE"/>
    <w:rsid w:val="007A0283"/>
    <w:rsid w:val="007A64D9"/>
    <w:rsid w:val="007B5513"/>
    <w:rsid w:val="007B5530"/>
    <w:rsid w:val="007C02C7"/>
    <w:rsid w:val="007C21EE"/>
    <w:rsid w:val="007D2601"/>
    <w:rsid w:val="007D3A2E"/>
    <w:rsid w:val="007D3DAC"/>
    <w:rsid w:val="007D6652"/>
    <w:rsid w:val="007E1ECA"/>
    <w:rsid w:val="007E343D"/>
    <w:rsid w:val="007E517C"/>
    <w:rsid w:val="007E58DA"/>
    <w:rsid w:val="007E5988"/>
    <w:rsid w:val="007E5F3E"/>
    <w:rsid w:val="007F3CA7"/>
    <w:rsid w:val="007F4383"/>
    <w:rsid w:val="00801601"/>
    <w:rsid w:val="0080547D"/>
    <w:rsid w:val="00810353"/>
    <w:rsid w:val="00810991"/>
    <w:rsid w:val="00810A70"/>
    <w:rsid w:val="00810BFC"/>
    <w:rsid w:val="00812575"/>
    <w:rsid w:val="00813EF3"/>
    <w:rsid w:val="00814A9B"/>
    <w:rsid w:val="00814F66"/>
    <w:rsid w:val="00816DE1"/>
    <w:rsid w:val="00817C9E"/>
    <w:rsid w:val="008205AF"/>
    <w:rsid w:val="008225E5"/>
    <w:rsid w:val="00824B62"/>
    <w:rsid w:val="00826BA6"/>
    <w:rsid w:val="00827ED2"/>
    <w:rsid w:val="00831053"/>
    <w:rsid w:val="008314D2"/>
    <w:rsid w:val="00831A0C"/>
    <w:rsid w:val="0083222C"/>
    <w:rsid w:val="0083254D"/>
    <w:rsid w:val="00836249"/>
    <w:rsid w:val="00836F00"/>
    <w:rsid w:val="00846192"/>
    <w:rsid w:val="00847031"/>
    <w:rsid w:val="00850806"/>
    <w:rsid w:val="00855F44"/>
    <w:rsid w:val="00856A1B"/>
    <w:rsid w:val="008621C3"/>
    <w:rsid w:val="00862858"/>
    <w:rsid w:val="008628A9"/>
    <w:rsid w:val="0086411E"/>
    <w:rsid w:val="00865486"/>
    <w:rsid w:val="00873A4C"/>
    <w:rsid w:val="0087548E"/>
    <w:rsid w:val="00876275"/>
    <w:rsid w:val="00876BAE"/>
    <w:rsid w:val="00882B99"/>
    <w:rsid w:val="00886121"/>
    <w:rsid w:val="008943F1"/>
    <w:rsid w:val="00896136"/>
    <w:rsid w:val="008965E8"/>
    <w:rsid w:val="008A128D"/>
    <w:rsid w:val="008A295B"/>
    <w:rsid w:val="008A6604"/>
    <w:rsid w:val="008B1C73"/>
    <w:rsid w:val="008B2479"/>
    <w:rsid w:val="008B2BA1"/>
    <w:rsid w:val="008B5482"/>
    <w:rsid w:val="008C11F4"/>
    <w:rsid w:val="008C2BEC"/>
    <w:rsid w:val="008C3ACB"/>
    <w:rsid w:val="008C3DC6"/>
    <w:rsid w:val="008C6523"/>
    <w:rsid w:val="008C6D0E"/>
    <w:rsid w:val="008C797F"/>
    <w:rsid w:val="008D09D2"/>
    <w:rsid w:val="008D3444"/>
    <w:rsid w:val="008D39C5"/>
    <w:rsid w:val="008D3D61"/>
    <w:rsid w:val="008D470D"/>
    <w:rsid w:val="008D4C26"/>
    <w:rsid w:val="008D5866"/>
    <w:rsid w:val="008E1D89"/>
    <w:rsid w:val="008E3E3E"/>
    <w:rsid w:val="008E4526"/>
    <w:rsid w:val="008E66B5"/>
    <w:rsid w:val="008F002D"/>
    <w:rsid w:val="008F2292"/>
    <w:rsid w:val="008F38CB"/>
    <w:rsid w:val="008F5F87"/>
    <w:rsid w:val="00900788"/>
    <w:rsid w:val="00900A34"/>
    <w:rsid w:val="00907073"/>
    <w:rsid w:val="009164C1"/>
    <w:rsid w:val="009208F5"/>
    <w:rsid w:val="0092279A"/>
    <w:rsid w:val="0092784B"/>
    <w:rsid w:val="00927D51"/>
    <w:rsid w:val="00932272"/>
    <w:rsid w:val="00932862"/>
    <w:rsid w:val="00935D60"/>
    <w:rsid w:val="009406DD"/>
    <w:rsid w:val="009419DA"/>
    <w:rsid w:val="009447BB"/>
    <w:rsid w:val="00944C48"/>
    <w:rsid w:val="009462B4"/>
    <w:rsid w:val="00946335"/>
    <w:rsid w:val="00950923"/>
    <w:rsid w:val="00950B14"/>
    <w:rsid w:val="009513C4"/>
    <w:rsid w:val="00955E55"/>
    <w:rsid w:val="00962200"/>
    <w:rsid w:val="0096262C"/>
    <w:rsid w:val="00966F54"/>
    <w:rsid w:val="00967BB8"/>
    <w:rsid w:val="009722C9"/>
    <w:rsid w:val="00975E61"/>
    <w:rsid w:val="00976E31"/>
    <w:rsid w:val="00977C63"/>
    <w:rsid w:val="00980087"/>
    <w:rsid w:val="00980C0B"/>
    <w:rsid w:val="0098524F"/>
    <w:rsid w:val="00986207"/>
    <w:rsid w:val="00987299"/>
    <w:rsid w:val="00987ABE"/>
    <w:rsid w:val="009906C7"/>
    <w:rsid w:val="009963CD"/>
    <w:rsid w:val="009A15A7"/>
    <w:rsid w:val="009A1C7E"/>
    <w:rsid w:val="009A43AA"/>
    <w:rsid w:val="009B266D"/>
    <w:rsid w:val="009B5CBF"/>
    <w:rsid w:val="009C184A"/>
    <w:rsid w:val="009C2CA5"/>
    <w:rsid w:val="009C5DEF"/>
    <w:rsid w:val="009D3E45"/>
    <w:rsid w:val="009D4F0F"/>
    <w:rsid w:val="009D77D9"/>
    <w:rsid w:val="009E2D9F"/>
    <w:rsid w:val="009E3837"/>
    <w:rsid w:val="009E3D10"/>
    <w:rsid w:val="009E4741"/>
    <w:rsid w:val="009E6575"/>
    <w:rsid w:val="009E7986"/>
    <w:rsid w:val="009F0F8F"/>
    <w:rsid w:val="009F351F"/>
    <w:rsid w:val="009F3F89"/>
    <w:rsid w:val="009F480E"/>
    <w:rsid w:val="009F5BB2"/>
    <w:rsid w:val="009F73DB"/>
    <w:rsid w:val="00A022A2"/>
    <w:rsid w:val="00A02D15"/>
    <w:rsid w:val="00A034B2"/>
    <w:rsid w:val="00A03BE3"/>
    <w:rsid w:val="00A050AE"/>
    <w:rsid w:val="00A06852"/>
    <w:rsid w:val="00A11403"/>
    <w:rsid w:val="00A132C7"/>
    <w:rsid w:val="00A17C47"/>
    <w:rsid w:val="00A20C62"/>
    <w:rsid w:val="00A26B0D"/>
    <w:rsid w:val="00A26B5F"/>
    <w:rsid w:val="00A31827"/>
    <w:rsid w:val="00A3735A"/>
    <w:rsid w:val="00A3785F"/>
    <w:rsid w:val="00A37D77"/>
    <w:rsid w:val="00A42F1B"/>
    <w:rsid w:val="00A47812"/>
    <w:rsid w:val="00A5230F"/>
    <w:rsid w:val="00A546BC"/>
    <w:rsid w:val="00A54B98"/>
    <w:rsid w:val="00A55989"/>
    <w:rsid w:val="00A5694A"/>
    <w:rsid w:val="00A63711"/>
    <w:rsid w:val="00A63DA4"/>
    <w:rsid w:val="00A66553"/>
    <w:rsid w:val="00A6702B"/>
    <w:rsid w:val="00A72B32"/>
    <w:rsid w:val="00A74A9F"/>
    <w:rsid w:val="00A75CD5"/>
    <w:rsid w:val="00A76096"/>
    <w:rsid w:val="00A824C4"/>
    <w:rsid w:val="00A83DF3"/>
    <w:rsid w:val="00A8479F"/>
    <w:rsid w:val="00A85915"/>
    <w:rsid w:val="00A87AC7"/>
    <w:rsid w:val="00A943E4"/>
    <w:rsid w:val="00A952AB"/>
    <w:rsid w:val="00A9783D"/>
    <w:rsid w:val="00A97B29"/>
    <w:rsid w:val="00AA03FF"/>
    <w:rsid w:val="00AA45E6"/>
    <w:rsid w:val="00AA4B6B"/>
    <w:rsid w:val="00AA5A37"/>
    <w:rsid w:val="00AB1EDC"/>
    <w:rsid w:val="00AB2E14"/>
    <w:rsid w:val="00AB489C"/>
    <w:rsid w:val="00AB50C1"/>
    <w:rsid w:val="00AB6936"/>
    <w:rsid w:val="00AC0C3B"/>
    <w:rsid w:val="00AC23F3"/>
    <w:rsid w:val="00AC2D63"/>
    <w:rsid w:val="00AC3DB0"/>
    <w:rsid w:val="00AC7A73"/>
    <w:rsid w:val="00AD03D8"/>
    <w:rsid w:val="00AD0711"/>
    <w:rsid w:val="00AD13A0"/>
    <w:rsid w:val="00AD4F8E"/>
    <w:rsid w:val="00AD704E"/>
    <w:rsid w:val="00AE09D0"/>
    <w:rsid w:val="00AE5FE0"/>
    <w:rsid w:val="00AE60B7"/>
    <w:rsid w:val="00AF2AB7"/>
    <w:rsid w:val="00AF2B1C"/>
    <w:rsid w:val="00AF3BC1"/>
    <w:rsid w:val="00AF45E7"/>
    <w:rsid w:val="00AF463B"/>
    <w:rsid w:val="00AF4B5F"/>
    <w:rsid w:val="00AF4D3F"/>
    <w:rsid w:val="00B00AF3"/>
    <w:rsid w:val="00B0300B"/>
    <w:rsid w:val="00B05457"/>
    <w:rsid w:val="00B057F5"/>
    <w:rsid w:val="00B128A0"/>
    <w:rsid w:val="00B1760E"/>
    <w:rsid w:val="00B20240"/>
    <w:rsid w:val="00B23281"/>
    <w:rsid w:val="00B27571"/>
    <w:rsid w:val="00B3437C"/>
    <w:rsid w:val="00B4164B"/>
    <w:rsid w:val="00B42675"/>
    <w:rsid w:val="00B4286E"/>
    <w:rsid w:val="00B4361E"/>
    <w:rsid w:val="00B526C3"/>
    <w:rsid w:val="00B5409A"/>
    <w:rsid w:val="00B55574"/>
    <w:rsid w:val="00B5771A"/>
    <w:rsid w:val="00B610C1"/>
    <w:rsid w:val="00B6525D"/>
    <w:rsid w:val="00B65ABA"/>
    <w:rsid w:val="00B6790F"/>
    <w:rsid w:val="00B71B3B"/>
    <w:rsid w:val="00B7443E"/>
    <w:rsid w:val="00B762B5"/>
    <w:rsid w:val="00B774F0"/>
    <w:rsid w:val="00B8085B"/>
    <w:rsid w:val="00B8461C"/>
    <w:rsid w:val="00B853DB"/>
    <w:rsid w:val="00B8722D"/>
    <w:rsid w:val="00B87D61"/>
    <w:rsid w:val="00B9068D"/>
    <w:rsid w:val="00B91DC7"/>
    <w:rsid w:val="00B92B44"/>
    <w:rsid w:val="00B93948"/>
    <w:rsid w:val="00B95C85"/>
    <w:rsid w:val="00B96C1F"/>
    <w:rsid w:val="00B97893"/>
    <w:rsid w:val="00BA4BC7"/>
    <w:rsid w:val="00BA55B7"/>
    <w:rsid w:val="00BA5E47"/>
    <w:rsid w:val="00BA7D57"/>
    <w:rsid w:val="00BB156E"/>
    <w:rsid w:val="00BB1C33"/>
    <w:rsid w:val="00BB3330"/>
    <w:rsid w:val="00BB3451"/>
    <w:rsid w:val="00BB47D7"/>
    <w:rsid w:val="00BB4923"/>
    <w:rsid w:val="00BB4A62"/>
    <w:rsid w:val="00BC01C1"/>
    <w:rsid w:val="00BC24DA"/>
    <w:rsid w:val="00BC29A9"/>
    <w:rsid w:val="00BC42AA"/>
    <w:rsid w:val="00BC45A1"/>
    <w:rsid w:val="00BC5A34"/>
    <w:rsid w:val="00BC66E3"/>
    <w:rsid w:val="00BC7B68"/>
    <w:rsid w:val="00BD17F5"/>
    <w:rsid w:val="00BD25FE"/>
    <w:rsid w:val="00BD5DEF"/>
    <w:rsid w:val="00BD6E05"/>
    <w:rsid w:val="00BD7699"/>
    <w:rsid w:val="00BE54D0"/>
    <w:rsid w:val="00BF1B14"/>
    <w:rsid w:val="00BF2228"/>
    <w:rsid w:val="00BF6B6C"/>
    <w:rsid w:val="00BF7251"/>
    <w:rsid w:val="00BF7F28"/>
    <w:rsid w:val="00C00C4C"/>
    <w:rsid w:val="00C01909"/>
    <w:rsid w:val="00C05787"/>
    <w:rsid w:val="00C06974"/>
    <w:rsid w:val="00C12637"/>
    <w:rsid w:val="00C13059"/>
    <w:rsid w:val="00C13D8A"/>
    <w:rsid w:val="00C156D4"/>
    <w:rsid w:val="00C15C8C"/>
    <w:rsid w:val="00C15EA1"/>
    <w:rsid w:val="00C167A3"/>
    <w:rsid w:val="00C2181C"/>
    <w:rsid w:val="00C26541"/>
    <w:rsid w:val="00C2657D"/>
    <w:rsid w:val="00C31CEB"/>
    <w:rsid w:val="00C416E1"/>
    <w:rsid w:val="00C47BF8"/>
    <w:rsid w:val="00C47DA6"/>
    <w:rsid w:val="00C51B1C"/>
    <w:rsid w:val="00C53DCE"/>
    <w:rsid w:val="00C5481A"/>
    <w:rsid w:val="00C61FDA"/>
    <w:rsid w:val="00C626B9"/>
    <w:rsid w:val="00C655F2"/>
    <w:rsid w:val="00C65B4C"/>
    <w:rsid w:val="00C65B61"/>
    <w:rsid w:val="00C70E53"/>
    <w:rsid w:val="00C72979"/>
    <w:rsid w:val="00C765A9"/>
    <w:rsid w:val="00C81529"/>
    <w:rsid w:val="00C81BA6"/>
    <w:rsid w:val="00C8377C"/>
    <w:rsid w:val="00C84331"/>
    <w:rsid w:val="00C867EE"/>
    <w:rsid w:val="00C877CD"/>
    <w:rsid w:val="00C902E9"/>
    <w:rsid w:val="00C908B7"/>
    <w:rsid w:val="00C91D81"/>
    <w:rsid w:val="00C92A42"/>
    <w:rsid w:val="00C9633F"/>
    <w:rsid w:val="00C96993"/>
    <w:rsid w:val="00C96C30"/>
    <w:rsid w:val="00C97323"/>
    <w:rsid w:val="00CA18F2"/>
    <w:rsid w:val="00CA2015"/>
    <w:rsid w:val="00CA4871"/>
    <w:rsid w:val="00CA4DFA"/>
    <w:rsid w:val="00CA5096"/>
    <w:rsid w:val="00CA6722"/>
    <w:rsid w:val="00CA6D4E"/>
    <w:rsid w:val="00CA7B4B"/>
    <w:rsid w:val="00CB13CC"/>
    <w:rsid w:val="00CB13D9"/>
    <w:rsid w:val="00CB36A8"/>
    <w:rsid w:val="00CB5181"/>
    <w:rsid w:val="00CB693B"/>
    <w:rsid w:val="00CB7796"/>
    <w:rsid w:val="00CC139A"/>
    <w:rsid w:val="00CC1E7A"/>
    <w:rsid w:val="00CC4F64"/>
    <w:rsid w:val="00CC5160"/>
    <w:rsid w:val="00CC76F7"/>
    <w:rsid w:val="00CD058C"/>
    <w:rsid w:val="00CD3A54"/>
    <w:rsid w:val="00CD3B98"/>
    <w:rsid w:val="00CD4216"/>
    <w:rsid w:val="00CD4B93"/>
    <w:rsid w:val="00CD518C"/>
    <w:rsid w:val="00CD733F"/>
    <w:rsid w:val="00CD7F24"/>
    <w:rsid w:val="00CE0942"/>
    <w:rsid w:val="00CE3445"/>
    <w:rsid w:val="00CE7CA5"/>
    <w:rsid w:val="00CF1D81"/>
    <w:rsid w:val="00CF2DC9"/>
    <w:rsid w:val="00CF6908"/>
    <w:rsid w:val="00CF75B0"/>
    <w:rsid w:val="00CF7CB6"/>
    <w:rsid w:val="00D0111B"/>
    <w:rsid w:val="00D01B82"/>
    <w:rsid w:val="00D12859"/>
    <w:rsid w:val="00D12C27"/>
    <w:rsid w:val="00D17DFA"/>
    <w:rsid w:val="00D226F2"/>
    <w:rsid w:val="00D23A0C"/>
    <w:rsid w:val="00D311AB"/>
    <w:rsid w:val="00D31229"/>
    <w:rsid w:val="00D325A8"/>
    <w:rsid w:val="00D33FE8"/>
    <w:rsid w:val="00D36664"/>
    <w:rsid w:val="00D3706B"/>
    <w:rsid w:val="00D414B9"/>
    <w:rsid w:val="00D442AD"/>
    <w:rsid w:val="00D45704"/>
    <w:rsid w:val="00D47114"/>
    <w:rsid w:val="00D5618A"/>
    <w:rsid w:val="00D5784B"/>
    <w:rsid w:val="00D63EFB"/>
    <w:rsid w:val="00D6558B"/>
    <w:rsid w:val="00D658AF"/>
    <w:rsid w:val="00D73C40"/>
    <w:rsid w:val="00D820C8"/>
    <w:rsid w:val="00D83DE9"/>
    <w:rsid w:val="00D8450D"/>
    <w:rsid w:val="00D84B59"/>
    <w:rsid w:val="00D95AF9"/>
    <w:rsid w:val="00DA09C9"/>
    <w:rsid w:val="00DA1822"/>
    <w:rsid w:val="00DB2374"/>
    <w:rsid w:val="00DB5E1F"/>
    <w:rsid w:val="00DB6A81"/>
    <w:rsid w:val="00DC19D8"/>
    <w:rsid w:val="00DC2613"/>
    <w:rsid w:val="00DC33F5"/>
    <w:rsid w:val="00DC4512"/>
    <w:rsid w:val="00DC5A91"/>
    <w:rsid w:val="00DD3691"/>
    <w:rsid w:val="00DD4B55"/>
    <w:rsid w:val="00DE1E90"/>
    <w:rsid w:val="00DE24E6"/>
    <w:rsid w:val="00DF07AD"/>
    <w:rsid w:val="00DF3364"/>
    <w:rsid w:val="00DF664D"/>
    <w:rsid w:val="00E055BB"/>
    <w:rsid w:val="00E11988"/>
    <w:rsid w:val="00E12DE5"/>
    <w:rsid w:val="00E15A17"/>
    <w:rsid w:val="00E15D83"/>
    <w:rsid w:val="00E15DA9"/>
    <w:rsid w:val="00E2095D"/>
    <w:rsid w:val="00E24778"/>
    <w:rsid w:val="00E30414"/>
    <w:rsid w:val="00E3149A"/>
    <w:rsid w:val="00E40769"/>
    <w:rsid w:val="00E4244E"/>
    <w:rsid w:val="00E42E8B"/>
    <w:rsid w:val="00E46B2B"/>
    <w:rsid w:val="00E512B5"/>
    <w:rsid w:val="00E60F12"/>
    <w:rsid w:val="00E623EB"/>
    <w:rsid w:val="00E652FB"/>
    <w:rsid w:val="00E66C20"/>
    <w:rsid w:val="00E71C46"/>
    <w:rsid w:val="00E72941"/>
    <w:rsid w:val="00E75703"/>
    <w:rsid w:val="00E75ED2"/>
    <w:rsid w:val="00E80F4E"/>
    <w:rsid w:val="00E8280C"/>
    <w:rsid w:val="00E83E4C"/>
    <w:rsid w:val="00E855FD"/>
    <w:rsid w:val="00E91933"/>
    <w:rsid w:val="00E92A81"/>
    <w:rsid w:val="00E969B1"/>
    <w:rsid w:val="00E9768A"/>
    <w:rsid w:val="00EA3856"/>
    <w:rsid w:val="00EB3838"/>
    <w:rsid w:val="00EB6552"/>
    <w:rsid w:val="00EB7D95"/>
    <w:rsid w:val="00EC18E6"/>
    <w:rsid w:val="00EC1984"/>
    <w:rsid w:val="00EC234C"/>
    <w:rsid w:val="00EC6AA0"/>
    <w:rsid w:val="00EC6F75"/>
    <w:rsid w:val="00ED13EB"/>
    <w:rsid w:val="00ED3529"/>
    <w:rsid w:val="00ED407F"/>
    <w:rsid w:val="00ED4D17"/>
    <w:rsid w:val="00ED6D62"/>
    <w:rsid w:val="00EE0A5D"/>
    <w:rsid w:val="00EE1EF5"/>
    <w:rsid w:val="00EE2164"/>
    <w:rsid w:val="00EE6CD3"/>
    <w:rsid w:val="00EF09A3"/>
    <w:rsid w:val="00EF20D7"/>
    <w:rsid w:val="00EF3419"/>
    <w:rsid w:val="00EF4391"/>
    <w:rsid w:val="00F0119C"/>
    <w:rsid w:val="00F013D8"/>
    <w:rsid w:val="00F02BDB"/>
    <w:rsid w:val="00F0441B"/>
    <w:rsid w:val="00F06622"/>
    <w:rsid w:val="00F07623"/>
    <w:rsid w:val="00F109D5"/>
    <w:rsid w:val="00F13584"/>
    <w:rsid w:val="00F14066"/>
    <w:rsid w:val="00F16948"/>
    <w:rsid w:val="00F26113"/>
    <w:rsid w:val="00F3136B"/>
    <w:rsid w:val="00F314F1"/>
    <w:rsid w:val="00F327EA"/>
    <w:rsid w:val="00F32C51"/>
    <w:rsid w:val="00F331DA"/>
    <w:rsid w:val="00F33641"/>
    <w:rsid w:val="00F4096E"/>
    <w:rsid w:val="00F42842"/>
    <w:rsid w:val="00F43063"/>
    <w:rsid w:val="00F43EE0"/>
    <w:rsid w:val="00F46E40"/>
    <w:rsid w:val="00F4760A"/>
    <w:rsid w:val="00F50CFB"/>
    <w:rsid w:val="00F52B8E"/>
    <w:rsid w:val="00F53CFD"/>
    <w:rsid w:val="00F54AF5"/>
    <w:rsid w:val="00F557E3"/>
    <w:rsid w:val="00F60D56"/>
    <w:rsid w:val="00F61E78"/>
    <w:rsid w:val="00F635C5"/>
    <w:rsid w:val="00F644C0"/>
    <w:rsid w:val="00F65BCF"/>
    <w:rsid w:val="00F6610B"/>
    <w:rsid w:val="00F66205"/>
    <w:rsid w:val="00F736E3"/>
    <w:rsid w:val="00F73729"/>
    <w:rsid w:val="00F749D3"/>
    <w:rsid w:val="00F767E8"/>
    <w:rsid w:val="00F8370D"/>
    <w:rsid w:val="00F839F6"/>
    <w:rsid w:val="00F86A3F"/>
    <w:rsid w:val="00F91297"/>
    <w:rsid w:val="00F9133B"/>
    <w:rsid w:val="00F96468"/>
    <w:rsid w:val="00F97730"/>
    <w:rsid w:val="00FA158F"/>
    <w:rsid w:val="00FA63EF"/>
    <w:rsid w:val="00FB0510"/>
    <w:rsid w:val="00FB2DC5"/>
    <w:rsid w:val="00FB32A4"/>
    <w:rsid w:val="00FB559B"/>
    <w:rsid w:val="00FB594D"/>
    <w:rsid w:val="00FC49BB"/>
    <w:rsid w:val="00FC4B69"/>
    <w:rsid w:val="00FC52B8"/>
    <w:rsid w:val="00FD0AD8"/>
    <w:rsid w:val="00FD616B"/>
    <w:rsid w:val="00FE367F"/>
    <w:rsid w:val="00FE595C"/>
    <w:rsid w:val="00FF29DC"/>
    <w:rsid w:val="00FF2E53"/>
    <w:rsid w:val="00FF453F"/>
    <w:rsid w:val="00FF66E3"/>
    <w:rsid w:val="00FF7430"/>
    <w:rsid w:val="067A80EF"/>
    <w:rsid w:val="0708A6F3"/>
    <w:rsid w:val="070C4BE3"/>
    <w:rsid w:val="07BE3AD9"/>
    <w:rsid w:val="07EEA75A"/>
    <w:rsid w:val="07F56809"/>
    <w:rsid w:val="08B39A8D"/>
    <w:rsid w:val="0AF7D0EA"/>
    <w:rsid w:val="0B768D49"/>
    <w:rsid w:val="0C444298"/>
    <w:rsid w:val="0D23BC26"/>
    <w:rsid w:val="0D47310B"/>
    <w:rsid w:val="0DF535F4"/>
    <w:rsid w:val="0E0E11A1"/>
    <w:rsid w:val="0E57942E"/>
    <w:rsid w:val="0F64BC1C"/>
    <w:rsid w:val="0FA8579C"/>
    <w:rsid w:val="1223A361"/>
    <w:rsid w:val="14A9F503"/>
    <w:rsid w:val="15D56C68"/>
    <w:rsid w:val="15E485A1"/>
    <w:rsid w:val="187C7A96"/>
    <w:rsid w:val="18A84567"/>
    <w:rsid w:val="18CA5EA8"/>
    <w:rsid w:val="1926B706"/>
    <w:rsid w:val="19FD5815"/>
    <w:rsid w:val="1A87121B"/>
    <w:rsid w:val="1AE170FD"/>
    <w:rsid w:val="1B895F80"/>
    <w:rsid w:val="1C524F1B"/>
    <w:rsid w:val="1E52DCDA"/>
    <w:rsid w:val="1F1A25F9"/>
    <w:rsid w:val="1FCF0AA0"/>
    <w:rsid w:val="20DEA7C2"/>
    <w:rsid w:val="2136F94A"/>
    <w:rsid w:val="217EED51"/>
    <w:rsid w:val="21F92F33"/>
    <w:rsid w:val="22212A23"/>
    <w:rsid w:val="22B5CDFE"/>
    <w:rsid w:val="22E16A54"/>
    <w:rsid w:val="23B9A5A7"/>
    <w:rsid w:val="242B3AB3"/>
    <w:rsid w:val="252219FF"/>
    <w:rsid w:val="26F8A1B9"/>
    <w:rsid w:val="2892E67A"/>
    <w:rsid w:val="28DE7C19"/>
    <w:rsid w:val="2A6DD9BD"/>
    <w:rsid w:val="2A7922C9"/>
    <w:rsid w:val="2AEF90F6"/>
    <w:rsid w:val="2CE12BF6"/>
    <w:rsid w:val="2CECAD6A"/>
    <w:rsid w:val="2D4E0C74"/>
    <w:rsid w:val="2DA88749"/>
    <w:rsid w:val="2E0815F6"/>
    <w:rsid w:val="2E7A60CF"/>
    <w:rsid w:val="2FBBE8D0"/>
    <w:rsid w:val="308D4335"/>
    <w:rsid w:val="3146640C"/>
    <w:rsid w:val="315E9416"/>
    <w:rsid w:val="31CFC6A5"/>
    <w:rsid w:val="34F8711B"/>
    <w:rsid w:val="3624E01B"/>
    <w:rsid w:val="367E3E93"/>
    <w:rsid w:val="36D6CB37"/>
    <w:rsid w:val="36FA1650"/>
    <w:rsid w:val="3771737B"/>
    <w:rsid w:val="3877DC6D"/>
    <w:rsid w:val="38791A0B"/>
    <w:rsid w:val="39657F99"/>
    <w:rsid w:val="39B5DA0E"/>
    <w:rsid w:val="3CBE7143"/>
    <w:rsid w:val="3D0B4A68"/>
    <w:rsid w:val="3D1E2CE6"/>
    <w:rsid w:val="3DA0B246"/>
    <w:rsid w:val="3DB3A1B8"/>
    <w:rsid w:val="3F00206C"/>
    <w:rsid w:val="401E7869"/>
    <w:rsid w:val="43AF8A7B"/>
    <w:rsid w:val="4427A6D1"/>
    <w:rsid w:val="4433181C"/>
    <w:rsid w:val="44DCEDF5"/>
    <w:rsid w:val="44F0F32E"/>
    <w:rsid w:val="451C7A40"/>
    <w:rsid w:val="45EFA0F8"/>
    <w:rsid w:val="45F6C5B1"/>
    <w:rsid w:val="46570A8C"/>
    <w:rsid w:val="47C7A03A"/>
    <w:rsid w:val="4B2A06A0"/>
    <w:rsid w:val="4EEBAACC"/>
    <w:rsid w:val="51890D46"/>
    <w:rsid w:val="53612B57"/>
    <w:rsid w:val="5399258A"/>
    <w:rsid w:val="53B7704B"/>
    <w:rsid w:val="5561A5A4"/>
    <w:rsid w:val="5587AD01"/>
    <w:rsid w:val="559415CA"/>
    <w:rsid w:val="5978964D"/>
    <w:rsid w:val="597BA069"/>
    <w:rsid w:val="5A5C7ED2"/>
    <w:rsid w:val="5C40DBFE"/>
    <w:rsid w:val="5CD83B5C"/>
    <w:rsid w:val="5D2D164D"/>
    <w:rsid w:val="5D5A59DD"/>
    <w:rsid w:val="5D6F5D27"/>
    <w:rsid w:val="5E50AB56"/>
    <w:rsid w:val="6064915C"/>
    <w:rsid w:val="60743BF7"/>
    <w:rsid w:val="6150B4E3"/>
    <w:rsid w:val="61D11729"/>
    <w:rsid w:val="62498177"/>
    <w:rsid w:val="63628E51"/>
    <w:rsid w:val="64BE67AD"/>
    <w:rsid w:val="64C7BD0B"/>
    <w:rsid w:val="65F5210E"/>
    <w:rsid w:val="69B3D948"/>
    <w:rsid w:val="6C25929D"/>
    <w:rsid w:val="6D777CC6"/>
    <w:rsid w:val="6FC04FF8"/>
    <w:rsid w:val="704C7648"/>
    <w:rsid w:val="718EE796"/>
    <w:rsid w:val="72917B1D"/>
    <w:rsid w:val="745C1752"/>
    <w:rsid w:val="75628916"/>
    <w:rsid w:val="797305D2"/>
    <w:rsid w:val="79ACA98B"/>
    <w:rsid w:val="7A76AF66"/>
    <w:rsid w:val="7B4B8F48"/>
    <w:rsid w:val="7C236DA8"/>
    <w:rsid w:val="7DD151D0"/>
    <w:rsid w:val="7FA0EB9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53674D"/>
  <w15:docId w15:val="{A01ADD36-BD95-40FE-9BF3-3B63AC69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17CA"/>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uiPriority w:val="99"/>
    <w:locked/>
    <w:rsid w:val="0045440A"/>
    <w:rPr>
      <w:rFonts w:ascii="Arial" w:eastAsia="Times" w:hAnsi="Arial"/>
      <w:lang w:eastAsia="en-US"/>
    </w:rPr>
  </w:style>
  <w:style w:type="numbering" w:customStyle="1" w:styleId="Bullets">
    <w:name w:val="Bullets"/>
    <w:basedOn w:val="NoList"/>
    <w:uiPriority w:val="99"/>
    <w:rsid w:val="00B762B5"/>
    <w:pPr>
      <w:numPr>
        <w:numId w:val="3"/>
      </w:numPr>
    </w:pPr>
  </w:style>
  <w:style w:type="numbering" w:customStyle="1" w:styleId="Numbers">
    <w:name w:val="Numbers"/>
    <w:basedOn w:val="NoList"/>
    <w:uiPriority w:val="99"/>
    <w:rsid w:val="00B762B5"/>
    <w:pPr>
      <w:numPr>
        <w:numId w:val="5"/>
      </w:numPr>
    </w:pPr>
  </w:style>
  <w:style w:type="paragraph" w:customStyle="1" w:styleId="Bullets1">
    <w:name w:val="Bullets 1"/>
    <w:basedOn w:val="Normal"/>
    <w:uiPriority w:val="1"/>
    <w:qFormat/>
    <w:rsid w:val="00B762B5"/>
    <w:pPr>
      <w:numPr>
        <w:numId w:val="3"/>
      </w:numPr>
      <w:spacing w:after="120"/>
      <w:ind w:left="284" w:hanging="284"/>
      <w:jc w:val="both"/>
    </w:pPr>
    <w:rPr>
      <w:rFonts w:ascii="Arial" w:eastAsia="Arial" w:hAnsi="Arial"/>
      <w:color w:val="000000"/>
      <w:sz w:val="22"/>
    </w:rPr>
  </w:style>
  <w:style w:type="paragraph" w:customStyle="1" w:styleId="Bullets2">
    <w:name w:val="Bullets 2"/>
    <w:basedOn w:val="Normal"/>
    <w:uiPriority w:val="1"/>
    <w:qFormat/>
    <w:rsid w:val="00B762B5"/>
    <w:pPr>
      <w:numPr>
        <w:ilvl w:val="1"/>
        <w:numId w:val="3"/>
      </w:numPr>
      <w:spacing w:after="120"/>
      <w:ind w:left="284" w:hanging="284"/>
      <w:jc w:val="both"/>
    </w:pPr>
    <w:rPr>
      <w:rFonts w:ascii="Arial" w:eastAsia="Arial" w:hAnsi="Arial"/>
      <w:color w:val="000000"/>
      <w:sz w:val="22"/>
    </w:rPr>
  </w:style>
  <w:style w:type="paragraph" w:customStyle="1" w:styleId="Numbers1">
    <w:name w:val="Numbers 1"/>
    <w:basedOn w:val="Normal"/>
    <w:uiPriority w:val="1"/>
    <w:qFormat/>
    <w:rsid w:val="00B762B5"/>
    <w:pPr>
      <w:numPr>
        <w:numId w:val="4"/>
      </w:numPr>
      <w:tabs>
        <w:tab w:val="num" w:pos="397"/>
      </w:tabs>
      <w:spacing w:after="120"/>
      <w:ind w:left="397" w:hanging="397"/>
      <w:jc w:val="both"/>
    </w:pPr>
    <w:rPr>
      <w:rFonts w:ascii="Arial" w:eastAsia="Arial" w:hAnsi="Arial"/>
      <w:color w:val="000000"/>
      <w:sz w:val="22"/>
    </w:rPr>
  </w:style>
  <w:style w:type="paragraph" w:customStyle="1" w:styleId="Numbers2">
    <w:name w:val="Numbers 2"/>
    <w:basedOn w:val="Normal"/>
    <w:uiPriority w:val="1"/>
    <w:qFormat/>
    <w:rsid w:val="00B762B5"/>
    <w:pPr>
      <w:numPr>
        <w:ilvl w:val="1"/>
        <w:numId w:val="4"/>
      </w:numPr>
      <w:tabs>
        <w:tab w:val="num" w:pos="794"/>
      </w:tabs>
      <w:spacing w:after="120"/>
      <w:ind w:left="794" w:hanging="397"/>
      <w:jc w:val="both"/>
    </w:pPr>
    <w:rPr>
      <w:rFonts w:ascii="Arial" w:eastAsia="Arial" w:hAnsi="Arial"/>
      <w:color w:val="000000"/>
      <w:sz w:val="22"/>
    </w:rPr>
  </w:style>
  <w:style w:type="paragraph" w:customStyle="1" w:styleId="TableBullets2">
    <w:name w:val="Table Bullets 2"/>
    <w:basedOn w:val="Normal"/>
    <w:uiPriority w:val="20"/>
    <w:semiHidden/>
    <w:qFormat/>
    <w:rsid w:val="00B762B5"/>
    <w:pPr>
      <w:numPr>
        <w:ilvl w:val="7"/>
        <w:numId w:val="3"/>
      </w:numPr>
    </w:pPr>
    <w:rPr>
      <w:rFonts w:ascii="Arial" w:eastAsia="Arial" w:hAnsi="Arial"/>
    </w:rPr>
  </w:style>
  <w:style w:type="paragraph" w:customStyle="1" w:styleId="TableBullets1">
    <w:name w:val="Table Bullets 1"/>
    <w:basedOn w:val="Normal"/>
    <w:uiPriority w:val="20"/>
    <w:semiHidden/>
    <w:qFormat/>
    <w:rsid w:val="00B762B5"/>
    <w:pPr>
      <w:numPr>
        <w:ilvl w:val="6"/>
        <w:numId w:val="3"/>
      </w:numPr>
      <w:ind w:left="227" w:hanging="227"/>
    </w:pPr>
    <w:rPr>
      <w:rFonts w:ascii="Arial" w:eastAsia="Arial" w:hAnsi="Arial"/>
    </w:rPr>
  </w:style>
  <w:style w:type="paragraph" w:customStyle="1" w:styleId="Numbers3">
    <w:name w:val="Numbers 3"/>
    <w:basedOn w:val="Normal"/>
    <w:uiPriority w:val="1"/>
    <w:qFormat/>
    <w:rsid w:val="00B762B5"/>
    <w:pPr>
      <w:numPr>
        <w:ilvl w:val="2"/>
        <w:numId w:val="4"/>
      </w:numPr>
      <w:tabs>
        <w:tab w:val="num" w:pos="397"/>
      </w:tabs>
      <w:spacing w:after="120"/>
      <w:ind w:left="397" w:hanging="397"/>
      <w:jc w:val="both"/>
    </w:pPr>
    <w:rPr>
      <w:rFonts w:ascii="Arial" w:eastAsia="Arial" w:hAnsi="Arial"/>
      <w:color w:val="000000"/>
      <w:sz w:val="22"/>
    </w:rPr>
  </w:style>
  <w:style w:type="paragraph" w:styleId="BalloonText">
    <w:name w:val="Balloon Text"/>
    <w:basedOn w:val="Normal"/>
    <w:link w:val="BalloonTextChar"/>
    <w:uiPriority w:val="99"/>
    <w:semiHidden/>
    <w:unhideWhenUsed/>
    <w:rsid w:val="002E5154"/>
    <w:rPr>
      <w:rFonts w:ascii="Tahoma" w:hAnsi="Tahoma" w:cs="Tahoma"/>
      <w:sz w:val="16"/>
      <w:szCs w:val="16"/>
    </w:rPr>
  </w:style>
  <w:style w:type="character" w:customStyle="1" w:styleId="BalloonTextChar">
    <w:name w:val="Balloon Text Char"/>
    <w:basedOn w:val="DefaultParagraphFont"/>
    <w:link w:val="BalloonText"/>
    <w:uiPriority w:val="99"/>
    <w:semiHidden/>
    <w:rsid w:val="002E5154"/>
    <w:rPr>
      <w:rFonts w:ascii="Tahoma" w:hAnsi="Tahoma" w:cs="Tahoma"/>
      <w:sz w:val="16"/>
      <w:szCs w:val="16"/>
      <w:lang w:eastAsia="en-US"/>
    </w:rPr>
  </w:style>
  <w:style w:type="paragraph" w:customStyle="1" w:styleId="Healthbody">
    <w:name w:val="Health body"/>
    <w:rsid w:val="00B4361E"/>
    <w:pPr>
      <w:spacing w:after="120" w:line="270" w:lineRule="atLeast"/>
    </w:pPr>
    <w:rPr>
      <w:rFonts w:ascii="Arial" w:eastAsia="Times" w:hAnsi="Arial"/>
      <w:lang w:eastAsia="en-US"/>
    </w:rPr>
  </w:style>
  <w:style w:type="paragraph" w:customStyle="1" w:styleId="Healthtablebody">
    <w:name w:val="Health table body"/>
    <w:link w:val="HealthtablebodyChar"/>
    <w:uiPriority w:val="99"/>
    <w:rsid w:val="00B4361E"/>
    <w:pPr>
      <w:spacing w:after="40" w:line="220" w:lineRule="atLeast"/>
    </w:pPr>
    <w:rPr>
      <w:rFonts w:ascii="Arial" w:eastAsia="MS Mincho" w:hAnsi="Arial"/>
      <w:sz w:val="18"/>
      <w:szCs w:val="24"/>
      <w:lang w:eastAsia="en-US"/>
    </w:rPr>
  </w:style>
  <w:style w:type="character" w:customStyle="1" w:styleId="HealthtablebodyChar">
    <w:name w:val="Health table body Char"/>
    <w:link w:val="Healthtablebody"/>
    <w:uiPriority w:val="99"/>
    <w:rsid w:val="00B4361E"/>
    <w:rPr>
      <w:rFonts w:ascii="Arial" w:eastAsia="MS Mincho" w:hAnsi="Arial"/>
      <w:sz w:val="18"/>
      <w:szCs w:val="24"/>
      <w:lang w:eastAsia="en-US"/>
    </w:rPr>
  </w:style>
  <w:style w:type="character" w:styleId="CommentReference">
    <w:name w:val="annotation reference"/>
    <w:basedOn w:val="DefaultParagraphFont"/>
    <w:uiPriority w:val="99"/>
    <w:semiHidden/>
    <w:unhideWhenUsed/>
    <w:rsid w:val="00ED407F"/>
    <w:rPr>
      <w:sz w:val="16"/>
      <w:szCs w:val="16"/>
    </w:rPr>
  </w:style>
  <w:style w:type="paragraph" w:styleId="CommentText">
    <w:name w:val="annotation text"/>
    <w:basedOn w:val="Normal"/>
    <w:link w:val="CommentTextChar"/>
    <w:uiPriority w:val="99"/>
    <w:semiHidden/>
    <w:unhideWhenUsed/>
    <w:rsid w:val="00ED407F"/>
  </w:style>
  <w:style w:type="character" w:customStyle="1" w:styleId="CommentTextChar">
    <w:name w:val="Comment Text Char"/>
    <w:basedOn w:val="DefaultParagraphFont"/>
    <w:link w:val="CommentText"/>
    <w:uiPriority w:val="99"/>
    <w:semiHidden/>
    <w:rsid w:val="00ED407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D407F"/>
    <w:rPr>
      <w:b/>
      <w:bCs/>
    </w:rPr>
  </w:style>
  <w:style w:type="character" w:customStyle="1" w:styleId="CommentSubjectChar">
    <w:name w:val="Comment Subject Char"/>
    <w:basedOn w:val="CommentTextChar"/>
    <w:link w:val="CommentSubject"/>
    <w:uiPriority w:val="99"/>
    <w:semiHidden/>
    <w:rsid w:val="00ED407F"/>
    <w:rPr>
      <w:rFonts w:ascii="Cambria" w:hAnsi="Cambria"/>
      <w:b/>
      <w:bCs/>
      <w:lang w:eastAsia="en-US"/>
    </w:rPr>
  </w:style>
  <w:style w:type="character" w:customStyle="1" w:styleId="FootnoteTextChar">
    <w:name w:val="Footnote Text Char"/>
    <w:basedOn w:val="DefaultParagraphFont"/>
    <w:link w:val="FootnoteText"/>
    <w:uiPriority w:val="8"/>
    <w:rsid w:val="007B5513"/>
    <w:rPr>
      <w:rFonts w:ascii="Arial" w:eastAsia="MS Gothic" w:hAnsi="Arial" w:cs="Arial"/>
      <w:sz w:val="16"/>
      <w:szCs w:val="16"/>
      <w:lang w:eastAsia="en-US"/>
    </w:rPr>
  </w:style>
  <w:style w:type="paragraph" w:styleId="NormalWeb">
    <w:name w:val="Normal (Web)"/>
    <w:basedOn w:val="Normal"/>
    <w:uiPriority w:val="99"/>
    <w:semiHidden/>
    <w:unhideWhenUsed/>
    <w:rsid w:val="00E46B2B"/>
    <w:pPr>
      <w:spacing w:before="100" w:beforeAutospacing="1" w:after="100" w:afterAutospacing="1"/>
    </w:pPr>
    <w:rPr>
      <w:rFonts w:ascii="Times New Roman" w:hAnsi="Times New Roman"/>
      <w:sz w:val="24"/>
      <w:szCs w:val="24"/>
      <w:lang w:eastAsia="en-AU"/>
    </w:rPr>
  </w:style>
  <w:style w:type="paragraph" w:customStyle="1" w:styleId="DHSbody">
    <w:name w:val="DHS body"/>
    <w:qFormat/>
    <w:rsid w:val="00EC6AA0"/>
    <w:pPr>
      <w:spacing w:after="120" w:line="270" w:lineRule="atLeast"/>
    </w:pPr>
    <w:rPr>
      <w:rFonts w:ascii="Arial" w:eastAsia="Times" w:hAnsi="Arial"/>
      <w:sz w:val="22"/>
      <w:lang w:eastAsia="en-US"/>
    </w:rPr>
  </w:style>
  <w:style w:type="paragraph" w:customStyle="1" w:styleId="Para2">
    <w:name w:val="Para 2"/>
    <w:basedOn w:val="Normal"/>
    <w:rsid w:val="00EC6AA0"/>
    <w:pPr>
      <w:numPr>
        <w:ilvl w:val="1"/>
        <w:numId w:val="7"/>
      </w:numPr>
      <w:overflowPunct w:val="0"/>
      <w:autoSpaceDE w:val="0"/>
      <w:autoSpaceDN w:val="0"/>
      <w:adjustRightInd w:val="0"/>
    </w:pPr>
    <w:rPr>
      <w:rFonts w:ascii="Times New Roman" w:hAnsi="Times New Roman"/>
      <w:sz w:val="24"/>
    </w:rPr>
  </w:style>
  <w:style w:type="paragraph" w:styleId="Revision">
    <w:name w:val="Revision"/>
    <w:hidden/>
    <w:uiPriority w:val="71"/>
    <w:rsid w:val="005278D0"/>
    <w:rPr>
      <w:rFonts w:ascii="Cambria" w:hAnsi="Cambria"/>
      <w:lang w:eastAsia="en-US"/>
    </w:rPr>
  </w:style>
  <w:style w:type="character" w:customStyle="1" w:styleId="normaltextrun">
    <w:name w:val="normaltextrun"/>
    <w:basedOn w:val="DefaultParagraphFont"/>
    <w:rsid w:val="00A63711"/>
  </w:style>
  <w:style w:type="character" w:customStyle="1" w:styleId="eop">
    <w:name w:val="eop"/>
    <w:basedOn w:val="DefaultParagraphFont"/>
    <w:rsid w:val="00A6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3554">
      <w:bodyDiv w:val="1"/>
      <w:marLeft w:val="0"/>
      <w:marRight w:val="0"/>
      <w:marTop w:val="0"/>
      <w:marBottom w:val="0"/>
      <w:divBdr>
        <w:top w:val="none" w:sz="0" w:space="0" w:color="auto"/>
        <w:left w:val="none" w:sz="0" w:space="0" w:color="auto"/>
        <w:bottom w:val="none" w:sz="0" w:space="0" w:color="auto"/>
        <w:right w:val="none" w:sz="0" w:space="0" w:color="auto"/>
      </w:divBdr>
      <w:divsChild>
        <w:div w:id="511144047">
          <w:marLeft w:val="0"/>
          <w:marRight w:val="0"/>
          <w:marTop w:val="0"/>
          <w:marBottom w:val="0"/>
          <w:divBdr>
            <w:top w:val="none" w:sz="0" w:space="0" w:color="auto"/>
            <w:left w:val="none" w:sz="0" w:space="0" w:color="auto"/>
            <w:bottom w:val="none" w:sz="0" w:space="0" w:color="auto"/>
            <w:right w:val="none" w:sz="0" w:space="0" w:color="auto"/>
          </w:divBdr>
        </w:div>
        <w:div w:id="682823073">
          <w:marLeft w:val="0"/>
          <w:marRight w:val="0"/>
          <w:marTop w:val="0"/>
          <w:marBottom w:val="0"/>
          <w:divBdr>
            <w:top w:val="none" w:sz="0" w:space="0" w:color="auto"/>
            <w:left w:val="none" w:sz="0" w:space="0" w:color="auto"/>
            <w:bottom w:val="none" w:sz="0" w:space="0" w:color="auto"/>
            <w:right w:val="none" w:sz="0" w:space="0" w:color="auto"/>
          </w:divBdr>
        </w:div>
        <w:div w:id="1825126005">
          <w:marLeft w:val="0"/>
          <w:marRight w:val="0"/>
          <w:marTop w:val="0"/>
          <w:marBottom w:val="0"/>
          <w:divBdr>
            <w:top w:val="none" w:sz="0" w:space="0" w:color="auto"/>
            <w:left w:val="none" w:sz="0" w:space="0" w:color="auto"/>
            <w:bottom w:val="none" w:sz="0" w:space="0" w:color="auto"/>
            <w:right w:val="none" w:sz="0" w:space="0" w:color="auto"/>
          </w:divBdr>
        </w:div>
      </w:divsChild>
    </w:div>
    <w:div w:id="163321098">
      <w:bodyDiv w:val="1"/>
      <w:marLeft w:val="0"/>
      <w:marRight w:val="0"/>
      <w:marTop w:val="0"/>
      <w:marBottom w:val="0"/>
      <w:divBdr>
        <w:top w:val="none" w:sz="0" w:space="0" w:color="auto"/>
        <w:left w:val="none" w:sz="0" w:space="0" w:color="auto"/>
        <w:bottom w:val="none" w:sz="0" w:space="0" w:color="auto"/>
        <w:right w:val="none" w:sz="0" w:space="0" w:color="auto"/>
      </w:divBdr>
    </w:div>
    <w:div w:id="732587480">
      <w:bodyDiv w:val="1"/>
      <w:marLeft w:val="0"/>
      <w:marRight w:val="0"/>
      <w:marTop w:val="0"/>
      <w:marBottom w:val="0"/>
      <w:divBdr>
        <w:top w:val="none" w:sz="0" w:space="0" w:color="auto"/>
        <w:left w:val="none" w:sz="0" w:space="0" w:color="auto"/>
        <w:bottom w:val="none" w:sz="0" w:space="0" w:color="auto"/>
        <w:right w:val="none" w:sz="0" w:space="0" w:color="auto"/>
      </w:divBdr>
      <w:divsChild>
        <w:div w:id="221065547">
          <w:marLeft w:val="0"/>
          <w:marRight w:val="0"/>
          <w:marTop w:val="0"/>
          <w:marBottom w:val="0"/>
          <w:divBdr>
            <w:top w:val="none" w:sz="0" w:space="0" w:color="auto"/>
            <w:left w:val="none" w:sz="0" w:space="0" w:color="auto"/>
            <w:bottom w:val="none" w:sz="0" w:space="0" w:color="auto"/>
            <w:right w:val="none" w:sz="0" w:space="0" w:color="auto"/>
          </w:divBdr>
        </w:div>
      </w:divsChild>
    </w:div>
    <w:div w:id="805122514">
      <w:bodyDiv w:val="1"/>
      <w:marLeft w:val="0"/>
      <w:marRight w:val="0"/>
      <w:marTop w:val="0"/>
      <w:marBottom w:val="0"/>
      <w:divBdr>
        <w:top w:val="none" w:sz="0" w:space="0" w:color="auto"/>
        <w:left w:val="none" w:sz="0" w:space="0" w:color="auto"/>
        <w:bottom w:val="none" w:sz="0" w:space="0" w:color="auto"/>
        <w:right w:val="none" w:sz="0" w:space="0" w:color="auto"/>
      </w:divBdr>
    </w:div>
    <w:div w:id="858466243">
      <w:bodyDiv w:val="1"/>
      <w:marLeft w:val="0"/>
      <w:marRight w:val="0"/>
      <w:marTop w:val="0"/>
      <w:marBottom w:val="0"/>
      <w:divBdr>
        <w:top w:val="none" w:sz="0" w:space="0" w:color="auto"/>
        <w:left w:val="none" w:sz="0" w:space="0" w:color="auto"/>
        <w:bottom w:val="none" w:sz="0" w:space="0" w:color="auto"/>
        <w:right w:val="none" w:sz="0" w:space="0" w:color="auto"/>
      </w:divBdr>
    </w:div>
    <w:div w:id="859706270">
      <w:bodyDiv w:val="1"/>
      <w:marLeft w:val="0"/>
      <w:marRight w:val="0"/>
      <w:marTop w:val="0"/>
      <w:marBottom w:val="0"/>
      <w:divBdr>
        <w:top w:val="none" w:sz="0" w:space="0" w:color="auto"/>
        <w:left w:val="none" w:sz="0" w:space="0" w:color="auto"/>
        <w:bottom w:val="none" w:sz="0" w:space="0" w:color="auto"/>
        <w:right w:val="none" w:sz="0" w:space="0" w:color="auto"/>
      </w:divBdr>
    </w:div>
    <w:div w:id="1041588081">
      <w:bodyDiv w:val="1"/>
      <w:marLeft w:val="0"/>
      <w:marRight w:val="0"/>
      <w:marTop w:val="0"/>
      <w:marBottom w:val="0"/>
      <w:divBdr>
        <w:top w:val="none" w:sz="0" w:space="0" w:color="auto"/>
        <w:left w:val="none" w:sz="0" w:space="0" w:color="auto"/>
        <w:bottom w:val="none" w:sz="0" w:space="0" w:color="auto"/>
        <w:right w:val="none" w:sz="0" w:space="0" w:color="auto"/>
      </w:divBdr>
    </w:div>
    <w:div w:id="1210994621">
      <w:bodyDiv w:val="1"/>
      <w:marLeft w:val="0"/>
      <w:marRight w:val="0"/>
      <w:marTop w:val="0"/>
      <w:marBottom w:val="0"/>
      <w:divBdr>
        <w:top w:val="none" w:sz="0" w:space="0" w:color="auto"/>
        <w:left w:val="none" w:sz="0" w:space="0" w:color="auto"/>
        <w:bottom w:val="none" w:sz="0" w:space="0" w:color="auto"/>
        <w:right w:val="none" w:sz="0" w:space="0" w:color="auto"/>
      </w:divBdr>
    </w:div>
    <w:div w:id="1501385607">
      <w:bodyDiv w:val="1"/>
      <w:marLeft w:val="0"/>
      <w:marRight w:val="0"/>
      <w:marTop w:val="0"/>
      <w:marBottom w:val="0"/>
      <w:divBdr>
        <w:top w:val="none" w:sz="0" w:space="0" w:color="auto"/>
        <w:left w:val="none" w:sz="0" w:space="0" w:color="auto"/>
        <w:bottom w:val="none" w:sz="0" w:space="0" w:color="auto"/>
        <w:right w:val="none" w:sz="0" w:space="0" w:color="auto"/>
      </w:divBdr>
      <w:divsChild>
        <w:div w:id="167789872">
          <w:marLeft w:val="0"/>
          <w:marRight w:val="0"/>
          <w:marTop w:val="0"/>
          <w:marBottom w:val="0"/>
          <w:divBdr>
            <w:top w:val="none" w:sz="0" w:space="0" w:color="auto"/>
            <w:left w:val="none" w:sz="0" w:space="0" w:color="auto"/>
            <w:bottom w:val="none" w:sz="0" w:space="0" w:color="auto"/>
            <w:right w:val="none" w:sz="0" w:space="0" w:color="auto"/>
          </w:divBdr>
          <w:divsChild>
            <w:div w:id="1226379455">
              <w:marLeft w:val="0"/>
              <w:marRight w:val="0"/>
              <w:marTop w:val="0"/>
              <w:marBottom w:val="0"/>
              <w:divBdr>
                <w:top w:val="none" w:sz="0" w:space="0" w:color="auto"/>
                <w:left w:val="none" w:sz="0" w:space="0" w:color="auto"/>
                <w:bottom w:val="none" w:sz="0" w:space="0" w:color="auto"/>
                <w:right w:val="none" w:sz="0" w:space="0" w:color="auto"/>
              </w:divBdr>
            </w:div>
            <w:div w:id="1768231434">
              <w:marLeft w:val="0"/>
              <w:marRight w:val="0"/>
              <w:marTop w:val="0"/>
              <w:marBottom w:val="0"/>
              <w:divBdr>
                <w:top w:val="none" w:sz="0" w:space="0" w:color="auto"/>
                <w:left w:val="none" w:sz="0" w:space="0" w:color="auto"/>
                <w:bottom w:val="none" w:sz="0" w:space="0" w:color="auto"/>
                <w:right w:val="none" w:sz="0" w:space="0" w:color="auto"/>
              </w:divBdr>
            </w:div>
          </w:divsChild>
        </w:div>
        <w:div w:id="411241785">
          <w:marLeft w:val="0"/>
          <w:marRight w:val="0"/>
          <w:marTop w:val="0"/>
          <w:marBottom w:val="0"/>
          <w:divBdr>
            <w:top w:val="none" w:sz="0" w:space="0" w:color="auto"/>
            <w:left w:val="none" w:sz="0" w:space="0" w:color="auto"/>
            <w:bottom w:val="none" w:sz="0" w:space="0" w:color="auto"/>
            <w:right w:val="none" w:sz="0" w:space="0" w:color="auto"/>
          </w:divBdr>
        </w:div>
        <w:div w:id="549927544">
          <w:marLeft w:val="0"/>
          <w:marRight w:val="0"/>
          <w:marTop w:val="0"/>
          <w:marBottom w:val="0"/>
          <w:divBdr>
            <w:top w:val="none" w:sz="0" w:space="0" w:color="auto"/>
            <w:left w:val="none" w:sz="0" w:space="0" w:color="auto"/>
            <w:bottom w:val="none" w:sz="0" w:space="0" w:color="auto"/>
            <w:right w:val="none" w:sz="0" w:space="0" w:color="auto"/>
          </w:divBdr>
        </w:div>
      </w:divsChild>
    </w:div>
    <w:div w:id="1584686071">
      <w:bodyDiv w:val="1"/>
      <w:marLeft w:val="0"/>
      <w:marRight w:val="0"/>
      <w:marTop w:val="0"/>
      <w:marBottom w:val="0"/>
      <w:divBdr>
        <w:top w:val="none" w:sz="0" w:space="0" w:color="auto"/>
        <w:left w:val="none" w:sz="0" w:space="0" w:color="auto"/>
        <w:bottom w:val="none" w:sz="0" w:space="0" w:color="auto"/>
        <w:right w:val="none" w:sz="0" w:space="0" w:color="auto"/>
      </w:divBdr>
    </w:div>
    <w:div w:id="1633245976">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76961382">
      <w:bodyDiv w:val="1"/>
      <w:marLeft w:val="0"/>
      <w:marRight w:val="0"/>
      <w:marTop w:val="0"/>
      <w:marBottom w:val="0"/>
      <w:divBdr>
        <w:top w:val="none" w:sz="0" w:space="0" w:color="auto"/>
        <w:left w:val="none" w:sz="0" w:space="0" w:color="auto"/>
        <w:bottom w:val="none" w:sz="0" w:space="0" w:color="auto"/>
        <w:right w:val="none" w:sz="0" w:space="0" w:color="auto"/>
      </w:divBdr>
    </w:div>
    <w:div w:id="1969780576">
      <w:bodyDiv w:val="1"/>
      <w:marLeft w:val="0"/>
      <w:marRight w:val="0"/>
      <w:marTop w:val="0"/>
      <w:marBottom w:val="0"/>
      <w:divBdr>
        <w:top w:val="none" w:sz="0" w:space="0" w:color="auto"/>
        <w:left w:val="none" w:sz="0" w:space="0" w:color="auto"/>
        <w:bottom w:val="none" w:sz="0" w:space="0" w:color="auto"/>
        <w:right w:val="none" w:sz="0" w:space="0" w:color="auto"/>
      </w:divBdr>
    </w:div>
    <w:div w:id="2073037164">
      <w:bodyDiv w:val="1"/>
      <w:marLeft w:val="0"/>
      <w:marRight w:val="0"/>
      <w:marTop w:val="0"/>
      <w:marBottom w:val="0"/>
      <w:divBdr>
        <w:top w:val="none" w:sz="0" w:space="0" w:color="auto"/>
        <w:left w:val="none" w:sz="0" w:space="0" w:color="auto"/>
        <w:bottom w:val="none" w:sz="0" w:space="0" w:color="auto"/>
        <w:right w:val="none" w:sz="0" w:space="0" w:color="auto"/>
      </w:divBdr>
      <w:divsChild>
        <w:div w:id="117529346">
          <w:marLeft w:val="0"/>
          <w:marRight w:val="0"/>
          <w:marTop w:val="0"/>
          <w:marBottom w:val="0"/>
          <w:divBdr>
            <w:top w:val="none" w:sz="0" w:space="0" w:color="auto"/>
            <w:left w:val="none" w:sz="0" w:space="0" w:color="auto"/>
            <w:bottom w:val="none" w:sz="0" w:space="0" w:color="auto"/>
            <w:right w:val="none" w:sz="0" w:space="0" w:color="auto"/>
          </w:divBdr>
        </w:div>
        <w:div w:id="432167227">
          <w:marLeft w:val="0"/>
          <w:marRight w:val="0"/>
          <w:marTop w:val="0"/>
          <w:marBottom w:val="0"/>
          <w:divBdr>
            <w:top w:val="none" w:sz="0" w:space="0" w:color="auto"/>
            <w:left w:val="none" w:sz="0" w:space="0" w:color="auto"/>
            <w:bottom w:val="none" w:sz="0" w:space="0" w:color="auto"/>
            <w:right w:val="none" w:sz="0" w:space="0" w:color="auto"/>
          </w:divBdr>
        </w:div>
        <w:div w:id="895241044">
          <w:marLeft w:val="0"/>
          <w:marRight w:val="0"/>
          <w:marTop w:val="0"/>
          <w:marBottom w:val="0"/>
          <w:divBdr>
            <w:top w:val="none" w:sz="0" w:space="0" w:color="auto"/>
            <w:left w:val="none" w:sz="0" w:space="0" w:color="auto"/>
            <w:bottom w:val="none" w:sz="0" w:space="0" w:color="auto"/>
            <w:right w:val="none" w:sz="0" w:space="0" w:color="auto"/>
          </w:divBdr>
        </w:div>
        <w:div w:id="970785415">
          <w:marLeft w:val="0"/>
          <w:marRight w:val="0"/>
          <w:marTop w:val="0"/>
          <w:marBottom w:val="0"/>
          <w:divBdr>
            <w:top w:val="none" w:sz="0" w:space="0" w:color="auto"/>
            <w:left w:val="none" w:sz="0" w:space="0" w:color="auto"/>
            <w:bottom w:val="none" w:sz="0" w:space="0" w:color="auto"/>
            <w:right w:val="none" w:sz="0" w:space="0" w:color="auto"/>
          </w:divBdr>
        </w:div>
        <w:div w:id="1381512996">
          <w:marLeft w:val="0"/>
          <w:marRight w:val="0"/>
          <w:marTop w:val="0"/>
          <w:marBottom w:val="0"/>
          <w:divBdr>
            <w:top w:val="none" w:sz="0" w:space="0" w:color="auto"/>
            <w:left w:val="none" w:sz="0" w:space="0" w:color="auto"/>
            <w:bottom w:val="none" w:sz="0" w:space="0" w:color="auto"/>
            <w:right w:val="none" w:sz="0" w:space="0" w:color="auto"/>
          </w:divBdr>
        </w:div>
        <w:div w:id="1489248260">
          <w:marLeft w:val="0"/>
          <w:marRight w:val="0"/>
          <w:marTop w:val="0"/>
          <w:marBottom w:val="0"/>
          <w:divBdr>
            <w:top w:val="none" w:sz="0" w:space="0" w:color="auto"/>
            <w:left w:val="none" w:sz="0" w:space="0" w:color="auto"/>
            <w:bottom w:val="none" w:sz="0" w:space="0" w:color="auto"/>
            <w:right w:val="none" w:sz="0" w:space="0" w:color="auto"/>
          </w:divBdr>
        </w:div>
        <w:div w:id="165780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TEMP\Desktop\Victorian%20Government%20reponse%20to%20Expert%20Working%20Group%20report%20on%20statutory%20duty%20of%20candour.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TEMP\Desktop\Victorian%20Government%20reponse%20to%20Expert%20Working%20Group%20report%20on%20statutory%20duty%20of%20candour.docx"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health.vic.gov.au/hospitals-and-health-services/quality-safety-service/better-safer-care/statutory-duty-of-candou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6DCFE0620EB1439A1B45B58AA6C106" ma:contentTypeVersion="6" ma:contentTypeDescription="Create a new document." ma:contentTypeScope="" ma:versionID="454dc232edc9deaba2316633464d4fea">
  <xsd:schema xmlns:xsd="http://www.w3.org/2001/XMLSchema" xmlns:xs="http://www.w3.org/2001/XMLSchema" xmlns:p="http://schemas.microsoft.com/office/2006/metadata/properties" xmlns:ns2="c611cce2-64d8-4367-9349-9b7ee459758a" xmlns:ns3="f67c1d74-f3c7-4910-ab1e-947538f36b94" targetNamespace="http://schemas.microsoft.com/office/2006/metadata/properties" ma:root="true" ma:fieldsID="1b01e7eedbe3990914850cbbc058386e" ns2:_="" ns3:_="">
    <xsd:import namespace="c611cce2-64d8-4367-9349-9b7ee459758a"/>
    <xsd:import namespace="f67c1d74-f3c7-4910-ab1e-947538f3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1cce2-64d8-4367-9349-9b7ee459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7c1d74-f3c7-4910-ab1e-947538f3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DEF0-9CDF-40FA-B633-840DAB1A7D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7c1d74-f3c7-4910-ab1e-947538f36b94"/>
    <ds:schemaRef ds:uri="http://purl.org/dc/terms/"/>
    <ds:schemaRef ds:uri="http://schemas.openxmlformats.org/package/2006/metadata/core-properties"/>
    <ds:schemaRef ds:uri="c611cce2-64d8-4367-9349-9b7ee459758a"/>
    <ds:schemaRef ds:uri="http://www.w3.org/XML/1998/namespace"/>
    <ds:schemaRef ds:uri="http://purl.org/dc/dcmitype/"/>
  </ds:schemaRefs>
</ds:datastoreItem>
</file>

<file path=customXml/itemProps2.xml><?xml version="1.0" encoding="utf-8"?>
<ds:datastoreItem xmlns:ds="http://schemas.openxmlformats.org/officeDocument/2006/customXml" ds:itemID="{D1C77F56-40F3-404D-8148-63543F9DBFA2}">
  <ds:schemaRefs>
    <ds:schemaRef ds:uri="http://schemas.microsoft.com/sharepoint/v3/contenttype/forms"/>
  </ds:schemaRefs>
</ds:datastoreItem>
</file>

<file path=customXml/itemProps3.xml><?xml version="1.0" encoding="utf-8"?>
<ds:datastoreItem xmlns:ds="http://schemas.openxmlformats.org/officeDocument/2006/customXml" ds:itemID="{D8B2D52A-5FEA-456E-9A09-A42D9FF2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1cce2-64d8-4367-9349-9b7ee459758a"/>
    <ds:schemaRef ds:uri="f67c1d74-f3c7-4910-ab1e-947538f3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C84E5-2EB5-4B4C-BBD8-0F5241BC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Cameron</dc:creator>
  <cp:keywords/>
  <cp:lastModifiedBy>Timothy Riddell (DHHS)</cp:lastModifiedBy>
  <cp:revision>2</cp:revision>
  <cp:lastPrinted>2018-08-17T05:06:00Z</cp:lastPrinted>
  <dcterms:created xsi:type="dcterms:W3CDTF">2020-11-25T23:16:00Z</dcterms:created>
  <dcterms:modified xsi:type="dcterms:W3CDTF">2020-11-25T23:16:00Z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0x010100A76DCFE0620EB1439A1B45B58AA6C106</vt:lpwstr>
  </property>
  <property fmtid="{D5CDD505-2E9C-101B-9397-08002B2CF9AE}" pid="4" name="MSIP_Label_eb7d4b36-b971-4c96-8a9c-a8448299e6ae_Enabled">
    <vt:lpwstr>true</vt:lpwstr>
  </property>
  <property fmtid="{D5CDD505-2E9C-101B-9397-08002B2CF9AE}" pid="5" name="MSIP_Label_eb7d4b36-b971-4c96-8a9c-a8448299e6ae_SetDate">
    <vt:lpwstr>2020-11-25T22:24:32Z</vt:lpwstr>
  </property>
  <property fmtid="{D5CDD505-2E9C-101B-9397-08002B2CF9AE}" pid="6" name="MSIP_Label_eb7d4b36-b971-4c96-8a9c-a8448299e6ae_Method">
    <vt:lpwstr>Privileged</vt:lpwstr>
  </property>
  <property fmtid="{D5CDD505-2E9C-101B-9397-08002B2CF9AE}" pid="7" name="MSIP_Label_eb7d4b36-b971-4c96-8a9c-a8448299e6ae_Name">
    <vt:lpwstr>eb7d4b36-b971-4c96-8a9c-a8448299e6ae</vt:lpwstr>
  </property>
  <property fmtid="{D5CDD505-2E9C-101B-9397-08002B2CF9AE}" pid="8" name="MSIP_Label_eb7d4b36-b971-4c96-8a9c-a8448299e6ae_SiteId">
    <vt:lpwstr>c0e0601f-0fac-449c-9c88-a104c4eb9f28</vt:lpwstr>
  </property>
  <property fmtid="{D5CDD505-2E9C-101B-9397-08002B2CF9AE}" pid="9" name="MSIP_Label_eb7d4b36-b971-4c96-8a9c-a8448299e6ae_ActionId">
    <vt:lpwstr>6d91c083-8dd9-4c97-ab6d-adcded338257</vt:lpwstr>
  </property>
  <property fmtid="{D5CDD505-2E9C-101B-9397-08002B2CF9AE}" pid="10" name="MSIP_Label_eb7d4b36-b971-4c96-8a9c-a8448299e6ae_ContentBits">
    <vt:lpwstr>2</vt:lpwstr>
  </property>
</Properties>
</file>