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rsidRPr="0067091D" w14:paraId="0E08C43B" w14:textId="77777777" w:rsidTr="0050356B">
        <w:trPr>
          <w:trHeight w:val="57"/>
        </w:trPr>
        <w:tc>
          <w:tcPr>
            <w:tcW w:w="6804" w:type="dxa"/>
            <w:shd w:val="clear" w:color="auto" w:fill="auto"/>
            <w:tcMar>
              <w:top w:w="312" w:type="dxa"/>
            </w:tcMar>
          </w:tcPr>
          <w:p w14:paraId="03AFE59F" w14:textId="021BDB8F" w:rsidR="0050356B" w:rsidRPr="0067091D" w:rsidRDefault="0050356B" w:rsidP="0067091D">
            <w:pPr>
              <w:pStyle w:val="Date"/>
              <w:framePr w:hSpace="0" w:wrap="auto" w:vAnchor="margin" w:hAnchor="text" w:xAlign="left" w:yAlign="inline"/>
              <w:suppressOverlap w:val="0"/>
            </w:pPr>
          </w:p>
        </w:tc>
      </w:tr>
      <w:tr w:rsidR="00A46288" w:rsidRPr="0067091D" w14:paraId="32419D3D" w14:textId="77777777" w:rsidTr="0050356B">
        <w:trPr>
          <w:trHeight w:val="2948"/>
        </w:trPr>
        <w:tc>
          <w:tcPr>
            <w:tcW w:w="6804" w:type="dxa"/>
            <w:shd w:val="clear" w:color="auto" w:fill="auto"/>
            <w:tcMar>
              <w:top w:w="312" w:type="dxa"/>
            </w:tcMar>
          </w:tcPr>
          <w:p w14:paraId="015CB925" w14:textId="77777777" w:rsidR="0080471A" w:rsidRPr="0067091D" w:rsidRDefault="004E4F0D" w:rsidP="0067091D">
            <w:pPr>
              <w:pStyle w:val="Title"/>
              <w:framePr w:hSpace="0" w:wrap="auto" w:vAnchor="margin" w:hAnchor="text" w:xAlign="left" w:yAlign="inline"/>
              <w:suppressOverlap w:val="0"/>
            </w:pPr>
            <w:r w:rsidRPr="0067091D">
              <w:t>Victorian renal k</w:t>
            </w:r>
            <w:r w:rsidR="0080471A" w:rsidRPr="0067091D">
              <w:t xml:space="preserve">ey </w:t>
            </w:r>
            <w:r w:rsidRPr="0067091D">
              <w:t>p</w:t>
            </w:r>
            <w:r w:rsidR="0080471A" w:rsidRPr="0067091D">
              <w:t xml:space="preserve">erformance </w:t>
            </w:r>
            <w:r w:rsidRPr="0067091D">
              <w:t>i</w:t>
            </w:r>
            <w:r w:rsidR="0080471A" w:rsidRPr="0067091D">
              <w:t>ndicators</w:t>
            </w:r>
          </w:p>
          <w:p w14:paraId="5D376C46" w14:textId="15926124" w:rsidR="00A46288" w:rsidRPr="0067091D" w:rsidRDefault="007E3E5E" w:rsidP="0067091D">
            <w:pPr>
              <w:pStyle w:val="Subtitle"/>
              <w:framePr w:hSpace="0" w:wrap="auto" w:vAnchor="margin" w:hAnchor="text" w:xAlign="left" w:yAlign="inline"/>
              <w:suppressOverlap w:val="0"/>
            </w:pPr>
            <w:r w:rsidRPr="0067091D">
              <w:t xml:space="preserve">Report </w:t>
            </w:r>
            <w:r w:rsidR="008271FF" w:rsidRPr="0067091D">
              <w:t>2</w:t>
            </w:r>
            <w:r w:rsidR="003C10C5" w:rsidRPr="0067091D">
              <w:t>:</w:t>
            </w:r>
            <w:r w:rsidRPr="0067091D">
              <w:t xml:space="preserve"> </w:t>
            </w:r>
            <w:r w:rsidR="008271FF" w:rsidRPr="0067091D">
              <w:t>July</w:t>
            </w:r>
            <w:r w:rsidR="008F0DE0" w:rsidRPr="0067091D">
              <w:t xml:space="preserve"> to </w:t>
            </w:r>
            <w:r w:rsidR="008271FF" w:rsidRPr="0067091D">
              <w:t>December</w:t>
            </w:r>
            <w:r w:rsidR="008F0DE0" w:rsidRPr="0067091D">
              <w:t xml:space="preserve"> </w:t>
            </w:r>
            <w:r w:rsidR="0080471A" w:rsidRPr="0067091D">
              <w:t>20</w:t>
            </w:r>
            <w:r w:rsidR="00A220A9" w:rsidRPr="0067091D">
              <w:t>2</w:t>
            </w:r>
            <w:r w:rsidR="00612FF7" w:rsidRPr="0067091D">
              <w:t>1</w:t>
            </w:r>
          </w:p>
        </w:tc>
      </w:tr>
    </w:tbl>
    <w:p w14:paraId="1A39EA01" w14:textId="77777777" w:rsidR="00A46288" w:rsidRPr="0067091D" w:rsidRDefault="00A46288" w:rsidP="00A46288">
      <w:pPr>
        <w:pStyle w:val="NoSpacing"/>
        <w:rPr>
          <w:rFonts w:cstheme="minorHAnsi"/>
        </w:rPr>
      </w:pPr>
    </w:p>
    <w:p w14:paraId="3AD2EEB9" w14:textId="77777777" w:rsidR="00A46288" w:rsidRPr="0067091D" w:rsidRDefault="00A46288" w:rsidP="0067091D">
      <w:pPr>
        <w:sectPr w:rsidR="00A46288" w:rsidRPr="0067091D" w:rsidSect="00257461">
          <w:headerReference w:type="default" r:id="rId8"/>
          <w:footerReference w:type="even" r:id="rId9"/>
          <w:footerReference w:type="default" r:id="rId10"/>
          <w:headerReference w:type="first" r:id="rId11"/>
          <w:footerReference w:type="first" r:id="rId12"/>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8116D8" w:rsidRPr="0067091D" w14:paraId="7D01C7BC" w14:textId="77777777" w:rsidTr="008116D8">
        <w:trPr>
          <w:trHeight w:val="2041"/>
        </w:trPr>
        <w:tc>
          <w:tcPr>
            <w:tcW w:w="4111" w:type="dxa"/>
            <w:tcMar>
              <w:left w:w="113" w:type="dxa"/>
            </w:tcMar>
          </w:tcPr>
          <w:p w14:paraId="491CF830" w14:textId="77777777" w:rsidR="008116D8" w:rsidRPr="0067091D" w:rsidRDefault="008116D8" w:rsidP="0067091D">
            <w:r w:rsidRPr="0067091D">
              <w:rPr>
                <w:sz w:val="24"/>
                <w:szCs w:val="36"/>
              </w:rPr>
              <w:lastRenderedPageBreak/>
              <w:t xml:space="preserve">To receive this publication in an accessible format phone </w:t>
            </w:r>
            <w:r w:rsidRPr="0067091D">
              <w:rPr>
                <w:sz w:val="24"/>
                <w:szCs w:val="36"/>
              </w:rPr>
              <w:br/>
              <w:t xml:space="preserve">03 9096 1384, using the National Relay Service 13 36 </w:t>
            </w:r>
            <w:r w:rsidRPr="0067091D">
              <w:rPr>
                <w:spacing w:val="-2"/>
                <w:sz w:val="24"/>
                <w:szCs w:val="36"/>
              </w:rPr>
              <w:t xml:space="preserve">77 if required, or email </w:t>
            </w:r>
            <w:r w:rsidRPr="0067091D">
              <w:rPr>
                <w:sz w:val="24"/>
                <w:szCs w:val="36"/>
              </w:rPr>
              <w:t xml:space="preserve">Safer Care Victoria </w:t>
            </w:r>
            <w:hyperlink r:id="rId13" w:history="1">
              <w:r w:rsidR="00787233" w:rsidRPr="0067091D">
                <w:rPr>
                  <w:color w:val="4D92C0"/>
                  <w:sz w:val="24"/>
                  <w:szCs w:val="36"/>
                </w:rPr>
                <w:t>info@safercare.vic</w:t>
              </w:r>
            </w:hyperlink>
            <w:r w:rsidRPr="0067091D">
              <w:rPr>
                <w:color w:val="4D92C0"/>
                <w:spacing w:val="-4"/>
                <w:sz w:val="24"/>
                <w:szCs w:val="36"/>
              </w:rPr>
              <w:t>.gov.au</w:t>
            </w:r>
          </w:p>
        </w:tc>
        <w:tc>
          <w:tcPr>
            <w:tcW w:w="3621" w:type="dxa"/>
          </w:tcPr>
          <w:p w14:paraId="776A2020" w14:textId="77777777" w:rsidR="008116D8" w:rsidRPr="0067091D" w:rsidRDefault="008116D8" w:rsidP="0067091D">
            <w:r w:rsidRPr="0067091D">
              <w:t xml:space="preserve">Authorised and </w:t>
            </w:r>
            <w:r w:rsidRPr="0067091D">
              <w:rPr>
                <w:spacing w:val="-2"/>
              </w:rPr>
              <w:t>published by the Victorian</w:t>
            </w:r>
            <w:r w:rsidRPr="0067091D">
              <w:t xml:space="preserve"> Government, 1 Treasury Place, Melbourne.</w:t>
            </w:r>
          </w:p>
          <w:p w14:paraId="3D5F71E6" w14:textId="0D79CA88" w:rsidR="0080471A" w:rsidRPr="0067091D" w:rsidRDefault="008116D8" w:rsidP="0067091D">
            <w:r w:rsidRPr="0067091D">
              <w:t xml:space="preserve">© State of Victoria, Australia, Safer Care Victoria, </w:t>
            </w:r>
            <w:r w:rsidR="00D101FF" w:rsidRPr="0067091D">
              <w:t>March 2022</w:t>
            </w:r>
            <w:r w:rsidRPr="0067091D">
              <w:t>.</w:t>
            </w:r>
          </w:p>
          <w:p w14:paraId="11A14B37" w14:textId="7B214F9B" w:rsidR="00B374FB" w:rsidRPr="0067091D" w:rsidRDefault="00B374FB" w:rsidP="0067091D">
            <w:r w:rsidRPr="0067091D">
              <w:t>ISSN 2209-9069 - Online (pdf/word)</w:t>
            </w:r>
          </w:p>
          <w:p w14:paraId="73CF3B78" w14:textId="77777777" w:rsidR="008116D8" w:rsidRPr="0067091D" w:rsidRDefault="008116D8" w:rsidP="0067091D">
            <w:r w:rsidRPr="0067091D">
              <w:t>Available at Safer Care Victoria</w:t>
            </w:r>
            <w:r w:rsidRPr="0067091D">
              <w:br/>
            </w:r>
            <w:hyperlink r:id="rId14" w:history="1">
              <w:r w:rsidRPr="0067091D">
                <w:rPr>
                  <w:color w:val="4D92C0"/>
                </w:rPr>
                <w:t>www.safercare.vic</w:t>
              </w:r>
            </w:hyperlink>
            <w:r w:rsidRPr="0067091D">
              <w:rPr>
                <w:color w:val="4D92C0"/>
              </w:rPr>
              <w:t>.gov.au</w:t>
            </w:r>
            <w:r w:rsidRPr="0067091D">
              <w:rPr>
                <w:color w:val="4382B9"/>
              </w:rPr>
              <w:t xml:space="preserve"> </w:t>
            </w:r>
          </w:p>
        </w:tc>
        <w:tc>
          <w:tcPr>
            <w:tcW w:w="2484" w:type="dxa"/>
          </w:tcPr>
          <w:p w14:paraId="7029572A" w14:textId="77777777" w:rsidR="008116D8" w:rsidRPr="0067091D" w:rsidRDefault="008116D8" w:rsidP="0067091D">
            <w:r w:rsidRPr="0067091D">
              <w:rPr>
                <w:noProof/>
              </w:rPr>
              <w:drawing>
                <wp:inline distT="0" distB="0" distL="0" distR="0" wp14:anchorId="62AAC6D5" wp14:editId="13E4FF26">
                  <wp:extent cx="795600" cy="453600"/>
                  <wp:effectExtent l="0" t="0" r="5080" b="3810"/>
                  <wp:docPr id="16" name="Picture 16" descr="Vic 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 Gov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485883A3" w14:textId="77777777" w:rsidR="0086277A" w:rsidRPr="0067091D" w:rsidRDefault="007C4073" w:rsidP="0067091D">
      <w:r w:rsidRPr="0067091D">
        <w:fldChar w:fldCharType="begin"/>
      </w:r>
      <w:r w:rsidRPr="0067091D">
        <w:instrText xml:space="preserve"> Macrobutton NoMacro  </w:instrText>
      </w:r>
      <w:r w:rsidRPr="0067091D">
        <w:fldChar w:fldCharType="end"/>
      </w:r>
      <w:r w:rsidRPr="0067091D">
        <w:rPr>
          <w:noProof/>
        </w:rPr>
        <w:drawing>
          <wp:anchor distT="0" distB="0" distL="114300" distR="114300" simplePos="0" relativeHeight="251656192" behindDoc="1" locked="1" layoutInCell="1" allowOverlap="1" wp14:anchorId="67C2E707" wp14:editId="4F71355C">
            <wp:simplePos x="0" y="0"/>
            <wp:positionH relativeFrom="page">
              <wp:posOffset>0</wp:posOffset>
            </wp:positionH>
            <wp:positionV relativeFrom="page">
              <wp:posOffset>0</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6BEE64D" w14:textId="77777777" w:rsidR="0086277A" w:rsidRPr="0067091D" w:rsidRDefault="0086277A" w:rsidP="0067091D">
      <w:pPr>
        <w:sectPr w:rsidR="0086277A" w:rsidRPr="0067091D" w:rsidSect="007C4073">
          <w:headerReference w:type="first" r:id="rId17"/>
          <w:footerReference w:type="first" r:id="rId18"/>
          <w:pgSz w:w="11906" w:h="16838" w:code="9"/>
          <w:pgMar w:top="3402" w:right="851" w:bottom="1361" w:left="851" w:header="539" w:footer="624" w:gutter="0"/>
          <w:cols w:num="2" w:space="284"/>
          <w:docGrid w:linePitch="360"/>
        </w:sectPr>
      </w:pPr>
    </w:p>
    <w:p w14:paraId="6495C288" w14:textId="77777777" w:rsidR="00787233" w:rsidRPr="0067091D" w:rsidRDefault="00787233" w:rsidP="0067091D">
      <w:r w:rsidRPr="0067091D">
        <w:br w:type="page"/>
      </w:r>
    </w:p>
    <w:sdt>
      <w:sdtPr>
        <w:rPr>
          <w:rFonts w:eastAsiaTheme="minorEastAsia"/>
          <w:bCs w:val="0"/>
          <w:color w:val="auto"/>
          <w:spacing w:val="0"/>
          <w:sz w:val="20"/>
          <w:szCs w:val="20"/>
        </w:rPr>
        <w:id w:val="-1691834674"/>
        <w:docPartObj>
          <w:docPartGallery w:val="Table of Contents"/>
          <w:docPartUnique/>
        </w:docPartObj>
      </w:sdtPr>
      <w:sdtEndPr>
        <w:rPr>
          <w:noProof/>
        </w:rPr>
      </w:sdtEndPr>
      <w:sdtContent>
        <w:p w14:paraId="2DB6F82E" w14:textId="77777777" w:rsidR="00601525" w:rsidRPr="0067091D" w:rsidRDefault="00601525" w:rsidP="0067091D">
          <w:pPr>
            <w:pStyle w:val="TOCHeading"/>
            <w:framePr w:wrap="around"/>
          </w:pPr>
          <w:r w:rsidRPr="0067091D">
            <w:t>Contents</w:t>
          </w:r>
        </w:p>
        <w:p w14:paraId="5AACB469" w14:textId="2208B565" w:rsidR="008C7BE8" w:rsidRPr="0067091D" w:rsidRDefault="001F5381" w:rsidP="0067091D">
          <w:pPr>
            <w:pStyle w:val="TOC1"/>
            <w:rPr>
              <w:sz w:val="22"/>
              <w:szCs w:val="22"/>
              <w:lang w:eastAsia="en-AU"/>
            </w:rPr>
          </w:pPr>
          <w:r w:rsidRPr="0067091D">
            <w:fldChar w:fldCharType="begin"/>
          </w:r>
          <w:r w:rsidRPr="0067091D">
            <w:instrText xml:space="preserve"> TOC \o "1-2" \h \z \u </w:instrText>
          </w:r>
          <w:r w:rsidRPr="0067091D">
            <w:fldChar w:fldCharType="separate"/>
          </w:r>
        </w:p>
        <w:p w14:paraId="35D334CF" w14:textId="49C53685" w:rsidR="008C7BE8" w:rsidRPr="0067091D" w:rsidRDefault="00127F17" w:rsidP="0067091D">
          <w:pPr>
            <w:pStyle w:val="TOC1"/>
            <w:rPr>
              <w:sz w:val="22"/>
              <w:szCs w:val="22"/>
              <w:lang w:eastAsia="en-AU"/>
            </w:rPr>
          </w:pPr>
          <w:hyperlink w:anchor="_Toc84923293" w:history="1">
            <w:r w:rsidR="008C7BE8" w:rsidRPr="0067091D">
              <w:rPr>
                <w:rStyle w:val="Hyperlink"/>
              </w:rPr>
              <w:t>Introduction</w:t>
            </w:r>
            <w:r w:rsidR="008C7BE8" w:rsidRPr="0067091D">
              <w:rPr>
                <w:webHidden/>
              </w:rPr>
              <w:tab/>
            </w:r>
            <w:r w:rsidR="008C7BE8" w:rsidRPr="0067091D">
              <w:rPr>
                <w:webHidden/>
              </w:rPr>
              <w:fldChar w:fldCharType="begin"/>
            </w:r>
            <w:r w:rsidR="008C7BE8" w:rsidRPr="0067091D">
              <w:rPr>
                <w:webHidden/>
              </w:rPr>
              <w:instrText xml:space="preserve"> PAGEREF _Toc84923293 \h </w:instrText>
            </w:r>
            <w:r w:rsidR="008C7BE8" w:rsidRPr="0067091D">
              <w:rPr>
                <w:webHidden/>
              </w:rPr>
            </w:r>
            <w:r w:rsidR="008C7BE8" w:rsidRPr="0067091D">
              <w:rPr>
                <w:webHidden/>
              </w:rPr>
              <w:fldChar w:fldCharType="separate"/>
            </w:r>
            <w:r w:rsidR="008C5BE5">
              <w:rPr>
                <w:webHidden/>
              </w:rPr>
              <w:t>2</w:t>
            </w:r>
            <w:r w:rsidR="008C7BE8" w:rsidRPr="0067091D">
              <w:rPr>
                <w:webHidden/>
              </w:rPr>
              <w:fldChar w:fldCharType="end"/>
            </w:r>
          </w:hyperlink>
        </w:p>
        <w:p w14:paraId="029DB495" w14:textId="6EFC2751" w:rsidR="008C7BE8" w:rsidRPr="0067091D" w:rsidRDefault="00127F17" w:rsidP="0067091D">
          <w:pPr>
            <w:pStyle w:val="TOC1"/>
            <w:rPr>
              <w:sz w:val="22"/>
              <w:szCs w:val="22"/>
              <w:lang w:eastAsia="en-AU"/>
            </w:rPr>
          </w:pPr>
          <w:hyperlink w:anchor="_Toc84923294" w:history="1">
            <w:r w:rsidR="008C7BE8" w:rsidRPr="0067091D">
              <w:rPr>
                <w:rStyle w:val="Hyperlink"/>
              </w:rPr>
              <w:t>Performance</w:t>
            </w:r>
            <w:r w:rsidR="008C7BE8" w:rsidRPr="0067091D">
              <w:rPr>
                <w:webHidden/>
              </w:rPr>
              <w:tab/>
            </w:r>
            <w:r w:rsidR="008C7BE8" w:rsidRPr="0067091D">
              <w:rPr>
                <w:webHidden/>
              </w:rPr>
              <w:fldChar w:fldCharType="begin"/>
            </w:r>
            <w:r w:rsidR="008C7BE8" w:rsidRPr="0067091D">
              <w:rPr>
                <w:webHidden/>
              </w:rPr>
              <w:instrText xml:space="preserve"> PAGEREF _Toc84923294 \h </w:instrText>
            </w:r>
            <w:r w:rsidR="008C7BE8" w:rsidRPr="0067091D">
              <w:rPr>
                <w:webHidden/>
              </w:rPr>
            </w:r>
            <w:r w:rsidR="008C7BE8" w:rsidRPr="0067091D">
              <w:rPr>
                <w:webHidden/>
              </w:rPr>
              <w:fldChar w:fldCharType="separate"/>
            </w:r>
            <w:r w:rsidR="008C5BE5">
              <w:rPr>
                <w:webHidden/>
              </w:rPr>
              <w:t>3</w:t>
            </w:r>
            <w:r w:rsidR="008C7BE8" w:rsidRPr="0067091D">
              <w:rPr>
                <w:webHidden/>
              </w:rPr>
              <w:fldChar w:fldCharType="end"/>
            </w:r>
          </w:hyperlink>
        </w:p>
        <w:p w14:paraId="77256143" w14:textId="22ED8A22" w:rsidR="008C7BE8" w:rsidRPr="0067091D" w:rsidRDefault="00127F17" w:rsidP="0067091D">
          <w:pPr>
            <w:pStyle w:val="TOC2"/>
            <w:rPr>
              <w:color w:val="auto"/>
              <w:sz w:val="22"/>
              <w:szCs w:val="22"/>
            </w:rPr>
          </w:pPr>
          <w:hyperlink w:anchor="_Toc84923295" w:history="1">
            <w:r w:rsidR="008C7BE8" w:rsidRPr="0067091D">
              <w:rPr>
                <w:rStyle w:val="Hyperlink"/>
                <w:b w:val="0"/>
                <w:bCs/>
              </w:rPr>
              <w:t>KPI 1: Proportion of new, planned patients who have received CKD education before starting dialysis</w:t>
            </w:r>
            <w:r w:rsidR="008C7BE8" w:rsidRPr="0067091D">
              <w:rPr>
                <w:webHidden/>
              </w:rPr>
              <w:tab/>
            </w:r>
            <w:r w:rsidR="008C7BE8" w:rsidRPr="0067091D">
              <w:rPr>
                <w:webHidden/>
              </w:rPr>
              <w:fldChar w:fldCharType="begin"/>
            </w:r>
            <w:r w:rsidR="008C7BE8" w:rsidRPr="0067091D">
              <w:rPr>
                <w:webHidden/>
              </w:rPr>
              <w:instrText xml:space="preserve"> PAGEREF _Toc84923295 \h </w:instrText>
            </w:r>
            <w:r w:rsidR="008C7BE8" w:rsidRPr="0067091D">
              <w:rPr>
                <w:webHidden/>
              </w:rPr>
            </w:r>
            <w:r w:rsidR="008C7BE8" w:rsidRPr="0067091D">
              <w:rPr>
                <w:webHidden/>
              </w:rPr>
              <w:fldChar w:fldCharType="separate"/>
            </w:r>
            <w:r w:rsidR="008C5BE5">
              <w:rPr>
                <w:webHidden/>
              </w:rPr>
              <w:t>3</w:t>
            </w:r>
            <w:r w:rsidR="008C7BE8" w:rsidRPr="0067091D">
              <w:rPr>
                <w:webHidden/>
              </w:rPr>
              <w:fldChar w:fldCharType="end"/>
            </w:r>
          </w:hyperlink>
        </w:p>
        <w:p w14:paraId="70113CD4" w14:textId="0D43F3DE" w:rsidR="008C7BE8" w:rsidRPr="0067091D" w:rsidRDefault="00127F17" w:rsidP="0067091D">
          <w:pPr>
            <w:pStyle w:val="TOC2"/>
            <w:rPr>
              <w:color w:val="auto"/>
              <w:sz w:val="22"/>
              <w:szCs w:val="22"/>
            </w:rPr>
          </w:pPr>
          <w:hyperlink w:anchor="_Toc84923296" w:history="1">
            <w:r w:rsidR="008C7BE8" w:rsidRPr="0067091D">
              <w:rPr>
                <w:rStyle w:val="Hyperlink"/>
                <w:b w:val="0"/>
                <w:bCs/>
              </w:rPr>
              <w:t>KPI 2: The proportion of planned maintenance haemodialysis (HD) patients who successfully use an arteriovenous fistula (AVF) or graft (AVG) access at first HD treatment</w:t>
            </w:r>
            <w:r w:rsidR="008C7BE8" w:rsidRPr="0067091D">
              <w:rPr>
                <w:webHidden/>
              </w:rPr>
              <w:tab/>
            </w:r>
            <w:r w:rsidR="008C7BE8" w:rsidRPr="0067091D">
              <w:rPr>
                <w:webHidden/>
              </w:rPr>
              <w:fldChar w:fldCharType="begin"/>
            </w:r>
            <w:r w:rsidR="008C7BE8" w:rsidRPr="0067091D">
              <w:rPr>
                <w:webHidden/>
              </w:rPr>
              <w:instrText xml:space="preserve"> PAGEREF _Toc84923296 \h </w:instrText>
            </w:r>
            <w:r w:rsidR="008C7BE8" w:rsidRPr="0067091D">
              <w:rPr>
                <w:webHidden/>
              </w:rPr>
            </w:r>
            <w:r w:rsidR="008C7BE8" w:rsidRPr="0067091D">
              <w:rPr>
                <w:webHidden/>
              </w:rPr>
              <w:fldChar w:fldCharType="separate"/>
            </w:r>
            <w:r w:rsidR="008C5BE5">
              <w:rPr>
                <w:webHidden/>
              </w:rPr>
              <w:t>5</w:t>
            </w:r>
            <w:r w:rsidR="008C7BE8" w:rsidRPr="0067091D">
              <w:rPr>
                <w:webHidden/>
              </w:rPr>
              <w:fldChar w:fldCharType="end"/>
            </w:r>
          </w:hyperlink>
        </w:p>
        <w:p w14:paraId="60577ABD" w14:textId="35799D9C" w:rsidR="008C7BE8" w:rsidRPr="0067091D" w:rsidRDefault="00127F17" w:rsidP="0067091D">
          <w:pPr>
            <w:pStyle w:val="TOC2"/>
            <w:rPr>
              <w:color w:val="auto"/>
              <w:sz w:val="22"/>
              <w:szCs w:val="22"/>
            </w:rPr>
          </w:pPr>
          <w:hyperlink w:anchor="_Toc84923297" w:history="1">
            <w:r w:rsidR="008C7BE8" w:rsidRPr="0067091D">
              <w:rPr>
                <w:rStyle w:val="Hyperlink"/>
                <w:b w:val="0"/>
                <w:bCs/>
              </w:rPr>
              <w:t>KPI 3: Proportion of dialysis patients who are dialysing at home</w:t>
            </w:r>
            <w:r w:rsidR="008C7BE8" w:rsidRPr="0067091D">
              <w:rPr>
                <w:webHidden/>
              </w:rPr>
              <w:tab/>
            </w:r>
            <w:r w:rsidR="008C7BE8" w:rsidRPr="0067091D">
              <w:rPr>
                <w:webHidden/>
              </w:rPr>
              <w:fldChar w:fldCharType="begin"/>
            </w:r>
            <w:r w:rsidR="008C7BE8" w:rsidRPr="0067091D">
              <w:rPr>
                <w:webHidden/>
              </w:rPr>
              <w:instrText xml:space="preserve"> PAGEREF _Toc84923297 \h </w:instrText>
            </w:r>
            <w:r w:rsidR="008C7BE8" w:rsidRPr="0067091D">
              <w:rPr>
                <w:webHidden/>
              </w:rPr>
            </w:r>
            <w:r w:rsidR="008C7BE8" w:rsidRPr="0067091D">
              <w:rPr>
                <w:webHidden/>
              </w:rPr>
              <w:fldChar w:fldCharType="separate"/>
            </w:r>
            <w:r w:rsidR="008C5BE5">
              <w:rPr>
                <w:webHidden/>
              </w:rPr>
              <w:t>7</w:t>
            </w:r>
            <w:r w:rsidR="008C7BE8" w:rsidRPr="0067091D">
              <w:rPr>
                <w:webHidden/>
              </w:rPr>
              <w:fldChar w:fldCharType="end"/>
            </w:r>
          </w:hyperlink>
        </w:p>
        <w:p w14:paraId="170C89E4" w14:textId="1EA68824" w:rsidR="008C7BE8" w:rsidRPr="0067091D" w:rsidRDefault="00127F17" w:rsidP="0067091D">
          <w:pPr>
            <w:pStyle w:val="TOC2"/>
            <w:rPr>
              <w:color w:val="auto"/>
              <w:sz w:val="22"/>
              <w:szCs w:val="22"/>
            </w:rPr>
          </w:pPr>
          <w:hyperlink w:anchor="_Toc84923298" w:history="1">
            <w:r w:rsidR="008C7BE8" w:rsidRPr="0067091D">
              <w:rPr>
                <w:rStyle w:val="Hyperlink"/>
                <w:b w:val="0"/>
                <w:bCs/>
              </w:rPr>
              <w:t>KPI 4: Peritonitis rates of each hub service</w:t>
            </w:r>
            <w:r w:rsidR="008C7BE8" w:rsidRPr="0067091D">
              <w:rPr>
                <w:webHidden/>
              </w:rPr>
              <w:tab/>
            </w:r>
            <w:r w:rsidR="008C7BE8" w:rsidRPr="0067091D">
              <w:rPr>
                <w:webHidden/>
              </w:rPr>
              <w:fldChar w:fldCharType="begin"/>
            </w:r>
            <w:r w:rsidR="008C7BE8" w:rsidRPr="0067091D">
              <w:rPr>
                <w:webHidden/>
              </w:rPr>
              <w:instrText xml:space="preserve"> PAGEREF _Toc84923298 \h </w:instrText>
            </w:r>
            <w:r w:rsidR="008C7BE8" w:rsidRPr="0067091D">
              <w:rPr>
                <w:webHidden/>
              </w:rPr>
            </w:r>
            <w:r w:rsidR="008C7BE8" w:rsidRPr="0067091D">
              <w:rPr>
                <w:webHidden/>
              </w:rPr>
              <w:fldChar w:fldCharType="separate"/>
            </w:r>
            <w:r w:rsidR="008C5BE5">
              <w:rPr>
                <w:webHidden/>
              </w:rPr>
              <w:t>8</w:t>
            </w:r>
            <w:r w:rsidR="008C7BE8" w:rsidRPr="0067091D">
              <w:rPr>
                <w:webHidden/>
              </w:rPr>
              <w:fldChar w:fldCharType="end"/>
            </w:r>
          </w:hyperlink>
        </w:p>
        <w:p w14:paraId="5712B283" w14:textId="0D53A197" w:rsidR="008C7BE8" w:rsidRPr="0067091D" w:rsidRDefault="00127F17" w:rsidP="0067091D">
          <w:pPr>
            <w:pStyle w:val="TOC2"/>
            <w:rPr>
              <w:color w:val="auto"/>
              <w:sz w:val="22"/>
              <w:szCs w:val="22"/>
            </w:rPr>
          </w:pPr>
          <w:hyperlink w:anchor="_Toc84923299" w:history="1">
            <w:r w:rsidR="008C7BE8" w:rsidRPr="0067091D">
              <w:rPr>
                <w:rStyle w:val="Hyperlink"/>
                <w:b w:val="0"/>
                <w:bCs/>
              </w:rPr>
              <w:t>KPI 5: Access to kidney transplantation: Status at 6 and 12 months after starting renal replacement therapy (RRT) for patients ≤70 years of age at RRT start</w:t>
            </w:r>
            <w:r w:rsidR="008C7BE8" w:rsidRPr="0067091D">
              <w:rPr>
                <w:webHidden/>
              </w:rPr>
              <w:tab/>
            </w:r>
            <w:r w:rsidR="008C7BE8" w:rsidRPr="0067091D">
              <w:rPr>
                <w:webHidden/>
              </w:rPr>
              <w:fldChar w:fldCharType="begin"/>
            </w:r>
            <w:r w:rsidR="008C7BE8" w:rsidRPr="0067091D">
              <w:rPr>
                <w:webHidden/>
              </w:rPr>
              <w:instrText xml:space="preserve"> PAGEREF _Toc84923299 \h </w:instrText>
            </w:r>
            <w:r w:rsidR="008C7BE8" w:rsidRPr="0067091D">
              <w:rPr>
                <w:webHidden/>
              </w:rPr>
            </w:r>
            <w:r w:rsidR="008C7BE8" w:rsidRPr="0067091D">
              <w:rPr>
                <w:webHidden/>
              </w:rPr>
              <w:fldChar w:fldCharType="separate"/>
            </w:r>
            <w:r w:rsidR="008C5BE5">
              <w:rPr>
                <w:webHidden/>
              </w:rPr>
              <w:t>10</w:t>
            </w:r>
            <w:r w:rsidR="008C7BE8" w:rsidRPr="0067091D">
              <w:rPr>
                <w:webHidden/>
              </w:rPr>
              <w:fldChar w:fldCharType="end"/>
            </w:r>
          </w:hyperlink>
        </w:p>
        <w:p w14:paraId="03573EC2" w14:textId="6C18778A" w:rsidR="008C7BE8" w:rsidRPr="0067091D" w:rsidRDefault="00127F17" w:rsidP="0067091D">
          <w:pPr>
            <w:pStyle w:val="TOC2"/>
            <w:rPr>
              <w:color w:val="auto"/>
              <w:sz w:val="22"/>
              <w:szCs w:val="22"/>
            </w:rPr>
          </w:pPr>
          <w:hyperlink w:anchor="_Toc84923300" w:history="1">
            <w:r w:rsidR="008C7BE8" w:rsidRPr="0067091D">
              <w:rPr>
                <w:rStyle w:val="Hyperlink"/>
                <w:b w:val="0"/>
                <w:bCs/>
              </w:rPr>
              <w:t>Australia and New Zealand Dialysis and T</w:t>
            </w:r>
            <w:r w:rsidR="00D03C37" w:rsidRPr="0067091D">
              <w:rPr>
                <w:rStyle w:val="Hyperlink"/>
                <w:b w:val="0"/>
                <w:bCs/>
              </w:rPr>
              <w:t>r</w:t>
            </w:r>
            <w:r w:rsidR="008C7BE8" w:rsidRPr="0067091D">
              <w:rPr>
                <w:rStyle w:val="Hyperlink"/>
                <w:b w:val="0"/>
                <w:bCs/>
              </w:rPr>
              <w:t>ansplant (ANZDATA) Clinical quality registry measures – Mortality rates and graft failure rates</w:t>
            </w:r>
            <w:r w:rsidR="008C7BE8" w:rsidRPr="0067091D">
              <w:rPr>
                <w:webHidden/>
              </w:rPr>
              <w:tab/>
            </w:r>
            <w:r w:rsidR="008C7BE8" w:rsidRPr="0067091D">
              <w:rPr>
                <w:webHidden/>
              </w:rPr>
              <w:fldChar w:fldCharType="begin"/>
            </w:r>
            <w:r w:rsidR="008C7BE8" w:rsidRPr="0067091D">
              <w:rPr>
                <w:webHidden/>
              </w:rPr>
              <w:instrText xml:space="preserve"> PAGEREF _Toc84923300 \h </w:instrText>
            </w:r>
            <w:r w:rsidR="008C7BE8" w:rsidRPr="0067091D">
              <w:rPr>
                <w:webHidden/>
              </w:rPr>
            </w:r>
            <w:r w:rsidR="008C7BE8" w:rsidRPr="0067091D">
              <w:rPr>
                <w:webHidden/>
              </w:rPr>
              <w:fldChar w:fldCharType="separate"/>
            </w:r>
            <w:r w:rsidR="008C5BE5">
              <w:rPr>
                <w:webHidden/>
              </w:rPr>
              <w:t>14</w:t>
            </w:r>
            <w:r w:rsidR="008C7BE8" w:rsidRPr="0067091D">
              <w:rPr>
                <w:webHidden/>
              </w:rPr>
              <w:fldChar w:fldCharType="end"/>
            </w:r>
          </w:hyperlink>
        </w:p>
        <w:p w14:paraId="450F52EC" w14:textId="4D7B77D1" w:rsidR="008C7BE8" w:rsidRPr="0067091D" w:rsidRDefault="00127F17" w:rsidP="0067091D">
          <w:pPr>
            <w:pStyle w:val="TOC1"/>
            <w:rPr>
              <w:sz w:val="22"/>
              <w:szCs w:val="22"/>
              <w:lang w:eastAsia="en-AU"/>
            </w:rPr>
          </w:pPr>
          <w:hyperlink w:anchor="_Toc84923301" w:history="1">
            <w:r w:rsidR="008C7BE8" w:rsidRPr="0067091D">
              <w:rPr>
                <w:rStyle w:val="Hyperlink"/>
              </w:rPr>
              <w:t>Appendix 1: Detailed definitions</w:t>
            </w:r>
            <w:r w:rsidR="008C7BE8" w:rsidRPr="0067091D">
              <w:rPr>
                <w:webHidden/>
              </w:rPr>
              <w:tab/>
            </w:r>
            <w:r w:rsidR="008C7BE8" w:rsidRPr="0067091D">
              <w:rPr>
                <w:webHidden/>
              </w:rPr>
              <w:fldChar w:fldCharType="begin"/>
            </w:r>
            <w:r w:rsidR="008C7BE8" w:rsidRPr="0067091D">
              <w:rPr>
                <w:webHidden/>
              </w:rPr>
              <w:instrText xml:space="preserve"> PAGEREF _Toc84923301 \h </w:instrText>
            </w:r>
            <w:r w:rsidR="008C7BE8" w:rsidRPr="0067091D">
              <w:rPr>
                <w:webHidden/>
              </w:rPr>
            </w:r>
            <w:r w:rsidR="008C7BE8" w:rsidRPr="0067091D">
              <w:rPr>
                <w:webHidden/>
              </w:rPr>
              <w:fldChar w:fldCharType="separate"/>
            </w:r>
            <w:r w:rsidR="008C5BE5">
              <w:rPr>
                <w:webHidden/>
              </w:rPr>
              <w:t>16</w:t>
            </w:r>
            <w:r w:rsidR="008C7BE8" w:rsidRPr="0067091D">
              <w:rPr>
                <w:webHidden/>
              </w:rPr>
              <w:fldChar w:fldCharType="end"/>
            </w:r>
          </w:hyperlink>
        </w:p>
        <w:p w14:paraId="296B4ED6" w14:textId="7744FE06" w:rsidR="00601525" w:rsidRPr="0067091D" w:rsidRDefault="001F5381" w:rsidP="0067091D">
          <w:r w:rsidRPr="0067091D">
            <w:rPr>
              <w:noProof/>
              <w:lang w:eastAsia="en-US"/>
            </w:rPr>
            <w:fldChar w:fldCharType="end"/>
          </w:r>
        </w:p>
      </w:sdtContent>
    </w:sdt>
    <w:p w14:paraId="12B17F63" w14:textId="77777777" w:rsidR="0080471A" w:rsidRPr="0067091D" w:rsidRDefault="0080471A" w:rsidP="0067091D">
      <w:pPr>
        <w:pStyle w:val="Heading2"/>
      </w:pPr>
      <w:bookmarkStart w:id="0" w:name="_Toc526952068"/>
      <w:bookmarkStart w:id="1" w:name="_Toc84923292"/>
      <w:r w:rsidRPr="0067091D">
        <w:t>List of abbreviations</w:t>
      </w:r>
      <w:bookmarkEnd w:id="0"/>
      <w:bookmarkEnd w:id="1"/>
    </w:p>
    <w:p w14:paraId="3E70A207" w14:textId="73FFF326" w:rsidR="0080471A" w:rsidRPr="0067091D" w:rsidRDefault="0080471A" w:rsidP="0067091D">
      <w:r w:rsidRPr="0067091D">
        <w:t>AVF</w:t>
      </w:r>
      <w:r w:rsidRPr="0067091D">
        <w:tab/>
      </w:r>
      <w:r w:rsidRPr="0067091D">
        <w:tab/>
        <w:t>Arterio</w:t>
      </w:r>
      <w:r w:rsidR="00656012" w:rsidRPr="0067091D">
        <w:t>v</w:t>
      </w:r>
      <w:r w:rsidRPr="0067091D">
        <w:t xml:space="preserve">enous </w:t>
      </w:r>
      <w:r w:rsidR="001172B9" w:rsidRPr="0067091D">
        <w:t>f</w:t>
      </w:r>
      <w:r w:rsidRPr="0067091D">
        <w:t>istula</w:t>
      </w:r>
    </w:p>
    <w:p w14:paraId="0204AEB4" w14:textId="0D5042AF" w:rsidR="0080471A" w:rsidRPr="0067091D" w:rsidRDefault="0080471A" w:rsidP="0067091D">
      <w:r w:rsidRPr="0067091D">
        <w:t>AVG</w:t>
      </w:r>
      <w:r w:rsidRPr="0067091D">
        <w:tab/>
      </w:r>
      <w:r w:rsidRPr="0067091D">
        <w:tab/>
        <w:t>Arterio</w:t>
      </w:r>
      <w:r w:rsidR="00656012" w:rsidRPr="0067091D">
        <w:t>v</w:t>
      </w:r>
      <w:r w:rsidRPr="0067091D">
        <w:t xml:space="preserve">enous </w:t>
      </w:r>
      <w:r w:rsidR="001172B9" w:rsidRPr="0067091D">
        <w:t>g</w:t>
      </w:r>
      <w:r w:rsidRPr="0067091D">
        <w:t>raft</w:t>
      </w:r>
    </w:p>
    <w:p w14:paraId="08AEDFCC" w14:textId="26B40E8B" w:rsidR="0080471A" w:rsidRPr="0067091D" w:rsidRDefault="0080471A" w:rsidP="0067091D">
      <w:r w:rsidRPr="0067091D">
        <w:t>CKD</w:t>
      </w:r>
      <w:r w:rsidRPr="0067091D">
        <w:tab/>
      </w:r>
      <w:r w:rsidRPr="0067091D">
        <w:tab/>
        <w:t xml:space="preserve">Chronic </w:t>
      </w:r>
      <w:r w:rsidR="001172B9" w:rsidRPr="0067091D">
        <w:t>k</w:t>
      </w:r>
      <w:r w:rsidRPr="0067091D">
        <w:t xml:space="preserve">idney </w:t>
      </w:r>
      <w:r w:rsidR="001172B9" w:rsidRPr="0067091D">
        <w:t>d</w:t>
      </w:r>
      <w:r w:rsidRPr="0067091D">
        <w:t>isease</w:t>
      </w:r>
    </w:p>
    <w:p w14:paraId="37CC55A0" w14:textId="018C1E89" w:rsidR="0080471A" w:rsidRPr="0067091D" w:rsidRDefault="0080471A" w:rsidP="0067091D">
      <w:r w:rsidRPr="0067091D">
        <w:t>ESKD</w:t>
      </w:r>
      <w:r w:rsidRPr="0067091D">
        <w:tab/>
      </w:r>
      <w:r w:rsidRPr="0067091D">
        <w:tab/>
        <w:t xml:space="preserve">End </w:t>
      </w:r>
      <w:r w:rsidR="001172B9" w:rsidRPr="0067091D">
        <w:t>s</w:t>
      </w:r>
      <w:r w:rsidRPr="0067091D">
        <w:t xml:space="preserve">tage </w:t>
      </w:r>
      <w:r w:rsidR="001172B9" w:rsidRPr="0067091D">
        <w:t>k</w:t>
      </w:r>
      <w:r w:rsidRPr="0067091D">
        <w:t xml:space="preserve">idney </w:t>
      </w:r>
      <w:r w:rsidR="001172B9" w:rsidRPr="0067091D">
        <w:t>d</w:t>
      </w:r>
      <w:r w:rsidRPr="0067091D">
        <w:t>isease</w:t>
      </w:r>
    </w:p>
    <w:p w14:paraId="34FDB4A8" w14:textId="77777777" w:rsidR="0080471A" w:rsidRPr="0067091D" w:rsidRDefault="0080471A" w:rsidP="0067091D">
      <w:r w:rsidRPr="0067091D">
        <w:t>HD</w:t>
      </w:r>
      <w:r w:rsidRPr="0067091D">
        <w:tab/>
      </w:r>
      <w:r w:rsidRPr="0067091D">
        <w:tab/>
        <w:t>Haemodialysis</w:t>
      </w:r>
    </w:p>
    <w:p w14:paraId="5007750E" w14:textId="27227021" w:rsidR="0080471A" w:rsidRPr="0067091D" w:rsidRDefault="0080471A" w:rsidP="0067091D">
      <w:r w:rsidRPr="0067091D">
        <w:t>KPI</w:t>
      </w:r>
      <w:r w:rsidRPr="0067091D">
        <w:tab/>
      </w:r>
      <w:r w:rsidRPr="0067091D">
        <w:tab/>
        <w:t xml:space="preserve">Key </w:t>
      </w:r>
      <w:r w:rsidR="001172B9" w:rsidRPr="0067091D">
        <w:t>p</w:t>
      </w:r>
      <w:r w:rsidRPr="0067091D">
        <w:t xml:space="preserve">erformance </w:t>
      </w:r>
      <w:r w:rsidR="001172B9" w:rsidRPr="0067091D">
        <w:t>i</w:t>
      </w:r>
      <w:r w:rsidRPr="0067091D">
        <w:t>ndicator</w:t>
      </w:r>
    </w:p>
    <w:p w14:paraId="492289E1" w14:textId="49AABAC4" w:rsidR="0080471A" w:rsidRPr="0067091D" w:rsidRDefault="0080471A" w:rsidP="0067091D">
      <w:r w:rsidRPr="0067091D">
        <w:t>PD</w:t>
      </w:r>
      <w:r w:rsidRPr="0067091D">
        <w:tab/>
      </w:r>
      <w:r w:rsidRPr="0067091D">
        <w:tab/>
        <w:t xml:space="preserve">Peritoneal </w:t>
      </w:r>
      <w:r w:rsidR="001172B9" w:rsidRPr="0067091D">
        <w:t>d</w:t>
      </w:r>
      <w:r w:rsidRPr="0067091D">
        <w:t>ialysis</w:t>
      </w:r>
    </w:p>
    <w:p w14:paraId="4D1056E0" w14:textId="1D74D4BE" w:rsidR="0080471A" w:rsidRPr="0067091D" w:rsidRDefault="0080471A" w:rsidP="0067091D">
      <w:r w:rsidRPr="0067091D">
        <w:t>RRT</w:t>
      </w:r>
      <w:r w:rsidRPr="0067091D">
        <w:tab/>
      </w:r>
      <w:r w:rsidRPr="0067091D">
        <w:tab/>
        <w:t xml:space="preserve">Renal </w:t>
      </w:r>
      <w:r w:rsidR="001172B9" w:rsidRPr="0067091D">
        <w:t>r</w:t>
      </w:r>
      <w:r w:rsidRPr="0067091D">
        <w:t xml:space="preserve">eplacement </w:t>
      </w:r>
      <w:r w:rsidR="001172B9" w:rsidRPr="0067091D">
        <w:t>t</w:t>
      </w:r>
      <w:r w:rsidRPr="0067091D">
        <w:t>herapy</w:t>
      </w:r>
    </w:p>
    <w:p w14:paraId="26122D34" w14:textId="0762DDA3" w:rsidR="001172B9" w:rsidRPr="0067091D" w:rsidRDefault="001172B9" w:rsidP="0067091D">
      <w:r w:rsidRPr="0067091D">
        <w:t>SCV</w:t>
      </w:r>
      <w:r w:rsidRPr="0067091D">
        <w:tab/>
      </w:r>
      <w:r w:rsidRPr="0067091D">
        <w:tab/>
        <w:t>Safer Care Victoria</w:t>
      </w:r>
    </w:p>
    <w:p w14:paraId="1D1972A4" w14:textId="77777777" w:rsidR="0080471A" w:rsidRPr="0067091D" w:rsidRDefault="0080471A" w:rsidP="0067091D">
      <w:r w:rsidRPr="0067091D">
        <w:br w:type="page"/>
      </w:r>
    </w:p>
    <w:p w14:paraId="744FCD4D" w14:textId="0C8E1DB0" w:rsidR="0080471A" w:rsidRPr="0067091D" w:rsidRDefault="005F15F1" w:rsidP="0067091D">
      <w:pPr>
        <w:pStyle w:val="Heading1"/>
        <w:framePr w:wrap="around"/>
      </w:pPr>
      <w:bookmarkStart w:id="2" w:name="_Toc84923293"/>
      <w:r w:rsidRPr="0067091D">
        <w:lastRenderedPageBreak/>
        <w:t>Introduction</w:t>
      </w:r>
      <w:bookmarkEnd w:id="2"/>
      <w:r w:rsidRPr="0067091D">
        <w:t xml:space="preserve"> </w:t>
      </w:r>
    </w:p>
    <w:p w14:paraId="369D57B6" w14:textId="6C959429" w:rsidR="00BD5FBD" w:rsidRPr="0067091D" w:rsidRDefault="00BD5FBD" w:rsidP="0067091D">
      <w:pPr>
        <w:pStyle w:val="IntroductoryText"/>
      </w:pPr>
      <w:r w:rsidRPr="0067091D">
        <w:t xml:space="preserve">The Victorian renal key performance indicators (KPIs) measure the performance of renal services in Victoria. These indicators aim to drive quality improvement and increase efficiency and consistency through transparent comparison of performance. </w:t>
      </w:r>
    </w:p>
    <w:p w14:paraId="4D3ABE41" w14:textId="4161D158" w:rsidR="00BD5FBD" w:rsidRPr="0067091D" w:rsidRDefault="00BD5FBD" w:rsidP="0067091D">
      <w:pPr>
        <w:rPr>
          <w:rFonts w:eastAsia="Times New Roman"/>
        </w:rPr>
      </w:pPr>
      <w:r w:rsidRPr="0067091D">
        <w:rPr>
          <w:rFonts w:eastAsia="Times New Roman"/>
        </w:rPr>
        <w:t xml:space="preserve">Each indicator has clear definitions and parameters. Data </w:t>
      </w:r>
      <w:r w:rsidR="000D5F68" w:rsidRPr="0067091D">
        <w:rPr>
          <w:rFonts w:eastAsia="Times New Roman"/>
        </w:rPr>
        <w:t>has been</w:t>
      </w:r>
      <w:r w:rsidRPr="0067091D">
        <w:rPr>
          <w:rFonts w:eastAsia="Times New Roman"/>
        </w:rPr>
        <w:t xml:space="preserve"> collected monthly through a specially designed website portal. </w:t>
      </w:r>
    </w:p>
    <w:p w14:paraId="61A194FC" w14:textId="3F1A9B8B" w:rsidR="00BD5FBD" w:rsidRPr="0067091D" w:rsidRDefault="00BD5FBD" w:rsidP="0067091D">
      <w:pPr>
        <w:rPr>
          <w:rFonts w:eastAsia="Times New Roman"/>
        </w:rPr>
      </w:pPr>
      <w:r w:rsidRPr="0067091D">
        <w:rPr>
          <w:rFonts w:eastAsia="Times New Roman"/>
        </w:rPr>
        <w:t>This report is the 2</w:t>
      </w:r>
      <w:r w:rsidR="00C05C3A" w:rsidRPr="0067091D">
        <w:rPr>
          <w:rFonts w:eastAsia="Times New Roman"/>
        </w:rPr>
        <w:t>9</w:t>
      </w:r>
      <w:r w:rsidRPr="0067091D">
        <w:rPr>
          <w:rFonts w:eastAsia="Times New Roman"/>
        </w:rPr>
        <w:t xml:space="preserve">th </w:t>
      </w:r>
      <w:r w:rsidR="00C05C3A" w:rsidRPr="0067091D">
        <w:rPr>
          <w:rFonts w:eastAsia="Times New Roman"/>
        </w:rPr>
        <w:t xml:space="preserve">and final </w:t>
      </w:r>
      <w:r w:rsidRPr="0067091D">
        <w:rPr>
          <w:rFonts w:eastAsia="Times New Roman"/>
        </w:rPr>
        <w:t xml:space="preserve">edition and reports data from </w:t>
      </w:r>
      <w:r w:rsidR="00C05C3A" w:rsidRPr="0067091D">
        <w:rPr>
          <w:rFonts w:eastAsia="Times New Roman"/>
        </w:rPr>
        <w:t>July</w:t>
      </w:r>
      <w:r w:rsidRPr="0067091D">
        <w:rPr>
          <w:rFonts w:eastAsia="Times New Roman"/>
        </w:rPr>
        <w:t xml:space="preserve"> 202</w:t>
      </w:r>
      <w:r w:rsidR="00B61A1B" w:rsidRPr="0067091D">
        <w:rPr>
          <w:rFonts w:eastAsia="Times New Roman"/>
        </w:rPr>
        <w:t>1</w:t>
      </w:r>
      <w:r w:rsidRPr="0067091D">
        <w:rPr>
          <w:rFonts w:eastAsia="Times New Roman"/>
        </w:rPr>
        <w:t xml:space="preserve"> to</w:t>
      </w:r>
      <w:r w:rsidR="00B61A1B" w:rsidRPr="0067091D">
        <w:rPr>
          <w:rFonts w:eastAsia="Times New Roman"/>
        </w:rPr>
        <w:t xml:space="preserve"> </w:t>
      </w:r>
      <w:r w:rsidR="00C05C3A" w:rsidRPr="0067091D">
        <w:rPr>
          <w:rFonts w:eastAsia="Times New Roman"/>
        </w:rPr>
        <w:t>December</w:t>
      </w:r>
      <w:r w:rsidRPr="0067091D">
        <w:rPr>
          <w:rFonts w:eastAsia="Times New Roman"/>
        </w:rPr>
        <w:t xml:space="preserve"> 202</w:t>
      </w:r>
      <w:r w:rsidR="00B61A1B" w:rsidRPr="0067091D">
        <w:rPr>
          <w:rFonts w:eastAsia="Times New Roman"/>
        </w:rPr>
        <w:t>1</w:t>
      </w:r>
      <w:r w:rsidRPr="0067091D">
        <w:rPr>
          <w:rFonts w:eastAsia="Times New Roman"/>
        </w:rPr>
        <w:t>. Each health service CEO has given formal permission to participate in the data collection and benchmarking program.</w:t>
      </w:r>
    </w:p>
    <w:p w14:paraId="1E64BEFF" w14:textId="3404CF58" w:rsidR="000D5F68" w:rsidRPr="0067091D" w:rsidRDefault="00BD5FBD" w:rsidP="0067091D">
      <w:pPr>
        <w:rPr>
          <w:rFonts w:eastAsia="Times New Roman"/>
        </w:rPr>
      </w:pPr>
      <w:r w:rsidRPr="0067091D">
        <w:rPr>
          <w:rFonts w:eastAsia="Times New Roman"/>
        </w:rPr>
        <w:t xml:space="preserve">Of note, this report includes data submitted during the COVID-19 pandemic. </w:t>
      </w:r>
    </w:p>
    <w:p w14:paraId="5F6F134E" w14:textId="77777777" w:rsidR="00BD5FBD" w:rsidRPr="0067091D" w:rsidRDefault="00BD5FBD" w:rsidP="0067091D">
      <w:pPr>
        <w:pStyle w:val="Heading3"/>
      </w:pPr>
      <w:r w:rsidRPr="0067091D">
        <w:t>Review of targets</w:t>
      </w:r>
    </w:p>
    <w:p w14:paraId="434487F4" w14:textId="6635A2A7" w:rsidR="00BD5FBD" w:rsidRPr="0067091D" w:rsidRDefault="00BD5FBD" w:rsidP="0067091D">
      <w:pPr>
        <w:pStyle w:val="Normalfollowingheading"/>
        <w:rPr>
          <w:rFonts w:eastAsia="Times New Roman"/>
        </w:rPr>
      </w:pPr>
      <w:r w:rsidRPr="0067091D">
        <w:rPr>
          <w:rFonts w:eastAsia="Times New Roman"/>
        </w:rPr>
        <w:t xml:space="preserve">A review of the renal KPI program was undertaken in 2018–19 to ensure that the measures remain relevant and effective. The review report is available at: </w:t>
      </w:r>
      <w:r w:rsidR="00B54BBE" w:rsidRPr="0067091D">
        <w:rPr>
          <w:rFonts w:eastAsia="Times New Roman"/>
        </w:rPr>
        <w:t>&lt;</w:t>
      </w:r>
      <w:r w:rsidR="00127F17" w:rsidRPr="00127F17">
        <w:rPr>
          <w:rFonts w:eastAsia="Times New Roman"/>
        </w:rPr>
        <w:t>https://www.bettersafercare.vic.gov.au/publications/renal-kpis</w:t>
      </w:r>
      <w:r w:rsidR="00B54BBE" w:rsidRPr="0067091D">
        <w:rPr>
          <w:rFonts w:eastAsia="Times New Roman"/>
        </w:rPr>
        <w:t xml:space="preserve">&gt; </w:t>
      </w:r>
    </w:p>
    <w:p w14:paraId="372075B5" w14:textId="215EB324" w:rsidR="00BD5FBD" w:rsidRPr="0067091D" w:rsidRDefault="00BD5FBD" w:rsidP="0067091D">
      <w:pPr>
        <w:rPr>
          <w:rFonts w:eastAsia="Times New Roman"/>
        </w:rPr>
      </w:pPr>
      <w:r w:rsidRPr="0067091D">
        <w:rPr>
          <w:rFonts w:eastAsia="Times New Roman"/>
        </w:rPr>
        <w:t xml:space="preserve">Several recommendations were made as an outcome from the review. As a result, some elements of the report changed, including the addition of a new KPI (KPI 5). The targets for KPI 2 </w:t>
      </w:r>
      <w:r w:rsidR="00661469" w:rsidRPr="0067091D">
        <w:rPr>
          <w:rFonts w:eastAsia="Times New Roman"/>
        </w:rPr>
        <w:t>were</w:t>
      </w:r>
      <w:r w:rsidRPr="0067091D">
        <w:rPr>
          <w:rFonts w:eastAsia="Times New Roman"/>
        </w:rPr>
        <w:t xml:space="preserve"> removed due to emerging evidence recommending a more individualised approach to this aspect of renal patient care. </w:t>
      </w:r>
    </w:p>
    <w:p w14:paraId="4CE883AF" w14:textId="77777777" w:rsidR="000D5F68" w:rsidRPr="0067091D" w:rsidRDefault="000D5F68" w:rsidP="0067091D">
      <w:pPr>
        <w:pStyle w:val="Heading3"/>
      </w:pPr>
      <w:r w:rsidRPr="0067091D">
        <w:t>Final report</w:t>
      </w:r>
    </w:p>
    <w:p w14:paraId="0F10C098" w14:textId="22ED90BD" w:rsidR="000D5F68" w:rsidRPr="0067091D" w:rsidRDefault="000D5F68" w:rsidP="0067091D">
      <w:pPr>
        <w:pStyle w:val="Normalfollowingheading"/>
        <w:rPr>
          <w:rFonts w:eastAsia="Times New Roman"/>
        </w:rPr>
      </w:pPr>
      <w:r w:rsidRPr="0067091D">
        <w:rPr>
          <w:rFonts w:eastAsia="Times New Roman"/>
        </w:rPr>
        <w:t xml:space="preserve">The Renal Clinical Network </w:t>
      </w:r>
      <w:r w:rsidR="00C455DF" w:rsidRPr="0067091D">
        <w:rPr>
          <w:rFonts w:eastAsia="Times New Roman"/>
        </w:rPr>
        <w:t xml:space="preserve">has </w:t>
      </w:r>
      <w:r w:rsidR="00C809A1" w:rsidRPr="0067091D">
        <w:rPr>
          <w:rFonts w:eastAsia="Times New Roman"/>
        </w:rPr>
        <w:t xml:space="preserve">had </w:t>
      </w:r>
      <w:r w:rsidR="00C455DF" w:rsidRPr="0067091D">
        <w:rPr>
          <w:rFonts w:eastAsia="Times New Roman"/>
        </w:rPr>
        <w:t xml:space="preserve">a </w:t>
      </w:r>
      <w:r w:rsidRPr="0067091D">
        <w:rPr>
          <w:rFonts w:eastAsia="Times New Roman"/>
        </w:rPr>
        <w:t>KPI program in place since 2012, to facilitate quality improvement in care for renal patients in Victoria.</w:t>
      </w:r>
    </w:p>
    <w:p w14:paraId="10B94FE7" w14:textId="77777777" w:rsidR="000D5F68" w:rsidRPr="0067091D" w:rsidRDefault="000D5F68" w:rsidP="0067091D">
      <w:pPr>
        <w:rPr>
          <w:rFonts w:eastAsia="Times New Roman"/>
        </w:rPr>
      </w:pPr>
      <w:r w:rsidRPr="0067091D">
        <w:rPr>
          <w:rFonts w:eastAsia="Times New Roman"/>
        </w:rPr>
        <w:t>A binational Renal Quality Indicator program has now been established by the Australia and New Zealand Dialysis and Transplant Registry (ANZDATA). The indicators are similar and comparable to the indicators currently measured in the Victorian program. The ANZDATA Registry generates regular Quality Indicator reports, which are circulated to health services.</w:t>
      </w:r>
    </w:p>
    <w:p w14:paraId="303B0BBD" w14:textId="66C089AB" w:rsidR="000D5F68" w:rsidRPr="0067091D" w:rsidRDefault="000D5F68" w:rsidP="0067091D">
      <w:pPr>
        <w:rPr>
          <w:rFonts w:eastAsia="Times New Roman"/>
        </w:rPr>
      </w:pPr>
      <w:r w:rsidRPr="0067091D">
        <w:rPr>
          <w:rFonts w:eastAsia="Times New Roman"/>
        </w:rPr>
        <w:t>To avoid duplicating effort, the Victorian program cease</w:t>
      </w:r>
      <w:r w:rsidR="00AF346E" w:rsidRPr="0067091D">
        <w:rPr>
          <w:rFonts w:eastAsia="Times New Roman"/>
        </w:rPr>
        <w:t>d</w:t>
      </w:r>
      <w:r w:rsidRPr="0067091D">
        <w:rPr>
          <w:rFonts w:eastAsia="Times New Roman"/>
        </w:rPr>
        <w:t xml:space="preserve"> on 31 December 2021 (with data submitted by 15 January 2022) and reporting of these indicators </w:t>
      </w:r>
      <w:r w:rsidR="00AF346E" w:rsidRPr="0067091D">
        <w:rPr>
          <w:rFonts w:eastAsia="Times New Roman"/>
        </w:rPr>
        <w:t>has</w:t>
      </w:r>
      <w:r w:rsidRPr="0067091D">
        <w:rPr>
          <w:rFonts w:eastAsia="Times New Roman"/>
        </w:rPr>
        <w:t xml:space="preserve"> transitioned to the binational ANZDATA Registry program.</w:t>
      </w:r>
    </w:p>
    <w:p w14:paraId="643E1BB0" w14:textId="458118E7" w:rsidR="000D5F68" w:rsidRPr="0067091D" w:rsidRDefault="000D5F68" w:rsidP="0067091D">
      <w:pPr>
        <w:rPr>
          <w:rFonts w:eastAsia="Times New Roman"/>
        </w:rPr>
      </w:pPr>
      <w:r w:rsidRPr="0067091D">
        <w:rPr>
          <w:rFonts w:eastAsia="Times New Roman"/>
        </w:rPr>
        <w:t xml:space="preserve">This Victorian Renal KPI report will be the final report generated by SCV, for circulation to Victorian health services. Reports published by SCV will remain accessible on the SCV website at: </w:t>
      </w:r>
      <w:r w:rsidR="00FA007A" w:rsidRPr="0067091D">
        <w:rPr>
          <w:rFonts w:eastAsia="Times New Roman"/>
        </w:rPr>
        <w:t>&lt;</w:t>
      </w:r>
      <w:r w:rsidRPr="0067091D">
        <w:rPr>
          <w:rFonts w:eastAsia="Times New Roman"/>
        </w:rPr>
        <w:t>https://www.bettersafercare.vic.gov.au/publications/renal-kpis</w:t>
      </w:r>
      <w:r w:rsidR="00FA007A" w:rsidRPr="0067091D">
        <w:rPr>
          <w:rFonts w:eastAsia="Times New Roman"/>
        </w:rPr>
        <w:t>&gt;</w:t>
      </w:r>
      <w:r w:rsidRPr="0067091D">
        <w:rPr>
          <w:rFonts w:eastAsia="Times New Roman"/>
        </w:rPr>
        <w:t xml:space="preserve">. </w:t>
      </w:r>
    </w:p>
    <w:p w14:paraId="3DB91A76" w14:textId="77777777" w:rsidR="000D5F68" w:rsidRPr="0067091D" w:rsidRDefault="000D5F68" w:rsidP="0067091D">
      <w:pPr>
        <w:rPr>
          <w:rFonts w:eastAsia="Times New Roman"/>
        </w:rPr>
      </w:pPr>
      <w:r w:rsidRPr="0067091D">
        <w:rPr>
          <w:rFonts w:eastAsia="Times New Roman"/>
        </w:rPr>
        <w:t>We would like to thank you for your significant contribution to the program over the many years it has been in place.</w:t>
      </w:r>
    </w:p>
    <w:p w14:paraId="0138ED73" w14:textId="77777777" w:rsidR="000D5F68" w:rsidRPr="0067091D" w:rsidRDefault="000D5F68" w:rsidP="0067091D">
      <w:pPr>
        <w:rPr>
          <w:rFonts w:eastAsia="Times New Roman"/>
        </w:rPr>
      </w:pPr>
      <w:r w:rsidRPr="0067091D">
        <w:rPr>
          <w:rFonts w:eastAsia="Times New Roman"/>
        </w:rPr>
        <w:t>We also wish to thank and acknowledge the many clinicians who have contributed to the output and successes of the Victorian Renal KPI program over the past decade and have worked to continue to improve the outcomes for patients with kidney disease.</w:t>
      </w:r>
    </w:p>
    <w:p w14:paraId="6801E4AA" w14:textId="671FC5B1" w:rsidR="0080471A" w:rsidRPr="0067091D" w:rsidRDefault="00BD5FBD" w:rsidP="0067091D">
      <w:r w:rsidRPr="0067091D">
        <w:rPr>
          <w:rFonts w:eastAsia="Times New Roman"/>
        </w:rPr>
        <w:t xml:space="preserve">If you have any feedback on this report, please email </w:t>
      </w:r>
      <w:hyperlink r:id="rId19" w:history="1">
        <w:r w:rsidRPr="0067091D">
          <w:rPr>
            <w:rStyle w:val="Hyperlink"/>
          </w:rPr>
          <w:t>Renal.ClinicalNetwork@safercare.vic.gov.au</w:t>
        </w:r>
      </w:hyperlink>
      <w:r w:rsidR="00B54BBE" w:rsidRPr="0067091D">
        <w:rPr>
          <w:rFonts w:eastAsia="Times New Roman"/>
          <w:bCs/>
        </w:rPr>
        <w:t xml:space="preserve"> </w:t>
      </w:r>
      <w:r w:rsidR="0080471A" w:rsidRPr="0067091D">
        <w:br w:type="page"/>
      </w:r>
    </w:p>
    <w:p w14:paraId="2BAE2CB2" w14:textId="2292A223" w:rsidR="0080471A" w:rsidRPr="0067091D" w:rsidRDefault="0080471A" w:rsidP="0067091D">
      <w:pPr>
        <w:pStyle w:val="Heading1"/>
        <w:framePr w:wrap="around"/>
      </w:pPr>
      <w:bookmarkStart w:id="3" w:name="_Toc84923294"/>
      <w:r w:rsidRPr="0067091D">
        <w:lastRenderedPageBreak/>
        <w:t>Performance</w:t>
      </w:r>
      <w:bookmarkEnd w:id="3"/>
    </w:p>
    <w:p w14:paraId="53F56175" w14:textId="70794482" w:rsidR="0080471A" w:rsidRPr="0067091D" w:rsidRDefault="001A6E64" w:rsidP="0067091D">
      <w:pPr>
        <w:pStyle w:val="Heading2"/>
      </w:pPr>
      <w:bookmarkStart w:id="4" w:name="_Toc84923295"/>
      <w:r w:rsidRPr="0067091D">
        <w:t xml:space="preserve">KPI 1: </w:t>
      </w:r>
      <w:r w:rsidR="0080471A" w:rsidRPr="0067091D">
        <w:t>Proportion of new, planned patients who have received CKD education before starting dialysis</w:t>
      </w:r>
      <w:bookmarkEnd w:id="4"/>
    </w:p>
    <w:p w14:paraId="07A8B992" w14:textId="5C0A57ED" w:rsidR="0080471A" w:rsidRPr="0067091D" w:rsidRDefault="0080471A" w:rsidP="0067091D">
      <w:pPr>
        <w:pStyle w:val="Heading3"/>
      </w:pPr>
      <w:bookmarkStart w:id="5" w:name="_Toc526952072"/>
      <w:bookmarkStart w:id="6" w:name="_Toc59519920"/>
      <w:r w:rsidRPr="0067091D">
        <w:t>Definition</w:t>
      </w:r>
      <w:bookmarkEnd w:id="5"/>
      <w:bookmarkEnd w:id="6"/>
    </w:p>
    <w:p w14:paraId="6EE3D760" w14:textId="0A350F53" w:rsidR="0080471A" w:rsidRPr="0067091D" w:rsidRDefault="0080471A" w:rsidP="0067091D">
      <w:pPr>
        <w:pStyle w:val="Normalfollowingheading"/>
      </w:pPr>
      <w:r w:rsidRPr="0067091D">
        <w:t xml:space="preserve">The percentage of patients that attended a </w:t>
      </w:r>
      <w:r w:rsidR="00B54BBE" w:rsidRPr="0067091D">
        <w:t>c</w:t>
      </w:r>
      <w:r w:rsidRPr="0067091D">
        <w:t xml:space="preserve">hronic </w:t>
      </w:r>
      <w:r w:rsidR="00140293" w:rsidRPr="0067091D">
        <w:t>k</w:t>
      </w:r>
      <w:r w:rsidRPr="0067091D">
        <w:t xml:space="preserve">idney </w:t>
      </w:r>
      <w:r w:rsidR="00140293" w:rsidRPr="0067091D">
        <w:t>d</w:t>
      </w:r>
      <w:r w:rsidRPr="0067091D">
        <w:t>isease (CKD) education session that is documented in their medical record, before commencement of renal replacement therapy (RRT).</w:t>
      </w:r>
    </w:p>
    <w:p w14:paraId="35CA66B3" w14:textId="2D4F9165" w:rsidR="0080471A" w:rsidRPr="0067091D" w:rsidRDefault="0080471A" w:rsidP="0067091D">
      <w:pPr>
        <w:pStyle w:val="Heading3"/>
      </w:pPr>
      <w:bookmarkStart w:id="7" w:name="_Toc526952073"/>
      <w:bookmarkStart w:id="8" w:name="_Toc59519921"/>
      <w:r w:rsidRPr="0067091D">
        <w:t>Target</w:t>
      </w:r>
      <w:bookmarkEnd w:id="7"/>
      <w:bookmarkEnd w:id="8"/>
    </w:p>
    <w:p w14:paraId="30D2BF5D" w14:textId="77777777" w:rsidR="0080471A" w:rsidRPr="0067091D" w:rsidRDefault="0080471A" w:rsidP="0067091D">
      <w:pPr>
        <w:pStyle w:val="Normalfollowingheading"/>
      </w:pPr>
      <w:r w:rsidRPr="0067091D">
        <w:t>80 per cent of new, planned patients who start dialysis have attended a CKD education session.</w:t>
      </w:r>
    </w:p>
    <w:p w14:paraId="20042090" w14:textId="6E3D0214" w:rsidR="0080471A" w:rsidRPr="0067091D" w:rsidRDefault="0080471A" w:rsidP="0067091D">
      <w:pPr>
        <w:pStyle w:val="Heading3"/>
      </w:pPr>
      <w:bookmarkStart w:id="9" w:name="_Toc526952074"/>
      <w:bookmarkStart w:id="10" w:name="_Toc59519922"/>
      <w:r w:rsidRPr="0067091D">
        <w:t>Exclusions</w:t>
      </w:r>
      <w:bookmarkEnd w:id="9"/>
      <w:bookmarkEnd w:id="10"/>
    </w:p>
    <w:p w14:paraId="5961FC9E" w14:textId="77777777" w:rsidR="0080471A" w:rsidRPr="0067091D" w:rsidRDefault="0080471A" w:rsidP="0080471A">
      <w:pPr>
        <w:pStyle w:val="Bullet1"/>
        <w:rPr>
          <w:rFonts w:asciiTheme="minorHAnsi" w:hAnsiTheme="minorHAnsi" w:cstheme="minorHAnsi"/>
        </w:rPr>
      </w:pPr>
      <w:r w:rsidRPr="0067091D">
        <w:rPr>
          <w:rFonts w:asciiTheme="minorHAnsi" w:hAnsiTheme="minorHAnsi" w:cstheme="minorHAnsi"/>
        </w:rPr>
        <w:t>Late referrals (patients commencing dialysis within three months of first renal consultation)</w:t>
      </w:r>
      <w:r w:rsidR="001A6E64" w:rsidRPr="0067091D">
        <w:rPr>
          <w:rFonts w:asciiTheme="minorHAnsi" w:hAnsiTheme="minorHAnsi" w:cstheme="minorHAnsi"/>
        </w:rPr>
        <w:t>.</w:t>
      </w:r>
    </w:p>
    <w:p w14:paraId="1F251E1B" w14:textId="5398A2BC" w:rsidR="0080471A" w:rsidRPr="0067091D" w:rsidRDefault="0080471A" w:rsidP="0080471A">
      <w:pPr>
        <w:pStyle w:val="Bullet1"/>
        <w:rPr>
          <w:rFonts w:asciiTheme="minorHAnsi" w:hAnsiTheme="minorHAnsi" w:cstheme="minorHAnsi"/>
        </w:rPr>
      </w:pPr>
      <w:r w:rsidRPr="0067091D">
        <w:rPr>
          <w:rFonts w:asciiTheme="minorHAnsi" w:hAnsiTheme="minorHAnsi" w:cstheme="minorHAnsi"/>
        </w:rPr>
        <w:t>Patients returning to dialysis with a failed transplant.</w:t>
      </w:r>
    </w:p>
    <w:p w14:paraId="6E3630C0" w14:textId="4CA43BD8" w:rsidR="00B33E77" w:rsidRPr="0067091D" w:rsidRDefault="0080471A" w:rsidP="0067091D">
      <w:pPr>
        <w:pStyle w:val="Heading3"/>
      </w:pPr>
      <w:bookmarkStart w:id="11" w:name="_Toc526952075"/>
      <w:bookmarkStart w:id="12" w:name="_Toc59519923"/>
      <w:r w:rsidRPr="0067091D">
        <w:t>Results</w:t>
      </w:r>
      <w:bookmarkEnd w:id="11"/>
      <w:bookmarkEnd w:id="12"/>
    </w:p>
    <w:p w14:paraId="77A8FE47" w14:textId="4FC62898" w:rsidR="00B33E77" w:rsidRPr="0067091D" w:rsidRDefault="00B33E77" w:rsidP="0067091D">
      <w:pPr>
        <w:pStyle w:val="Tablechartdiagramheading"/>
      </w:pPr>
      <w:r w:rsidRPr="0067091D">
        <w:t>Percentage of new planned patients who have received CKD education before starting dialysis</w:t>
      </w:r>
    </w:p>
    <w:p w14:paraId="34FE552A" w14:textId="0C5F3AF2" w:rsidR="008872E8" w:rsidRPr="0067091D" w:rsidRDefault="00C20749" w:rsidP="0067091D">
      <w:r w:rsidRPr="0067091D">
        <w:rPr>
          <w:noProof/>
        </w:rPr>
        <w:drawing>
          <wp:inline distT="0" distB="0" distL="0" distR="0" wp14:anchorId="74481A04" wp14:editId="2A002F51">
            <wp:extent cx="6480000" cy="3600000"/>
            <wp:effectExtent l="0" t="0" r="16510" b="635"/>
            <wp:docPr id="13" name="Chart 13">
              <a:extLst xmlns:a="http://schemas.openxmlformats.org/drawingml/2006/main">
                <a:ext uri="{FF2B5EF4-FFF2-40B4-BE49-F238E27FC236}">
                  <a16:creationId xmlns:a16="http://schemas.microsoft.com/office/drawing/2014/main" id="{3502DAA9-8DB1-4DC2-8CD6-C2EB7E081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BB5264" w14:textId="44602F7A" w:rsidR="00140293" w:rsidRPr="0067091D" w:rsidRDefault="00C20749" w:rsidP="0067091D">
      <w:pPr>
        <w:pStyle w:val="Footer"/>
        <w:rPr>
          <w:color w:val="007586" w:themeColor="text2"/>
          <w:spacing w:val="2"/>
        </w:rPr>
      </w:pPr>
      <w:r w:rsidRPr="0067091D">
        <w:t>Note: Actual numbers in brackets. Results based on data for the period Jan</w:t>
      </w:r>
      <w:r w:rsidR="00EF06F6" w:rsidRPr="0067091D">
        <w:t>uary</w:t>
      </w:r>
      <w:r w:rsidRPr="0067091D">
        <w:t xml:space="preserve"> 2021</w:t>
      </w:r>
      <w:r w:rsidR="00EF06F6" w:rsidRPr="0067091D">
        <w:t>–</w:t>
      </w:r>
      <w:r w:rsidRPr="0067091D">
        <w:t>Dec</w:t>
      </w:r>
      <w:r w:rsidR="00EF06F6" w:rsidRPr="0067091D">
        <w:t>ember</w:t>
      </w:r>
      <w:r w:rsidRPr="0067091D">
        <w:t xml:space="preserve"> 2021.</w:t>
      </w:r>
      <w:r w:rsidR="00140293" w:rsidRPr="0067091D">
        <w:br w:type="page"/>
      </w:r>
    </w:p>
    <w:p w14:paraId="08B21ABB" w14:textId="4A70D915" w:rsidR="00052802" w:rsidRPr="0067091D" w:rsidRDefault="00B33E77" w:rsidP="0067091D">
      <w:pPr>
        <w:pStyle w:val="Tablechartdiagramheading"/>
      </w:pPr>
      <w:r w:rsidRPr="0067091D">
        <w:lastRenderedPageBreak/>
        <w:t>Percentage of new planned patients to receive CKD education before starting dialysis 201</w:t>
      </w:r>
      <w:r w:rsidR="00966073" w:rsidRPr="0067091D">
        <w:t>9</w:t>
      </w:r>
      <w:r w:rsidRPr="0067091D">
        <w:t>-202</w:t>
      </w:r>
      <w:r w:rsidR="00966073" w:rsidRPr="0067091D">
        <w:t>1</w:t>
      </w:r>
    </w:p>
    <w:p w14:paraId="6644CEC5" w14:textId="31A546B1" w:rsidR="003B25F1" w:rsidRPr="0067091D" w:rsidRDefault="003B25F1" w:rsidP="0067091D">
      <w:r w:rsidRPr="0067091D">
        <w:rPr>
          <w:noProof/>
        </w:rPr>
        <w:drawing>
          <wp:inline distT="0" distB="0" distL="0" distR="0" wp14:anchorId="2C95B6B0" wp14:editId="40DB3669">
            <wp:extent cx="6479540" cy="3600000"/>
            <wp:effectExtent l="0" t="0" r="0" b="635"/>
            <wp:docPr id="15" name="Chart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4EEFD3" w14:textId="43F022B8" w:rsidR="00193EC5" w:rsidRPr="0067091D" w:rsidRDefault="00193EC5" w:rsidP="0067091D">
      <w:pPr>
        <w:pStyle w:val="Footer"/>
      </w:pPr>
      <w:bookmarkStart w:id="13" w:name="_Hlk97643433"/>
      <w:r w:rsidRPr="0067091D">
        <w:t xml:space="preserve">Note: Results showing trend over time: based on 12-month averages for the previous </w:t>
      </w:r>
      <w:r w:rsidR="00CC0C13" w:rsidRPr="0067091D">
        <w:t>three</w:t>
      </w:r>
      <w:r w:rsidRPr="0067091D">
        <w:t xml:space="preserve"> years. </w:t>
      </w:r>
    </w:p>
    <w:p w14:paraId="6F9FEAA2" w14:textId="60202B97" w:rsidR="007A35F6" w:rsidRPr="0067091D" w:rsidRDefault="00193EC5" w:rsidP="0067091D">
      <w:pPr>
        <w:pStyle w:val="Footer"/>
      </w:pPr>
      <w:r w:rsidRPr="0067091D">
        <w:t>2021 (Jan</w:t>
      </w:r>
      <w:r w:rsidR="00CC0C13" w:rsidRPr="0067091D">
        <w:t>uary</w:t>
      </w:r>
      <w:r w:rsidRPr="0067091D">
        <w:t xml:space="preserve"> 21–Dec</w:t>
      </w:r>
      <w:r w:rsidR="00CC0C13" w:rsidRPr="0067091D">
        <w:t>ember</w:t>
      </w:r>
      <w:r w:rsidRPr="0067091D">
        <w:t xml:space="preserve"> 21), 2020 (Jan</w:t>
      </w:r>
      <w:r w:rsidR="00CC0C13" w:rsidRPr="0067091D">
        <w:t>uary</w:t>
      </w:r>
      <w:r w:rsidRPr="0067091D">
        <w:t xml:space="preserve"> 20–Dec</w:t>
      </w:r>
      <w:r w:rsidR="00CC0C13" w:rsidRPr="0067091D">
        <w:t>ember</w:t>
      </w:r>
      <w:r w:rsidRPr="0067091D">
        <w:t xml:space="preserve"> 20) and 2019 (Jan</w:t>
      </w:r>
      <w:r w:rsidR="00CC0C13" w:rsidRPr="0067091D">
        <w:t>uary</w:t>
      </w:r>
      <w:r w:rsidRPr="0067091D">
        <w:t xml:space="preserve"> 19–Dec</w:t>
      </w:r>
      <w:r w:rsidR="00CC0C13" w:rsidRPr="0067091D">
        <w:t>ember</w:t>
      </w:r>
      <w:r w:rsidRPr="0067091D">
        <w:t xml:space="preserve"> 19</w:t>
      </w:r>
      <w:bookmarkEnd w:id="13"/>
      <w:r w:rsidRPr="0067091D">
        <w:t>).</w:t>
      </w:r>
    </w:p>
    <w:p w14:paraId="112F47B0" w14:textId="77777777" w:rsidR="007A35F6" w:rsidRPr="0067091D" w:rsidRDefault="007A35F6" w:rsidP="0067091D">
      <w:pPr>
        <w:rPr>
          <w:noProof/>
        </w:rPr>
      </w:pPr>
      <w:r w:rsidRPr="0067091D">
        <w:br w:type="page"/>
      </w:r>
    </w:p>
    <w:p w14:paraId="19B57F34" w14:textId="6B4213FD" w:rsidR="007A35F6" w:rsidRPr="0067091D" w:rsidRDefault="001A6E64" w:rsidP="0067091D">
      <w:pPr>
        <w:pStyle w:val="Heading2"/>
      </w:pPr>
      <w:bookmarkStart w:id="14" w:name="_Toc84923296"/>
      <w:r w:rsidRPr="0067091D">
        <w:lastRenderedPageBreak/>
        <w:t xml:space="preserve">KPI 2: </w:t>
      </w:r>
      <w:r w:rsidR="007A35F6" w:rsidRPr="0067091D">
        <w:t>The proportion of planned maintenance haemodialysis (HD) patients who successfully use an arteriovenous fistula (AVF) or graft (AVG) access at first HD treatment</w:t>
      </w:r>
      <w:bookmarkEnd w:id="14"/>
    </w:p>
    <w:p w14:paraId="26432FFC" w14:textId="794A02D2" w:rsidR="0080471A" w:rsidRPr="0067091D" w:rsidRDefault="0080471A" w:rsidP="0067091D">
      <w:pPr>
        <w:pStyle w:val="Heading3"/>
      </w:pPr>
      <w:bookmarkStart w:id="15" w:name="_Toc526952077"/>
      <w:bookmarkStart w:id="16" w:name="_Toc59519925"/>
      <w:r w:rsidRPr="0067091D">
        <w:t>Definition</w:t>
      </w:r>
      <w:bookmarkEnd w:id="15"/>
      <w:bookmarkEnd w:id="16"/>
    </w:p>
    <w:p w14:paraId="7A949928" w14:textId="63B20005" w:rsidR="0080471A" w:rsidRPr="0067091D" w:rsidRDefault="0080471A" w:rsidP="0067091D">
      <w:pPr>
        <w:pStyle w:val="Normalfollowingheading"/>
      </w:pPr>
      <w:r w:rsidRPr="0067091D">
        <w:t xml:space="preserve">The percentage of planned </w:t>
      </w:r>
      <w:r w:rsidR="006C0EC5" w:rsidRPr="0067091D">
        <w:t>maintenance HD</w:t>
      </w:r>
      <w:r w:rsidRPr="0067091D">
        <w:t xml:space="preserve"> patients </w:t>
      </w:r>
      <w:r w:rsidR="006C0EC5" w:rsidRPr="0067091D">
        <w:t xml:space="preserve">(excluding late </w:t>
      </w:r>
      <w:r w:rsidR="00074CF8" w:rsidRPr="0067091D">
        <w:t>referrals</w:t>
      </w:r>
      <w:r w:rsidR="006C0EC5" w:rsidRPr="0067091D">
        <w:t>) who successfully use</w:t>
      </w:r>
      <w:r w:rsidRPr="0067091D">
        <w:t xml:space="preserve"> an arteriovenous fistula (AVF) or graft (AVG)</w:t>
      </w:r>
      <w:r w:rsidR="006C0EC5" w:rsidRPr="0067091D">
        <w:t xml:space="preserve"> access at first HD treatment</w:t>
      </w:r>
      <w:r w:rsidR="003703C5" w:rsidRPr="0067091D">
        <w:t>.</w:t>
      </w:r>
    </w:p>
    <w:p w14:paraId="3F559F26" w14:textId="4C508809" w:rsidR="000867D6" w:rsidRPr="0067091D" w:rsidRDefault="000867D6" w:rsidP="0067091D">
      <w:pPr>
        <w:pStyle w:val="Heading3"/>
      </w:pPr>
      <w:bookmarkStart w:id="17" w:name="_Toc59519926"/>
      <w:bookmarkStart w:id="18" w:name="_Toc526952079"/>
      <w:r w:rsidRPr="0067091D">
        <w:t>Inclusions</w:t>
      </w:r>
      <w:bookmarkEnd w:id="17"/>
    </w:p>
    <w:p w14:paraId="40945EF8" w14:textId="6B339CCF" w:rsidR="000867D6" w:rsidRPr="0067091D" w:rsidRDefault="000867D6" w:rsidP="0067091D">
      <w:pPr>
        <w:pStyle w:val="Normalfollowingheading"/>
      </w:pPr>
      <w:r w:rsidRPr="0067091D">
        <w:t xml:space="preserve">Patients with a failed transplant or transferring </w:t>
      </w:r>
      <w:r w:rsidR="00E055E2" w:rsidRPr="0067091D">
        <w:t xml:space="preserve">long-term </w:t>
      </w:r>
      <w:r w:rsidRPr="0067091D">
        <w:t xml:space="preserve">from peritoneal dialysis (PD) </w:t>
      </w:r>
      <w:r w:rsidR="003E0E2E" w:rsidRPr="0067091D">
        <w:t xml:space="preserve">to maintenance HD </w:t>
      </w:r>
      <w:r w:rsidRPr="0067091D">
        <w:t>are included from 1 January 2020.</w:t>
      </w:r>
    </w:p>
    <w:p w14:paraId="6C11E6AC" w14:textId="19396CF7" w:rsidR="0080471A" w:rsidRPr="0067091D" w:rsidRDefault="0080471A" w:rsidP="0067091D">
      <w:pPr>
        <w:pStyle w:val="Heading3"/>
      </w:pPr>
      <w:bookmarkStart w:id="19" w:name="_Toc59519927"/>
      <w:r w:rsidRPr="0067091D">
        <w:t>Exclusions</w:t>
      </w:r>
      <w:bookmarkEnd w:id="18"/>
      <w:bookmarkEnd w:id="19"/>
    </w:p>
    <w:p w14:paraId="05CB5823" w14:textId="77777777" w:rsidR="0080471A" w:rsidRPr="0067091D" w:rsidRDefault="0080471A" w:rsidP="0080471A">
      <w:pPr>
        <w:pStyle w:val="Bullet1"/>
        <w:rPr>
          <w:rFonts w:asciiTheme="minorHAnsi" w:hAnsiTheme="minorHAnsi" w:cstheme="minorHAnsi"/>
        </w:rPr>
      </w:pPr>
      <w:r w:rsidRPr="0067091D">
        <w:rPr>
          <w:rFonts w:asciiTheme="minorHAnsi" w:hAnsiTheme="minorHAnsi" w:cstheme="minorHAnsi"/>
        </w:rPr>
        <w:t>Late referrals (patients commencing dialysis within three months of first renal consultation)</w:t>
      </w:r>
      <w:r w:rsidR="001A6E64" w:rsidRPr="0067091D">
        <w:rPr>
          <w:rFonts w:asciiTheme="minorHAnsi" w:hAnsiTheme="minorHAnsi" w:cstheme="minorHAnsi"/>
        </w:rPr>
        <w:t>.</w:t>
      </w:r>
    </w:p>
    <w:p w14:paraId="6639043F" w14:textId="395527BA" w:rsidR="000F19F4" w:rsidRPr="0067091D" w:rsidRDefault="000F19F4" w:rsidP="000F19F4">
      <w:pPr>
        <w:pStyle w:val="Bullet1"/>
        <w:rPr>
          <w:rFonts w:asciiTheme="minorHAnsi" w:hAnsiTheme="minorHAnsi" w:cstheme="minorHAnsi"/>
        </w:rPr>
      </w:pPr>
      <w:r w:rsidRPr="0067091D">
        <w:rPr>
          <w:rFonts w:asciiTheme="minorHAnsi" w:hAnsiTheme="minorHAnsi" w:cstheme="minorHAnsi"/>
        </w:rPr>
        <w:t>Patients who have not had any renal consultation (public or private nephrologist) within the previous three years</w:t>
      </w:r>
      <w:r w:rsidR="00956EE3" w:rsidRPr="0067091D">
        <w:rPr>
          <w:rFonts w:asciiTheme="minorHAnsi" w:hAnsiTheme="minorHAnsi" w:cstheme="minorHAnsi"/>
        </w:rPr>
        <w:t>.</w:t>
      </w:r>
    </w:p>
    <w:p w14:paraId="3464C253" w14:textId="12E1D4D4" w:rsidR="000F19F4" w:rsidRPr="0067091D" w:rsidRDefault="000F19F4" w:rsidP="000F19F4">
      <w:pPr>
        <w:pStyle w:val="Bullet1"/>
        <w:rPr>
          <w:rFonts w:asciiTheme="minorHAnsi" w:hAnsiTheme="minorHAnsi" w:cstheme="minorHAnsi"/>
        </w:rPr>
      </w:pPr>
      <w:r w:rsidRPr="0067091D">
        <w:rPr>
          <w:rFonts w:asciiTheme="minorHAnsi" w:hAnsiTheme="minorHAnsi" w:cstheme="minorHAnsi"/>
        </w:rPr>
        <w:t>Patients requiring temporary HD for the treatment of acute kidney injury</w:t>
      </w:r>
      <w:r w:rsidR="00956EE3" w:rsidRPr="0067091D">
        <w:rPr>
          <w:rFonts w:asciiTheme="minorHAnsi" w:hAnsiTheme="minorHAnsi" w:cstheme="minorHAnsi"/>
        </w:rPr>
        <w:t>.</w:t>
      </w:r>
    </w:p>
    <w:p w14:paraId="1801DFB2" w14:textId="7CAE7CB6" w:rsidR="00F4000D" w:rsidRPr="0067091D" w:rsidRDefault="000F19F4" w:rsidP="0080471A">
      <w:pPr>
        <w:pStyle w:val="Bullet1"/>
        <w:rPr>
          <w:rFonts w:asciiTheme="minorHAnsi" w:hAnsiTheme="minorHAnsi" w:cstheme="minorHAnsi"/>
        </w:rPr>
      </w:pPr>
      <w:r w:rsidRPr="0067091D">
        <w:rPr>
          <w:rFonts w:asciiTheme="minorHAnsi" w:hAnsiTheme="minorHAnsi" w:cstheme="minorHAnsi"/>
        </w:rPr>
        <w:t>PD with a transient (expected less than three months) need for HD</w:t>
      </w:r>
      <w:r w:rsidR="00956EE3" w:rsidRPr="0067091D">
        <w:rPr>
          <w:rFonts w:asciiTheme="minorHAnsi" w:hAnsiTheme="minorHAnsi" w:cstheme="minorHAnsi"/>
        </w:rPr>
        <w:t>.</w:t>
      </w:r>
    </w:p>
    <w:p w14:paraId="64B2ED8F" w14:textId="2F928F8D" w:rsidR="00D71924" w:rsidRPr="0067091D" w:rsidRDefault="000F19F4" w:rsidP="007A35F6">
      <w:pPr>
        <w:pStyle w:val="Bullet1"/>
        <w:rPr>
          <w:rFonts w:asciiTheme="minorHAnsi" w:hAnsiTheme="minorHAnsi" w:cstheme="minorHAnsi"/>
        </w:rPr>
      </w:pPr>
      <w:r w:rsidRPr="0067091D">
        <w:rPr>
          <w:rFonts w:asciiTheme="minorHAnsi" w:hAnsiTheme="minorHAnsi" w:cstheme="minorHAnsi"/>
        </w:rPr>
        <w:t>Patients requiring HD for less than two weeks prior to live donor transplantation</w:t>
      </w:r>
      <w:bookmarkStart w:id="20" w:name="_Toc526952080"/>
      <w:r w:rsidR="00956EE3" w:rsidRPr="0067091D">
        <w:rPr>
          <w:rFonts w:asciiTheme="minorHAnsi" w:hAnsiTheme="minorHAnsi" w:cstheme="minorHAnsi"/>
        </w:rPr>
        <w:t>.</w:t>
      </w:r>
    </w:p>
    <w:p w14:paraId="4643867B" w14:textId="39522516" w:rsidR="001D0077" w:rsidRPr="0067091D" w:rsidRDefault="0080471A" w:rsidP="0067091D">
      <w:pPr>
        <w:pStyle w:val="Heading3"/>
      </w:pPr>
      <w:r w:rsidRPr="0067091D">
        <w:t>Results</w:t>
      </w:r>
      <w:bookmarkEnd w:id="20"/>
    </w:p>
    <w:p w14:paraId="198BFB63" w14:textId="7B999405" w:rsidR="001D0077" w:rsidRPr="0067091D" w:rsidRDefault="001D0077" w:rsidP="0067091D">
      <w:pPr>
        <w:pStyle w:val="Tablechartdiagramheading"/>
      </w:pPr>
      <w:bookmarkStart w:id="21" w:name="_Hlk59448236"/>
      <w:r w:rsidRPr="0067091D">
        <w:t xml:space="preserve">Percentage of </w:t>
      </w:r>
      <w:r w:rsidR="008B0394" w:rsidRPr="0067091D">
        <w:t xml:space="preserve">new </w:t>
      </w:r>
      <w:r w:rsidR="003B0CB3" w:rsidRPr="0067091D">
        <w:t xml:space="preserve">planned maintenance HD </w:t>
      </w:r>
      <w:r w:rsidRPr="0067091D">
        <w:t>patients that successfully used an arteriovenous vascular access at first HD treatment</w:t>
      </w:r>
      <w:bookmarkEnd w:id="21"/>
      <w:r w:rsidR="00DF163F" w:rsidRPr="0067091D">
        <w:t xml:space="preserve"> (</w:t>
      </w:r>
      <w:r w:rsidR="00A30897" w:rsidRPr="0067091D">
        <w:t>12</w:t>
      </w:r>
      <w:r w:rsidR="00DF163F" w:rsidRPr="0067091D">
        <w:t>-month rolling average)</w:t>
      </w:r>
    </w:p>
    <w:p w14:paraId="2D450251" w14:textId="19E1EA54" w:rsidR="00A30897" w:rsidRPr="0067091D" w:rsidRDefault="00DD4B23" w:rsidP="0067091D">
      <w:r w:rsidRPr="0067091D">
        <w:rPr>
          <w:noProof/>
        </w:rPr>
        <w:drawing>
          <wp:inline distT="0" distB="0" distL="0" distR="0" wp14:anchorId="3EF66257" wp14:editId="6F0E3B6D">
            <wp:extent cx="6480000" cy="2952000"/>
            <wp:effectExtent l="0" t="0" r="0" b="1270"/>
            <wp:docPr id="1" name="Chart 1">
              <a:extLst xmlns:a="http://schemas.openxmlformats.org/drawingml/2006/main">
                <a:ext uri="{FF2B5EF4-FFF2-40B4-BE49-F238E27FC236}">
                  <a16:creationId xmlns:a16="http://schemas.microsoft.com/office/drawing/2014/main" id="{2B28E56D-D5B8-496D-A79E-99EB38223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970C8E" w14:textId="5B58926E" w:rsidR="00DD4B23" w:rsidRPr="0067091D" w:rsidRDefault="00DD4B23" w:rsidP="0067091D">
      <w:pPr>
        <w:pStyle w:val="Footer"/>
      </w:pPr>
      <w:r w:rsidRPr="0067091D">
        <w:t>Note: Results based on 12</w:t>
      </w:r>
      <w:r w:rsidR="00CC0C13" w:rsidRPr="0067091D">
        <w:t>-</w:t>
      </w:r>
      <w:r w:rsidRPr="0067091D">
        <w:t>month rolling averages for the period Jan</w:t>
      </w:r>
      <w:r w:rsidR="00CC0C13" w:rsidRPr="0067091D">
        <w:t xml:space="preserve">uary </w:t>
      </w:r>
      <w:r w:rsidRPr="0067091D">
        <w:t>2021</w:t>
      </w:r>
      <w:r w:rsidR="00CC0C13" w:rsidRPr="0067091D">
        <w:t>–</w:t>
      </w:r>
      <w:r w:rsidRPr="0067091D">
        <w:t>Dec</w:t>
      </w:r>
      <w:r w:rsidR="00CC0C13" w:rsidRPr="0067091D">
        <w:t>ember</w:t>
      </w:r>
      <w:r w:rsidRPr="0067091D">
        <w:t xml:space="preserve"> 2021</w:t>
      </w:r>
      <w:r w:rsidR="00CC0C13" w:rsidRPr="0067091D">
        <w:t>.</w:t>
      </w:r>
    </w:p>
    <w:p w14:paraId="4BF1D2EB" w14:textId="350D9431" w:rsidR="00057302" w:rsidRPr="0067091D" w:rsidRDefault="00D22897" w:rsidP="0067091D">
      <w:r w:rsidRPr="0067091D">
        <w:lastRenderedPageBreak/>
        <w:t>The previous t</w:t>
      </w:r>
      <w:r w:rsidR="0096275C" w:rsidRPr="0067091D">
        <w:t>arget</w:t>
      </w:r>
      <w:r w:rsidRPr="0067091D">
        <w:t xml:space="preserve"> of 70</w:t>
      </w:r>
      <w:r w:rsidR="00956EE3" w:rsidRPr="0067091D">
        <w:t xml:space="preserve"> per</w:t>
      </w:r>
      <w:r w:rsidR="00874866" w:rsidRPr="0067091D">
        <w:t xml:space="preserve"> </w:t>
      </w:r>
      <w:r w:rsidR="00956EE3" w:rsidRPr="0067091D">
        <w:t>cent</w:t>
      </w:r>
      <w:r w:rsidR="0096275C" w:rsidRPr="0067091D">
        <w:t xml:space="preserve"> ha</w:t>
      </w:r>
      <w:r w:rsidR="00B449BA" w:rsidRPr="0067091D">
        <w:t>s</w:t>
      </w:r>
      <w:r w:rsidR="0096275C" w:rsidRPr="0067091D">
        <w:t xml:space="preserve"> been removed for this KPI, based on </w:t>
      </w:r>
      <w:r w:rsidR="00D3113D" w:rsidRPr="0067091D">
        <w:t>current</w:t>
      </w:r>
      <w:r w:rsidR="0096275C" w:rsidRPr="0067091D">
        <w:t xml:space="preserve"> international guidelines</w:t>
      </w:r>
      <w:r w:rsidR="00874866" w:rsidRPr="0067091D">
        <w:rPr>
          <w:rStyle w:val="FootnoteReference"/>
        </w:rPr>
        <w:footnoteReference w:id="1"/>
      </w:r>
      <w:r w:rsidR="0096275C" w:rsidRPr="0067091D">
        <w:t xml:space="preserve"> which recommend a more </w:t>
      </w:r>
      <w:r w:rsidR="00D3113D" w:rsidRPr="0067091D">
        <w:t>individualised</w:t>
      </w:r>
      <w:r w:rsidR="0096275C" w:rsidRPr="0067091D">
        <w:t xml:space="preserve"> approach to </w:t>
      </w:r>
      <w:r w:rsidR="00AC483E" w:rsidRPr="0067091D">
        <w:t>vascular access</w:t>
      </w:r>
      <w:r w:rsidR="0096275C" w:rsidRPr="0067091D">
        <w:t xml:space="preserve"> for renal patients requiring haemodialysis. This was supported by Victorian data collected by </w:t>
      </w:r>
      <w:r w:rsidR="00A97C1F" w:rsidRPr="0067091D">
        <w:t xml:space="preserve">SCV </w:t>
      </w:r>
      <w:r w:rsidR="0096275C" w:rsidRPr="0067091D">
        <w:t>through the Ce</w:t>
      </w:r>
      <w:r w:rsidR="00E1417F" w:rsidRPr="0067091D">
        <w:t>n</w:t>
      </w:r>
      <w:r w:rsidR="0096275C" w:rsidRPr="0067091D">
        <w:t>tral Venous Catheter Questionnaires</w:t>
      </w:r>
      <w:r w:rsidR="00E1417F" w:rsidRPr="0067091D">
        <w:t xml:space="preserve"> submitted by Victorian hub renal services from January 2020. </w:t>
      </w:r>
    </w:p>
    <w:p w14:paraId="7F933AD8" w14:textId="3F0B10BA" w:rsidR="003B0CB3" w:rsidRPr="0067091D" w:rsidRDefault="008309C7" w:rsidP="0067091D">
      <w:r w:rsidRPr="0067091D">
        <w:t>T</w:t>
      </w:r>
      <w:r w:rsidR="00DF163F" w:rsidRPr="0067091D">
        <w:t>he inclusion criteria changed fo</w:t>
      </w:r>
      <w:r w:rsidR="00874866" w:rsidRPr="0067091D">
        <w:t xml:space="preserve">r </w:t>
      </w:r>
      <w:r w:rsidR="00DF163F" w:rsidRPr="0067091D">
        <w:t>KPI</w:t>
      </w:r>
      <w:r w:rsidR="00874866" w:rsidRPr="0067091D">
        <w:t xml:space="preserve"> </w:t>
      </w:r>
      <w:r w:rsidR="00DF163F" w:rsidRPr="0067091D">
        <w:t>2</w:t>
      </w:r>
      <w:r w:rsidRPr="0067091D">
        <w:t xml:space="preserve"> from 1 January 2020, to include patients with a failed transplant or those transferring from PD</w:t>
      </w:r>
      <w:r w:rsidR="00F57DE1" w:rsidRPr="0067091D">
        <w:t xml:space="preserve"> to maintena</w:t>
      </w:r>
      <w:r w:rsidR="00E72FCE" w:rsidRPr="0067091D">
        <w:t>n</w:t>
      </w:r>
      <w:r w:rsidR="00F57DE1" w:rsidRPr="0067091D">
        <w:t>ce HD</w:t>
      </w:r>
      <w:r w:rsidRPr="0067091D">
        <w:t xml:space="preserve">. </w:t>
      </w:r>
    </w:p>
    <w:p w14:paraId="6D6D9AC8" w14:textId="2C92F38A" w:rsidR="005C411B" w:rsidRPr="0067091D" w:rsidRDefault="00DF163F" w:rsidP="0067091D">
      <w:pPr>
        <w:pStyle w:val="Tablechartdiagramheading"/>
      </w:pPr>
      <w:r w:rsidRPr="0067091D">
        <w:t xml:space="preserve">Percentage of </w:t>
      </w:r>
      <w:r w:rsidR="00FD0C96" w:rsidRPr="0067091D">
        <w:t xml:space="preserve">new </w:t>
      </w:r>
      <w:r w:rsidRPr="0067091D">
        <w:t>planned maintenance HD patients that successfully used an arteriovenous vascular access at first HD treatment</w:t>
      </w:r>
      <w:r w:rsidRPr="0067091D">
        <w:rPr>
          <w:rStyle w:val="CommentReference"/>
          <w:sz w:val="20"/>
          <w:szCs w:val="20"/>
        </w:rPr>
        <w:t xml:space="preserve"> </w:t>
      </w:r>
      <w:r w:rsidR="00A906C2" w:rsidRPr="0067091D">
        <w:rPr>
          <w:rStyle w:val="CommentReference"/>
          <w:sz w:val="20"/>
          <w:szCs w:val="20"/>
        </w:rPr>
        <w:t>for 201</w:t>
      </w:r>
      <w:r w:rsidR="00F83307" w:rsidRPr="0067091D">
        <w:rPr>
          <w:rStyle w:val="CommentReference"/>
          <w:sz w:val="20"/>
          <w:szCs w:val="20"/>
        </w:rPr>
        <w:t>9</w:t>
      </w:r>
      <w:r w:rsidR="00A906C2" w:rsidRPr="0067091D">
        <w:rPr>
          <w:rStyle w:val="CommentReference"/>
          <w:sz w:val="20"/>
          <w:szCs w:val="20"/>
        </w:rPr>
        <w:t xml:space="preserve"> to 202</w:t>
      </w:r>
      <w:r w:rsidR="00F83307" w:rsidRPr="0067091D">
        <w:rPr>
          <w:rStyle w:val="CommentReference"/>
          <w:sz w:val="20"/>
          <w:szCs w:val="20"/>
        </w:rPr>
        <w:t>1</w:t>
      </w:r>
      <w:r w:rsidR="00A906C2" w:rsidRPr="0067091D">
        <w:rPr>
          <w:rStyle w:val="CommentReference"/>
          <w:sz w:val="20"/>
          <w:szCs w:val="20"/>
        </w:rPr>
        <w:t xml:space="preserve"> </w:t>
      </w:r>
      <w:r w:rsidR="000A74B4" w:rsidRPr="0067091D">
        <w:t>(</w:t>
      </w:r>
      <w:r w:rsidR="00FD0C96" w:rsidRPr="0067091D">
        <w:t>12</w:t>
      </w:r>
      <w:r w:rsidR="000A74B4" w:rsidRPr="0067091D">
        <w:t>-month rolling average)</w:t>
      </w:r>
    </w:p>
    <w:p w14:paraId="76D491F7" w14:textId="561487BE" w:rsidR="00FD0C96" w:rsidRPr="0067091D" w:rsidRDefault="00D82355" w:rsidP="0067091D">
      <w:r w:rsidRPr="0067091D">
        <w:rPr>
          <w:noProof/>
        </w:rPr>
        <w:drawing>
          <wp:inline distT="0" distB="0" distL="0" distR="0" wp14:anchorId="65920114" wp14:editId="36093BD4">
            <wp:extent cx="6480000" cy="3600000"/>
            <wp:effectExtent l="0" t="0" r="0" b="635"/>
            <wp:docPr id="26" name="Chart 26">
              <a:extLst xmlns:a="http://schemas.openxmlformats.org/drawingml/2006/main">
                <a:ext uri="{FF2B5EF4-FFF2-40B4-BE49-F238E27FC236}">
                  <a16:creationId xmlns:a16="http://schemas.microsoft.com/office/drawing/2014/main" id="{3EBF6936-A1D3-4947-BDA4-5595E3123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ADB9D7" w14:textId="15E64D1F" w:rsidR="00874866" w:rsidRPr="0067091D" w:rsidRDefault="00D82355" w:rsidP="0067091D">
      <w:pPr>
        <w:pStyle w:val="Footer"/>
      </w:pPr>
      <w:r w:rsidRPr="0067091D">
        <w:t>Note: Results showing trend over time: based on 12-month rolling averages for the previous 3 years. 2021 (Jan</w:t>
      </w:r>
      <w:r w:rsidR="00CC0C13" w:rsidRPr="0067091D">
        <w:t>uary</w:t>
      </w:r>
      <w:r w:rsidRPr="0067091D">
        <w:t xml:space="preserve"> 21–Dec</w:t>
      </w:r>
      <w:r w:rsidR="00CC0C13" w:rsidRPr="0067091D">
        <w:t>ember</w:t>
      </w:r>
      <w:r w:rsidRPr="0067091D">
        <w:t xml:space="preserve"> 21), 2020 (Jan</w:t>
      </w:r>
      <w:r w:rsidR="00CC0C13" w:rsidRPr="0067091D">
        <w:t>uary</w:t>
      </w:r>
      <w:r w:rsidRPr="0067091D">
        <w:t xml:space="preserve"> 20–Dec</w:t>
      </w:r>
      <w:r w:rsidR="00CC0C13" w:rsidRPr="0067091D">
        <w:t>ember</w:t>
      </w:r>
      <w:r w:rsidRPr="0067091D">
        <w:t xml:space="preserve"> 20) and 2019 (Jan</w:t>
      </w:r>
      <w:r w:rsidR="00CC0C13" w:rsidRPr="0067091D">
        <w:t>uary</w:t>
      </w:r>
      <w:r w:rsidRPr="0067091D">
        <w:t xml:space="preserve"> 19–Dec</w:t>
      </w:r>
      <w:r w:rsidR="00CC0C13" w:rsidRPr="0067091D">
        <w:t>ember</w:t>
      </w:r>
      <w:r w:rsidRPr="0067091D">
        <w:t xml:space="preserve"> 19).</w:t>
      </w:r>
    </w:p>
    <w:p w14:paraId="215E28A8" w14:textId="177B9E70" w:rsidR="000837DD" w:rsidRPr="0067091D" w:rsidRDefault="000A74B4" w:rsidP="0067091D">
      <w:pPr>
        <w:rPr>
          <w:lang w:eastAsia="en-US"/>
        </w:rPr>
      </w:pPr>
      <w:r w:rsidRPr="0067091D">
        <w:t>The inclusion criteria changed for this KPI</w:t>
      </w:r>
      <w:r w:rsidR="00874866" w:rsidRPr="0067091D">
        <w:t xml:space="preserve"> </w:t>
      </w:r>
      <w:r w:rsidRPr="0067091D">
        <w:t xml:space="preserve">2 from 1 January 2020, to include patients with a failed transplant or those transferring from PD. </w:t>
      </w:r>
    </w:p>
    <w:p w14:paraId="29E7C3F7" w14:textId="77777777" w:rsidR="00956EE3" w:rsidRPr="0067091D" w:rsidRDefault="00956EE3" w:rsidP="0067091D">
      <w:pPr>
        <w:rPr>
          <w:rFonts w:eastAsiaTheme="majorEastAsia"/>
          <w:color w:val="007586" w:themeColor="text2"/>
          <w:sz w:val="24"/>
          <w:szCs w:val="26"/>
        </w:rPr>
      </w:pPr>
      <w:r w:rsidRPr="0067091D">
        <w:br w:type="page"/>
      </w:r>
    </w:p>
    <w:p w14:paraId="0116A1F1" w14:textId="6750D8B3" w:rsidR="0080471A" w:rsidRPr="0067091D" w:rsidRDefault="0080471A" w:rsidP="0067091D">
      <w:pPr>
        <w:pStyle w:val="Heading2"/>
      </w:pPr>
      <w:bookmarkStart w:id="22" w:name="_Toc84923297"/>
      <w:r w:rsidRPr="0067091D">
        <w:lastRenderedPageBreak/>
        <w:t>KPI 3</w:t>
      </w:r>
      <w:r w:rsidR="00874866" w:rsidRPr="0067091D">
        <w:t>:</w:t>
      </w:r>
      <w:r w:rsidRPr="0067091D">
        <w:t xml:space="preserve"> Proportion of dialysis patients who are dialysing at home</w:t>
      </w:r>
      <w:bookmarkEnd w:id="22"/>
      <w:r w:rsidRPr="0067091D">
        <w:t xml:space="preserve"> </w:t>
      </w:r>
    </w:p>
    <w:p w14:paraId="5C4F434F" w14:textId="1B723621" w:rsidR="0080471A" w:rsidRPr="0067091D" w:rsidRDefault="0080471A" w:rsidP="0067091D">
      <w:pPr>
        <w:pStyle w:val="Heading3"/>
      </w:pPr>
      <w:bookmarkStart w:id="23" w:name="_Toc526952082"/>
      <w:bookmarkStart w:id="24" w:name="_Toc59519929"/>
      <w:r w:rsidRPr="0067091D">
        <w:t>Definition</w:t>
      </w:r>
      <w:bookmarkEnd w:id="23"/>
      <w:bookmarkEnd w:id="24"/>
    </w:p>
    <w:p w14:paraId="1D97E079" w14:textId="77777777" w:rsidR="0080471A" w:rsidRPr="0067091D" w:rsidRDefault="0080471A" w:rsidP="0067091D">
      <w:pPr>
        <w:pStyle w:val="Normalfollowingheading"/>
      </w:pPr>
      <w:r w:rsidRPr="0067091D">
        <w:t>Prevalent patients – the overall percentage of patients who are dialysing at home.</w:t>
      </w:r>
    </w:p>
    <w:p w14:paraId="7223B84C" w14:textId="07A47F11" w:rsidR="0080471A" w:rsidRPr="0067091D" w:rsidRDefault="0080471A" w:rsidP="0067091D">
      <w:pPr>
        <w:pStyle w:val="Heading3"/>
      </w:pPr>
      <w:bookmarkStart w:id="25" w:name="_Toc526952084"/>
      <w:bookmarkStart w:id="26" w:name="_Toc59519930"/>
      <w:r w:rsidRPr="0067091D">
        <w:t>Exclusions</w:t>
      </w:r>
      <w:bookmarkEnd w:id="25"/>
      <w:bookmarkEnd w:id="26"/>
    </w:p>
    <w:p w14:paraId="5F6221A9" w14:textId="77777777" w:rsidR="00176E16" w:rsidRPr="0067091D" w:rsidRDefault="0080471A" w:rsidP="0067091D">
      <w:pPr>
        <w:pStyle w:val="Normalfollowingheading"/>
      </w:pPr>
      <w:r w:rsidRPr="0067091D">
        <w:t>Patients who are in home training units.</w:t>
      </w:r>
    </w:p>
    <w:p w14:paraId="3D1A5789" w14:textId="22E3E743" w:rsidR="002F46B2" w:rsidRPr="0067091D" w:rsidRDefault="0080471A" w:rsidP="0067091D">
      <w:pPr>
        <w:pStyle w:val="Heading3"/>
      </w:pPr>
      <w:bookmarkStart w:id="27" w:name="_Toc526952085"/>
      <w:bookmarkStart w:id="28" w:name="_Toc59519931"/>
      <w:r w:rsidRPr="0067091D">
        <w:t>Results</w:t>
      </w:r>
      <w:bookmarkEnd w:id="27"/>
      <w:bookmarkEnd w:id="28"/>
    </w:p>
    <w:p w14:paraId="4B15BD0E" w14:textId="7F792513" w:rsidR="00CC5215" w:rsidRPr="0067091D" w:rsidRDefault="00CC5215" w:rsidP="0067091D">
      <w:pPr>
        <w:pStyle w:val="Tablechartdiagramheading"/>
      </w:pPr>
      <w:r w:rsidRPr="0067091D">
        <w:t>Prevalence of home dialysis patients from J</w:t>
      </w:r>
      <w:r w:rsidR="00D72897" w:rsidRPr="0067091D">
        <w:t>uly</w:t>
      </w:r>
      <w:r w:rsidRPr="0067091D">
        <w:t xml:space="preserve"> to </w:t>
      </w:r>
      <w:r w:rsidR="00D72897" w:rsidRPr="0067091D">
        <w:t>Dec</w:t>
      </w:r>
      <w:r w:rsidRPr="0067091D">
        <w:t xml:space="preserve"> 202</w:t>
      </w:r>
      <w:r w:rsidR="009A46FD" w:rsidRPr="0067091D">
        <w:t>1</w:t>
      </w:r>
    </w:p>
    <w:p w14:paraId="57144C79" w14:textId="64423BCE" w:rsidR="00173145" w:rsidRPr="0067091D" w:rsidRDefault="00D72897" w:rsidP="0067091D">
      <w:r w:rsidRPr="0067091D">
        <w:rPr>
          <w:noProof/>
        </w:rPr>
        <w:drawing>
          <wp:inline distT="0" distB="0" distL="0" distR="0" wp14:anchorId="6EEC3268" wp14:editId="7DAD4720">
            <wp:extent cx="6479540" cy="3600000"/>
            <wp:effectExtent l="0" t="0" r="0" b="635"/>
            <wp:docPr id="8" name="Chart 8">
              <a:extLst xmlns:a="http://schemas.openxmlformats.org/drawingml/2006/main">
                <a:ext uri="{FF2B5EF4-FFF2-40B4-BE49-F238E27FC236}">
                  <a16:creationId xmlns:a16="http://schemas.microsoft.com/office/drawing/2014/main" id="{1897D167-042D-479E-A529-05BFE8C1A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29" w:name="_Toc437851858"/>
    </w:p>
    <w:p w14:paraId="4182A92A" w14:textId="747F2952" w:rsidR="00874866" w:rsidRPr="0067091D" w:rsidRDefault="00173145" w:rsidP="0067091D">
      <w:pPr>
        <w:pStyle w:val="Footer"/>
        <w:rPr>
          <w:rFonts w:eastAsiaTheme="majorEastAsia"/>
          <w:bCs/>
          <w:caps/>
          <w:color w:val="007586" w:themeColor="text2"/>
        </w:rPr>
      </w:pPr>
      <w:r w:rsidRPr="0067091D">
        <w:t xml:space="preserve">Note: number in brackets represents average monthly home dialysis patient numbers for the </w:t>
      </w:r>
      <w:r w:rsidR="00CC0C13" w:rsidRPr="0067091D">
        <w:t>six</w:t>
      </w:r>
      <w:r w:rsidRPr="0067091D">
        <w:t xml:space="preserve"> months from J</w:t>
      </w:r>
      <w:r w:rsidR="008038D2" w:rsidRPr="0067091D">
        <w:t>uly</w:t>
      </w:r>
      <w:r w:rsidRPr="0067091D">
        <w:t xml:space="preserve"> to </w:t>
      </w:r>
      <w:r w:rsidR="008038D2" w:rsidRPr="0067091D">
        <w:t>Dec</w:t>
      </w:r>
      <w:r w:rsidR="00CC0C13" w:rsidRPr="0067091D">
        <w:t>ember</w:t>
      </w:r>
      <w:r w:rsidRPr="0067091D">
        <w:t xml:space="preserve"> 202</w:t>
      </w:r>
      <w:r w:rsidR="009A46FD" w:rsidRPr="0067091D">
        <w:t>1</w:t>
      </w:r>
      <w:r w:rsidR="0069654A" w:rsidRPr="0067091D">
        <w:t>.</w:t>
      </w:r>
      <w:r w:rsidR="00874866" w:rsidRPr="0067091D">
        <w:br w:type="page"/>
      </w:r>
    </w:p>
    <w:p w14:paraId="34EC22A5" w14:textId="11F221FE" w:rsidR="0080471A" w:rsidRPr="0067091D" w:rsidRDefault="0080471A" w:rsidP="0067091D">
      <w:pPr>
        <w:pStyle w:val="Heading2"/>
      </w:pPr>
      <w:bookmarkStart w:id="30" w:name="_Toc84923298"/>
      <w:r w:rsidRPr="0067091D">
        <w:lastRenderedPageBreak/>
        <w:t>KPI 4:</w:t>
      </w:r>
      <w:r w:rsidR="00824753" w:rsidRPr="0067091D">
        <w:t xml:space="preserve"> </w:t>
      </w:r>
      <w:r w:rsidRPr="0067091D">
        <w:t>Peritonitis rates of each hub service</w:t>
      </w:r>
      <w:bookmarkEnd w:id="29"/>
      <w:bookmarkEnd w:id="30"/>
    </w:p>
    <w:p w14:paraId="61F9F4AC" w14:textId="01221856" w:rsidR="0080471A" w:rsidRPr="0067091D" w:rsidRDefault="0080471A" w:rsidP="0067091D">
      <w:pPr>
        <w:pStyle w:val="Heading3"/>
      </w:pPr>
      <w:bookmarkStart w:id="31" w:name="_Toc526952087"/>
      <w:bookmarkStart w:id="32" w:name="_Toc59519933"/>
      <w:r w:rsidRPr="0067091D">
        <w:t>Definition</w:t>
      </w:r>
      <w:bookmarkEnd w:id="31"/>
      <w:bookmarkEnd w:id="32"/>
    </w:p>
    <w:p w14:paraId="4D2C576E" w14:textId="77777777" w:rsidR="0080471A" w:rsidRPr="0067091D" w:rsidRDefault="0080471A" w:rsidP="0067091D">
      <w:pPr>
        <w:pStyle w:val="Normalfollowingheading"/>
        <w:rPr>
          <w:rFonts w:eastAsia="Times"/>
        </w:rPr>
      </w:pPr>
      <w:r w:rsidRPr="0067091D">
        <w:rPr>
          <w:rFonts w:eastAsia="Times"/>
        </w:rPr>
        <w:t>The average number of months between peritonitis episodes.</w:t>
      </w:r>
    </w:p>
    <w:p w14:paraId="3922F4D9" w14:textId="7BE4A8E6" w:rsidR="0080471A" w:rsidRPr="0067091D" w:rsidRDefault="0080471A" w:rsidP="0067091D">
      <w:pPr>
        <w:pStyle w:val="Heading3"/>
      </w:pPr>
      <w:bookmarkStart w:id="33" w:name="_Toc526952088"/>
      <w:bookmarkStart w:id="34" w:name="_Toc59519934"/>
      <w:r w:rsidRPr="0067091D">
        <w:t>Target</w:t>
      </w:r>
      <w:bookmarkEnd w:id="33"/>
      <w:bookmarkEnd w:id="34"/>
    </w:p>
    <w:p w14:paraId="0D17F32A" w14:textId="7A309160" w:rsidR="0080471A" w:rsidRPr="0067091D" w:rsidRDefault="005756B2" w:rsidP="0067091D">
      <w:pPr>
        <w:pStyle w:val="Normalfollowingheading"/>
        <w:rPr>
          <w:rFonts w:eastAsia="Times"/>
        </w:rPr>
      </w:pPr>
      <w:r w:rsidRPr="0067091D">
        <w:rPr>
          <w:rFonts w:eastAsia="Times"/>
        </w:rPr>
        <w:t>Less than</w:t>
      </w:r>
      <w:r w:rsidR="0080471A" w:rsidRPr="0067091D">
        <w:rPr>
          <w:rFonts w:eastAsia="Times"/>
        </w:rPr>
        <w:t xml:space="preserve"> 0.33 peritonitis episodes for every patient year.</w:t>
      </w:r>
    </w:p>
    <w:p w14:paraId="6AD84CED" w14:textId="2C0DE24A" w:rsidR="0080471A" w:rsidRPr="0067091D" w:rsidRDefault="0080471A" w:rsidP="0067091D">
      <w:pPr>
        <w:pStyle w:val="Heading3"/>
      </w:pPr>
      <w:bookmarkStart w:id="35" w:name="_Toc526952089"/>
      <w:bookmarkStart w:id="36" w:name="_Toc59519935"/>
      <w:r w:rsidRPr="0067091D">
        <w:t>Exclusions</w:t>
      </w:r>
      <w:bookmarkEnd w:id="35"/>
      <w:bookmarkEnd w:id="36"/>
    </w:p>
    <w:p w14:paraId="070C028F" w14:textId="77777777" w:rsidR="0080471A" w:rsidRPr="0067091D" w:rsidRDefault="0080471A" w:rsidP="0067091D">
      <w:pPr>
        <w:pStyle w:val="Normalfollowingheading"/>
      </w:pPr>
      <w:r w:rsidRPr="0067091D">
        <w:t>Patients who have a catheter in situ but are still pre-dialysis.</w:t>
      </w:r>
    </w:p>
    <w:p w14:paraId="1C3113D8" w14:textId="3B5DB806" w:rsidR="00F23D12" w:rsidRPr="0067091D" w:rsidRDefault="0080471A" w:rsidP="0067091D">
      <w:pPr>
        <w:pStyle w:val="Heading3"/>
      </w:pPr>
      <w:bookmarkStart w:id="37" w:name="_Toc526952090"/>
      <w:bookmarkStart w:id="38" w:name="_Toc59519936"/>
      <w:r w:rsidRPr="0067091D">
        <w:t>Results</w:t>
      </w:r>
      <w:bookmarkEnd w:id="37"/>
      <w:bookmarkEnd w:id="38"/>
    </w:p>
    <w:p w14:paraId="381DB5CB" w14:textId="454BD3BC" w:rsidR="00B70E16" w:rsidRPr="0067091D" w:rsidRDefault="008668DB" w:rsidP="0067091D">
      <w:pPr>
        <w:pStyle w:val="Tablechartdiagramheading"/>
      </w:pPr>
      <w:r w:rsidRPr="0067091D">
        <w:t>Peritonitis rates of each renal hub service</w:t>
      </w:r>
    </w:p>
    <w:p w14:paraId="6ECD570D" w14:textId="17AFC278" w:rsidR="00B70E16" w:rsidRPr="0067091D" w:rsidRDefault="00315966" w:rsidP="0067091D">
      <w:r w:rsidRPr="0067091D">
        <w:rPr>
          <w:noProof/>
        </w:rPr>
        <mc:AlternateContent>
          <mc:Choice Requires="wps">
            <w:drawing>
              <wp:anchor distT="0" distB="0" distL="114300" distR="114300" simplePos="0" relativeHeight="251666432" behindDoc="0" locked="0" layoutInCell="1" allowOverlap="1" wp14:anchorId="3B017030" wp14:editId="06375228">
                <wp:simplePos x="0" y="0"/>
                <wp:positionH relativeFrom="column">
                  <wp:posOffset>4609465</wp:posOffset>
                </wp:positionH>
                <wp:positionV relativeFrom="paragraph">
                  <wp:posOffset>3370580</wp:posOffset>
                </wp:positionV>
                <wp:extent cx="203200" cy="146050"/>
                <wp:effectExtent l="0" t="0" r="6350" b="6350"/>
                <wp:wrapNone/>
                <wp:docPr id="11" name="Rectangle 11"/>
                <wp:cNvGraphicFramePr/>
                <a:graphic xmlns:a="http://schemas.openxmlformats.org/drawingml/2006/main">
                  <a:graphicData uri="http://schemas.microsoft.com/office/word/2010/wordprocessingShape">
                    <wps:wsp>
                      <wps:cNvSpPr/>
                      <wps:spPr>
                        <a:xfrm>
                          <a:off x="0" y="0"/>
                          <a:ext cx="203200" cy="1460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76891" id="Rectangle 11" o:spid="_x0000_s1026" style="position:absolute;margin-left:362.95pt;margin-top:265.4pt;width:16pt;height: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" fillcolor="#bfdde1 [3206]" stroked="f" strokeweight="2pt"/>
            </w:pict>
          </mc:Fallback>
        </mc:AlternateContent>
      </w:r>
      <w:r w:rsidRPr="0067091D">
        <w:rPr>
          <w:noProof/>
        </w:rPr>
        <mc:AlternateContent>
          <mc:Choice Requires="wps">
            <w:drawing>
              <wp:anchor distT="0" distB="0" distL="114300" distR="114300" simplePos="0" relativeHeight="251664384" behindDoc="0" locked="0" layoutInCell="1" allowOverlap="1" wp14:anchorId="0F7BAF49" wp14:editId="22F0AD5B">
                <wp:simplePos x="0" y="0"/>
                <wp:positionH relativeFrom="column">
                  <wp:posOffset>2964815</wp:posOffset>
                </wp:positionH>
                <wp:positionV relativeFrom="paragraph">
                  <wp:posOffset>3370580</wp:posOffset>
                </wp:positionV>
                <wp:extent cx="203200" cy="146050"/>
                <wp:effectExtent l="0" t="0" r="6350" b="6350"/>
                <wp:wrapNone/>
                <wp:docPr id="10" name="Rectangle 10"/>
                <wp:cNvGraphicFramePr/>
                <a:graphic xmlns:a="http://schemas.openxmlformats.org/drawingml/2006/main">
                  <a:graphicData uri="http://schemas.microsoft.com/office/word/2010/wordprocessingShape">
                    <wps:wsp>
                      <wps:cNvSpPr/>
                      <wps:spPr>
                        <a:xfrm>
                          <a:off x="0" y="0"/>
                          <a:ext cx="203200" cy="146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C179F" id="Rectangle 10" o:spid="_x0000_s1026" style="position:absolute;margin-left:233.45pt;margin-top:265.4pt;width:16pt;height: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" fillcolor="#4098a4 [3204]" stroked="f" strokeweight="2pt"/>
            </w:pict>
          </mc:Fallback>
        </mc:AlternateContent>
      </w:r>
      <w:r w:rsidRPr="0067091D">
        <w:rPr>
          <w:noProof/>
        </w:rPr>
        <mc:AlternateContent>
          <mc:Choice Requires="wps">
            <w:drawing>
              <wp:anchor distT="0" distB="0" distL="114300" distR="114300" simplePos="0" relativeHeight="251662336" behindDoc="0" locked="0" layoutInCell="1" allowOverlap="1" wp14:anchorId="1D617A7E" wp14:editId="0850E869">
                <wp:simplePos x="0" y="0"/>
                <wp:positionH relativeFrom="column">
                  <wp:posOffset>1282065</wp:posOffset>
                </wp:positionH>
                <wp:positionV relativeFrom="paragraph">
                  <wp:posOffset>3370580</wp:posOffset>
                </wp:positionV>
                <wp:extent cx="203200" cy="146050"/>
                <wp:effectExtent l="0" t="0" r="6350" b="6350"/>
                <wp:wrapNone/>
                <wp:docPr id="6" name="Rectangle 6"/>
                <wp:cNvGraphicFramePr/>
                <a:graphic xmlns:a="http://schemas.openxmlformats.org/drawingml/2006/main">
                  <a:graphicData uri="http://schemas.microsoft.com/office/word/2010/wordprocessingShape">
                    <wps:wsp>
                      <wps:cNvSpPr/>
                      <wps:spPr>
                        <a:xfrm>
                          <a:off x="0" y="0"/>
                          <a:ext cx="203200" cy="146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ED0D1" id="Rectangle 6" o:spid="_x0000_s1026" style="position:absolute;margin-left:100.95pt;margin-top:265.4pt;width:16pt;height: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" fillcolor="#007586 [3215]" stroked="f" strokeweight="2pt"/>
            </w:pict>
          </mc:Fallback>
        </mc:AlternateContent>
      </w:r>
      <w:r w:rsidR="009F32B2" w:rsidRPr="0067091D">
        <w:rPr>
          <w:noProof/>
        </w:rPr>
        <w:drawing>
          <wp:inline distT="0" distB="0" distL="0" distR="0" wp14:anchorId="175C5F50" wp14:editId="78B89F6B">
            <wp:extent cx="6480000" cy="3600000"/>
            <wp:effectExtent l="0" t="0" r="0" b="635"/>
            <wp:docPr id="20" name="Chart 2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517889" w14:textId="213580EC" w:rsidR="0080471A" w:rsidRPr="0067091D" w:rsidRDefault="000B0001" w:rsidP="0067091D">
      <w:pPr>
        <w:pStyle w:val="Footer"/>
      </w:pPr>
      <w:r w:rsidRPr="0067091D">
        <w:t>Note: Results based on data average for the period Jan 2021 - Dec 2021.</w:t>
      </w:r>
    </w:p>
    <w:p w14:paraId="44ED9A07" w14:textId="4BABC04D" w:rsidR="00874866" w:rsidRPr="0067091D" w:rsidRDefault="0080471A" w:rsidP="0067091D">
      <w:r w:rsidRPr="0067091D">
        <w:t xml:space="preserve">Improved hub performance in this KPI is reflected in a smaller bar in the above graph. If better than the benchmark value of 0.33 peritonitis episodes per patient year the bar is reported as </w:t>
      </w:r>
      <w:r w:rsidR="00874866" w:rsidRPr="0067091D">
        <w:t>‘</w:t>
      </w:r>
      <w:r w:rsidRPr="0067091D">
        <w:t>better than target</w:t>
      </w:r>
      <w:r w:rsidR="00874866" w:rsidRPr="0067091D">
        <w:t>’</w:t>
      </w:r>
      <w:r w:rsidR="00C166BC" w:rsidRPr="0067091D">
        <w:t>.</w:t>
      </w:r>
      <w:r w:rsidRPr="0067091D">
        <w:t xml:space="preserve"> </w:t>
      </w:r>
    </w:p>
    <w:p w14:paraId="7F8FD440" w14:textId="56A65B7A" w:rsidR="00315966" w:rsidRPr="0067091D" w:rsidRDefault="00315966" w:rsidP="0067091D">
      <w:r w:rsidRPr="0067091D">
        <w:br w:type="page"/>
      </w:r>
    </w:p>
    <w:p w14:paraId="669871A2" w14:textId="69D4E822" w:rsidR="001F7D5A" w:rsidRPr="0067091D" w:rsidRDefault="00673740" w:rsidP="0067091D">
      <w:pPr>
        <w:pStyle w:val="Tablechartdiagramheading"/>
      </w:pPr>
      <w:r w:rsidRPr="0067091D">
        <w:lastRenderedPageBreak/>
        <w:t>Peritonitis rates for 201</w:t>
      </w:r>
      <w:r w:rsidR="00567AF8" w:rsidRPr="0067091D">
        <w:t>9</w:t>
      </w:r>
      <w:r w:rsidRPr="0067091D">
        <w:t xml:space="preserve"> to 202</w:t>
      </w:r>
      <w:r w:rsidR="00567AF8" w:rsidRPr="0067091D">
        <w:t>1</w:t>
      </w:r>
    </w:p>
    <w:p w14:paraId="27DA47C1" w14:textId="26275975" w:rsidR="00A85039" w:rsidRPr="0067091D" w:rsidRDefault="00A85039" w:rsidP="0067091D">
      <w:r w:rsidRPr="0067091D">
        <w:rPr>
          <w:noProof/>
        </w:rPr>
        <w:drawing>
          <wp:inline distT="0" distB="0" distL="0" distR="0" wp14:anchorId="4E9F98FF" wp14:editId="49519B81">
            <wp:extent cx="6480000" cy="3600000"/>
            <wp:effectExtent l="0" t="0" r="0" b="635"/>
            <wp:docPr id="21" name="Chart 2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2AEEEC" w14:textId="2E215FAB" w:rsidR="0080471A" w:rsidRPr="0067091D" w:rsidRDefault="0080471A" w:rsidP="0067091D">
      <w:pPr>
        <w:pStyle w:val="Footer"/>
      </w:pPr>
      <w:r w:rsidRPr="0067091D">
        <w:t xml:space="preserve">Note: Results showing trend over time: based on 12-month averages for the previous </w:t>
      </w:r>
      <w:r w:rsidR="00AC5B64" w:rsidRPr="0067091D">
        <w:t>three</w:t>
      </w:r>
      <w:r w:rsidRPr="0067091D">
        <w:t xml:space="preserve"> years. </w:t>
      </w:r>
      <w:r w:rsidR="00A85039" w:rsidRPr="0067091D">
        <w:t>2021 (Jan</w:t>
      </w:r>
      <w:r w:rsidR="00AC5B64" w:rsidRPr="0067091D">
        <w:t>uary</w:t>
      </w:r>
      <w:r w:rsidR="00A85039" w:rsidRPr="0067091D">
        <w:t xml:space="preserve"> 21–Dec</w:t>
      </w:r>
      <w:r w:rsidR="00AC5B64" w:rsidRPr="0067091D">
        <w:t>ember</w:t>
      </w:r>
      <w:r w:rsidR="00A85039" w:rsidRPr="0067091D">
        <w:t xml:space="preserve"> 21), 2020 (Jan</w:t>
      </w:r>
      <w:r w:rsidR="00AC5B64" w:rsidRPr="0067091D">
        <w:t>uary</w:t>
      </w:r>
      <w:r w:rsidR="00A85039" w:rsidRPr="0067091D">
        <w:t xml:space="preserve"> 20–Dec</w:t>
      </w:r>
      <w:r w:rsidR="00AC5B64" w:rsidRPr="0067091D">
        <w:t>ember</w:t>
      </w:r>
      <w:r w:rsidR="00A85039" w:rsidRPr="0067091D">
        <w:t xml:space="preserve"> 20) and 2019 (Jan</w:t>
      </w:r>
      <w:r w:rsidR="00AC5B64" w:rsidRPr="0067091D">
        <w:t>uary</w:t>
      </w:r>
      <w:r w:rsidR="00A85039" w:rsidRPr="0067091D">
        <w:t xml:space="preserve"> 19–Dec</w:t>
      </w:r>
      <w:r w:rsidR="00AC5B64" w:rsidRPr="0067091D">
        <w:t>ember</w:t>
      </w:r>
      <w:r w:rsidR="00A85039" w:rsidRPr="0067091D">
        <w:t xml:space="preserve"> 19).</w:t>
      </w:r>
    </w:p>
    <w:p w14:paraId="33F928BE" w14:textId="3241F79B" w:rsidR="000837DD" w:rsidRPr="0067091D" w:rsidRDefault="005756B2" w:rsidP="0067091D">
      <w:r w:rsidRPr="0067091D">
        <w:t>The International Society of Peritoneal Dialysis (ISPD) 2016 guidelines</w:t>
      </w:r>
      <w:r w:rsidR="00874866" w:rsidRPr="0067091D">
        <w:rPr>
          <w:rStyle w:val="FootnoteReference"/>
        </w:rPr>
        <w:footnoteReference w:id="2"/>
      </w:r>
      <w:r w:rsidRPr="0067091D">
        <w:t xml:space="preserve"> recommend the peritonitis rate should be reported as number of episodes per patient-year. The ISPD have also recommend</w:t>
      </w:r>
      <w:r w:rsidR="00874866" w:rsidRPr="0067091D">
        <w:t>s</w:t>
      </w:r>
      <w:r w:rsidRPr="0067091D">
        <w:t xml:space="preserve"> 0.5 episodes per </w:t>
      </w:r>
      <w:r w:rsidR="00AF576F" w:rsidRPr="0067091D">
        <w:t xml:space="preserve">patient per </w:t>
      </w:r>
      <w:r w:rsidRPr="0067091D">
        <w:t>year at risk as the minimum guideline for peritonitis incidence. However, as part of a continuous quality improvement program the VRCN recommended the target be lowered to 0.33 episodes per year at risk. Note lower results reported for this KPI represent better performance.</w:t>
      </w:r>
      <w:bookmarkStart w:id="39" w:name="_Toc437851859"/>
    </w:p>
    <w:p w14:paraId="7F80AF31" w14:textId="77777777" w:rsidR="0067091D" w:rsidRDefault="0067091D">
      <w:pPr>
        <w:rPr>
          <w:rFonts w:eastAsiaTheme="majorEastAsia"/>
          <w:b/>
          <w:caps/>
          <w:color w:val="007586" w:themeColor="text2"/>
          <w:sz w:val="24"/>
          <w:szCs w:val="26"/>
        </w:rPr>
      </w:pPr>
      <w:bookmarkStart w:id="40" w:name="_Toc84923299"/>
      <w:r>
        <w:br w:type="page"/>
      </w:r>
    </w:p>
    <w:p w14:paraId="7DDEE0ED" w14:textId="2509AEB9" w:rsidR="00874866" w:rsidRPr="0067091D" w:rsidRDefault="0080471A" w:rsidP="0067091D">
      <w:pPr>
        <w:pStyle w:val="Heading2"/>
      </w:pPr>
      <w:r w:rsidRPr="0067091D">
        <w:lastRenderedPageBreak/>
        <w:t xml:space="preserve">KPI 5: </w:t>
      </w:r>
      <w:r w:rsidR="00CE3403" w:rsidRPr="0067091D">
        <w:t>A</w:t>
      </w:r>
      <w:r w:rsidR="00874866" w:rsidRPr="0067091D">
        <w:t xml:space="preserve">ccess to kidney transplantation: Status at 6 and 12 months after starting renal replacement therapy (RRT) for patients </w:t>
      </w:r>
      <w:r w:rsidR="00CE3403" w:rsidRPr="0067091D">
        <w:t>≤70</w:t>
      </w:r>
      <w:r w:rsidR="00874866" w:rsidRPr="0067091D">
        <w:t xml:space="preserve"> years of a</w:t>
      </w:r>
      <w:r w:rsidR="00363775" w:rsidRPr="0067091D">
        <w:t>g</w:t>
      </w:r>
      <w:r w:rsidR="00874866" w:rsidRPr="0067091D">
        <w:t>e at RRT start</w:t>
      </w:r>
      <w:bookmarkEnd w:id="40"/>
    </w:p>
    <w:p w14:paraId="67DB31AE" w14:textId="105A5E8B" w:rsidR="0080471A" w:rsidRPr="0067091D" w:rsidRDefault="0080471A" w:rsidP="0067091D">
      <w:pPr>
        <w:pStyle w:val="Heading3"/>
      </w:pPr>
      <w:bookmarkStart w:id="41" w:name="_Toc526952092"/>
      <w:bookmarkStart w:id="42" w:name="_Toc59519938"/>
      <w:bookmarkEnd w:id="39"/>
      <w:r w:rsidRPr="0067091D">
        <w:t>Definition</w:t>
      </w:r>
      <w:bookmarkEnd w:id="41"/>
      <w:bookmarkEnd w:id="42"/>
    </w:p>
    <w:p w14:paraId="048900D8" w14:textId="1D17DBC9" w:rsidR="00CE3403" w:rsidRPr="0067091D" w:rsidRDefault="00CE3403" w:rsidP="00CE3403">
      <w:pPr>
        <w:pStyle w:val="Bullet1"/>
        <w:rPr>
          <w:rFonts w:asciiTheme="minorHAnsi" w:hAnsiTheme="minorHAnsi" w:cstheme="minorHAnsi"/>
        </w:rPr>
      </w:pPr>
      <w:r w:rsidRPr="0067091D">
        <w:rPr>
          <w:rFonts w:asciiTheme="minorHAnsi" w:eastAsia="Times" w:hAnsiTheme="minorHAnsi" w:cstheme="minorHAnsi"/>
        </w:rPr>
        <w:t>The percentage of patients falling into each of these groups:</w:t>
      </w:r>
    </w:p>
    <w:p w14:paraId="16F20908" w14:textId="63D05EC0" w:rsidR="00CE3403" w:rsidRPr="0067091D" w:rsidRDefault="00CE3403" w:rsidP="0067091D">
      <w:pPr>
        <w:rPr>
          <w:rFonts w:eastAsia="Times"/>
        </w:rPr>
      </w:pPr>
      <w:r w:rsidRPr="0067091D">
        <w:rPr>
          <w:rFonts w:eastAsia="Times"/>
        </w:rPr>
        <w:t>1.</w:t>
      </w:r>
      <w:r w:rsidR="005F2C51" w:rsidRPr="0067091D">
        <w:rPr>
          <w:rFonts w:eastAsia="Times"/>
        </w:rPr>
        <w:t xml:space="preserve"> </w:t>
      </w:r>
      <w:r w:rsidRPr="0067091D">
        <w:rPr>
          <w:rFonts w:eastAsia="Times"/>
        </w:rPr>
        <w:t>Received a living donor kidney transplant (includes pre-emptive)</w:t>
      </w:r>
      <w:r w:rsidR="0094441E" w:rsidRPr="0067091D">
        <w:rPr>
          <w:rFonts w:eastAsia="Times"/>
        </w:rPr>
        <w:t>.</w:t>
      </w:r>
    </w:p>
    <w:p w14:paraId="5E5131F9" w14:textId="4BCFD40D" w:rsidR="00CE3403" w:rsidRPr="0067091D" w:rsidRDefault="00CE3403" w:rsidP="0067091D">
      <w:pPr>
        <w:rPr>
          <w:rFonts w:eastAsia="Times"/>
        </w:rPr>
      </w:pPr>
      <w:r w:rsidRPr="0067091D">
        <w:rPr>
          <w:rFonts w:eastAsia="Times"/>
        </w:rPr>
        <w:t>2.</w:t>
      </w:r>
      <w:r w:rsidR="005F2C51" w:rsidRPr="0067091D">
        <w:rPr>
          <w:rFonts w:eastAsia="Times"/>
        </w:rPr>
        <w:t xml:space="preserve"> </w:t>
      </w:r>
      <w:r w:rsidRPr="0067091D">
        <w:rPr>
          <w:rFonts w:eastAsia="Times"/>
        </w:rPr>
        <w:t>Received a deceased donor kidney transplant</w:t>
      </w:r>
      <w:r w:rsidR="0094441E" w:rsidRPr="0067091D">
        <w:rPr>
          <w:rFonts w:eastAsia="Times"/>
        </w:rPr>
        <w:t>.</w:t>
      </w:r>
    </w:p>
    <w:p w14:paraId="6BF714E4" w14:textId="7F06CA90" w:rsidR="00CE3403" w:rsidRPr="0067091D" w:rsidRDefault="00CE3403" w:rsidP="0067091D">
      <w:pPr>
        <w:rPr>
          <w:rFonts w:eastAsia="Times"/>
        </w:rPr>
      </w:pPr>
      <w:r w:rsidRPr="0067091D">
        <w:rPr>
          <w:rFonts w:eastAsia="Times"/>
        </w:rPr>
        <w:t>3.</w:t>
      </w:r>
      <w:r w:rsidR="005F2C51" w:rsidRPr="0067091D">
        <w:rPr>
          <w:rFonts w:eastAsia="Times"/>
        </w:rPr>
        <w:t xml:space="preserve"> </w:t>
      </w:r>
      <w:r w:rsidRPr="0067091D">
        <w:rPr>
          <w:rFonts w:eastAsia="Times"/>
        </w:rPr>
        <w:t>Been made active (at any time) on a kidney transplant list (deceased donor or live donor)</w:t>
      </w:r>
      <w:r w:rsidR="0094441E" w:rsidRPr="0067091D">
        <w:rPr>
          <w:rFonts w:eastAsia="Times"/>
        </w:rPr>
        <w:t>.</w:t>
      </w:r>
    </w:p>
    <w:p w14:paraId="00E95D34" w14:textId="42960055" w:rsidR="00CE3403" w:rsidRPr="0067091D" w:rsidRDefault="00CE3403" w:rsidP="0067091D">
      <w:pPr>
        <w:rPr>
          <w:rFonts w:eastAsia="Times"/>
        </w:rPr>
      </w:pPr>
      <w:r w:rsidRPr="0067091D">
        <w:rPr>
          <w:rFonts w:eastAsia="Times"/>
        </w:rPr>
        <w:t>4.</w:t>
      </w:r>
      <w:r w:rsidR="005F2C51" w:rsidRPr="0067091D">
        <w:rPr>
          <w:rFonts w:eastAsia="Times"/>
        </w:rPr>
        <w:t xml:space="preserve"> </w:t>
      </w:r>
      <w:r w:rsidRPr="0067091D">
        <w:rPr>
          <w:rFonts w:eastAsia="Times"/>
        </w:rPr>
        <w:t>Unsuitable for kidney transplant (temporary or permanent barrier</w:t>
      </w:r>
      <w:proofErr w:type="gramStart"/>
      <w:r w:rsidRPr="0067091D">
        <w:rPr>
          <w:rFonts w:eastAsia="Times"/>
        </w:rPr>
        <w:t>)</w:t>
      </w:r>
      <w:r w:rsidR="0094441E" w:rsidRPr="0067091D">
        <w:rPr>
          <w:rFonts w:eastAsia="Times"/>
        </w:rPr>
        <w:t>.</w:t>
      </w:r>
      <w:r w:rsidRPr="0067091D">
        <w:rPr>
          <w:rFonts w:eastAsia="Times"/>
        </w:rPr>
        <w:t>*</w:t>
      </w:r>
      <w:proofErr w:type="gramEnd"/>
    </w:p>
    <w:p w14:paraId="13A93670" w14:textId="0F9786D6" w:rsidR="00CE3403" w:rsidRPr="0067091D" w:rsidRDefault="00CE3403" w:rsidP="0067091D">
      <w:pPr>
        <w:rPr>
          <w:rFonts w:eastAsia="Times"/>
        </w:rPr>
      </w:pPr>
      <w:r w:rsidRPr="0067091D">
        <w:rPr>
          <w:rFonts w:eastAsia="Times"/>
        </w:rPr>
        <w:t>5.</w:t>
      </w:r>
      <w:r w:rsidR="005F2C51" w:rsidRPr="0067091D">
        <w:rPr>
          <w:rFonts w:eastAsia="Times"/>
        </w:rPr>
        <w:t xml:space="preserve"> </w:t>
      </w:r>
      <w:r w:rsidRPr="0067091D">
        <w:rPr>
          <w:rFonts w:eastAsia="Times"/>
        </w:rPr>
        <w:t xml:space="preserve">Transplant suitability assessment </w:t>
      </w:r>
      <w:proofErr w:type="gramStart"/>
      <w:r w:rsidRPr="0067091D">
        <w:rPr>
          <w:rFonts w:eastAsia="Times"/>
        </w:rPr>
        <w:t>incomplete</w:t>
      </w:r>
      <w:r w:rsidR="0094441E" w:rsidRPr="0067091D">
        <w:rPr>
          <w:rFonts w:eastAsia="Times"/>
        </w:rPr>
        <w:t>.</w:t>
      </w:r>
      <w:r w:rsidRPr="0067091D">
        <w:rPr>
          <w:rFonts w:eastAsia="Times"/>
        </w:rPr>
        <w:t>*</w:t>
      </w:r>
      <w:proofErr w:type="gramEnd"/>
    </w:p>
    <w:p w14:paraId="7A668BE3" w14:textId="2DA31E0D" w:rsidR="00CE3403" w:rsidRPr="0067091D" w:rsidRDefault="00CE3403" w:rsidP="0067091D">
      <w:pPr>
        <w:rPr>
          <w:rFonts w:eastAsia="Times"/>
        </w:rPr>
      </w:pPr>
      <w:r w:rsidRPr="0067091D">
        <w:rPr>
          <w:rFonts w:eastAsia="Times"/>
        </w:rPr>
        <w:t>* If patient has been made active (at any time) on a kidney transplant list (deceased donor or live donor) place in group 3.</w:t>
      </w:r>
    </w:p>
    <w:p w14:paraId="622E37CD" w14:textId="1F36EB37" w:rsidR="00E85D4E" w:rsidRPr="0067091D" w:rsidRDefault="00CE3403" w:rsidP="0080471A">
      <w:pPr>
        <w:pStyle w:val="Bullet1"/>
        <w:rPr>
          <w:rFonts w:asciiTheme="minorHAnsi" w:hAnsiTheme="minorHAnsi" w:cstheme="minorHAnsi"/>
        </w:rPr>
      </w:pPr>
      <w:r w:rsidRPr="0067091D">
        <w:rPr>
          <w:rFonts w:asciiTheme="minorHAnsi" w:eastAsia="Times" w:hAnsiTheme="minorHAnsi" w:cstheme="minorHAnsi"/>
        </w:rPr>
        <w:t>Start of RRT is defined as the date of commencement of maintenance dialysis or receiving a pre-emptive kidney transplant.</w:t>
      </w:r>
      <w:r w:rsidR="00E85D4E" w:rsidRPr="0067091D">
        <w:rPr>
          <w:rFonts w:asciiTheme="minorHAnsi" w:eastAsia="Times" w:hAnsiTheme="minorHAnsi" w:cstheme="minorHAnsi"/>
        </w:rPr>
        <w:t xml:space="preserve"> </w:t>
      </w:r>
      <w:bookmarkStart w:id="43" w:name="_Toc526952094"/>
    </w:p>
    <w:p w14:paraId="3E3E7395" w14:textId="59851973" w:rsidR="00CE3403" w:rsidRPr="0067091D" w:rsidRDefault="00CE3403" w:rsidP="0067091D">
      <w:pPr>
        <w:pStyle w:val="Heading3"/>
      </w:pPr>
      <w:bookmarkStart w:id="44" w:name="_Toc59519939"/>
      <w:r w:rsidRPr="0067091D">
        <w:t>Inclusions</w:t>
      </w:r>
      <w:bookmarkEnd w:id="44"/>
    </w:p>
    <w:p w14:paraId="1FE761E1" w14:textId="24CD7F00" w:rsidR="00CE3403" w:rsidRPr="0067091D" w:rsidRDefault="00CE3403" w:rsidP="00CE3403">
      <w:pPr>
        <w:pStyle w:val="Bullet1"/>
        <w:rPr>
          <w:rFonts w:asciiTheme="minorHAnsi" w:hAnsiTheme="minorHAnsi" w:cstheme="minorHAnsi"/>
        </w:rPr>
      </w:pPr>
      <w:r w:rsidRPr="0067091D">
        <w:rPr>
          <w:rFonts w:asciiTheme="minorHAnsi" w:hAnsiTheme="minorHAnsi" w:cstheme="minorHAnsi"/>
        </w:rPr>
        <w:t>Patients ≤70 years of age at the time of commencing chronic dialysis or receiving a pre-emptive transplant</w:t>
      </w:r>
      <w:r w:rsidR="0094441E" w:rsidRPr="0067091D">
        <w:rPr>
          <w:rFonts w:asciiTheme="minorHAnsi" w:hAnsiTheme="minorHAnsi" w:cstheme="minorHAnsi"/>
        </w:rPr>
        <w:t>.</w:t>
      </w:r>
    </w:p>
    <w:p w14:paraId="0AA2BDCC" w14:textId="7A8DF62B" w:rsidR="00CE3403" w:rsidRPr="0067091D" w:rsidRDefault="00CE3403" w:rsidP="00CE3403">
      <w:pPr>
        <w:pStyle w:val="Bullet1"/>
        <w:rPr>
          <w:rFonts w:asciiTheme="minorHAnsi" w:hAnsiTheme="minorHAnsi" w:cstheme="minorHAnsi"/>
        </w:rPr>
      </w:pPr>
      <w:bookmarkStart w:id="45" w:name="_Hlk48046607"/>
      <w:r w:rsidRPr="0067091D">
        <w:rPr>
          <w:rFonts w:asciiTheme="minorHAnsi" w:hAnsiTheme="minorHAnsi" w:cstheme="minorHAnsi"/>
        </w:rPr>
        <w:t>Late presenters</w:t>
      </w:r>
      <w:r w:rsidR="0094441E" w:rsidRPr="0067091D">
        <w:rPr>
          <w:rFonts w:asciiTheme="minorHAnsi" w:hAnsiTheme="minorHAnsi" w:cstheme="minorHAnsi"/>
        </w:rPr>
        <w:t>.</w:t>
      </w:r>
    </w:p>
    <w:bookmarkEnd w:id="45"/>
    <w:p w14:paraId="5C74BEEF" w14:textId="3329C14A" w:rsidR="00CE3403" w:rsidRPr="0067091D" w:rsidRDefault="00CE3403" w:rsidP="00CE3403">
      <w:pPr>
        <w:pStyle w:val="Bullet1"/>
        <w:rPr>
          <w:rFonts w:asciiTheme="minorHAnsi" w:hAnsiTheme="minorHAnsi" w:cstheme="minorHAnsi"/>
        </w:rPr>
      </w:pPr>
      <w:r w:rsidRPr="0067091D">
        <w:rPr>
          <w:rFonts w:asciiTheme="minorHAnsi" w:hAnsiTheme="minorHAnsi" w:cstheme="minorHAnsi"/>
        </w:rPr>
        <w:t xml:space="preserve">Patients who die </w:t>
      </w:r>
      <w:r w:rsidR="009C47EA" w:rsidRPr="0067091D">
        <w:rPr>
          <w:rFonts w:asciiTheme="minorHAnsi" w:hAnsiTheme="minorHAnsi" w:cstheme="minorHAnsi"/>
        </w:rPr>
        <w:t>within</w:t>
      </w:r>
      <w:r w:rsidRPr="0067091D">
        <w:rPr>
          <w:rFonts w:asciiTheme="minorHAnsi" w:hAnsiTheme="minorHAnsi" w:cstheme="minorHAnsi"/>
        </w:rPr>
        <w:t xml:space="preserve"> 6 and 12 months of commencing RRT are included</w:t>
      </w:r>
      <w:r w:rsidR="0094441E" w:rsidRPr="0067091D">
        <w:rPr>
          <w:rFonts w:asciiTheme="minorHAnsi" w:hAnsiTheme="minorHAnsi" w:cstheme="minorHAnsi"/>
        </w:rPr>
        <w:t>.</w:t>
      </w:r>
    </w:p>
    <w:p w14:paraId="169DB012" w14:textId="64BB9BBA" w:rsidR="0080471A" w:rsidRPr="0067091D" w:rsidRDefault="0080471A" w:rsidP="0067091D">
      <w:pPr>
        <w:pStyle w:val="Heading3"/>
      </w:pPr>
      <w:bookmarkStart w:id="46" w:name="_Toc59519940"/>
      <w:r w:rsidRPr="0067091D">
        <w:t>Exclusions</w:t>
      </w:r>
      <w:bookmarkEnd w:id="43"/>
      <w:bookmarkEnd w:id="46"/>
    </w:p>
    <w:p w14:paraId="3E1D4A7E" w14:textId="44805C11" w:rsidR="00CE3403" w:rsidRPr="0067091D" w:rsidRDefault="00CE3403" w:rsidP="00CE3403">
      <w:pPr>
        <w:pStyle w:val="Bullet1"/>
        <w:rPr>
          <w:rFonts w:asciiTheme="minorHAnsi" w:hAnsiTheme="minorHAnsi" w:cstheme="minorHAnsi"/>
        </w:rPr>
      </w:pPr>
      <w:r w:rsidRPr="0067091D">
        <w:rPr>
          <w:rFonts w:asciiTheme="minorHAnsi" w:hAnsiTheme="minorHAnsi" w:cstheme="minorHAnsi"/>
        </w:rPr>
        <w:t xml:space="preserve"> Multi-organ transplants (e.g. liver/kidney</w:t>
      </w:r>
      <w:r w:rsidR="0094441E" w:rsidRPr="0067091D">
        <w:rPr>
          <w:rFonts w:asciiTheme="minorHAnsi" w:hAnsiTheme="minorHAnsi" w:cstheme="minorHAnsi"/>
        </w:rPr>
        <w:t xml:space="preserve">, </w:t>
      </w:r>
      <w:r w:rsidRPr="0067091D">
        <w:rPr>
          <w:rFonts w:asciiTheme="minorHAnsi" w:hAnsiTheme="minorHAnsi" w:cstheme="minorHAnsi"/>
        </w:rPr>
        <w:t>kidney/pancreas)</w:t>
      </w:r>
      <w:r w:rsidR="0094441E" w:rsidRPr="0067091D">
        <w:rPr>
          <w:rFonts w:asciiTheme="minorHAnsi" w:hAnsiTheme="minorHAnsi" w:cstheme="minorHAnsi"/>
        </w:rPr>
        <w:t>.</w:t>
      </w:r>
    </w:p>
    <w:p w14:paraId="4C1A277A" w14:textId="0B58BF83" w:rsidR="00915433" w:rsidRPr="0067091D" w:rsidRDefault="00CE3403" w:rsidP="0080471A">
      <w:pPr>
        <w:pStyle w:val="Bullet1"/>
        <w:rPr>
          <w:rFonts w:asciiTheme="minorHAnsi" w:hAnsiTheme="minorHAnsi" w:cstheme="minorHAnsi"/>
        </w:rPr>
      </w:pPr>
      <w:r w:rsidRPr="0067091D">
        <w:rPr>
          <w:rFonts w:asciiTheme="minorHAnsi" w:hAnsiTheme="minorHAnsi" w:cstheme="minorHAnsi"/>
        </w:rPr>
        <w:t>Previous kidney transplant</w:t>
      </w:r>
      <w:r w:rsidR="0094441E" w:rsidRPr="0067091D">
        <w:rPr>
          <w:rFonts w:asciiTheme="minorHAnsi" w:hAnsiTheme="minorHAnsi" w:cstheme="minorHAnsi"/>
        </w:rPr>
        <w:t>.</w:t>
      </w:r>
    </w:p>
    <w:p w14:paraId="46F1A08F" w14:textId="0DA71399" w:rsidR="00837D2A" w:rsidRPr="0067091D" w:rsidRDefault="00CE3403" w:rsidP="0080471A">
      <w:pPr>
        <w:pStyle w:val="Bullet1"/>
        <w:rPr>
          <w:rFonts w:asciiTheme="minorHAnsi" w:hAnsiTheme="minorHAnsi" w:cstheme="minorHAnsi"/>
        </w:rPr>
      </w:pPr>
      <w:r w:rsidRPr="0067091D">
        <w:rPr>
          <w:rFonts w:asciiTheme="minorHAnsi" w:hAnsiTheme="minorHAnsi" w:cstheme="minorHAnsi"/>
        </w:rPr>
        <w:t>Age &gt;70 years</w:t>
      </w:r>
      <w:bookmarkStart w:id="47" w:name="_Toc526952095"/>
      <w:r w:rsidR="0094441E" w:rsidRPr="0067091D">
        <w:rPr>
          <w:rFonts w:asciiTheme="minorHAnsi" w:hAnsiTheme="minorHAnsi" w:cstheme="minorHAnsi"/>
        </w:rPr>
        <w:t>.</w:t>
      </w:r>
    </w:p>
    <w:p w14:paraId="64EA6B83" w14:textId="5DA793D2" w:rsidR="0094441E" w:rsidRPr="0067091D" w:rsidRDefault="0094441E" w:rsidP="0067091D">
      <w:r w:rsidRPr="0067091D">
        <w:br w:type="page"/>
      </w:r>
    </w:p>
    <w:p w14:paraId="5E6AC379" w14:textId="76070799" w:rsidR="004171D6" w:rsidRPr="0067091D" w:rsidRDefault="0080471A" w:rsidP="0067091D">
      <w:pPr>
        <w:pStyle w:val="Heading3"/>
      </w:pPr>
      <w:bookmarkStart w:id="48" w:name="_Toc59519941"/>
      <w:r w:rsidRPr="0067091D">
        <w:lastRenderedPageBreak/>
        <w:t>Results</w:t>
      </w:r>
      <w:bookmarkEnd w:id="47"/>
      <w:bookmarkEnd w:id="48"/>
    </w:p>
    <w:p w14:paraId="14FF1FD6" w14:textId="6D3D68D8" w:rsidR="007420E0" w:rsidRPr="0067091D" w:rsidRDefault="004171D6" w:rsidP="0067091D">
      <w:pPr>
        <w:pStyle w:val="Tablechartdiagramheading"/>
      </w:pPr>
      <w:r w:rsidRPr="0067091D">
        <w:t>Percentage of patients who started RRT 6 or 12 months ago, who have had a transplant (live or deceased donor)</w:t>
      </w:r>
    </w:p>
    <w:p w14:paraId="0F357D83" w14:textId="1C950526" w:rsidR="00E45A58" w:rsidRPr="0067091D" w:rsidRDefault="00E45A58" w:rsidP="0067091D">
      <w:r w:rsidRPr="0067091D">
        <w:rPr>
          <w:noProof/>
        </w:rPr>
        <w:drawing>
          <wp:inline distT="0" distB="0" distL="0" distR="0" wp14:anchorId="1BF34053" wp14:editId="5AFCD0DE">
            <wp:extent cx="6480000" cy="3024000"/>
            <wp:effectExtent l="0" t="0" r="0" b="5080"/>
            <wp:docPr id="9" name="Chart 9">
              <a:extLst xmlns:a="http://schemas.openxmlformats.org/drawingml/2006/main">
                <a:ext uri="{FF2B5EF4-FFF2-40B4-BE49-F238E27FC236}">
                  <a16:creationId xmlns:a16="http://schemas.microsoft.com/office/drawing/2014/main" id="{8D29F705-E9BE-43FC-B394-BE23479F7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CDB8B1" w14:textId="4BCA9298" w:rsidR="007420E0" w:rsidRPr="0067091D" w:rsidRDefault="007420E0" w:rsidP="0067091D">
      <w:pPr>
        <w:pStyle w:val="Footer"/>
      </w:pPr>
      <w:r w:rsidRPr="0067091D">
        <w:t xml:space="preserve">Note: left column is at </w:t>
      </w:r>
      <w:r w:rsidR="004A45D2" w:rsidRPr="0067091D">
        <w:t>six</w:t>
      </w:r>
      <w:r w:rsidRPr="0067091D">
        <w:t xml:space="preserve"> months; right column is at 12 months; actual transplant numbers in brackets.</w:t>
      </w:r>
    </w:p>
    <w:p w14:paraId="1B552CB9" w14:textId="4AB5F5AB" w:rsidR="008F3020" w:rsidRPr="0067091D" w:rsidRDefault="008F3020" w:rsidP="0067091D">
      <w:pPr>
        <w:pStyle w:val="Tablechartdiagramheading"/>
      </w:pPr>
      <w:bookmarkStart w:id="49" w:name="_Toc437851860"/>
      <w:r w:rsidRPr="0067091D">
        <w:t>Percentage of patients who started RRT 6 or 12 months ago who have had a kidney transplant or been active on a transplant list</w:t>
      </w:r>
      <w:r w:rsidR="00A7093F" w:rsidRPr="0067091D">
        <w:t xml:space="preserve"> </w:t>
      </w:r>
    </w:p>
    <w:p w14:paraId="419E79D6" w14:textId="1522255B" w:rsidR="00EE6B6D" w:rsidRPr="0067091D" w:rsidRDefault="00EE6B6D" w:rsidP="0067091D">
      <w:r w:rsidRPr="0067091D">
        <w:rPr>
          <w:noProof/>
        </w:rPr>
        <w:drawing>
          <wp:inline distT="0" distB="0" distL="0" distR="0" wp14:anchorId="59FFD5C5" wp14:editId="51694108">
            <wp:extent cx="6479540" cy="3024000"/>
            <wp:effectExtent l="0" t="0" r="0" b="5080"/>
            <wp:docPr id="7" name="Chart 7">
              <a:extLst xmlns:a="http://schemas.openxmlformats.org/drawingml/2006/main">
                <a:ext uri="{FF2B5EF4-FFF2-40B4-BE49-F238E27FC236}">
                  <a16:creationId xmlns:a16="http://schemas.microsoft.com/office/drawing/2014/main" id="{17F49B63-095C-434C-ABDC-1582FFFDC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B23612" w14:textId="3687BA46" w:rsidR="005C7B78" w:rsidRPr="0067091D" w:rsidRDefault="008F3020" w:rsidP="0067091D">
      <w:pPr>
        <w:pStyle w:val="Footer"/>
        <w:rPr>
          <w:rFonts w:eastAsiaTheme="majorEastAsia"/>
        </w:rPr>
      </w:pPr>
      <w:r w:rsidRPr="0067091D">
        <w:rPr>
          <w:rFonts w:eastAsiaTheme="majorEastAsia"/>
        </w:rPr>
        <w:t xml:space="preserve">Note: left column is at </w:t>
      </w:r>
      <w:r w:rsidR="005C02C2" w:rsidRPr="0067091D">
        <w:rPr>
          <w:rFonts w:eastAsiaTheme="majorEastAsia"/>
        </w:rPr>
        <w:t xml:space="preserve">six </w:t>
      </w:r>
      <w:r w:rsidRPr="0067091D">
        <w:rPr>
          <w:rFonts w:eastAsiaTheme="majorEastAsia"/>
        </w:rPr>
        <w:t>months; right column is at 12 months;</w:t>
      </w:r>
      <w:r w:rsidRPr="0067091D">
        <w:t xml:space="preserve"> </w:t>
      </w:r>
      <w:r w:rsidRPr="0067091D">
        <w:rPr>
          <w:rFonts w:eastAsiaTheme="majorEastAsia"/>
        </w:rPr>
        <w:t>actual transplant or waitlisted numbers in brackets.</w:t>
      </w:r>
    </w:p>
    <w:p w14:paraId="04C3A334" w14:textId="437BF370" w:rsidR="00C8300A" w:rsidRPr="0067091D" w:rsidRDefault="00A7093F" w:rsidP="0067091D">
      <w:pPr>
        <w:pStyle w:val="Tablechartdiagramheading"/>
      </w:pPr>
      <w:r w:rsidRPr="0067091D">
        <w:lastRenderedPageBreak/>
        <w:t xml:space="preserve">Percentage of patients who started RRT 6 and 12 months ago, who are not suitable for a </w:t>
      </w:r>
      <w:proofErr w:type="gramStart"/>
      <w:r w:rsidRPr="0067091D">
        <w:t>transplant</w:t>
      </w:r>
      <w:proofErr w:type="gramEnd"/>
      <w:r w:rsidRPr="0067091D">
        <w:t xml:space="preserve"> or a suitability assessment is incomplete</w:t>
      </w:r>
    </w:p>
    <w:p w14:paraId="4EACA48B" w14:textId="39CFAE25" w:rsidR="002A2F89" w:rsidRPr="0067091D" w:rsidRDefault="00DD0C2C" w:rsidP="0067091D">
      <w:r w:rsidRPr="0067091D">
        <w:rPr>
          <w:noProof/>
        </w:rPr>
        <w:drawing>
          <wp:inline distT="0" distB="0" distL="0" distR="0" wp14:anchorId="576F313C" wp14:editId="4889F2E3">
            <wp:extent cx="6480000" cy="3024000"/>
            <wp:effectExtent l="0" t="0" r="0" b="5080"/>
            <wp:docPr id="12" name="Chart 12">
              <a:extLst xmlns:a="http://schemas.openxmlformats.org/drawingml/2006/main">
                <a:ext uri="{FF2B5EF4-FFF2-40B4-BE49-F238E27FC236}">
                  <a16:creationId xmlns:a16="http://schemas.microsoft.com/office/drawing/2014/main" id="{7A4E01EB-8A22-4A21-BBAB-FE45594F9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15CBF4" w14:textId="6DACF5D8" w:rsidR="00B97514" w:rsidRPr="0067091D" w:rsidRDefault="00A7093F" w:rsidP="008C5BE5">
      <w:pPr>
        <w:pStyle w:val="Footer"/>
        <w:rPr>
          <w:rFonts w:eastAsiaTheme="majorEastAsia"/>
        </w:rPr>
      </w:pPr>
      <w:r w:rsidRPr="0067091D">
        <w:rPr>
          <w:rFonts w:eastAsiaTheme="majorEastAsia"/>
        </w:rPr>
        <w:t xml:space="preserve">Note: left column is at </w:t>
      </w:r>
      <w:r w:rsidR="009006DA" w:rsidRPr="0067091D">
        <w:rPr>
          <w:rFonts w:eastAsiaTheme="majorEastAsia"/>
        </w:rPr>
        <w:t>six</w:t>
      </w:r>
      <w:r w:rsidRPr="0067091D">
        <w:rPr>
          <w:rFonts w:eastAsiaTheme="majorEastAsia"/>
        </w:rPr>
        <w:t xml:space="preserve"> months; right column is at 12 months;</w:t>
      </w:r>
      <w:r w:rsidRPr="0067091D">
        <w:t xml:space="preserve"> </w:t>
      </w:r>
      <w:r w:rsidRPr="0067091D">
        <w:rPr>
          <w:rFonts w:eastAsiaTheme="majorEastAsia"/>
        </w:rPr>
        <w:t>actual not suitable for transplant or assessment incomplete numbers in brackets.</w:t>
      </w:r>
    </w:p>
    <w:p w14:paraId="7D19D4CE" w14:textId="4E1B8627" w:rsidR="00F6660D" w:rsidRPr="0067091D" w:rsidRDefault="00283596" w:rsidP="0067091D">
      <w:pPr>
        <w:pStyle w:val="Tablechartdiagramheading"/>
      </w:pPr>
      <w:r w:rsidRPr="0067091D">
        <w:t>Percentage of patients who started RRT 6 and 12 months ago, who are not suitable for a transplant.</w:t>
      </w:r>
      <w:r w:rsidR="00334A38" w:rsidRPr="0067091D">
        <w:t xml:space="preserve"> </w:t>
      </w:r>
    </w:p>
    <w:p w14:paraId="10F66914" w14:textId="0CE7EFDB" w:rsidR="00E301CA" w:rsidRPr="0067091D" w:rsidRDefault="00E301CA" w:rsidP="0067091D">
      <w:r w:rsidRPr="0067091D">
        <w:rPr>
          <w:noProof/>
        </w:rPr>
        <w:drawing>
          <wp:inline distT="0" distB="0" distL="0" distR="0" wp14:anchorId="38E9563D" wp14:editId="2BB8866E">
            <wp:extent cx="6480000" cy="3024000"/>
            <wp:effectExtent l="0" t="0" r="0" b="5080"/>
            <wp:docPr id="14" name="Chart 14">
              <a:extLst xmlns:a="http://schemas.openxmlformats.org/drawingml/2006/main">
                <a:ext uri="{FF2B5EF4-FFF2-40B4-BE49-F238E27FC236}">
                  <a16:creationId xmlns:a16="http://schemas.microsoft.com/office/drawing/2014/main" id="{92837787-8A18-4163-A117-F29B1004D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2A9E90" w14:textId="1A7301C7" w:rsidR="00F6660D" w:rsidRPr="0067091D" w:rsidRDefault="00F6660D" w:rsidP="008C5BE5">
      <w:pPr>
        <w:pStyle w:val="Footer"/>
        <w:rPr>
          <w:rFonts w:eastAsiaTheme="majorEastAsia"/>
        </w:rPr>
      </w:pPr>
      <w:r w:rsidRPr="0067091D">
        <w:rPr>
          <w:rFonts w:eastAsiaTheme="majorEastAsia"/>
        </w:rPr>
        <w:t xml:space="preserve">Note: left column is at </w:t>
      </w:r>
      <w:r w:rsidR="009006DA" w:rsidRPr="0067091D">
        <w:rPr>
          <w:rFonts w:eastAsiaTheme="majorEastAsia"/>
        </w:rPr>
        <w:t>six</w:t>
      </w:r>
      <w:r w:rsidRPr="0067091D">
        <w:rPr>
          <w:rFonts w:eastAsiaTheme="majorEastAsia"/>
        </w:rPr>
        <w:t xml:space="preserve"> months; right column is at 12 months; reported not suitable for transplant numbers in brackets.</w:t>
      </w:r>
    </w:p>
    <w:p w14:paraId="7BC74BF6" w14:textId="77777777" w:rsidR="008C5BE5" w:rsidRDefault="008C5BE5">
      <w:pPr>
        <w:rPr>
          <w:b/>
          <w:bCs/>
          <w:color w:val="007586" w:themeColor="text2"/>
          <w:spacing w:val="2"/>
          <w:szCs w:val="18"/>
        </w:rPr>
      </w:pPr>
      <w:r>
        <w:br w:type="page"/>
      </w:r>
    </w:p>
    <w:p w14:paraId="379CC185" w14:textId="4D09607C" w:rsidR="00A31969" w:rsidRPr="0067091D" w:rsidRDefault="00334A38" w:rsidP="0067091D">
      <w:pPr>
        <w:pStyle w:val="Tablechartdiagramheading"/>
      </w:pPr>
      <w:r w:rsidRPr="0067091D">
        <w:lastRenderedPageBreak/>
        <w:t xml:space="preserve">Percentage of patients who started RRT 6 and 12 months ago, and a </w:t>
      </w:r>
      <w:r w:rsidR="004D321D" w:rsidRPr="0067091D">
        <w:t xml:space="preserve">transplant </w:t>
      </w:r>
      <w:r w:rsidRPr="0067091D">
        <w:t>suitability assessment is incomplete</w:t>
      </w:r>
    </w:p>
    <w:p w14:paraId="1B2BF34F" w14:textId="7378D82B" w:rsidR="008419AE" w:rsidRPr="0067091D" w:rsidRDefault="008419AE" w:rsidP="0067091D">
      <w:r w:rsidRPr="0067091D">
        <w:rPr>
          <w:noProof/>
        </w:rPr>
        <w:drawing>
          <wp:inline distT="0" distB="0" distL="0" distR="0" wp14:anchorId="7E09E21A" wp14:editId="305F66F1">
            <wp:extent cx="6480000" cy="3600000"/>
            <wp:effectExtent l="0" t="0" r="0" b="635"/>
            <wp:docPr id="17" name="Chart 17">
              <a:extLst xmlns:a="http://schemas.openxmlformats.org/drawingml/2006/main">
                <a:ext uri="{FF2B5EF4-FFF2-40B4-BE49-F238E27FC236}">
                  <a16:creationId xmlns:a16="http://schemas.microsoft.com/office/drawing/2014/main" id="{AFD8CCE3-D70D-4E86-8458-3DDE95542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D9E020" w14:textId="62482485" w:rsidR="0094441E" w:rsidRPr="0067091D" w:rsidRDefault="00252987" w:rsidP="008C5BE5">
      <w:pPr>
        <w:pStyle w:val="Footer"/>
        <w:rPr>
          <w:rFonts w:eastAsiaTheme="majorEastAsia"/>
        </w:rPr>
      </w:pPr>
      <w:bookmarkStart w:id="50" w:name="_Hlk47534924"/>
      <w:bookmarkEnd w:id="49"/>
      <w:r w:rsidRPr="0067091D">
        <w:rPr>
          <w:rFonts w:eastAsiaTheme="majorEastAsia"/>
        </w:rPr>
        <w:t xml:space="preserve">Note: left column is at </w:t>
      </w:r>
      <w:r w:rsidR="002768A6" w:rsidRPr="0067091D">
        <w:rPr>
          <w:rFonts w:eastAsiaTheme="majorEastAsia"/>
        </w:rPr>
        <w:t>six</w:t>
      </w:r>
      <w:r w:rsidRPr="0067091D">
        <w:rPr>
          <w:rFonts w:eastAsiaTheme="majorEastAsia"/>
        </w:rPr>
        <w:t xml:space="preserve"> months; right column is at 12 months; actual assessment not complete numbers in brackets.</w:t>
      </w:r>
      <w:r w:rsidR="0094441E" w:rsidRPr="0067091D">
        <w:rPr>
          <w:b/>
          <w:bCs/>
          <w:color w:val="007586" w:themeColor="text2"/>
          <w:sz w:val="24"/>
          <w:szCs w:val="24"/>
        </w:rPr>
        <w:br w:type="page"/>
      </w:r>
    </w:p>
    <w:p w14:paraId="7E963078" w14:textId="2AA46F5C" w:rsidR="0094441E" w:rsidRPr="0067091D" w:rsidRDefault="000C1A9B" w:rsidP="0067091D">
      <w:pPr>
        <w:pStyle w:val="Heading2"/>
      </w:pPr>
      <w:bookmarkStart w:id="51" w:name="_Toc84923300"/>
      <w:r w:rsidRPr="0067091D">
        <w:lastRenderedPageBreak/>
        <w:t>A</w:t>
      </w:r>
      <w:r w:rsidR="0094441E" w:rsidRPr="0067091D">
        <w:t>ustralia and New Zealand Dialysis and T</w:t>
      </w:r>
      <w:r w:rsidR="005A6BA8" w:rsidRPr="0067091D">
        <w:t>R</w:t>
      </w:r>
      <w:r w:rsidR="0094441E" w:rsidRPr="0067091D">
        <w:t>ansplant (ANZDATA) Clinical quality registry measures – Mortality rates and graft failure rates</w:t>
      </w:r>
      <w:bookmarkEnd w:id="51"/>
    </w:p>
    <w:p w14:paraId="1D4EBC66" w14:textId="6473518A" w:rsidR="00F309F8" w:rsidRPr="0067091D" w:rsidRDefault="00F309F8" w:rsidP="0067091D">
      <w:pPr>
        <w:pStyle w:val="Heading3"/>
        <w:rPr>
          <w:lang w:val="en-US"/>
        </w:rPr>
      </w:pPr>
      <w:bookmarkStart w:id="52" w:name="_Toc27127522"/>
      <w:bookmarkEnd w:id="50"/>
      <w:r w:rsidRPr="0067091D">
        <w:rPr>
          <w:lang w:val="en-US"/>
        </w:rPr>
        <w:t>D</w:t>
      </w:r>
      <w:r w:rsidR="00C32572" w:rsidRPr="0067091D">
        <w:rPr>
          <w:lang w:val="en-US"/>
        </w:rPr>
        <w:t>ialysis</w:t>
      </w:r>
      <w:bookmarkEnd w:id="52"/>
    </w:p>
    <w:p w14:paraId="09D4E8A5" w14:textId="308AB4D3" w:rsidR="0094441E" w:rsidRPr="0067091D" w:rsidRDefault="0094441E" w:rsidP="0067091D">
      <w:pPr>
        <w:pStyle w:val="Tablechartdiagramheading"/>
        <w:rPr>
          <w:lang w:val="en-US"/>
        </w:rPr>
      </w:pPr>
      <w:proofErr w:type="spellStart"/>
      <w:r w:rsidRPr="0067091D">
        <w:rPr>
          <w:lang w:val="en-US"/>
        </w:rPr>
        <w:t>Standardised</w:t>
      </w:r>
      <w:proofErr w:type="spellEnd"/>
      <w:r w:rsidRPr="0067091D">
        <w:rPr>
          <w:lang w:val="en-US"/>
        </w:rPr>
        <w:t xml:space="preserve"> </w:t>
      </w:r>
      <w:r w:rsidR="00C32572" w:rsidRPr="0067091D">
        <w:rPr>
          <w:lang w:val="en-US"/>
        </w:rPr>
        <w:t>m</w:t>
      </w:r>
      <w:r w:rsidRPr="0067091D">
        <w:rPr>
          <w:lang w:val="en-US"/>
        </w:rPr>
        <w:t xml:space="preserve">ortality </w:t>
      </w:r>
      <w:r w:rsidR="00C32572" w:rsidRPr="0067091D">
        <w:rPr>
          <w:lang w:val="en-US"/>
        </w:rPr>
        <w:t>r</w:t>
      </w:r>
      <w:r w:rsidRPr="0067091D">
        <w:rPr>
          <w:lang w:val="en-US"/>
        </w:rPr>
        <w:t xml:space="preserve">atios (SMR) for dialysis patient in Victorian health </w:t>
      </w:r>
      <w:r w:rsidR="00C32572" w:rsidRPr="0067091D">
        <w:rPr>
          <w:lang w:val="en-US"/>
        </w:rPr>
        <w:t>s</w:t>
      </w:r>
      <w:r w:rsidRPr="0067091D">
        <w:rPr>
          <w:lang w:val="en-US"/>
        </w:rPr>
        <w:t>ervices (201</w:t>
      </w:r>
      <w:r w:rsidR="0009362D" w:rsidRPr="0067091D">
        <w:rPr>
          <w:lang w:val="en-US"/>
        </w:rPr>
        <w:t>5</w:t>
      </w:r>
      <w:r w:rsidR="002768A6" w:rsidRPr="0067091D">
        <w:rPr>
          <w:lang w:val="en-US"/>
        </w:rPr>
        <w:t>–</w:t>
      </w:r>
      <w:proofErr w:type="gramStart"/>
      <w:r w:rsidRPr="0067091D">
        <w:rPr>
          <w:lang w:val="en-US"/>
        </w:rPr>
        <w:t>20</w:t>
      </w:r>
      <w:r w:rsidR="0009362D" w:rsidRPr="0067091D">
        <w:rPr>
          <w:lang w:val="en-US"/>
        </w:rPr>
        <w:t>20</w:t>
      </w:r>
      <w:r w:rsidRPr="0067091D">
        <w:rPr>
          <w:lang w:val="en-US"/>
        </w:rPr>
        <w:t>)</w:t>
      </w:r>
      <w:r w:rsidRPr="0067091D">
        <w:rPr>
          <w:vertAlign w:val="superscript"/>
          <w:lang w:val="en-US"/>
        </w:rPr>
        <w:t>#</w:t>
      </w:r>
      <w:proofErr w:type="gramEnd"/>
    </w:p>
    <w:tbl>
      <w:tblPr>
        <w:tblStyle w:val="TableGrid2"/>
        <w:tblW w:w="10093" w:type="dxa"/>
        <w:tblLook w:val="04A0" w:firstRow="1" w:lastRow="0" w:firstColumn="1" w:lastColumn="0" w:noHBand="0" w:noVBand="1"/>
      </w:tblPr>
      <w:tblGrid>
        <w:gridCol w:w="2018"/>
        <w:gridCol w:w="2019"/>
        <w:gridCol w:w="2018"/>
        <w:gridCol w:w="2019"/>
        <w:gridCol w:w="2019"/>
      </w:tblGrid>
      <w:tr w:rsidR="00F309F8" w:rsidRPr="0067091D" w14:paraId="2A1CF556" w14:textId="77777777" w:rsidTr="00C3257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396002F" w14:textId="5128D425" w:rsidR="00F309F8" w:rsidRPr="0067091D" w:rsidRDefault="00F309F8" w:rsidP="0067091D">
            <w:pPr>
              <w:rPr>
                <w:lang w:val="en-US" w:eastAsia="en-AU"/>
              </w:rPr>
            </w:pPr>
            <w:r w:rsidRPr="0067091D">
              <w:rPr>
                <w:lang w:val="en-US" w:eastAsia="en-AU"/>
              </w:rPr>
              <w:t xml:space="preserve">Health </w:t>
            </w:r>
            <w:r w:rsidR="0094441E" w:rsidRPr="0067091D">
              <w:rPr>
                <w:lang w:val="en-US" w:eastAsia="en-AU"/>
              </w:rPr>
              <w:t>s</w:t>
            </w:r>
            <w:r w:rsidRPr="0067091D">
              <w:rPr>
                <w:lang w:val="en-US" w:eastAsia="en-AU"/>
              </w:rPr>
              <w:t>ervice</w:t>
            </w:r>
          </w:p>
        </w:tc>
        <w:tc>
          <w:tcPr>
            <w:tcW w:w="2019" w:type="dxa"/>
          </w:tcPr>
          <w:p w14:paraId="5C9211CB" w14:textId="3872FD01"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eastAsia="en-AU"/>
              </w:rPr>
            </w:pPr>
            <w:r w:rsidRPr="0067091D">
              <w:rPr>
                <w:lang w:val="en-US" w:eastAsia="en-AU"/>
              </w:rPr>
              <w:t xml:space="preserve">No </w:t>
            </w:r>
            <w:r w:rsidR="0094441E" w:rsidRPr="0067091D">
              <w:rPr>
                <w:lang w:val="en-US" w:eastAsia="en-AU"/>
              </w:rPr>
              <w:t>p</w:t>
            </w:r>
            <w:r w:rsidRPr="0067091D">
              <w:rPr>
                <w:lang w:val="en-US" w:eastAsia="en-AU"/>
              </w:rPr>
              <w:t>atients*</w:t>
            </w:r>
          </w:p>
        </w:tc>
        <w:tc>
          <w:tcPr>
            <w:tcW w:w="2018" w:type="dxa"/>
          </w:tcPr>
          <w:p w14:paraId="6AC1895C" w14:textId="5835522C"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eastAsia="en-AU"/>
              </w:rPr>
            </w:pPr>
            <w:r w:rsidRPr="0067091D">
              <w:rPr>
                <w:lang w:val="en-US" w:eastAsia="en-AU"/>
              </w:rPr>
              <w:t xml:space="preserve">No </w:t>
            </w:r>
            <w:r w:rsidR="0094441E" w:rsidRPr="0067091D">
              <w:rPr>
                <w:lang w:val="en-US" w:eastAsia="en-AU"/>
              </w:rPr>
              <w:t>d</w:t>
            </w:r>
            <w:r w:rsidRPr="0067091D">
              <w:rPr>
                <w:lang w:val="en-US" w:eastAsia="en-AU"/>
              </w:rPr>
              <w:t>eaths</w:t>
            </w:r>
          </w:p>
        </w:tc>
        <w:tc>
          <w:tcPr>
            <w:tcW w:w="2019" w:type="dxa"/>
          </w:tcPr>
          <w:p w14:paraId="1DBF8EDA" w14:textId="2297B1BF"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eastAsia="en-AU"/>
              </w:rPr>
            </w:pPr>
            <w:r w:rsidRPr="0067091D">
              <w:rPr>
                <w:lang w:val="en-US" w:eastAsia="en-AU"/>
              </w:rPr>
              <w:t xml:space="preserve">No </w:t>
            </w:r>
            <w:r w:rsidR="0094441E" w:rsidRPr="0067091D">
              <w:rPr>
                <w:lang w:val="en-US" w:eastAsia="en-AU"/>
              </w:rPr>
              <w:t>e</w:t>
            </w:r>
            <w:r w:rsidRPr="0067091D">
              <w:rPr>
                <w:lang w:val="en-US" w:eastAsia="en-AU"/>
              </w:rPr>
              <w:t>xpected</w:t>
            </w:r>
          </w:p>
        </w:tc>
        <w:tc>
          <w:tcPr>
            <w:tcW w:w="2019" w:type="dxa"/>
          </w:tcPr>
          <w:p w14:paraId="71BAE62B" w14:textId="5AB33A2F"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eastAsia="en-AU"/>
              </w:rPr>
            </w:pPr>
            <w:r w:rsidRPr="0067091D">
              <w:rPr>
                <w:lang w:val="en-US" w:eastAsia="en-AU"/>
              </w:rPr>
              <w:t>SMR</w:t>
            </w:r>
            <w:r w:rsidR="00620CBE" w:rsidRPr="0067091D">
              <w:rPr>
                <w:lang w:val="en-US" w:eastAsia="en-AU"/>
              </w:rPr>
              <w:t xml:space="preserve"> </w:t>
            </w:r>
            <w:r w:rsidRPr="0067091D">
              <w:rPr>
                <w:lang w:val="en-US" w:eastAsia="en-AU"/>
              </w:rPr>
              <w:t>(95% FDR CI)</w:t>
            </w:r>
          </w:p>
        </w:tc>
      </w:tr>
      <w:tr w:rsidR="00F309F8" w:rsidRPr="0067091D" w14:paraId="4C760B06"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33FCA581" w14:textId="77777777" w:rsidR="00F309F8" w:rsidRPr="0067091D" w:rsidRDefault="00F309F8" w:rsidP="0067091D">
            <w:pPr>
              <w:rPr>
                <w:lang w:val="en-US" w:eastAsia="en-AU"/>
              </w:rPr>
            </w:pPr>
            <w:r w:rsidRPr="0067091D">
              <w:rPr>
                <w:lang w:eastAsia="en-AU"/>
              </w:rPr>
              <w:t>Alfred Hospital</w:t>
            </w:r>
          </w:p>
        </w:tc>
        <w:tc>
          <w:tcPr>
            <w:tcW w:w="2019" w:type="dxa"/>
          </w:tcPr>
          <w:p w14:paraId="7E6627B7" w14:textId="30A8EEA3" w:rsidR="00F309F8" w:rsidRPr="0067091D" w:rsidRDefault="0013192F"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366 (20)</w:t>
            </w:r>
          </w:p>
        </w:tc>
        <w:tc>
          <w:tcPr>
            <w:tcW w:w="2018" w:type="dxa"/>
          </w:tcPr>
          <w:p w14:paraId="300EA03A" w14:textId="5BD7AC58" w:rsidR="00F309F8" w:rsidRPr="0067091D" w:rsidRDefault="00715124"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11</w:t>
            </w:r>
            <w:r w:rsidR="0013192F" w:rsidRPr="0067091D">
              <w:t>7</w:t>
            </w:r>
          </w:p>
        </w:tc>
        <w:tc>
          <w:tcPr>
            <w:tcW w:w="2019" w:type="dxa"/>
          </w:tcPr>
          <w:p w14:paraId="3C259794" w14:textId="7BFB9098" w:rsidR="00F309F8" w:rsidRPr="0067091D" w:rsidRDefault="006B2DD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85.</w:t>
            </w:r>
            <w:r w:rsidR="0013192F" w:rsidRPr="0067091D">
              <w:t>5</w:t>
            </w:r>
          </w:p>
        </w:tc>
        <w:tc>
          <w:tcPr>
            <w:tcW w:w="2019" w:type="dxa"/>
          </w:tcPr>
          <w:p w14:paraId="0934DFB0" w14:textId="7CE7153F" w:rsidR="00F309F8" w:rsidRPr="0067091D" w:rsidRDefault="0013192F"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1.37 (1.05-1.78)</w:t>
            </w:r>
          </w:p>
        </w:tc>
      </w:tr>
      <w:tr w:rsidR="00F309F8" w:rsidRPr="0067091D" w14:paraId="1E5141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791C5D6" w14:textId="4459AE13" w:rsidR="00715124" w:rsidRPr="0067091D" w:rsidRDefault="00F309F8" w:rsidP="0067091D">
            <w:pPr>
              <w:rPr>
                <w:b w:val="0"/>
                <w:lang w:val="en-US" w:eastAsia="en-AU"/>
              </w:rPr>
            </w:pPr>
            <w:r w:rsidRPr="0067091D">
              <w:rPr>
                <w:lang w:val="en-US" w:eastAsia="en-AU"/>
              </w:rPr>
              <w:t xml:space="preserve">Austin Hospital </w:t>
            </w:r>
          </w:p>
        </w:tc>
        <w:tc>
          <w:tcPr>
            <w:tcW w:w="2019" w:type="dxa"/>
          </w:tcPr>
          <w:p w14:paraId="5E5F88B8" w14:textId="4826FFCE" w:rsidR="00715124" w:rsidRPr="0067091D" w:rsidRDefault="006B2DD9" w:rsidP="0067091D">
            <w:pP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en-AU"/>
              </w:rPr>
            </w:pPr>
            <w:r w:rsidRPr="0067091D">
              <w:t>3</w:t>
            </w:r>
            <w:r w:rsidR="0009362D" w:rsidRPr="0067091D">
              <w:t>05</w:t>
            </w:r>
            <w:r w:rsidRPr="0067091D">
              <w:t xml:space="preserve"> (4)</w:t>
            </w:r>
          </w:p>
        </w:tc>
        <w:tc>
          <w:tcPr>
            <w:tcW w:w="2018" w:type="dxa"/>
          </w:tcPr>
          <w:p w14:paraId="120CDCDA" w14:textId="1B306DA9" w:rsidR="00F309F8" w:rsidRPr="0067091D" w:rsidRDefault="006B2DD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6</w:t>
            </w:r>
            <w:r w:rsidR="0009362D" w:rsidRPr="0067091D">
              <w:t>0</w:t>
            </w:r>
          </w:p>
        </w:tc>
        <w:tc>
          <w:tcPr>
            <w:tcW w:w="2019" w:type="dxa"/>
          </w:tcPr>
          <w:p w14:paraId="12816127" w14:textId="2BEBAE7C" w:rsidR="00F309F8" w:rsidRPr="0067091D" w:rsidRDefault="006B2DD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69.</w:t>
            </w:r>
            <w:r w:rsidR="0009362D" w:rsidRPr="0067091D">
              <w:t>3</w:t>
            </w:r>
          </w:p>
        </w:tc>
        <w:tc>
          <w:tcPr>
            <w:tcW w:w="2019" w:type="dxa"/>
          </w:tcPr>
          <w:p w14:paraId="0878D35D" w14:textId="0B918678" w:rsidR="00F309F8" w:rsidRPr="0067091D" w:rsidRDefault="0009362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0.87 (0.63-1.19)</w:t>
            </w:r>
          </w:p>
        </w:tc>
      </w:tr>
      <w:tr w:rsidR="00F309F8" w:rsidRPr="0067091D" w14:paraId="7F0525F1"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2E3C0DCA" w14:textId="77777777" w:rsidR="00F309F8" w:rsidRPr="0067091D" w:rsidRDefault="00F309F8" w:rsidP="0067091D">
            <w:pPr>
              <w:rPr>
                <w:lang w:eastAsia="en-AU"/>
              </w:rPr>
            </w:pPr>
            <w:r w:rsidRPr="0067091D">
              <w:rPr>
                <w:lang w:eastAsia="en-AU"/>
              </w:rPr>
              <w:t>Bendigo Hospital</w:t>
            </w:r>
          </w:p>
        </w:tc>
        <w:tc>
          <w:tcPr>
            <w:tcW w:w="2019" w:type="dxa"/>
          </w:tcPr>
          <w:p w14:paraId="50E9DBD1" w14:textId="68E05EA4" w:rsidR="00E52892" w:rsidRPr="0067091D" w:rsidRDefault="00AA223E" w:rsidP="0067091D">
            <w:pPr>
              <w:cnfStyle w:val="000000000000" w:firstRow="0" w:lastRow="0" w:firstColumn="0" w:lastColumn="0" w:oddVBand="0" w:evenVBand="0" w:oddHBand="0" w:evenHBand="0" w:firstRowFirstColumn="0" w:firstRowLastColumn="0" w:lastRowFirstColumn="0" w:lastRowLastColumn="0"/>
              <w:rPr>
                <w:color w:val="FF0000"/>
                <w:lang w:val="en-US" w:eastAsia="en-AU"/>
              </w:rPr>
            </w:pPr>
            <w:r w:rsidRPr="0067091D">
              <w:rPr>
                <w:lang w:val="en-US" w:eastAsia="en-AU"/>
              </w:rPr>
              <w:t>106 (1)</w:t>
            </w:r>
          </w:p>
        </w:tc>
        <w:tc>
          <w:tcPr>
            <w:tcW w:w="2018" w:type="dxa"/>
          </w:tcPr>
          <w:p w14:paraId="36A2CE2C" w14:textId="029BAA80" w:rsidR="00F309F8" w:rsidRPr="0067091D" w:rsidRDefault="00373B4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2</w:t>
            </w:r>
            <w:r w:rsidR="00AA223E" w:rsidRPr="0067091D">
              <w:t>6</w:t>
            </w:r>
          </w:p>
        </w:tc>
        <w:tc>
          <w:tcPr>
            <w:tcW w:w="2019" w:type="dxa"/>
          </w:tcPr>
          <w:p w14:paraId="1ECC4162" w14:textId="28E899B6" w:rsidR="00F309F8" w:rsidRPr="0067091D" w:rsidRDefault="00AA223E"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25.5</w:t>
            </w:r>
          </w:p>
        </w:tc>
        <w:tc>
          <w:tcPr>
            <w:tcW w:w="2019" w:type="dxa"/>
          </w:tcPr>
          <w:p w14:paraId="1CF50673" w14:textId="7E5DB135" w:rsidR="00F309F8" w:rsidRPr="0067091D" w:rsidRDefault="00AA223E"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1.02 (0.56-1.85)</w:t>
            </w:r>
          </w:p>
        </w:tc>
      </w:tr>
      <w:tr w:rsidR="00F309F8" w:rsidRPr="0067091D" w14:paraId="0C8854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38D894A" w14:textId="77777777" w:rsidR="00F309F8" w:rsidRPr="0067091D" w:rsidRDefault="00F309F8" w:rsidP="0067091D">
            <w:pPr>
              <w:rPr>
                <w:lang w:eastAsia="en-AU"/>
              </w:rPr>
            </w:pPr>
            <w:r w:rsidRPr="0067091D">
              <w:rPr>
                <w:lang w:eastAsia="en-AU"/>
              </w:rPr>
              <w:t>Eastern Health</w:t>
            </w:r>
          </w:p>
        </w:tc>
        <w:tc>
          <w:tcPr>
            <w:tcW w:w="2019" w:type="dxa"/>
          </w:tcPr>
          <w:p w14:paraId="67D87D60" w14:textId="6B644A25" w:rsidR="00245D33" w:rsidRPr="0067091D" w:rsidRDefault="002A1991"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296 (8) </w:t>
            </w:r>
          </w:p>
        </w:tc>
        <w:tc>
          <w:tcPr>
            <w:tcW w:w="2018" w:type="dxa"/>
          </w:tcPr>
          <w:p w14:paraId="774EAD21" w14:textId="017D4C14" w:rsidR="00F309F8" w:rsidRPr="0067091D" w:rsidRDefault="002A1991"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45</w:t>
            </w:r>
          </w:p>
        </w:tc>
        <w:tc>
          <w:tcPr>
            <w:tcW w:w="2019" w:type="dxa"/>
          </w:tcPr>
          <w:p w14:paraId="2054C25A" w14:textId="3EDC5EA0" w:rsidR="00F309F8" w:rsidRPr="0067091D" w:rsidRDefault="002A1991"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68.4</w:t>
            </w:r>
          </w:p>
        </w:tc>
        <w:tc>
          <w:tcPr>
            <w:tcW w:w="2019" w:type="dxa"/>
          </w:tcPr>
          <w:p w14:paraId="6EB0B7CE" w14:textId="27270548" w:rsidR="00F309F8" w:rsidRPr="0067091D" w:rsidRDefault="002A1991"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0.66 (0.44-0.99)</w:t>
            </w:r>
          </w:p>
        </w:tc>
      </w:tr>
      <w:tr w:rsidR="00F309F8" w:rsidRPr="0067091D" w14:paraId="7216A704"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50FED85" w14:textId="4988C682" w:rsidR="00F309F8" w:rsidRPr="0067091D" w:rsidRDefault="00B416FF" w:rsidP="0067091D">
            <w:pPr>
              <w:rPr>
                <w:lang w:eastAsia="en-AU"/>
              </w:rPr>
            </w:pPr>
            <w:r w:rsidRPr="0067091D">
              <w:rPr>
                <w:lang w:eastAsia="en-AU"/>
              </w:rPr>
              <w:t>Barwon Health</w:t>
            </w:r>
          </w:p>
        </w:tc>
        <w:tc>
          <w:tcPr>
            <w:tcW w:w="2019" w:type="dxa"/>
          </w:tcPr>
          <w:p w14:paraId="2F17F35D" w14:textId="1F026257" w:rsidR="00E52892" w:rsidRPr="0067091D" w:rsidRDefault="00484A12"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178 (1) </w:t>
            </w:r>
          </w:p>
        </w:tc>
        <w:tc>
          <w:tcPr>
            <w:tcW w:w="2018" w:type="dxa"/>
          </w:tcPr>
          <w:p w14:paraId="44E00DC7" w14:textId="01E6AD51" w:rsidR="00F309F8" w:rsidRPr="0067091D" w:rsidRDefault="00484A12"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40</w:t>
            </w:r>
          </w:p>
        </w:tc>
        <w:tc>
          <w:tcPr>
            <w:tcW w:w="2019" w:type="dxa"/>
          </w:tcPr>
          <w:p w14:paraId="627D60B6" w14:textId="0993BA18" w:rsidR="00F309F8" w:rsidRPr="0067091D" w:rsidRDefault="00484A12"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43.7</w:t>
            </w:r>
          </w:p>
        </w:tc>
        <w:tc>
          <w:tcPr>
            <w:tcW w:w="2019" w:type="dxa"/>
          </w:tcPr>
          <w:p w14:paraId="7EF402A6" w14:textId="0356F102" w:rsidR="00F309F8" w:rsidRPr="0067091D" w:rsidRDefault="00484A12"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0.92 (0.59-1.43)</w:t>
            </w:r>
          </w:p>
        </w:tc>
      </w:tr>
      <w:tr w:rsidR="00F309F8" w:rsidRPr="0067091D" w14:paraId="6D1275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A124973" w14:textId="77777777" w:rsidR="00F309F8" w:rsidRPr="0067091D" w:rsidRDefault="00F309F8" w:rsidP="0067091D">
            <w:pPr>
              <w:rPr>
                <w:lang w:eastAsia="en-AU"/>
              </w:rPr>
            </w:pPr>
            <w:r w:rsidRPr="0067091D">
              <w:rPr>
                <w:lang w:eastAsia="en-AU"/>
              </w:rPr>
              <w:t>Monash Medical Centre</w:t>
            </w:r>
          </w:p>
        </w:tc>
        <w:tc>
          <w:tcPr>
            <w:tcW w:w="2019" w:type="dxa"/>
          </w:tcPr>
          <w:p w14:paraId="5A98AA80" w14:textId="39688C5F" w:rsidR="002D4A87" w:rsidRPr="0067091D" w:rsidRDefault="0081703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771 (34) </w:t>
            </w:r>
          </w:p>
        </w:tc>
        <w:tc>
          <w:tcPr>
            <w:tcW w:w="2018" w:type="dxa"/>
          </w:tcPr>
          <w:p w14:paraId="2DD1D5A8" w14:textId="7ADDDAFF" w:rsidR="00F309F8" w:rsidRPr="0067091D" w:rsidRDefault="0081703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113</w:t>
            </w:r>
          </w:p>
        </w:tc>
        <w:tc>
          <w:tcPr>
            <w:tcW w:w="2019" w:type="dxa"/>
          </w:tcPr>
          <w:p w14:paraId="65FE49BF" w14:textId="2C2774AE" w:rsidR="00F309F8" w:rsidRPr="0067091D" w:rsidRDefault="0081703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139.6</w:t>
            </w:r>
          </w:p>
        </w:tc>
        <w:tc>
          <w:tcPr>
            <w:tcW w:w="2019" w:type="dxa"/>
          </w:tcPr>
          <w:p w14:paraId="67601BAC" w14:textId="00B3FD6C" w:rsidR="00F309F8" w:rsidRPr="0067091D" w:rsidRDefault="00817039"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0.81 (0.63-1.04)</w:t>
            </w:r>
          </w:p>
        </w:tc>
      </w:tr>
      <w:tr w:rsidR="00F309F8" w:rsidRPr="0067091D" w14:paraId="26E263E3"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8428971" w14:textId="77777777" w:rsidR="00F309F8" w:rsidRPr="0067091D" w:rsidRDefault="00F309F8" w:rsidP="0067091D">
            <w:pPr>
              <w:rPr>
                <w:lang w:val="en-US" w:eastAsia="en-AU"/>
              </w:rPr>
            </w:pPr>
            <w:r w:rsidRPr="0067091D">
              <w:rPr>
                <w:lang w:val="en-US" w:eastAsia="en-AU"/>
              </w:rPr>
              <w:t>Northern Health</w:t>
            </w:r>
          </w:p>
        </w:tc>
        <w:tc>
          <w:tcPr>
            <w:tcW w:w="2019" w:type="dxa"/>
          </w:tcPr>
          <w:p w14:paraId="2B9FA292" w14:textId="140DD348" w:rsidR="00375877" w:rsidRPr="0067091D" w:rsidRDefault="00E052A7" w:rsidP="0067091D">
            <w:pPr>
              <w:cnfStyle w:val="000000000000" w:firstRow="0" w:lastRow="0" w:firstColumn="0" w:lastColumn="0" w:oddVBand="0" w:evenVBand="0" w:oddHBand="0" w:evenHBand="0" w:firstRowFirstColumn="0" w:firstRowLastColumn="0" w:lastRowFirstColumn="0" w:lastRowLastColumn="0"/>
              <w:rPr>
                <w:color w:val="FF0000"/>
                <w:lang w:val="en-US" w:eastAsia="en-AU"/>
              </w:rPr>
            </w:pPr>
            <w:r w:rsidRPr="0067091D">
              <w:rPr>
                <w:lang w:val="en-US" w:eastAsia="en-AU"/>
              </w:rPr>
              <w:t xml:space="preserve">188 (32) </w:t>
            </w:r>
          </w:p>
        </w:tc>
        <w:tc>
          <w:tcPr>
            <w:tcW w:w="2018" w:type="dxa"/>
          </w:tcPr>
          <w:p w14:paraId="262C91E2" w14:textId="716F29BA" w:rsidR="00F309F8" w:rsidRPr="0067091D" w:rsidRDefault="00E052A7" w:rsidP="0067091D">
            <w:pPr>
              <w:cnfStyle w:val="000000000000" w:firstRow="0" w:lastRow="0" w:firstColumn="0" w:lastColumn="0" w:oddVBand="0" w:evenVBand="0" w:oddHBand="0" w:evenHBand="0" w:firstRowFirstColumn="0" w:firstRowLastColumn="0" w:lastRowFirstColumn="0" w:lastRowLastColumn="0"/>
              <w:rPr>
                <w:color w:val="FF0000"/>
                <w:lang w:val="en-US" w:eastAsia="en-AU"/>
              </w:rPr>
            </w:pPr>
            <w:r w:rsidRPr="0067091D">
              <w:rPr>
                <w:lang w:val="en-US" w:eastAsia="en-AU"/>
              </w:rPr>
              <w:t>36</w:t>
            </w:r>
          </w:p>
        </w:tc>
        <w:tc>
          <w:tcPr>
            <w:tcW w:w="2019" w:type="dxa"/>
          </w:tcPr>
          <w:p w14:paraId="16E55296" w14:textId="50A0AF3B" w:rsidR="00F309F8" w:rsidRPr="0067091D" w:rsidRDefault="00E052A7" w:rsidP="0067091D">
            <w:pPr>
              <w:cnfStyle w:val="000000000000" w:firstRow="0" w:lastRow="0" w:firstColumn="0" w:lastColumn="0" w:oddVBand="0" w:evenVBand="0" w:oddHBand="0" w:evenHBand="0" w:firstRowFirstColumn="0" w:firstRowLastColumn="0" w:lastRowFirstColumn="0" w:lastRowLastColumn="0"/>
              <w:rPr>
                <w:color w:val="FF0000"/>
                <w:lang w:val="en-US" w:eastAsia="en-AU"/>
              </w:rPr>
            </w:pPr>
            <w:r w:rsidRPr="0067091D">
              <w:rPr>
                <w:lang w:val="en-US" w:eastAsia="en-AU"/>
              </w:rPr>
              <w:t>41.3</w:t>
            </w:r>
          </w:p>
        </w:tc>
        <w:tc>
          <w:tcPr>
            <w:tcW w:w="2019" w:type="dxa"/>
          </w:tcPr>
          <w:p w14:paraId="769E02E8" w14:textId="3F6F46D2" w:rsidR="00F309F8" w:rsidRPr="0067091D" w:rsidRDefault="00E052A7" w:rsidP="0067091D">
            <w:pPr>
              <w:cnfStyle w:val="000000000000" w:firstRow="0" w:lastRow="0" w:firstColumn="0" w:lastColumn="0" w:oddVBand="0" w:evenVBand="0" w:oddHBand="0" w:evenHBand="0" w:firstRowFirstColumn="0" w:firstRowLastColumn="0" w:lastRowFirstColumn="0" w:lastRowLastColumn="0"/>
              <w:rPr>
                <w:color w:val="FF0000"/>
                <w:lang w:val="en-US" w:eastAsia="en-AU"/>
              </w:rPr>
            </w:pPr>
            <w:r w:rsidRPr="0067091D">
              <w:rPr>
                <w:lang w:val="en-US" w:eastAsia="en-AU"/>
              </w:rPr>
              <w:t>0.87 (0.53-1.45)</w:t>
            </w:r>
          </w:p>
        </w:tc>
      </w:tr>
      <w:tr w:rsidR="00F309F8" w:rsidRPr="0067091D" w14:paraId="45A2156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561EBAA1" w14:textId="77777777" w:rsidR="00F309F8" w:rsidRPr="0067091D" w:rsidRDefault="00F309F8" w:rsidP="0067091D">
            <w:pPr>
              <w:rPr>
                <w:lang w:val="en-US" w:eastAsia="en-AU"/>
              </w:rPr>
            </w:pPr>
            <w:r w:rsidRPr="0067091D">
              <w:rPr>
                <w:lang w:eastAsia="en-AU"/>
              </w:rPr>
              <w:t>Royal Melbourne Hospital</w:t>
            </w:r>
          </w:p>
        </w:tc>
        <w:tc>
          <w:tcPr>
            <w:tcW w:w="2019" w:type="dxa"/>
          </w:tcPr>
          <w:p w14:paraId="73EA910C" w14:textId="2AFCBEB5" w:rsidR="006337CA" w:rsidRPr="0067091D" w:rsidRDefault="00F26A7A"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 667 (88) </w:t>
            </w:r>
          </w:p>
        </w:tc>
        <w:tc>
          <w:tcPr>
            <w:tcW w:w="2018" w:type="dxa"/>
          </w:tcPr>
          <w:p w14:paraId="08CB5C0B" w14:textId="3D2CE61E" w:rsidR="00F309F8" w:rsidRPr="0067091D" w:rsidRDefault="00F26A7A"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118</w:t>
            </w:r>
          </w:p>
        </w:tc>
        <w:tc>
          <w:tcPr>
            <w:tcW w:w="2019" w:type="dxa"/>
          </w:tcPr>
          <w:p w14:paraId="7C96CE03" w14:textId="7E84E7DC" w:rsidR="00F309F8" w:rsidRPr="0067091D" w:rsidRDefault="00F26A7A"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105.2</w:t>
            </w:r>
          </w:p>
        </w:tc>
        <w:tc>
          <w:tcPr>
            <w:tcW w:w="2019" w:type="dxa"/>
          </w:tcPr>
          <w:p w14:paraId="406A35E3" w14:textId="4BBFD064" w:rsidR="00F309F8" w:rsidRPr="0067091D" w:rsidRDefault="00F26A7A"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1.12 (0.86-1.46)</w:t>
            </w:r>
          </w:p>
        </w:tc>
      </w:tr>
      <w:tr w:rsidR="00F309F8" w:rsidRPr="0067091D" w14:paraId="2A36B2AE"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61C5613" w14:textId="77777777" w:rsidR="00F309F8" w:rsidRPr="0067091D" w:rsidRDefault="00F309F8" w:rsidP="0067091D">
            <w:pPr>
              <w:rPr>
                <w:lang w:val="en-US" w:eastAsia="en-AU"/>
              </w:rPr>
            </w:pPr>
            <w:r w:rsidRPr="0067091D">
              <w:rPr>
                <w:lang w:eastAsia="en-AU"/>
              </w:rPr>
              <w:t>St Vincent's Hospital</w:t>
            </w:r>
          </w:p>
        </w:tc>
        <w:tc>
          <w:tcPr>
            <w:tcW w:w="2019" w:type="dxa"/>
          </w:tcPr>
          <w:p w14:paraId="381F1D8D" w14:textId="18AA74B5" w:rsidR="00CA0EA1" w:rsidRPr="0067091D" w:rsidRDefault="004835F8"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 327 (11) </w:t>
            </w:r>
          </w:p>
        </w:tc>
        <w:tc>
          <w:tcPr>
            <w:tcW w:w="2018" w:type="dxa"/>
          </w:tcPr>
          <w:p w14:paraId="1CBD6D70" w14:textId="67062158" w:rsidR="00F309F8" w:rsidRPr="0067091D" w:rsidRDefault="006C7F61"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59</w:t>
            </w:r>
          </w:p>
        </w:tc>
        <w:tc>
          <w:tcPr>
            <w:tcW w:w="2019" w:type="dxa"/>
          </w:tcPr>
          <w:p w14:paraId="2A1C128B" w14:textId="5E4BF834" w:rsidR="00F309F8" w:rsidRPr="0067091D" w:rsidRDefault="004835F8"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77.8</w:t>
            </w:r>
          </w:p>
        </w:tc>
        <w:tc>
          <w:tcPr>
            <w:tcW w:w="2019" w:type="dxa"/>
          </w:tcPr>
          <w:p w14:paraId="12002276" w14:textId="237DC26D" w:rsidR="00F309F8" w:rsidRPr="0067091D" w:rsidRDefault="004835F8"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0.76 (0.53-1.08)</w:t>
            </w:r>
          </w:p>
        </w:tc>
      </w:tr>
      <w:tr w:rsidR="00F309F8" w:rsidRPr="0067091D" w14:paraId="387618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F717E54" w14:textId="77777777" w:rsidR="00F309F8" w:rsidRPr="0067091D" w:rsidRDefault="00F309F8" w:rsidP="0067091D">
            <w:pPr>
              <w:rPr>
                <w:lang w:eastAsia="en-AU"/>
              </w:rPr>
            </w:pPr>
            <w:r w:rsidRPr="0067091D">
              <w:rPr>
                <w:lang w:eastAsia="en-AU"/>
              </w:rPr>
              <w:t>Western Health</w:t>
            </w:r>
          </w:p>
        </w:tc>
        <w:tc>
          <w:tcPr>
            <w:tcW w:w="2019" w:type="dxa"/>
          </w:tcPr>
          <w:p w14:paraId="10080A13" w14:textId="2A9899C7" w:rsidR="00CA0EA1" w:rsidRPr="0067091D" w:rsidRDefault="00DF1C9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 xml:space="preserve">383 (8) </w:t>
            </w:r>
          </w:p>
        </w:tc>
        <w:tc>
          <w:tcPr>
            <w:tcW w:w="2018" w:type="dxa"/>
          </w:tcPr>
          <w:p w14:paraId="1F773F2A" w14:textId="3B503A64" w:rsidR="00F309F8" w:rsidRPr="0067091D" w:rsidRDefault="00DF1C9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62</w:t>
            </w:r>
          </w:p>
        </w:tc>
        <w:tc>
          <w:tcPr>
            <w:tcW w:w="2019" w:type="dxa"/>
          </w:tcPr>
          <w:p w14:paraId="3CBEF3F1" w14:textId="0FDCD2AA" w:rsidR="00F309F8" w:rsidRPr="0067091D" w:rsidRDefault="00DF1C9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89.2</w:t>
            </w:r>
          </w:p>
        </w:tc>
        <w:tc>
          <w:tcPr>
            <w:tcW w:w="2019" w:type="dxa"/>
          </w:tcPr>
          <w:p w14:paraId="04A13B8C" w14:textId="258A9069" w:rsidR="00F309F8" w:rsidRPr="0067091D" w:rsidRDefault="00DF1C9D" w:rsidP="0067091D">
            <w:pPr>
              <w:cnfStyle w:val="000000000000" w:firstRow="0" w:lastRow="0" w:firstColumn="0" w:lastColumn="0" w:oddVBand="0" w:evenVBand="0" w:oddHBand="0" w:evenHBand="0" w:firstRowFirstColumn="0" w:firstRowLastColumn="0" w:lastRowFirstColumn="0" w:lastRowLastColumn="0"/>
              <w:rPr>
                <w:rFonts w:eastAsiaTheme="minorEastAsia"/>
                <w:color w:val="FF0000"/>
                <w:szCs w:val="22"/>
                <w:lang w:val="en-US" w:eastAsia="en-AU"/>
              </w:rPr>
            </w:pPr>
            <w:r w:rsidRPr="0067091D">
              <w:t>0.70 (0.50-0.96)</w:t>
            </w:r>
          </w:p>
        </w:tc>
      </w:tr>
    </w:tbl>
    <w:p w14:paraId="6EC0B199" w14:textId="77777777" w:rsidR="00F309F8" w:rsidRPr="0067091D" w:rsidRDefault="00F309F8" w:rsidP="0067091D">
      <w:pPr>
        <w:pStyle w:val="Footer"/>
      </w:pPr>
      <w:r w:rsidRPr="0067091D">
        <w:t>*The number in brackets is the number of patients who were excluded due to missing data.</w:t>
      </w:r>
    </w:p>
    <w:p w14:paraId="79C2FCE6" w14:textId="26D5FD6D" w:rsidR="00F309F8" w:rsidRPr="0067091D" w:rsidRDefault="00F309F8" w:rsidP="0067091D">
      <w:pPr>
        <w:pStyle w:val="Footer"/>
      </w:pPr>
      <w:r w:rsidRPr="0067091D">
        <w:t xml:space="preserve"># Sourced from ANZDATA Dialysis Hospital Report </w:t>
      </w:r>
      <w:r w:rsidR="009352A6" w:rsidRPr="0067091D">
        <w:t xml:space="preserve">2015–2020 </w:t>
      </w:r>
      <w:r w:rsidRPr="0067091D">
        <w:t xml:space="preserve">- available at: </w:t>
      </w:r>
      <w:r w:rsidR="00342A7F" w:rsidRPr="0067091D">
        <w:rPr>
          <w:rStyle w:val="Hyperlink"/>
          <w:color w:val="auto"/>
        </w:rPr>
        <w:t>https://www.anzdata.org.au/report/anzdata-abridged-dialysis-hospital-report-2015-2020/</w:t>
      </w:r>
    </w:p>
    <w:p w14:paraId="1AA5EAAC" w14:textId="2BA85C6C" w:rsidR="00F309F8" w:rsidRPr="0067091D" w:rsidRDefault="007B5D52" w:rsidP="0067091D">
      <w:pPr>
        <w:pStyle w:val="Footer"/>
      </w:pPr>
      <w:r w:rsidRPr="0067091D">
        <w:t>FD</w:t>
      </w:r>
      <w:r w:rsidR="00271E7B" w:rsidRPr="0067091D">
        <w:t>R CI = false discovery rate confidence interval</w:t>
      </w:r>
    </w:p>
    <w:p w14:paraId="0E69B9E2" w14:textId="77777777" w:rsidR="00C32572" w:rsidRPr="0067091D" w:rsidRDefault="00C32572" w:rsidP="0067091D">
      <w:pPr>
        <w:rPr>
          <w:rFonts w:eastAsia="Times New Roman"/>
          <w:color w:val="000000" w:themeColor="text1"/>
          <w:sz w:val="24"/>
          <w:szCs w:val="22"/>
          <w:lang w:val="en-US"/>
        </w:rPr>
      </w:pPr>
      <w:bookmarkStart w:id="53" w:name="_Toc27127523"/>
      <w:r w:rsidRPr="0067091D">
        <w:rPr>
          <w:rFonts w:eastAsia="Times New Roman"/>
          <w:lang w:val="en-US"/>
        </w:rPr>
        <w:br w:type="page"/>
      </w:r>
    </w:p>
    <w:bookmarkEnd w:id="53"/>
    <w:p w14:paraId="24DA6BE2" w14:textId="3F21ACA3" w:rsidR="00F309F8" w:rsidRPr="0067091D" w:rsidRDefault="00C32572" w:rsidP="0067091D">
      <w:pPr>
        <w:pStyle w:val="Heading3"/>
        <w:rPr>
          <w:lang w:val="en-US"/>
        </w:rPr>
      </w:pPr>
      <w:r w:rsidRPr="0067091D">
        <w:rPr>
          <w:lang w:val="en-US"/>
        </w:rPr>
        <w:lastRenderedPageBreak/>
        <w:t>Transplant</w:t>
      </w:r>
    </w:p>
    <w:p w14:paraId="6223BC85" w14:textId="29CAFBE5" w:rsidR="0094441E" w:rsidRPr="0067091D" w:rsidRDefault="0094441E" w:rsidP="0067091D">
      <w:pPr>
        <w:pStyle w:val="Tablechartdiagramheading"/>
        <w:rPr>
          <w:lang w:val="en-US"/>
        </w:rPr>
      </w:pPr>
      <w:r w:rsidRPr="0067091D">
        <w:rPr>
          <w:lang w:val="en-US"/>
        </w:rPr>
        <w:t xml:space="preserve">Risk-adjusted graft failure ratios at 1 year following transplant for patients receiving a kidney transplant in Victorian health services </w:t>
      </w:r>
      <w:r w:rsidR="008B0412" w:rsidRPr="0067091D">
        <w:rPr>
          <w:lang w:val="en-US"/>
        </w:rPr>
        <w:t>2015</w:t>
      </w:r>
      <w:r w:rsidR="002768A6" w:rsidRPr="0067091D">
        <w:rPr>
          <w:lang w:val="en-US"/>
        </w:rPr>
        <w:t>–</w:t>
      </w:r>
      <w:r w:rsidR="008B0412" w:rsidRPr="0067091D">
        <w:rPr>
          <w:lang w:val="en-US"/>
        </w:rPr>
        <w:t>2020</w:t>
      </w:r>
      <w:r w:rsidRPr="0067091D">
        <w:rPr>
          <w:vertAlign w:val="superscript"/>
          <w:lang w:val="en-US"/>
        </w:rPr>
        <w:t>#</w:t>
      </w:r>
    </w:p>
    <w:tbl>
      <w:tblPr>
        <w:tblStyle w:val="TableGrid2"/>
        <w:tblW w:w="10093" w:type="dxa"/>
        <w:tblLook w:val="04A0" w:firstRow="1" w:lastRow="0" w:firstColumn="1" w:lastColumn="0" w:noHBand="0" w:noVBand="1"/>
      </w:tblPr>
      <w:tblGrid>
        <w:gridCol w:w="2490"/>
        <w:gridCol w:w="1451"/>
        <w:gridCol w:w="1275"/>
        <w:gridCol w:w="1134"/>
        <w:gridCol w:w="2060"/>
        <w:gridCol w:w="1683"/>
      </w:tblGrid>
      <w:tr w:rsidR="00F309F8" w:rsidRPr="0067091D" w14:paraId="539EA948" w14:textId="77777777" w:rsidTr="00944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14:paraId="292C5F1F" w14:textId="18C26419" w:rsidR="00F309F8" w:rsidRPr="0067091D" w:rsidRDefault="00F309F8" w:rsidP="0067091D">
            <w:pPr>
              <w:rPr>
                <w:lang w:val="en-US"/>
              </w:rPr>
            </w:pPr>
            <w:r w:rsidRPr="0067091D">
              <w:rPr>
                <w:lang w:val="en-US"/>
              </w:rPr>
              <w:t xml:space="preserve">Health </w:t>
            </w:r>
            <w:r w:rsidR="0094441E" w:rsidRPr="0067091D">
              <w:rPr>
                <w:lang w:val="en-US"/>
              </w:rPr>
              <w:t>s</w:t>
            </w:r>
            <w:r w:rsidRPr="0067091D">
              <w:rPr>
                <w:lang w:val="en-US"/>
              </w:rPr>
              <w:t>ervice</w:t>
            </w:r>
          </w:p>
        </w:tc>
        <w:tc>
          <w:tcPr>
            <w:tcW w:w="1451" w:type="dxa"/>
          </w:tcPr>
          <w:p w14:paraId="264A004E"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Grafts*</w:t>
            </w:r>
          </w:p>
        </w:tc>
        <w:tc>
          <w:tcPr>
            <w:tcW w:w="1275" w:type="dxa"/>
          </w:tcPr>
          <w:p w14:paraId="7FFA7438"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Observed</w:t>
            </w:r>
          </w:p>
        </w:tc>
        <w:tc>
          <w:tcPr>
            <w:tcW w:w="1134" w:type="dxa"/>
          </w:tcPr>
          <w:p w14:paraId="464977E9"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Expected</w:t>
            </w:r>
          </w:p>
        </w:tc>
        <w:tc>
          <w:tcPr>
            <w:tcW w:w="2060" w:type="dxa"/>
          </w:tcPr>
          <w:p w14:paraId="0B8A1152" w14:textId="0EA326DF"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 xml:space="preserve">Observed </w:t>
            </w:r>
            <w:r w:rsidR="0094441E" w:rsidRPr="0067091D">
              <w:rPr>
                <w:lang w:val="en-US"/>
              </w:rPr>
              <w:t>r</w:t>
            </w:r>
            <w:r w:rsidRPr="0067091D">
              <w:rPr>
                <w:lang w:val="en-US"/>
              </w:rPr>
              <w:t>ate (95% CI)</w:t>
            </w:r>
          </w:p>
        </w:tc>
        <w:tc>
          <w:tcPr>
            <w:tcW w:w="1683" w:type="dxa"/>
          </w:tcPr>
          <w:p w14:paraId="4AC72AF0"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Ratio</w:t>
            </w:r>
          </w:p>
          <w:p w14:paraId="55C72336"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(95% FDR CI)</w:t>
            </w:r>
          </w:p>
        </w:tc>
      </w:tr>
      <w:tr w:rsidR="00F309F8" w:rsidRPr="0067091D" w14:paraId="5D1C8828"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08D100C2" w14:textId="77777777" w:rsidR="00F309F8" w:rsidRPr="0067091D" w:rsidRDefault="00F309F8" w:rsidP="0067091D">
            <w:pPr>
              <w:rPr>
                <w:lang w:val="en-US"/>
              </w:rPr>
            </w:pPr>
            <w:r w:rsidRPr="0067091D">
              <w:t>Alfred Hospital</w:t>
            </w:r>
          </w:p>
        </w:tc>
        <w:tc>
          <w:tcPr>
            <w:tcW w:w="1451" w:type="dxa"/>
          </w:tcPr>
          <w:p w14:paraId="5516BE89" w14:textId="0B1CDFF7" w:rsidR="00832A17" w:rsidRPr="0067091D" w:rsidRDefault="00A40D1E" w:rsidP="0067091D">
            <w:pPr>
              <w:cnfStyle w:val="000000000000" w:firstRow="0" w:lastRow="0" w:firstColumn="0" w:lastColumn="0" w:oddVBand="0" w:evenVBand="0" w:oddHBand="0" w:evenHBand="0" w:firstRowFirstColumn="0" w:firstRowLastColumn="0" w:lastRowFirstColumn="0" w:lastRowLastColumn="0"/>
              <w:rPr>
                <w:color w:val="FF0000"/>
                <w:szCs w:val="16"/>
              </w:rPr>
            </w:pPr>
            <w:r w:rsidRPr="0067091D">
              <w:t>1</w:t>
            </w:r>
            <w:r w:rsidR="0039046D" w:rsidRPr="0067091D">
              <w:t xml:space="preserve">35 </w:t>
            </w:r>
            <w:r w:rsidRPr="0067091D">
              <w:t>(</w:t>
            </w:r>
            <w:r w:rsidR="0039046D" w:rsidRPr="0067091D">
              <w:t>13</w:t>
            </w:r>
            <w:r w:rsidRPr="0067091D">
              <w:t>)</w:t>
            </w:r>
          </w:p>
        </w:tc>
        <w:tc>
          <w:tcPr>
            <w:tcW w:w="1275" w:type="dxa"/>
          </w:tcPr>
          <w:p w14:paraId="6498601D" w14:textId="4BC9D053" w:rsidR="00F309F8" w:rsidRPr="0067091D" w:rsidRDefault="0039046D"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6</w:t>
            </w:r>
          </w:p>
        </w:tc>
        <w:tc>
          <w:tcPr>
            <w:tcW w:w="1134" w:type="dxa"/>
          </w:tcPr>
          <w:p w14:paraId="44AC2A47" w14:textId="21F2A4A5" w:rsidR="00F309F8" w:rsidRPr="0067091D" w:rsidRDefault="0039046D"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5.</w:t>
            </w:r>
            <w:r w:rsidR="00832A17" w:rsidRPr="0067091D">
              <w:rPr>
                <w:lang w:val="en-US"/>
              </w:rPr>
              <w:t>2</w:t>
            </w:r>
          </w:p>
        </w:tc>
        <w:tc>
          <w:tcPr>
            <w:tcW w:w="2060" w:type="dxa"/>
          </w:tcPr>
          <w:p w14:paraId="1BDEB54B" w14:textId="16623A45" w:rsidR="00F309F8" w:rsidRPr="0067091D" w:rsidRDefault="00A40D1E" w:rsidP="0067091D">
            <w:pPr>
              <w:cnfStyle w:val="000000000000" w:firstRow="0" w:lastRow="0" w:firstColumn="0" w:lastColumn="0" w:oddVBand="0" w:evenVBand="0" w:oddHBand="0" w:evenHBand="0" w:firstRowFirstColumn="0" w:firstRowLastColumn="0" w:lastRowFirstColumn="0" w:lastRowLastColumn="0"/>
              <w:rPr>
                <w:color w:val="FF0000"/>
                <w:szCs w:val="16"/>
                <w:lang w:val="en-US"/>
              </w:rPr>
            </w:pPr>
            <w:r w:rsidRPr="0067091D">
              <w:t xml:space="preserve"> </w:t>
            </w:r>
            <w:r w:rsidR="001449C7" w:rsidRPr="0067091D">
              <w:t>0.044 (0.016-0.094)</w:t>
            </w:r>
          </w:p>
        </w:tc>
        <w:tc>
          <w:tcPr>
            <w:tcW w:w="1683" w:type="dxa"/>
          </w:tcPr>
          <w:p w14:paraId="49DDCD5F" w14:textId="5162260F" w:rsidR="00F309F8"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szCs w:val="16"/>
                <w:lang w:val="en-US"/>
              </w:rPr>
            </w:pPr>
            <w:r w:rsidRPr="0067091D">
              <w:t>1.15 (0.25-5.32)</w:t>
            </w:r>
          </w:p>
        </w:tc>
      </w:tr>
      <w:tr w:rsidR="00F309F8" w:rsidRPr="0067091D" w14:paraId="3EA3DD2C"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AA04DC9" w14:textId="77777777" w:rsidR="00F309F8" w:rsidRPr="0067091D" w:rsidRDefault="00F309F8" w:rsidP="0067091D">
            <w:pPr>
              <w:rPr>
                <w:lang w:val="en-US"/>
              </w:rPr>
            </w:pPr>
            <w:r w:rsidRPr="0067091D">
              <w:rPr>
                <w:lang w:val="en-US"/>
              </w:rPr>
              <w:t xml:space="preserve">Austin Hospital </w:t>
            </w:r>
          </w:p>
        </w:tc>
        <w:tc>
          <w:tcPr>
            <w:tcW w:w="1451" w:type="dxa"/>
          </w:tcPr>
          <w:p w14:paraId="62D4D708" w14:textId="62931D1F" w:rsidR="00832A17"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311</w:t>
            </w:r>
            <w:r w:rsidR="00776DA2" w:rsidRPr="0067091D">
              <w:t xml:space="preserve"> (</w:t>
            </w:r>
            <w:r w:rsidRPr="0067091D">
              <w:t>13</w:t>
            </w:r>
            <w:r w:rsidR="00776DA2" w:rsidRPr="0067091D">
              <w:t>)</w:t>
            </w:r>
          </w:p>
        </w:tc>
        <w:tc>
          <w:tcPr>
            <w:tcW w:w="1275" w:type="dxa"/>
          </w:tcPr>
          <w:p w14:paraId="1A4A44E5" w14:textId="40D12C11" w:rsidR="00F309F8" w:rsidRPr="0067091D" w:rsidRDefault="00776DA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w:t>
            </w:r>
            <w:r w:rsidR="001449C7" w:rsidRPr="0067091D">
              <w:t>3</w:t>
            </w:r>
          </w:p>
        </w:tc>
        <w:tc>
          <w:tcPr>
            <w:tcW w:w="1134" w:type="dxa"/>
          </w:tcPr>
          <w:p w14:paraId="2E41C9C1" w14:textId="3394610B" w:rsidR="00F309F8"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12.6</w:t>
            </w:r>
          </w:p>
        </w:tc>
        <w:tc>
          <w:tcPr>
            <w:tcW w:w="2060" w:type="dxa"/>
          </w:tcPr>
          <w:p w14:paraId="2CE5AC4F" w14:textId="5E5BA6CE" w:rsidR="00F309F8" w:rsidRPr="0067091D" w:rsidRDefault="00776DA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 xml:space="preserve"> </w:t>
            </w:r>
            <w:r w:rsidR="001449C7" w:rsidRPr="0067091D">
              <w:t>0.042 (0.022-0.070)</w:t>
            </w:r>
          </w:p>
        </w:tc>
        <w:tc>
          <w:tcPr>
            <w:tcW w:w="1683" w:type="dxa"/>
          </w:tcPr>
          <w:p w14:paraId="02101936" w14:textId="1312330C" w:rsidR="00F309F8"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1.03 (0.49-2.18)</w:t>
            </w:r>
          </w:p>
        </w:tc>
      </w:tr>
      <w:tr w:rsidR="00F309F8" w:rsidRPr="0067091D" w14:paraId="450E458B"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F68AF70" w14:textId="77777777" w:rsidR="00F309F8" w:rsidRPr="0067091D" w:rsidRDefault="00F309F8" w:rsidP="0067091D">
            <w:pPr>
              <w:rPr>
                <w:lang w:val="en-US"/>
              </w:rPr>
            </w:pPr>
            <w:r w:rsidRPr="0067091D">
              <w:t>Monash Medical Centre</w:t>
            </w:r>
          </w:p>
        </w:tc>
        <w:tc>
          <w:tcPr>
            <w:tcW w:w="1451" w:type="dxa"/>
          </w:tcPr>
          <w:p w14:paraId="5E1F2CFC" w14:textId="0B3F1CCC" w:rsidR="00832A17" w:rsidRPr="0067091D" w:rsidRDefault="00662A3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3</w:t>
            </w:r>
            <w:r w:rsidR="001449C7" w:rsidRPr="0067091D">
              <w:t>86</w:t>
            </w:r>
            <w:r w:rsidRPr="0067091D">
              <w:t xml:space="preserve"> (1</w:t>
            </w:r>
            <w:r w:rsidR="001449C7" w:rsidRPr="0067091D">
              <w:t>4</w:t>
            </w:r>
            <w:r w:rsidRPr="0067091D">
              <w:t>)</w:t>
            </w:r>
          </w:p>
        </w:tc>
        <w:tc>
          <w:tcPr>
            <w:tcW w:w="1275" w:type="dxa"/>
          </w:tcPr>
          <w:p w14:paraId="6D0D9C75" w14:textId="0F408286" w:rsidR="00F309F8" w:rsidRPr="0067091D" w:rsidRDefault="00662A3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2</w:t>
            </w:r>
            <w:r w:rsidR="001449C7" w:rsidRPr="0067091D">
              <w:t>0</w:t>
            </w:r>
          </w:p>
        </w:tc>
        <w:tc>
          <w:tcPr>
            <w:tcW w:w="1134" w:type="dxa"/>
          </w:tcPr>
          <w:p w14:paraId="3E381756" w14:textId="38DBFBF0" w:rsidR="00F309F8" w:rsidRPr="0067091D" w:rsidRDefault="00662A3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17.</w:t>
            </w:r>
            <w:r w:rsidR="001449C7" w:rsidRPr="0067091D">
              <w:t>4</w:t>
            </w:r>
          </w:p>
        </w:tc>
        <w:tc>
          <w:tcPr>
            <w:tcW w:w="2060" w:type="dxa"/>
          </w:tcPr>
          <w:p w14:paraId="08E40833" w14:textId="6A5CF4EF" w:rsidR="00F309F8" w:rsidRPr="0067091D" w:rsidRDefault="00662A3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 xml:space="preserve"> </w:t>
            </w:r>
            <w:r w:rsidR="001449C7" w:rsidRPr="0067091D">
              <w:t>0.062 (0.040-0.091)</w:t>
            </w:r>
          </w:p>
        </w:tc>
        <w:tc>
          <w:tcPr>
            <w:tcW w:w="1683" w:type="dxa"/>
          </w:tcPr>
          <w:p w14:paraId="2F1B4AB8" w14:textId="0B2D715C" w:rsidR="00F309F8"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1.15 (0.58-2.27)</w:t>
            </w:r>
          </w:p>
        </w:tc>
      </w:tr>
      <w:tr w:rsidR="00F309F8" w:rsidRPr="0067091D" w14:paraId="076C3A2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4F8EB106" w14:textId="77777777" w:rsidR="00F309F8" w:rsidRPr="0067091D" w:rsidRDefault="00F309F8" w:rsidP="0067091D">
            <w:pPr>
              <w:rPr>
                <w:lang w:val="en-US"/>
              </w:rPr>
            </w:pPr>
            <w:r w:rsidRPr="0067091D">
              <w:t>Royal Melbourne Hospital</w:t>
            </w:r>
          </w:p>
        </w:tc>
        <w:tc>
          <w:tcPr>
            <w:tcW w:w="1451" w:type="dxa"/>
          </w:tcPr>
          <w:p w14:paraId="302A109E" w14:textId="6962858D" w:rsidR="004E73C9" w:rsidRPr="0067091D" w:rsidRDefault="001449C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670 (52)</w:t>
            </w:r>
          </w:p>
        </w:tc>
        <w:tc>
          <w:tcPr>
            <w:tcW w:w="1275" w:type="dxa"/>
          </w:tcPr>
          <w:p w14:paraId="58CC4448" w14:textId="03AA55BB" w:rsidR="00F309F8" w:rsidRPr="0067091D" w:rsidRDefault="007657D5"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2</w:t>
            </w:r>
            <w:r w:rsidR="009717EF" w:rsidRPr="0067091D">
              <w:t>1</w:t>
            </w:r>
          </w:p>
        </w:tc>
        <w:tc>
          <w:tcPr>
            <w:tcW w:w="1134" w:type="dxa"/>
          </w:tcPr>
          <w:p w14:paraId="2F64518E" w14:textId="38A7A2CD" w:rsidR="00F309F8" w:rsidRPr="0067091D" w:rsidRDefault="009717E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25.7</w:t>
            </w:r>
          </w:p>
        </w:tc>
        <w:tc>
          <w:tcPr>
            <w:tcW w:w="2060" w:type="dxa"/>
          </w:tcPr>
          <w:p w14:paraId="36996E6E" w14:textId="5E0F8731" w:rsidR="00F309F8" w:rsidRPr="0067091D" w:rsidRDefault="009717E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0.034 (0.022-0.051)</w:t>
            </w:r>
          </w:p>
        </w:tc>
        <w:tc>
          <w:tcPr>
            <w:tcW w:w="1683" w:type="dxa"/>
          </w:tcPr>
          <w:p w14:paraId="372E547E" w14:textId="0E91A213" w:rsidR="00F309F8" w:rsidRPr="0067091D" w:rsidRDefault="009717E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 xml:space="preserve">0.82 (0.44-1.52) </w:t>
            </w:r>
          </w:p>
        </w:tc>
      </w:tr>
      <w:tr w:rsidR="00F309F8" w:rsidRPr="0067091D" w14:paraId="697A88E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5DFF6525" w14:textId="77777777" w:rsidR="00F309F8" w:rsidRPr="0067091D" w:rsidRDefault="00F309F8" w:rsidP="0067091D">
            <w:pPr>
              <w:rPr>
                <w:lang w:val="en-US"/>
              </w:rPr>
            </w:pPr>
            <w:r w:rsidRPr="0067091D">
              <w:t>St Vincent's Hospital</w:t>
            </w:r>
          </w:p>
        </w:tc>
        <w:tc>
          <w:tcPr>
            <w:tcW w:w="1451" w:type="dxa"/>
          </w:tcPr>
          <w:p w14:paraId="29D83620" w14:textId="04035E5D" w:rsidR="004E73C9" w:rsidRPr="0067091D" w:rsidRDefault="00BA7098"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126 (1)</w:t>
            </w:r>
          </w:p>
        </w:tc>
        <w:tc>
          <w:tcPr>
            <w:tcW w:w="1275" w:type="dxa"/>
          </w:tcPr>
          <w:p w14:paraId="66A142DD" w14:textId="1047D6C0" w:rsidR="00F309F8" w:rsidRPr="0067091D" w:rsidRDefault="00BA7098"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6</w:t>
            </w:r>
          </w:p>
        </w:tc>
        <w:tc>
          <w:tcPr>
            <w:tcW w:w="1134" w:type="dxa"/>
          </w:tcPr>
          <w:p w14:paraId="538EFEF0" w14:textId="2F0649BC" w:rsidR="00F309F8" w:rsidRPr="0067091D" w:rsidRDefault="00BA7098"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6.1</w:t>
            </w:r>
          </w:p>
        </w:tc>
        <w:tc>
          <w:tcPr>
            <w:tcW w:w="2060" w:type="dxa"/>
          </w:tcPr>
          <w:p w14:paraId="2FD7112F" w14:textId="1F477DCD" w:rsidR="00F309F8" w:rsidRPr="0067091D" w:rsidRDefault="00D3222C"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 xml:space="preserve"> </w:t>
            </w:r>
            <w:r w:rsidR="00BA7098" w:rsidRPr="0067091D">
              <w:t>0.056 (0.023-0.111)</w:t>
            </w:r>
          </w:p>
        </w:tc>
        <w:tc>
          <w:tcPr>
            <w:tcW w:w="1683" w:type="dxa"/>
          </w:tcPr>
          <w:p w14:paraId="68BB034D" w14:textId="14B1E669" w:rsidR="00F309F8" w:rsidRPr="0067091D" w:rsidRDefault="00BA7098"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0.98 (0.28-3.40)</w:t>
            </w:r>
          </w:p>
        </w:tc>
      </w:tr>
    </w:tbl>
    <w:p w14:paraId="028EC459" w14:textId="77777777" w:rsidR="00F309F8" w:rsidRPr="0067091D" w:rsidRDefault="00F309F8" w:rsidP="0067091D">
      <w:pPr>
        <w:pStyle w:val="Footer"/>
      </w:pPr>
      <w:r w:rsidRPr="0067091D">
        <w:t>*The number in brackets is the number of grafts excluded from analysis due to missing data.</w:t>
      </w:r>
    </w:p>
    <w:p w14:paraId="3A0F2C33" w14:textId="68B45F71" w:rsidR="00F309F8" w:rsidRPr="0067091D" w:rsidRDefault="00F309F8" w:rsidP="0067091D">
      <w:pPr>
        <w:pStyle w:val="Footer"/>
      </w:pPr>
      <w:r w:rsidRPr="0067091D">
        <w:t xml:space="preserve">Transplant procedures performed </w:t>
      </w:r>
      <w:r w:rsidR="008B0412" w:rsidRPr="0067091D">
        <w:t>2015-2020</w:t>
      </w:r>
    </w:p>
    <w:p w14:paraId="02C5015E" w14:textId="4C9D99B0" w:rsidR="00F309F8" w:rsidRPr="0067091D" w:rsidRDefault="00F309F8" w:rsidP="0067091D">
      <w:pPr>
        <w:pStyle w:val="Footer"/>
      </w:pPr>
      <w:r w:rsidRPr="0067091D">
        <w:t xml:space="preserve"># Sourced from ANZDATA Transplanting hospital report </w:t>
      </w:r>
      <w:r w:rsidR="008B0412" w:rsidRPr="0067091D">
        <w:t>2015 - 2020</w:t>
      </w:r>
      <w:r w:rsidRPr="0067091D">
        <w:t xml:space="preserve"> - available at: </w:t>
      </w:r>
      <w:r w:rsidR="00FC6491" w:rsidRPr="0067091D">
        <w:t xml:space="preserve"> </w:t>
      </w:r>
      <w:r w:rsidR="004B713A" w:rsidRPr="0067091D">
        <w:t>https://www.anzdata.org.au/anzdata/publications/reports/</w:t>
      </w:r>
    </w:p>
    <w:p w14:paraId="1608AC1E" w14:textId="039E77E0" w:rsidR="00271E7B" w:rsidRPr="0067091D" w:rsidRDefault="00271E7B" w:rsidP="0067091D">
      <w:pPr>
        <w:pStyle w:val="Footer"/>
      </w:pPr>
      <w:r w:rsidRPr="0067091D">
        <w:t>FDR CI = false discovery rate confidence interval</w:t>
      </w:r>
    </w:p>
    <w:p w14:paraId="63307BCC" w14:textId="7A680268" w:rsidR="0094441E" w:rsidRPr="0067091D" w:rsidRDefault="0094441E" w:rsidP="0067091D">
      <w:pPr>
        <w:pStyle w:val="Tablechartdiagramheading"/>
        <w:rPr>
          <w:lang w:val="en-US"/>
        </w:rPr>
      </w:pPr>
      <w:bookmarkStart w:id="54" w:name="_Hlk27127714"/>
      <w:r w:rsidRPr="0067091D">
        <w:rPr>
          <w:lang w:val="en-US"/>
        </w:rPr>
        <w:t xml:space="preserve">Risk-adjusted mortality ratios at 1 </w:t>
      </w:r>
      <w:r w:rsidRPr="0067091D">
        <w:t>year</w:t>
      </w:r>
      <w:r w:rsidRPr="0067091D">
        <w:rPr>
          <w:lang w:val="en-US"/>
        </w:rPr>
        <w:t xml:space="preserve"> following transplant for patients receiving a kidney transplant in Victorian health services</w:t>
      </w:r>
      <w:r w:rsidRPr="0067091D">
        <w:rPr>
          <w:vertAlign w:val="superscript"/>
          <w:lang w:val="en-US"/>
        </w:rPr>
        <w:t>#</w:t>
      </w:r>
    </w:p>
    <w:tbl>
      <w:tblPr>
        <w:tblStyle w:val="TableGrid21"/>
        <w:tblW w:w="10093" w:type="dxa"/>
        <w:tblLook w:val="04A0" w:firstRow="1" w:lastRow="0" w:firstColumn="1" w:lastColumn="0" w:noHBand="0" w:noVBand="1"/>
      </w:tblPr>
      <w:tblGrid>
        <w:gridCol w:w="2240"/>
        <w:gridCol w:w="1559"/>
        <w:gridCol w:w="1247"/>
        <w:gridCol w:w="1304"/>
        <w:gridCol w:w="2060"/>
        <w:gridCol w:w="1683"/>
      </w:tblGrid>
      <w:tr w:rsidR="00F309F8" w:rsidRPr="0067091D" w14:paraId="451D8FE3" w14:textId="77777777" w:rsidTr="001F5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04C65DD" w14:textId="54C0579B" w:rsidR="00F309F8" w:rsidRPr="0067091D" w:rsidRDefault="00F309F8" w:rsidP="0067091D">
            <w:pPr>
              <w:rPr>
                <w:lang w:val="en-US"/>
              </w:rPr>
            </w:pPr>
            <w:r w:rsidRPr="0067091D">
              <w:rPr>
                <w:lang w:val="en-US"/>
              </w:rPr>
              <w:t xml:space="preserve">Health </w:t>
            </w:r>
            <w:r w:rsidR="0094441E" w:rsidRPr="0067091D">
              <w:rPr>
                <w:lang w:val="en-US"/>
              </w:rPr>
              <w:t>s</w:t>
            </w:r>
            <w:r w:rsidRPr="0067091D">
              <w:rPr>
                <w:lang w:val="en-US"/>
              </w:rPr>
              <w:t>ervice</w:t>
            </w:r>
          </w:p>
        </w:tc>
        <w:tc>
          <w:tcPr>
            <w:tcW w:w="1559" w:type="dxa"/>
          </w:tcPr>
          <w:p w14:paraId="3DECC705"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Patients*</w:t>
            </w:r>
          </w:p>
        </w:tc>
        <w:tc>
          <w:tcPr>
            <w:tcW w:w="1247" w:type="dxa"/>
          </w:tcPr>
          <w:p w14:paraId="3F9BEED9"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Observed</w:t>
            </w:r>
          </w:p>
        </w:tc>
        <w:tc>
          <w:tcPr>
            <w:tcW w:w="1304" w:type="dxa"/>
          </w:tcPr>
          <w:p w14:paraId="5C26C11D" w14:textId="77777777"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Expected</w:t>
            </w:r>
          </w:p>
        </w:tc>
        <w:tc>
          <w:tcPr>
            <w:tcW w:w="2060" w:type="dxa"/>
          </w:tcPr>
          <w:p w14:paraId="55CB5DE9" w14:textId="03313863"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 xml:space="preserve">Observed </w:t>
            </w:r>
            <w:r w:rsidR="0094441E" w:rsidRPr="0067091D">
              <w:rPr>
                <w:lang w:val="en-US"/>
              </w:rPr>
              <w:t>r</w:t>
            </w:r>
            <w:r w:rsidRPr="0067091D">
              <w:rPr>
                <w:lang w:val="en-US"/>
              </w:rPr>
              <w:t xml:space="preserve">ate </w:t>
            </w:r>
            <w:r w:rsidR="002768A6" w:rsidRPr="0067091D">
              <w:rPr>
                <w:lang w:val="en-US"/>
              </w:rPr>
              <w:br/>
            </w:r>
            <w:r w:rsidRPr="0067091D">
              <w:rPr>
                <w:lang w:val="en-US"/>
              </w:rPr>
              <w:t>(95% CI)</w:t>
            </w:r>
          </w:p>
        </w:tc>
        <w:tc>
          <w:tcPr>
            <w:tcW w:w="1683" w:type="dxa"/>
          </w:tcPr>
          <w:p w14:paraId="760BFE09" w14:textId="27F91A2E" w:rsidR="00F309F8" w:rsidRPr="0067091D" w:rsidRDefault="00F309F8" w:rsidP="0067091D">
            <w:pPr>
              <w:cnfStyle w:val="100000000000" w:firstRow="1" w:lastRow="0" w:firstColumn="0" w:lastColumn="0" w:oddVBand="0" w:evenVBand="0" w:oddHBand="0" w:evenHBand="0" w:firstRowFirstColumn="0" w:firstRowLastColumn="0" w:lastRowFirstColumn="0" w:lastRowLastColumn="0"/>
              <w:rPr>
                <w:lang w:val="en-US"/>
              </w:rPr>
            </w:pPr>
            <w:r w:rsidRPr="0067091D">
              <w:rPr>
                <w:lang w:val="en-US"/>
              </w:rPr>
              <w:t>Ratio</w:t>
            </w:r>
            <w:r w:rsidR="002768A6" w:rsidRPr="0067091D">
              <w:rPr>
                <w:lang w:val="en-US"/>
              </w:rPr>
              <w:br/>
            </w:r>
            <w:r w:rsidRPr="0067091D">
              <w:rPr>
                <w:lang w:val="en-US"/>
              </w:rPr>
              <w:t>(95% FDR CI)</w:t>
            </w:r>
          </w:p>
        </w:tc>
      </w:tr>
      <w:tr w:rsidR="00F309F8" w:rsidRPr="0067091D" w14:paraId="456CD9A1"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1A25D19B" w14:textId="77777777" w:rsidR="00F309F8" w:rsidRPr="0067091D" w:rsidRDefault="00F309F8" w:rsidP="0067091D">
            <w:pPr>
              <w:rPr>
                <w:lang w:val="en-US"/>
              </w:rPr>
            </w:pPr>
            <w:r w:rsidRPr="0067091D">
              <w:t>Alfred Hospital</w:t>
            </w:r>
          </w:p>
        </w:tc>
        <w:tc>
          <w:tcPr>
            <w:tcW w:w="1559" w:type="dxa"/>
          </w:tcPr>
          <w:p w14:paraId="37E6EE7E" w14:textId="5542F1C3" w:rsidR="002A675C" w:rsidRPr="0067091D" w:rsidRDefault="00C94437" w:rsidP="0067091D">
            <w:pPr>
              <w:cnfStyle w:val="000000000000" w:firstRow="0" w:lastRow="0" w:firstColumn="0" w:lastColumn="0" w:oddVBand="0" w:evenVBand="0" w:oddHBand="0" w:evenHBand="0" w:firstRowFirstColumn="0" w:firstRowLastColumn="0" w:lastRowFirstColumn="0" w:lastRowLastColumn="0"/>
              <w:rPr>
                <w:lang w:val="en-US"/>
              </w:rPr>
            </w:pPr>
            <w:r w:rsidRPr="0067091D">
              <w:rPr>
                <w:lang w:val="en-US"/>
              </w:rPr>
              <w:t>116 (11)</w:t>
            </w:r>
          </w:p>
        </w:tc>
        <w:tc>
          <w:tcPr>
            <w:tcW w:w="1247" w:type="dxa"/>
          </w:tcPr>
          <w:p w14:paraId="315820AE" w14:textId="5B4EC484" w:rsidR="00F309F8" w:rsidRPr="0067091D" w:rsidRDefault="004466E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1</w:t>
            </w:r>
          </w:p>
        </w:tc>
        <w:tc>
          <w:tcPr>
            <w:tcW w:w="1304" w:type="dxa"/>
          </w:tcPr>
          <w:p w14:paraId="1CEA82F0" w14:textId="04419D96" w:rsidR="00F309F8" w:rsidRPr="0067091D" w:rsidRDefault="00C9443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1.7</w:t>
            </w:r>
          </w:p>
        </w:tc>
        <w:tc>
          <w:tcPr>
            <w:tcW w:w="2060" w:type="dxa"/>
          </w:tcPr>
          <w:p w14:paraId="6BADEEDA" w14:textId="64472B81" w:rsidR="00F309F8" w:rsidRPr="0067091D" w:rsidRDefault="004466E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 xml:space="preserve"> </w:t>
            </w:r>
            <w:r w:rsidR="00C94437" w:rsidRPr="0067091D">
              <w:rPr>
                <w:lang w:val="en-US"/>
              </w:rPr>
              <w:t>0.009 (0.000-0.047)</w:t>
            </w:r>
          </w:p>
        </w:tc>
        <w:tc>
          <w:tcPr>
            <w:tcW w:w="1683" w:type="dxa"/>
          </w:tcPr>
          <w:p w14:paraId="0AB10DD8" w14:textId="195CCD8E" w:rsidR="00F309F8" w:rsidRPr="0067091D" w:rsidRDefault="00C94437"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t>0.60 (0.11-3.30)</w:t>
            </w:r>
          </w:p>
        </w:tc>
      </w:tr>
      <w:tr w:rsidR="00F309F8" w:rsidRPr="0067091D" w14:paraId="581EBD8E"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BE5DE3C" w14:textId="77777777" w:rsidR="00F309F8" w:rsidRPr="0067091D" w:rsidRDefault="00F309F8" w:rsidP="0067091D">
            <w:pPr>
              <w:rPr>
                <w:lang w:val="en-US"/>
              </w:rPr>
            </w:pPr>
            <w:r w:rsidRPr="0067091D">
              <w:rPr>
                <w:lang w:val="en-US"/>
              </w:rPr>
              <w:t xml:space="preserve">Austin Hospital </w:t>
            </w:r>
          </w:p>
        </w:tc>
        <w:tc>
          <w:tcPr>
            <w:tcW w:w="1559" w:type="dxa"/>
          </w:tcPr>
          <w:p w14:paraId="3C8BA174" w14:textId="18468453" w:rsidR="002A675C" w:rsidRPr="0067091D" w:rsidRDefault="00BA1AC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 xml:space="preserve">285 (11) </w:t>
            </w:r>
            <w:r w:rsidR="00163FA1" w:rsidRPr="0067091D">
              <w:rPr>
                <w:lang w:val="en-US"/>
              </w:rPr>
              <w:t xml:space="preserve"> </w:t>
            </w:r>
          </w:p>
        </w:tc>
        <w:tc>
          <w:tcPr>
            <w:tcW w:w="1247" w:type="dxa"/>
          </w:tcPr>
          <w:p w14:paraId="53BDAA25" w14:textId="644F1F6B" w:rsidR="00F309F8" w:rsidRPr="0067091D" w:rsidRDefault="00BA1AC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5</w:t>
            </w:r>
          </w:p>
        </w:tc>
        <w:tc>
          <w:tcPr>
            <w:tcW w:w="1304" w:type="dxa"/>
          </w:tcPr>
          <w:p w14:paraId="2E352077" w14:textId="4A753FB6" w:rsidR="00F309F8" w:rsidRPr="0067091D" w:rsidRDefault="00BA1AC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5.9</w:t>
            </w:r>
          </w:p>
        </w:tc>
        <w:tc>
          <w:tcPr>
            <w:tcW w:w="2060" w:type="dxa"/>
          </w:tcPr>
          <w:p w14:paraId="472B3299" w14:textId="0F19FBEB" w:rsidR="00F309F8" w:rsidRPr="0067091D" w:rsidRDefault="00163FA1"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 xml:space="preserve"> </w:t>
            </w:r>
            <w:r w:rsidR="00BA1AC2" w:rsidRPr="0067091D">
              <w:rPr>
                <w:lang w:val="en-US"/>
              </w:rPr>
              <w:t>0.018 (0.006-0.040)</w:t>
            </w:r>
          </w:p>
        </w:tc>
        <w:tc>
          <w:tcPr>
            <w:tcW w:w="1683" w:type="dxa"/>
          </w:tcPr>
          <w:p w14:paraId="5F40E85A" w14:textId="72E20ED4" w:rsidR="00F309F8" w:rsidRPr="0067091D" w:rsidRDefault="00BA1AC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0.84 (0.18-3.95)</w:t>
            </w:r>
          </w:p>
        </w:tc>
      </w:tr>
      <w:tr w:rsidR="00F309F8" w:rsidRPr="0067091D" w14:paraId="26D1BC37"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2E5AC9E7" w14:textId="77777777" w:rsidR="00F309F8" w:rsidRPr="0067091D" w:rsidRDefault="00F309F8" w:rsidP="0067091D">
            <w:pPr>
              <w:rPr>
                <w:lang w:val="en-US"/>
              </w:rPr>
            </w:pPr>
            <w:r w:rsidRPr="0067091D">
              <w:t>Monash Medical Centre</w:t>
            </w:r>
          </w:p>
        </w:tc>
        <w:tc>
          <w:tcPr>
            <w:tcW w:w="1559" w:type="dxa"/>
          </w:tcPr>
          <w:p w14:paraId="6C006A2C" w14:textId="29E83F67" w:rsidR="002A675C" w:rsidRPr="0067091D" w:rsidRDefault="00FD7A2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335 (12)</w:t>
            </w:r>
          </w:p>
        </w:tc>
        <w:tc>
          <w:tcPr>
            <w:tcW w:w="1247" w:type="dxa"/>
          </w:tcPr>
          <w:p w14:paraId="66F61038" w14:textId="40287A2C" w:rsidR="00F309F8" w:rsidRPr="0067091D" w:rsidRDefault="00EC51B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9</w:t>
            </w:r>
          </w:p>
        </w:tc>
        <w:tc>
          <w:tcPr>
            <w:tcW w:w="1304" w:type="dxa"/>
          </w:tcPr>
          <w:p w14:paraId="08D92677" w14:textId="4DD516E7" w:rsidR="00F309F8" w:rsidRPr="0067091D" w:rsidRDefault="00EC51B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6.</w:t>
            </w:r>
            <w:r w:rsidR="00FD7A2A" w:rsidRPr="0067091D">
              <w:rPr>
                <w:lang w:val="en-US"/>
              </w:rPr>
              <w:t>6</w:t>
            </w:r>
          </w:p>
        </w:tc>
        <w:tc>
          <w:tcPr>
            <w:tcW w:w="2060" w:type="dxa"/>
          </w:tcPr>
          <w:p w14:paraId="0DA548D9" w14:textId="02DC7683" w:rsidR="00F309F8" w:rsidRPr="0067091D" w:rsidRDefault="00EC51B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 xml:space="preserve"> </w:t>
            </w:r>
            <w:r w:rsidR="00FD7A2A" w:rsidRPr="0067091D">
              <w:rPr>
                <w:lang w:val="en-US"/>
              </w:rPr>
              <w:t>0.027 (0.012-0.050)</w:t>
            </w:r>
          </w:p>
        </w:tc>
        <w:tc>
          <w:tcPr>
            <w:tcW w:w="1683" w:type="dxa"/>
          </w:tcPr>
          <w:p w14:paraId="18E8675B" w14:textId="5EBB23DB" w:rsidR="00F309F8" w:rsidRPr="0067091D" w:rsidRDefault="00FD7A2A"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1.36 (0.48-3.89)</w:t>
            </w:r>
          </w:p>
        </w:tc>
      </w:tr>
      <w:tr w:rsidR="00F309F8" w:rsidRPr="0067091D" w14:paraId="28055F1B"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572E5F9F" w14:textId="77777777" w:rsidR="00F309F8" w:rsidRPr="0067091D" w:rsidRDefault="00F309F8" w:rsidP="0067091D">
            <w:pPr>
              <w:rPr>
                <w:lang w:val="en-US"/>
              </w:rPr>
            </w:pPr>
            <w:r w:rsidRPr="0067091D">
              <w:t>Royal Melbourne Hospital</w:t>
            </w:r>
          </w:p>
        </w:tc>
        <w:tc>
          <w:tcPr>
            <w:tcW w:w="1559" w:type="dxa"/>
          </w:tcPr>
          <w:p w14:paraId="29174834" w14:textId="4C5B5F1A" w:rsidR="002A675C" w:rsidRPr="0067091D" w:rsidRDefault="00F163A3"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 xml:space="preserve">548 (38) </w:t>
            </w:r>
            <w:r w:rsidR="00902352" w:rsidRPr="0067091D">
              <w:rPr>
                <w:lang w:val="en-US"/>
              </w:rPr>
              <w:t xml:space="preserve"> </w:t>
            </w:r>
          </w:p>
        </w:tc>
        <w:tc>
          <w:tcPr>
            <w:tcW w:w="1247" w:type="dxa"/>
          </w:tcPr>
          <w:p w14:paraId="7D39CCE0" w14:textId="685C516B" w:rsidR="00F309F8" w:rsidRPr="0067091D" w:rsidRDefault="00F163A3"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9</w:t>
            </w:r>
          </w:p>
        </w:tc>
        <w:tc>
          <w:tcPr>
            <w:tcW w:w="1304" w:type="dxa"/>
          </w:tcPr>
          <w:p w14:paraId="2D75B359" w14:textId="38AC6211" w:rsidR="00F309F8" w:rsidRPr="0067091D" w:rsidRDefault="00902352"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8.</w:t>
            </w:r>
            <w:r w:rsidR="00F163A3" w:rsidRPr="0067091D">
              <w:rPr>
                <w:lang w:val="en-US"/>
              </w:rPr>
              <w:t>9</w:t>
            </w:r>
          </w:p>
        </w:tc>
        <w:tc>
          <w:tcPr>
            <w:tcW w:w="2060" w:type="dxa"/>
          </w:tcPr>
          <w:p w14:paraId="176E2E7B" w14:textId="483B0B1B" w:rsidR="00F309F8" w:rsidRPr="0067091D" w:rsidRDefault="00F163A3"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0.018 (0.009-0.033)</w:t>
            </w:r>
          </w:p>
        </w:tc>
        <w:tc>
          <w:tcPr>
            <w:tcW w:w="1683" w:type="dxa"/>
          </w:tcPr>
          <w:p w14:paraId="78F9F3A8" w14:textId="1C25D7FD" w:rsidR="00F309F8" w:rsidRPr="0067091D" w:rsidRDefault="00F163A3"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1.01 (0.37-2.77)</w:t>
            </w:r>
          </w:p>
        </w:tc>
      </w:tr>
      <w:tr w:rsidR="00F309F8" w:rsidRPr="0067091D" w14:paraId="57145E1D"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11E5803" w14:textId="77777777" w:rsidR="00F309F8" w:rsidRPr="0067091D" w:rsidRDefault="00F309F8" w:rsidP="0067091D">
            <w:pPr>
              <w:rPr>
                <w:lang w:val="en-US"/>
              </w:rPr>
            </w:pPr>
            <w:r w:rsidRPr="0067091D">
              <w:t>St Vincent's Hospital</w:t>
            </w:r>
          </w:p>
        </w:tc>
        <w:tc>
          <w:tcPr>
            <w:tcW w:w="1559" w:type="dxa"/>
          </w:tcPr>
          <w:p w14:paraId="342356B0" w14:textId="72DBBBD4" w:rsidR="00620CBE" w:rsidRPr="0067091D" w:rsidRDefault="00E05C3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110 (1)</w:t>
            </w:r>
          </w:p>
        </w:tc>
        <w:tc>
          <w:tcPr>
            <w:tcW w:w="1247" w:type="dxa"/>
          </w:tcPr>
          <w:p w14:paraId="4AC1717B" w14:textId="72C1B9AF" w:rsidR="00F309F8" w:rsidRPr="0067091D" w:rsidRDefault="00E05C3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1</w:t>
            </w:r>
          </w:p>
        </w:tc>
        <w:tc>
          <w:tcPr>
            <w:tcW w:w="1304" w:type="dxa"/>
          </w:tcPr>
          <w:p w14:paraId="7A2B69D3" w14:textId="0CFD7094" w:rsidR="00F309F8" w:rsidRPr="0067091D" w:rsidRDefault="00620CBE" w:rsidP="0067091D">
            <w:pPr>
              <w:cnfStyle w:val="000000000000" w:firstRow="0" w:lastRow="0" w:firstColumn="0" w:lastColumn="0" w:oddVBand="0" w:evenVBand="0" w:oddHBand="0" w:evenHBand="0" w:firstRowFirstColumn="0" w:firstRowLastColumn="0" w:lastRowFirstColumn="0" w:lastRowLastColumn="0"/>
              <w:rPr>
                <w:bCs/>
                <w:color w:val="FF0000"/>
                <w:lang w:val="en-US"/>
              </w:rPr>
            </w:pPr>
            <w:r w:rsidRPr="0067091D">
              <w:rPr>
                <w:lang w:val="en-US"/>
              </w:rPr>
              <w:t>2.</w:t>
            </w:r>
            <w:r w:rsidR="00E05C3F" w:rsidRPr="0067091D">
              <w:rPr>
                <w:lang w:val="en-US"/>
              </w:rPr>
              <w:t>6</w:t>
            </w:r>
          </w:p>
        </w:tc>
        <w:tc>
          <w:tcPr>
            <w:tcW w:w="2060" w:type="dxa"/>
          </w:tcPr>
          <w:p w14:paraId="6E87C44D" w14:textId="71D496EF" w:rsidR="00F309F8" w:rsidRPr="0067091D" w:rsidRDefault="00B2331C"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 xml:space="preserve"> </w:t>
            </w:r>
            <w:r w:rsidR="00E05C3F" w:rsidRPr="0067091D">
              <w:t xml:space="preserve"> </w:t>
            </w:r>
            <w:r w:rsidR="00E05C3F" w:rsidRPr="0067091D">
              <w:rPr>
                <w:lang w:val="en-US"/>
              </w:rPr>
              <w:t>0.009 (0.000-0.050)</w:t>
            </w:r>
          </w:p>
        </w:tc>
        <w:tc>
          <w:tcPr>
            <w:tcW w:w="1683" w:type="dxa"/>
          </w:tcPr>
          <w:p w14:paraId="6982B987" w14:textId="03AF3F5F" w:rsidR="00F309F8" w:rsidRPr="0067091D" w:rsidRDefault="00E05C3F" w:rsidP="0067091D">
            <w:pPr>
              <w:cnfStyle w:val="000000000000" w:firstRow="0" w:lastRow="0" w:firstColumn="0" w:lastColumn="0" w:oddVBand="0" w:evenVBand="0" w:oddHBand="0" w:evenHBand="0" w:firstRowFirstColumn="0" w:firstRowLastColumn="0" w:lastRowFirstColumn="0" w:lastRowLastColumn="0"/>
              <w:rPr>
                <w:color w:val="FF0000"/>
                <w:lang w:val="en-US"/>
              </w:rPr>
            </w:pPr>
            <w:r w:rsidRPr="0067091D">
              <w:rPr>
                <w:lang w:val="en-US"/>
              </w:rPr>
              <w:t>0.38 (0.06-2.34)</w:t>
            </w:r>
          </w:p>
        </w:tc>
      </w:tr>
    </w:tbl>
    <w:p w14:paraId="726946A2" w14:textId="77777777" w:rsidR="00F309F8" w:rsidRPr="0067091D" w:rsidRDefault="00F309F8" w:rsidP="0067091D">
      <w:pPr>
        <w:rPr>
          <w:rFonts w:eastAsia="Times New Roman"/>
          <w:lang w:val="en-US"/>
        </w:rPr>
      </w:pPr>
      <w:r w:rsidRPr="0067091D">
        <w:rPr>
          <w:rFonts w:eastAsia="Times New Roman"/>
          <w:lang w:val="en-US"/>
        </w:rPr>
        <w:t>*The number in brackets is the number of grafts excluded from analysis due to missing data.</w:t>
      </w:r>
    </w:p>
    <w:p w14:paraId="4BC7AC10" w14:textId="4E573ECA" w:rsidR="00F309F8" w:rsidRPr="0067091D" w:rsidRDefault="00F309F8" w:rsidP="0067091D">
      <w:pPr>
        <w:rPr>
          <w:rFonts w:eastAsia="Times New Roman"/>
          <w:lang w:val="en-US"/>
        </w:rPr>
      </w:pPr>
      <w:r w:rsidRPr="0067091D">
        <w:rPr>
          <w:rFonts w:eastAsia="Times New Roman"/>
          <w:lang w:val="en-US"/>
        </w:rPr>
        <w:t xml:space="preserve">Transplant procedures performed </w:t>
      </w:r>
      <w:r w:rsidR="008B0412" w:rsidRPr="0067091D">
        <w:rPr>
          <w:rFonts w:eastAsia="Times New Roman"/>
          <w:lang w:val="en-US"/>
        </w:rPr>
        <w:t>2015 - 2020</w:t>
      </w:r>
    </w:p>
    <w:p w14:paraId="79F719FE" w14:textId="4495F49D" w:rsidR="00F309F8" w:rsidRPr="0067091D" w:rsidRDefault="00F309F8" w:rsidP="0067091D">
      <w:pPr>
        <w:rPr>
          <w:rFonts w:eastAsia="Times New Roman"/>
          <w:lang w:val="en-US"/>
        </w:rPr>
      </w:pPr>
      <w:r w:rsidRPr="0067091D">
        <w:rPr>
          <w:rFonts w:eastAsia="Times New Roman"/>
          <w:lang w:val="en-US"/>
        </w:rPr>
        <w:t xml:space="preserve"># Sourced from ANZDATA Transplanting hospital report </w:t>
      </w:r>
      <w:r w:rsidR="008B0412" w:rsidRPr="0067091D">
        <w:rPr>
          <w:rFonts w:eastAsia="Times New Roman"/>
          <w:lang w:val="en-US"/>
        </w:rPr>
        <w:t>2015 - 2020</w:t>
      </w:r>
      <w:r w:rsidRPr="0067091D">
        <w:rPr>
          <w:rFonts w:eastAsia="Times New Roman"/>
          <w:lang w:val="en-US"/>
        </w:rPr>
        <w:t xml:space="preserve"> - available at: </w:t>
      </w:r>
      <w:r w:rsidR="00483489" w:rsidRPr="0067091D">
        <w:rPr>
          <w:rFonts w:eastAsia="Times New Roman"/>
          <w:lang w:val="en-US"/>
        </w:rPr>
        <w:t>https://www.anzdata.org.au/anzdata/publications/reports/</w:t>
      </w:r>
    </w:p>
    <w:p w14:paraId="0497BF30" w14:textId="51950C51" w:rsidR="00787233" w:rsidRPr="0067091D" w:rsidRDefault="00271E7B" w:rsidP="0067091D">
      <w:r w:rsidRPr="0067091D">
        <w:t>FDR CI = false discovery rate confidence interval</w:t>
      </w:r>
      <w:bookmarkStart w:id="55" w:name="_Hlk47535206"/>
      <w:bookmarkEnd w:id="54"/>
      <w:r w:rsidR="00824753" w:rsidRPr="0067091D">
        <w:br w:type="page"/>
      </w:r>
      <w:bookmarkEnd w:id="55"/>
    </w:p>
    <w:p w14:paraId="72F5F61A" w14:textId="063D80F1" w:rsidR="00616BF8" w:rsidRPr="0067091D" w:rsidRDefault="00787233" w:rsidP="0067091D">
      <w:pPr>
        <w:pStyle w:val="Heading1"/>
        <w:framePr w:wrap="around"/>
      </w:pPr>
      <w:bookmarkStart w:id="56" w:name="_Toc84923301"/>
      <w:bookmarkStart w:id="57" w:name="_Toc437851863"/>
      <w:r w:rsidRPr="0067091D">
        <w:lastRenderedPageBreak/>
        <w:t xml:space="preserve">Appendix </w:t>
      </w:r>
      <w:r w:rsidR="008C7BE8" w:rsidRPr="0067091D">
        <w:t>1:</w:t>
      </w:r>
      <w:r w:rsidRPr="0067091D">
        <w:t xml:space="preserve"> </w:t>
      </w:r>
      <w:r w:rsidR="00C44BA3" w:rsidRPr="0067091D">
        <w:t>Detailed definitions</w:t>
      </w:r>
      <w:bookmarkStart w:id="58" w:name="_Toc526952103"/>
      <w:bookmarkEnd w:id="56"/>
    </w:p>
    <w:p w14:paraId="0738CAEB" w14:textId="57790743" w:rsidR="00787233" w:rsidRPr="0067091D" w:rsidRDefault="00787233" w:rsidP="0067091D">
      <w:pPr>
        <w:pStyle w:val="Heading2"/>
      </w:pPr>
      <w:bookmarkStart w:id="59" w:name="_Toc84923302"/>
      <w:r w:rsidRPr="0067091D">
        <w:t>KPI 1</w:t>
      </w:r>
      <w:r w:rsidR="00086820" w:rsidRPr="0067091D">
        <w:t xml:space="preserve">: </w:t>
      </w:r>
      <w:r w:rsidRPr="0067091D">
        <w:t>Proportion of new, planned patients who have received CKD education before starting dialysis</w:t>
      </w:r>
      <w:bookmarkEnd w:id="57"/>
      <w:bookmarkEnd w:id="58"/>
      <w:bookmarkEnd w:id="59"/>
    </w:p>
    <w:p w14:paraId="28CD4FB2" w14:textId="03DA1C57" w:rsidR="00787233" w:rsidRPr="0067091D" w:rsidRDefault="00787233" w:rsidP="0067091D">
      <w:pPr>
        <w:pStyle w:val="Heading3"/>
      </w:pPr>
      <w:bookmarkStart w:id="60" w:name="_Toc526952104"/>
      <w:bookmarkStart w:id="61" w:name="_Toc59519947"/>
      <w:r w:rsidRPr="0067091D">
        <w:t>Definition</w:t>
      </w:r>
      <w:bookmarkEnd w:id="60"/>
      <w:r w:rsidR="00C44BA3" w:rsidRPr="0067091D">
        <w:t>s</w:t>
      </w:r>
      <w:bookmarkEnd w:id="61"/>
    </w:p>
    <w:p w14:paraId="67772D96" w14:textId="7D5EB15A" w:rsidR="00787233" w:rsidRPr="0067091D" w:rsidRDefault="00787233" w:rsidP="00787233">
      <w:pPr>
        <w:pStyle w:val="Bullet1"/>
        <w:rPr>
          <w:rFonts w:asciiTheme="minorHAnsi" w:hAnsiTheme="minorHAnsi" w:cstheme="minorHAnsi"/>
        </w:rPr>
      </w:pPr>
      <w:r w:rsidRPr="0067091D">
        <w:rPr>
          <w:rFonts w:asciiTheme="minorHAnsi" w:hAnsiTheme="minorHAnsi" w:cstheme="minorHAnsi"/>
          <w:sz w:val="22"/>
          <w:szCs w:val="24"/>
        </w:rPr>
        <w:t>‘</w:t>
      </w:r>
      <w:r w:rsidR="0049029A" w:rsidRPr="0067091D">
        <w:rPr>
          <w:rFonts w:asciiTheme="minorHAnsi" w:hAnsiTheme="minorHAnsi" w:cstheme="minorHAnsi"/>
        </w:rPr>
        <w:t>Planned’ patients are those that were referred and have had their initial consultation with any public or private nephrologist earlier than three months before starting renal replacement therapy (RRT</w:t>
      </w:r>
      <w:proofErr w:type="gramStart"/>
      <w:r w:rsidR="0049029A" w:rsidRPr="0067091D">
        <w:rPr>
          <w:rFonts w:asciiTheme="minorHAnsi" w:hAnsiTheme="minorHAnsi" w:cstheme="minorHAnsi"/>
        </w:rPr>
        <w:t>), and</w:t>
      </w:r>
      <w:proofErr w:type="gramEnd"/>
      <w:r w:rsidR="0049029A" w:rsidRPr="0067091D">
        <w:rPr>
          <w:rFonts w:asciiTheme="minorHAnsi" w:hAnsiTheme="minorHAnsi" w:cstheme="minorHAnsi"/>
        </w:rPr>
        <w:t xml:space="preserve"> have been seen by a nephrologist (public or private) in the preceding three years.</w:t>
      </w:r>
    </w:p>
    <w:p w14:paraId="621CD019" w14:textId="211265C6"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CKD education is defined as either attending a CKD session or a one-on-one session with a member of the CKD team (not a nephrologist consultation only). This education session is to be documented in the patient’s medical record</w:t>
      </w:r>
      <w:r w:rsidR="001F5381" w:rsidRPr="0067091D">
        <w:rPr>
          <w:rFonts w:asciiTheme="minorHAnsi" w:hAnsiTheme="minorHAnsi" w:cstheme="minorHAnsi"/>
        </w:rPr>
        <w:t>.</w:t>
      </w:r>
    </w:p>
    <w:p w14:paraId="06682B8C" w14:textId="59D72190"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Numerator: All new, planned patients who have received CKD education before starting dialysis</w:t>
      </w:r>
      <w:r w:rsidR="001F5381" w:rsidRPr="0067091D">
        <w:rPr>
          <w:rFonts w:asciiTheme="minorHAnsi" w:hAnsiTheme="minorHAnsi" w:cstheme="minorHAnsi"/>
        </w:rPr>
        <w:t>.</w:t>
      </w:r>
    </w:p>
    <w:p w14:paraId="655B52E1" w14:textId="2D2F79D7"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Denominator: All new planned patients who have started dialysis</w:t>
      </w:r>
      <w:r w:rsidR="001F5381" w:rsidRPr="0067091D">
        <w:rPr>
          <w:rFonts w:asciiTheme="minorHAnsi" w:hAnsiTheme="minorHAnsi" w:cstheme="minorHAnsi"/>
        </w:rPr>
        <w:t>.</w:t>
      </w:r>
    </w:p>
    <w:p w14:paraId="5E77D6BF" w14:textId="517EC304" w:rsidR="00B723EE" w:rsidRPr="0067091D" w:rsidRDefault="00B723EE" w:rsidP="00787233">
      <w:pPr>
        <w:pStyle w:val="Bullet1"/>
        <w:rPr>
          <w:rFonts w:asciiTheme="minorHAnsi" w:hAnsiTheme="minorHAnsi" w:cstheme="minorHAnsi"/>
        </w:rPr>
      </w:pPr>
      <w:r w:rsidRPr="0067091D">
        <w:rPr>
          <w:rFonts w:asciiTheme="minorHAnsi" w:hAnsiTheme="minorHAnsi" w:cstheme="minorHAnsi"/>
        </w:rPr>
        <w:t>Inclusions:</w:t>
      </w:r>
    </w:p>
    <w:p w14:paraId="7DEB0022" w14:textId="483C83AE" w:rsidR="00B723EE" w:rsidRPr="0067091D" w:rsidRDefault="00B723EE" w:rsidP="00C32572">
      <w:pPr>
        <w:pStyle w:val="Bullet2"/>
        <w:rPr>
          <w:rFonts w:asciiTheme="minorHAnsi" w:hAnsiTheme="minorHAnsi" w:cstheme="minorHAnsi"/>
        </w:rPr>
      </w:pPr>
      <w:r w:rsidRPr="0067091D">
        <w:rPr>
          <w:rFonts w:asciiTheme="minorHAnsi" w:hAnsiTheme="minorHAnsi" w:cstheme="minorHAnsi"/>
        </w:rPr>
        <w:t>Patients included would need to be considered as a chronic dialysis patient, defined as having commenced maintenance dialysis, and a medical opinion that recovery of kidney function and independence from RRT is not expected.</w:t>
      </w:r>
    </w:p>
    <w:p w14:paraId="070C63FF" w14:textId="6346D99D" w:rsidR="00B723EE" w:rsidRPr="0067091D" w:rsidRDefault="00B723EE" w:rsidP="00C32572">
      <w:pPr>
        <w:pStyle w:val="Bullet2"/>
        <w:rPr>
          <w:rFonts w:asciiTheme="minorHAnsi" w:hAnsiTheme="minorHAnsi" w:cstheme="minorHAnsi"/>
        </w:rPr>
      </w:pPr>
      <w:r w:rsidRPr="0067091D">
        <w:rPr>
          <w:rFonts w:asciiTheme="minorHAnsi" w:hAnsiTheme="minorHAnsi" w:cstheme="minorHAnsi"/>
        </w:rPr>
        <w:t xml:space="preserve">Patients who previously received </w:t>
      </w:r>
      <w:r w:rsidR="008D634D" w:rsidRPr="0067091D">
        <w:rPr>
          <w:rFonts w:asciiTheme="minorHAnsi" w:hAnsiTheme="minorHAnsi" w:cstheme="minorHAnsi"/>
        </w:rPr>
        <w:t xml:space="preserve">CKD care or </w:t>
      </w:r>
      <w:r w:rsidRPr="0067091D">
        <w:rPr>
          <w:rFonts w:asciiTheme="minorHAnsi" w:hAnsiTheme="minorHAnsi" w:cstheme="minorHAnsi"/>
        </w:rPr>
        <w:t>education at another health service.</w:t>
      </w:r>
    </w:p>
    <w:p w14:paraId="7B876457" w14:textId="77777777"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Exclusions: </w:t>
      </w:r>
    </w:p>
    <w:p w14:paraId="14215F4F" w14:textId="17AD2D34" w:rsidR="00787233" w:rsidRPr="0067091D" w:rsidRDefault="00787233" w:rsidP="00787233">
      <w:pPr>
        <w:pStyle w:val="Bullet2"/>
        <w:rPr>
          <w:rFonts w:asciiTheme="minorHAnsi" w:hAnsiTheme="minorHAnsi" w:cstheme="minorHAnsi"/>
        </w:rPr>
      </w:pPr>
      <w:r w:rsidRPr="0067091D">
        <w:rPr>
          <w:rFonts w:asciiTheme="minorHAnsi" w:hAnsiTheme="minorHAnsi" w:cstheme="minorHAnsi"/>
        </w:rPr>
        <w:t>Late referrals (patients commencing dialysis within three months of first renal consultation)</w:t>
      </w:r>
      <w:r w:rsidR="001F5381" w:rsidRPr="0067091D">
        <w:rPr>
          <w:rFonts w:asciiTheme="minorHAnsi" w:hAnsiTheme="minorHAnsi" w:cstheme="minorHAnsi"/>
        </w:rPr>
        <w:t>.</w:t>
      </w:r>
    </w:p>
    <w:p w14:paraId="5F521D5C" w14:textId="2EC005D9" w:rsidR="00787233" w:rsidRPr="0067091D" w:rsidRDefault="00787233" w:rsidP="00787233">
      <w:pPr>
        <w:pStyle w:val="Bullet2"/>
        <w:rPr>
          <w:rFonts w:asciiTheme="minorHAnsi" w:hAnsiTheme="minorHAnsi" w:cstheme="minorHAnsi"/>
        </w:rPr>
      </w:pPr>
      <w:r w:rsidRPr="0067091D">
        <w:rPr>
          <w:rFonts w:asciiTheme="minorHAnsi" w:hAnsiTheme="minorHAnsi" w:cstheme="minorHAnsi"/>
        </w:rPr>
        <w:t xml:space="preserve">Patients returning to dialysis </w:t>
      </w:r>
      <w:r w:rsidR="00E3450C" w:rsidRPr="0067091D">
        <w:rPr>
          <w:rFonts w:asciiTheme="minorHAnsi" w:hAnsiTheme="minorHAnsi" w:cstheme="minorHAnsi"/>
        </w:rPr>
        <w:t>after</w:t>
      </w:r>
      <w:r w:rsidRPr="0067091D">
        <w:rPr>
          <w:rFonts w:asciiTheme="minorHAnsi" w:hAnsiTheme="minorHAnsi" w:cstheme="minorHAnsi"/>
        </w:rPr>
        <w:t xml:space="preserve"> a failed </w:t>
      </w:r>
      <w:r w:rsidR="00E3450C" w:rsidRPr="0067091D">
        <w:rPr>
          <w:rFonts w:asciiTheme="minorHAnsi" w:hAnsiTheme="minorHAnsi" w:cstheme="minorHAnsi"/>
        </w:rPr>
        <w:t xml:space="preserve">kidney </w:t>
      </w:r>
      <w:r w:rsidRPr="0067091D">
        <w:rPr>
          <w:rFonts w:asciiTheme="minorHAnsi" w:hAnsiTheme="minorHAnsi" w:cstheme="minorHAnsi"/>
        </w:rPr>
        <w:t>transplant</w:t>
      </w:r>
      <w:r w:rsidR="001F5381" w:rsidRPr="0067091D">
        <w:rPr>
          <w:rFonts w:asciiTheme="minorHAnsi" w:hAnsiTheme="minorHAnsi" w:cstheme="minorHAnsi"/>
        </w:rPr>
        <w:t>.</w:t>
      </w:r>
    </w:p>
    <w:p w14:paraId="3B2B3480" w14:textId="4BAC5EDC" w:rsidR="00E3450C" w:rsidRPr="0067091D" w:rsidRDefault="00E3450C" w:rsidP="00E3450C">
      <w:pPr>
        <w:pStyle w:val="Bullet2"/>
        <w:rPr>
          <w:rFonts w:asciiTheme="minorHAnsi" w:hAnsiTheme="minorHAnsi" w:cstheme="minorHAnsi"/>
        </w:rPr>
      </w:pPr>
      <w:r w:rsidRPr="0067091D">
        <w:rPr>
          <w:rFonts w:asciiTheme="minorHAnsi" w:hAnsiTheme="minorHAnsi" w:cstheme="minorHAnsi"/>
        </w:rPr>
        <w:t>Patients who have not had any renal consultation (public or private nephrologist) within the previous three years</w:t>
      </w:r>
      <w:r w:rsidR="001F5381" w:rsidRPr="0067091D">
        <w:rPr>
          <w:rFonts w:asciiTheme="minorHAnsi" w:hAnsiTheme="minorHAnsi" w:cstheme="minorHAnsi"/>
        </w:rPr>
        <w:t>.</w:t>
      </w:r>
    </w:p>
    <w:p w14:paraId="0389DA6F" w14:textId="6F63331A" w:rsidR="00E3450C" w:rsidRPr="0067091D" w:rsidRDefault="00E3450C" w:rsidP="00E3450C">
      <w:pPr>
        <w:pStyle w:val="Bullet2"/>
        <w:rPr>
          <w:rFonts w:asciiTheme="minorHAnsi" w:hAnsiTheme="minorHAnsi" w:cstheme="minorHAnsi"/>
        </w:rPr>
      </w:pPr>
      <w:r w:rsidRPr="0067091D">
        <w:rPr>
          <w:rFonts w:asciiTheme="minorHAnsi" w:hAnsiTheme="minorHAnsi" w:cstheme="minorHAnsi"/>
        </w:rPr>
        <w:t>People switching from haemodialysis (HD) to peritoneal dialysis (PD) or vice versa</w:t>
      </w:r>
      <w:r w:rsidR="001F5381" w:rsidRPr="0067091D">
        <w:rPr>
          <w:rFonts w:asciiTheme="minorHAnsi" w:hAnsiTheme="minorHAnsi" w:cstheme="minorHAnsi"/>
        </w:rPr>
        <w:t>.</w:t>
      </w:r>
    </w:p>
    <w:p w14:paraId="5A8D962F" w14:textId="752D8C10" w:rsidR="00E3450C" w:rsidRPr="0067091D" w:rsidRDefault="00E3450C" w:rsidP="00E3450C">
      <w:pPr>
        <w:pStyle w:val="Bullet2"/>
        <w:rPr>
          <w:rFonts w:asciiTheme="minorHAnsi" w:hAnsiTheme="minorHAnsi" w:cstheme="minorHAnsi"/>
        </w:rPr>
      </w:pPr>
      <w:r w:rsidRPr="0067091D">
        <w:rPr>
          <w:rFonts w:asciiTheme="minorHAnsi" w:hAnsiTheme="minorHAnsi" w:cstheme="minorHAnsi"/>
        </w:rPr>
        <w:t>Patients receiving a kidney transplant</w:t>
      </w:r>
      <w:r w:rsidR="001F5381" w:rsidRPr="0067091D">
        <w:rPr>
          <w:rFonts w:asciiTheme="minorHAnsi" w:hAnsiTheme="minorHAnsi" w:cstheme="minorHAnsi"/>
        </w:rPr>
        <w:t>.</w:t>
      </w:r>
    </w:p>
    <w:p w14:paraId="7CC058E7" w14:textId="1161EF7F" w:rsidR="00E3450C" w:rsidRPr="0067091D" w:rsidRDefault="00E3450C" w:rsidP="00E3450C">
      <w:pPr>
        <w:pStyle w:val="Bullet2"/>
        <w:rPr>
          <w:rFonts w:asciiTheme="minorHAnsi" w:hAnsiTheme="minorHAnsi" w:cstheme="minorHAnsi"/>
        </w:rPr>
      </w:pPr>
      <w:r w:rsidRPr="0067091D">
        <w:rPr>
          <w:rFonts w:asciiTheme="minorHAnsi" w:hAnsiTheme="minorHAnsi" w:cstheme="minorHAnsi"/>
        </w:rPr>
        <w:t>Patients who have chosen to have supportive care</w:t>
      </w:r>
      <w:r w:rsidR="001F5381" w:rsidRPr="0067091D">
        <w:rPr>
          <w:rFonts w:asciiTheme="minorHAnsi" w:hAnsiTheme="minorHAnsi" w:cstheme="minorHAnsi"/>
        </w:rPr>
        <w:t>.</w:t>
      </w:r>
    </w:p>
    <w:p w14:paraId="4EC4F7AA" w14:textId="77777777" w:rsidR="008537AA" w:rsidRPr="0067091D" w:rsidRDefault="008537AA" w:rsidP="0067091D">
      <w:pPr>
        <w:rPr>
          <w:rFonts w:eastAsiaTheme="majorEastAsia"/>
          <w:color w:val="007586" w:themeColor="text2"/>
          <w:sz w:val="24"/>
          <w:szCs w:val="26"/>
        </w:rPr>
      </w:pPr>
      <w:bookmarkStart w:id="62" w:name="_Toc437851864"/>
      <w:bookmarkStart w:id="63" w:name="_Toc526952107"/>
      <w:r w:rsidRPr="0067091D">
        <w:br w:type="page"/>
      </w:r>
    </w:p>
    <w:p w14:paraId="6BB500F3" w14:textId="16B57538" w:rsidR="001F5381" w:rsidRPr="0067091D" w:rsidRDefault="00787233" w:rsidP="0067091D">
      <w:pPr>
        <w:pStyle w:val="Heading2"/>
      </w:pPr>
      <w:bookmarkStart w:id="64" w:name="_Toc84923303"/>
      <w:r w:rsidRPr="0067091D">
        <w:lastRenderedPageBreak/>
        <w:t>KPI 2:</w:t>
      </w:r>
      <w:bookmarkEnd w:id="62"/>
      <w:r w:rsidR="00086820" w:rsidRPr="0067091D">
        <w:t xml:space="preserve"> </w:t>
      </w:r>
      <w:bookmarkEnd w:id="63"/>
      <w:r w:rsidR="00243676" w:rsidRPr="0067091D">
        <w:t>T</w:t>
      </w:r>
      <w:r w:rsidR="001F5381" w:rsidRPr="0067091D">
        <w:t>he proportion of planned maintenance haemodialysis (HD) patients who successfully use an arteriovenous fistula (AVF) or gratf (AVG) access at first HD treatment</w:t>
      </w:r>
      <w:bookmarkEnd w:id="64"/>
    </w:p>
    <w:p w14:paraId="7B1E2063" w14:textId="121E1403" w:rsidR="00787233" w:rsidRPr="0067091D" w:rsidRDefault="00787233" w:rsidP="0067091D">
      <w:pPr>
        <w:pStyle w:val="Heading3"/>
      </w:pPr>
      <w:bookmarkStart w:id="65" w:name="_Toc526952108"/>
      <w:bookmarkStart w:id="66" w:name="_Toc59519949"/>
      <w:r w:rsidRPr="0067091D">
        <w:t>Definition</w:t>
      </w:r>
      <w:bookmarkEnd w:id="65"/>
      <w:r w:rsidR="00C44BA3" w:rsidRPr="0067091D">
        <w:t>s</w:t>
      </w:r>
      <w:bookmarkEnd w:id="66"/>
      <w:r w:rsidR="00243676" w:rsidRPr="0067091D" w:rsidDel="00243676">
        <w:t xml:space="preserve"> </w:t>
      </w:r>
    </w:p>
    <w:p w14:paraId="0B02A71F" w14:textId="77777777" w:rsidR="00243676" w:rsidRPr="0067091D" w:rsidRDefault="00243676" w:rsidP="00243676">
      <w:pPr>
        <w:pStyle w:val="Bullet1"/>
        <w:rPr>
          <w:rFonts w:asciiTheme="minorHAnsi" w:hAnsiTheme="minorHAnsi" w:cstheme="minorHAnsi"/>
        </w:rPr>
      </w:pPr>
      <w:r w:rsidRPr="0067091D">
        <w:rPr>
          <w:rFonts w:asciiTheme="minorHAnsi" w:hAnsiTheme="minorHAnsi" w:cstheme="minorHAnsi"/>
        </w:rPr>
        <w:t>‘Planned’ maintenance HD patients are defined as patients commencing maintenance HD that are not late referrals. This includes patients who are doing maintenance HD as their first RRT modality, and patients who have previously been on PD or have had a kidney transplant.</w:t>
      </w:r>
    </w:p>
    <w:p w14:paraId="7FD1FE7D" w14:textId="7F415086" w:rsidR="00243676" w:rsidRPr="0067091D" w:rsidRDefault="00243676" w:rsidP="00243676">
      <w:pPr>
        <w:pStyle w:val="Bullet1"/>
        <w:rPr>
          <w:rFonts w:asciiTheme="minorHAnsi" w:hAnsiTheme="minorHAnsi" w:cstheme="minorHAnsi"/>
        </w:rPr>
      </w:pPr>
      <w:r w:rsidRPr="0067091D">
        <w:rPr>
          <w:rFonts w:asciiTheme="minorHAnsi" w:hAnsiTheme="minorHAnsi" w:cstheme="minorHAnsi"/>
        </w:rPr>
        <w:t xml:space="preserve">‘Planned’ patients are those that were referred and have had their initial consultation with any public or private nephrologist earlier than three months before starting </w:t>
      </w:r>
      <w:proofErr w:type="gramStart"/>
      <w:r w:rsidRPr="0067091D">
        <w:rPr>
          <w:rFonts w:asciiTheme="minorHAnsi" w:hAnsiTheme="minorHAnsi" w:cstheme="minorHAnsi"/>
        </w:rPr>
        <w:t>RRT, and</w:t>
      </w:r>
      <w:proofErr w:type="gramEnd"/>
      <w:r w:rsidRPr="0067091D">
        <w:rPr>
          <w:rFonts w:asciiTheme="minorHAnsi" w:hAnsiTheme="minorHAnsi" w:cstheme="minorHAnsi"/>
        </w:rPr>
        <w:t xml:space="preserve"> have seen a nephrologist (public or private) in the previous three years.</w:t>
      </w:r>
    </w:p>
    <w:p w14:paraId="361D0463" w14:textId="77777777" w:rsidR="00243676" w:rsidRPr="0067091D" w:rsidRDefault="00243676" w:rsidP="00243676">
      <w:pPr>
        <w:pStyle w:val="Bullet1"/>
        <w:rPr>
          <w:rFonts w:asciiTheme="minorHAnsi" w:hAnsiTheme="minorHAnsi" w:cstheme="minorHAnsi"/>
        </w:rPr>
      </w:pPr>
      <w:r w:rsidRPr="0067091D">
        <w:rPr>
          <w:rFonts w:asciiTheme="minorHAnsi" w:hAnsiTheme="minorHAnsi" w:cstheme="minorHAnsi"/>
        </w:rPr>
        <w:t xml:space="preserve">Arteriovenous vascular access is defined as either an arterio-venous fistula (AVF) or an arterio-venous graft (AVG). </w:t>
      </w:r>
    </w:p>
    <w:p w14:paraId="07F211EB" w14:textId="4F88974B" w:rsidR="00243676" w:rsidRPr="0067091D" w:rsidRDefault="00243676" w:rsidP="006C20CE">
      <w:pPr>
        <w:pStyle w:val="Bullet1"/>
        <w:rPr>
          <w:rFonts w:asciiTheme="minorHAnsi" w:hAnsiTheme="minorHAnsi" w:cstheme="minorHAnsi"/>
        </w:rPr>
      </w:pPr>
      <w:r w:rsidRPr="0067091D">
        <w:rPr>
          <w:rFonts w:asciiTheme="minorHAnsi" w:hAnsiTheme="minorHAnsi" w:cstheme="minorHAnsi"/>
        </w:rPr>
        <w:t xml:space="preserve">’Successful use of arteriovenous vascular access (fistula or graft) at first </w:t>
      </w:r>
      <w:proofErr w:type="gramStart"/>
      <w:r w:rsidRPr="0067091D">
        <w:rPr>
          <w:rFonts w:asciiTheme="minorHAnsi" w:hAnsiTheme="minorHAnsi" w:cstheme="minorHAnsi"/>
        </w:rPr>
        <w:t>treatment‘ is</w:t>
      </w:r>
      <w:proofErr w:type="gramEnd"/>
      <w:r w:rsidRPr="0067091D">
        <w:rPr>
          <w:rFonts w:asciiTheme="minorHAnsi" w:hAnsiTheme="minorHAnsi" w:cstheme="minorHAnsi"/>
        </w:rPr>
        <w:t xml:space="preserve"> defined as not requiring a central venous catheter for the first HD treatment. </w:t>
      </w:r>
    </w:p>
    <w:p w14:paraId="4DCD7BB6" w14:textId="33AAAB05"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Numerator: Number of planned patients starting</w:t>
      </w:r>
      <w:r w:rsidR="00B723EE" w:rsidRPr="0067091D">
        <w:rPr>
          <w:rFonts w:asciiTheme="minorHAnsi" w:hAnsiTheme="minorHAnsi" w:cstheme="minorHAnsi"/>
        </w:rPr>
        <w:t xml:space="preserve"> maintenance</w:t>
      </w:r>
      <w:r w:rsidRPr="0067091D">
        <w:rPr>
          <w:rFonts w:asciiTheme="minorHAnsi" w:hAnsiTheme="minorHAnsi" w:cstheme="minorHAnsi"/>
        </w:rPr>
        <w:t xml:space="preserve"> HD using an AVF/AVG</w:t>
      </w:r>
      <w:r w:rsidR="001F5381" w:rsidRPr="0067091D">
        <w:rPr>
          <w:rFonts w:asciiTheme="minorHAnsi" w:hAnsiTheme="minorHAnsi" w:cstheme="minorHAnsi"/>
        </w:rPr>
        <w:t>.</w:t>
      </w:r>
    </w:p>
    <w:p w14:paraId="5F0FD7CC" w14:textId="356FA733"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Denominator: Total number of planned patients starting </w:t>
      </w:r>
      <w:r w:rsidR="00605C67" w:rsidRPr="0067091D">
        <w:rPr>
          <w:rFonts w:asciiTheme="minorHAnsi" w:hAnsiTheme="minorHAnsi" w:cstheme="minorHAnsi"/>
        </w:rPr>
        <w:t xml:space="preserve">maintenance </w:t>
      </w:r>
      <w:r w:rsidRPr="0067091D">
        <w:rPr>
          <w:rFonts w:asciiTheme="minorHAnsi" w:hAnsiTheme="minorHAnsi" w:cstheme="minorHAnsi"/>
        </w:rPr>
        <w:t>HD</w:t>
      </w:r>
      <w:r w:rsidR="001F5381" w:rsidRPr="0067091D">
        <w:rPr>
          <w:rFonts w:asciiTheme="minorHAnsi" w:hAnsiTheme="minorHAnsi" w:cstheme="minorHAnsi"/>
        </w:rPr>
        <w:t>.</w:t>
      </w:r>
    </w:p>
    <w:p w14:paraId="7C75D187" w14:textId="77777777" w:rsidR="00D97ECE" w:rsidRPr="0067091D" w:rsidRDefault="00C066DB" w:rsidP="00D97ECE">
      <w:pPr>
        <w:pStyle w:val="Bullet1"/>
        <w:rPr>
          <w:rFonts w:asciiTheme="minorHAnsi" w:hAnsiTheme="minorHAnsi" w:cstheme="minorHAnsi"/>
        </w:rPr>
      </w:pPr>
      <w:r w:rsidRPr="0067091D">
        <w:rPr>
          <w:rFonts w:asciiTheme="minorHAnsi" w:hAnsiTheme="minorHAnsi" w:cstheme="minorHAnsi"/>
        </w:rPr>
        <w:t xml:space="preserve">Inclusions: </w:t>
      </w:r>
    </w:p>
    <w:p w14:paraId="3927C2A5" w14:textId="06E65726" w:rsidR="00D97ECE" w:rsidRPr="0067091D" w:rsidRDefault="003A3E53" w:rsidP="00C32572">
      <w:pPr>
        <w:pStyle w:val="Bullet2"/>
        <w:rPr>
          <w:rFonts w:asciiTheme="minorHAnsi" w:hAnsiTheme="minorHAnsi" w:cstheme="minorHAnsi"/>
        </w:rPr>
      </w:pPr>
      <w:r w:rsidRPr="0067091D">
        <w:rPr>
          <w:rFonts w:asciiTheme="minorHAnsi" w:hAnsiTheme="minorHAnsi" w:cstheme="minorHAnsi"/>
        </w:rPr>
        <w:t>Patients with a failed kidney transplant transferring to ongoing maintenance HD (as of 1 January 2020)</w:t>
      </w:r>
      <w:r w:rsidR="001F5381" w:rsidRPr="0067091D">
        <w:rPr>
          <w:rFonts w:asciiTheme="minorHAnsi" w:hAnsiTheme="minorHAnsi" w:cstheme="minorHAnsi"/>
        </w:rPr>
        <w:t>.</w:t>
      </w:r>
    </w:p>
    <w:p w14:paraId="3E78DAC8" w14:textId="10941C68" w:rsidR="00C066DB" w:rsidRPr="0067091D" w:rsidRDefault="003A3E53" w:rsidP="00C32572">
      <w:pPr>
        <w:pStyle w:val="Bullet2"/>
        <w:rPr>
          <w:rFonts w:asciiTheme="minorHAnsi" w:hAnsiTheme="minorHAnsi" w:cstheme="minorHAnsi"/>
        </w:rPr>
      </w:pPr>
      <w:r w:rsidRPr="0067091D">
        <w:rPr>
          <w:rFonts w:asciiTheme="minorHAnsi" w:hAnsiTheme="minorHAnsi" w:cstheme="minorHAnsi"/>
        </w:rPr>
        <w:t>PD patients transferring to maintenance (chronic) HD (as of 1 January 2020).</w:t>
      </w:r>
    </w:p>
    <w:p w14:paraId="7DD68F69" w14:textId="77777777"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Exclusions: </w:t>
      </w:r>
    </w:p>
    <w:p w14:paraId="2B48BB56" w14:textId="75223041" w:rsidR="00787233" w:rsidRPr="0067091D" w:rsidRDefault="00787233" w:rsidP="00787233">
      <w:pPr>
        <w:pStyle w:val="Bullet2"/>
        <w:rPr>
          <w:rFonts w:asciiTheme="minorHAnsi" w:hAnsiTheme="minorHAnsi" w:cstheme="minorHAnsi"/>
        </w:rPr>
      </w:pPr>
      <w:r w:rsidRPr="0067091D">
        <w:rPr>
          <w:rFonts w:asciiTheme="minorHAnsi" w:hAnsiTheme="minorHAnsi" w:cstheme="minorHAnsi"/>
        </w:rPr>
        <w:t>Late referrals (patients commencing dialysis within three months of first renal consultation)</w:t>
      </w:r>
      <w:r w:rsidR="001F5381" w:rsidRPr="0067091D">
        <w:rPr>
          <w:rFonts w:asciiTheme="minorHAnsi" w:hAnsiTheme="minorHAnsi" w:cstheme="minorHAnsi"/>
        </w:rPr>
        <w:t>.</w:t>
      </w:r>
    </w:p>
    <w:p w14:paraId="6C69D90B" w14:textId="3BA217A3" w:rsidR="00D97ECE" w:rsidRPr="0067091D" w:rsidRDefault="00D97ECE" w:rsidP="00D97ECE">
      <w:pPr>
        <w:pStyle w:val="Bullet2"/>
        <w:rPr>
          <w:rFonts w:asciiTheme="minorHAnsi" w:hAnsiTheme="minorHAnsi" w:cstheme="minorHAnsi"/>
        </w:rPr>
      </w:pPr>
      <w:r w:rsidRPr="0067091D">
        <w:rPr>
          <w:rFonts w:asciiTheme="minorHAnsi" w:hAnsiTheme="minorHAnsi" w:cstheme="minorHAnsi"/>
        </w:rPr>
        <w:t>Patients who have not had any renal consultation (public or private nephrologist) within the previous three years</w:t>
      </w:r>
      <w:r w:rsidR="001F5381" w:rsidRPr="0067091D">
        <w:rPr>
          <w:rFonts w:asciiTheme="minorHAnsi" w:hAnsiTheme="minorHAnsi" w:cstheme="minorHAnsi"/>
        </w:rPr>
        <w:t>.</w:t>
      </w:r>
    </w:p>
    <w:p w14:paraId="33B85DC1" w14:textId="5471A2F4" w:rsidR="00D97ECE" w:rsidRPr="0067091D" w:rsidRDefault="00D97ECE" w:rsidP="00D97ECE">
      <w:pPr>
        <w:pStyle w:val="Bullet2"/>
        <w:rPr>
          <w:rFonts w:asciiTheme="minorHAnsi" w:hAnsiTheme="minorHAnsi" w:cstheme="minorHAnsi"/>
        </w:rPr>
      </w:pPr>
      <w:r w:rsidRPr="0067091D">
        <w:rPr>
          <w:rFonts w:asciiTheme="minorHAnsi" w:hAnsiTheme="minorHAnsi" w:cstheme="minorHAnsi"/>
        </w:rPr>
        <w:t>Patients requiring temporary HD for the treatment of acute kidney injury</w:t>
      </w:r>
      <w:r w:rsidR="001F5381" w:rsidRPr="0067091D">
        <w:rPr>
          <w:rFonts w:asciiTheme="minorHAnsi" w:hAnsiTheme="minorHAnsi" w:cstheme="minorHAnsi"/>
        </w:rPr>
        <w:t>.</w:t>
      </w:r>
    </w:p>
    <w:p w14:paraId="42F1782D" w14:textId="26854335" w:rsidR="00D97ECE" w:rsidRPr="0067091D" w:rsidRDefault="00D97ECE" w:rsidP="00D97ECE">
      <w:pPr>
        <w:pStyle w:val="Bullet2"/>
        <w:rPr>
          <w:rFonts w:asciiTheme="minorHAnsi" w:hAnsiTheme="minorHAnsi" w:cstheme="minorHAnsi"/>
        </w:rPr>
      </w:pPr>
      <w:r w:rsidRPr="0067091D">
        <w:rPr>
          <w:rFonts w:asciiTheme="minorHAnsi" w:hAnsiTheme="minorHAnsi" w:cstheme="minorHAnsi"/>
        </w:rPr>
        <w:t>PD with a transient (expected less than three months) need for HD</w:t>
      </w:r>
      <w:r w:rsidR="001F5381" w:rsidRPr="0067091D">
        <w:rPr>
          <w:rFonts w:asciiTheme="minorHAnsi" w:hAnsiTheme="minorHAnsi" w:cstheme="minorHAnsi"/>
        </w:rPr>
        <w:t>.</w:t>
      </w:r>
    </w:p>
    <w:p w14:paraId="3CC1FD30" w14:textId="177644CE" w:rsidR="00D97ECE" w:rsidRPr="0067091D" w:rsidRDefault="00D97ECE" w:rsidP="001F5381">
      <w:pPr>
        <w:pStyle w:val="Bullet2"/>
        <w:rPr>
          <w:rFonts w:asciiTheme="minorHAnsi" w:hAnsiTheme="minorHAnsi" w:cstheme="minorHAnsi"/>
        </w:rPr>
      </w:pPr>
      <w:r w:rsidRPr="0067091D">
        <w:rPr>
          <w:rFonts w:asciiTheme="minorHAnsi" w:hAnsiTheme="minorHAnsi" w:cstheme="minorHAnsi"/>
        </w:rPr>
        <w:t>Patients requiring HD for less than two weeks prior to live donor transplantation</w:t>
      </w:r>
      <w:r w:rsidR="001F5381" w:rsidRPr="0067091D">
        <w:rPr>
          <w:rFonts w:asciiTheme="minorHAnsi" w:hAnsiTheme="minorHAnsi" w:cstheme="minorHAnsi"/>
        </w:rPr>
        <w:t>.</w:t>
      </w:r>
    </w:p>
    <w:p w14:paraId="326EABC2" w14:textId="77777777" w:rsidR="008537AA" w:rsidRPr="0067091D" w:rsidRDefault="008537AA" w:rsidP="0067091D">
      <w:pPr>
        <w:rPr>
          <w:rFonts w:eastAsiaTheme="majorEastAsia"/>
          <w:color w:val="007586" w:themeColor="text2"/>
          <w:sz w:val="24"/>
          <w:szCs w:val="26"/>
        </w:rPr>
      </w:pPr>
      <w:bookmarkStart w:id="67" w:name="_Toc437851865"/>
      <w:bookmarkStart w:id="68" w:name="_Toc526952111"/>
      <w:r w:rsidRPr="0067091D">
        <w:br w:type="page"/>
      </w:r>
    </w:p>
    <w:p w14:paraId="79AA0EE7" w14:textId="3A65A406" w:rsidR="00787233" w:rsidRPr="0067091D" w:rsidRDefault="00787233" w:rsidP="0067091D">
      <w:pPr>
        <w:pStyle w:val="Heading2"/>
      </w:pPr>
      <w:bookmarkStart w:id="69" w:name="_Toc84923304"/>
      <w:r w:rsidRPr="0067091D">
        <w:lastRenderedPageBreak/>
        <w:t>KPI 3:</w:t>
      </w:r>
      <w:r w:rsidR="00086820" w:rsidRPr="0067091D">
        <w:t xml:space="preserve"> </w:t>
      </w:r>
      <w:r w:rsidRPr="0067091D">
        <w:t>Proportion of dialysis patients who are dialysing at home</w:t>
      </w:r>
      <w:bookmarkEnd w:id="67"/>
      <w:bookmarkEnd w:id="68"/>
      <w:bookmarkEnd w:id="69"/>
    </w:p>
    <w:p w14:paraId="0C0AB33A" w14:textId="10A27879" w:rsidR="00787233" w:rsidRPr="0067091D" w:rsidRDefault="00787233" w:rsidP="0067091D">
      <w:pPr>
        <w:pStyle w:val="Heading3"/>
      </w:pPr>
      <w:bookmarkStart w:id="70" w:name="_Toc526952112"/>
      <w:bookmarkStart w:id="71" w:name="_Toc59519951"/>
      <w:r w:rsidRPr="0067091D">
        <w:t>Definition</w:t>
      </w:r>
      <w:bookmarkEnd w:id="70"/>
      <w:r w:rsidR="00C44BA3" w:rsidRPr="0067091D">
        <w:t>s</w:t>
      </w:r>
      <w:bookmarkEnd w:id="71"/>
    </w:p>
    <w:p w14:paraId="118A5C90" w14:textId="22F20299"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Patients dialysing at home includes nocturnal and conventional HD</w:t>
      </w:r>
      <w:r w:rsidR="00341F5A" w:rsidRPr="0067091D">
        <w:rPr>
          <w:rFonts w:asciiTheme="minorHAnsi" w:hAnsiTheme="minorHAnsi" w:cstheme="minorHAnsi"/>
        </w:rPr>
        <w:t>,</w:t>
      </w:r>
      <w:r w:rsidRPr="0067091D">
        <w:rPr>
          <w:rFonts w:asciiTheme="minorHAnsi" w:hAnsiTheme="minorHAnsi" w:cstheme="minorHAnsi"/>
        </w:rPr>
        <w:t xml:space="preserve"> and automated and continuous ambulatory PD</w:t>
      </w:r>
      <w:r w:rsidR="001F5381" w:rsidRPr="0067091D">
        <w:rPr>
          <w:rFonts w:asciiTheme="minorHAnsi" w:hAnsiTheme="minorHAnsi" w:cstheme="minorHAnsi"/>
        </w:rPr>
        <w:t>.</w:t>
      </w:r>
    </w:p>
    <w:p w14:paraId="1F5A9FAA" w14:textId="4C7C9DF6"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Prevalent patients – proportion of total dialysis population</w:t>
      </w:r>
      <w:r w:rsidR="001F5381" w:rsidRPr="0067091D">
        <w:rPr>
          <w:rFonts w:asciiTheme="minorHAnsi" w:hAnsiTheme="minorHAnsi" w:cstheme="minorHAnsi"/>
        </w:rPr>
        <w:t>.</w:t>
      </w:r>
    </w:p>
    <w:p w14:paraId="56C01066" w14:textId="7C12EE54"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Numerator (prevalence): number of patients on home dialysis</w:t>
      </w:r>
      <w:r w:rsidR="001F5381" w:rsidRPr="0067091D">
        <w:rPr>
          <w:rFonts w:asciiTheme="minorHAnsi" w:hAnsiTheme="minorHAnsi" w:cstheme="minorHAnsi"/>
        </w:rPr>
        <w:t>.</w:t>
      </w:r>
    </w:p>
    <w:p w14:paraId="214209E6" w14:textId="7D4E0286"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Denominator (prevalence): all new planned patients who have started dialysis</w:t>
      </w:r>
      <w:r w:rsidR="001F5381" w:rsidRPr="0067091D">
        <w:rPr>
          <w:rFonts w:asciiTheme="minorHAnsi" w:hAnsiTheme="minorHAnsi" w:cstheme="minorHAnsi"/>
        </w:rPr>
        <w:t>.</w:t>
      </w:r>
    </w:p>
    <w:p w14:paraId="7D828528" w14:textId="1A6E12A8" w:rsidR="006C1A20" w:rsidRPr="0067091D" w:rsidRDefault="006C1A20" w:rsidP="006C1A20">
      <w:pPr>
        <w:pStyle w:val="Bullet1"/>
        <w:rPr>
          <w:rFonts w:asciiTheme="minorHAnsi" w:hAnsiTheme="minorHAnsi" w:cstheme="minorHAnsi"/>
        </w:rPr>
      </w:pPr>
      <w:bookmarkStart w:id="72" w:name="_Toc526952113"/>
      <w:r w:rsidRPr="0067091D">
        <w:rPr>
          <w:rFonts w:asciiTheme="minorHAnsi" w:hAnsiTheme="minorHAnsi" w:cstheme="minorHAnsi"/>
        </w:rPr>
        <w:t>Inclusion: patients who have successfully been on home dialysis during any of the six months</w:t>
      </w:r>
      <w:r w:rsidR="002768A6" w:rsidRPr="0067091D">
        <w:rPr>
          <w:rFonts w:asciiTheme="minorHAnsi" w:hAnsiTheme="minorHAnsi" w:cstheme="minorHAnsi"/>
        </w:rPr>
        <w:t>.</w:t>
      </w:r>
    </w:p>
    <w:p w14:paraId="09E804F1" w14:textId="1D1270D7" w:rsidR="00787233" w:rsidRPr="0067091D" w:rsidRDefault="006C1A20" w:rsidP="00CE3403">
      <w:pPr>
        <w:pStyle w:val="Bullet1"/>
        <w:rPr>
          <w:rFonts w:asciiTheme="minorHAnsi" w:hAnsiTheme="minorHAnsi" w:cstheme="minorHAnsi"/>
        </w:rPr>
      </w:pPr>
      <w:r w:rsidRPr="0067091D">
        <w:rPr>
          <w:rFonts w:asciiTheme="minorHAnsi" w:hAnsiTheme="minorHAnsi" w:cstheme="minorHAnsi"/>
        </w:rPr>
        <w:t>Exclusion: patients who are in home training units.</w:t>
      </w:r>
      <w:bookmarkEnd w:id="72"/>
    </w:p>
    <w:p w14:paraId="12CAE1DA" w14:textId="5ABFFF07" w:rsidR="00787233" w:rsidRPr="0067091D" w:rsidRDefault="00787233" w:rsidP="0067091D">
      <w:pPr>
        <w:pStyle w:val="Heading2"/>
      </w:pPr>
      <w:bookmarkStart w:id="73" w:name="_Toc437851866"/>
      <w:bookmarkStart w:id="74" w:name="_Toc526952115"/>
      <w:bookmarkStart w:id="75" w:name="_Toc84923305"/>
      <w:r w:rsidRPr="0067091D">
        <w:t>KPI 4</w:t>
      </w:r>
      <w:r w:rsidR="00086820" w:rsidRPr="0067091D">
        <w:t xml:space="preserve">: </w:t>
      </w:r>
      <w:r w:rsidRPr="0067091D">
        <w:t>Peritonitis rates of each hub service</w:t>
      </w:r>
      <w:bookmarkEnd w:id="73"/>
      <w:bookmarkEnd w:id="74"/>
      <w:bookmarkEnd w:id="75"/>
    </w:p>
    <w:p w14:paraId="0C472FFB" w14:textId="306D9BAD" w:rsidR="00787233" w:rsidRPr="0067091D" w:rsidRDefault="00787233" w:rsidP="0067091D">
      <w:pPr>
        <w:pStyle w:val="Heading3"/>
      </w:pPr>
      <w:bookmarkStart w:id="76" w:name="_Toc526952116"/>
      <w:bookmarkStart w:id="77" w:name="_Toc59519953"/>
      <w:r w:rsidRPr="0067091D">
        <w:t>Definition</w:t>
      </w:r>
      <w:bookmarkEnd w:id="76"/>
      <w:r w:rsidR="00C44BA3" w:rsidRPr="0067091D">
        <w:t>s</w:t>
      </w:r>
      <w:bookmarkEnd w:id="77"/>
    </w:p>
    <w:p w14:paraId="2208641C" w14:textId="77777777"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Peritonitis rate is calculated </w:t>
      </w:r>
      <w:r w:rsidR="00774FF3" w:rsidRPr="0067091D">
        <w:rPr>
          <w:rFonts w:asciiTheme="minorHAnsi" w:hAnsiTheme="minorHAnsi" w:cstheme="minorHAnsi"/>
        </w:rPr>
        <w:t xml:space="preserve">as the </w:t>
      </w:r>
      <w:r w:rsidRPr="0067091D">
        <w:rPr>
          <w:rFonts w:asciiTheme="minorHAnsi" w:hAnsiTheme="minorHAnsi" w:cstheme="minorHAnsi"/>
          <w:lang w:val="en-US"/>
        </w:rPr>
        <w:t xml:space="preserve">total number of </w:t>
      </w:r>
      <w:r w:rsidR="00DF5027" w:rsidRPr="0067091D">
        <w:rPr>
          <w:rFonts w:asciiTheme="minorHAnsi" w:hAnsiTheme="minorHAnsi" w:cstheme="minorHAnsi"/>
          <w:lang w:val="en-US"/>
        </w:rPr>
        <w:t xml:space="preserve">peritonitis episodes experienced by all patients </w:t>
      </w:r>
      <w:r w:rsidRPr="0067091D">
        <w:rPr>
          <w:rFonts w:asciiTheme="minorHAnsi" w:hAnsiTheme="minorHAnsi" w:cstheme="minorHAnsi"/>
          <w:lang w:val="en-US"/>
        </w:rPr>
        <w:t>on dialysis</w:t>
      </w:r>
      <w:r w:rsidR="006763BD" w:rsidRPr="0067091D">
        <w:rPr>
          <w:rFonts w:asciiTheme="minorHAnsi" w:hAnsiTheme="minorHAnsi" w:cstheme="minorHAnsi"/>
          <w:lang w:val="en-US"/>
        </w:rPr>
        <w:t xml:space="preserve"> </w:t>
      </w:r>
      <w:r w:rsidR="00774FF3" w:rsidRPr="0067091D">
        <w:rPr>
          <w:rFonts w:asciiTheme="minorHAnsi" w:hAnsiTheme="minorHAnsi" w:cstheme="minorHAnsi"/>
          <w:lang w:val="en-US"/>
        </w:rPr>
        <w:t xml:space="preserve">(PD) </w:t>
      </w:r>
      <w:r w:rsidR="006763BD" w:rsidRPr="0067091D">
        <w:rPr>
          <w:rFonts w:asciiTheme="minorHAnsi" w:hAnsiTheme="minorHAnsi" w:cstheme="minorHAnsi"/>
          <w:lang w:val="en-US"/>
        </w:rPr>
        <w:t>during the reporting month</w:t>
      </w:r>
      <w:r w:rsidRPr="0067091D">
        <w:rPr>
          <w:rFonts w:asciiTheme="minorHAnsi" w:hAnsiTheme="minorHAnsi" w:cstheme="minorHAnsi"/>
          <w:lang w:val="en-US"/>
        </w:rPr>
        <w:t xml:space="preserve">, divided by </w:t>
      </w:r>
      <w:r w:rsidR="006763BD" w:rsidRPr="0067091D">
        <w:rPr>
          <w:rFonts w:asciiTheme="minorHAnsi" w:hAnsiTheme="minorHAnsi" w:cstheme="minorHAnsi"/>
          <w:lang w:val="en-US"/>
        </w:rPr>
        <w:t xml:space="preserve">the </w:t>
      </w:r>
      <w:r w:rsidR="00DF5027" w:rsidRPr="0067091D">
        <w:rPr>
          <w:rFonts w:asciiTheme="minorHAnsi" w:hAnsiTheme="minorHAnsi" w:cstheme="minorHAnsi"/>
          <w:lang w:val="en-US"/>
        </w:rPr>
        <w:t xml:space="preserve">total </w:t>
      </w:r>
      <w:r w:rsidRPr="0067091D">
        <w:rPr>
          <w:rFonts w:asciiTheme="minorHAnsi" w:hAnsiTheme="minorHAnsi" w:cstheme="minorHAnsi"/>
          <w:lang w:val="en-US"/>
        </w:rPr>
        <w:t xml:space="preserve">number of </w:t>
      </w:r>
      <w:r w:rsidR="00DF5027" w:rsidRPr="0067091D">
        <w:rPr>
          <w:rFonts w:asciiTheme="minorHAnsi" w:hAnsiTheme="minorHAnsi" w:cstheme="minorHAnsi"/>
          <w:lang w:val="en-US"/>
        </w:rPr>
        <w:t>months all patients</w:t>
      </w:r>
      <w:r w:rsidR="006763BD" w:rsidRPr="0067091D">
        <w:rPr>
          <w:rFonts w:asciiTheme="minorHAnsi" w:hAnsiTheme="minorHAnsi" w:cstheme="minorHAnsi"/>
          <w:lang w:val="en-US"/>
        </w:rPr>
        <w:t xml:space="preserve"> have spent on dialysis</w:t>
      </w:r>
      <w:r w:rsidR="00774FF3" w:rsidRPr="0067091D">
        <w:rPr>
          <w:rFonts w:asciiTheme="minorHAnsi" w:hAnsiTheme="minorHAnsi" w:cstheme="minorHAnsi"/>
          <w:lang w:val="en-US"/>
        </w:rPr>
        <w:t xml:space="preserve"> (PD)</w:t>
      </w:r>
      <w:r w:rsidRPr="0067091D">
        <w:rPr>
          <w:rFonts w:asciiTheme="minorHAnsi" w:hAnsiTheme="minorHAnsi" w:cstheme="minorHAnsi"/>
          <w:lang w:val="en-US"/>
        </w:rPr>
        <w:t xml:space="preserve">, and </w:t>
      </w:r>
      <w:r w:rsidR="006763BD" w:rsidRPr="0067091D">
        <w:rPr>
          <w:rFonts w:asciiTheme="minorHAnsi" w:hAnsiTheme="minorHAnsi" w:cstheme="minorHAnsi"/>
          <w:lang w:val="en-US"/>
        </w:rPr>
        <w:t xml:space="preserve">then multiplied by 12 to be </w:t>
      </w:r>
      <w:r w:rsidRPr="0067091D">
        <w:rPr>
          <w:rFonts w:asciiTheme="minorHAnsi" w:hAnsiTheme="minorHAnsi" w:cstheme="minorHAnsi"/>
          <w:lang w:val="en-US"/>
        </w:rPr>
        <w:t xml:space="preserve">expressed as </w:t>
      </w:r>
      <w:r w:rsidR="0003667F" w:rsidRPr="0067091D">
        <w:rPr>
          <w:rFonts w:asciiTheme="minorHAnsi" w:hAnsiTheme="minorHAnsi" w:cstheme="minorHAnsi"/>
          <w:lang w:val="en-US"/>
        </w:rPr>
        <w:t>yearly rate</w:t>
      </w:r>
      <w:r w:rsidRPr="0067091D">
        <w:rPr>
          <w:rFonts w:asciiTheme="minorHAnsi" w:hAnsiTheme="minorHAnsi" w:cstheme="minorHAnsi"/>
          <w:lang w:val="en-US"/>
        </w:rPr>
        <w:t xml:space="preserve"> (</w:t>
      </w:r>
      <w:r w:rsidR="0003667F" w:rsidRPr="0067091D">
        <w:rPr>
          <w:rFonts w:asciiTheme="minorHAnsi" w:hAnsiTheme="minorHAnsi" w:cstheme="minorHAnsi"/>
          <w:lang w:val="en-US"/>
        </w:rPr>
        <w:t>0.33 episodes per patient year</w:t>
      </w:r>
      <w:r w:rsidRPr="0067091D">
        <w:rPr>
          <w:rFonts w:asciiTheme="minorHAnsi" w:hAnsiTheme="minorHAnsi" w:cstheme="minorHAnsi"/>
          <w:lang w:val="en-US"/>
        </w:rPr>
        <w:t xml:space="preserve">). </w:t>
      </w:r>
    </w:p>
    <w:p w14:paraId="36F55B4B" w14:textId="12854E09" w:rsidR="00774FF3" w:rsidRPr="0067091D" w:rsidRDefault="00774FF3" w:rsidP="00787233">
      <w:pPr>
        <w:pStyle w:val="Bullet1"/>
        <w:rPr>
          <w:rFonts w:asciiTheme="minorHAnsi" w:hAnsiTheme="minorHAnsi" w:cstheme="minorHAnsi"/>
        </w:rPr>
      </w:pPr>
      <w:r w:rsidRPr="0067091D">
        <w:rPr>
          <w:rFonts w:asciiTheme="minorHAnsi" w:hAnsiTheme="minorHAnsi" w:cstheme="minorHAnsi"/>
          <w:lang w:val="en-US"/>
        </w:rPr>
        <w:t xml:space="preserve">Peritoneal </w:t>
      </w:r>
      <w:r w:rsidR="001F5381" w:rsidRPr="0067091D">
        <w:rPr>
          <w:rFonts w:asciiTheme="minorHAnsi" w:hAnsiTheme="minorHAnsi" w:cstheme="minorHAnsi"/>
          <w:lang w:val="en-US"/>
        </w:rPr>
        <w:t>d</w:t>
      </w:r>
      <w:r w:rsidRPr="0067091D">
        <w:rPr>
          <w:rFonts w:asciiTheme="minorHAnsi" w:hAnsiTheme="minorHAnsi" w:cstheme="minorHAnsi"/>
          <w:lang w:val="en-US"/>
        </w:rPr>
        <w:t xml:space="preserve">ialysis peritonitis diagnosed when </w:t>
      </w:r>
      <w:r w:rsidRPr="0067091D">
        <w:rPr>
          <w:rFonts w:asciiTheme="minorHAnsi" w:hAnsiTheme="minorHAnsi" w:cstheme="minorHAnsi"/>
          <w:b/>
          <w:lang w:val="en-US"/>
        </w:rPr>
        <w:t xml:space="preserve">at least </w:t>
      </w:r>
      <w:r w:rsidR="001F5381" w:rsidRPr="0067091D">
        <w:rPr>
          <w:rFonts w:asciiTheme="minorHAnsi" w:hAnsiTheme="minorHAnsi" w:cstheme="minorHAnsi"/>
          <w:b/>
          <w:lang w:val="en-US"/>
        </w:rPr>
        <w:t>two</w:t>
      </w:r>
      <w:r w:rsidRPr="0067091D">
        <w:rPr>
          <w:rFonts w:asciiTheme="minorHAnsi" w:hAnsiTheme="minorHAnsi" w:cstheme="minorHAnsi"/>
          <w:lang w:val="en-US"/>
        </w:rPr>
        <w:t xml:space="preserve"> of the following are present</w:t>
      </w:r>
      <w:r w:rsidR="00E32FC3" w:rsidRPr="0067091D">
        <w:rPr>
          <w:rFonts w:asciiTheme="minorHAnsi" w:hAnsiTheme="minorHAnsi" w:cstheme="minorHAnsi"/>
          <w:lang w:val="en-US"/>
        </w:rPr>
        <w:t>:</w:t>
      </w:r>
    </w:p>
    <w:p w14:paraId="7DBC0CE8" w14:textId="1F0F71F5" w:rsidR="00774FF3" w:rsidRPr="0067091D" w:rsidRDefault="00774FF3" w:rsidP="001F5381">
      <w:pPr>
        <w:pStyle w:val="Bullet2"/>
        <w:rPr>
          <w:rFonts w:asciiTheme="minorHAnsi" w:hAnsiTheme="minorHAnsi" w:cstheme="minorHAnsi"/>
        </w:rPr>
      </w:pPr>
      <w:r w:rsidRPr="0067091D">
        <w:rPr>
          <w:rFonts w:asciiTheme="minorHAnsi" w:hAnsiTheme="minorHAnsi" w:cstheme="minorHAnsi"/>
        </w:rPr>
        <w:t xml:space="preserve">Clinical features consistent with peritonitis </w:t>
      </w:r>
      <w:r w:rsidR="0050687A" w:rsidRPr="0067091D">
        <w:rPr>
          <w:rFonts w:asciiTheme="minorHAnsi" w:hAnsiTheme="minorHAnsi" w:cstheme="minorHAnsi"/>
        </w:rPr>
        <w:t>i.e.</w:t>
      </w:r>
      <w:r w:rsidRPr="0067091D">
        <w:rPr>
          <w:rFonts w:asciiTheme="minorHAnsi" w:hAnsiTheme="minorHAnsi" w:cstheme="minorHAnsi"/>
        </w:rPr>
        <w:t xml:space="preserve"> abdominal pain and/or cloudy dialysis effluent</w:t>
      </w:r>
      <w:r w:rsidR="00E32FC3" w:rsidRPr="0067091D">
        <w:rPr>
          <w:rFonts w:asciiTheme="minorHAnsi" w:hAnsiTheme="minorHAnsi" w:cstheme="minorHAnsi"/>
        </w:rPr>
        <w:t>.</w:t>
      </w:r>
    </w:p>
    <w:p w14:paraId="3248171E" w14:textId="132D11B6" w:rsidR="00774FF3" w:rsidRPr="0067091D" w:rsidRDefault="00774FF3" w:rsidP="001F5381">
      <w:pPr>
        <w:pStyle w:val="Bullet2"/>
        <w:rPr>
          <w:rFonts w:asciiTheme="minorHAnsi" w:hAnsiTheme="minorHAnsi" w:cstheme="minorHAnsi"/>
        </w:rPr>
      </w:pPr>
      <w:r w:rsidRPr="0067091D">
        <w:rPr>
          <w:rFonts w:asciiTheme="minorHAnsi" w:hAnsiTheme="minorHAnsi" w:cstheme="minorHAnsi"/>
        </w:rPr>
        <w:t>Dialysis effluent white cell count &gt; 100</w:t>
      </w:r>
      <w:r w:rsidR="00E32FC3" w:rsidRPr="0067091D">
        <w:rPr>
          <w:rFonts w:asciiTheme="minorHAnsi" w:hAnsiTheme="minorHAnsi" w:cstheme="minorHAnsi"/>
        </w:rPr>
        <w:t xml:space="preserve"> </w:t>
      </w:r>
      <w:r w:rsidRPr="0067091D">
        <w:rPr>
          <w:rFonts w:asciiTheme="minorHAnsi" w:hAnsiTheme="minorHAnsi" w:cstheme="minorHAnsi"/>
        </w:rPr>
        <w:t>µ</w:t>
      </w:r>
      <w:r w:rsidR="0050687A" w:rsidRPr="0067091D">
        <w:rPr>
          <w:rFonts w:asciiTheme="minorHAnsi" w:hAnsiTheme="minorHAnsi" w:cstheme="minorHAnsi"/>
        </w:rPr>
        <w:t xml:space="preserve">L or &gt; 0.1 x 109/L (after a dwell time of at least </w:t>
      </w:r>
      <w:r w:rsidR="00E32FC3" w:rsidRPr="0067091D">
        <w:rPr>
          <w:rFonts w:asciiTheme="minorHAnsi" w:hAnsiTheme="minorHAnsi" w:cstheme="minorHAnsi"/>
        </w:rPr>
        <w:t>two</w:t>
      </w:r>
      <w:r w:rsidR="0050687A" w:rsidRPr="0067091D">
        <w:rPr>
          <w:rFonts w:asciiTheme="minorHAnsi" w:hAnsiTheme="minorHAnsi" w:cstheme="minorHAnsi"/>
        </w:rPr>
        <w:t xml:space="preserve"> hours with &gt; 50</w:t>
      </w:r>
      <w:r w:rsidR="005710A3" w:rsidRPr="0067091D">
        <w:rPr>
          <w:rFonts w:asciiTheme="minorHAnsi" w:hAnsiTheme="minorHAnsi" w:cstheme="minorHAnsi"/>
        </w:rPr>
        <w:t xml:space="preserve"> per cent</w:t>
      </w:r>
      <w:r w:rsidR="0050687A" w:rsidRPr="0067091D">
        <w:rPr>
          <w:rFonts w:asciiTheme="minorHAnsi" w:hAnsiTheme="minorHAnsi" w:cstheme="minorHAnsi"/>
        </w:rPr>
        <w:t xml:space="preserve"> polymorphonuclear</w:t>
      </w:r>
      <w:r w:rsidR="006B45A9" w:rsidRPr="0067091D">
        <w:rPr>
          <w:rFonts w:asciiTheme="minorHAnsi" w:hAnsiTheme="minorHAnsi" w:cstheme="minorHAnsi"/>
        </w:rPr>
        <w:t>)</w:t>
      </w:r>
      <w:r w:rsidR="00E32FC3" w:rsidRPr="0067091D">
        <w:rPr>
          <w:rFonts w:asciiTheme="minorHAnsi" w:hAnsiTheme="minorHAnsi" w:cstheme="minorHAnsi"/>
        </w:rPr>
        <w:t>.</w:t>
      </w:r>
    </w:p>
    <w:p w14:paraId="12ABB70A" w14:textId="6E270FA4" w:rsidR="0050687A" w:rsidRPr="0067091D" w:rsidRDefault="0050687A" w:rsidP="001F5381">
      <w:pPr>
        <w:pStyle w:val="Bullet2"/>
        <w:rPr>
          <w:rFonts w:asciiTheme="minorHAnsi" w:hAnsiTheme="minorHAnsi" w:cstheme="minorHAnsi"/>
        </w:rPr>
      </w:pPr>
      <w:r w:rsidRPr="0067091D">
        <w:rPr>
          <w:rFonts w:asciiTheme="minorHAnsi" w:hAnsiTheme="minorHAnsi" w:cstheme="minorHAnsi"/>
        </w:rPr>
        <w:t>Positive dialysis effluent culture</w:t>
      </w:r>
      <w:r w:rsidR="00E32FC3" w:rsidRPr="0067091D">
        <w:rPr>
          <w:rFonts w:asciiTheme="minorHAnsi" w:hAnsiTheme="minorHAnsi" w:cstheme="minorHAnsi"/>
        </w:rPr>
        <w:t>.</w:t>
      </w:r>
    </w:p>
    <w:p w14:paraId="6099A5A4" w14:textId="1B7A7EE7" w:rsidR="0050687A" w:rsidRPr="0067091D" w:rsidRDefault="0050687A" w:rsidP="0050687A">
      <w:pPr>
        <w:pStyle w:val="Bullet1"/>
        <w:rPr>
          <w:rFonts w:asciiTheme="minorHAnsi" w:hAnsiTheme="minorHAnsi" w:cstheme="minorHAnsi"/>
        </w:rPr>
      </w:pPr>
      <w:r w:rsidRPr="0067091D">
        <w:rPr>
          <w:rFonts w:asciiTheme="minorHAnsi" w:hAnsiTheme="minorHAnsi" w:cstheme="minorHAnsi"/>
        </w:rPr>
        <w:t>Relapsing peritonitis</w:t>
      </w:r>
      <w:r w:rsidRPr="0067091D">
        <w:rPr>
          <w:rFonts w:asciiTheme="minorHAnsi" w:hAnsiTheme="minorHAnsi" w:cstheme="minorHAnsi"/>
          <w:lang w:val="en-US"/>
        </w:rPr>
        <w:t xml:space="preserve">: An episode occurring </w:t>
      </w:r>
      <w:r w:rsidRPr="0067091D">
        <w:rPr>
          <w:rFonts w:asciiTheme="minorHAnsi" w:hAnsiTheme="minorHAnsi" w:cstheme="minorHAnsi"/>
          <w:b/>
          <w:bCs/>
          <w:iCs/>
          <w:lang w:val="en-US"/>
        </w:rPr>
        <w:t xml:space="preserve">within </w:t>
      </w:r>
      <w:r w:rsidR="00E32FC3" w:rsidRPr="0067091D">
        <w:rPr>
          <w:rFonts w:asciiTheme="minorHAnsi" w:hAnsiTheme="minorHAnsi" w:cstheme="minorHAnsi"/>
          <w:b/>
          <w:bCs/>
          <w:iCs/>
          <w:lang w:val="en-US"/>
        </w:rPr>
        <w:t>four</w:t>
      </w:r>
      <w:r w:rsidRPr="0067091D">
        <w:rPr>
          <w:rFonts w:asciiTheme="minorHAnsi" w:hAnsiTheme="minorHAnsi" w:cstheme="minorHAnsi"/>
          <w:b/>
          <w:bCs/>
          <w:iCs/>
          <w:lang w:val="en-US"/>
        </w:rPr>
        <w:t xml:space="preserve"> weeks</w:t>
      </w:r>
      <w:r w:rsidRPr="0067091D">
        <w:rPr>
          <w:rFonts w:asciiTheme="minorHAnsi" w:hAnsiTheme="minorHAnsi" w:cstheme="minorHAnsi"/>
          <w:lang w:val="en-US"/>
        </w:rPr>
        <w:t xml:space="preserve"> of peritonitis therapy being completed with the same causative organism (or sterile episode) – to be considered as a </w:t>
      </w:r>
      <w:r w:rsidRPr="0067091D">
        <w:rPr>
          <w:rFonts w:asciiTheme="minorHAnsi" w:hAnsiTheme="minorHAnsi" w:cstheme="minorHAnsi"/>
          <w:b/>
          <w:bCs/>
          <w:iCs/>
          <w:lang w:val="en-US"/>
        </w:rPr>
        <w:t>single continuous event.</w:t>
      </w:r>
    </w:p>
    <w:p w14:paraId="01746876" w14:textId="30AAB70E"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Recurrent </w:t>
      </w:r>
      <w:r w:rsidR="0045416B" w:rsidRPr="0067091D">
        <w:rPr>
          <w:rFonts w:asciiTheme="minorHAnsi" w:hAnsiTheme="minorHAnsi" w:cstheme="minorHAnsi"/>
        </w:rPr>
        <w:t xml:space="preserve">peritonitis: An episode occurring </w:t>
      </w:r>
      <w:r w:rsidR="0045416B" w:rsidRPr="0067091D">
        <w:rPr>
          <w:rFonts w:asciiTheme="minorHAnsi" w:hAnsiTheme="minorHAnsi" w:cstheme="minorHAnsi"/>
          <w:b/>
          <w:bCs/>
          <w:iCs/>
        </w:rPr>
        <w:t xml:space="preserve">within </w:t>
      </w:r>
      <w:r w:rsidR="00E32FC3" w:rsidRPr="0067091D">
        <w:rPr>
          <w:rFonts w:asciiTheme="minorHAnsi" w:hAnsiTheme="minorHAnsi" w:cstheme="minorHAnsi"/>
          <w:b/>
          <w:bCs/>
          <w:iCs/>
        </w:rPr>
        <w:t xml:space="preserve">four </w:t>
      </w:r>
      <w:r w:rsidR="0045416B" w:rsidRPr="0067091D">
        <w:rPr>
          <w:rFonts w:asciiTheme="minorHAnsi" w:hAnsiTheme="minorHAnsi" w:cstheme="minorHAnsi"/>
          <w:b/>
          <w:bCs/>
          <w:iCs/>
        </w:rPr>
        <w:t>weeks</w:t>
      </w:r>
      <w:r w:rsidR="0045416B" w:rsidRPr="0067091D">
        <w:rPr>
          <w:rFonts w:asciiTheme="minorHAnsi" w:hAnsiTheme="minorHAnsi" w:cstheme="minorHAnsi"/>
        </w:rPr>
        <w:t xml:space="preserve"> of peritonitis therapy being completed with a different causative organism – to be considered as a </w:t>
      </w:r>
      <w:r w:rsidR="0045416B" w:rsidRPr="0067091D">
        <w:rPr>
          <w:rFonts w:asciiTheme="minorHAnsi" w:hAnsiTheme="minorHAnsi" w:cstheme="minorHAnsi"/>
          <w:b/>
          <w:bCs/>
          <w:iCs/>
        </w:rPr>
        <w:t xml:space="preserve">new peritonitis </w:t>
      </w:r>
      <w:r w:rsidR="00F33AAE" w:rsidRPr="0067091D">
        <w:rPr>
          <w:rFonts w:asciiTheme="minorHAnsi" w:hAnsiTheme="minorHAnsi" w:cstheme="minorHAnsi"/>
          <w:b/>
          <w:bCs/>
          <w:iCs/>
        </w:rPr>
        <w:t>event</w:t>
      </w:r>
      <w:r w:rsidR="00784759" w:rsidRPr="0067091D">
        <w:rPr>
          <w:rFonts w:asciiTheme="minorHAnsi" w:hAnsiTheme="minorHAnsi" w:cstheme="minorHAnsi"/>
          <w:b/>
          <w:bCs/>
          <w:iCs/>
        </w:rPr>
        <w:t>.</w:t>
      </w:r>
      <w:r w:rsidR="00F33AAE" w:rsidRPr="0067091D">
        <w:rPr>
          <w:rFonts w:asciiTheme="minorHAnsi" w:hAnsiTheme="minorHAnsi" w:cstheme="minorHAnsi"/>
          <w:i/>
        </w:rPr>
        <w:t xml:space="preserve"> </w:t>
      </w:r>
    </w:p>
    <w:p w14:paraId="69D82F36" w14:textId="5C90700D" w:rsidR="00774FF3" w:rsidRPr="0067091D" w:rsidRDefault="00774FF3" w:rsidP="00787233">
      <w:pPr>
        <w:pStyle w:val="Bullet1"/>
        <w:rPr>
          <w:rFonts w:asciiTheme="minorHAnsi" w:hAnsiTheme="minorHAnsi" w:cstheme="minorHAnsi"/>
          <w:b/>
          <w:bCs/>
          <w:iCs/>
        </w:rPr>
      </w:pPr>
      <w:r w:rsidRPr="0067091D">
        <w:rPr>
          <w:rFonts w:asciiTheme="minorHAnsi" w:hAnsiTheme="minorHAnsi" w:cstheme="minorHAnsi"/>
        </w:rPr>
        <w:t xml:space="preserve">Any event beyond </w:t>
      </w:r>
      <w:r w:rsidR="00E32FC3" w:rsidRPr="0067091D">
        <w:rPr>
          <w:rFonts w:asciiTheme="minorHAnsi" w:hAnsiTheme="minorHAnsi" w:cstheme="minorHAnsi"/>
        </w:rPr>
        <w:t>four</w:t>
      </w:r>
      <w:r w:rsidRPr="0067091D">
        <w:rPr>
          <w:rFonts w:asciiTheme="minorHAnsi" w:hAnsiTheme="minorHAnsi" w:cstheme="minorHAnsi"/>
        </w:rPr>
        <w:t xml:space="preserve"> weeks after the completion of peritonitis therapy to be considered as a </w:t>
      </w:r>
      <w:r w:rsidRPr="0067091D">
        <w:rPr>
          <w:rFonts w:asciiTheme="minorHAnsi" w:hAnsiTheme="minorHAnsi" w:cstheme="minorHAnsi"/>
          <w:b/>
          <w:bCs/>
          <w:iCs/>
        </w:rPr>
        <w:t>new peritonitis event.</w:t>
      </w:r>
    </w:p>
    <w:p w14:paraId="25981B3D" w14:textId="7D0454DB"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 xml:space="preserve">Numerator: number of peritonitis episodes in all </w:t>
      </w:r>
      <w:r w:rsidR="0050687A" w:rsidRPr="0067091D">
        <w:rPr>
          <w:rFonts w:asciiTheme="minorHAnsi" w:hAnsiTheme="minorHAnsi" w:cstheme="minorHAnsi"/>
        </w:rPr>
        <w:t>PD patients</w:t>
      </w:r>
      <w:r w:rsidR="001F5381" w:rsidRPr="0067091D">
        <w:rPr>
          <w:rFonts w:asciiTheme="minorHAnsi" w:hAnsiTheme="minorHAnsi" w:cstheme="minorHAnsi"/>
        </w:rPr>
        <w:t>.</w:t>
      </w:r>
    </w:p>
    <w:p w14:paraId="5759B253" w14:textId="2A385769" w:rsidR="00787233" w:rsidRPr="0067091D" w:rsidRDefault="00787233" w:rsidP="00787233">
      <w:pPr>
        <w:pStyle w:val="Bullet1"/>
        <w:rPr>
          <w:rFonts w:asciiTheme="minorHAnsi" w:hAnsiTheme="minorHAnsi" w:cstheme="minorHAnsi"/>
        </w:rPr>
      </w:pPr>
      <w:r w:rsidRPr="0067091D">
        <w:rPr>
          <w:rFonts w:asciiTheme="minorHAnsi" w:hAnsiTheme="minorHAnsi" w:cstheme="minorHAnsi"/>
        </w:rPr>
        <w:t>Denominator: total number of patient-months on PD (expressed as a whole number)</w:t>
      </w:r>
      <w:r w:rsidR="001F5381" w:rsidRPr="0067091D">
        <w:rPr>
          <w:rFonts w:asciiTheme="minorHAnsi" w:hAnsiTheme="minorHAnsi" w:cstheme="minorHAnsi"/>
        </w:rPr>
        <w:t>.</w:t>
      </w:r>
    </w:p>
    <w:p w14:paraId="271AF8B7" w14:textId="4E7E28BE" w:rsidR="0050687A" w:rsidRPr="0067091D" w:rsidRDefault="0050687A" w:rsidP="00787233">
      <w:pPr>
        <w:pStyle w:val="Bullet1"/>
        <w:rPr>
          <w:rFonts w:asciiTheme="minorHAnsi" w:hAnsiTheme="minorHAnsi" w:cstheme="minorHAnsi"/>
        </w:rPr>
      </w:pPr>
      <w:r w:rsidRPr="0067091D">
        <w:rPr>
          <w:rFonts w:asciiTheme="minorHAnsi" w:hAnsiTheme="minorHAnsi" w:cstheme="minorHAnsi"/>
        </w:rPr>
        <w:t>Peritonitis rate expressed as number of episodes per patient year</w:t>
      </w:r>
      <w:r w:rsidR="001F5381" w:rsidRPr="0067091D">
        <w:rPr>
          <w:rFonts w:asciiTheme="minorHAnsi" w:hAnsiTheme="minorHAnsi" w:cstheme="minorHAnsi"/>
        </w:rPr>
        <w:t>.</w:t>
      </w:r>
    </w:p>
    <w:p w14:paraId="50C440CC" w14:textId="77777777" w:rsidR="006C1A20" w:rsidRPr="0067091D" w:rsidRDefault="006C1A20" w:rsidP="006C1A20">
      <w:pPr>
        <w:pStyle w:val="Bullet1"/>
        <w:rPr>
          <w:rFonts w:asciiTheme="minorHAnsi" w:hAnsiTheme="minorHAnsi" w:cstheme="minorHAnsi"/>
        </w:rPr>
      </w:pPr>
      <w:bookmarkStart w:id="78" w:name="_Toc526952117"/>
      <w:r w:rsidRPr="0067091D">
        <w:rPr>
          <w:rFonts w:asciiTheme="minorHAnsi" w:hAnsiTheme="minorHAnsi" w:cstheme="minorHAnsi"/>
        </w:rPr>
        <w:t>Exclusions: patients who have a catheter in situ but are still pre-dialysis.</w:t>
      </w:r>
    </w:p>
    <w:p w14:paraId="27A45AEE" w14:textId="77777777" w:rsidR="008537AA" w:rsidRPr="0067091D" w:rsidRDefault="008537AA" w:rsidP="0067091D">
      <w:pPr>
        <w:rPr>
          <w:rFonts w:eastAsiaTheme="majorEastAsia"/>
          <w:color w:val="007586" w:themeColor="text2"/>
          <w:sz w:val="24"/>
          <w:szCs w:val="26"/>
        </w:rPr>
      </w:pPr>
      <w:bookmarkStart w:id="79" w:name="_Toc437851867"/>
      <w:bookmarkStart w:id="80" w:name="_Toc526952119"/>
      <w:bookmarkEnd w:id="78"/>
      <w:r w:rsidRPr="0067091D">
        <w:br w:type="page"/>
      </w:r>
    </w:p>
    <w:p w14:paraId="2FA06172" w14:textId="4CF400CA" w:rsidR="001F5381" w:rsidRPr="0067091D" w:rsidRDefault="00787233" w:rsidP="0067091D">
      <w:pPr>
        <w:pStyle w:val="Heading2"/>
      </w:pPr>
      <w:bookmarkStart w:id="81" w:name="_Toc84923306"/>
      <w:r w:rsidRPr="0067091D">
        <w:lastRenderedPageBreak/>
        <w:t>KPI 5</w:t>
      </w:r>
      <w:r w:rsidR="00086820" w:rsidRPr="0067091D">
        <w:t xml:space="preserve">: </w:t>
      </w:r>
      <w:bookmarkEnd w:id="79"/>
      <w:bookmarkEnd w:id="80"/>
      <w:r w:rsidR="00C44BA3" w:rsidRPr="0067091D">
        <w:t>A</w:t>
      </w:r>
      <w:r w:rsidR="001F5381" w:rsidRPr="0067091D">
        <w:t xml:space="preserve">ccess to kidney transplantation: Status at 6 and 12 months after starting renal replacement therapy </w:t>
      </w:r>
      <w:r w:rsidR="00C44BA3" w:rsidRPr="0067091D">
        <w:t>(RRT)</w:t>
      </w:r>
      <w:r w:rsidR="001F5381" w:rsidRPr="0067091D">
        <w:t xml:space="preserve"> for patients </w:t>
      </w:r>
      <w:r w:rsidR="00C44BA3" w:rsidRPr="0067091D">
        <w:t xml:space="preserve">≤70 </w:t>
      </w:r>
      <w:r w:rsidR="001F5381" w:rsidRPr="0067091D">
        <w:t>years of age at RRT start</w:t>
      </w:r>
      <w:bookmarkEnd w:id="81"/>
    </w:p>
    <w:p w14:paraId="61ED416A" w14:textId="7C39ADFB" w:rsidR="00370599" w:rsidRPr="0067091D" w:rsidRDefault="00787233" w:rsidP="0067091D">
      <w:pPr>
        <w:pStyle w:val="Heading3"/>
      </w:pPr>
      <w:bookmarkStart w:id="82" w:name="_Toc526952120"/>
      <w:bookmarkStart w:id="83" w:name="_Toc59519955"/>
      <w:r w:rsidRPr="0067091D">
        <w:t>Definition</w:t>
      </w:r>
      <w:bookmarkEnd w:id="82"/>
      <w:r w:rsidR="002453DE" w:rsidRPr="0067091D">
        <w:t>s</w:t>
      </w:r>
      <w:bookmarkEnd w:id="83"/>
    </w:p>
    <w:p w14:paraId="74ED119A" w14:textId="346EECD5" w:rsidR="00370599" w:rsidRPr="0067091D" w:rsidRDefault="00370599" w:rsidP="009379C2">
      <w:pPr>
        <w:pStyle w:val="Bullet1"/>
        <w:rPr>
          <w:rFonts w:asciiTheme="minorHAnsi" w:hAnsiTheme="minorHAnsi" w:cstheme="minorHAnsi"/>
        </w:rPr>
      </w:pPr>
      <w:bookmarkStart w:id="84" w:name="_Hlk48118143"/>
      <w:r w:rsidRPr="0067091D">
        <w:rPr>
          <w:rFonts w:asciiTheme="minorHAnsi" w:hAnsiTheme="minorHAnsi" w:cstheme="minorHAnsi"/>
          <w:color w:val="000000"/>
          <w:szCs w:val="22"/>
        </w:rPr>
        <w:t>The KPI is defined by the percentage of patients falling into each of these groups:</w:t>
      </w:r>
    </w:p>
    <w:bookmarkEnd w:id="84"/>
    <w:p w14:paraId="45C92B1E" w14:textId="7F54A3F9" w:rsidR="00370599" w:rsidRPr="0067091D" w:rsidRDefault="00370599" w:rsidP="0067091D">
      <w:pPr>
        <w:pStyle w:val="ListParagraph"/>
        <w:numPr>
          <w:ilvl w:val="0"/>
          <w:numId w:val="37"/>
        </w:numPr>
        <w:rPr>
          <w:rFonts w:eastAsia="Times New Roman"/>
        </w:rPr>
      </w:pPr>
      <w:r w:rsidRPr="0067091D">
        <w:rPr>
          <w:rFonts w:eastAsia="Times New Roman"/>
        </w:rPr>
        <w:t>Received a living donor kidney transplant (includes pre-emptive)</w:t>
      </w:r>
      <w:r w:rsidR="001F5381" w:rsidRPr="0067091D">
        <w:rPr>
          <w:rFonts w:eastAsia="Times New Roman"/>
        </w:rPr>
        <w:t>.</w:t>
      </w:r>
    </w:p>
    <w:p w14:paraId="51880693" w14:textId="46C0FD2D" w:rsidR="00370599" w:rsidRPr="0067091D" w:rsidRDefault="00370599" w:rsidP="0067091D">
      <w:pPr>
        <w:pStyle w:val="ListParagraph"/>
        <w:numPr>
          <w:ilvl w:val="0"/>
          <w:numId w:val="37"/>
        </w:numPr>
        <w:rPr>
          <w:rFonts w:eastAsia="Times New Roman"/>
        </w:rPr>
      </w:pPr>
      <w:r w:rsidRPr="0067091D">
        <w:rPr>
          <w:rFonts w:eastAsia="Times New Roman"/>
        </w:rPr>
        <w:t>Received a deceased donor kidney transplant</w:t>
      </w:r>
      <w:r w:rsidR="001F5381" w:rsidRPr="0067091D">
        <w:rPr>
          <w:rFonts w:eastAsia="Times New Roman"/>
        </w:rPr>
        <w:t>.</w:t>
      </w:r>
    </w:p>
    <w:p w14:paraId="6A7105B9" w14:textId="31E8629F" w:rsidR="00370599" w:rsidRPr="0067091D" w:rsidRDefault="00370599" w:rsidP="0067091D">
      <w:pPr>
        <w:pStyle w:val="ListParagraph"/>
        <w:numPr>
          <w:ilvl w:val="0"/>
          <w:numId w:val="37"/>
        </w:numPr>
        <w:rPr>
          <w:rFonts w:eastAsia="Times New Roman"/>
        </w:rPr>
      </w:pPr>
      <w:r w:rsidRPr="0067091D">
        <w:rPr>
          <w:rFonts w:eastAsia="Times New Roman"/>
        </w:rPr>
        <w:t>Been made active (at any time) on a kidney transplant list (deceased donor or live donor)</w:t>
      </w:r>
      <w:r w:rsidR="001F5381" w:rsidRPr="0067091D">
        <w:rPr>
          <w:rFonts w:eastAsia="Times New Roman"/>
        </w:rPr>
        <w:t>.</w:t>
      </w:r>
    </w:p>
    <w:p w14:paraId="0CF57FA0" w14:textId="77FA7A75" w:rsidR="00370599" w:rsidRPr="0067091D" w:rsidRDefault="00370599" w:rsidP="0067091D">
      <w:pPr>
        <w:pStyle w:val="ListParagraph"/>
        <w:numPr>
          <w:ilvl w:val="0"/>
          <w:numId w:val="37"/>
        </w:numPr>
        <w:rPr>
          <w:rFonts w:eastAsia="Times New Roman"/>
        </w:rPr>
      </w:pPr>
      <w:r w:rsidRPr="0067091D">
        <w:rPr>
          <w:rFonts w:eastAsia="Times New Roman"/>
        </w:rPr>
        <w:t>Unsuitable for kidney transplant (temporary or permanent barrier</w:t>
      </w:r>
      <w:proofErr w:type="gramStart"/>
      <w:r w:rsidRPr="0067091D">
        <w:rPr>
          <w:rFonts w:eastAsia="Times New Roman"/>
        </w:rPr>
        <w:t>)</w:t>
      </w:r>
      <w:r w:rsidR="001F5381" w:rsidRPr="0067091D">
        <w:rPr>
          <w:rFonts w:eastAsia="Times New Roman"/>
        </w:rPr>
        <w:t>.</w:t>
      </w:r>
      <w:r w:rsidRPr="0067091D">
        <w:rPr>
          <w:rFonts w:eastAsia="Times New Roman"/>
        </w:rPr>
        <w:t>*</w:t>
      </w:r>
      <w:proofErr w:type="gramEnd"/>
    </w:p>
    <w:p w14:paraId="412DC271" w14:textId="368D69A1" w:rsidR="00370599" w:rsidRPr="0067091D" w:rsidRDefault="00370599" w:rsidP="0067091D">
      <w:pPr>
        <w:pStyle w:val="ListParagraph"/>
        <w:numPr>
          <w:ilvl w:val="0"/>
          <w:numId w:val="37"/>
        </w:numPr>
        <w:rPr>
          <w:rFonts w:eastAsia="Times New Roman"/>
        </w:rPr>
      </w:pPr>
      <w:r w:rsidRPr="0067091D">
        <w:rPr>
          <w:rFonts w:eastAsia="Times New Roman"/>
        </w:rPr>
        <w:t xml:space="preserve">Transplant suitability assessment </w:t>
      </w:r>
      <w:proofErr w:type="gramStart"/>
      <w:r w:rsidRPr="0067091D">
        <w:rPr>
          <w:rFonts w:eastAsia="Times New Roman"/>
        </w:rPr>
        <w:t>incomplete</w:t>
      </w:r>
      <w:r w:rsidR="001F5381" w:rsidRPr="0067091D">
        <w:rPr>
          <w:rFonts w:eastAsia="Times New Roman"/>
        </w:rPr>
        <w:t>.</w:t>
      </w:r>
      <w:r w:rsidRPr="0067091D">
        <w:rPr>
          <w:rFonts w:eastAsia="Times New Roman"/>
        </w:rPr>
        <w:t>*</w:t>
      </w:r>
      <w:proofErr w:type="gramEnd"/>
    </w:p>
    <w:p w14:paraId="13892E10" w14:textId="44EB1856" w:rsidR="00370599" w:rsidRPr="0067091D" w:rsidRDefault="00E32FC3" w:rsidP="0067091D">
      <w:pPr>
        <w:rPr>
          <w:rFonts w:eastAsia="Times New Roman"/>
        </w:rPr>
      </w:pPr>
      <w:r w:rsidRPr="0067091D">
        <w:rPr>
          <w:rFonts w:eastAsia="Times New Roman"/>
        </w:rPr>
        <w:t xml:space="preserve">* </w:t>
      </w:r>
      <w:r w:rsidR="00370599" w:rsidRPr="0067091D">
        <w:rPr>
          <w:rFonts w:eastAsia="Times New Roman"/>
        </w:rPr>
        <w:t>If patient has been made active (at any time) on a kidney transplant list (deceased donor or live donor) place in group 3.</w:t>
      </w:r>
    </w:p>
    <w:p w14:paraId="0572D82F" w14:textId="77777777" w:rsidR="009379C2" w:rsidRPr="0067091D" w:rsidRDefault="00370599" w:rsidP="009379C2">
      <w:pPr>
        <w:pStyle w:val="Bullet1"/>
        <w:rPr>
          <w:rFonts w:asciiTheme="minorHAnsi" w:hAnsiTheme="minorHAnsi" w:cstheme="minorHAnsi"/>
        </w:rPr>
      </w:pPr>
      <w:r w:rsidRPr="0067091D">
        <w:rPr>
          <w:rFonts w:asciiTheme="minorHAnsi" w:hAnsiTheme="minorHAnsi" w:cstheme="minorHAnsi"/>
          <w:color w:val="000000"/>
          <w:szCs w:val="22"/>
        </w:rPr>
        <w:t>Start of RRT is defined as the date of commencement of maintenance dialysis or receiving a pre-emptive kidney transplant.</w:t>
      </w:r>
    </w:p>
    <w:p w14:paraId="4923C642" w14:textId="6E31BED5" w:rsidR="00370599" w:rsidRPr="0067091D" w:rsidRDefault="00370599" w:rsidP="009379C2">
      <w:pPr>
        <w:pStyle w:val="Bullet1"/>
        <w:rPr>
          <w:rFonts w:asciiTheme="minorHAnsi" w:hAnsiTheme="minorHAnsi" w:cstheme="minorHAnsi"/>
        </w:rPr>
      </w:pPr>
      <w:r w:rsidRPr="0067091D">
        <w:rPr>
          <w:rFonts w:asciiTheme="minorHAnsi" w:hAnsiTheme="minorHAnsi" w:cstheme="minorHAnsi"/>
          <w:b/>
          <w:color w:val="000000"/>
          <w:szCs w:val="22"/>
        </w:rPr>
        <w:t>Group 3 (been made active at any time</w:t>
      </w:r>
      <w:r w:rsidRPr="0067091D">
        <w:rPr>
          <w:rFonts w:asciiTheme="minorHAnsi" w:hAnsiTheme="minorHAnsi" w:cstheme="minorHAnsi"/>
          <w:color w:val="000000"/>
          <w:szCs w:val="22"/>
        </w:rPr>
        <w:t>) is defined by any of the following:</w:t>
      </w:r>
    </w:p>
    <w:p w14:paraId="7C79AA17" w14:textId="384B4129"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 xml:space="preserve">Active on the </w:t>
      </w:r>
      <w:proofErr w:type="spellStart"/>
      <w:r w:rsidRPr="0067091D">
        <w:rPr>
          <w:rFonts w:asciiTheme="minorHAnsi" w:hAnsiTheme="minorHAnsi" w:cstheme="minorHAnsi"/>
        </w:rPr>
        <w:t>OrganMatch</w:t>
      </w:r>
      <w:proofErr w:type="spellEnd"/>
      <w:r w:rsidRPr="0067091D">
        <w:rPr>
          <w:rFonts w:asciiTheme="minorHAnsi" w:hAnsiTheme="minorHAnsi" w:cstheme="minorHAnsi"/>
        </w:rPr>
        <w:t xml:space="preserve"> deceased donor kidney transplant waiting list</w:t>
      </w:r>
      <w:r w:rsidR="001F5381" w:rsidRPr="0067091D">
        <w:rPr>
          <w:rFonts w:asciiTheme="minorHAnsi" w:hAnsiTheme="minorHAnsi" w:cstheme="minorHAnsi"/>
        </w:rPr>
        <w:t>.</w:t>
      </w:r>
    </w:p>
    <w:p w14:paraId="627F2592" w14:textId="3A0FA1F4"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A booked date for a live donor kidney transplant</w:t>
      </w:r>
      <w:r w:rsidR="001F5381" w:rsidRPr="0067091D">
        <w:rPr>
          <w:rFonts w:asciiTheme="minorHAnsi" w:hAnsiTheme="minorHAnsi" w:cstheme="minorHAnsi"/>
        </w:rPr>
        <w:t>.</w:t>
      </w:r>
    </w:p>
    <w:p w14:paraId="1DADC9C1" w14:textId="04C4E23D" w:rsidR="009379C2" w:rsidRPr="0067091D" w:rsidRDefault="00370599" w:rsidP="001F5381">
      <w:pPr>
        <w:pStyle w:val="Bullet2"/>
        <w:rPr>
          <w:rFonts w:asciiTheme="minorHAnsi" w:hAnsiTheme="minorHAnsi" w:cstheme="minorHAnsi"/>
        </w:rPr>
      </w:pPr>
      <w:r w:rsidRPr="0067091D">
        <w:rPr>
          <w:rFonts w:asciiTheme="minorHAnsi" w:hAnsiTheme="minorHAnsi" w:cstheme="minorHAnsi"/>
        </w:rPr>
        <w:t>Active acceptance for matching in the ANZKX live donor kidney exchange program</w:t>
      </w:r>
      <w:r w:rsidR="001F5381" w:rsidRPr="0067091D">
        <w:rPr>
          <w:rFonts w:asciiTheme="minorHAnsi" w:hAnsiTheme="minorHAnsi" w:cstheme="minorHAnsi"/>
        </w:rPr>
        <w:t>.</w:t>
      </w:r>
    </w:p>
    <w:p w14:paraId="043DBBBC" w14:textId="2E2BA876" w:rsidR="00370599" w:rsidRPr="0067091D" w:rsidRDefault="00370599" w:rsidP="009379C2">
      <w:pPr>
        <w:pStyle w:val="Bullet1"/>
        <w:rPr>
          <w:rFonts w:asciiTheme="minorHAnsi" w:hAnsiTheme="minorHAnsi" w:cstheme="minorHAnsi"/>
        </w:rPr>
      </w:pPr>
      <w:r w:rsidRPr="0067091D">
        <w:rPr>
          <w:rFonts w:asciiTheme="minorHAnsi" w:hAnsiTheme="minorHAnsi" w:cstheme="minorHAnsi"/>
          <w:b/>
          <w:color w:val="000000"/>
          <w:szCs w:val="22"/>
        </w:rPr>
        <w:t>Group 4</w:t>
      </w:r>
      <w:r w:rsidRPr="0067091D">
        <w:rPr>
          <w:rFonts w:asciiTheme="minorHAnsi" w:hAnsiTheme="minorHAnsi" w:cstheme="minorHAnsi"/>
          <w:color w:val="000000"/>
          <w:szCs w:val="22"/>
        </w:rPr>
        <w:t xml:space="preserve"> </w:t>
      </w:r>
      <w:r w:rsidRPr="0067091D">
        <w:rPr>
          <w:rFonts w:asciiTheme="minorHAnsi" w:hAnsiTheme="minorHAnsi" w:cstheme="minorHAnsi"/>
          <w:b/>
          <w:color w:val="000000"/>
          <w:szCs w:val="22"/>
        </w:rPr>
        <w:t>(currently not suitable for transplantation)</w:t>
      </w:r>
      <w:r w:rsidRPr="0067091D">
        <w:rPr>
          <w:rFonts w:asciiTheme="minorHAnsi" w:hAnsiTheme="minorHAnsi" w:cstheme="minorHAnsi"/>
          <w:color w:val="000000"/>
          <w:szCs w:val="22"/>
        </w:rPr>
        <w:t xml:space="preserve"> is defined by:</w:t>
      </w:r>
    </w:p>
    <w:p w14:paraId="4F57CEEC" w14:textId="1027F469"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Has not been transplanted and never previously been made active on a kidney transplant list (deceased donor or live donor)</w:t>
      </w:r>
      <w:r w:rsidR="001F5381" w:rsidRPr="0067091D">
        <w:rPr>
          <w:rFonts w:asciiTheme="minorHAnsi" w:hAnsiTheme="minorHAnsi" w:cstheme="minorHAnsi"/>
        </w:rPr>
        <w:t>.</w:t>
      </w:r>
    </w:p>
    <w:p w14:paraId="76AA1357" w14:textId="67D82719"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A specific barrier (either temporary or permanent) is identified that prevents the patient being suitable for transplantation at the present time</w:t>
      </w:r>
      <w:r w:rsidR="001F5381" w:rsidRPr="0067091D">
        <w:rPr>
          <w:rFonts w:asciiTheme="minorHAnsi" w:hAnsiTheme="minorHAnsi" w:cstheme="minorHAnsi"/>
        </w:rPr>
        <w:t>.</w:t>
      </w:r>
    </w:p>
    <w:p w14:paraId="3E9DC3F6" w14:textId="3873DFCB" w:rsidR="009379C2" w:rsidRPr="0067091D" w:rsidRDefault="00370599" w:rsidP="001F5381">
      <w:pPr>
        <w:pStyle w:val="Bullet2"/>
        <w:rPr>
          <w:rFonts w:asciiTheme="minorHAnsi" w:hAnsiTheme="minorHAnsi" w:cstheme="minorHAnsi"/>
        </w:rPr>
      </w:pPr>
      <w:r w:rsidRPr="0067091D">
        <w:rPr>
          <w:rFonts w:asciiTheme="minorHAnsi" w:hAnsiTheme="minorHAnsi" w:cstheme="minorHAnsi"/>
        </w:rPr>
        <w:t xml:space="preserve">Reasons for current unsuitability are determined by the responsible clinicians according to interpretation of appropriate guidelines. Specific reasons for current unsuitability may be medical, surgical or psychosocial in nature. If a patient dies before they have received a transplant or been made active for transplantation, they </w:t>
      </w:r>
      <w:r w:rsidR="00F23529" w:rsidRPr="0067091D">
        <w:rPr>
          <w:rFonts w:asciiTheme="minorHAnsi" w:hAnsiTheme="minorHAnsi" w:cstheme="minorHAnsi"/>
        </w:rPr>
        <w:t>are assigned to</w:t>
      </w:r>
      <w:r w:rsidRPr="0067091D">
        <w:rPr>
          <w:rFonts w:asciiTheme="minorHAnsi" w:hAnsiTheme="minorHAnsi" w:cstheme="minorHAnsi"/>
        </w:rPr>
        <w:t xml:space="preserve"> </w:t>
      </w:r>
      <w:r w:rsidR="00E32FC3" w:rsidRPr="0067091D">
        <w:rPr>
          <w:rFonts w:asciiTheme="minorHAnsi" w:hAnsiTheme="minorHAnsi" w:cstheme="minorHAnsi"/>
        </w:rPr>
        <w:t>G</w:t>
      </w:r>
      <w:r w:rsidRPr="0067091D">
        <w:rPr>
          <w:rFonts w:asciiTheme="minorHAnsi" w:hAnsiTheme="minorHAnsi" w:cstheme="minorHAnsi"/>
        </w:rPr>
        <w:t>roup 4.</w:t>
      </w:r>
    </w:p>
    <w:p w14:paraId="143A5708" w14:textId="414CA2CA" w:rsidR="00370599" w:rsidRPr="0067091D" w:rsidRDefault="00370599" w:rsidP="009379C2">
      <w:pPr>
        <w:pStyle w:val="Bullet1"/>
        <w:rPr>
          <w:rFonts w:asciiTheme="minorHAnsi" w:hAnsiTheme="minorHAnsi" w:cstheme="minorHAnsi"/>
        </w:rPr>
      </w:pPr>
      <w:r w:rsidRPr="0067091D">
        <w:rPr>
          <w:rFonts w:asciiTheme="minorHAnsi" w:hAnsiTheme="minorHAnsi" w:cstheme="minorHAnsi"/>
          <w:b/>
          <w:color w:val="000000"/>
          <w:szCs w:val="22"/>
        </w:rPr>
        <w:t>Group 5 (transplant suitability assessment incomplete)</w:t>
      </w:r>
      <w:r w:rsidRPr="0067091D">
        <w:rPr>
          <w:rFonts w:asciiTheme="minorHAnsi" w:hAnsiTheme="minorHAnsi" w:cstheme="minorHAnsi"/>
          <w:color w:val="000000"/>
          <w:szCs w:val="22"/>
        </w:rPr>
        <w:t xml:space="preserve"> is defined by:</w:t>
      </w:r>
    </w:p>
    <w:p w14:paraId="1D2999E3" w14:textId="77777777"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Patient has not been transplanted and never previously been made active on a kidney transplant list (deceased donor or live donor), but no specific reason for unsuitability has been determined.</w:t>
      </w:r>
    </w:p>
    <w:p w14:paraId="600153FB" w14:textId="498DCB16" w:rsidR="00370599" w:rsidRPr="0067091D" w:rsidRDefault="00370599" w:rsidP="001F5381">
      <w:pPr>
        <w:pStyle w:val="Bullet2"/>
        <w:rPr>
          <w:rFonts w:asciiTheme="minorHAnsi" w:hAnsiTheme="minorHAnsi" w:cstheme="minorHAnsi"/>
        </w:rPr>
      </w:pPr>
      <w:r w:rsidRPr="0067091D">
        <w:rPr>
          <w:rFonts w:asciiTheme="minorHAnsi" w:hAnsiTheme="minorHAnsi" w:cstheme="minorHAnsi"/>
        </w:rPr>
        <w:t>There are still aspects of the assessment and preparation that are incomplete or are yet to be commenced.</w:t>
      </w:r>
    </w:p>
    <w:p w14:paraId="295C6831" w14:textId="1F26EC4D" w:rsidR="009122AC" w:rsidRPr="0067091D" w:rsidRDefault="00370599" w:rsidP="001F5381">
      <w:pPr>
        <w:pStyle w:val="Bullet2"/>
        <w:rPr>
          <w:rFonts w:asciiTheme="minorHAnsi" w:hAnsiTheme="minorHAnsi" w:cstheme="minorHAnsi"/>
        </w:rPr>
      </w:pPr>
      <w:r w:rsidRPr="0067091D">
        <w:rPr>
          <w:rFonts w:asciiTheme="minorHAnsi" w:hAnsiTheme="minorHAnsi" w:cstheme="minorHAnsi"/>
        </w:rPr>
        <w:t>Examples of outstanding requirements that might result in patients being in Group 5 include awaiting things such as: required investigations, review by the transplant nephrologist, review by the transplant surgeon, review by other specialists, referral without an identified barrier to explain non-referral, and completion of necessary documentation.</w:t>
      </w:r>
    </w:p>
    <w:p w14:paraId="110CB2C8" w14:textId="77777777" w:rsidR="008C5BE5" w:rsidRDefault="008C5BE5">
      <w:pPr>
        <w:rPr>
          <w:rFonts w:eastAsia="Times New Roman"/>
          <w:color w:val="000000"/>
          <w:spacing w:val="2"/>
          <w:szCs w:val="22"/>
        </w:rPr>
      </w:pPr>
      <w:r>
        <w:rPr>
          <w:color w:val="000000"/>
          <w:szCs w:val="22"/>
        </w:rPr>
        <w:br w:type="page"/>
      </w:r>
    </w:p>
    <w:p w14:paraId="0F3B9814" w14:textId="689AADDC" w:rsidR="00370599" w:rsidRPr="0067091D" w:rsidRDefault="00370599" w:rsidP="009122AC">
      <w:pPr>
        <w:pStyle w:val="Bullet1"/>
        <w:rPr>
          <w:rFonts w:asciiTheme="minorHAnsi" w:hAnsiTheme="minorHAnsi" w:cstheme="minorHAnsi"/>
        </w:rPr>
      </w:pPr>
      <w:r w:rsidRPr="0067091D">
        <w:rPr>
          <w:rFonts w:asciiTheme="minorHAnsi" w:hAnsiTheme="minorHAnsi" w:cstheme="minorHAnsi"/>
          <w:color w:val="000000"/>
          <w:szCs w:val="22"/>
        </w:rPr>
        <w:lastRenderedPageBreak/>
        <w:t>Inclusions</w:t>
      </w:r>
    </w:p>
    <w:p w14:paraId="666D809D" w14:textId="505D5193" w:rsidR="004A5719" w:rsidRPr="0067091D" w:rsidRDefault="00370599" w:rsidP="001F5381">
      <w:pPr>
        <w:pStyle w:val="Bullet2"/>
        <w:rPr>
          <w:rFonts w:asciiTheme="minorHAnsi" w:hAnsiTheme="minorHAnsi" w:cstheme="minorHAnsi"/>
        </w:rPr>
      </w:pPr>
      <w:r w:rsidRPr="0067091D">
        <w:rPr>
          <w:rFonts w:asciiTheme="minorHAnsi" w:hAnsiTheme="minorHAnsi" w:cstheme="minorHAnsi"/>
        </w:rPr>
        <w:t>Patients ≤</w:t>
      </w:r>
      <w:r w:rsidR="00E32FC3" w:rsidRPr="0067091D">
        <w:rPr>
          <w:rFonts w:asciiTheme="minorHAnsi" w:hAnsiTheme="minorHAnsi" w:cstheme="minorHAnsi"/>
        </w:rPr>
        <w:t xml:space="preserve"> </w:t>
      </w:r>
      <w:r w:rsidRPr="0067091D">
        <w:rPr>
          <w:rFonts w:asciiTheme="minorHAnsi" w:hAnsiTheme="minorHAnsi" w:cstheme="minorHAnsi"/>
        </w:rPr>
        <w:t>70 years of age at the time of commencing chronic dialysis or receiving a pre-emptive transplant</w:t>
      </w:r>
      <w:r w:rsidR="001F5381" w:rsidRPr="0067091D">
        <w:rPr>
          <w:rFonts w:asciiTheme="minorHAnsi" w:hAnsiTheme="minorHAnsi" w:cstheme="minorHAnsi"/>
        </w:rPr>
        <w:t>.</w:t>
      </w:r>
    </w:p>
    <w:p w14:paraId="51C2E669" w14:textId="6BBCD6E0" w:rsidR="004A5719" w:rsidRPr="0067091D" w:rsidRDefault="00370599" w:rsidP="001F5381">
      <w:pPr>
        <w:pStyle w:val="Bullet2"/>
        <w:rPr>
          <w:rFonts w:asciiTheme="minorHAnsi" w:hAnsiTheme="minorHAnsi" w:cstheme="minorHAnsi"/>
        </w:rPr>
      </w:pPr>
      <w:r w:rsidRPr="0067091D">
        <w:rPr>
          <w:rFonts w:asciiTheme="minorHAnsi" w:hAnsiTheme="minorHAnsi" w:cstheme="minorHAnsi"/>
        </w:rPr>
        <w:t>Late presenters</w:t>
      </w:r>
      <w:r w:rsidR="001F5381" w:rsidRPr="0067091D">
        <w:rPr>
          <w:rFonts w:asciiTheme="minorHAnsi" w:hAnsiTheme="minorHAnsi" w:cstheme="minorHAnsi"/>
        </w:rPr>
        <w:t>.</w:t>
      </w:r>
    </w:p>
    <w:p w14:paraId="539A5303" w14:textId="270F64A6" w:rsidR="009122AC" w:rsidRPr="0067091D" w:rsidRDefault="00370599" w:rsidP="001F5381">
      <w:pPr>
        <w:pStyle w:val="Bullet2"/>
        <w:rPr>
          <w:rFonts w:asciiTheme="minorHAnsi" w:hAnsiTheme="minorHAnsi" w:cstheme="minorHAnsi"/>
        </w:rPr>
      </w:pPr>
      <w:r w:rsidRPr="0067091D">
        <w:rPr>
          <w:rFonts w:asciiTheme="minorHAnsi" w:hAnsiTheme="minorHAnsi" w:cstheme="minorHAnsi"/>
        </w:rPr>
        <w:t xml:space="preserve">Patients who die </w:t>
      </w:r>
      <w:r w:rsidR="00551F0A" w:rsidRPr="0067091D">
        <w:rPr>
          <w:rFonts w:asciiTheme="minorHAnsi" w:hAnsiTheme="minorHAnsi" w:cstheme="minorHAnsi"/>
        </w:rPr>
        <w:t>within</w:t>
      </w:r>
      <w:r w:rsidRPr="0067091D">
        <w:rPr>
          <w:rFonts w:asciiTheme="minorHAnsi" w:hAnsiTheme="minorHAnsi" w:cstheme="minorHAnsi"/>
        </w:rPr>
        <w:t xml:space="preserve"> 6 and 12 months of commencing RRT</w:t>
      </w:r>
      <w:r w:rsidR="001F5381" w:rsidRPr="0067091D">
        <w:rPr>
          <w:rFonts w:asciiTheme="minorHAnsi" w:hAnsiTheme="minorHAnsi" w:cstheme="minorHAnsi"/>
        </w:rPr>
        <w:t>.</w:t>
      </w:r>
    </w:p>
    <w:p w14:paraId="3A02AE9C" w14:textId="090A54B7" w:rsidR="004A5719" w:rsidRPr="0067091D" w:rsidRDefault="00370599" w:rsidP="009122AC">
      <w:pPr>
        <w:pStyle w:val="Bullet1"/>
        <w:rPr>
          <w:rFonts w:asciiTheme="minorHAnsi" w:hAnsiTheme="minorHAnsi" w:cstheme="minorHAnsi"/>
        </w:rPr>
      </w:pPr>
      <w:r w:rsidRPr="0067091D">
        <w:rPr>
          <w:rFonts w:asciiTheme="minorHAnsi" w:hAnsiTheme="minorHAnsi" w:cstheme="minorHAnsi"/>
          <w:color w:val="000000"/>
          <w:szCs w:val="22"/>
        </w:rPr>
        <w:t>Exclusions</w:t>
      </w:r>
    </w:p>
    <w:p w14:paraId="0448172C" w14:textId="26484A6D" w:rsidR="004A5719" w:rsidRPr="0067091D" w:rsidRDefault="00370599" w:rsidP="001F5381">
      <w:pPr>
        <w:pStyle w:val="Bullet2"/>
        <w:rPr>
          <w:rFonts w:asciiTheme="minorHAnsi" w:hAnsiTheme="minorHAnsi" w:cstheme="minorHAnsi"/>
        </w:rPr>
      </w:pPr>
      <w:r w:rsidRPr="0067091D">
        <w:rPr>
          <w:rFonts w:asciiTheme="minorHAnsi" w:hAnsiTheme="minorHAnsi" w:cstheme="minorHAnsi"/>
        </w:rPr>
        <w:t>Multi-organ transplants (e.g. liver/kidney; kidney/pancreas)</w:t>
      </w:r>
      <w:r w:rsidR="001F5381" w:rsidRPr="0067091D">
        <w:rPr>
          <w:rFonts w:asciiTheme="minorHAnsi" w:hAnsiTheme="minorHAnsi" w:cstheme="minorHAnsi"/>
        </w:rPr>
        <w:t>.</w:t>
      </w:r>
    </w:p>
    <w:p w14:paraId="18A8CDF9" w14:textId="231CE34A" w:rsidR="004A5719" w:rsidRPr="0067091D" w:rsidRDefault="00370599" w:rsidP="001F5381">
      <w:pPr>
        <w:pStyle w:val="Bullet2"/>
        <w:rPr>
          <w:rFonts w:asciiTheme="minorHAnsi" w:hAnsiTheme="minorHAnsi" w:cstheme="minorHAnsi"/>
        </w:rPr>
      </w:pPr>
      <w:r w:rsidRPr="0067091D">
        <w:rPr>
          <w:rFonts w:asciiTheme="minorHAnsi" w:hAnsiTheme="minorHAnsi" w:cstheme="minorHAnsi"/>
        </w:rPr>
        <w:t>Previous kidney transplant</w:t>
      </w:r>
      <w:r w:rsidR="001F5381" w:rsidRPr="0067091D">
        <w:rPr>
          <w:rFonts w:asciiTheme="minorHAnsi" w:hAnsiTheme="minorHAnsi" w:cstheme="minorHAnsi"/>
        </w:rPr>
        <w:t>.</w:t>
      </w:r>
    </w:p>
    <w:p w14:paraId="7AFB94A3" w14:textId="6A60EACE" w:rsidR="005F2C51" w:rsidRPr="0067091D" w:rsidRDefault="00370599" w:rsidP="001F5381">
      <w:pPr>
        <w:pStyle w:val="Bullet2"/>
        <w:rPr>
          <w:rFonts w:asciiTheme="minorHAnsi" w:hAnsiTheme="minorHAnsi" w:cstheme="minorHAnsi"/>
        </w:rPr>
      </w:pPr>
      <w:r w:rsidRPr="0067091D">
        <w:rPr>
          <w:rFonts w:asciiTheme="minorHAnsi" w:hAnsiTheme="minorHAnsi" w:cstheme="minorHAnsi"/>
        </w:rPr>
        <w:t>Age &gt; 70 years</w:t>
      </w:r>
      <w:r w:rsidR="001F5381" w:rsidRPr="0067091D">
        <w:rPr>
          <w:rFonts w:asciiTheme="minorHAnsi" w:hAnsiTheme="minorHAnsi" w:cstheme="minorHAnsi"/>
        </w:rPr>
        <w:t>.</w:t>
      </w:r>
    </w:p>
    <w:p w14:paraId="11A1981A" w14:textId="1494EB88" w:rsidR="00370599" w:rsidRPr="0067091D" w:rsidRDefault="00370599" w:rsidP="005F2C51">
      <w:pPr>
        <w:pStyle w:val="Bullet1"/>
        <w:rPr>
          <w:rFonts w:asciiTheme="minorHAnsi" w:hAnsiTheme="minorHAnsi" w:cstheme="minorHAnsi"/>
        </w:rPr>
      </w:pPr>
      <w:r w:rsidRPr="0067091D">
        <w:rPr>
          <w:rFonts w:asciiTheme="minorHAnsi" w:hAnsiTheme="minorHAnsi" w:cstheme="minorHAnsi"/>
          <w:color w:val="000000"/>
          <w:szCs w:val="22"/>
        </w:rPr>
        <w:t>Data submission</w:t>
      </w:r>
      <w:r w:rsidR="004A5719" w:rsidRPr="0067091D">
        <w:rPr>
          <w:rFonts w:asciiTheme="minorHAnsi" w:hAnsiTheme="minorHAnsi" w:cstheme="minorHAnsi"/>
          <w:color w:val="000000"/>
          <w:szCs w:val="22"/>
        </w:rPr>
        <w:t>:</w:t>
      </w:r>
      <w:r w:rsidRPr="0067091D">
        <w:rPr>
          <w:rFonts w:asciiTheme="minorHAnsi" w:hAnsiTheme="minorHAnsi" w:cstheme="minorHAnsi"/>
          <w:color w:val="000000"/>
          <w:szCs w:val="22"/>
        </w:rPr>
        <w:t xml:space="preserve"> </w:t>
      </w:r>
    </w:p>
    <w:p w14:paraId="7F54DE2E" w14:textId="3F91116E" w:rsidR="00370599" w:rsidRPr="0067091D" w:rsidRDefault="00370599" w:rsidP="00E32FC3">
      <w:pPr>
        <w:pStyle w:val="Bullet2"/>
        <w:rPr>
          <w:rFonts w:asciiTheme="minorHAnsi" w:hAnsiTheme="minorHAnsi" w:cstheme="minorHAnsi"/>
        </w:rPr>
      </w:pPr>
      <w:r w:rsidRPr="0067091D">
        <w:rPr>
          <w:rFonts w:asciiTheme="minorHAnsi" w:hAnsiTheme="minorHAnsi" w:cstheme="minorHAnsi"/>
        </w:rPr>
        <w:t xml:space="preserve">6 months </w:t>
      </w:r>
      <w:r w:rsidR="001F5381" w:rsidRPr="0067091D">
        <w:rPr>
          <w:rFonts w:asciiTheme="minorHAnsi" w:hAnsiTheme="minorHAnsi" w:cstheme="minorHAnsi"/>
        </w:rPr>
        <w:t>–</w:t>
      </w:r>
      <w:r w:rsidRPr="0067091D">
        <w:rPr>
          <w:rFonts w:asciiTheme="minorHAnsi" w:hAnsiTheme="minorHAnsi" w:cstheme="minorHAnsi"/>
        </w:rPr>
        <w:t xml:space="preserve"> For ESKD patients 70 years of age and under who started RRT 6 months ago</w:t>
      </w:r>
      <w:r w:rsidR="001F5381" w:rsidRPr="0067091D">
        <w:rPr>
          <w:rFonts w:asciiTheme="minorHAnsi" w:hAnsiTheme="minorHAnsi" w:cstheme="minorHAnsi"/>
        </w:rPr>
        <w:t>.</w:t>
      </w:r>
    </w:p>
    <w:p w14:paraId="75DC8883" w14:textId="11EE2B40" w:rsidR="00370599" w:rsidRPr="0067091D" w:rsidRDefault="00370599" w:rsidP="00E32FC3">
      <w:pPr>
        <w:pStyle w:val="Bullet2"/>
        <w:rPr>
          <w:rFonts w:asciiTheme="minorHAnsi" w:hAnsiTheme="minorHAnsi" w:cstheme="minorHAnsi"/>
        </w:rPr>
      </w:pPr>
      <w:r w:rsidRPr="0067091D">
        <w:rPr>
          <w:rFonts w:asciiTheme="minorHAnsi" w:hAnsiTheme="minorHAnsi" w:cstheme="minorHAnsi"/>
        </w:rPr>
        <w:t xml:space="preserve">12 months </w:t>
      </w:r>
      <w:r w:rsidR="001F5381" w:rsidRPr="0067091D">
        <w:rPr>
          <w:rFonts w:asciiTheme="minorHAnsi" w:hAnsiTheme="minorHAnsi" w:cstheme="minorHAnsi"/>
        </w:rPr>
        <w:t>–</w:t>
      </w:r>
      <w:r w:rsidRPr="0067091D">
        <w:rPr>
          <w:rFonts w:asciiTheme="minorHAnsi" w:hAnsiTheme="minorHAnsi" w:cstheme="minorHAnsi"/>
        </w:rPr>
        <w:t xml:space="preserve"> For ESKD patients 70 years of age and under who started RRT 12 months ago:</w:t>
      </w:r>
    </w:p>
    <w:p w14:paraId="286E08E5" w14:textId="77777777" w:rsidR="00370599" w:rsidRPr="0067091D" w:rsidRDefault="00370599" w:rsidP="00E32FC3">
      <w:pPr>
        <w:pStyle w:val="Bullet2"/>
        <w:numPr>
          <w:ilvl w:val="2"/>
          <w:numId w:val="9"/>
        </w:numPr>
        <w:rPr>
          <w:rFonts w:asciiTheme="minorHAnsi" w:hAnsiTheme="minorHAnsi" w:cstheme="minorHAnsi"/>
        </w:rPr>
      </w:pPr>
      <w:r w:rsidRPr="0067091D">
        <w:rPr>
          <w:rFonts w:asciiTheme="minorHAnsi" w:hAnsiTheme="minorHAnsi" w:cstheme="minorHAnsi"/>
        </w:rPr>
        <w:t>Numerators:</w:t>
      </w:r>
    </w:p>
    <w:p w14:paraId="2058040C" w14:textId="3DD22E73" w:rsidR="00370599" w:rsidRPr="0067091D" w:rsidRDefault="00370599" w:rsidP="0067091D">
      <w:r w:rsidRPr="0067091D">
        <w:t>1.</w:t>
      </w:r>
      <w:r w:rsidR="005F2C51" w:rsidRPr="0067091D">
        <w:t xml:space="preserve"> </w:t>
      </w:r>
      <w:r w:rsidRPr="0067091D">
        <w:t>Number with live donor transplant (including pre-emptive)</w:t>
      </w:r>
      <w:r w:rsidR="001F5381" w:rsidRPr="0067091D">
        <w:t>.</w:t>
      </w:r>
    </w:p>
    <w:p w14:paraId="6BA00571" w14:textId="434CB789" w:rsidR="00370599" w:rsidRPr="0067091D" w:rsidRDefault="00370599" w:rsidP="0067091D">
      <w:r w:rsidRPr="0067091D">
        <w:t>2.</w:t>
      </w:r>
      <w:r w:rsidR="005F2C51" w:rsidRPr="0067091D">
        <w:t xml:space="preserve"> </w:t>
      </w:r>
      <w:r w:rsidRPr="0067091D">
        <w:t>Number with deceased donor kidney transplant</w:t>
      </w:r>
      <w:r w:rsidR="001F5381" w:rsidRPr="0067091D">
        <w:t>.</w:t>
      </w:r>
    </w:p>
    <w:p w14:paraId="74FDAC05" w14:textId="7129E0BA" w:rsidR="00370599" w:rsidRPr="0067091D" w:rsidRDefault="00370599" w:rsidP="0067091D">
      <w:r w:rsidRPr="0067091D">
        <w:t>3.</w:t>
      </w:r>
      <w:r w:rsidR="005F2C51" w:rsidRPr="0067091D">
        <w:t xml:space="preserve"> </w:t>
      </w:r>
      <w:r w:rsidRPr="0067091D">
        <w:t>Number active on or have previously been active on a kidney transplant list (deceased donor or live donor)</w:t>
      </w:r>
      <w:r w:rsidR="001F5381" w:rsidRPr="0067091D">
        <w:t>.</w:t>
      </w:r>
    </w:p>
    <w:p w14:paraId="42BD3247" w14:textId="6E9F373A" w:rsidR="00370599" w:rsidRPr="0067091D" w:rsidRDefault="00370599" w:rsidP="0067091D">
      <w:r w:rsidRPr="0067091D">
        <w:t>4.</w:t>
      </w:r>
      <w:r w:rsidR="005F2C51" w:rsidRPr="0067091D">
        <w:t xml:space="preserve"> </w:t>
      </w:r>
      <w:r w:rsidRPr="0067091D">
        <w:t>Number not suitable for a kidney transplant list (deceased or live donor) due to an identified barrier (either temporary or permanent) and have not been on a kidney transplant list at any time (deceased donor or live donor)</w:t>
      </w:r>
      <w:r w:rsidR="001F5381" w:rsidRPr="0067091D">
        <w:t>.</w:t>
      </w:r>
    </w:p>
    <w:p w14:paraId="6F3EAE5F" w14:textId="6D16AF6B" w:rsidR="00370599" w:rsidRPr="0067091D" w:rsidRDefault="00370599" w:rsidP="0067091D">
      <w:r w:rsidRPr="0067091D">
        <w:t>5.</w:t>
      </w:r>
      <w:r w:rsidR="005F2C51" w:rsidRPr="0067091D">
        <w:t xml:space="preserve"> </w:t>
      </w:r>
      <w:r w:rsidRPr="0067091D">
        <w:t>Number with kidney transplant suitability assessment not yet completed (but no specific identified barrier) and have not been on a kidney transplant list at any time (deceased donor or live donor)</w:t>
      </w:r>
      <w:r w:rsidR="001F5381" w:rsidRPr="0067091D">
        <w:t>.</w:t>
      </w:r>
    </w:p>
    <w:p w14:paraId="718292B7" w14:textId="1A5485BF" w:rsidR="004A5719" w:rsidRPr="0067091D" w:rsidRDefault="00370599" w:rsidP="00E32FC3">
      <w:pPr>
        <w:pStyle w:val="Bullet2"/>
        <w:numPr>
          <w:ilvl w:val="2"/>
          <w:numId w:val="9"/>
        </w:numPr>
        <w:rPr>
          <w:rFonts w:asciiTheme="minorHAnsi" w:hAnsiTheme="minorHAnsi" w:cstheme="minorHAnsi"/>
        </w:rPr>
      </w:pPr>
      <w:r w:rsidRPr="0067091D">
        <w:rPr>
          <w:rFonts w:asciiTheme="minorHAnsi" w:hAnsiTheme="minorHAnsi" w:cstheme="minorHAnsi"/>
        </w:rPr>
        <w:t>Denominator: Total number of patients ≤ 70 years of age who started RRT either 6 or 12 months prior</w:t>
      </w:r>
      <w:r w:rsidR="001F5381" w:rsidRPr="0067091D">
        <w:rPr>
          <w:rFonts w:asciiTheme="minorHAnsi" w:hAnsiTheme="minorHAnsi" w:cstheme="minorHAnsi"/>
        </w:rPr>
        <w:t>.</w:t>
      </w:r>
    </w:p>
    <w:p w14:paraId="7067FF3A" w14:textId="3C21A34D" w:rsidR="00370599" w:rsidRPr="0067091D" w:rsidRDefault="00370599" w:rsidP="00E32FC3">
      <w:pPr>
        <w:pStyle w:val="Bullet2"/>
        <w:numPr>
          <w:ilvl w:val="2"/>
          <w:numId w:val="9"/>
        </w:numPr>
        <w:rPr>
          <w:rFonts w:asciiTheme="minorHAnsi" w:hAnsiTheme="minorHAnsi" w:cstheme="minorHAnsi"/>
        </w:rPr>
      </w:pPr>
      <w:r w:rsidRPr="0067091D">
        <w:rPr>
          <w:rFonts w:asciiTheme="minorHAnsi" w:hAnsiTheme="minorHAnsi" w:cstheme="minorHAnsi"/>
        </w:rPr>
        <w:t>The monthly data values for this KPI are reported retrospectively. In any month work back to either 6 or 12 months previously and count all the patients ≤ 70 years of age who first started RRT in that month. Then of that total, count the number of patients who were either transplanted from a living or deceased donor, or placed on an active list, or have been found not suitable for renal transplant, or have not yet had their suitability assessment completed yet within the timeframe.</w:t>
      </w:r>
    </w:p>
    <w:p w14:paraId="60C3D947" w14:textId="77777777" w:rsidR="008C5BE5" w:rsidRDefault="008C5BE5">
      <w:pPr>
        <w:rPr>
          <w:rFonts w:eastAsiaTheme="majorEastAsia"/>
          <w:b/>
          <w:caps/>
          <w:color w:val="007586" w:themeColor="text2"/>
          <w:sz w:val="24"/>
          <w:szCs w:val="26"/>
        </w:rPr>
      </w:pPr>
      <w:bookmarkStart w:id="85" w:name="_Toc84923307"/>
      <w:r>
        <w:br w:type="page"/>
      </w:r>
    </w:p>
    <w:p w14:paraId="4A24FB87" w14:textId="2F335EAD" w:rsidR="004B3DBC" w:rsidRPr="0067091D" w:rsidRDefault="000C1A9B" w:rsidP="0067091D">
      <w:pPr>
        <w:pStyle w:val="Heading2"/>
      </w:pPr>
      <w:r w:rsidRPr="0067091D">
        <w:lastRenderedPageBreak/>
        <w:t xml:space="preserve">AUSTRALIA AND NEW ZEALAND DIALYSIS AND TRANSPLANT (ANZDATA) </w:t>
      </w:r>
      <w:r w:rsidR="000B0EFA" w:rsidRPr="0067091D">
        <w:t xml:space="preserve">CLINICAL QUALITY REGISTRY </w:t>
      </w:r>
      <w:r w:rsidRPr="0067091D">
        <w:t xml:space="preserve">MEASURES </w:t>
      </w:r>
      <w:r w:rsidR="002768A6" w:rsidRPr="0067091D">
        <w:t>–</w:t>
      </w:r>
      <w:r w:rsidRPr="0067091D">
        <w:t xml:space="preserve"> MORTALITY RATES AND GRAFT FAILURE RATES</w:t>
      </w:r>
      <w:bookmarkEnd w:id="85"/>
      <w:r w:rsidRPr="0067091D">
        <w:t xml:space="preserve"> </w:t>
      </w:r>
    </w:p>
    <w:p w14:paraId="6A183F59" w14:textId="0C6E12D4" w:rsidR="000514BB" w:rsidRPr="0067091D" w:rsidRDefault="000514BB" w:rsidP="0067091D">
      <w:pPr>
        <w:pStyle w:val="Heading3"/>
      </w:pPr>
      <w:bookmarkStart w:id="86" w:name="_Toc59519957"/>
      <w:r w:rsidRPr="0067091D">
        <w:t>Definitions</w:t>
      </w:r>
      <w:bookmarkEnd w:id="86"/>
    </w:p>
    <w:p w14:paraId="64FA2A12" w14:textId="3B17787B" w:rsidR="00747DCA" w:rsidRPr="0067091D" w:rsidRDefault="00747DCA" w:rsidP="0067091D">
      <w:pPr>
        <w:pStyle w:val="Heading4"/>
      </w:pPr>
      <w:r w:rsidRPr="0067091D">
        <w:t>Standardised mortality ratios</w:t>
      </w:r>
    </w:p>
    <w:p w14:paraId="2D3560C3" w14:textId="3A8DF95D" w:rsidR="00E32FC3" w:rsidRPr="0067091D" w:rsidRDefault="00747DCA" w:rsidP="0067091D">
      <w:pPr>
        <w:pStyle w:val="Normalfollowingheading"/>
      </w:pPr>
      <w:r w:rsidRPr="0067091D">
        <w:t>Calculated based o</w:t>
      </w:r>
      <w:r w:rsidR="00C24701" w:rsidRPr="0067091D">
        <w:t>n</w:t>
      </w:r>
      <w:r w:rsidRPr="0067091D">
        <w:t xml:space="preserve"> observed versus expected deaths within each of the hospitals. The expected number of deaths is deﬁned as the number of deaths which would be expected if patients were treated at any hospital in Australia and New Zealand, with the hospital weighted according to size. The number of patients is determined as per the </w:t>
      </w:r>
      <w:r w:rsidR="00E32FC3" w:rsidRPr="0067091D">
        <w:t>‘</w:t>
      </w:r>
      <w:r w:rsidRPr="0067091D">
        <w:t>effective sample size</w:t>
      </w:r>
      <w:r w:rsidR="00E32FC3" w:rsidRPr="0067091D">
        <w:t>’</w:t>
      </w:r>
      <w:r w:rsidRPr="0067091D">
        <w:t xml:space="preserve">. A more detailed explanation of the methodology is found in the </w:t>
      </w:r>
      <w:r w:rsidR="00622C95" w:rsidRPr="0067091D">
        <w:t xml:space="preserve">ANZDATA </w:t>
      </w:r>
      <w:r w:rsidRPr="0067091D">
        <w:t>source reports at:</w:t>
      </w:r>
      <w:r w:rsidR="00210588" w:rsidRPr="0067091D">
        <w:t xml:space="preserve"> </w:t>
      </w:r>
    </w:p>
    <w:p w14:paraId="21C805D5" w14:textId="2BD296DD" w:rsidR="00210588" w:rsidRPr="0067091D" w:rsidRDefault="001915C6" w:rsidP="00E32FC3">
      <w:pPr>
        <w:pStyle w:val="Bullet1"/>
        <w:rPr>
          <w:rFonts w:asciiTheme="minorHAnsi" w:hAnsiTheme="minorHAnsi" w:cstheme="minorHAnsi"/>
        </w:rPr>
      </w:pPr>
      <w:r w:rsidRPr="0067091D">
        <w:rPr>
          <w:rFonts w:asciiTheme="minorHAnsi" w:hAnsiTheme="minorHAnsi" w:cstheme="minorHAnsi"/>
        </w:rPr>
        <w:t xml:space="preserve"> </w:t>
      </w:r>
      <w:r w:rsidR="00342A7F" w:rsidRPr="0067091D">
        <w:rPr>
          <w:rStyle w:val="Hyperlink"/>
          <w:rFonts w:asciiTheme="minorHAnsi" w:hAnsiTheme="minorHAnsi" w:cstheme="minorHAnsi"/>
        </w:rPr>
        <w:t>https://www.anzdata.org.au/report/anzdata-abridged-dialysis-hospital-report-2015-2020/</w:t>
      </w:r>
    </w:p>
    <w:p w14:paraId="40138303" w14:textId="361ABB3E" w:rsidR="00747DCA" w:rsidRPr="0067091D" w:rsidRDefault="00C24701" w:rsidP="00E32FC3">
      <w:pPr>
        <w:pStyle w:val="Bullet1"/>
        <w:rPr>
          <w:rFonts w:asciiTheme="minorHAnsi" w:hAnsiTheme="minorHAnsi" w:cstheme="minorHAnsi"/>
        </w:rPr>
      </w:pPr>
      <w:r w:rsidRPr="0067091D">
        <w:rPr>
          <w:rFonts w:asciiTheme="minorHAnsi" w:hAnsiTheme="minorHAnsi" w:cstheme="minorHAnsi"/>
        </w:rPr>
        <w:t xml:space="preserve"> https://www.anzdata.org.au/report/2016-methodology-information-effective-sample-size/</w:t>
      </w:r>
    </w:p>
    <w:p w14:paraId="4795F05E" w14:textId="7FB5CA0D" w:rsidR="00747DCA" w:rsidRPr="0067091D" w:rsidRDefault="00747DCA" w:rsidP="0067091D">
      <w:pPr>
        <w:pStyle w:val="Heading4"/>
      </w:pPr>
      <w:r w:rsidRPr="0067091D">
        <w:t xml:space="preserve">Graft </w:t>
      </w:r>
      <w:r w:rsidR="001F5381" w:rsidRPr="0067091D">
        <w:t>f</w:t>
      </w:r>
      <w:r w:rsidRPr="0067091D">
        <w:t xml:space="preserve">ailure </w:t>
      </w:r>
      <w:r w:rsidR="001F5381" w:rsidRPr="0067091D">
        <w:t>r</w:t>
      </w:r>
      <w:r w:rsidRPr="0067091D">
        <w:t>atio</w:t>
      </w:r>
    </w:p>
    <w:p w14:paraId="5E331DAA" w14:textId="77777777" w:rsidR="00747DCA" w:rsidRPr="0067091D" w:rsidRDefault="00747DCA" w:rsidP="0067091D">
      <w:pPr>
        <w:pStyle w:val="Normalfollowingheading"/>
      </w:pPr>
      <w:r w:rsidRPr="0067091D">
        <w:t xml:space="preserve">Inclusions: </w:t>
      </w:r>
    </w:p>
    <w:p w14:paraId="51B4BEA2" w14:textId="61FD8DDB" w:rsidR="00747DCA" w:rsidRPr="0067091D" w:rsidRDefault="00747DCA" w:rsidP="001F5381">
      <w:pPr>
        <w:pStyle w:val="Bullet1"/>
        <w:rPr>
          <w:rFonts w:asciiTheme="minorHAnsi" w:hAnsiTheme="minorHAnsi" w:cstheme="minorHAnsi"/>
        </w:rPr>
      </w:pPr>
      <w:r w:rsidRPr="0067091D">
        <w:rPr>
          <w:rFonts w:asciiTheme="minorHAnsi" w:hAnsiTheme="minorHAnsi" w:cstheme="minorHAnsi"/>
        </w:rPr>
        <w:t>All Australian and New Zealand patients transplanted between 1 January 201</w:t>
      </w:r>
      <w:r w:rsidR="00151519" w:rsidRPr="0067091D">
        <w:rPr>
          <w:rFonts w:asciiTheme="minorHAnsi" w:hAnsiTheme="minorHAnsi" w:cstheme="minorHAnsi"/>
        </w:rPr>
        <w:t>5</w:t>
      </w:r>
      <w:r w:rsidRPr="0067091D">
        <w:rPr>
          <w:rFonts w:asciiTheme="minorHAnsi" w:hAnsiTheme="minorHAnsi" w:cstheme="minorHAnsi"/>
        </w:rPr>
        <w:t xml:space="preserve"> and 31 December 20</w:t>
      </w:r>
      <w:r w:rsidR="00151519" w:rsidRPr="0067091D">
        <w:rPr>
          <w:rFonts w:asciiTheme="minorHAnsi" w:hAnsiTheme="minorHAnsi" w:cstheme="minorHAnsi"/>
        </w:rPr>
        <w:t>20</w:t>
      </w:r>
      <w:r w:rsidRPr="0067091D">
        <w:rPr>
          <w:rFonts w:asciiTheme="minorHAnsi" w:hAnsiTheme="minorHAnsi" w:cstheme="minorHAnsi"/>
        </w:rPr>
        <w:t xml:space="preserve"> and who were aged 16 years </w:t>
      </w:r>
      <w:r w:rsidR="00AC6C07" w:rsidRPr="0067091D">
        <w:rPr>
          <w:rFonts w:asciiTheme="minorHAnsi" w:hAnsiTheme="minorHAnsi" w:cstheme="minorHAnsi"/>
        </w:rPr>
        <w:t xml:space="preserve">or older </w:t>
      </w:r>
      <w:r w:rsidRPr="0067091D">
        <w:rPr>
          <w:rFonts w:asciiTheme="minorHAnsi" w:hAnsiTheme="minorHAnsi" w:cstheme="minorHAnsi"/>
        </w:rPr>
        <w:t>at the time of operation</w:t>
      </w:r>
      <w:r w:rsidR="00E32FC3" w:rsidRPr="0067091D">
        <w:rPr>
          <w:rFonts w:asciiTheme="minorHAnsi" w:hAnsiTheme="minorHAnsi" w:cstheme="minorHAnsi"/>
        </w:rPr>
        <w:t>.</w:t>
      </w:r>
    </w:p>
    <w:p w14:paraId="3CAB70BE" w14:textId="78207FE9" w:rsidR="00747DCA" w:rsidRPr="0067091D" w:rsidRDefault="00747DCA" w:rsidP="001F5381">
      <w:pPr>
        <w:pStyle w:val="Bullet1"/>
        <w:rPr>
          <w:rFonts w:asciiTheme="minorHAnsi" w:hAnsiTheme="minorHAnsi" w:cstheme="minorHAnsi"/>
        </w:rPr>
      </w:pPr>
      <w:r w:rsidRPr="0067091D">
        <w:rPr>
          <w:rFonts w:asciiTheme="minorHAnsi" w:hAnsiTheme="minorHAnsi" w:cstheme="minorHAnsi"/>
        </w:rPr>
        <w:t>Both deceased and living donor transplants</w:t>
      </w:r>
      <w:r w:rsidR="00E32FC3" w:rsidRPr="0067091D">
        <w:rPr>
          <w:rFonts w:asciiTheme="minorHAnsi" w:hAnsiTheme="minorHAnsi" w:cstheme="minorHAnsi"/>
        </w:rPr>
        <w:t>.</w:t>
      </w:r>
    </w:p>
    <w:p w14:paraId="7173CD41" w14:textId="44DD8236" w:rsidR="00747DCA" w:rsidRPr="0067091D" w:rsidRDefault="00747DCA" w:rsidP="001F5381">
      <w:pPr>
        <w:pStyle w:val="Bullet1"/>
        <w:rPr>
          <w:rFonts w:asciiTheme="minorHAnsi" w:hAnsiTheme="minorHAnsi" w:cstheme="minorHAnsi"/>
        </w:rPr>
      </w:pPr>
      <w:r w:rsidRPr="0067091D">
        <w:rPr>
          <w:rFonts w:asciiTheme="minorHAnsi" w:hAnsiTheme="minorHAnsi" w:cstheme="minorHAnsi"/>
        </w:rPr>
        <w:t xml:space="preserve">Recipients aged 18 years </w:t>
      </w:r>
      <w:r w:rsidR="00C3762D" w:rsidRPr="0067091D">
        <w:rPr>
          <w:rFonts w:asciiTheme="minorHAnsi" w:hAnsiTheme="minorHAnsi" w:cstheme="minorHAnsi"/>
        </w:rPr>
        <w:t xml:space="preserve">or older </w:t>
      </w:r>
      <w:r w:rsidRPr="0067091D">
        <w:rPr>
          <w:rFonts w:asciiTheme="minorHAnsi" w:hAnsiTheme="minorHAnsi" w:cstheme="minorHAnsi"/>
        </w:rPr>
        <w:t>at the time of transplant for hospitals that provide transplantation services for all ages.</w:t>
      </w:r>
    </w:p>
    <w:p w14:paraId="029622E4" w14:textId="77777777" w:rsidR="00747DCA" w:rsidRPr="0067091D" w:rsidRDefault="00747DCA" w:rsidP="0067091D">
      <w:r w:rsidRPr="0067091D">
        <w:t xml:space="preserve">Exclusions: </w:t>
      </w:r>
    </w:p>
    <w:p w14:paraId="606A46DB" w14:textId="77777777" w:rsidR="00747DCA" w:rsidRPr="0067091D" w:rsidRDefault="00747DCA" w:rsidP="001F5381">
      <w:pPr>
        <w:pStyle w:val="Bullet1"/>
        <w:rPr>
          <w:rFonts w:asciiTheme="minorHAnsi" w:hAnsiTheme="minorHAnsi" w:cstheme="minorHAnsi"/>
        </w:rPr>
      </w:pPr>
      <w:r w:rsidRPr="0067091D">
        <w:rPr>
          <w:rFonts w:asciiTheme="minorHAnsi" w:hAnsiTheme="minorHAnsi" w:cstheme="minorHAnsi"/>
        </w:rPr>
        <w:t xml:space="preserve">Patients who received multi-organ grafts. </w:t>
      </w:r>
    </w:p>
    <w:p w14:paraId="2A05BCEE" w14:textId="17D84F63" w:rsidR="00747DCA" w:rsidRPr="0067091D" w:rsidRDefault="00747DCA" w:rsidP="001F5381">
      <w:pPr>
        <w:pStyle w:val="Bullet1"/>
        <w:rPr>
          <w:rFonts w:asciiTheme="minorHAnsi" w:hAnsiTheme="minorHAnsi" w:cstheme="minorHAnsi"/>
        </w:rPr>
      </w:pPr>
      <w:r w:rsidRPr="0067091D">
        <w:rPr>
          <w:rFonts w:asciiTheme="minorHAnsi" w:hAnsiTheme="minorHAnsi" w:cstheme="minorHAnsi"/>
        </w:rPr>
        <w:t xml:space="preserve">Patients transplanted at a paediatric hospital. </w:t>
      </w:r>
    </w:p>
    <w:p w14:paraId="392DC0A4" w14:textId="4006AEB4" w:rsidR="00747DCA" w:rsidRPr="0067091D" w:rsidRDefault="00747DCA" w:rsidP="0067091D">
      <w:r w:rsidRPr="0067091D">
        <w:t>The data are based on reports to the ANZDATA Registry. Interpretation of these results should consider both the limitations of the methodology and the context. The results presented are estimates of true values and are subject to random variation. Confidence intervals are used to present this variability. To account for the multiple comparisons made between centres, 95</w:t>
      </w:r>
      <w:r w:rsidR="002A4BFC" w:rsidRPr="0067091D">
        <w:t xml:space="preserve"> per cent</w:t>
      </w:r>
      <w:r w:rsidRPr="0067091D">
        <w:t xml:space="preserve"> false discovery rate (FDR) confidence intervals are used.</w:t>
      </w:r>
    </w:p>
    <w:p w14:paraId="5AF3D7E7" w14:textId="166A2CEB" w:rsidR="00727C45" w:rsidRPr="0067091D" w:rsidRDefault="00747DCA" w:rsidP="0067091D">
      <w:r w:rsidRPr="0067091D">
        <w:t xml:space="preserve">Data sourced from ANZDATA Transplanting hospital report </w:t>
      </w:r>
      <w:r w:rsidR="00151519" w:rsidRPr="0067091D">
        <w:t>2015 - 2020</w:t>
      </w:r>
      <w:r w:rsidR="00AB6658" w:rsidRPr="0067091D">
        <w:t xml:space="preserve"> </w:t>
      </w:r>
      <w:r w:rsidRPr="0067091D">
        <w:t xml:space="preserve">available at: </w:t>
      </w:r>
      <w:r w:rsidR="00FC6491" w:rsidRPr="0067091D">
        <w:t xml:space="preserve"> </w:t>
      </w:r>
      <w:r w:rsidR="00AB6658" w:rsidRPr="0067091D">
        <w:t>https://www.</w:t>
      </w:r>
      <w:r w:rsidR="004B713A" w:rsidRPr="0067091D">
        <w:t>https://www.anzdata.org.au/anzdata/publications/reports/</w:t>
      </w:r>
    </w:p>
    <w:p w14:paraId="3C5A8484" w14:textId="77777777" w:rsidR="00747DCA" w:rsidRPr="0067091D" w:rsidRDefault="00747DCA" w:rsidP="0067091D">
      <w:pPr>
        <w:sectPr w:rsidR="00747DCA" w:rsidRPr="0067091D" w:rsidSect="002A4BFC">
          <w:type w:val="continuous"/>
          <w:pgSz w:w="11906" w:h="16838" w:code="9"/>
          <w:pgMar w:top="3402" w:right="851" w:bottom="1361" w:left="851" w:header="539" w:footer="624" w:gutter="0"/>
          <w:pgNumType w:start="1"/>
          <w:cols w:space="284"/>
          <w:docGrid w:linePitch="360"/>
        </w:sectPr>
      </w:pPr>
    </w:p>
    <w:p w14:paraId="57AEA989" w14:textId="58F7FABA" w:rsidR="00727C45" w:rsidRPr="0067091D" w:rsidRDefault="00727C45" w:rsidP="0067091D">
      <w:r w:rsidRPr="0067091D">
        <w:rPr>
          <w:noProof/>
        </w:rPr>
        <w:lastRenderedPageBreak/>
        <w:drawing>
          <wp:anchor distT="0" distB="0" distL="114300" distR="114300" simplePos="0" relativeHeight="251661312" behindDoc="1" locked="0" layoutInCell="1" allowOverlap="1" wp14:anchorId="548E8035" wp14:editId="79D947CB">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RPr="0067091D" w:rsidSect="00265EC8">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B142" w14:textId="77777777" w:rsidR="0067091D" w:rsidRDefault="0067091D" w:rsidP="0067091D">
      <w:r>
        <w:separator/>
      </w:r>
    </w:p>
    <w:p w14:paraId="5A1DADFB" w14:textId="77777777" w:rsidR="0067091D" w:rsidRDefault="0067091D" w:rsidP="0067091D"/>
  </w:endnote>
  <w:endnote w:type="continuationSeparator" w:id="0">
    <w:p w14:paraId="39A26756" w14:textId="77777777" w:rsidR="0067091D" w:rsidRDefault="0067091D" w:rsidP="0067091D">
      <w:r>
        <w:continuationSeparator/>
      </w:r>
    </w:p>
    <w:p w14:paraId="6FE86E0C" w14:textId="77777777" w:rsidR="0067091D" w:rsidRDefault="0067091D" w:rsidP="00670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C917" w14:textId="37F79B8F" w:rsidR="0067091D" w:rsidRDefault="0067091D" w:rsidP="0067091D">
    <w:pPr>
      <w:pStyle w:val="FooterEven"/>
      <w:framePr w:wrap="around"/>
    </w:pPr>
    <w:r>
      <mc:AlternateContent>
        <mc:Choice Requires="wps">
          <w:drawing>
            <wp:anchor distT="0" distB="0" distL="114300" distR="114300" simplePos="0" relativeHeight="251743232" behindDoc="0" locked="0" layoutInCell="0" allowOverlap="1" wp14:anchorId="311784CF" wp14:editId="290C6B7F">
              <wp:simplePos x="0" y="0"/>
              <wp:positionH relativeFrom="page">
                <wp:posOffset>0</wp:posOffset>
              </wp:positionH>
              <wp:positionV relativeFrom="page">
                <wp:posOffset>10189210</wp:posOffset>
              </wp:positionV>
              <wp:extent cx="7560310" cy="311785"/>
              <wp:effectExtent l="0" t="0" r="0" b="12065"/>
              <wp:wrapNone/>
              <wp:docPr id="24" name="MSIPCM7bf5455ab846a6a1faf7381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FCDB7" w14:textId="77C9CB1B" w:rsidR="0067091D" w:rsidRPr="008F3020" w:rsidRDefault="0067091D" w:rsidP="0067091D"/>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1784CF" id="_x0000_t202" coordsize="21600,21600" o:spt="202" path="m,l,21600r21600,l21600,xe">
              <v:stroke joinstyle="miter"/>
              <v:path gradientshapeok="t" o:connecttype="rect"/>
            </v:shapetype>
            <v:shape id="MSIPCM7bf5455ab846a6a1faf73811"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743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BtjbxCwAgAASQUAAA4A&#10;AAAAAAAAAAAAAAAALgIAAGRycy9lMm9Eb2MueG1sUEsBAi0AFAAGAAgAAAAhAEgNXprfAAAACwEA&#10;AA8AAAAAAAAAAAAAAAAACgUAAGRycy9kb3ducmV2LnhtbFBLBQYAAAAABAAEAPMAAAAWBgAAAAA=&#10;" o:allowincell="f" filled="f" stroked="f" strokeweight=".5pt">
              <v:textbox inset=",0,,0">
                <w:txbxContent>
                  <w:p w14:paraId="5C5FCDB7" w14:textId="77C9CB1B" w:rsidR="0067091D" w:rsidRPr="008F3020" w:rsidRDefault="0067091D" w:rsidP="0067091D"/>
                </w:txbxContent>
              </v:textbox>
              <w10:wrap anchorx="page" anchory="page"/>
            </v:shape>
          </w:pict>
        </mc:Fallback>
      </mc:AlternateContent>
    </w:r>
    <w:r>
      <w:rPr>
        <w:noProof w:val="0"/>
      </w:rPr>
      <w:fldChar w:fldCharType="begin"/>
    </w:r>
    <w:r>
      <w:instrText xml:space="preserve"> PAGE   \* MERGEFORMAT </w:instrText>
    </w:r>
    <w:r>
      <w:rPr>
        <w:noProof w:val="0"/>
      </w:rPr>
      <w:fldChar w:fldCharType="separate"/>
    </w:r>
    <w:r>
      <w:t>28</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Victorian Renal Key Performance Indicators</w:t>
        </w:r>
      </w:sdtContent>
    </w:sdt>
    <w:r>
      <w:t xml:space="preserve"> </w:t>
    </w:r>
    <w:r>
      <w:drawing>
        <wp:anchor distT="0" distB="0" distL="114300" distR="114300" simplePos="0" relativeHeight="251614208" behindDoc="0" locked="0" layoutInCell="1" allowOverlap="1" wp14:anchorId="5ABC5A33" wp14:editId="06DD3FA8">
          <wp:simplePos x="0" y="0"/>
          <wp:positionH relativeFrom="column">
            <wp:posOffset>4256126</wp:posOffset>
          </wp:positionH>
          <wp:positionV relativeFrom="page">
            <wp:posOffset>9493250</wp:posOffset>
          </wp:positionV>
          <wp:extent cx="1956435" cy="582930"/>
          <wp:effectExtent l="0" t="0" r="5715" b="7620"/>
          <wp:wrapNone/>
          <wp:docPr id="2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7C9C30BF" w14:textId="77777777" w:rsidR="0067091D" w:rsidRPr="002A5891" w:rsidRDefault="0067091D" w:rsidP="00670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1C8D" w14:textId="62AF20F1" w:rsidR="0067091D" w:rsidRDefault="00127F17" w:rsidP="0067091D">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67091D" w:rsidRPr="00237E68">
          <w:t>Victorian Renal Key Performance Indicators</w:t>
        </w:r>
      </w:sdtContent>
    </w:sdt>
    <w:r w:rsidR="0067091D">
      <w:t> </w:t>
    </w:r>
    <w:r w:rsidR="0067091D">
      <w:t> </w:t>
    </w:r>
    <w:r w:rsidR="0067091D" w:rsidRPr="0097403D">
      <w:rPr>
        <w:b/>
      </w:rPr>
      <w:t>Safer Care Victoria</w:t>
    </w:r>
    <w:r w:rsidR="0067091D">
      <w:t> </w:t>
    </w:r>
    <w:r w:rsidR="0067091D">
      <w:t> </w:t>
    </w:r>
    <w:r w:rsidR="0067091D">
      <w:rPr>
        <w:noProof w:val="0"/>
      </w:rPr>
      <w:fldChar w:fldCharType="begin"/>
    </w:r>
    <w:r w:rsidR="0067091D">
      <w:instrText xml:space="preserve"> PAGE   \* MERGEFORMAT </w:instrText>
    </w:r>
    <w:r w:rsidR="0067091D">
      <w:rPr>
        <w:noProof w:val="0"/>
      </w:rPr>
      <w:fldChar w:fldCharType="separate"/>
    </w:r>
    <w:r w:rsidR="0067091D">
      <w:t>1</w:t>
    </w:r>
    <w:r w:rsidR="0067091D">
      <w:fldChar w:fldCharType="end"/>
    </w:r>
  </w:p>
  <w:p w14:paraId="14CF19A7" w14:textId="77777777" w:rsidR="0067091D" w:rsidRPr="002A5891" w:rsidRDefault="0067091D" w:rsidP="00670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D4C4" w14:textId="53D1492D" w:rsidR="0067091D" w:rsidRDefault="0067091D" w:rsidP="0067091D">
    <w:pPr>
      <w:pStyle w:val="Footer"/>
    </w:pPr>
    <w:r>
      <mc:AlternateContent>
        <mc:Choice Requires="wps">
          <w:drawing>
            <wp:anchor distT="0" distB="0" distL="114300" distR="114300" simplePos="0" relativeHeight="251721728" behindDoc="0" locked="0" layoutInCell="0" allowOverlap="1" wp14:anchorId="1EF11ACB" wp14:editId="155CBD35">
              <wp:simplePos x="0" y="0"/>
              <wp:positionH relativeFrom="page">
                <wp:posOffset>0</wp:posOffset>
              </wp:positionH>
              <wp:positionV relativeFrom="page">
                <wp:posOffset>10189210</wp:posOffset>
              </wp:positionV>
              <wp:extent cx="7560310" cy="311785"/>
              <wp:effectExtent l="0" t="0" r="0" b="12065"/>
              <wp:wrapNone/>
              <wp:docPr id="23" name="MSIPCM43634737aeefbb642c15816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AB10" w14:textId="6A1D0EB3" w:rsidR="0067091D" w:rsidRPr="008F3020" w:rsidRDefault="0067091D" w:rsidP="0067091D"/>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F11ACB" id="_x0000_t202" coordsize="21600,21600" o:spt="202" path="m,l,21600r21600,l21600,xe">
              <v:stroke joinstyle="miter"/>
              <v:path gradientshapeok="t" o:connecttype="rect"/>
            </v:shapetype>
            <v:shape id="MSIPCM43634737aeefbb642c158168"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LOPRO6wAgAATwUAAA4A&#10;AAAAAAAAAAAAAAAALgIAAGRycy9lMm9Eb2MueG1sUEsBAi0AFAAGAAgAAAAhAEgNXprfAAAACwEA&#10;AA8AAAAAAAAAAAAAAAAACgUAAGRycy9kb3ducmV2LnhtbFBLBQYAAAAABAAEAPMAAAAWBgAAAAA=&#10;" o:allowincell="f" filled="f" stroked="f" strokeweight=".5pt">
              <v:textbox inset=",0,,0">
                <w:txbxContent>
                  <w:p w14:paraId="11B3AB10" w14:textId="6A1D0EB3" w:rsidR="0067091D" w:rsidRPr="008F3020" w:rsidRDefault="0067091D" w:rsidP="0067091D"/>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E70C" w14:textId="77777777" w:rsidR="0067091D" w:rsidRDefault="0067091D" w:rsidP="00670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8D57F" w14:textId="77777777" w:rsidR="0067091D" w:rsidRDefault="0067091D" w:rsidP="0067091D"/>
    <w:p w14:paraId="09C9BFE8" w14:textId="77777777" w:rsidR="0067091D" w:rsidRDefault="0067091D" w:rsidP="0067091D"/>
  </w:footnote>
  <w:footnote w:type="continuationSeparator" w:id="0">
    <w:p w14:paraId="017B65DC" w14:textId="77777777" w:rsidR="0067091D" w:rsidRDefault="0067091D" w:rsidP="0067091D"/>
    <w:p w14:paraId="7D4E6DFB" w14:textId="77777777" w:rsidR="0067091D" w:rsidRDefault="0067091D" w:rsidP="0067091D"/>
  </w:footnote>
  <w:footnote w:id="1">
    <w:p w14:paraId="25C70008" w14:textId="136B3CE5" w:rsidR="0067091D" w:rsidRPr="00874866" w:rsidRDefault="0067091D" w:rsidP="0067091D">
      <w:pPr>
        <w:pStyle w:val="Footer"/>
      </w:pPr>
      <w:r>
        <w:rPr>
          <w:rStyle w:val="FootnoteReference"/>
        </w:rPr>
        <w:footnoteRef/>
      </w:r>
      <w:r>
        <w:t xml:space="preserve"> </w:t>
      </w:r>
      <w:r w:rsidRPr="00057302">
        <w:t>Lok CE, Huber TS, Lee T, et al</w:t>
      </w:r>
      <w:r>
        <w:t xml:space="preserve">. </w:t>
      </w:r>
      <w:r w:rsidRPr="00057302">
        <w:t>KDOQI Vascular</w:t>
      </w:r>
      <w:r>
        <w:t xml:space="preserve"> </w:t>
      </w:r>
      <w:r w:rsidRPr="00057302">
        <w:t>Access Guideline Work Group. KDOQI clinical practice guideline for vascular access: 2019 update. Am J</w:t>
      </w:r>
      <w:r>
        <w:t xml:space="preserve"> </w:t>
      </w:r>
      <w:r w:rsidRPr="00057302">
        <w:t>Kidney Dis. 2020;75(4)(suppl 2):S1-S164.</w:t>
      </w:r>
    </w:p>
  </w:footnote>
  <w:footnote w:id="2">
    <w:p w14:paraId="737D0AD7" w14:textId="71E466B5" w:rsidR="0067091D" w:rsidRPr="000837DD" w:rsidRDefault="0067091D" w:rsidP="0067091D">
      <w:pPr>
        <w:pStyle w:val="Footer"/>
      </w:pPr>
      <w:r>
        <w:rPr>
          <w:rStyle w:val="FootnoteReference"/>
        </w:rPr>
        <w:footnoteRef/>
      </w:r>
      <w:r>
        <w:t xml:space="preserve"> </w:t>
      </w:r>
      <w:r w:rsidRPr="00293876">
        <w:t>Li PK, Szeto CC, Piraino B, et al. The International Society of Peritoneal Dialysis (ISPD) peritonitis recommendations: 2016 update on prevention and treatment. Perit Dial Int. 2016;36(5):481-508; Erratum: Perit Dial Int. 2018 38(4):313.</w:t>
      </w:r>
    </w:p>
    <w:p w14:paraId="3F61E9E8" w14:textId="1F15DC68" w:rsidR="0067091D" w:rsidRDefault="0067091D" w:rsidP="006709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8B9A" w14:textId="77777777" w:rsidR="0067091D" w:rsidRDefault="0067091D" w:rsidP="0067091D">
    <w:pPr>
      <w:pStyle w:val="Header"/>
    </w:pPr>
    <w:r>
      <w:rPr>
        <w:noProof/>
      </w:rPr>
      <w:drawing>
        <wp:anchor distT="0" distB="0" distL="114300" distR="114300" simplePos="0" relativeHeight="251592704" behindDoc="1" locked="0" layoutInCell="1" allowOverlap="1" wp14:anchorId="15E1F10A" wp14:editId="17E8D83D">
          <wp:simplePos x="0" y="0"/>
          <wp:positionH relativeFrom="column">
            <wp:posOffset>-914400</wp:posOffset>
          </wp:positionH>
          <wp:positionV relativeFrom="page">
            <wp:posOffset>0</wp:posOffset>
          </wp:positionV>
          <wp:extent cx="7562088" cy="10698480"/>
          <wp:effectExtent l="0" t="0" r="1270" b="7620"/>
          <wp:wrapNone/>
          <wp:docPr id="19"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FE01" w14:textId="15D8A900" w:rsidR="0067091D" w:rsidRDefault="0067091D" w:rsidP="0023694D">
    <w:pPr>
      <w:pStyle w:val="NoSpacing"/>
    </w:pPr>
    <w:r>
      <w:rPr>
        <w:noProof/>
      </w:rPr>
      <w:drawing>
        <wp:anchor distT="0" distB="0" distL="114300" distR="114300" simplePos="0" relativeHeight="251635712" behindDoc="1" locked="0" layoutInCell="1" allowOverlap="1" wp14:anchorId="054E7ED6" wp14:editId="057E0ACE">
          <wp:simplePos x="542925" y="342900"/>
          <wp:positionH relativeFrom="page">
            <wp:align>left</wp:align>
          </wp:positionH>
          <wp:positionV relativeFrom="page">
            <wp:align>top</wp:align>
          </wp:positionV>
          <wp:extent cx="7560000" cy="10691587"/>
          <wp:effectExtent l="0" t="0" r="3175" b="0"/>
          <wp:wrapNone/>
          <wp:docPr id="25" name="Picture 25" descr="SC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V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0BC9" w14:textId="77777777" w:rsidR="0067091D" w:rsidRDefault="0067091D"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229B5"/>
    <w:multiLevelType w:val="hybridMultilevel"/>
    <w:tmpl w:val="8C484E2C"/>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6A6D21"/>
    <w:multiLevelType w:val="hybridMultilevel"/>
    <w:tmpl w:val="86249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C23B4"/>
    <w:multiLevelType w:val="hybridMultilevel"/>
    <w:tmpl w:val="2F1E0E3A"/>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2DD666B"/>
    <w:multiLevelType w:val="hybridMultilevel"/>
    <w:tmpl w:val="6D92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77FD9"/>
    <w:multiLevelType w:val="multilevel"/>
    <w:tmpl w:val="C2804ADA"/>
    <w:lvl w:ilvl="0">
      <w:start w:val="1"/>
      <w:numFmt w:val="lowerRoman"/>
      <w:pStyle w:val="Listnum"/>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6"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7AD591C"/>
    <w:multiLevelType w:val="hybridMultilevel"/>
    <w:tmpl w:val="A4E44B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C270485"/>
    <w:multiLevelType w:val="hybridMultilevel"/>
    <w:tmpl w:val="43BCF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393A12AA"/>
    <w:multiLevelType w:val="multilevel"/>
    <w:tmpl w:val="82600CBC"/>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96C2E47"/>
    <w:multiLevelType w:val="hybridMultilevel"/>
    <w:tmpl w:val="3CA041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41970BDA"/>
    <w:multiLevelType w:val="hybridMultilevel"/>
    <w:tmpl w:val="B150B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45726A3A"/>
    <w:multiLevelType w:val="hybridMultilevel"/>
    <w:tmpl w:val="9A4CBEE0"/>
    <w:lvl w:ilvl="0" w:tplc="C9DEFAD6">
      <w:start w:val="1"/>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24216B"/>
    <w:multiLevelType w:val="hybridMultilevel"/>
    <w:tmpl w:val="9ACE80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D66614"/>
    <w:multiLevelType w:val="hybridMultilevel"/>
    <w:tmpl w:val="02B069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F355FEC"/>
    <w:multiLevelType w:val="hybridMultilevel"/>
    <w:tmpl w:val="57E6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7E384C"/>
    <w:multiLevelType w:val="hybridMultilevel"/>
    <w:tmpl w:val="DE585AE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7C854C9"/>
    <w:multiLevelType w:val="hybridMultilevel"/>
    <w:tmpl w:val="CCF0D2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A4679"/>
    <w:multiLevelType w:val="hybridMultilevel"/>
    <w:tmpl w:val="AE06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16222"/>
    <w:multiLevelType w:val="hybridMultilevel"/>
    <w:tmpl w:val="E7D0A246"/>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0C120C8"/>
    <w:multiLevelType w:val="hybridMultilevel"/>
    <w:tmpl w:val="8F0E91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24834B0"/>
    <w:multiLevelType w:val="hybridMultilevel"/>
    <w:tmpl w:val="002CD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E04406"/>
    <w:multiLevelType w:val="hybridMultilevel"/>
    <w:tmpl w:val="9C7CAB6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D2203C5"/>
    <w:multiLevelType w:val="hybridMultilevel"/>
    <w:tmpl w:val="B0B24724"/>
    <w:lvl w:ilvl="0" w:tplc="DE46E0D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7ADA5AB1"/>
    <w:multiLevelType w:val="multilevel"/>
    <w:tmpl w:val="27E4A126"/>
    <w:lvl w:ilvl="0">
      <w:start w:val="1"/>
      <w:numFmt w:val="lowerRoman"/>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31"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5"/>
  </w:num>
  <w:num w:numId="2">
    <w:abstractNumId w:val="15"/>
  </w:num>
  <w:num w:numId="3">
    <w:abstractNumId w:val="15"/>
  </w:num>
  <w:num w:numId="4">
    <w:abstractNumId w:val="31"/>
  </w:num>
  <w:num w:numId="5">
    <w:abstractNumId w:val="6"/>
  </w:num>
  <w:num w:numId="6">
    <w:abstractNumId w:val="14"/>
  </w:num>
  <w:num w:numId="7">
    <w:abstractNumId w:val="29"/>
  </w:num>
  <w:num w:numId="8">
    <w:abstractNumId w:val="10"/>
  </w:num>
  <w:num w:numId="9">
    <w:abstractNumId w:val="10"/>
  </w:num>
  <w:num w:numId="10">
    <w:abstractNumId w:val="9"/>
  </w:num>
  <w:num w:numId="11">
    <w:abstractNumId w:val="0"/>
  </w:num>
  <w:num w:numId="12">
    <w:abstractNumId w:val="21"/>
  </w:num>
  <w:num w:numId="13">
    <w:abstractNumId w:val="26"/>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1"/>
  </w:num>
  <w:num w:numId="18">
    <w:abstractNumId w:val="30"/>
  </w:num>
  <w:num w:numId="19">
    <w:abstractNumId w:val="18"/>
  </w:num>
  <w:num w:numId="20">
    <w:abstractNumId w:val="2"/>
  </w:num>
  <w:num w:numId="21">
    <w:abstractNumId w:val="7"/>
  </w:num>
  <w:num w:numId="22">
    <w:abstractNumId w:val="27"/>
  </w:num>
  <w:num w:numId="23">
    <w:abstractNumId w:val="25"/>
  </w:num>
  <w:num w:numId="24">
    <w:abstractNumId w:val="17"/>
  </w:num>
  <w:num w:numId="25">
    <w:abstractNumId w:val="20"/>
  </w:num>
  <w:num w:numId="26">
    <w:abstractNumId w:val="24"/>
  </w:num>
  <w:num w:numId="27">
    <w:abstractNumId w:val="23"/>
  </w:num>
  <w:num w:numId="28">
    <w:abstractNumId w:val="4"/>
  </w:num>
  <w:num w:numId="29">
    <w:abstractNumId w:val="1"/>
  </w:num>
  <w:num w:numId="30">
    <w:abstractNumId w:val="3"/>
  </w:num>
  <w:num w:numId="31">
    <w:abstractNumId w:val="16"/>
  </w:num>
  <w:num w:numId="32">
    <w:abstractNumId w:val="13"/>
  </w:num>
  <w:num w:numId="33">
    <w:abstractNumId w:val="22"/>
  </w:num>
  <w:num w:numId="34">
    <w:abstractNumId w:val="11"/>
  </w:num>
  <w:num w:numId="35">
    <w:abstractNumId w:val="19"/>
  </w:num>
  <w:num w:numId="36">
    <w:abstractNumId w:val="8"/>
  </w:num>
  <w:num w:numId="37">
    <w:abstractNumId w:val="2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1A"/>
    <w:rsid w:val="00000773"/>
    <w:rsid w:val="0000354E"/>
    <w:rsid w:val="00004F8B"/>
    <w:rsid w:val="00005971"/>
    <w:rsid w:val="00012748"/>
    <w:rsid w:val="000129BA"/>
    <w:rsid w:val="00012F6F"/>
    <w:rsid w:val="00014213"/>
    <w:rsid w:val="00014927"/>
    <w:rsid w:val="00014B55"/>
    <w:rsid w:val="000206B1"/>
    <w:rsid w:val="00020E3E"/>
    <w:rsid w:val="00021C76"/>
    <w:rsid w:val="00022FAD"/>
    <w:rsid w:val="00023BF3"/>
    <w:rsid w:val="00024AA3"/>
    <w:rsid w:val="00026811"/>
    <w:rsid w:val="0002739F"/>
    <w:rsid w:val="00027FF9"/>
    <w:rsid w:val="00032FA2"/>
    <w:rsid w:val="000342D8"/>
    <w:rsid w:val="0003667F"/>
    <w:rsid w:val="0004185E"/>
    <w:rsid w:val="00042AE0"/>
    <w:rsid w:val="000442F0"/>
    <w:rsid w:val="00050859"/>
    <w:rsid w:val="00050CA5"/>
    <w:rsid w:val="000514BB"/>
    <w:rsid w:val="00052107"/>
    <w:rsid w:val="00052802"/>
    <w:rsid w:val="000563E9"/>
    <w:rsid w:val="00056988"/>
    <w:rsid w:val="00056E07"/>
    <w:rsid w:val="00057302"/>
    <w:rsid w:val="00061222"/>
    <w:rsid w:val="00063566"/>
    <w:rsid w:val="0007165F"/>
    <w:rsid w:val="00072279"/>
    <w:rsid w:val="00073407"/>
    <w:rsid w:val="00074CF8"/>
    <w:rsid w:val="00075E6C"/>
    <w:rsid w:val="00081C12"/>
    <w:rsid w:val="00083742"/>
    <w:rsid w:val="000837DD"/>
    <w:rsid w:val="00084AF5"/>
    <w:rsid w:val="000867D6"/>
    <w:rsid w:val="00086820"/>
    <w:rsid w:val="00086AFF"/>
    <w:rsid w:val="00087D42"/>
    <w:rsid w:val="00091D3C"/>
    <w:rsid w:val="0009296A"/>
    <w:rsid w:val="00092F9C"/>
    <w:rsid w:val="0009362D"/>
    <w:rsid w:val="00093A06"/>
    <w:rsid w:val="0009409B"/>
    <w:rsid w:val="00097C01"/>
    <w:rsid w:val="000A4812"/>
    <w:rsid w:val="000A59ED"/>
    <w:rsid w:val="000A74B4"/>
    <w:rsid w:val="000B0001"/>
    <w:rsid w:val="000B0EFA"/>
    <w:rsid w:val="000B11ED"/>
    <w:rsid w:val="000B29AD"/>
    <w:rsid w:val="000B5018"/>
    <w:rsid w:val="000B5078"/>
    <w:rsid w:val="000C1A9B"/>
    <w:rsid w:val="000C33AB"/>
    <w:rsid w:val="000C6372"/>
    <w:rsid w:val="000C6EFF"/>
    <w:rsid w:val="000D154E"/>
    <w:rsid w:val="000D3992"/>
    <w:rsid w:val="000D5F68"/>
    <w:rsid w:val="000D7841"/>
    <w:rsid w:val="000E0D3A"/>
    <w:rsid w:val="000E3535"/>
    <w:rsid w:val="000E392D"/>
    <w:rsid w:val="000E39B6"/>
    <w:rsid w:val="000E3D05"/>
    <w:rsid w:val="000F0B4E"/>
    <w:rsid w:val="000F19F4"/>
    <w:rsid w:val="000F4288"/>
    <w:rsid w:val="000F7165"/>
    <w:rsid w:val="000F7819"/>
    <w:rsid w:val="00100AFA"/>
    <w:rsid w:val="00102379"/>
    <w:rsid w:val="00103722"/>
    <w:rsid w:val="001065D6"/>
    <w:rsid w:val="001068D5"/>
    <w:rsid w:val="00114FE0"/>
    <w:rsid w:val="001172B9"/>
    <w:rsid w:val="00117F04"/>
    <w:rsid w:val="00121252"/>
    <w:rsid w:val="00123CA7"/>
    <w:rsid w:val="00123F34"/>
    <w:rsid w:val="00124609"/>
    <w:rsid w:val="0012527F"/>
    <w:rsid w:val="001254CE"/>
    <w:rsid w:val="00127F17"/>
    <w:rsid w:val="00130E4F"/>
    <w:rsid w:val="0013192F"/>
    <w:rsid w:val="00131C39"/>
    <w:rsid w:val="001357F5"/>
    <w:rsid w:val="001378D4"/>
    <w:rsid w:val="00137DB4"/>
    <w:rsid w:val="00140096"/>
    <w:rsid w:val="00140293"/>
    <w:rsid w:val="001406C8"/>
    <w:rsid w:val="001419C1"/>
    <w:rsid w:val="001422CC"/>
    <w:rsid w:val="001449C7"/>
    <w:rsid w:val="00145346"/>
    <w:rsid w:val="00147AA7"/>
    <w:rsid w:val="00151519"/>
    <w:rsid w:val="0015793A"/>
    <w:rsid w:val="001617B6"/>
    <w:rsid w:val="00163FA1"/>
    <w:rsid w:val="001645DB"/>
    <w:rsid w:val="0016468A"/>
    <w:rsid w:val="00165E66"/>
    <w:rsid w:val="00173145"/>
    <w:rsid w:val="001732CF"/>
    <w:rsid w:val="00175FF9"/>
    <w:rsid w:val="0017692D"/>
    <w:rsid w:val="00176C9C"/>
    <w:rsid w:val="00176E16"/>
    <w:rsid w:val="00185DD7"/>
    <w:rsid w:val="00187740"/>
    <w:rsid w:val="00190627"/>
    <w:rsid w:val="001915C6"/>
    <w:rsid w:val="00192BFA"/>
    <w:rsid w:val="00193EC5"/>
    <w:rsid w:val="001960C5"/>
    <w:rsid w:val="00196143"/>
    <w:rsid w:val="0019775D"/>
    <w:rsid w:val="001978E1"/>
    <w:rsid w:val="001A177D"/>
    <w:rsid w:val="001A24FC"/>
    <w:rsid w:val="001A33CC"/>
    <w:rsid w:val="001A62DC"/>
    <w:rsid w:val="001A68D8"/>
    <w:rsid w:val="001A6C8D"/>
    <w:rsid w:val="001A6E64"/>
    <w:rsid w:val="001A7BBE"/>
    <w:rsid w:val="001B0148"/>
    <w:rsid w:val="001B1D76"/>
    <w:rsid w:val="001B1E59"/>
    <w:rsid w:val="001B3AE9"/>
    <w:rsid w:val="001B5128"/>
    <w:rsid w:val="001B6C3B"/>
    <w:rsid w:val="001B7709"/>
    <w:rsid w:val="001C0EE1"/>
    <w:rsid w:val="001C14E3"/>
    <w:rsid w:val="001C3C65"/>
    <w:rsid w:val="001C7A51"/>
    <w:rsid w:val="001C7BAE"/>
    <w:rsid w:val="001D0077"/>
    <w:rsid w:val="001D18AA"/>
    <w:rsid w:val="001D5727"/>
    <w:rsid w:val="001E21F4"/>
    <w:rsid w:val="001E2C87"/>
    <w:rsid w:val="001E31FA"/>
    <w:rsid w:val="001E40A4"/>
    <w:rsid w:val="001E48F9"/>
    <w:rsid w:val="001E64F6"/>
    <w:rsid w:val="001E71B8"/>
    <w:rsid w:val="001E7AEB"/>
    <w:rsid w:val="001F1142"/>
    <w:rsid w:val="001F379B"/>
    <w:rsid w:val="001F3ED7"/>
    <w:rsid w:val="001F45F2"/>
    <w:rsid w:val="001F5381"/>
    <w:rsid w:val="001F59B1"/>
    <w:rsid w:val="001F5D28"/>
    <w:rsid w:val="001F7D5A"/>
    <w:rsid w:val="00200C53"/>
    <w:rsid w:val="00200F68"/>
    <w:rsid w:val="002011E3"/>
    <w:rsid w:val="00203F26"/>
    <w:rsid w:val="002042C4"/>
    <w:rsid w:val="00204525"/>
    <w:rsid w:val="00204B82"/>
    <w:rsid w:val="00210588"/>
    <w:rsid w:val="00217BEA"/>
    <w:rsid w:val="00217E24"/>
    <w:rsid w:val="00222BEB"/>
    <w:rsid w:val="00222D87"/>
    <w:rsid w:val="00222FE6"/>
    <w:rsid w:val="0022401B"/>
    <w:rsid w:val="00224F50"/>
    <w:rsid w:val="00225E60"/>
    <w:rsid w:val="00230BBB"/>
    <w:rsid w:val="0023202C"/>
    <w:rsid w:val="00234619"/>
    <w:rsid w:val="00236301"/>
    <w:rsid w:val="0023694D"/>
    <w:rsid w:val="00237486"/>
    <w:rsid w:val="002376D8"/>
    <w:rsid w:val="00237E68"/>
    <w:rsid w:val="00243676"/>
    <w:rsid w:val="002443DE"/>
    <w:rsid w:val="00245043"/>
    <w:rsid w:val="002453DE"/>
    <w:rsid w:val="00245D33"/>
    <w:rsid w:val="00245E0D"/>
    <w:rsid w:val="00252987"/>
    <w:rsid w:val="0025408A"/>
    <w:rsid w:val="00255DD0"/>
    <w:rsid w:val="002570F6"/>
    <w:rsid w:val="00257461"/>
    <w:rsid w:val="002600E7"/>
    <w:rsid w:val="0026028E"/>
    <w:rsid w:val="00263221"/>
    <w:rsid w:val="00265EC8"/>
    <w:rsid w:val="00266E9E"/>
    <w:rsid w:val="00271E7B"/>
    <w:rsid w:val="00273BB2"/>
    <w:rsid w:val="00274D21"/>
    <w:rsid w:val="002762A6"/>
    <w:rsid w:val="002768A6"/>
    <w:rsid w:val="00281F30"/>
    <w:rsid w:val="00282FEC"/>
    <w:rsid w:val="00283596"/>
    <w:rsid w:val="0028369A"/>
    <w:rsid w:val="00284528"/>
    <w:rsid w:val="00284FA2"/>
    <w:rsid w:val="002858DE"/>
    <w:rsid w:val="00285FF0"/>
    <w:rsid w:val="00286DDE"/>
    <w:rsid w:val="00292503"/>
    <w:rsid w:val="00292D36"/>
    <w:rsid w:val="00293876"/>
    <w:rsid w:val="00294600"/>
    <w:rsid w:val="00294A5A"/>
    <w:rsid w:val="002956CC"/>
    <w:rsid w:val="00297281"/>
    <w:rsid w:val="00297A47"/>
    <w:rsid w:val="002A0133"/>
    <w:rsid w:val="002A1991"/>
    <w:rsid w:val="002A228B"/>
    <w:rsid w:val="002A2F89"/>
    <w:rsid w:val="002A4BFC"/>
    <w:rsid w:val="002A5891"/>
    <w:rsid w:val="002A5D6A"/>
    <w:rsid w:val="002A675C"/>
    <w:rsid w:val="002A78EE"/>
    <w:rsid w:val="002B03F1"/>
    <w:rsid w:val="002B361E"/>
    <w:rsid w:val="002B3F83"/>
    <w:rsid w:val="002B4542"/>
    <w:rsid w:val="002B4CED"/>
    <w:rsid w:val="002B5E2B"/>
    <w:rsid w:val="002B6380"/>
    <w:rsid w:val="002B6DAA"/>
    <w:rsid w:val="002B7CEE"/>
    <w:rsid w:val="002C2D44"/>
    <w:rsid w:val="002C4757"/>
    <w:rsid w:val="002C7C1C"/>
    <w:rsid w:val="002D031B"/>
    <w:rsid w:val="002D1D6F"/>
    <w:rsid w:val="002D2BF8"/>
    <w:rsid w:val="002D4760"/>
    <w:rsid w:val="002D4A87"/>
    <w:rsid w:val="002D64E3"/>
    <w:rsid w:val="002D6ABF"/>
    <w:rsid w:val="002D70EB"/>
    <w:rsid w:val="002D70F7"/>
    <w:rsid w:val="002D711A"/>
    <w:rsid w:val="002D7336"/>
    <w:rsid w:val="002D7544"/>
    <w:rsid w:val="002E3396"/>
    <w:rsid w:val="002E3404"/>
    <w:rsid w:val="002E69ED"/>
    <w:rsid w:val="002E752C"/>
    <w:rsid w:val="002F25BD"/>
    <w:rsid w:val="002F2953"/>
    <w:rsid w:val="002F46B2"/>
    <w:rsid w:val="00301C09"/>
    <w:rsid w:val="00305343"/>
    <w:rsid w:val="00306754"/>
    <w:rsid w:val="0030693B"/>
    <w:rsid w:val="00307443"/>
    <w:rsid w:val="0031149C"/>
    <w:rsid w:val="00315467"/>
    <w:rsid w:val="00315966"/>
    <w:rsid w:val="00325C2F"/>
    <w:rsid w:val="003271B4"/>
    <w:rsid w:val="00332DD5"/>
    <w:rsid w:val="00333A2D"/>
    <w:rsid w:val="00334A38"/>
    <w:rsid w:val="00334AD8"/>
    <w:rsid w:val="003375AA"/>
    <w:rsid w:val="00340EEC"/>
    <w:rsid w:val="003417AF"/>
    <w:rsid w:val="00341C67"/>
    <w:rsid w:val="00341F5A"/>
    <w:rsid w:val="00342A7F"/>
    <w:rsid w:val="00343EF4"/>
    <w:rsid w:val="0034468E"/>
    <w:rsid w:val="00352059"/>
    <w:rsid w:val="0035720A"/>
    <w:rsid w:val="00357A50"/>
    <w:rsid w:val="00357F0B"/>
    <w:rsid w:val="0036258C"/>
    <w:rsid w:val="00363775"/>
    <w:rsid w:val="00363F7A"/>
    <w:rsid w:val="003642D7"/>
    <w:rsid w:val="0036453C"/>
    <w:rsid w:val="00366556"/>
    <w:rsid w:val="0036778F"/>
    <w:rsid w:val="003703C5"/>
    <w:rsid w:val="00370599"/>
    <w:rsid w:val="00373B4D"/>
    <w:rsid w:val="00375877"/>
    <w:rsid w:val="00377636"/>
    <w:rsid w:val="0038771C"/>
    <w:rsid w:val="00387974"/>
    <w:rsid w:val="0039046D"/>
    <w:rsid w:val="003907DD"/>
    <w:rsid w:val="00391F26"/>
    <w:rsid w:val="0039329A"/>
    <w:rsid w:val="00395664"/>
    <w:rsid w:val="00397CBF"/>
    <w:rsid w:val="003A3E53"/>
    <w:rsid w:val="003A430B"/>
    <w:rsid w:val="003A50B3"/>
    <w:rsid w:val="003A541A"/>
    <w:rsid w:val="003A6923"/>
    <w:rsid w:val="003A69FE"/>
    <w:rsid w:val="003A7B1B"/>
    <w:rsid w:val="003B0C71"/>
    <w:rsid w:val="003B0CB3"/>
    <w:rsid w:val="003B140F"/>
    <w:rsid w:val="003B25F1"/>
    <w:rsid w:val="003B46A1"/>
    <w:rsid w:val="003B5202"/>
    <w:rsid w:val="003B7B6F"/>
    <w:rsid w:val="003C10C5"/>
    <w:rsid w:val="003C130D"/>
    <w:rsid w:val="003C2C67"/>
    <w:rsid w:val="003C2D4C"/>
    <w:rsid w:val="003C3B3A"/>
    <w:rsid w:val="003C413C"/>
    <w:rsid w:val="003C5BA4"/>
    <w:rsid w:val="003C6D37"/>
    <w:rsid w:val="003C7395"/>
    <w:rsid w:val="003C7778"/>
    <w:rsid w:val="003D059F"/>
    <w:rsid w:val="003D27D1"/>
    <w:rsid w:val="003D2C65"/>
    <w:rsid w:val="003D40AB"/>
    <w:rsid w:val="003D49EE"/>
    <w:rsid w:val="003D7E4D"/>
    <w:rsid w:val="003E0E2E"/>
    <w:rsid w:val="003E10EC"/>
    <w:rsid w:val="003E280C"/>
    <w:rsid w:val="003E3E26"/>
    <w:rsid w:val="003E5DDE"/>
    <w:rsid w:val="003E5DFC"/>
    <w:rsid w:val="003E608A"/>
    <w:rsid w:val="003F0147"/>
    <w:rsid w:val="003F1295"/>
    <w:rsid w:val="003F5102"/>
    <w:rsid w:val="003F686A"/>
    <w:rsid w:val="003F71A7"/>
    <w:rsid w:val="003F76FC"/>
    <w:rsid w:val="00400135"/>
    <w:rsid w:val="004002EB"/>
    <w:rsid w:val="004015CD"/>
    <w:rsid w:val="004031C3"/>
    <w:rsid w:val="00407A79"/>
    <w:rsid w:val="00407CB5"/>
    <w:rsid w:val="00411457"/>
    <w:rsid w:val="004145A7"/>
    <w:rsid w:val="004171D6"/>
    <w:rsid w:val="004178F7"/>
    <w:rsid w:val="0042034D"/>
    <w:rsid w:val="004213DF"/>
    <w:rsid w:val="00421A1B"/>
    <w:rsid w:val="00422DDC"/>
    <w:rsid w:val="004231B5"/>
    <w:rsid w:val="004236C8"/>
    <w:rsid w:val="00426935"/>
    <w:rsid w:val="00426FC1"/>
    <w:rsid w:val="00427681"/>
    <w:rsid w:val="00433A40"/>
    <w:rsid w:val="00433D5F"/>
    <w:rsid w:val="00433DB7"/>
    <w:rsid w:val="00434520"/>
    <w:rsid w:val="004364D9"/>
    <w:rsid w:val="00442D23"/>
    <w:rsid w:val="0044436D"/>
    <w:rsid w:val="004445EB"/>
    <w:rsid w:val="00444C4D"/>
    <w:rsid w:val="00445DCE"/>
    <w:rsid w:val="004466EF"/>
    <w:rsid w:val="00446D39"/>
    <w:rsid w:val="004503EC"/>
    <w:rsid w:val="0045079B"/>
    <w:rsid w:val="0045112A"/>
    <w:rsid w:val="0045317A"/>
    <w:rsid w:val="00453750"/>
    <w:rsid w:val="0045416B"/>
    <w:rsid w:val="00456941"/>
    <w:rsid w:val="004578B3"/>
    <w:rsid w:val="0045797D"/>
    <w:rsid w:val="00457A60"/>
    <w:rsid w:val="00460000"/>
    <w:rsid w:val="00461E56"/>
    <w:rsid w:val="0046372D"/>
    <w:rsid w:val="0046463D"/>
    <w:rsid w:val="00465BF2"/>
    <w:rsid w:val="00465F1D"/>
    <w:rsid w:val="0046729C"/>
    <w:rsid w:val="004702EA"/>
    <w:rsid w:val="004716E7"/>
    <w:rsid w:val="00471ADC"/>
    <w:rsid w:val="00472C49"/>
    <w:rsid w:val="0048259C"/>
    <w:rsid w:val="00482D02"/>
    <w:rsid w:val="00483489"/>
    <w:rsid w:val="004835F8"/>
    <w:rsid w:val="00484326"/>
    <w:rsid w:val="00484A12"/>
    <w:rsid w:val="00485B76"/>
    <w:rsid w:val="0049029A"/>
    <w:rsid w:val="00490369"/>
    <w:rsid w:val="004919F6"/>
    <w:rsid w:val="00494F93"/>
    <w:rsid w:val="00495123"/>
    <w:rsid w:val="0049552E"/>
    <w:rsid w:val="00496DF1"/>
    <w:rsid w:val="004A1CEE"/>
    <w:rsid w:val="004A2452"/>
    <w:rsid w:val="004A3337"/>
    <w:rsid w:val="004A45D2"/>
    <w:rsid w:val="004A49F6"/>
    <w:rsid w:val="004A4D3E"/>
    <w:rsid w:val="004A5719"/>
    <w:rsid w:val="004A7007"/>
    <w:rsid w:val="004A7519"/>
    <w:rsid w:val="004B14C2"/>
    <w:rsid w:val="004B23D9"/>
    <w:rsid w:val="004B31CA"/>
    <w:rsid w:val="004B3DBC"/>
    <w:rsid w:val="004B4286"/>
    <w:rsid w:val="004B64B1"/>
    <w:rsid w:val="004B6D97"/>
    <w:rsid w:val="004B713A"/>
    <w:rsid w:val="004C3B5B"/>
    <w:rsid w:val="004C4631"/>
    <w:rsid w:val="004C6333"/>
    <w:rsid w:val="004C6C48"/>
    <w:rsid w:val="004C6F8D"/>
    <w:rsid w:val="004D01AC"/>
    <w:rsid w:val="004D2EBD"/>
    <w:rsid w:val="004D321D"/>
    <w:rsid w:val="004D3518"/>
    <w:rsid w:val="004D358C"/>
    <w:rsid w:val="004D58B3"/>
    <w:rsid w:val="004D5F7A"/>
    <w:rsid w:val="004D62D6"/>
    <w:rsid w:val="004D6898"/>
    <w:rsid w:val="004E0002"/>
    <w:rsid w:val="004E11F3"/>
    <w:rsid w:val="004E1A53"/>
    <w:rsid w:val="004E251D"/>
    <w:rsid w:val="004E3DA7"/>
    <w:rsid w:val="004E4F0D"/>
    <w:rsid w:val="004E73C9"/>
    <w:rsid w:val="004F3F4E"/>
    <w:rsid w:val="004F48BF"/>
    <w:rsid w:val="004F49DC"/>
    <w:rsid w:val="004F73D3"/>
    <w:rsid w:val="0050356B"/>
    <w:rsid w:val="0050399C"/>
    <w:rsid w:val="00504236"/>
    <w:rsid w:val="005045D8"/>
    <w:rsid w:val="0050687A"/>
    <w:rsid w:val="005079CA"/>
    <w:rsid w:val="00510167"/>
    <w:rsid w:val="005116D5"/>
    <w:rsid w:val="00511936"/>
    <w:rsid w:val="00511DD7"/>
    <w:rsid w:val="00513E86"/>
    <w:rsid w:val="00514E6F"/>
    <w:rsid w:val="00516790"/>
    <w:rsid w:val="0051745D"/>
    <w:rsid w:val="0052193F"/>
    <w:rsid w:val="00523F83"/>
    <w:rsid w:val="0052602F"/>
    <w:rsid w:val="005306A2"/>
    <w:rsid w:val="005307E3"/>
    <w:rsid w:val="00530E86"/>
    <w:rsid w:val="00531852"/>
    <w:rsid w:val="0053416C"/>
    <w:rsid w:val="00540588"/>
    <w:rsid w:val="00541C2F"/>
    <w:rsid w:val="00542029"/>
    <w:rsid w:val="0054371E"/>
    <w:rsid w:val="00543A6A"/>
    <w:rsid w:val="00543B78"/>
    <w:rsid w:val="00547CC0"/>
    <w:rsid w:val="00551B95"/>
    <w:rsid w:val="00551F0A"/>
    <w:rsid w:val="00552DE4"/>
    <w:rsid w:val="005531D2"/>
    <w:rsid w:val="00553FBC"/>
    <w:rsid w:val="0055485D"/>
    <w:rsid w:val="0055711B"/>
    <w:rsid w:val="00561E98"/>
    <w:rsid w:val="00563527"/>
    <w:rsid w:val="005679AF"/>
    <w:rsid w:val="00567AF8"/>
    <w:rsid w:val="00567EFD"/>
    <w:rsid w:val="005710A3"/>
    <w:rsid w:val="00573881"/>
    <w:rsid w:val="00573E02"/>
    <w:rsid w:val="0057407A"/>
    <w:rsid w:val="005756B2"/>
    <w:rsid w:val="00577955"/>
    <w:rsid w:val="0058124E"/>
    <w:rsid w:val="005875A3"/>
    <w:rsid w:val="00590129"/>
    <w:rsid w:val="005911B6"/>
    <w:rsid w:val="00591F0F"/>
    <w:rsid w:val="005953EA"/>
    <w:rsid w:val="00596FAB"/>
    <w:rsid w:val="005A275F"/>
    <w:rsid w:val="005A3416"/>
    <w:rsid w:val="005A3B95"/>
    <w:rsid w:val="005A6325"/>
    <w:rsid w:val="005A68D3"/>
    <w:rsid w:val="005A6BA8"/>
    <w:rsid w:val="005B0EE8"/>
    <w:rsid w:val="005B27FE"/>
    <w:rsid w:val="005B41CD"/>
    <w:rsid w:val="005B76DF"/>
    <w:rsid w:val="005B79CB"/>
    <w:rsid w:val="005C02C2"/>
    <w:rsid w:val="005C22DB"/>
    <w:rsid w:val="005C3E9E"/>
    <w:rsid w:val="005C411B"/>
    <w:rsid w:val="005C49E3"/>
    <w:rsid w:val="005C702F"/>
    <w:rsid w:val="005C7B78"/>
    <w:rsid w:val="005D3BD7"/>
    <w:rsid w:val="005D5144"/>
    <w:rsid w:val="005D5C90"/>
    <w:rsid w:val="005E08D7"/>
    <w:rsid w:val="005E2B6E"/>
    <w:rsid w:val="005E4C16"/>
    <w:rsid w:val="005E5820"/>
    <w:rsid w:val="005E5947"/>
    <w:rsid w:val="005F15F1"/>
    <w:rsid w:val="005F19CA"/>
    <w:rsid w:val="005F21B4"/>
    <w:rsid w:val="005F285E"/>
    <w:rsid w:val="005F2C51"/>
    <w:rsid w:val="005F3044"/>
    <w:rsid w:val="005F3358"/>
    <w:rsid w:val="005F37A6"/>
    <w:rsid w:val="005F4422"/>
    <w:rsid w:val="005F59EE"/>
    <w:rsid w:val="005F61DF"/>
    <w:rsid w:val="005F6236"/>
    <w:rsid w:val="005F6E45"/>
    <w:rsid w:val="00601525"/>
    <w:rsid w:val="0060163A"/>
    <w:rsid w:val="006023F9"/>
    <w:rsid w:val="00605C67"/>
    <w:rsid w:val="00610149"/>
    <w:rsid w:val="00610559"/>
    <w:rsid w:val="00612628"/>
    <w:rsid w:val="00612FF7"/>
    <w:rsid w:val="00614076"/>
    <w:rsid w:val="00616985"/>
    <w:rsid w:val="00616BF8"/>
    <w:rsid w:val="006201C5"/>
    <w:rsid w:val="00620CBE"/>
    <w:rsid w:val="00622030"/>
    <w:rsid w:val="00622C95"/>
    <w:rsid w:val="006235C7"/>
    <w:rsid w:val="0062409E"/>
    <w:rsid w:val="00625771"/>
    <w:rsid w:val="006302F5"/>
    <w:rsid w:val="00631920"/>
    <w:rsid w:val="00632F2E"/>
    <w:rsid w:val="006332F6"/>
    <w:rsid w:val="006337CA"/>
    <w:rsid w:val="0063464C"/>
    <w:rsid w:val="00635499"/>
    <w:rsid w:val="0063792A"/>
    <w:rsid w:val="00637E00"/>
    <w:rsid w:val="006413F2"/>
    <w:rsid w:val="006443B0"/>
    <w:rsid w:val="00647346"/>
    <w:rsid w:val="0064798F"/>
    <w:rsid w:val="00651B35"/>
    <w:rsid w:val="0065206B"/>
    <w:rsid w:val="006534B2"/>
    <w:rsid w:val="00656012"/>
    <w:rsid w:val="0065615D"/>
    <w:rsid w:val="00657011"/>
    <w:rsid w:val="00657BF8"/>
    <w:rsid w:val="00661469"/>
    <w:rsid w:val="00662A3A"/>
    <w:rsid w:val="00664EF9"/>
    <w:rsid w:val="006650B5"/>
    <w:rsid w:val="006651B1"/>
    <w:rsid w:val="00665778"/>
    <w:rsid w:val="006664BF"/>
    <w:rsid w:val="0067091D"/>
    <w:rsid w:val="00671606"/>
    <w:rsid w:val="00671E84"/>
    <w:rsid w:val="0067304A"/>
    <w:rsid w:val="00673740"/>
    <w:rsid w:val="00674BC5"/>
    <w:rsid w:val="006763BD"/>
    <w:rsid w:val="00676462"/>
    <w:rsid w:val="0067676B"/>
    <w:rsid w:val="00676BA3"/>
    <w:rsid w:val="00676E5F"/>
    <w:rsid w:val="00676E94"/>
    <w:rsid w:val="006775D3"/>
    <w:rsid w:val="00677798"/>
    <w:rsid w:val="00677ED8"/>
    <w:rsid w:val="0068322B"/>
    <w:rsid w:val="00685210"/>
    <w:rsid w:val="00687AAF"/>
    <w:rsid w:val="0069041D"/>
    <w:rsid w:val="006926B3"/>
    <w:rsid w:val="006945CA"/>
    <w:rsid w:val="00695DC7"/>
    <w:rsid w:val="0069640C"/>
    <w:rsid w:val="0069654A"/>
    <w:rsid w:val="006A10C0"/>
    <w:rsid w:val="006A3309"/>
    <w:rsid w:val="006A3A5A"/>
    <w:rsid w:val="006A5B34"/>
    <w:rsid w:val="006A7D62"/>
    <w:rsid w:val="006B0A67"/>
    <w:rsid w:val="006B2DD9"/>
    <w:rsid w:val="006B45A9"/>
    <w:rsid w:val="006B551C"/>
    <w:rsid w:val="006B7B04"/>
    <w:rsid w:val="006C0EC5"/>
    <w:rsid w:val="006C1A20"/>
    <w:rsid w:val="006C20CE"/>
    <w:rsid w:val="006C77A9"/>
    <w:rsid w:val="006C7F61"/>
    <w:rsid w:val="006D301C"/>
    <w:rsid w:val="006D4720"/>
    <w:rsid w:val="006D5FFC"/>
    <w:rsid w:val="006D7E22"/>
    <w:rsid w:val="006E10FE"/>
    <w:rsid w:val="006E6CDF"/>
    <w:rsid w:val="006F132B"/>
    <w:rsid w:val="006F37F2"/>
    <w:rsid w:val="006F6693"/>
    <w:rsid w:val="006F70D7"/>
    <w:rsid w:val="006F7510"/>
    <w:rsid w:val="006F7ED5"/>
    <w:rsid w:val="0070183B"/>
    <w:rsid w:val="00704413"/>
    <w:rsid w:val="00705569"/>
    <w:rsid w:val="00705E2B"/>
    <w:rsid w:val="00707A68"/>
    <w:rsid w:val="00707FE8"/>
    <w:rsid w:val="00710141"/>
    <w:rsid w:val="00712415"/>
    <w:rsid w:val="00713794"/>
    <w:rsid w:val="00714AAE"/>
    <w:rsid w:val="00715124"/>
    <w:rsid w:val="00721146"/>
    <w:rsid w:val="00722407"/>
    <w:rsid w:val="00722E45"/>
    <w:rsid w:val="00722E71"/>
    <w:rsid w:val="00723795"/>
    <w:rsid w:val="00723913"/>
    <w:rsid w:val="00724962"/>
    <w:rsid w:val="00724A0F"/>
    <w:rsid w:val="00726D2F"/>
    <w:rsid w:val="00727C45"/>
    <w:rsid w:val="007326BF"/>
    <w:rsid w:val="007340BE"/>
    <w:rsid w:val="00736732"/>
    <w:rsid w:val="00740019"/>
    <w:rsid w:val="00740CAE"/>
    <w:rsid w:val="007420E0"/>
    <w:rsid w:val="00743FB2"/>
    <w:rsid w:val="007453FE"/>
    <w:rsid w:val="00746426"/>
    <w:rsid w:val="00747DCA"/>
    <w:rsid w:val="00750BF9"/>
    <w:rsid w:val="00750CBE"/>
    <w:rsid w:val="00751C7A"/>
    <w:rsid w:val="0075327C"/>
    <w:rsid w:val="00753BE7"/>
    <w:rsid w:val="00756471"/>
    <w:rsid w:val="007602A8"/>
    <w:rsid w:val="00760373"/>
    <w:rsid w:val="00762083"/>
    <w:rsid w:val="007650D2"/>
    <w:rsid w:val="007657D5"/>
    <w:rsid w:val="007668D5"/>
    <w:rsid w:val="00766B5A"/>
    <w:rsid w:val="00766CA0"/>
    <w:rsid w:val="0077180F"/>
    <w:rsid w:val="00772209"/>
    <w:rsid w:val="00773347"/>
    <w:rsid w:val="00773B8D"/>
    <w:rsid w:val="00773C3C"/>
    <w:rsid w:val="00774FF3"/>
    <w:rsid w:val="00775ED8"/>
    <w:rsid w:val="00776AD3"/>
    <w:rsid w:val="00776B2E"/>
    <w:rsid w:val="00776DA2"/>
    <w:rsid w:val="007770A5"/>
    <w:rsid w:val="007770AC"/>
    <w:rsid w:val="00777482"/>
    <w:rsid w:val="00780B89"/>
    <w:rsid w:val="0078290C"/>
    <w:rsid w:val="007834F2"/>
    <w:rsid w:val="00784759"/>
    <w:rsid w:val="00784AC4"/>
    <w:rsid w:val="007857D6"/>
    <w:rsid w:val="00786A66"/>
    <w:rsid w:val="00787233"/>
    <w:rsid w:val="007872F4"/>
    <w:rsid w:val="00791020"/>
    <w:rsid w:val="00792A92"/>
    <w:rsid w:val="007954C8"/>
    <w:rsid w:val="007958A5"/>
    <w:rsid w:val="007A04D2"/>
    <w:rsid w:val="007A35F6"/>
    <w:rsid w:val="007A43D7"/>
    <w:rsid w:val="007A493C"/>
    <w:rsid w:val="007A5F82"/>
    <w:rsid w:val="007B1DF2"/>
    <w:rsid w:val="007B33A3"/>
    <w:rsid w:val="007B3969"/>
    <w:rsid w:val="007B486B"/>
    <w:rsid w:val="007B4C58"/>
    <w:rsid w:val="007B59CB"/>
    <w:rsid w:val="007B5D52"/>
    <w:rsid w:val="007C0C89"/>
    <w:rsid w:val="007C2A5B"/>
    <w:rsid w:val="007C2BB5"/>
    <w:rsid w:val="007C4073"/>
    <w:rsid w:val="007D54E1"/>
    <w:rsid w:val="007D5F9E"/>
    <w:rsid w:val="007D63EE"/>
    <w:rsid w:val="007D7BC6"/>
    <w:rsid w:val="007D7BEE"/>
    <w:rsid w:val="007E0144"/>
    <w:rsid w:val="007E098F"/>
    <w:rsid w:val="007E1799"/>
    <w:rsid w:val="007E3BA2"/>
    <w:rsid w:val="007E3E5E"/>
    <w:rsid w:val="007E53A3"/>
    <w:rsid w:val="007E646E"/>
    <w:rsid w:val="007F05A8"/>
    <w:rsid w:val="007F0F0F"/>
    <w:rsid w:val="007F1A4C"/>
    <w:rsid w:val="007F1DC8"/>
    <w:rsid w:val="007F389D"/>
    <w:rsid w:val="007F48A8"/>
    <w:rsid w:val="007F572E"/>
    <w:rsid w:val="007F723F"/>
    <w:rsid w:val="007F7B9C"/>
    <w:rsid w:val="0080229A"/>
    <w:rsid w:val="008022C3"/>
    <w:rsid w:val="00802D39"/>
    <w:rsid w:val="008038D2"/>
    <w:rsid w:val="008041E6"/>
    <w:rsid w:val="0080471A"/>
    <w:rsid w:val="008065D2"/>
    <w:rsid w:val="008116D8"/>
    <w:rsid w:val="008119D7"/>
    <w:rsid w:val="008136B4"/>
    <w:rsid w:val="00815A8A"/>
    <w:rsid w:val="00817039"/>
    <w:rsid w:val="00820444"/>
    <w:rsid w:val="0082194C"/>
    <w:rsid w:val="008222FF"/>
    <w:rsid w:val="00822E2D"/>
    <w:rsid w:val="00823B1A"/>
    <w:rsid w:val="008241FF"/>
    <w:rsid w:val="0082449A"/>
    <w:rsid w:val="00824753"/>
    <w:rsid w:val="0082486B"/>
    <w:rsid w:val="00824F57"/>
    <w:rsid w:val="008271FF"/>
    <w:rsid w:val="008309C7"/>
    <w:rsid w:val="00832A17"/>
    <w:rsid w:val="00835FB7"/>
    <w:rsid w:val="008363EA"/>
    <w:rsid w:val="00837D2A"/>
    <w:rsid w:val="008411E9"/>
    <w:rsid w:val="00841617"/>
    <w:rsid w:val="008419AE"/>
    <w:rsid w:val="0084200F"/>
    <w:rsid w:val="00843B2C"/>
    <w:rsid w:val="00844F16"/>
    <w:rsid w:val="008461A7"/>
    <w:rsid w:val="00846BDB"/>
    <w:rsid w:val="008503BF"/>
    <w:rsid w:val="008528F3"/>
    <w:rsid w:val="008537AA"/>
    <w:rsid w:val="008546CC"/>
    <w:rsid w:val="0085486C"/>
    <w:rsid w:val="0085487E"/>
    <w:rsid w:val="00855FF9"/>
    <w:rsid w:val="008566EA"/>
    <w:rsid w:val="00860CCE"/>
    <w:rsid w:val="008610F4"/>
    <w:rsid w:val="0086277A"/>
    <w:rsid w:val="008668A8"/>
    <w:rsid w:val="008668DB"/>
    <w:rsid w:val="00867D4E"/>
    <w:rsid w:val="008738F1"/>
    <w:rsid w:val="00873925"/>
    <w:rsid w:val="00874866"/>
    <w:rsid w:val="00875D49"/>
    <w:rsid w:val="00876450"/>
    <w:rsid w:val="008768AD"/>
    <w:rsid w:val="00877105"/>
    <w:rsid w:val="00880AC4"/>
    <w:rsid w:val="00881B73"/>
    <w:rsid w:val="0088439F"/>
    <w:rsid w:val="008872E8"/>
    <w:rsid w:val="00887C71"/>
    <w:rsid w:val="008934AB"/>
    <w:rsid w:val="0089407B"/>
    <w:rsid w:val="008941A5"/>
    <w:rsid w:val="00896D36"/>
    <w:rsid w:val="00897447"/>
    <w:rsid w:val="00897498"/>
    <w:rsid w:val="008A20B6"/>
    <w:rsid w:val="008A39CF"/>
    <w:rsid w:val="008A4900"/>
    <w:rsid w:val="008A4CB0"/>
    <w:rsid w:val="008A4DB8"/>
    <w:rsid w:val="008A55FE"/>
    <w:rsid w:val="008A7CA7"/>
    <w:rsid w:val="008B0394"/>
    <w:rsid w:val="008B0412"/>
    <w:rsid w:val="008B10F4"/>
    <w:rsid w:val="008B146D"/>
    <w:rsid w:val="008B1C0E"/>
    <w:rsid w:val="008B42AD"/>
    <w:rsid w:val="008B5666"/>
    <w:rsid w:val="008C136B"/>
    <w:rsid w:val="008C1742"/>
    <w:rsid w:val="008C3C97"/>
    <w:rsid w:val="008C4E3F"/>
    <w:rsid w:val="008C5BE5"/>
    <w:rsid w:val="008C6A17"/>
    <w:rsid w:val="008C7BE8"/>
    <w:rsid w:val="008D0281"/>
    <w:rsid w:val="008D58BF"/>
    <w:rsid w:val="008D5BA3"/>
    <w:rsid w:val="008D634D"/>
    <w:rsid w:val="008D6D12"/>
    <w:rsid w:val="008E0AA2"/>
    <w:rsid w:val="008E1BFB"/>
    <w:rsid w:val="008E2348"/>
    <w:rsid w:val="008E300E"/>
    <w:rsid w:val="008E5FEC"/>
    <w:rsid w:val="008E6F19"/>
    <w:rsid w:val="008E763E"/>
    <w:rsid w:val="008F0DE0"/>
    <w:rsid w:val="008F1091"/>
    <w:rsid w:val="008F1CF4"/>
    <w:rsid w:val="008F2716"/>
    <w:rsid w:val="008F3020"/>
    <w:rsid w:val="008F6D45"/>
    <w:rsid w:val="008F723F"/>
    <w:rsid w:val="009006DA"/>
    <w:rsid w:val="00902352"/>
    <w:rsid w:val="009066E7"/>
    <w:rsid w:val="00906CF6"/>
    <w:rsid w:val="009122AC"/>
    <w:rsid w:val="00915433"/>
    <w:rsid w:val="00917053"/>
    <w:rsid w:val="009171E6"/>
    <w:rsid w:val="0092036A"/>
    <w:rsid w:val="00920938"/>
    <w:rsid w:val="0092152B"/>
    <w:rsid w:val="009215D4"/>
    <w:rsid w:val="00922944"/>
    <w:rsid w:val="00924483"/>
    <w:rsid w:val="0092456E"/>
    <w:rsid w:val="00926CA9"/>
    <w:rsid w:val="00931F2C"/>
    <w:rsid w:val="0093505A"/>
    <w:rsid w:val="009352A6"/>
    <w:rsid w:val="00936479"/>
    <w:rsid w:val="009379C2"/>
    <w:rsid w:val="00937A10"/>
    <w:rsid w:val="009408D6"/>
    <w:rsid w:val="00943250"/>
    <w:rsid w:val="0094441E"/>
    <w:rsid w:val="00944C7C"/>
    <w:rsid w:val="00945E07"/>
    <w:rsid w:val="00946888"/>
    <w:rsid w:val="009506B4"/>
    <w:rsid w:val="00951399"/>
    <w:rsid w:val="00952F22"/>
    <w:rsid w:val="0095631D"/>
    <w:rsid w:val="00956EE3"/>
    <w:rsid w:val="00957049"/>
    <w:rsid w:val="0096275C"/>
    <w:rsid w:val="009654A0"/>
    <w:rsid w:val="00966073"/>
    <w:rsid w:val="00966115"/>
    <w:rsid w:val="00966EC3"/>
    <w:rsid w:val="009717EF"/>
    <w:rsid w:val="0097193E"/>
    <w:rsid w:val="00974689"/>
    <w:rsid w:val="00982A7D"/>
    <w:rsid w:val="009834C0"/>
    <w:rsid w:val="0098413F"/>
    <w:rsid w:val="00986AAC"/>
    <w:rsid w:val="00993218"/>
    <w:rsid w:val="0099331F"/>
    <w:rsid w:val="009945B6"/>
    <w:rsid w:val="00995002"/>
    <w:rsid w:val="00995526"/>
    <w:rsid w:val="009959DB"/>
    <w:rsid w:val="00996B92"/>
    <w:rsid w:val="009A1DA2"/>
    <w:rsid w:val="009A227D"/>
    <w:rsid w:val="009A3112"/>
    <w:rsid w:val="009A3704"/>
    <w:rsid w:val="009A46FD"/>
    <w:rsid w:val="009A4739"/>
    <w:rsid w:val="009A674F"/>
    <w:rsid w:val="009A6D22"/>
    <w:rsid w:val="009B199C"/>
    <w:rsid w:val="009B1E67"/>
    <w:rsid w:val="009B61F1"/>
    <w:rsid w:val="009B62E0"/>
    <w:rsid w:val="009B6E39"/>
    <w:rsid w:val="009B6EE7"/>
    <w:rsid w:val="009C3D88"/>
    <w:rsid w:val="009C47EA"/>
    <w:rsid w:val="009C725A"/>
    <w:rsid w:val="009C7DED"/>
    <w:rsid w:val="009D159B"/>
    <w:rsid w:val="009D16F1"/>
    <w:rsid w:val="009D20B2"/>
    <w:rsid w:val="009D683F"/>
    <w:rsid w:val="009E1651"/>
    <w:rsid w:val="009E3858"/>
    <w:rsid w:val="009E467D"/>
    <w:rsid w:val="009E541E"/>
    <w:rsid w:val="009E6309"/>
    <w:rsid w:val="009E70DD"/>
    <w:rsid w:val="009F131C"/>
    <w:rsid w:val="009F2ED9"/>
    <w:rsid w:val="009F3231"/>
    <w:rsid w:val="009F32B2"/>
    <w:rsid w:val="009F458D"/>
    <w:rsid w:val="009F45E2"/>
    <w:rsid w:val="009F5C58"/>
    <w:rsid w:val="009F6F1A"/>
    <w:rsid w:val="00A023A0"/>
    <w:rsid w:val="00A05EBC"/>
    <w:rsid w:val="00A0636E"/>
    <w:rsid w:val="00A06CAF"/>
    <w:rsid w:val="00A11515"/>
    <w:rsid w:val="00A148A5"/>
    <w:rsid w:val="00A1562B"/>
    <w:rsid w:val="00A170F4"/>
    <w:rsid w:val="00A21408"/>
    <w:rsid w:val="00A21CFD"/>
    <w:rsid w:val="00A220A9"/>
    <w:rsid w:val="00A22F66"/>
    <w:rsid w:val="00A24A37"/>
    <w:rsid w:val="00A25B78"/>
    <w:rsid w:val="00A26A0A"/>
    <w:rsid w:val="00A30897"/>
    <w:rsid w:val="00A31969"/>
    <w:rsid w:val="00A339C8"/>
    <w:rsid w:val="00A3457D"/>
    <w:rsid w:val="00A3650F"/>
    <w:rsid w:val="00A37871"/>
    <w:rsid w:val="00A40D1E"/>
    <w:rsid w:val="00A458D2"/>
    <w:rsid w:val="00A46288"/>
    <w:rsid w:val="00A46702"/>
    <w:rsid w:val="00A46BA8"/>
    <w:rsid w:val="00A47634"/>
    <w:rsid w:val="00A52200"/>
    <w:rsid w:val="00A53B7B"/>
    <w:rsid w:val="00A612FE"/>
    <w:rsid w:val="00A619B1"/>
    <w:rsid w:val="00A61A2A"/>
    <w:rsid w:val="00A640CF"/>
    <w:rsid w:val="00A64E65"/>
    <w:rsid w:val="00A6717D"/>
    <w:rsid w:val="00A7093F"/>
    <w:rsid w:val="00A70B49"/>
    <w:rsid w:val="00A70C20"/>
    <w:rsid w:val="00A73A32"/>
    <w:rsid w:val="00A82AA6"/>
    <w:rsid w:val="00A83FF3"/>
    <w:rsid w:val="00A85039"/>
    <w:rsid w:val="00A906C2"/>
    <w:rsid w:val="00A91285"/>
    <w:rsid w:val="00A92D94"/>
    <w:rsid w:val="00A93C03"/>
    <w:rsid w:val="00A94E4B"/>
    <w:rsid w:val="00A97C1F"/>
    <w:rsid w:val="00AA1F19"/>
    <w:rsid w:val="00AA223E"/>
    <w:rsid w:val="00AA26B8"/>
    <w:rsid w:val="00AA40F8"/>
    <w:rsid w:val="00AA6C34"/>
    <w:rsid w:val="00AB0B05"/>
    <w:rsid w:val="00AB1890"/>
    <w:rsid w:val="00AB19FC"/>
    <w:rsid w:val="00AB33E5"/>
    <w:rsid w:val="00AB3E8B"/>
    <w:rsid w:val="00AB6658"/>
    <w:rsid w:val="00AC0B87"/>
    <w:rsid w:val="00AC1325"/>
    <w:rsid w:val="00AC2624"/>
    <w:rsid w:val="00AC32A8"/>
    <w:rsid w:val="00AC483E"/>
    <w:rsid w:val="00AC5B64"/>
    <w:rsid w:val="00AC6C07"/>
    <w:rsid w:val="00AC7AF0"/>
    <w:rsid w:val="00AD37AC"/>
    <w:rsid w:val="00AD4E69"/>
    <w:rsid w:val="00AD7E4E"/>
    <w:rsid w:val="00AE47A7"/>
    <w:rsid w:val="00AE621B"/>
    <w:rsid w:val="00AE7764"/>
    <w:rsid w:val="00AF134D"/>
    <w:rsid w:val="00AF185F"/>
    <w:rsid w:val="00AF2D0F"/>
    <w:rsid w:val="00AF346E"/>
    <w:rsid w:val="00AF36EA"/>
    <w:rsid w:val="00AF4D58"/>
    <w:rsid w:val="00AF576F"/>
    <w:rsid w:val="00AF6666"/>
    <w:rsid w:val="00AF7BC5"/>
    <w:rsid w:val="00B02002"/>
    <w:rsid w:val="00B04D1A"/>
    <w:rsid w:val="00B12133"/>
    <w:rsid w:val="00B13CF8"/>
    <w:rsid w:val="00B1412B"/>
    <w:rsid w:val="00B21D79"/>
    <w:rsid w:val="00B2331C"/>
    <w:rsid w:val="00B2473F"/>
    <w:rsid w:val="00B262FC"/>
    <w:rsid w:val="00B33E77"/>
    <w:rsid w:val="00B355DE"/>
    <w:rsid w:val="00B36708"/>
    <w:rsid w:val="00B374FB"/>
    <w:rsid w:val="00B37743"/>
    <w:rsid w:val="00B40F55"/>
    <w:rsid w:val="00B416FF"/>
    <w:rsid w:val="00B4255D"/>
    <w:rsid w:val="00B42A2E"/>
    <w:rsid w:val="00B42E38"/>
    <w:rsid w:val="00B430C5"/>
    <w:rsid w:val="00B434D6"/>
    <w:rsid w:val="00B449BA"/>
    <w:rsid w:val="00B45E34"/>
    <w:rsid w:val="00B45F9D"/>
    <w:rsid w:val="00B47D01"/>
    <w:rsid w:val="00B5210E"/>
    <w:rsid w:val="00B52DA5"/>
    <w:rsid w:val="00B54BBE"/>
    <w:rsid w:val="00B61A1B"/>
    <w:rsid w:val="00B62790"/>
    <w:rsid w:val="00B70E16"/>
    <w:rsid w:val="00B71EB9"/>
    <w:rsid w:val="00B723EE"/>
    <w:rsid w:val="00B72EDD"/>
    <w:rsid w:val="00B73AE1"/>
    <w:rsid w:val="00B74167"/>
    <w:rsid w:val="00B755A4"/>
    <w:rsid w:val="00B80674"/>
    <w:rsid w:val="00B8079C"/>
    <w:rsid w:val="00B81B44"/>
    <w:rsid w:val="00B867E3"/>
    <w:rsid w:val="00B9053B"/>
    <w:rsid w:val="00B90725"/>
    <w:rsid w:val="00B932CD"/>
    <w:rsid w:val="00B97514"/>
    <w:rsid w:val="00BA0C37"/>
    <w:rsid w:val="00BA1AC2"/>
    <w:rsid w:val="00BA1E94"/>
    <w:rsid w:val="00BA2098"/>
    <w:rsid w:val="00BA3782"/>
    <w:rsid w:val="00BA3EEE"/>
    <w:rsid w:val="00BA4010"/>
    <w:rsid w:val="00BA7098"/>
    <w:rsid w:val="00BB0B1C"/>
    <w:rsid w:val="00BB2E00"/>
    <w:rsid w:val="00BB3922"/>
    <w:rsid w:val="00BB3F83"/>
    <w:rsid w:val="00BB49FE"/>
    <w:rsid w:val="00BB4B05"/>
    <w:rsid w:val="00BB4D98"/>
    <w:rsid w:val="00BB4EBF"/>
    <w:rsid w:val="00BB51B8"/>
    <w:rsid w:val="00BB59E0"/>
    <w:rsid w:val="00BB67E1"/>
    <w:rsid w:val="00BB68D0"/>
    <w:rsid w:val="00BC0551"/>
    <w:rsid w:val="00BC1BB1"/>
    <w:rsid w:val="00BC21BE"/>
    <w:rsid w:val="00BC3422"/>
    <w:rsid w:val="00BC43CB"/>
    <w:rsid w:val="00BC6BA3"/>
    <w:rsid w:val="00BC6E19"/>
    <w:rsid w:val="00BD11C2"/>
    <w:rsid w:val="00BD2E81"/>
    <w:rsid w:val="00BD5018"/>
    <w:rsid w:val="00BD5FBD"/>
    <w:rsid w:val="00BE34F5"/>
    <w:rsid w:val="00BE3CE8"/>
    <w:rsid w:val="00BE5ADC"/>
    <w:rsid w:val="00BF131D"/>
    <w:rsid w:val="00BF3854"/>
    <w:rsid w:val="00BF4C49"/>
    <w:rsid w:val="00BF4F96"/>
    <w:rsid w:val="00BF55E5"/>
    <w:rsid w:val="00BF6813"/>
    <w:rsid w:val="00BF7F5E"/>
    <w:rsid w:val="00C00EF2"/>
    <w:rsid w:val="00C015B9"/>
    <w:rsid w:val="00C022F9"/>
    <w:rsid w:val="00C025BD"/>
    <w:rsid w:val="00C032EA"/>
    <w:rsid w:val="00C0428D"/>
    <w:rsid w:val="00C05C3A"/>
    <w:rsid w:val="00C066DB"/>
    <w:rsid w:val="00C06B62"/>
    <w:rsid w:val="00C06EB5"/>
    <w:rsid w:val="00C1145F"/>
    <w:rsid w:val="00C11CD1"/>
    <w:rsid w:val="00C13F4D"/>
    <w:rsid w:val="00C159C5"/>
    <w:rsid w:val="00C166BC"/>
    <w:rsid w:val="00C20749"/>
    <w:rsid w:val="00C21078"/>
    <w:rsid w:val="00C24701"/>
    <w:rsid w:val="00C259CE"/>
    <w:rsid w:val="00C322FD"/>
    <w:rsid w:val="00C32572"/>
    <w:rsid w:val="00C32D49"/>
    <w:rsid w:val="00C335A3"/>
    <w:rsid w:val="00C33AD3"/>
    <w:rsid w:val="00C3500F"/>
    <w:rsid w:val="00C36874"/>
    <w:rsid w:val="00C3762D"/>
    <w:rsid w:val="00C41B3C"/>
    <w:rsid w:val="00C43F06"/>
    <w:rsid w:val="00C44BA3"/>
    <w:rsid w:val="00C455DF"/>
    <w:rsid w:val="00C46047"/>
    <w:rsid w:val="00C505A6"/>
    <w:rsid w:val="00C51C01"/>
    <w:rsid w:val="00C548EC"/>
    <w:rsid w:val="00C56634"/>
    <w:rsid w:val="00C62066"/>
    <w:rsid w:val="00C637E1"/>
    <w:rsid w:val="00C67EAC"/>
    <w:rsid w:val="00C707DA"/>
    <w:rsid w:val="00C70D50"/>
    <w:rsid w:val="00C72252"/>
    <w:rsid w:val="00C72688"/>
    <w:rsid w:val="00C809A1"/>
    <w:rsid w:val="00C8300A"/>
    <w:rsid w:val="00C841CE"/>
    <w:rsid w:val="00C84A0D"/>
    <w:rsid w:val="00C85075"/>
    <w:rsid w:val="00C87BA0"/>
    <w:rsid w:val="00C906CA"/>
    <w:rsid w:val="00C907D7"/>
    <w:rsid w:val="00C90B86"/>
    <w:rsid w:val="00C90FE5"/>
    <w:rsid w:val="00C92338"/>
    <w:rsid w:val="00C94437"/>
    <w:rsid w:val="00C9495F"/>
    <w:rsid w:val="00C954FA"/>
    <w:rsid w:val="00C95668"/>
    <w:rsid w:val="00C96656"/>
    <w:rsid w:val="00CA006F"/>
    <w:rsid w:val="00CA0306"/>
    <w:rsid w:val="00CA05DC"/>
    <w:rsid w:val="00CA0EA1"/>
    <w:rsid w:val="00CA416A"/>
    <w:rsid w:val="00CA4FDB"/>
    <w:rsid w:val="00CA7B47"/>
    <w:rsid w:val="00CB10D0"/>
    <w:rsid w:val="00CB3976"/>
    <w:rsid w:val="00CB5275"/>
    <w:rsid w:val="00CB5812"/>
    <w:rsid w:val="00CC0C13"/>
    <w:rsid w:val="00CC50F4"/>
    <w:rsid w:val="00CC5215"/>
    <w:rsid w:val="00CC7461"/>
    <w:rsid w:val="00CD0307"/>
    <w:rsid w:val="00CD1071"/>
    <w:rsid w:val="00CD3D1B"/>
    <w:rsid w:val="00CD4334"/>
    <w:rsid w:val="00CE0557"/>
    <w:rsid w:val="00CE3403"/>
    <w:rsid w:val="00CE52FB"/>
    <w:rsid w:val="00CF1E57"/>
    <w:rsid w:val="00CF6238"/>
    <w:rsid w:val="00CF7702"/>
    <w:rsid w:val="00CF7814"/>
    <w:rsid w:val="00D01CD3"/>
    <w:rsid w:val="00D02663"/>
    <w:rsid w:val="00D03C37"/>
    <w:rsid w:val="00D0633E"/>
    <w:rsid w:val="00D101FF"/>
    <w:rsid w:val="00D10251"/>
    <w:rsid w:val="00D1168A"/>
    <w:rsid w:val="00D11BF1"/>
    <w:rsid w:val="00D12507"/>
    <w:rsid w:val="00D12E74"/>
    <w:rsid w:val="00D14512"/>
    <w:rsid w:val="00D22897"/>
    <w:rsid w:val="00D2312F"/>
    <w:rsid w:val="00D23B04"/>
    <w:rsid w:val="00D242E0"/>
    <w:rsid w:val="00D2635F"/>
    <w:rsid w:val="00D269C1"/>
    <w:rsid w:val="00D3113D"/>
    <w:rsid w:val="00D318C3"/>
    <w:rsid w:val="00D3222C"/>
    <w:rsid w:val="00D3461A"/>
    <w:rsid w:val="00D37C19"/>
    <w:rsid w:val="00D41B2F"/>
    <w:rsid w:val="00D42AC6"/>
    <w:rsid w:val="00D44953"/>
    <w:rsid w:val="00D4583D"/>
    <w:rsid w:val="00D45BA0"/>
    <w:rsid w:val="00D46F98"/>
    <w:rsid w:val="00D542F3"/>
    <w:rsid w:val="00D54513"/>
    <w:rsid w:val="00D54AAE"/>
    <w:rsid w:val="00D5644B"/>
    <w:rsid w:val="00D56E25"/>
    <w:rsid w:val="00D57D15"/>
    <w:rsid w:val="00D57D93"/>
    <w:rsid w:val="00D57E89"/>
    <w:rsid w:val="00D6560D"/>
    <w:rsid w:val="00D6590C"/>
    <w:rsid w:val="00D65D77"/>
    <w:rsid w:val="00D718D7"/>
    <w:rsid w:val="00D71924"/>
    <w:rsid w:val="00D71F97"/>
    <w:rsid w:val="00D72897"/>
    <w:rsid w:val="00D73607"/>
    <w:rsid w:val="00D75876"/>
    <w:rsid w:val="00D775D4"/>
    <w:rsid w:val="00D814B7"/>
    <w:rsid w:val="00D82355"/>
    <w:rsid w:val="00D838E3"/>
    <w:rsid w:val="00D842C0"/>
    <w:rsid w:val="00D852F6"/>
    <w:rsid w:val="00D85C51"/>
    <w:rsid w:val="00D86F83"/>
    <w:rsid w:val="00D90688"/>
    <w:rsid w:val="00D95F05"/>
    <w:rsid w:val="00D97ECE"/>
    <w:rsid w:val="00D97F6C"/>
    <w:rsid w:val="00DA0C4B"/>
    <w:rsid w:val="00DA3AAD"/>
    <w:rsid w:val="00DA55E4"/>
    <w:rsid w:val="00DA572F"/>
    <w:rsid w:val="00DA6118"/>
    <w:rsid w:val="00DA74FD"/>
    <w:rsid w:val="00DA759D"/>
    <w:rsid w:val="00DB1478"/>
    <w:rsid w:val="00DB14E9"/>
    <w:rsid w:val="00DB2433"/>
    <w:rsid w:val="00DB312B"/>
    <w:rsid w:val="00DC2562"/>
    <w:rsid w:val="00DC42F2"/>
    <w:rsid w:val="00DC497A"/>
    <w:rsid w:val="00DC5654"/>
    <w:rsid w:val="00DC658F"/>
    <w:rsid w:val="00DC674A"/>
    <w:rsid w:val="00DD0C2C"/>
    <w:rsid w:val="00DD1214"/>
    <w:rsid w:val="00DD4B23"/>
    <w:rsid w:val="00DD698B"/>
    <w:rsid w:val="00DE0A43"/>
    <w:rsid w:val="00DE60CC"/>
    <w:rsid w:val="00DE70BD"/>
    <w:rsid w:val="00DF163F"/>
    <w:rsid w:val="00DF1C9D"/>
    <w:rsid w:val="00DF4B08"/>
    <w:rsid w:val="00DF5027"/>
    <w:rsid w:val="00DF7CB1"/>
    <w:rsid w:val="00E0053E"/>
    <w:rsid w:val="00E00BC1"/>
    <w:rsid w:val="00E052A7"/>
    <w:rsid w:val="00E055E2"/>
    <w:rsid w:val="00E05C3F"/>
    <w:rsid w:val="00E10727"/>
    <w:rsid w:val="00E1091D"/>
    <w:rsid w:val="00E1417F"/>
    <w:rsid w:val="00E177F4"/>
    <w:rsid w:val="00E213A3"/>
    <w:rsid w:val="00E2509C"/>
    <w:rsid w:val="00E26B32"/>
    <w:rsid w:val="00E301CA"/>
    <w:rsid w:val="00E31CD4"/>
    <w:rsid w:val="00E31DEA"/>
    <w:rsid w:val="00E31E60"/>
    <w:rsid w:val="00E32FC3"/>
    <w:rsid w:val="00E33E08"/>
    <w:rsid w:val="00E3450C"/>
    <w:rsid w:val="00E34D73"/>
    <w:rsid w:val="00E3568C"/>
    <w:rsid w:val="00E407B6"/>
    <w:rsid w:val="00E417AD"/>
    <w:rsid w:val="00E41EF1"/>
    <w:rsid w:val="00E42942"/>
    <w:rsid w:val="00E44C60"/>
    <w:rsid w:val="00E457D4"/>
    <w:rsid w:val="00E45A58"/>
    <w:rsid w:val="00E50E22"/>
    <w:rsid w:val="00E513CB"/>
    <w:rsid w:val="00E51F32"/>
    <w:rsid w:val="00E52892"/>
    <w:rsid w:val="00E55134"/>
    <w:rsid w:val="00E55B50"/>
    <w:rsid w:val="00E603A4"/>
    <w:rsid w:val="00E61FE4"/>
    <w:rsid w:val="00E62135"/>
    <w:rsid w:val="00E62204"/>
    <w:rsid w:val="00E63564"/>
    <w:rsid w:val="00E65A0A"/>
    <w:rsid w:val="00E66DEA"/>
    <w:rsid w:val="00E70919"/>
    <w:rsid w:val="00E71BDF"/>
    <w:rsid w:val="00E71C7F"/>
    <w:rsid w:val="00E72384"/>
    <w:rsid w:val="00E72FCE"/>
    <w:rsid w:val="00E746D0"/>
    <w:rsid w:val="00E75CCB"/>
    <w:rsid w:val="00E779F2"/>
    <w:rsid w:val="00E77E60"/>
    <w:rsid w:val="00E8245B"/>
    <w:rsid w:val="00E82C21"/>
    <w:rsid w:val="00E82E2B"/>
    <w:rsid w:val="00E82F59"/>
    <w:rsid w:val="00E83CA7"/>
    <w:rsid w:val="00E83E25"/>
    <w:rsid w:val="00E85D4E"/>
    <w:rsid w:val="00E87A0E"/>
    <w:rsid w:val="00E92192"/>
    <w:rsid w:val="00E95A24"/>
    <w:rsid w:val="00E95A71"/>
    <w:rsid w:val="00E95EF0"/>
    <w:rsid w:val="00E96B02"/>
    <w:rsid w:val="00EA0EAE"/>
    <w:rsid w:val="00EB5394"/>
    <w:rsid w:val="00EB573A"/>
    <w:rsid w:val="00EB7014"/>
    <w:rsid w:val="00EC1DF6"/>
    <w:rsid w:val="00EC21C5"/>
    <w:rsid w:val="00EC340B"/>
    <w:rsid w:val="00EC370E"/>
    <w:rsid w:val="00EC4F55"/>
    <w:rsid w:val="00EC51BA"/>
    <w:rsid w:val="00EC52CB"/>
    <w:rsid w:val="00EC5CDE"/>
    <w:rsid w:val="00ED3077"/>
    <w:rsid w:val="00ED4083"/>
    <w:rsid w:val="00ED487E"/>
    <w:rsid w:val="00ED4FC6"/>
    <w:rsid w:val="00ED64F1"/>
    <w:rsid w:val="00ED6781"/>
    <w:rsid w:val="00EE0AD6"/>
    <w:rsid w:val="00EE33A1"/>
    <w:rsid w:val="00EE428E"/>
    <w:rsid w:val="00EE4407"/>
    <w:rsid w:val="00EE53B3"/>
    <w:rsid w:val="00EE6B6D"/>
    <w:rsid w:val="00EE7A0D"/>
    <w:rsid w:val="00EF0040"/>
    <w:rsid w:val="00EF06F6"/>
    <w:rsid w:val="00EF075A"/>
    <w:rsid w:val="00EF4C41"/>
    <w:rsid w:val="00EF63CC"/>
    <w:rsid w:val="00EF6569"/>
    <w:rsid w:val="00EF6ED8"/>
    <w:rsid w:val="00EF7A0B"/>
    <w:rsid w:val="00EF7B53"/>
    <w:rsid w:val="00F01CDD"/>
    <w:rsid w:val="00F0222C"/>
    <w:rsid w:val="00F042B8"/>
    <w:rsid w:val="00F05E5E"/>
    <w:rsid w:val="00F06958"/>
    <w:rsid w:val="00F1156A"/>
    <w:rsid w:val="00F12312"/>
    <w:rsid w:val="00F138F3"/>
    <w:rsid w:val="00F148BA"/>
    <w:rsid w:val="00F159A6"/>
    <w:rsid w:val="00F163A3"/>
    <w:rsid w:val="00F17CE1"/>
    <w:rsid w:val="00F17EE5"/>
    <w:rsid w:val="00F2115C"/>
    <w:rsid w:val="00F21957"/>
    <w:rsid w:val="00F21AB0"/>
    <w:rsid w:val="00F22ABA"/>
    <w:rsid w:val="00F22DEB"/>
    <w:rsid w:val="00F23529"/>
    <w:rsid w:val="00F23D12"/>
    <w:rsid w:val="00F2572A"/>
    <w:rsid w:val="00F25F4B"/>
    <w:rsid w:val="00F26A7A"/>
    <w:rsid w:val="00F27BBE"/>
    <w:rsid w:val="00F309F8"/>
    <w:rsid w:val="00F30B3F"/>
    <w:rsid w:val="00F32F3E"/>
    <w:rsid w:val="00F33AAE"/>
    <w:rsid w:val="00F34542"/>
    <w:rsid w:val="00F35529"/>
    <w:rsid w:val="00F36B12"/>
    <w:rsid w:val="00F4000D"/>
    <w:rsid w:val="00F57B1F"/>
    <w:rsid w:val="00F57DE1"/>
    <w:rsid w:val="00F60F9F"/>
    <w:rsid w:val="00F61FE5"/>
    <w:rsid w:val="00F641FC"/>
    <w:rsid w:val="00F645CE"/>
    <w:rsid w:val="00F64610"/>
    <w:rsid w:val="00F647BD"/>
    <w:rsid w:val="00F64F08"/>
    <w:rsid w:val="00F6660D"/>
    <w:rsid w:val="00F66627"/>
    <w:rsid w:val="00F70055"/>
    <w:rsid w:val="00F7006A"/>
    <w:rsid w:val="00F708E6"/>
    <w:rsid w:val="00F716DF"/>
    <w:rsid w:val="00F72E54"/>
    <w:rsid w:val="00F734F5"/>
    <w:rsid w:val="00F73B5B"/>
    <w:rsid w:val="00F74A5A"/>
    <w:rsid w:val="00F75933"/>
    <w:rsid w:val="00F76B5E"/>
    <w:rsid w:val="00F815CD"/>
    <w:rsid w:val="00F81A2E"/>
    <w:rsid w:val="00F83307"/>
    <w:rsid w:val="00F8524A"/>
    <w:rsid w:val="00F90EA5"/>
    <w:rsid w:val="00F913BC"/>
    <w:rsid w:val="00F91F5A"/>
    <w:rsid w:val="00F91F61"/>
    <w:rsid w:val="00F966B1"/>
    <w:rsid w:val="00F97D48"/>
    <w:rsid w:val="00FA007A"/>
    <w:rsid w:val="00FA0311"/>
    <w:rsid w:val="00FA1489"/>
    <w:rsid w:val="00FA77C3"/>
    <w:rsid w:val="00FB385F"/>
    <w:rsid w:val="00FB4282"/>
    <w:rsid w:val="00FB5275"/>
    <w:rsid w:val="00FC3257"/>
    <w:rsid w:val="00FC6491"/>
    <w:rsid w:val="00FD093A"/>
    <w:rsid w:val="00FD0C96"/>
    <w:rsid w:val="00FD1571"/>
    <w:rsid w:val="00FD50F0"/>
    <w:rsid w:val="00FD5D24"/>
    <w:rsid w:val="00FD640F"/>
    <w:rsid w:val="00FD6B4C"/>
    <w:rsid w:val="00FD7A2A"/>
    <w:rsid w:val="00FE0553"/>
    <w:rsid w:val="00FE25D0"/>
    <w:rsid w:val="00FE2B8E"/>
    <w:rsid w:val="00FE4F46"/>
    <w:rsid w:val="00FE6CB3"/>
    <w:rsid w:val="00FF2D1F"/>
    <w:rsid w:val="00FF4E99"/>
    <w:rsid w:val="00FF6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B0E2F17"/>
  <w15:docId w15:val="{245F69B8-2FBB-49D4-8439-CEED96EE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67091D"/>
    <w:rPr>
      <w:rFonts w:cstheme="minorHAnsi"/>
    </w:rPr>
  </w:style>
  <w:style w:type="paragraph" w:styleId="Heading1">
    <w:name w:val="heading 1"/>
    <w:basedOn w:val="Normal"/>
    <w:next w:val="Normalfollowingheading"/>
    <w:link w:val="Heading1Char"/>
    <w:qFormat/>
    <w:rsid w:val="0067091D"/>
    <w:pPr>
      <w:keepNext/>
      <w:keepLines/>
      <w:framePr w:wrap="around" w:vAnchor="page" w:hAnchor="margin" w:y="1022"/>
      <w:spacing w:before="0" w:after="120" w:line="240" w:lineRule="auto"/>
      <w:outlineLvl w:val="0"/>
    </w:pPr>
    <w:rPr>
      <w:rFonts w:eastAsiaTheme="majorEastAsia"/>
      <w:b/>
      <w:color w:val="007586" w:themeColor="text2"/>
      <w:spacing w:val="-1"/>
      <w:sz w:val="48"/>
      <w:szCs w:val="28"/>
    </w:rPr>
  </w:style>
  <w:style w:type="paragraph" w:styleId="Heading2">
    <w:name w:val="heading 2"/>
    <w:basedOn w:val="Normal"/>
    <w:next w:val="Normalfollowingheading"/>
    <w:link w:val="Heading2Char"/>
    <w:qFormat/>
    <w:rsid w:val="0067091D"/>
    <w:pPr>
      <w:keepNext/>
      <w:keepLines/>
      <w:spacing w:before="280" w:after="60" w:line="240" w:lineRule="auto"/>
      <w:outlineLvl w:val="1"/>
    </w:pPr>
    <w:rPr>
      <w:rFonts w:eastAsiaTheme="majorEastAsia"/>
      <w:b/>
      <w:caps/>
      <w:color w:val="007586" w:themeColor="text2"/>
      <w:sz w:val="24"/>
      <w:szCs w:val="26"/>
    </w:rPr>
  </w:style>
  <w:style w:type="paragraph" w:styleId="Heading3">
    <w:name w:val="heading 3"/>
    <w:basedOn w:val="Normal"/>
    <w:next w:val="Normalfollowingheading"/>
    <w:link w:val="Heading3Char"/>
    <w:qFormat/>
    <w:rsid w:val="0067091D"/>
    <w:pPr>
      <w:keepNext/>
      <w:keepLines/>
      <w:spacing w:before="240" w:after="50" w:line="240" w:lineRule="auto"/>
      <w:outlineLvl w:val="2"/>
    </w:pPr>
    <w:rPr>
      <w:rFonts w:eastAsia="Times New Roman"/>
      <w:b/>
      <w:color w:val="000000" w:themeColor="text1"/>
      <w:sz w:val="24"/>
      <w:szCs w:val="22"/>
    </w:rPr>
  </w:style>
  <w:style w:type="paragraph" w:styleId="Heading4">
    <w:name w:val="heading 4"/>
    <w:basedOn w:val="Normal"/>
    <w:next w:val="Normalfollowingheading"/>
    <w:link w:val="Heading4Char"/>
    <w:qFormat/>
    <w:rsid w:val="0080471A"/>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67091D"/>
    <w:rPr>
      <w:rFonts w:eastAsiaTheme="majorEastAsia" w:cstheme="minorHAnsi"/>
      <w:b/>
      <w:color w:val="007586" w:themeColor="text2"/>
      <w:spacing w:val="-1"/>
      <w:sz w:val="48"/>
      <w:szCs w:val="28"/>
    </w:rPr>
  </w:style>
  <w:style w:type="character" w:customStyle="1" w:styleId="Heading2Char">
    <w:name w:val="Heading 2 Char"/>
    <w:basedOn w:val="DefaultParagraphFont"/>
    <w:link w:val="Heading2"/>
    <w:rsid w:val="0067091D"/>
    <w:rPr>
      <w:rFonts w:eastAsiaTheme="majorEastAsia" w:cstheme="minorHAnsi"/>
      <w:b/>
      <w:caps/>
      <w:color w:val="007586" w:themeColor="text2"/>
      <w:sz w:val="24"/>
      <w:szCs w:val="26"/>
    </w:rPr>
  </w:style>
  <w:style w:type="paragraph" w:customStyle="1" w:styleId="Bullet1">
    <w:name w:val="Bullet 1"/>
    <w:uiPriority w:val="1"/>
    <w:qFormat/>
    <w:rsid w:val="0080471A"/>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67091D"/>
    <w:rPr>
      <w:rFonts w:eastAsia="Times New Roman" w:cstheme="minorHAnsi"/>
      <w:b/>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80471A"/>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67091D"/>
    <w:pPr>
      <w:framePr w:hSpace="5670" w:wrap="around" w:vAnchor="page" w:hAnchor="page" w:x="852" w:y="4310"/>
      <w:spacing w:before="0" w:after="0" w:line="240" w:lineRule="auto"/>
      <w:suppressOverlap/>
    </w:pPr>
    <w:rPr>
      <w:rFonts w:eastAsia="Times New Roman" w:cstheme="minorHAnsi"/>
      <w:color w:val="000000" w:themeColor="text1"/>
      <w:sz w:val="40"/>
      <w:szCs w:val="24"/>
    </w:rPr>
  </w:style>
  <w:style w:type="character" w:customStyle="1" w:styleId="SubtitleChar">
    <w:name w:val="Subtitle Char"/>
    <w:basedOn w:val="DefaultParagraphFont"/>
    <w:link w:val="Subtitle"/>
    <w:uiPriority w:val="99"/>
    <w:rsid w:val="0067091D"/>
    <w:rPr>
      <w:rFonts w:eastAsia="Times New Roman" w:cstheme="min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basedOn w:val="Normal"/>
    <w:next w:val="Subtitle"/>
    <w:link w:val="TitleChar"/>
    <w:uiPriority w:val="99"/>
    <w:rsid w:val="0067091D"/>
    <w:pPr>
      <w:framePr w:hSpace="5670" w:wrap="around" w:vAnchor="page" w:hAnchor="page" w:x="852" w:y="4310"/>
      <w:suppressOverlap/>
    </w:pPr>
    <w:rPr>
      <w:rFonts w:eastAsia="Times New Roman"/>
      <w:b/>
      <w:bCs/>
      <w:color w:val="007586"/>
      <w:sz w:val="76"/>
      <w:szCs w:val="76"/>
    </w:rPr>
  </w:style>
  <w:style w:type="character" w:customStyle="1" w:styleId="TitleChar">
    <w:name w:val="Title Char"/>
    <w:basedOn w:val="DefaultParagraphFont"/>
    <w:link w:val="Title"/>
    <w:uiPriority w:val="99"/>
    <w:rsid w:val="0067091D"/>
    <w:rPr>
      <w:rFonts w:eastAsia="Times New Roman" w:cstheme="minorHAnsi"/>
      <w:b/>
      <w:bCs/>
      <w:color w:val="007586"/>
      <w:sz w:val="76"/>
      <w:szCs w:val="76"/>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67091D"/>
    <w:pPr>
      <w:framePr w:vSpace="1418" w:wrap="around"/>
      <w:outlineLvl w:val="9"/>
    </w:pPr>
    <w:rPr>
      <w:b w:val="0"/>
      <w:bCs/>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824753"/>
    <w:pPr>
      <w:numPr>
        <w:numId w:val="16"/>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72"/>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67091D"/>
    <w:pPr>
      <w:tabs>
        <w:tab w:val="left" w:pos="1080"/>
      </w:tabs>
      <w:spacing w:before="120" w:after="120" w:line="260" w:lineRule="atLeast"/>
    </w:pPr>
    <w:rPr>
      <w:rFonts w:cstheme="minorHAnsi"/>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67091D"/>
    <w:pPr>
      <w:spacing w:before="280" w:after="60"/>
    </w:pPr>
    <w:rPr>
      <w:rFonts w:eastAsia="Times New Roman"/>
      <w:b/>
      <w:bCs/>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paragraph" w:customStyle="1" w:styleId="DHHSbodyaftertablefigure">
    <w:name w:val="DHHS body after table/figure"/>
    <w:basedOn w:val="Normal"/>
    <w:next w:val="Normal"/>
    <w:autoRedefine/>
    <w:rsid w:val="005A6BA8"/>
    <w:pPr>
      <w:spacing w:before="0" w:after="0" w:line="0" w:lineRule="atLeast"/>
    </w:pPr>
    <w:rPr>
      <w:rFonts w:eastAsia="Times" w:cs="Times New Roman"/>
      <w:sz w:val="16"/>
      <w:szCs w:val="16"/>
      <w:lang w:eastAsia="en-US"/>
    </w:rPr>
  </w:style>
  <w:style w:type="paragraph" w:customStyle="1" w:styleId="DHHSbody">
    <w:name w:val="DHHS body"/>
    <w:qFormat/>
    <w:rsid w:val="0080471A"/>
    <w:pPr>
      <w:spacing w:before="0" w:after="120" w:line="270" w:lineRule="atLeast"/>
    </w:pPr>
    <w:rPr>
      <w:rFonts w:ascii="Arial" w:eastAsia="Times" w:hAnsi="Arial" w:cs="Times New Roman"/>
      <w:lang w:eastAsia="en-US"/>
    </w:rPr>
  </w:style>
  <w:style w:type="paragraph" w:customStyle="1" w:styleId="DHHSbullet1">
    <w:name w:val="DHHS bullet 1"/>
    <w:basedOn w:val="DHHSbody"/>
    <w:qFormat/>
    <w:rsid w:val="0080471A"/>
    <w:pPr>
      <w:numPr>
        <w:numId w:val="12"/>
      </w:numPr>
      <w:spacing w:after="40"/>
    </w:pPr>
  </w:style>
  <w:style w:type="paragraph" w:customStyle="1" w:styleId="DHHSbullet2">
    <w:name w:val="DHHS bullet 2"/>
    <w:basedOn w:val="DHHSbody"/>
    <w:uiPriority w:val="2"/>
    <w:qFormat/>
    <w:rsid w:val="0080471A"/>
    <w:pPr>
      <w:numPr>
        <w:ilvl w:val="2"/>
        <w:numId w:val="12"/>
      </w:numPr>
      <w:spacing w:after="40"/>
    </w:pPr>
  </w:style>
  <w:style w:type="paragraph" w:customStyle="1" w:styleId="DHHSbullet1lastline">
    <w:name w:val="DHHS bullet 1 last line"/>
    <w:basedOn w:val="DHHSbullet1"/>
    <w:qFormat/>
    <w:rsid w:val="0080471A"/>
    <w:pPr>
      <w:numPr>
        <w:ilvl w:val="1"/>
      </w:numPr>
      <w:spacing w:after="120"/>
    </w:pPr>
  </w:style>
  <w:style w:type="paragraph" w:customStyle="1" w:styleId="DHHSbullet2lastline">
    <w:name w:val="DHHS bullet 2 last line"/>
    <w:basedOn w:val="DHHSbullet2"/>
    <w:uiPriority w:val="2"/>
    <w:qFormat/>
    <w:rsid w:val="0080471A"/>
    <w:pPr>
      <w:numPr>
        <w:ilvl w:val="3"/>
      </w:numPr>
      <w:spacing w:after="120"/>
    </w:pPr>
  </w:style>
  <w:style w:type="paragraph" w:customStyle="1" w:styleId="DHHStablebullet">
    <w:name w:val="DHHS table bullet"/>
    <w:basedOn w:val="Normal"/>
    <w:uiPriority w:val="3"/>
    <w:qFormat/>
    <w:rsid w:val="0080471A"/>
    <w:pPr>
      <w:numPr>
        <w:ilvl w:val="6"/>
        <w:numId w:val="12"/>
      </w:numPr>
      <w:spacing w:before="80" w:after="60" w:line="240" w:lineRule="auto"/>
    </w:pPr>
    <w:rPr>
      <w:rFonts w:ascii="Arial" w:eastAsia="Times New Roman" w:hAnsi="Arial" w:cs="Times New Roman"/>
      <w:lang w:eastAsia="en-US"/>
    </w:rPr>
  </w:style>
  <w:style w:type="paragraph" w:customStyle="1" w:styleId="DHHSbodynospace">
    <w:name w:val="DHHS body no space"/>
    <w:basedOn w:val="DHHSbody"/>
    <w:uiPriority w:val="3"/>
    <w:qFormat/>
    <w:rsid w:val="0080471A"/>
    <w:pPr>
      <w:spacing w:after="0"/>
    </w:pPr>
  </w:style>
  <w:style w:type="numbering" w:customStyle="1" w:styleId="ZZBullets">
    <w:name w:val="ZZ Bullets"/>
    <w:rsid w:val="0080471A"/>
    <w:pPr>
      <w:numPr>
        <w:numId w:val="12"/>
      </w:numPr>
    </w:pPr>
  </w:style>
  <w:style w:type="paragraph" w:customStyle="1" w:styleId="DHHSbulletindent">
    <w:name w:val="DHHS bullet indent"/>
    <w:basedOn w:val="DHHSbody"/>
    <w:uiPriority w:val="4"/>
    <w:rsid w:val="0080471A"/>
    <w:pPr>
      <w:numPr>
        <w:ilvl w:val="4"/>
        <w:numId w:val="12"/>
      </w:numPr>
      <w:spacing w:after="40"/>
    </w:pPr>
  </w:style>
  <w:style w:type="paragraph" w:customStyle="1" w:styleId="DHHSbulletindentlastline">
    <w:name w:val="DHHS bullet indent last line"/>
    <w:basedOn w:val="DHHSbody"/>
    <w:uiPriority w:val="4"/>
    <w:rsid w:val="0080471A"/>
    <w:pPr>
      <w:numPr>
        <w:ilvl w:val="5"/>
        <w:numId w:val="12"/>
      </w:numPr>
    </w:pPr>
  </w:style>
  <w:style w:type="paragraph" w:customStyle="1" w:styleId="DHHSnumberloweralpha">
    <w:name w:val="DHHS number lower alpha"/>
    <w:basedOn w:val="DHHSbody"/>
    <w:uiPriority w:val="3"/>
    <w:rsid w:val="00824753"/>
    <w:pPr>
      <w:numPr>
        <w:ilvl w:val="2"/>
        <w:numId w:val="14"/>
      </w:numPr>
    </w:pPr>
  </w:style>
  <w:style w:type="paragraph" w:customStyle="1" w:styleId="DHHSnumberloweralphaindent">
    <w:name w:val="DHHS number lower alpha indent"/>
    <w:basedOn w:val="DHHSbody"/>
    <w:uiPriority w:val="3"/>
    <w:rsid w:val="00824753"/>
    <w:pPr>
      <w:numPr>
        <w:ilvl w:val="3"/>
        <w:numId w:val="14"/>
      </w:numPr>
    </w:pPr>
  </w:style>
  <w:style w:type="paragraph" w:customStyle="1" w:styleId="DHHSnumberdigit">
    <w:name w:val="DHHS number digit"/>
    <w:basedOn w:val="DHHSbody"/>
    <w:uiPriority w:val="2"/>
    <w:rsid w:val="00824753"/>
    <w:pPr>
      <w:numPr>
        <w:numId w:val="14"/>
      </w:numPr>
    </w:pPr>
  </w:style>
  <w:style w:type="numbering" w:customStyle="1" w:styleId="ZZNumbers">
    <w:name w:val="ZZ Numbers"/>
    <w:rsid w:val="00824753"/>
    <w:pPr>
      <w:numPr>
        <w:numId w:val="14"/>
      </w:numPr>
    </w:pPr>
  </w:style>
  <w:style w:type="paragraph" w:customStyle="1" w:styleId="DHHSnumberlowerroman">
    <w:name w:val="DHHS number lower roman"/>
    <w:basedOn w:val="DHHSbody"/>
    <w:uiPriority w:val="3"/>
    <w:rsid w:val="00824753"/>
    <w:pPr>
      <w:numPr>
        <w:ilvl w:val="4"/>
        <w:numId w:val="14"/>
      </w:numPr>
    </w:pPr>
  </w:style>
  <w:style w:type="paragraph" w:customStyle="1" w:styleId="DHHSnumberlowerromanindent">
    <w:name w:val="DHHS number lower roman indent"/>
    <w:basedOn w:val="DHHSbody"/>
    <w:uiPriority w:val="3"/>
    <w:rsid w:val="00824753"/>
    <w:pPr>
      <w:numPr>
        <w:ilvl w:val="5"/>
        <w:numId w:val="14"/>
      </w:numPr>
    </w:pPr>
  </w:style>
  <w:style w:type="paragraph" w:customStyle="1" w:styleId="DHHSnumberdigitindent">
    <w:name w:val="DHHS number digit indent"/>
    <w:basedOn w:val="DHHSnumberloweralphaindent"/>
    <w:uiPriority w:val="3"/>
    <w:rsid w:val="00824753"/>
    <w:pPr>
      <w:numPr>
        <w:ilvl w:val="1"/>
      </w:numPr>
    </w:pPr>
  </w:style>
  <w:style w:type="paragraph" w:customStyle="1" w:styleId="Healthfootnote">
    <w:name w:val="Health footnote"/>
    <w:rsid w:val="00787233"/>
    <w:pPr>
      <w:spacing w:before="0" w:after="60" w:line="200" w:lineRule="atLeast"/>
      <w:ind w:left="284" w:hanging="284"/>
    </w:pPr>
    <w:rPr>
      <w:rFonts w:ascii="Arial" w:eastAsiaTheme="minorHAnsi" w:hAnsi="Arial"/>
      <w:color w:val="000000"/>
      <w:sz w:val="16"/>
      <w:szCs w:val="24"/>
      <w:lang w:eastAsia="en-US"/>
    </w:rPr>
  </w:style>
  <w:style w:type="character" w:styleId="CommentReference">
    <w:name w:val="annotation reference"/>
    <w:basedOn w:val="DefaultParagraphFont"/>
    <w:uiPriority w:val="1"/>
    <w:semiHidden/>
    <w:unhideWhenUsed/>
    <w:rsid w:val="00286DDE"/>
    <w:rPr>
      <w:sz w:val="16"/>
      <w:szCs w:val="16"/>
    </w:rPr>
  </w:style>
  <w:style w:type="paragraph" w:styleId="CommentText">
    <w:name w:val="annotation text"/>
    <w:basedOn w:val="Normal"/>
    <w:link w:val="CommentTextChar"/>
    <w:uiPriority w:val="1"/>
    <w:unhideWhenUsed/>
    <w:rsid w:val="00286DDE"/>
    <w:pPr>
      <w:spacing w:line="240" w:lineRule="auto"/>
    </w:pPr>
  </w:style>
  <w:style w:type="character" w:customStyle="1" w:styleId="CommentTextChar">
    <w:name w:val="Comment Text Char"/>
    <w:basedOn w:val="DefaultParagraphFont"/>
    <w:link w:val="CommentText"/>
    <w:uiPriority w:val="1"/>
    <w:rsid w:val="00286DDE"/>
    <w:rPr>
      <w:rFonts w:ascii="VIC" w:hAnsi="VIC"/>
    </w:rPr>
  </w:style>
  <w:style w:type="paragraph" w:styleId="CommentSubject">
    <w:name w:val="annotation subject"/>
    <w:basedOn w:val="CommentText"/>
    <w:next w:val="CommentText"/>
    <w:link w:val="CommentSubjectChar"/>
    <w:uiPriority w:val="1"/>
    <w:semiHidden/>
    <w:unhideWhenUsed/>
    <w:rsid w:val="00286DDE"/>
    <w:rPr>
      <w:b/>
      <w:bCs/>
    </w:rPr>
  </w:style>
  <w:style w:type="character" w:customStyle="1" w:styleId="CommentSubjectChar">
    <w:name w:val="Comment Subject Char"/>
    <w:basedOn w:val="CommentTextChar"/>
    <w:link w:val="CommentSubject"/>
    <w:uiPriority w:val="1"/>
    <w:semiHidden/>
    <w:rsid w:val="00286DDE"/>
    <w:rPr>
      <w:rFonts w:ascii="VIC" w:hAnsi="VIC"/>
      <w:b/>
      <w:bCs/>
    </w:rPr>
  </w:style>
  <w:style w:type="character" w:styleId="UnresolvedMention">
    <w:name w:val="Unresolved Mention"/>
    <w:basedOn w:val="DefaultParagraphFont"/>
    <w:uiPriority w:val="99"/>
    <w:semiHidden/>
    <w:unhideWhenUsed/>
    <w:rsid w:val="00FD5D24"/>
    <w:rPr>
      <w:color w:val="605E5C"/>
      <w:shd w:val="clear" w:color="auto" w:fill="E1DFDD"/>
    </w:rPr>
  </w:style>
  <w:style w:type="table" w:customStyle="1" w:styleId="TableGrid2">
    <w:name w:val="Table Grid2"/>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table" w:customStyle="1" w:styleId="TableGrid21">
    <w:name w:val="Table Grid21"/>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paragraph" w:styleId="Revision">
    <w:name w:val="Revision"/>
    <w:hidden/>
    <w:uiPriority w:val="99"/>
    <w:semiHidden/>
    <w:rsid w:val="008537AA"/>
    <w:pPr>
      <w:spacing w:before="0" w:after="0" w:line="240" w:lineRule="auto"/>
    </w:pPr>
    <w:rPr>
      <w:rFonts w:ascii="VIC" w:hAnsi="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safercare.vic" TargetMode="External"/><Relationship Id="rId18" Type="http://schemas.openxmlformats.org/officeDocument/2006/relationships/footer" Target="footer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footer" Target="footer2.xml"/><Relationship Id="rId19" Type="http://schemas.openxmlformats.org/officeDocument/2006/relationships/hyperlink" Target="mailto:Renal.ClinicalNetwork@safercare.vic.gov.au" TargetMode="Externa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fercare.vic"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450908552150307E-2"/>
          <c:y val="0.11777185109925775"/>
          <c:w val="0.9362463823314745"/>
          <c:h val="0.66770451590736646"/>
        </c:manualLayout>
      </c:layout>
      <c:barChart>
        <c:barDir val="col"/>
        <c:grouping val="clustered"/>
        <c:varyColors val="0"/>
        <c:ser>
          <c:idx val="0"/>
          <c:order val="0"/>
          <c:tx>
            <c:v>R2 2021</c:v>
          </c:tx>
          <c:spPr>
            <a:solidFill>
              <a:srgbClr val="007586"/>
            </a:solidFill>
          </c:spPr>
          <c:invertIfNegative val="0"/>
          <c:dPt>
            <c:idx val="3"/>
            <c:invertIfNegative val="0"/>
            <c:bubble3D val="0"/>
            <c:extLst>
              <c:ext xmlns:c16="http://schemas.microsoft.com/office/drawing/2014/chart" uri="{C3380CC4-5D6E-409C-BE32-E72D297353CC}">
                <c16:uniqueId val="{00000000-73CC-4830-8BB6-FC4C8390F36C}"/>
              </c:ext>
            </c:extLst>
          </c:dPt>
          <c:dPt>
            <c:idx val="6"/>
            <c:invertIfNegative val="0"/>
            <c:bubble3D val="0"/>
            <c:extLst>
              <c:ext xmlns:c16="http://schemas.microsoft.com/office/drawing/2014/chart" uri="{C3380CC4-5D6E-409C-BE32-E72D297353CC}">
                <c16:uniqueId val="{00000002-73CC-4830-8BB6-FC4C8390F36C}"/>
              </c:ext>
            </c:extLst>
          </c:dPt>
          <c:dPt>
            <c:idx val="9"/>
            <c:invertIfNegative val="0"/>
            <c:bubble3D val="0"/>
            <c:extLst>
              <c:ext xmlns:c16="http://schemas.microsoft.com/office/drawing/2014/chart" uri="{C3380CC4-5D6E-409C-BE32-E72D297353CC}">
                <c16:uniqueId val="{00000003-73CC-4830-8BB6-FC4C8390F36C}"/>
              </c:ext>
            </c:extLst>
          </c:dPt>
          <c:dPt>
            <c:idx val="10"/>
            <c:invertIfNegative val="0"/>
            <c:bubble3D val="0"/>
            <c:extLst>
              <c:ext xmlns:c16="http://schemas.microsoft.com/office/drawing/2014/chart" uri="{C3380CC4-5D6E-409C-BE32-E72D297353CC}">
                <c16:uniqueId val="{00000004-73CC-4830-8BB6-FC4C8390F36C}"/>
              </c:ext>
            </c:extLst>
          </c:dPt>
          <c:errBars>
            <c:errBarType val="both"/>
            <c:errValType val="cust"/>
            <c:noEndCap val="0"/>
            <c:plus>
              <c:numRef>
                <c:f>'KPI 1'!$DT$58:$DT$68</c:f>
                <c:numCache>
                  <c:formatCode>General</c:formatCode>
                  <c:ptCount val="11"/>
                  <c:pt idx="0">
                    <c:v>3.5685202614641837E-2</c:v>
                  </c:pt>
                  <c:pt idx="1">
                    <c:v>1.2290698956446999E-2</c:v>
                  </c:pt>
                  <c:pt idx="2">
                    <c:v>1.7189852143460884E-2</c:v>
                  </c:pt>
                  <c:pt idx="3">
                    <c:v>1.7189852143460884E-2</c:v>
                  </c:pt>
                  <c:pt idx="4">
                    <c:v>2.8169906623661329E-2</c:v>
                  </c:pt>
                  <c:pt idx="5">
                    <c:v>8.6378163068841236E-3</c:v>
                  </c:pt>
                  <c:pt idx="6">
                    <c:v>9.0594070601545031E-3</c:v>
                  </c:pt>
                  <c:pt idx="7">
                    <c:v>1.9879204046417954E-2</c:v>
                  </c:pt>
                  <c:pt idx="8">
                    <c:v>1.8709391314865462E-2</c:v>
                  </c:pt>
                  <c:pt idx="9">
                    <c:v>1.3832633535872116E-2</c:v>
                  </c:pt>
                  <c:pt idx="10">
                    <c:v>7.069957599608539E-3</c:v>
                  </c:pt>
                </c:numCache>
              </c:numRef>
            </c:plus>
            <c:minus>
              <c:numRef>
                <c:f>'KPI 1'!$DT$58:$DT$68</c:f>
                <c:numCache>
                  <c:formatCode>General</c:formatCode>
                  <c:ptCount val="11"/>
                  <c:pt idx="0">
                    <c:v>3.5685202614641837E-2</c:v>
                  </c:pt>
                  <c:pt idx="1">
                    <c:v>1.2290698956446999E-2</c:v>
                  </c:pt>
                  <c:pt idx="2">
                    <c:v>1.7189852143460884E-2</c:v>
                  </c:pt>
                  <c:pt idx="3">
                    <c:v>1.7189852143460884E-2</c:v>
                  </c:pt>
                  <c:pt idx="4">
                    <c:v>2.8169906623661329E-2</c:v>
                  </c:pt>
                  <c:pt idx="5">
                    <c:v>8.6378163068841236E-3</c:v>
                  </c:pt>
                  <c:pt idx="6">
                    <c:v>9.0594070601545031E-3</c:v>
                  </c:pt>
                  <c:pt idx="7">
                    <c:v>1.9879204046417954E-2</c:v>
                  </c:pt>
                  <c:pt idx="8">
                    <c:v>1.8709391314865462E-2</c:v>
                  </c:pt>
                  <c:pt idx="9">
                    <c:v>1.3832633535872116E-2</c:v>
                  </c:pt>
                  <c:pt idx="10">
                    <c:v>7.069957599608539E-3</c:v>
                  </c:pt>
                </c:numCache>
              </c:numRef>
            </c:minus>
          </c:errBars>
          <c:cat>
            <c:strRef>
              <c:f>'KPI 1'!$A$82:$A$92</c:f>
              <c:strCache>
                <c:ptCount val="11"/>
                <c:pt idx="0">
                  <c:v>Alfred           (49)</c:v>
                </c:pt>
                <c:pt idx="1">
                  <c:v>Austin           (52)</c:v>
                </c:pt>
                <c:pt idx="2">
                  <c:v>Barwon         (28)</c:v>
                </c:pt>
                <c:pt idx="3">
                  <c:v>Bendigo        (24)</c:v>
                </c:pt>
                <c:pt idx="4">
                  <c:v>Eastern          (38)</c:v>
                </c:pt>
                <c:pt idx="5">
                  <c:v>Melbourne     (109)</c:v>
                </c:pt>
                <c:pt idx="6">
                  <c:v>Monash     (129)</c:v>
                </c:pt>
                <c:pt idx="7">
                  <c:v>Northern        (47)</c:v>
                </c:pt>
                <c:pt idx="8">
                  <c:v>St Vincents     (43)</c:v>
                </c:pt>
                <c:pt idx="9">
                  <c:v>Western         (78)</c:v>
                </c:pt>
                <c:pt idx="10">
                  <c:v>State average     (597)</c:v>
                </c:pt>
              </c:strCache>
            </c:strRef>
          </c:cat>
          <c:val>
            <c:numRef>
              <c:f>'KPI 1'!$C$82:$C$92</c:f>
              <c:numCache>
                <c:formatCode>0%</c:formatCode>
                <c:ptCount val="11"/>
                <c:pt idx="0">
                  <c:v>0.87755102040816324</c:v>
                </c:pt>
                <c:pt idx="1">
                  <c:v>0.94230769230769229</c:v>
                </c:pt>
                <c:pt idx="2">
                  <c:v>1</c:v>
                </c:pt>
                <c:pt idx="3">
                  <c:v>1</c:v>
                </c:pt>
                <c:pt idx="4">
                  <c:v>0.94736842105263153</c:v>
                </c:pt>
                <c:pt idx="5">
                  <c:v>0.92660550458715596</c:v>
                </c:pt>
                <c:pt idx="6">
                  <c:v>0.94573643410852715</c:v>
                </c:pt>
                <c:pt idx="7">
                  <c:v>0.95744680851063835</c:v>
                </c:pt>
                <c:pt idx="8">
                  <c:v>0.90697674418604646</c:v>
                </c:pt>
                <c:pt idx="9">
                  <c:v>1</c:v>
                </c:pt>
                <c:pt idx="10">
                  <c:v>0.93802345058626468</c:v>
                </c:pt>
              </c:numCache>
            </c:numRef>
          </c:val>
          <c:extLst>
            <c:ext xmlns:c16="http://schemas.microsoft.com/office/drawing/2014/chart" uri="{C3380CC4-5D6E-409C-BE32-E72D297353CC}">
              <c16:uniqueId val="{00000005-73CC-4830-8BB6-FC4C8390F36C}"/>
            </c:ext>
          </c:extLst>
        </c:ser>
        <c:dLbls>
          <c:showLegendKey val="0"/>
          <c:showVal val="0"/>
          <c:showCatName val="0"/>
          <c:showSerName val="0"/>
          <c:showPercent val="0"/>
          <c:showBubbleSize val="0"/>
        </c:dLbls>
        <c:gapWidth val="150"/>
        <c:axId val="46401792"/>
        <c:axId val="46539136"/>
      </c:barChart>
      <c:catAx>
        <c:axId val="46401792"/>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6539136"/>
        <c:crosses val="autoZero"/>
        <c:auto val="1"/>
        <c:lblAlgn val="ctr"/>
        <c:lblOffset val="100"/>
        <c:noMultiLvlLbl val="0"/>
      </c:catAx>
      <c:valAx>
        <c:axId val="46539136"/>
        <c:scaling>
          <c:orientation val="minMax"/>
          <c:max val="1"/>
          <c:min val="0.60000000000000053"/>
        </c:scaling>
        <c:delete val="0"/>
        <c:axPos val="l"/>
        <c:majorGridlines>
          <c:spPr>
            <a:ln>
              <a:solidFill>
                <a:srgbClr val="FFFFFF">
                  <a:lumMod val="85000"/>
                </a:srgbClr>
              </a:solidFill>
            </a:ln>
          </c:spPr>
        </c:majorGridlines>
        <c:numFmt formatCode="0%" sourceLinked="1"/>
        <c:majorTickMark val="out"/>
        <c:minorTickMark val="none"/>
        <c:tickLblPos val="nextTo"/>
        <c:txPr>
          <a:bodyPr/>
          <a:lstStyle/>
          <a:p>
            <a:pPr>
              <a:defRPr sz="800">
                <a:latin typeface="+mn-lt"/>
              </a:defRPr>
            </a:pPr>
            <a:endParaRPr lang="en-US"/>
          </a:p>
        </c:txPr>
        <c:crossAx val="46401792"/>
        <c:crosses val="autoZero"/>
        <c:crossBetween val="between"/>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152832152964E-2"/>
          <c:y val="7.2184767085294949E-2"/>
          <c:w val="0.90712737723427028"/>
          <c:h val="0.72835151888889405"/>
        </c:manualLayout>
      </c:layout>
      <c:barChart>
        <c:barDir val="col"/>
        <c:grouping val="stacked"/>
        <c:varyColors val="0"/>
        <c:ser>
          <c:idx val="3"/>
          <c:order val="3"/>
          <c:tx>
            <c:strRef>
              <c:f>Sheet3!$G$3</c:f>
              <c:strCache>
                <c:ptCount val="1"/>
                <c:pt idx="0">
                  <c:v>Not suitable</c:v>
                </c:pt>
              </c:strCache>
              <c:extLst xmlns:c15="http://schemas.microsoft.com/office/drawing/2012/chart"/>
            </c:strRef>
          </c:tx>
          <c:spPr>
            <a:solidFill>
              <a:srgbClr val="007586">
                <a:alpha val="70000"/>
              </a:srgbClr>
            </a:solidFill>
            <a:ln>
              <a:noFill/>
            </a:ln>
            <a:effectLst/>
          </c:spPr>
          <c:invertIfNegative val="0"/>
          <c:dLbls>
            <c:dLbl>
              <c:idx val="7"/>
              <c:layout>
                <c:manualLayout>
                  <c:x val="0"/>
                  <c:y val="-0.40726962022792151"/>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378-4C1B-BA6B-3C935F68B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Sheet3!$G$4:$G$35</c:f>
              <c:numCache>
                <c:formatCode>0.0</c:formatCode>
                <c:ptCount val="32"/>
                <c:pt idx="0">
                  <c:v>75.675675675675677</c:v>
                </c:pt>
                <c:pt idx="1">
                  <c:v>65.384615384615387</c:v>
                </c:pt>
                <c:pt idx="3">
                  <c:v>27.777777777777779</c:v>
                </c:pt>
                <c:pt idx="4">
                  <c:v>42.857142857142854</c:v>
                </c:pt>
                <c:pt idx="6">
                  <c:v>45.454545454545453</c:v>
                </c:pt>
                <c:pt idx="7">
                  <c:v>54.166666666666664</c:v>
                </c:pt>
                <c:pt idx="9">
                  <c:v>66.666666666666657</c:v>
                </c:pt>
                <c:pt idx="10">
                  <c:v>76.470588235294116</c:v>
                </c:pt>
                <c:pt idx="12">
                  <c:v>42.105263157894733</c:v>
                </c:pt>
                <c:pt idx="13">
                  <c:v>53.846153846153847</c:v>
                </c:pt>
                <c:pt idx="15">
                  <c:v>24.390243902439025</c:v>
                </c:pt>
                <c:pt idx="16">
                  <c:v>37.234042553191486</c:v>
                </c:pt>
                <c:pt idx="18">
                  <c:v>39.215686274509807</c:v>
                </c:pt>
                <c:pt idx="19">
                  <c:v>46.36363636363636</c:v>
                </c:pt>
                <c:pt idx="21">
                  <c:v>22.58064516129032</c:v>
                </c:pt>
                <c:pt idx="22">
                  <c:v>30.76923076923077</c:v>
                </c:pt>
                <c:pt idx="24">
                  <c:v>60.975609756097562</c:v>
                </c:pt>
                <c:pt idx="25">
                  <c:v>69.767441860465112</c:v>
                </c:pt>
                <c:pt idx="27">
                  <c:v>17.857142857142858</c:v>
                </c:pt>
                <c:pt idx="28">
                  <c:v>18</c:v>
                </c:pt>
                <c:pt idx="30">
                  <c:v>38.095238095238095</c:v>
                </c:pt>
                <c:pt idx="31">
                  <c:v>45.414847161572055</c:v>
                </c:pt>
              </c:numCache>
              <c:extLst xmlns:c15="http://schemas.microsoft.com/office/drawing/2012/chart"/>
            </c:numRef>
          </c:val>
          <c:extLst>
            <c:ext xmlns:c16="http://schemas.microsoft.com/office/drawing/2014/chart" uri="{C3380CC4-5D6E-409C-BE32-E72D297353CC}">
              <c16:uniqueId val="{00000001-5378-4C1B-BA6B-3C935F68B3B1}"/>
            </c:ext>
          </c:extLst>
        </c:ser>
        <c:ser>
          <c:idx val="4"/>
          <c:order val="4"/>
          <c:tx>
            <c:strRef>
              <c:f>Sheet3!$H$3</c:f>
              <c:strCache>
                <c:ptCount val="1"/>
                <c:pt idx="0">
                  <c:v>Assessment not complete</c:v>
                </c:pt>
              </c:strCache>
              <c:extLst xmlns:c15="http://schemas.microsoft.com/office/drawing/2012/chart"/>
            </c:strRef>
          </c:tx>
          <c:spPr>
            <a:solidFill>
              <a:srgbClr val="BFDDE1"/>
            </a:solidFill>
            <a:ln>
              <a:noFill/>
            </a:ln>
            <a:effectLst/>
          </c:spPr>
          <c:invertIfNegative val="0"/>
          <c:dPt>
            <c:idx val="3"/>
            <c:invertIfNegative val="0"/>
            <c:bubble3D val="0"/>
            <c:spPr>
              <a:solidFill>
                <a:srgbClr val="BFDDE1"/>
              </a:solidFill>
              <a:ln>
                <a:noFill/>
              </a:ln>
              <a:effectLst/>
            </c:spPr>
            <c:extLst>
              <c:ext xmlns:c16="http://schemas.microsoft.com/office/drawing/2014/chart" uri="{C3380CC4-5D6E-409C-BE32-E72D297353CC}">
                <c16:uniqueId val="{00000004-5378-4C1B-BA6B-3C935F68B3B1}"/>
              </c:ext>
            </c:extLst>
          </c:dPt>
          <c:dPt>
            <c:idx val="4"/>
            <c:invertIfNegative val="0"/>
            <c:bubble3D val="0"/>
            <c:spPr>
              <a:solidFill>
                <a:srgbClr val="BFDDE1"/>
              </a:solidFill>
              <a:ln>
                <a:noFill/>
              </a:ln>
              <a:effectLst/>
            </c:spPr>
            <c:extLst>
              <c:ext xmlns:c16="http://schemas.microsoft.com/office/drawing/2014/chart" uri="{C3380CC4-5D6E-409C-BE32-E72D297353CC}">
                <c16:uniqueId val="{00000005-5378-4C1B-BA6B-3C935F68B3B1}"/>
              </c:ext>
            </c:extLst>
          </c:dPt>
          <c:dPt>
            <c:idx val="6"/>
            <c:invertIfNegative val="0"/>
            <c:bubble3D val="0"/>
            <c:spPr>
              <a:solidFill>
                <a:srgbClr val="BFDDE1"/>
              </a:solidFill>
              <a:ln>
                <a:noFill/>
              </a:ln>
              <a:effectLst/>
            </c:spPr>
            <c:extLst>
              <c:ext xmlns:c16="http://schemas.microsoft.com/office/drawing/2014/chart" uri="{C3380CC4-5D6E-409C-BE32-E72D297353CC}">
                <c16:uniqueId val="{00000006-5378-4C1B-BA6B-3C935F68B3B1}"/>
              </c:ext>
            </c:extLst>
          </c:dPt>
          <c:dPt>
            <c:idx val="7"/>
            <c:invertIfNegative val="0"/>
            <c:bubble3D val="0"/>
            <c:spPr>
              <a:solidFill>
                <a:srgbClr val="BFDDE1"/>
              </a:solidFill>
              <a:ln>
                <a:noFill/>
              </a:ln>
              <a:effectLst/>
            </c:spPr>
            <c:extLst>
              <c:ext xmlns:c16="http://schemas.microsoft.com/office/drawing/2014/chart" uri="{C3380CC4-5D6E-409C-BE32-E72D297353CC}">
                <c16:uniqueId val="{00000000-F7A4-4720-80B3-F53185D7EBA8}"/>
              </c:ext>
            </c:extLst>
          </c:dPt>
          <c:dPt>
            <c:idx val="9"/>
            <c:invertIfNegative val="0"/>
            <c:bubble3D val="0"/>
            <c:spPr>
              <a:solidFill>
                <a:srgbClr val="BFDDE1"/>
              </a:solidFill>
              <a:ln>
                <a:noFill/>
              </a:ln>
              <a:effectLst/>
            </c:spPr>
            <c:extLst>
              <c:ext xmlns:c16="http://schemas.microsoft.com/office/drawing/2014/chart" uri="{C3380CC4-5D6E-409C-BE32-E72D297353CC}">
                <c16:uniqueId val="{00000007-5378-4C1B-BA6B-3C935F68B3B1}"/>
              </c:ext>
            </c:extLst>
          </c:dPt>
          <c:dPt>
            <c:idx val="12"/>
            <c:invertIfNegative val="0"/>
            <c:bubble3D val="0"/>
            <c:spPr>
              <a:solidFill>
                <a:srgbClr val="BFDDE1"/>
              </a:solidFill>
              <a:ln>
                <a:noFill/>
              </a:ln>
              <a:effectLst/>
            </c:spPr>
            <c:extLst>
              <c:ext xmlns:c16="http://schemas.microsoft.com/office/drawing/2014/chart" uri="{C3380CC4-5D6E-409C-BE32-E72D297353CC}">
                <c16:uniqueId val="{00000009-5378-4C1B-BA6B-3C935F68B3B1}"/>
              </c:ext>
            </c:extLst>
          </c:dPt>
          <c:dPt>
            <c:idx val="13"/>
            <c:invertIfNegative val="0"/>
            <c:bubble3D val="0"/>
            <c:spPr>
              <a:solidFill>
                <a:srgbClr val="BFDDE1"/>
              </a:solidFill>
              <a:ln>
                <a:noFill/>
              </a:ln>
              <a:effectLst/>
            </c:spPr>
            <c:extLst>
              <c:ext xmlns:c16="http://schemas.microsoft.com/office/drawing/2014/chart" uri="{C3380CC4-5D6E-409C-BE32-E72D297353CC}">
                <c16:uniqueId val="{0000000A-5378-4C1B-BA6B-3C935F68B3B1}"/>
              </c:ext>
            </c:extLst>
          </c:dPt>
          <c:dPt>
            <c:idx val="15"/>
            <c:invertIfNegative val="0"/>
            <c:bubble3D val="0"/>
            <c:spPr>
              <a:solidFill>
                <a:srgbClr val="BFDDE1"/>
              </a:solidFill>
              <a:ln>
                <a:noFill/>
              </a:ln>
              <a:effectLst/>
            </c:spPr>
            <c:extLst>
              <c:ext xmlns:c16="http://schemas.microsoft.com/office/drawing/2014/chart" uri="{C3380CC4-5D6E-409C-BE32-E72D297353CC}">
                <c16:uniqueId val="{0000000B-5378-4C1B-BA6B-3C935F68B3B1}"/>
              </c:ext>
            </c:extLst>
          </c:dPt>
          <c:dPt>
            <c:idx val="16"/>
            <c:invertIfNegative val="0"/>
            <c:bubble3D val="0"/>
            <c:spPr>
              <a:solidFill>
                <a:srgbClr val="BFDDE1"/>
              </a:solidFill>
              <a:ln>
                <a:noFill/>
              </a:ln>
              <a:effectLst/>
            </c:spPr>
            <c:extLst>
              <c:ext xmlns:c16="http://schemas.microsoft.com/office/drawing/2014/chart" uri="{C3380CC4-5D6E-409C-BE32-E72D297353CC}">
                <c16:uniqueId val="{0000000C-5378-4C1B-BA6B-3C935F68B3B1}"/>
              </c:ext>
            </c:extLst>
          </c:dPt>
          <c:dPt>
            <c:idx val="18"/>
            <c:invertIfNegative val="0"/>
            <c:bubble3D val="0"/>
            <c:spPr>
              <a:solidFill>
                <a:srgbClr val="BFDDE1"/>
              </a:solidFill>
              <a:ln>
                <a:noFill/>
              </a:ln>
              <a:effectLst/>
            </c:spPr>
            <c:extLst>
              <c:ext xmlns:c16="http://schemas.microsoft.com/office/drawing/2014/chart" uri="{C3380CC4-5D6E-409C-BE32-E72D297353CC}">
                <c16:uniqueId val="{0000000D-5378-4C1B-BA6B-3C935F68B3B1}"/>
              </c:ext>
            </c:extLst>
          </c:dPt>
          <c:dPt>
            <c:idx val="19"/>
            <c:invertIfNegative val="0"/>
            <c:bubble3D val="0"/>
            <c:spPr>
              <a:solidFill>
                <a:srgbClr val="BFDDE1"/>
              </a:solidFill>
              <a:ln>
                <a:noFill/>
              </a:ln>
              <a:effectLst/>
            </c:spPr>
            <c:extLst>
              <c:ext xmlns:c16="http://schemas.microsoft.com/office/drawing/2014/chart" uri="{C3380CC4-5D6E-409C-BE32-E72D297353CC}">
                <c16:uniqueId val="{0000000E-5378-4C1B-BA6B-3C935F68B3B1}"/>
              </c:ext>
            </c:extLst>
          </c:dPt>
          <c:dPt>
            <c:idx val="21"/>
            <c:invertIfNegative val="0"/>
            <c:bubble3D val="0"/>
            <c:spPr>
              <a:solidFill>
                <a:srgbClr val="BFDDE1"/>
              </a:solidFill>
              <a:ln>
                <a:noFill/>
              </a:ln>
              <a:effectLst/>
            </c:spPr>
            <c:extLst>
              <c:ext xmlns:c16="http://schemas.microsoft.com/office/drawing/2014/chart" uri="{C3380CC4-5D6E-409C-BE32-E72D297353CC}">
                <c16:uniqueId val="{0000000F-5378-4C1B-BA6B-3C935F68B3B1}"/>
              </c:ext>
            </c:extLst>
          </c:dPt>
          <c:dPt>
            <c:idx val="22"/>
            <c:invertIfNegative val="0"/>
            <c:bubble3D val="0"/>
            <c:spPr>
              <a:solidFill>
                <a:srgbClr val="BFDDE1"/>
              </a:solidFill>
              <a:ln>
                <a:noFill/>
              </a:ln>
              <a:effectLst/>
            </c:spPr>
            <c:extLst>
              <c:ext xmlns:c16="http://schemas.microsoft.com/office/drawing/2014/chart" uri="{C3380CC4-5D6E-409C-BE32-E72D297353CC}">
                <c16:uniqueId val="{00000010-5378-4C1B-BA6B-3C935F68B3B1}"/>
              </c:ext>
            </c:extLst>
          </c:dPt>
          <c:dPt>
            <c:idx val="24"/>
            <c:invertIfNegative val="0"/>
            <c:bubble3D val="0"/>
            <c:spPr>
              <a:solidFill>
                <a:srgbClr val="BFDDE1"/>
              </a:solidFill>
              <a:ln>
                <a:noFill/>
              </a:ln>
              <a:effectLst/>
            </c:spPr>
            <c:extLst>
              <c:ext xmlns:c16="http://schemas.microsoft.com/office/drawing/2014/chart" uri="{C3380CC4-5D6E-409C-BE32-E72D297353CC}">
                <c16:uniqueId val="{00000011-5378-4C1B-BA6B-3C935F68B3B1}"/>
              </c:ext>
            </c:extLst>
          </c:dPt>
          <c:dPt>
            <c:idx val="25"/>
            <c:invertIfNegative val="0"/>
            <c:bubble3D val="0"/>
            <c:spPr>
              <a:solidFill>
                <a:srgbClr val="BFDDE1"/>
              </a:solidFill>
              <a:ln>
                <a:noFill/>
              </a:ln>
              <a:effectLst/>
            </c:spPr>
            <c:extLst>
              <c:ext xmlns:c16="http://schemas.microsoft.com/office/drawing/2014/chart" uri="{C3380CC4-5D6E-409C-BE32-E72D297353CC}">
                <c16:uniqueId val="{00000012-5378-4C1B-BA6B-3C935F68B3B1}"/>
              </c:ext>
            </c:extLst>
          </c:dPt>
          <c:dPt>
            <c:idx val="27"/>
            <c:invertIfNegative val="0"/>
            <c:bubble3D val="0"/>
            <c:spPr>
              <a:solidFill>
                <a:srgbClr val="BFDDE1"/>
              </a:solidFill>
              <a:ln>
                <a:noFill/>
              </a:ln>
              <a:effectLst/>
            </c:spPr>
            <c:extLst>
              <c:ext xmlns:c16="http://schemas.microsoft.com/office/drawing/2014/chart" uri="{C3380CC4-5D6E-409C-BE32-E72D297353CC}">
                <c16:uniqueId val="{00000013-5378-4C1B-BA6B-3C935F68B3B1}"/>
              </c:ext>
            </c:extLst>
          </c:dPt>
          <c:dPt>
            <c:idx val="28"/>
            <c:invertIfNegative val="0"/>
            <c:bubble3D val="0"/>
            <c:spPr>
              <a:solidFill>
                <a:srgbClr val="BFDDE1"/>
              </a:solidFill>
              <a:ln>
                <a:noFill/>
              </a:ln>
              <a:effectLst/>
            </c:spPr>
            <c:extLst>
              <c:ext xmlns:c16="http://schemas.microsoft.com/office/drawing/2014/chart" uri="{C3380CC4-5D6E-409C-BE32-E72D297353CC}">
                <c16:uniqueId val="{00000014-5378-4C1B-BA6B-3C935F68B3B1}"/>
              </c:ext>
            </c:extLst>
          </c:dPt>
          <c:dPt>
            <c:idx val="30"/>
            <c:invertIfNegative val="0"/>
            <c:bubble3D val="0"/>
            <c:spPr>
              <a:solidFill>
                <a:srgbClr val="BFDDE1"/>
              </a:solidFill>
              <a:ln>
                <a:noFill/>
              </a:ln>
              <a:effectLst/>
            </c:spPr>
            <c:extLst>
              <c:ext xmlns:c16="http://schemas.microsoft.com/office/drawing/2014/chart" uri="{C3380CC4-5D6E-409C-BE32-E72D297353CC}">
                <c16:uniqueId val="{00000015-5378-4C1B-BA6B-3C935F68B3B1}"/>
              </c:ext>
            </c:extLst>
          </c:dPt>
          <c:dPt>
            <c:idx val="31"/>
            <c:invertIfNegative val="0"/>
            <c:bubble3D val="0"/>
            <c:spPr>
              <a:solidFill>
                <a:srgbClr val="BFDDE1"/>
              </a:solidFill>
              <a:ln>
                <a:noFill/>
              </a:ln>
              <a:effectLst/>
            </c:spPr>
            <c:extLst>
              <c:ext xmlns:c16="http://schemas.microsoft.com/office/drawing/2014/chart" uri="{C3380CC4-5D6E-409C-BE32-E72D297353CC}">
                <c16:uniqueId val="{00000016-5378-4C1B-BA6B-3C935F68B3B1}"/>
              </c:ext>
            </c:extLst>
          </c:dPt>
          <c:dLbls>
            <c:dLbl>
              <c:idx val="0"/>
              <c:layout>
                <c:manualLayout>
                  <c:x val="-8.3105718710556615E-18"/>
                  <c:y val="-6.0095569177097789E-2"/>
                </c:manualLayout>
              </c:layout>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378-4C1B-BA6B-3C935F68B3B1}"/>
                </c:ext>
              </c:extLst>
            </c:dLbl>
            <c:dLbl>
              <c:idx val="1"/>
              <c:layout>
                <c:manualLayout>
                  <c:x val="0"/>
                  <c:y val="-7.7427985308388708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378-4C1B-BA6B-3C935F68B3B1}"/>
                </c:ext>
              </c:extLst>
            </c:dLbl>
            <c:dLbl>
              <c:idx val="3"/>
              <c:layout>
                <c:manualLayout>
                  <c:x val="-3.9312039312039493E-3"/>
                  <c:y val="-0.11311658629772593"/>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378-4C1B-BA6B-3C935F68B3B1}"/>
                </c:ext>
              </c:extLst>
            </c:dLbl>
            <c:dLbl>
              <c:idx val="4"/>
              <c:layout>
                <c:manualLayout>
                  <c:x val="0"/>
                  <c:y val="-7.6271186440677971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378-4C1B-BA6B-3C935F68B3B1}"/>
                </c:ext>
              </c:extLst>
            </c:dLbl>
            <c:dLbl>
              <c:idx val="6"/>
              <c:layout>
                <c:manualLayout>
                  <c:x val="0"/>
                  <c:y val="-0.1504966321056741"/>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378-4C1B-BA6B-3C935F68B3B1}"/>
                </c:ext>
              </c:extLst>
            </c:dLbl>
            <c:dLbl>
              <c:idx val="9"/>
              <c:layout>
                <c:manualLayout>
                  <c:x val="1.5477180827907978E-7"/>
                  <c:y val="-9.756354733517815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(13)</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0452088452088454E-2"/>
                      <c:h val="8.4476641774381606E-2"/>
                    </c:manualLayout>
                  </c15:layout>
                  <c15:showDataLabelsRange val="0"/>
                </c:ext>
                <c:ext xmlns:c16="http://schemas.microsoft.com/office/drawing/2014/chart" uri="{C3380CC4-5D6E-409C-BE32-E72D297353CC}">
                  <c16:uniqueId val="{00000007-5378-4C1B-BA6B-3C935F68B3B1}"/>
                </c:ext>
              </c:extLst>
            </c:dLbl>
            <c:dLbl>
              <c:idx val="10"/>
              <c:layout>
                <c:manualLayout>
                  <c:x val="1.9417475728155339E-3"/>
                  <c:y val="-6.7796610169491567E-2"/>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378-4C1B-BA6B-3C935F68B3B1}"/>
                </c:ext>
              </c:extLst>
            </c:dLbl>
            <c:dLbl>
              <c:idx val="12"/>
              <c:layout>
                <c:manualLayout>
                  <c:x val="-1.2849708383013623E-4"/>
                  <c:y val="-0.15831980050855579"/>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378-4C1B-BA6B-3C935F68B3B1}"/>
                </c:ext>
              </c:extLst>
            </c:dLbl>
            <c:dLbl>
              <c:idx val="13"/>
              <c:layout>
                <c:manualLayout>
                  <c:x val="1.8132366273798731E-3"/>
                  <c:y val="-0.11795005343520833"/>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378-4C1B-BA6B-3C935F68B3B1}"/>
                </c:ext>
              </c:extLst>
            </c:dLbl>
            <c:dLbl>
              <c:idx val="15"/>
              <c:layout>
                <c:manualLayout>
                  <c:x val="-7.1866411397682443E-17"/>
                  <c:y val="-0.19773673819702986"/>
                </c:manualLayout>
              </c:layout>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378-4C1B-BA6B-3C935F68B3B1}"/>
                </c:ext>
              </c:extLst>
            </c:dLbl>
            <c:dLbl>
              <c:idx val="16"/>
              <c:layout>
                <c:manualLayout>
                  <c:x val="-7.2071239498963296E-17"/>
                  <c:y val="-0.10277371176222493"/>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378-4C1B-BA6B-3C935F68B3B1}"/>
                </c:ext>
              </c:extLst>
            </c:dLbl>
            <c:dLbl>
              <c:idx val="18"/>
              <c:layout>
                <c:manualLayout>
                  <c:x val="-7.2071239498963296E-17"/>
                  <c:y val="-0.10445864574754612"/>
                </c:manualLayout>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378-4C1B-BA6B-3C935F68B3B1}"/>
                </c:ext>
              </c:extLst>
            </c:dLbl>
            <c:dLbl>
              <c:idx val="19"/>
              <c:layout>
                <c:manualLayout>
                  <c:x val="3.8834951456309967E-3"/>
                  <c:y val="-7.6271186440677971E-2"/>
                </c:manualLayout>
              </c:layout>
              <c:tx>
                <c:rich>
                  <a:bodyPr/>
                  <a:lstStyle/>
                  <a:p>
                    <a:r>
                      <a:rPr lang="en-US"/>
                      <a:t>(66)</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378-4C1B-BA6B-3C935F68B3B1}"/>
                </c:ext>
              </c:extLst>
            </c:dLbl>
            <c:dLbl>
              <c:idx val="21"/>
              <c:layout>
                <c:manualLayout>
                  <c:x val="4.1075446713808497E-3"/>
                  <c:y val="-0.21849787771268508"/>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378-4C1B-BA6B-3C935F68B3B1}"/>
                </c:ext>
              </c:extLst>
            </c:dLbl>
            <c:dLbl>
              <c:idx val="22"/>
              <c:layout>
                <c:manualLayout>
                  <c:x val="4.3644102226780834E-3"/>
                  <c:y val="-0.13795128486427644"/>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378-4C1B-BA6B-3C935F68B3B1}"/>
                </c:ext>
              </c:extLst>
            </c:dLbl>
            <c:dLbl>
              <c:idx val="24"/>
              <c:layout>
                <c:manualLayout>
                  <c:x val="-3.9312039312039311E-3"/>
                  <c:y val="-8.474516016403373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(30)</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9617171932132562E-2"/>
                      <c:h val="7.1970492325063667E-2"/>
                    </c:manualLayout>
                  </c15:layout>
                  <c15:showDataLabelsRange val="0"/>
                </c:ext>
                <c:ext xmlns:c16="http://schemas.microsoft.com/office/drawing/2014/chart" uri="{C3380CC4-5D6E-409C-BE32-E72D297353CC}">
                  <c16:uniqueId val="{00000011-5378-4C1B-BA6B-3C935F68B3B1}"/>
                </c:ext>
              </c:extLst>
            </c:dLbl>
            <c:dLbl>
              <c:idx val="25"/>
              <c:layout>
                <c:manualLayout>
                  <c:x val="-1.4414247899792659E-16"/>
                  <c:y val="-6.5138779380450165E-2"/>
                </c:manualLayout>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378-4C1B-BA6B-3C935F68B3B1}"/>
                </c:ext>
              </c:extLst>
            </c:dLbl>
            <c:dLbl>
              <c:idx val="27"/>
              <c:layout>
                <c:manualLayout>
                  <c:x val="0"/>
                  <c:y val="-0.26032542250161456"/>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378-4C1B-BA6B-3C935F68B3B1}"/>
                </c:ext>
              </c:extLst>
            </c:dLbl>
            <c:dLbl>
              <c:idx val="28"/>
              <c:layout>
                <c:manualLayout>
                  <c:x val="-1.8132366273798731E-3"/>
                  <c:y val="-0.2084732271180611"/>
                </c:manualLayout>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378-4C1B-BA6B-3C935F68B3B1}"/>
                </c:ext>
              </c:extLst>
            </c:dLbl>
            <c:dLbl>
              <c:idx val="30"/>
              <c:layout>
                <c:manualLayout>
                  <c:x val="-5.8968058968058967E-3"/>
                  <c:y val="-0.14288324911184705"/>
                </c:manualLayout>
              </c:layout>
              <c:tx>
                <c:rich>
                  <a:bodyPr/>
                  <a:lstStyle/>
                  <a:p>
                    <a:r>
                      <a:rPr lang="en-US"/>
                      <a:t>(310)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378-4C1B-BA6B-3C935F68B3B1}"/>
                </c:ext>
              </c:extLst>
            </c:dLbl>
            <c:dLbl>
              <c:idx val="31"/>
              <c:layout>
                <c:manualLayout>
                  <c:x val="0"/>
                  <c:y val="-9.6434833430742287E-2"/>
                </c:manualLayout>
              </c:layout>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378-4C1B-BA6B-3C935F68B3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Sheet3!$H$4:$H$35</c:f>
              <c:numCache>
                <c:formatCode>0.0</c:formatCode>
                <c:ptCount val="32"/>
                <c:pt idx="0">
                  <c:v>0</c:v>
                </c:pt>
                <c:pt idx="1">
                  <c:v>0</c:v>
                </c:pt>
                <c:pt idx="3">
                  <c:v>22.222222222222221</c:v>
                </c:pt>
                <c:pt idx="4">
                  <c:v>14.285714285714285</c:v>
                </c:pt>
                <c:pt idx="6">
                  <c:v>31.818181818181817</c:v>
                </c:pt>
                <c:pt idx="7">
                  <c:v>25</c:v>
                </c:pt>
                <c:pt idx="9">
                  <c:v>20</c:v>
                </c:pt>
                <c:pt idx="10">
                  <c:v>0</c:v>
                </c:pt>
                <c:pt idx="12">
                  <c:v>36.84210526315789</c:v>
                </c:pt>
                <c:pt idx="13">
                  <c:v>23.076923076923077</c:v>
                </c:pt>
                <c:pt idx="15">
                  <c:v>46.341463414634148</c:v>
                </c:pt>
                <c:pt idx="16">
                  <c:v>19.148936170212767</c:v>
                </c:pt>
                <c:pt idx="18">
                  <c:v>20.588235294117645</c:v>
                </c:pt>
                <c:pt idx="19">
                  <c:v>13.636363636363635</c:v>
                </c:pt>
                <c:pt idx="21">
                  <c:v>51.612903225806448</c:v>
                </c:pt>
                <c:pt idx="22">
                  <c:v>30.76923076923077</c:v>
                </c:pt>
                <c:pt idx="24">
                  <c:v>12.195121951219512</c:v>
                </c:pt>
                <c:pt idx="25">
                  <c:v>4.6511627906976747</c:v>
                </c:pt>
                <c:pt idx="27">
                  <c:v>66.071428571428569</c:v>
                </c:pt>
                <c:pt idx="28">
                  <c:v>54</c:v>
                </c:pt>
                <c:pt idx="30">
                  <c:v>32.199546485260768</c:v>
                </c:pt>
                <c:pt idx="31">
                  <c:v>19.213973799126638</c:v>
                </c:pt>
              </c:numCache>
              <c:extLst xmlns:c15="http://schemas.microsoft.com/office/drawing/2012/chart"/>
            </c:numRef>
          </c:val>
          <c:extLst>
            <c:ext xmlns:c16="http://schemas.microsoft.com/office/drawing/2014/chart" uri="{C3380CC4-5D6E-409C-BE32-E72D297353CC}">
              <c16:uniqueId val="{00000017-5378-4C1B-BA6B-3C935F68B3B1}"/>
            </c:ext>
          </c:extLst>
        </c:ser>
        <c:dLbls>
          <c:showLegendKey val="0"/>
          <c:showVal val="0"/>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cat>
                  <c:strRef>
                    <c:extLst>
                      <c:ex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0.0</c:formatCode>
                      <c:ptCount val="32"/>
                      <c:pt idx="0">
                        <c:v>8.1081081081081088</c:v>
                      </c:pt>
                      <c:pt idx="1">
                        <c:v>19.230769230769234</c:v>
                      </c:pt>
                      <c:pt idx="3">
                        <c:v>11.111111111111111</c:v>
                      </c:pt>
                      <c:pt idx="4">
                        <c:v>23.809523809523807</c:v>
                      </c:pt>
                      <c:pt idx="6">
                        <c:v>0</c:v>
                      </c:pt>
                      <c:pt idx="7">
                        <c:v>0</c:v>
                      </c:pt>
                      <c:pt idx="9">
                        <c:v>0</c:v>
                      </c:pt>
                      <c:pt idx="10">
                        <c:v>0</c:v>
                      </c:pt>
                      <c:pt idx="12">
                        <c:v>0</c:v>
                      </c:pt>
                      <c:pt idx="13">
                        <c:v>0</c:v>
                      </c:pt>
                      <c:pt idx="15">
                        <c:v>8.536585365853659</c:v>
                      </c:pt>
                      <c:pt idx="16">
                        <c:v>14.893617021276595</c:v>
                      </c:pt>
                      <c:pt idx="18">
                        <c:v>16.666666666666664</c:v>
                      </c:pt>
                      <c:pt idx="19">
                        <c:v>0.90909090909090906</c:v>
                      </c:pt>
                      <c:pt idx="21">
                        <c:v>0</c:v>
                      </c:pt>
                      <c:pt idx="22">
                        <c:v>0</c:v>
                      </c:pt>
                      <c:pt idx="24">
                        <c:v>7.3170731707317067</c:v>
                      </c:pt>
                      <c:pt idx="25">
                        <c:v>4.6511627906976747</c:v>
                      </c:pt>
                      <c:pt idx="27">
                        <c:v>0</c:v>
                      </c:pt>
                      <c:pt idx="28">
                        <c:v>4</c:v>
                      </c:pt>
                      <c:pt idx="30">
                        <c:v>7.7097505668934234</c:v>
                      </c:pt>
                      <c:pt idx="31">
                        <c:v>7.4235807860262017</c:v>
                      </c:pt>
                    </c:numCache>
                  </c:numRef>
                </c:val>
                <c:extLst>
                  <c:ext xmlns:c16="http://schemas.microsoft.com/office/drawing/2014/chart" uri="{C3380CC4-5D6E-409C-BE32-E72D297353CC}">
                    <c16:uniqueId val="{00000018-5378-4C1B-BA6B-3C935F68B3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0.0</c:formatCode>
                      <c:ptCount val="32"/>
                      <c:pt idx="0">
                        <c:v>0</c:v>
                      </c:pt>
                      <c:pt idx="1">
                        <c:v>0</c:v>
                      </c:pt>
                      <c:pt idx="3">
                        <c:v>11.111111111111111</c:v>
                      </c:pt>
                      <c:pt idx="4">
                        <c:v>0</c:v>
                      </c:pt>
                      <c:pt idx="6">
                        <c:v>4.5454545454545459</c:v>
                      </c:pt>
                      <c:pt idx="7">
                        <c:v>0</c:v>
                      </c:pt>
                      <c:pt idx="9">
                        <c:v>0</c:v>
                      </c:pt>
                      <c:pt idx="10">
                        <c:v>0</c:v>
                      </c:pt>
                      <c:pt idx="12">
                        <c:v>0</c:v>
                      </c:pt>
                      <c:pt idx="13">
                        <c:v>3.8461538461538463</c:v>
                      </c:pt>
                      <c:pt idx="15">
                        <c:v>3.6585365853658534</c:v>
                      </c:pt>
                      <c:pt idx="16">
                        <c:v>9.5744680851063837</c:v>
                      </c:pt>
                      <c:pt idx="18">
                        <c:v>0.98039215686274506</c:v>
                      </c:pt>
                      <c:pt idx="19">
                        <c:v>3.6363636363636362</c:v>
                      </c:pt>
                      <c:pt idx="21">
                        <c:v>3.225806451612903</c:v>
                      </c:pt>
                      <c:pt idx="22">
                        <c:v>3.8461538461538463</c:v>
                      </c:pt>
                      <c:pt idx="24">
                        <c:v>2.4390243902439024</c:v>
                      </c:pt>
                      <c:pt idx="25">
                        <c:v>4.6511627906976747</c:v>
                      </c:pt>
                      <c:pt idx="27">
                        <c:v>0</c:v>
                      </c:pt>
                      <c:pt idx="28">
                        <c:v>0</c:v>
                      </c:pt>
                      <c:pt idx="30">
                        <c:v>2.4943310657596371</c:v>
                      </c:pt>
                      <c:pt idx="31">
                        <c:v>3.7117903930131009</c:v>
                      </c:pt>
                    </c:numCache>
                  </c:numRef>
                </c:val>
                <c:extLst xmlns:c15="http://schemas.microsoft.com/office/drawing/2012/chart">
                  <c:ext xmlns:c16="http://schemas.microsoft.com/office/drawing/2014/chart" uri="{C3380CC4-5D6E-409C-BE32-E72D297353CC}">
                    <c16:uniqueId val="{00000019-5378-4C1B-BA6B-3C935F68B3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0.0</c:formatCode>
                      <c:ptCount val="32"/>
                      <c:pt idx="0">
                        <c:v>16.216216216216218</c:v>
                      </c:pt>
                      <c:pt idx="1">
                        <c:v>15.384615384615385</c:v>
                      </c:pt>
                      <c:pt idx="3">
                        <c:v>27.777777777777779</c:v>
                      </c:pt>
                      <c:pt idx="4">
                        <c:v>19.047619047619047</c:v>
                      </c:pt>
                      <c:pt idx="6">
                        <c:v>18.181818181818183</c:v>
                      </c:pt>
                      <c:pt idx="7">
                        <c:v>20.833333333333336</c:v>
                      </c:pt>
                      <c:pt idx="9">
                        <c:v>13.333333333333334</c:v>
                      </c:pt>
                      <c:pt idx="10">
                        <c:v>23.52941176470588</c:v>
                      </c:pt>
                      <c:pt idx="12">
                        <c:v>21.052631578947366</c:v>
                      </c:pt>
                      <c:pt idx="13">
                        <c:v>19.230769230769234</c:v>
                      </c:pt>
                      <c:pt idx="15">
                        <c:v>17.073170731707318</c:v>
                      </c:pt>
                      <c:pt idx="16">
                        <c:v>19.148936170212767</c:v>
                      </c:pt>
                      <c:pt idx="18">
                        <c:v>22.549019607843139</c:v>
                      </c:pt>
                      <c:pt idx="19">
                        <c:v>35.454545454545453</c:v>
                      </c:pt>
                      <c:pt idx="21">
                        <c:v>22.58064516129032</c:v>
                      </c:pt>
                      <c:pt idx="22">
                        <c:v>34.615384615384613</c:v>
                      </c:pt>
                      <c:pt idx="24">
                        <c:v>17.073170731707318</c:v>
                      </c:pt>
                      <c:pt idx="25">
                        <c:v>16.279069767441861</c:v>
                      </c:pt>
                      <c:pt idx="27">
                        <c:v>16.071428571428573</c:v>
                      </c:pt>
                      <c:pt idx="28">
                        <c:v>24</c:v>
                      </c:pt>
                      <c:pt idx="30">
                        <c:v>19.501133786848072</c:v>
                      </c:pt>
                      <c:pt idx="31">
                        <c:v>24.23580786026201</c:v>
                      </c:pt>
                    </c:numCache>
                  </c:numRef>
                </c:val>
                <c:extLst xmlns:c15="http://schemas.microsoft.com/office/drawing/2012/chart">
                  <c:ext xmlns:c16="http://schemas.microsoft.com/office/drawing/2014/chart" uri="{C3380CC4-5D6E-409C-BE32-E72D297353CC}">
                    <c16:uniqueId val="{0000001A-5378-4C1B-BA6B-3C935F68B3B1}"/>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177999"/>
        <c:crosses val="autoZero"/>
        <c:auto val="1"/>
        <c:lblAlgn val="ctr"/>
        <c:lblOffset val="100"/>
        <c:noMultiLvlLbl val="0"/>
      </c:catAx>
      <c:valAx>
        <c:axId val="231177999"/>
        <c:scaling>
          <c:orientation val="minMax"/>
          <c:max val="10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a:t>
                </a:r>
                <a:r>
                  <a:rPr lang="en-AU" sz="800" baseline="0">
                    <a:latin typeface="Arial" panose="020B0604020202020204" pitchFamily="34" charset="0"/>
                    <a:cs typeface="Arial" panose="020B0604020202020204" pitchFamily="34" charset="0"/>
                  </a:rPr>
                  <a:t> of new RRT patients</a:t>
                </a:r>
                <a:endParaRPr lang="en-AU"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802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28724569954044E-2"/>
          <c:y val="6.6346153846153846E-2"/>
          <c:w val="0.90092753497933498"/>
          <c:h val="0.79229784978800721"/>
        </c:manualLayout>
      </c:layout>
      <c:barChart>
        <c:barDir val="col"/>
        <c:grouping val="stacked"/>
        <c:varyColors val="0"/>
        <c:ser>
          <c:idx val="3"/>
          <c:order val="3"/>
          <c:tx>
            <c:strRef>
              <c:f>Sheet3!$G$3</c:f>
              <c:strCache>
                <c:ptCount val="1"/>
                <c:pt idx="0">
                  <c:v>Not suitable</c:v>
                </c:pt>
              </c:strCache>
              <c:extLst xmlns:c15="http://schemas.microsoft.com/office/drawing/2012/chart"/>
            </c:strRef>
          </c:tx>
          <c:spPr>
            <a:solidFill>
              <a:srgbClr val="007586">
                <a:alpha val="70000"/>
              </a:srgbClr>
            </a:solidFill>
            <a:ln>
              <a:noFill/>
            </a:ln>
            <a:effectLst/>
          </c:spPr>
          <c:invertIfNegative val="0"/>
          <c:dPt>
            <c:idx val="1"/>
            <c:invertIfNegative val="0"/>
            <c:bubble3D val="0"/>
            <c:spPr>
              <a:solidFill>
                <a:srgbClr val="BFDDE1">
                  <a:alpha val="70000"/>
                </a:srgbClr>
              </a:solidFill>
              <a:ln>
                <a:noFill/>
              </a:ln>
              <a:effectLst/>
            </c:spPr>
            <c:extLst>
              <c:ext xmlns:c16="http://schemas.microsoft.com/office/drawing/2014/chart" uri="{C3380CC4-5D6E-409C-BE32-E72D297353CC}">
                <c16:uniqueId val="{00000001-FCE7-49DF-9695-AB0DDC00D2D1}"/>
              </c:ext>
            </c:extLst>
          </c:dPt>
          <c:dPt>
            <c:idx val="4"/>
            <c:invertIfNegative val="0"/>
            <c:bubble3D val="0"/>
            <c:spPr>
              <a:solidFill>
                <a:srgbClr val="BFDDE1">
                  <a:alpha val="70000"/>
                </a:srgbClr>
              </a:solidFill>
              <a:ln>
                <a:noFill/>
              </a:ln>
              <a:effectLst/>
            </c:spPr>
            <c:extLst>
              <c:ext xmlns:c16="http://schemas.microsoft.com/office/drawing/2014/chart" uri="{C3380CC4-5D6E-409C-BE32-E72D297353CC}">
                <c16:uniqueId val="{00000003-FCE7-49DF-9695-AB0DDC00D2D1}"/>
              </c:ext>
            </c:extLst>
          </c:dPt>
          <c:dPt>
            <c:idx val="7"/>
            <c:invertIfNegative val="0"/>
            <c:bubble3D val="0"/>
            <c:spPr>
              <a:solidFill>
                <a:srgbClr val="BFDDE1">
                  <a:alpha val="70000"/>
                </a:srgbClr>
              </a:solidFill>
              <a:ln>
                <a:noFill/>
              </a:ln>
              <a:effectLst/>
            </c:spPr>
            <c:extLst>
              <c:ext xmlns:c16="http://schemas.microsoft.com/office/drawing/2014/chart" uri="{C3380CC4-5D6E-409C-BE32-E72D297353CC}">
                <c16:uniqueId val="{00000005-FCE7-49DF-9695-AB0DDC00D2D1}"/>
              </c:ext>
            </c:extLst>
          </c:dPt>
          <c:dPt>
            <c:idx val="10"/>
            <c:invertIfNegative val="0"/>
            <c:bubble3D val="0"/>
            <c:spPr>
              <a:solidFill>
                <a:srgbClr val="BFDDE1">
                  <a:alpha val="70000"/>
                </a:srgbClr>
              </a:solidFill>
              <a:ln>
                <a:noFill/>
              </a:ln>
              <a:effectLst/>
            </c:spPr>
            <c:extLst>
              <c:ext xmlns:c16="http://schemas.microsoft.com/office/drawing/2014/chart" uri="{C3380CC4-5D6E-409C-BE32-E72D297353CC}">
                <c16:uniqueId val="{00000007-FCE7-49DF-9695-AB0DDC00D2D1}"/>
              </c:ext>
            </c:extLst>
          </c:dPt>
          <c:dPt>
            <c:idx val="13"/>
            <c:invertIfNegative val="0"/>
            <c:bubble3D val="0"/>
            <c:spPr>
              <a:solidFill>
                <a:srgbClr val="BFDDE1">
                  <a:alpha val="70000"/>
                </a:srgbClr>
              </a:solidFill>
              <a:ln>
                <a:noFill/>
              </a:ln>
              <a:effectLst/>
            </c:spPr>
            <c:extLst>
              <c:ext xmlns:c16="http://schemas.microsoft.com/office/drawing/2014/chart" uri="{C3380CC4-5D6E-409C-BE32-E72D297353CC}">
                <c16:uniqueId val="{00000009-FCE7-49DF-9695-AB0DDC00D2D1}"/>
              </c:ext>
            </c:extLst>
          </c:dPt>
          <c:dPt>
            <c:idx val="16"/>
            <c:invertIfNegative val="0"/>
            <c:bubble3D val="0"/>
            <c:spPr>
              <a:solidFill>
                <a:srgbClr val="BFDDE1">
                  <a:alpha val="70000"/>
                </a:srgbClr>
              </a:solidFill>
              <a:ln>
                <a:noFill/>
              </a:ln>
              <a:effectLst/>
            </c:spPr>
            <c:extLst>
              <c:ext xmlns:c16="http://schemas.microsoft.com/office/drawing/2014/chart" uri="{C3380CC4-5D6E-409C-BE32-E72D297353CC}">
                <c16:uniqueId val="{0000000B-FCE7-49DF-9695-AB0DDC00D2D1}"/>
              </c:ext>
            </c:extLst>
          </c:dPt>
          <c:dPt>
            <c:idx val="19"/>
            <c:invertIfNegative val="0"/>
            <c:bubble3D val="0"/>
            <c:spPr>
              <a:solidFill>
                <a:srgbClr val="BFDDE1">
                  <a:alpha val="70000"/>
                </a:srgbClr>
              </a:solidFill>
              <a:ln>
                <a:noFill/>
              </a:ln>
              <a:effectLst/>
            </c:spPr>
            <c:extLst>
              <c:ext xmlns:c16="http://schemas.microsoft.com/office/drawing/2014/chart" uri="{C3380CC4-5D6E-409C-BE32-E72D297353CC}">
                <c16:uniqueId val="{0000000D-FCE7-49DF-9695-AB0DDC00D2D1}"/>
              </c:ext>
            </c:extLst>
          </c:dPt>
          <c:dPt>
            <c:idx val="22"/>
            <c:invertIfNegative val="0"/>
            <c:bubble3D val="0"/>
            <c:spPr>
              <a:solidFill>
                <a:srgbClr val="BFDDE1">
                  <a:alpha val="70000"/>
                </a:srgbClr>
              </a:solidFill>
              <a:ln>
                <a:noFill/>
              </a:ln>
              <a:effectLst/>
            </c:spPr>
            <c:extLst>
              <c:ext xmlns:c16="http://schemas.microsoft.com/office/drawing/2014/chart" uri="{C3380CC4-5D6E-409C-BE32-E72D297353CC}">
                <c16:uniqueId val="{0000000F-FCE7-49DF-9695-AB0DDC00D2D1}"/>
              </c:ext>
            </c:extLst>
          </c:dPt>
          <c:dPt>
            <c:idx val="25"/>
            <c:invertIfNegative val="0"/>
            <c:bubble3D val="0"/>
            <c:spPr>
              <a:solidFill>
                <a:srgbClr val="BFDDE1">
                  <a:alpha val="70000"/>
                </a:srgbClr>
              </a:solidFill>
              <a:ln>
                <a:noFill/>
              </a:ln>
              <a:effectLst/>
            </c:spPr>
            <c:extLst>
              <c:ext xmlns:c16="http://schemas.microsoft.com/office/drawing/2014/chart" uri="{C3380CC4-5D6E-409C-BE32-E72D297353CC}">
                <c16:uniqueId val="{00000011-FCE7-49DF-9695-AB0DDC00D2D1}"/>
              </c:ext>
            </c:extLst>
          </c:dPt>
          <c:dPt>
            <c:idx val="28"/>
            <c:invertIfNegative val="0"/>
            <c:bubble3D val="0"/>
            <c:spPr>
              <a:solidFill>
                <a:srgbClr val="BFDDE1">
                  <a:alpha val="70000"/>
                </a:srgbClr>
              </a:solidFill>
              <a:ln>
                <a:noFill/>
              </a:ln>
              <a:effectLst/>
            </c:spPr>
            <c:extLst>
              <c:ext xmlns:c16="http://schemas.microsoft.com/office/drawing/2014/chart" uri="{C3380CC4-5D6E-409C-BE32-E72D297353CC}">
                <c16:uniqueId val="{00000013-FCE7-49DF-9695-AB0DDC00D2D1}"/>
              </c:ext>
            </c:extLst>
          </c:dPt>
          <c:dPt>
            <c:idx val="31"/>
            <c:invertIfNegative val="0"/>
            <c:bubble3D val="0"/>
            <c:spPr>
              <a:solidFill>
                <a:srgbClr val="BFDDE1">
                  <a:alpha val="70000"/>
                </a:srgbClr>
              </a:solidFill>
              <a:ln>
                <a:noFill/>
              </a:ln>
              <a:effectLst/>
            </c:spPr>
            <c:extLst>
              <c:ext xmlns:c16="http://schemas.microsoft.com/office/drawing/2014/chart" uri="{C3380CC4-5D6E-409C-BE32-E72D297353CC}">
                <c16:uniqueId val="{00000015-FCE7-49DF-9695-AB0DDC00D2D1}"/>
              </c:ext>
            </c:extLst>
          </c:dPt>
          <c:dLbls>
            <c:dLbl>
              <c:idx val="0"/>
              <c:layout>
                <c:manualLayout>
                  <c:x val="2.6183957503155999E-3"/>
                  <c:y val="-0.37378482737734708"/>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CE7-49DF-9695-AB0DDC00D2D1}"/>
                </c:ext>
              </c:extLst>
            </c:dLbl>
            <c:dLbl>
              <c:idx val="1"/>
              <c:layout>
                <c:manualLayout>
                  <c:x val="2.4878309262694575E-4"/>
                  <c:y val="-0.32400060569351913"/>
                </c:manualLayout>
              </c:layout>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CE7-49DF-9695-AB0DDC00D2D1}"/>
                </c:ext>
              </c:extLst>
            </c:dLbl>
            <c:dLbl>
              <c:idx val="3"/>
              <c:layout>
                <c:manualLayout>
                  <c:x val="-1.0860853997363027E-17"/>
                  <c:y val="-0.15384615384615385"/>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CE7-49DF-9695-AB0DDC00D2D1}"/>
                </c:ext>
              </c:extLst>
            </c:dLbl>
            <c:dLbl>
              <c:idx val="4"/>
              <c:layout>
                <c:manualLayout>
                  <c:x val="-2.3696126576886632E-3"/>
                  <c:y val="-0.21527786190187764"/>
                </c:manualLayout>
              </c:layout>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CE7-49DF-9695-AB0DDC00D2D1}"/>
                </c:ext>
              </c:extLst>
            </c:dLbl>
            <c:dLbl>
              <c:idx val="6"/>
              <c:layout>
                <c:manualLayout>
                  <c:x val="3.0556798785098944E-2"/>
                  <c:y val="-0.30103043609933372"/>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CE7-49DF-9695-AB0DDC00D2D1}"/>
                </c:ext>
              </c:extLst>
            </c:dLbl>
            <c:dLbl>
              <c:idx val="7"/>
              <c:layout>
                <c:manualLayout>
                  <c:x val="-3.0308197159342357E-2"/>
                  <c:y val="-0.19591093410497526"/>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CE7-49DF-9695-AB0DDC00D2D1}"/>
                </c:ext>
              </c:extLst>
            </c:dLbl>
            <c:dLbl>
              <c:idx val="9"/>
              <c:layout>
                <c:manualLayout>
                  <c:x val="7.4634927788076537E-4"/>
                  <c:y val="-0.31986334039975772"/>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CE7-49DF-9695-AB0DDC00D2D1}"/>
                </c:ext>
              </c:extLst>
            </c:dLbl>
            <c:dLbl>
              <c:idx val="10"/>
              <c:layout>
                <c:manualLayout>
                  <c:x val="0"/>
                  <c:y val="-0.35790581465778315"/>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CE7-49DF-9695-AB0DDC00D2D1}"/>
                </c:ext>
              </c:extLst>
            </c:dLbl>
            <c:dLbl>
              <c:idx val="12"/>
              <c:layout>
                <c:manualLayout>
                  <c:x val="-2.3696682464455412E-3"/>
                  <c:y val="-0.20085470085470095"/>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CE7-49DF-9695-AB0DDC00D2D1}"/>
                </c:ext>
              </c:extLst>
            </c:dLbl>
            <c:dLbl>
              <c:idx val="13"/>
              <c:layout>
                <c:manualLayout>
                  <c:x val="1.4926985557616745E-3"/>
                  <c:y val="-0.26883252574197458"/>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CE7-49DF-9695-AB0DDC00D2D1}"/>
                </c:ext>
              </c:extLst>
            </c:dLbl>
            <c:dLbl>
              <c:idx val="15"/>
              <c:layout>
                <c:manualLayout>
                  <c:x val="2.8435969220037226E-2"/>
                  <c:y val="-0.25641013022410658"/>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CE7-49DF-9695-AB0DDC00D2D1}"/>
                </c:ext>
              </c:extLst>
            </c:dLbl>
            <c:dLbl>
              <c:idx val="16"/>
              <c:layout>
                <c:manualLayout>
                  <c:x val="-2.8436041303220329E-2"/>
                  <c:y val="-9.8937761101182325E-2"/>
                </c:manualLayout>
              </c:layout>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CE7-49DF-9695-AB0DDC00D2D1}"/>
                </c:ext>
              </c:extLst>
            </c:dLbl>
            <c:dLbl>
              <c:idx val="18"/>
              <c:layout>
                <c:manualLayout>
                  <c:x val="3.1179373844439504E-2"/>
                  <c:y val="-0.25830216535433076"/>
                </c:manualLayout>
              </c:layout>
              <c:tx>
                <c:rich>
                  <a:bodyPr/>
                  <a:lstStyle/>
                  <a:p>
                    <a:r>
                      <a:rPr lang="en-US"/>
                      <a:t>(51)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CE7-49DF-9695-AB0DDC00D2D1}"/>
                </c:ext>
              </c:extLst>
            </c:dLbl>
            <c:dLbl>
              <c:idx val="19"/>
              <c:layout>
                <c:manualLayout>
                  <c:x val="-2.8436041303220329E-2"/>
                  <c:y val="-0.17781874774327955"/>
                </c:manualLayout>
              </c:layout>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CE7-49DF-9695-AB0DDC00D2D1}"/>
                </c:ext>
              </c:extLst>
            </c:dLbl>
            <c:dLbl>
              <c:idx val="21"/>
              <c:layout>
                <c:manualLayout>
                  <c:x val="7.7165971658481936E-8"/>
                  <c:y val="-0.13005243034524538"/>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(7)</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7440709132915274E-2"/>
                      <c:h val="9.1637515563724459E-2"/>
                    </c:manualLayout>
                  </c15:layout>
                  <c15:showDataLabelsRange val="0"/>
                </c:ext>
                <c:ext xmlns:c16="http://schemas.microsoft.com/office/drawing/2014/chart" uri="{C3380CC4-5D6E-409C-BE32-E72D297353CC}">
                  <c16:uniqueId val="{0000001D-FCE7-49DF-9695-AB0DDC00D2D1}"/>
                </c:ext>
              </c:extLst>
            </c:dLbl>
            <c:dLbl>
              <c:idx val="22"/>
              <c:layout>
                <c:manualLayout>
                  <c:x val="2.3695915256101967E-3"/>
                  <c:y val="-0.15876677266782549"/>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CE7-49DF-9695-AB0DDC00D2D1}"/>
                </c:ext>
              </c:extLst>
            </c:dLbl>
            <c:dLbl>
              <c:idx val="24"/>
              <c:layout>
                <c:manualLayout>
                  <c:x val="2.643999419711893E-2"/>
                  <c:y val="-0.37515558752271355"/>
                </c:manualLayout>
              </c:layout>
              <c:tx>
                <c:rich>
                  <a:bodyPr/>
                  <a:lstStyle/>
                  <a:p>
                    <a:r>
                      <a:rPr lang="en-US"/>
                      <a:t>(30)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FCE7-49DF-9695-AB0DDC00D2D1}"/>
                </c:ext>
              </c:extLst>
            </c:dLbl>
            <c:dLbl>
              <c:idx val="25"/>
              <c:layout>
                <c:manualLayout>
                  <c:x val="-3.1553011479209941E-2"/>
                  <c:y val="-0.25687840702604481"/>
                </c:manualLayout>
              </c:layout>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CE7-49DF-9695-AB0DDC00D2D1}"/>
                </c:ext>
              </c:extLst>
            </c:dLbl>
            <c:dLbl>
              <c:idx val="27"/>
              <c:layout>
                <c:manualLayout>
                  <c:x val="2.8436041303220329E-2"/>
                  <c:y val="-0.11734256130044826"/>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(9)</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4549798041711853E-2"/>
                      <c:h val="7.5701265582938923E-2"/>
                    </c:manualLayout>
                  </c15:layout>
                  <c15:showDataLabelsRange val="0"/>
                </c:ext>
                <c:ext xmlns:c16="http://schemas.microsoft.com/office/drawing/2014/chart" uri="{C3380CC4-5D6E-409C-BE32-E72D297353CC}">
                  <c16:uniqueId val="{0000001F-FCE7-49DF-9695-AB0DDC00D2D1}"/>
                </c:ext>
              </c:extLst>
            </c:dLbl>
            <c:dLbl>
              <c:idx val="28"/>
              <c:layout>
                <c:manualLayout>
                  <c:x val="-2.8062300595659222E-2"/>
                  <c:y val="-0.11654229803861781"/>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CE7-49DF-9695-AB0DDC00D2D1}"/>
                </c:ext>
              </c:extLst>
            </c:dLbl>
            <c:dLbl>
              <c:idx val="30"/>
              <c:layout>
                <c:manualLayout>
                  <c:x val="3.0432098574898692E-2"/>
                  <c:y val="-0.25859176256814054"/>
                </c:manualLayout>
              </c:layout>
              <c:tx>
                <c:rich>
                  <a:bodyPr/>
                  <a:lstStyle/>
                  <a:p>
                    <a:r>
                      <a:rPr lang="en-US"/>
                      <a:t>(208)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FCE7-49DF-9695-AB0DDC00D2D1}"/>
                </c:ext>
              </c:extLst>
            </c:dLbl>
            <c:dLbl>
              <c:idx val="31"/>
              <c:layout>
                <c:manualLayout>
                  <c:x val="-3.0058229996699513E-2"/>
                  <c:y val="-0.15217754111819146"/>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(168)</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3791472173762696E-2"/>
                      <c:h val="0.10757376554450995"/>
                    </c:manualLayout>
                  </c15:layout>
                  <c15:showDataLabelsRange val="0"/>
                </c:ext>
                <c:ext xmlns:c16="http://schemas.microsoft.com/office/drawing/2014/chart" uri="{C3380CC4-5D6E-409C-BE32-E72D297353CC}">
                  <c16:uniqueId val="{00000015-FCE7-49DF-9695-AB0DDC00D2D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Sheet3!$G$4:$G$35</c:f>
              <c:numCache>
                <c:formatCode>0.0</c:formatCode>
                <c:ptCount val="32"/>
                <c:pt idx="0">
                  <c:v>75.675675675675677</c:v>
                </c:pt>
                <c:pt idx="1">
                  <c:v>65.384615384615387</c:v>
                </c:pt>
                <c:pt idx="3">
                  <c:v>27.777777777777779</c:v>
                </c:pt>
                <c:pt idx="4">
                  <c:v>42.857142857142854</c:v>
                </c:pt>
                <c:pt idx="6">
                  <c:v>45.454545454545453</c:v>
                </c:pt>
                <c:pt idx="7">
                  <c:v>54.166666666666664</c:v>
                </c:pt>
                <c:pt idx="9">
                  <c:v>66.666666666666657</c:v>
                </c:pt>
                <c:pt idx="10">
                  <c:v>76.470588235294116</c:v>
                </c:pt>
                <c:pt idx="12">
                  <c:v>42.105263157894733</c:v>
                </c:pt>
                <c:pt idx="13">
                  <c:v>53.846153846153847</c:v>
                </c:pt>
                <c:pt idx="15">
                  <c:v>24.390243902439025</c:v>
                </c:pt>
                <c:pt idx="16">
                  <c:v>37.234042553191486</c:v>
                </c:pt>
                <c:pt idx="18">
                  <c:v>39.215686274509807</c:v>
                </c:pt>
                <c:pt idx="19">
                  <c:v>46.36363636363636</c:v>
                </c:pt>
                <c:pt idx="21">
                  <c:v>22.58064516129032</c:v>
                </c:pt>
                <c:pt idx="22">
                  <c:v>30.76923076923077</c:v>
                </c:pt>
                <c:pt idx="24">
                  <c:v>60.975609756097562</c:v>
                </c:pt>
                <c:pt idx="25">
                  <c:v>69.767441860465112</c:v>
                </c:pt>
                <c:pt idx="27">
                  <c:v>17.857142857142858</c:v>
                </c:pt>
                <c:pt idx="28">
                  <c:v>18</c:v>
                </c:pt>
                <c:pt idx="30">
                  <c:v>38.095238095238095</c:v>
                </c:pt>
                <c:pt idx="31">
                  <c:v>45.414847161572055</c:v>
                </c:pt>
              </c:numCache>
              <c:extLst xmlns:c15="http://schemas.microsoft.com/office/drawing/2012/chart"/>
            </c:numRef>
          </c:val>
          <c:extLst>
            <c:ext xmlns:c16="http://schemas.microsoft.com/office/drawing/2014/chart" uri="{C3380CC4-5D6E-409C-BE32-E72D297353CC}">
              <c16:uniqueId val="{00000021-FCE7-49DF-9695-AB0DDC00D2D1}"/>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0.0</c:formatCode>
                      <c:ptCount val="32"/>
                      <c:pt idx="0">
                        <c:v>8.1081081081081088</c:v>
                      </c:pt>
                      <c:pt idx="1">
                        <c:v>19.230769230769234</c:v>
                      </c:pt>
                      <c:pt idx="3">
                        <c:v>11.111111111111111</c:v>
                      </c:pt>
                      <c:pt idx="4">
                        <c:v>23.809523809523807</c:v>
                      </c:pt>
                      <c:pt idx="6">
                        <c:v>0</c:v>
                      </c:pt>
                      <c:pt idx="7">
                        <c:v>0</c:v>
                      </c:pt>
                      <c:pt idx="9">
                        <c:v>0</c:v>
                      </c:pt>
                      <c:pt idx="10">
                        <c:v>0</c:v>
                      </c:pt>
                      <c:pt idx="12">
                        <c:v>0</c:v>
                      </c:pt>
                      <c:pt idx="13">
                        <c:v>0</c:v>
                      </c:pt>
                      <c:pt idx="15">
                        <c:v>8.536585365853659</c:v>
                      </c:pt>
                      <c:pt idx="16">
                        <c:v>14.893617021276595</c:v>
                      </c:pt>
                      <c:pt idx="18">
                        <c:v>16.666666666666664</c:v>
                      </c:pt>
                      <c:pt idx="19">
                        <c:v>0.90909090909090906</c:v>
                      </c:pt>
                      <c:pt idx="21">
                        <c:v>0</c:v>
                      </c:pt>
                      <c:pt idx="22">
                        <c:v>0</c:v>
                      </c:pt>
                      <c:pt idx="24">
                        <c:v>7.3170731707317067</c:v>
                      </c:pt>
                      <c:pt idx="25">
                        <c:v>4.6511627906976747</c:v>
                      </c:pt>
                      <c:pt idx="27">
                        <c:v>0</c:v>
                      </c:pt>
                      <c:pt idx="28">
                        <c:v>4</c:v>
                      </c:pt>
                      <c:pt idx="30">
                        <c:v>7.7097505668934234</c:v>
                      </c:pt>
                      <c:pt idx="31">
                        <c:v>7.4235807860262017</c:v>
                      </c:pt>
                    </c:numCache>
                  </c:numRef>
                </c:val>
                <c:extLst>
                  <c:ext xmlns:c16="http://schemas.microsoft.com/office/drawing/2014/chart" uri="{C3380CC4-5D6E-409C-BE32-E72D297353CC}">
                    <c16:uniqueId val="{00000022-FCE7-49DF-9695-AB0DDC00D2D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0.0</c:formatCode>
                      <c:ptCount val="32"/>
                      <c:pt idx="0">
                        <c:v>0</c:v>
                      </c:pt>
                      <c:pt idx="1">
                        <c:v>0</c:v>
                      </c:pt>
                      <c:pt idx="3">
                        <c:v>11.111111111111111</c:v>
                      </c:pt>
                      <c:pt idx="4">
                        <c:v>0</c:v>
                      </c:pt>
                      <c:pt idx="6">
                        <c:v>4.5454545454545459</c:v>
                      </c:pt>
                      <c:pt idx="7">
                        <c:v>0</c:v>
                      </c:pt>
                      <c:pt idx="9">
                        <c:v>0</c:v>
                      </c:pt>
                      <c:pt idx="10">
                        <c:v>0</c:v>
                      </c:pt>
                      <c:pt idx="12">
                        <c:v>0</c:v>
                      </c:pt>
                      <c:pt idx="13">
                        <c:v>3.8461538461538463</c:v>
                      </c:pt>
                      <c:pt idx="15">
                        <c:v>3.6585365853658534</c:v>
                      </c:pt>
                      <c:pt idx="16">
                        <c:v>9.5744680851063837</c:v>
                      </c:pt>
                      <c:pt idx="18">
                        <c:v>0.98039215686274506</c:v>
                      </c:pt>
                      <c:pt idx="19">
                        <c:v>3.6363636363636362</c:v>
                      </c:pt>
                      <c:pt idx="21">
                        <c:v>3.225806451612903</c:v>
                      </c:pt>
                      <c:pt idx="22">
                        <c:v>3.8461538461538463</c:v>
                      </c:pt>
                      <c:pt idx="24">
                        <c:v>2.4390243902439024</c:v>
                      </c:pt>
                      <c:pt idx="25">
                        <c:v>4.6511627906976747</c:v>
                      </c:pt>
                      <c:pt idx="27">
                        <c:v>0</c:v>
                      </c:pt>
                      <c:pt idx="28">
                        <c:v>0</c:v>
                      </c:pt>
                      <c:pt idx="30">
                        <c:v>2.4943310657596371</c:v>
                      </c:pt>
                      <c:pt idx="31">
                        <c:v>3.7117903930131009</c:v>
                      </c:pt>
                    </c:numCache>
                  </c:numRef>
                </c:val>
                <c:extLst xmlns:c15="http://schemas.microsoft.com/office/drawing/2012/chart">
                  <c:ext xmlns:c16="http://schemas.microsoft.com/office/drawing/2014/chart" uri="{C3380CC4-5D6E-409C-BE32-E72D297353CC}">
                    <c16:uniqueId val="{00000023-FCE7-49DF-9695-AB0DDC00D2D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0.0</c:formatCode>
                      <c:ptCount val="32"/>
                      <c:pt idx="0">
                        <c:v>16.216216216216218</c:v>
                      </c:pt>
                      <c:pt idx="1">
                        <c:v>15.384615384615385</c:v>
                      </c:pt>
                      <c:pt idx="3">
                        <c:v>27.777777777777779</c:v>
                      </c:pt>
                      <c:pt idx="4">
                        <c:v>19.047619047619047</c:v>
                      </c:pt>
                      <c:pt idx="6">
                        <c:v>18.181818181818183</c:v>
                      </c:pt>
                      <c:pt idx="7">
                        <c:v>20.833333333333336</c:v>
                      </c:pt>
                      <c:pt idx="9">
                        <c:v>13.333333333333334</c:v>
                      </c:pt>
                      <c:pt idx="10">
                        <c:v>23.52941176470588</c:v>
                      </c:pt>
                      <c:pt idx="12">
                        <c:v>21.052631578947366</c:v>
                      </c:pt>
                      <c:pt idx="13">
                        <c:v>19.230769230769234</c:v>
                      </c:pt>
                      <c:pt idx="15">
                        <c:v>17.073170731707318</c:v>
                      </c:pt>
                      <c:pt idx="16">
                        <c:v>19.148936170212767</c:v>
                      </c:pt>
                      <c:pt idx="18">
                        <c:v>22.549019607843139</c:v>
                      </c:pt>
                      <c:pt idx="19">
                        <c:v>35.454545454545453</c:v>
                      </c:pt>
                      <c:pt idx="21">
                        <c:v>22.58064516129032</c:v>
                      </c:pt>
                      <c:pt idx="22">
                        <c:v>34.615384615384613</c:v>
                      </c:pt>
                      <c:pt idx="24">
                        <c:v>17.073170731707318</c:v>
                      </c:pt>
                      <c:pt idx="25">
                        <c:v>16.279069767441861</c:v>
                      </c:pt>
                      <c:pt idx="27">
                        <c:v>16.071428571428573</c:v>
                      </c:pt>
                      <c:pt idx="28">
                        <c:v>24</c:v>
                      </c:pt>
                      <c:pt idx="30">
                        <c:v>19.501133786848072</c:v>
                      </c:pt>
                      <c:pt idx="31">
                        <c:v>24.23580786026201</c:v>
                      </c:pt>
                    </c:numCache>
                  </c:numRef>
                </c:val>
                <c:extLst xmlns:c15="http://schemas.microsoft.com/office/drawing/2012/chart">
                  <c:ext xmlns:c16="http://schemas.microsoft.com/office/drawing/2014/chart" uri="{C3380CC4-5D6E-409C-BE32-E72D297353CC}">
                    <c16:uniqueId val="{00000024-FCE7-49DF-9695-AB0DDC00D2D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0.0</c:formatCode>
                      <c:ptCount val="32"/>
                      <c:pt idx="0">
                        <c:v>0</c:v>
                      </c:pt>
                      <c:pt idx="1">
                        <c:v>0</c:v>
                      </c:pt>
                      <c:pt idx="3">
                        <c:v>22.222222222222221</c:v>
                      </c:pt>
                      <c:pt idx="4">
                        <c:v>14.285714285714285</c:v>
                      </c:pt>
                      <c:pt idx="6">
                        <c:v>31.818181818181817</c:v>
                      </c:pt>
                      <c:pt idx="7">
                        <c:v>25</c:v>
                      </c:pt>
                      <c:pt idx="9">
                        <c:v>20</c:v>
                      </c:pt>
                      <c:pt idx="10">
                        <c:v>0</c:v>
                      </c:pt>
                      <c:pt idx="12">
                        <c:v>36.84210526315789</c:v>
                      </c:pt>
                      <c:pt idx="13">
                        <c:v>23.076923076923077</c:v>
                      </c:pt>
                      <c:pt idx="15">
                        <c:v>46.341463414634148</c:v>
                      </c:pt>
                      <c:pt idx="16">
                        <c:v>19.148936170212767</c:v>
                      </c:pt>
                      <c:pt idx="18">
                        <c:v>20.588235294117645</c:v>
                      </c:pt>
                      <c:pt idx="19">
                        <c:v>13.636363636363635</c:v>
                      </c:pt>
                      <c:pt idx="21">
                        <c:v>51.612903225806448</c:v>
                      </c:pt>
                      <c:pt idx="22">
                        <c:v>30.76923076923077</c:v>
                      </c:pt>
                      <c:pt idx="24">
                        <c:v>12.195121951219512</c:v>
                      </c:pt>
                      <c:pt idx="25">
                        <c:v>4.6511627906976747</c:v>
                      </c:pt>
                      <c:pt idx="27">
                        <c:v>66.071428571428569</c:v>
                      </c:pt>
                      <c:pt idx="28">
                        <c:v>54</c:v>
                      </c:pt>
                      <c:pt idx="30">
                        <c:v>32.199546485260768</c:v>
                      </c:pt>
                      <c:pt idx="31">
                        <c:v>19.213973799126638</c:v>
                      </c:pt>
                    </c:numCache>
                  </c:numRef>
                </c:val>
                <c:extLst xmlns:c15="http://schemas.microsoft.com/office/drawing/2012/chart">
                  <c:ext xmlns:c16="http://schemas.microsoft.com/office/drawing/2014/chart" uri="{C3380CC4-5D6E-409C-BE32-E72D297353CC}">
                    <c16:uniqueId val="{00000025-FCE7-49DF-9695-AB0DDC00D2D1}"/>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a:t>
                </a:r>
                <a:r>
                  <a:rPr lang="en-AU" sz="800" baseline="0">
                    <a:latin typeface="Arial" panose="020B0604020202020204" pitchFamily="34" charset="0"/>
                    <a:cs typeface="Arial" panose="020B0604020202020204" pitchFamily="34" charset="0"/>
                  </a:rPr>
                  <a:t> of NEW rrt patients</a:t>
                </a:r>
                <a:endParaRPr lang="en-AU" sz="800">
                  <a:latin typeface="Arial" panose="020B0604020202020204" pitchFamily="34" charset="0"/>
                  <a:cs typeface="Arial" panose="020B0604020202020204" pitchFamily="34" charset="0"/>
                </a:endParaRPr>
              </a:p>
            </c:rich>
          </c:tx>
          <c:layout>
            <c:manualLayout>
              <c:xMode val="edge"/>
              <c:yMode val="edge"/>
              <c:x val="6.3379499161977555E-3"/>
              <c:y val="0.233468352513628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6007239291167E-2"/>
          <c:y val="0.10796184723484906"/>
          <c:w val="0.88129380886212749"/>
          <c:h val="0.76785028583755799"/>
        </c:manualLayout>
      </c:layout>
      <c:barChart>
        <c:barDir val="col"/>
        <c:grouping val="stacked"/>
        <c:varyColors val="0"/>
        <c:ser>
          <c:idx val="4"/>
          <c:order val="4"/>
          <c:tx>
            <c:strRef>
              <c:f>Sheet3!$H$3</c:f>
              <c:strCache>
                <c:ptCount val="1"/>
                <c:pt idx="0">
                  <c:v>Assessment not complete</c:v>
                </c:pt>
              </c:strCache>
              <c:extLst xmlns:c15="http://schemas.microsoft.com/office/drawing/2012/chart"/>
            </c:strRef>
          </c:tx>
          <c:spPr>
            <a:solidFill>
              <a:srgbClr val="4DBFE3"/>
            </a:solidFill>
            <a:ln>
              <a:noFill/>
            </a:ln>
            <a:effectLst/>
          </c:spPr>
          <c:invertIfNegative val="0"/>
          <c:dPt>
            <c:idx val="1"/>
            <c:invertIfNegative val="0"/>
            <c:bubble3D val="0"/>
            <c:spPr>
              <a:solidFill>
                <a:srgbClr val="4472C4">
                  <a:lumMod val="75000"/>
                </a:srgbClr>
              </a:solidFill>
              <a:ln>
                <a:noFill/>
              </a:ln>
              <a:effectLst/>
            </c:spPr>
            <c:extLst>
              <c:ext xmlns:c16="http://schemas.microsoft.com/office/drawing/2014/chart" uri="{C3380CC4-5D6E-409C-BE32-E72D297353CC}">
                <c16:uniqueId val="{00000001-F874-46F6-A54F-167D67DDF83F}"/>
              </c:ext>
            </c:extLst>
          </c:dPt>
          <c:dPt>
            <c:idx val="3"/>
            <c:invertIfNegative val="0"/>
            <c:bubble3D val="0"/>
            <c:spPr>
              <a:solidFill>
                <a:srgbClr val="007586"/>
              </a:solidFill>
              <a:ln>
                <a:noFill/>
              </a:ln>
              <a:effectLst/>
            </c:spPr>
            <c:extLst>
              <c:ext xmlns:c16="http://schemas.microsoft.com/office/drawing/2014/chart" uri="{C3380CC4-5D6E-409C-BE32-E72D297353CC}">
                <c16:uniqueId val="{00000015-F874-46F6-A54F-167D67DDF83F}"/>
              </c:ext>
            </c:extLst>
          </c:dPt>
          <c:dPt>
            <c:idx val="4"/>
            <c:invertIfNegative val="0"/>
            <c:bubble3D val="0"/>
            <c:spPr>
              <a:solidFill>
                <a:srgbClr val="BFDDE1"/>
              </a:solidFill>
              <a:ln>
                <a:noFill/>
              </a:ln>
              <a:effectLst/>
            </c:spPr>
            <c:extLst>
              <c:ext xmlns:c16="http://schemas.microsoft.com/office/drawing/2014/chart" uri="{C3380CC4-5D6E-409C-BE32-E72D297353CC}">
                <c16:uniqueId val="{00000003-F874-46F6-A54F-167D67DDF83F}"/>
              </c:ext>
            </c:extLst>
          </c:dPt>
          <c:dPt>
            <c:idx val="6"/>
            <c:invertIfNegative val="0"/>
            <c:bubble3D val="0"/>
            <c:spPr>
              <a:solidFill>
                <a:srgbClr val="007586"/>
              </a:solidFill>
              <a:ln>
                <a:noFill/>
              </a:ln>
              <a:effectLst/>
            </c:spPr>
            <c:extLst>
              <c:ext xmlns:c16="http://schemas.microsoft.com/office/drawing/2014/chart" uri="{C3380CC4-5D6E-409C-BE32-E72D297353CC}">
                <c16:uniqueId val="{00000016-F874-46F6-A54F-167D67DDF83F}"/>
              </c:ext>
            </c:extLst>
          </c:dPt>
          <c:dPt>
            <c:idx val="7"/>
            <c:invertIfNegative val="0"/>
            <c:bubble3D val="0"/>
            <c:spPr>
              <a:solidFill>
                <a:srgbClr val="BFDDE1"/>
              </a:solidFill>
              <a:ln>
                <a:noFill/>
              </a:ln>
              <a:effectLst/>
            </c:spPr>
            <c:extLst>
              <c:ext xmlns:c16="http://schemas.microsoft.com/office/drawing/2014/chart" uri="{C3380CC4-5D6E-409C-BE32-E72D297353CC}">
                <c16:uniqueId val="{00000017-F874-46F6-A54F-167D67DDF83F}"/>
              </c:ext>
            </c:extLst>
          </c:dPt>
          <c:dPt>
            <c:idx val="9"/>
            <c:invertIfNegative val="0"/>
            <c:bubble3D val="0"/>
            <c:spPr>
              <a:solidFill>
                <a:srgbClr val="007586"/>
              </a:solidFill>
              <a:ln>
                <a:noFill/>
              </a:ln>
              <a:effectLst/>
            </c:spPr>
            <c:extLst>
              <c:ext xmlns:c16="http://schemas.microsoft.com/office/drawing/2014/chart" uri="{C3380CC4-5D6E-409C-BE32-E72D297353CC}">
                <c16:uniqueId val="{00000018-F874-46F6-A54F-167D67DDF83F}"/>
              </c:ext>
            </c:extLst>
          </c:dPt>
          <c:dPt>
            <c:idx val="10"/>
            <c:invertIfNegative val="0"/>
            <c:bubble3D val="0"/>
            <c:spPr>
              <a:solidFill>
                <a:srgbClr val="4472C4">
                  <a:lumMod val="75000"/>
                </a:srgbClr>
              </a:solidFill>
              <a:ln>
                <a:noFill/>
              </a:ln>
              <a:effectLst/>
            </c:spPr>
            <c:extLst>
              <c:ext xmlns:c16="http://schemas.microsoft.com/office/drawing/2014/chart" uri="{C3380CC4-5D6E-409C-BE32-E72D297353CC}">
                <c16:uniqueId val="{00000005-F874-46F6-A54F-167D67DDF83F}"/>
              </c:ext>
            </c:extLst>
          </c:dPt>
          <c:dPt>
            <c:idx val="12"/>
            <c:invertIfNegative val="0"/>
            <c:bubble3D val="0"/>
            <c:spPr>
              <a:solidFill>
                <a:srgbClr val="007586"/>
              </a:solidFill>
              <a:ln>
                <a:noFill/>
              </a:ln>
              <a:effectLst/>
            </c:spPr>
            <c:extLst>
              <c:ext xmlns:c16="http://schemas.microsoft.com/office/drawing/2014/chart" uri="{C3380CC4-5D6E-409C-BE32-E72D297353CC}">
                <c16:uniqueId val="{00000019-F874-46F6-A54F-167D67DDF83F}"/>
              </c:ext>
            </c:extLst>
          </c:dPt>
          <c:dPt>
            <c:idx val="13"/>
            <c:invertIfNegative val="0"/>
            <c:bubble3D val="0"/>
            <c:spPr>
              <a:solidFill>
                <a:srgbClr val="BFDDE1"/>
              </a:solidFill>
              <a:ln>
                <a:noFill/>
              </a:ln>
              <a:effectLst/>
            </c:spPr>
            <c:extLst>
              <c:ext xmlns:c16="http://schemas.microsoft.com/office/drawing/2014/chart" uri="{C3380CC4-5D6E-409C-BE32-E72D297353CC}">
                <c16:uniqueId val="{00000007-F874-46F6-A54F-167D67DDF83F}"/>
              </c:ext>
            </c:extLst>
          </c:dPt>
          <c:dPt>
            <c:idx val="15"/>
            <c:invertIfNegative val="0"/>
            <c:bubble3D val="0"/>
            <c:spPr>
              <a:solidFill>
                <a:srgbClr val="007586"/>
              </a:solidFill>
              <a:ln>
                <a:noFill/>
              </a:ln>
              <a:effectLst/>
            </c:spPr>
            <c:extLst>
              <c:ext xmlns:c16="http://schemas.microsoft.com/office/drawing/2014/chart" uri="{C3380CC4-5D6E-409C-BE32-E72D297353CC}">
                <c16:uniqueId val="{0000001A-F874-46F6-A54F-167D67DDF83F}"/>
              </c:ext>
            </c:extLst>
          </c:dPt>
          <c:dPt>
            <c:idx val="16"/>
            <c:invertIfNegative val="0"/>
            <c:bubble3D val="0"/>
            <c:spPr>
              <a:solidFill>
                <a:srgbClr val="BFDDE1"/>
              </a:solidFill>
              <a:ln>
                <a:noFill/>
              </a:ln>
              <a:effectLst/>
            </c:spPr>
            <c:extLst>
              <c:ext xmlns:c16="http://schemas.microsoft.com/office/drawing/2014/chart" uri="{C3380CC4-5D6E-409C-BE32-E72D297353CC}">
                <c16:uniqueId val="{00000009-F874-46F6-A54F-167D67DDF83F}"/>
              </c:ext>
            </c:extLst>
          </c:dPt>
          <c:dPt>
            <c:idx val="18"/>
            <c:invertIfNegative val="0"/>
            <c:bubble3D val="0"/>
            <c:spPr>
              <a:solidFill>
                <a:srgbClr val="007586"/>
              </a:solidFill>
              <a:ln>
                <a:noFill/>
              </a:ln>
              <a:effectLst/>
            </c:spPr>
            <c:extLst>
              <c:ext xmlns:c16="http://schemas.microsoft.com/office/drawing/2014/chart" uri="{C3380CC4-5D6E-409C-BE32-E72D297353CC}">
                <c16:uniqueId val="{0000001B-F874-46F6-A54F-167D67DDF83F}"/>
              </c:ext>
            </c:extLst>
          </c:dPt>
          <c:dPt>
            <c:idx val="19"/>
            <c:invertIfNegative val="0"/>
            <c:bubble3D val="0"/>
            <c:spPr>
              <a:solidFill>
                <a:srgbClr val="BFDDE1"/>
              </a:solidFill>
              <a:ln>
                <a:noFill/>
              </a:ln>
              <a:effectLst/>
            </c:spPr>
            <c:extLst>
              <c:ext xmlns:c16="http://schemas.microsoft.com/office/drawing/2014/chart" uri="{C3380CC4-5D6E-409C-BE32-E72D297353CC}">
                <c16:uniqueId val="{0000000B-F874-46F6-A54F-167D67DDF83F}"/>
              </c:ext>
            </c:extLst>
          </c:dPt>
          <c:dPt>
            <c:idx val="21"/>
            <c:invertIfNegative val="0"/>
            <c:bubble3D val="0"/>
            <c:spPr>
              <a:solidFill>
                <a:srgbClr val="007586"/>
              </a:solidFill>
              <a:ln>
                <a:noFill/>
              </a:ln>
              <a:effectLst/>
            </c:spPr>
            <c:extLst>
              <c:ext xmlns:c16="http://schemas.microsoft.com/office/drawing/2014/chart" uri="{C3380CC4-5D6E-409C-BE32-E72D297353CC}">
                <c16:uniqueId val="{0000001C-F874-46F6-A54F-167D67DDF83F}"/>
              </c:ext>
            </c:extLst>
          </c:dPt>
          <c:dPt>
            <c:idx val="22"/>
            <c:invertIfNegative val="0"/>
            <c:bubble3D val="0"/>
            <c:spPr>
              <a:solidFill>
                <a:srgbClr val="BFDDE1"/>
              </a:solidFill>
              <a:ln>
                <a:noFill/>
              </a:ln>
              <a:effectLst/>
            </c:spPr>
            <c:extLst>
              <c:ext xmlns:c16="http://schemas.microsoft.com/office/drawing/2014/chart" uri="{C3380CC4-5D6E-409C-BE32-E72D297353CC}">
                <c16:uniqueId val="{0000000D-F874-46F6-A54F-167D67DDF83F}"/>
              </c:ext>
            </c:extLst>
          </c:dPt>
          <c:dPt>
            <c:idx val="24"/>
            <c:invertIfNegative val="0"/>
            <c:bubble3D val="0"/>
            <c:spPr>
              <a:solidFill>
                <a:srgbClr val="007586"/>
              </a:solidFill>
              <a:ln>
                <a:noFill/>
              </a:ln>
              <a:effectLst/>
            </c:spPr>
            <c:extLst>
              <c:ext xmlns:c16="http://schemas.microsoft.com/office/drawing/2014/chart" uri="{C3380CC4-5D6E-409C-BE32-E72D297353CC}">
                <c16:uniqueId val="{0000001D-F874-46F6-A54F-167D67DDF83F}"/>
              </c:ext>
            </c:extLst>
          </c:dPt>
          <c:dPt>
            <c:idx val="25"/>
            <c:invertIfNegative val="0"/>
            <c:bubble3D val="0"/>
            <c:spPr>
              <a:solidFill>
                <a:srgbClr val="BFDDE1"/>
              </a:solidFill>
              <a:ln>
                <a:noFill/>
              </a:ln>
              <a:effectLst/>
            </c:spPr>
            <c:extLst>
              <c:ext xmlns:c16="http://schemas.microsoft.com/office/drawing/2014/chart" uri="{C3380CC4-5D6E-409C-BE32-E72D297353CC}">
                <c16:uniqueId val="{0000000F-F874-46F6-A54F-167D67DDF83F}"/>
              </c:ext>
            </c:extLst>
          </c:dPt>
          <c:dPt>
            <c:idx val="27"/>
            <c:invertIfNegative val="0"/>
            <c:bubble3D val="0"/>
            <c:spPr>
              <a:solidFill>
                <a:srgbClr val="007586"/>
              </a:solidFill>
              <a:ln>
                <a:noFill/>
              </a:ln>
              <a:effectLst/>
            </c:spPr>
            <c:extLst>
              <c:ext xmlns:c16="http://schemas.microsoft.com/office/drawing/2014/chart" uri="{C3380CC4-5D6E-409C-BE32-E72D297353CC}">
                <c16:uniqueId val="{0000001E-F874-46F6-A54F-167D67DDF83F}"/>
              </c:ext>
            </c:extLst>
          </c:dPt>
          <c:dPt>
            <c:idx val="28"/>
            <c:invertIfNegative val="0"/>
            <c:bubble3D val="0"/>
            <c:spPr>
              <a:solidFill>
                <a:srgbClr val="BFDDE1"/>
              </a:solidFill>
              <a:ln>
                <a:noFill/>
              </a:ln>
              <a:effectLst/>
            </c:spPr>
            <c:extLst>
              <c:ext xmlns:c16="http://schemas.microsoft.com/office/drawing/2014/chart" uri="{C3380CC4-5D6E-409C-BE32-E72D297353CC}">
                <c16:uniqueId val="{00000011-F874-46F6-A54F-167D67DDF83F}"/>
              </c:ext>
            </c:extLst>
          </c:dPt>
          <c:dPt>
            <c:idx val="30"/>
            <c:invertIfNegative val="0"/>
            <c:bubble3D val="0"/>
            <c:spPr>
              <a:solidFill>
                <a:srgbClr val="007586"/>
              </a:solidFill>
              <a:ln>
                <a:noFill/>
              </a:ln>
              <a:effectLst/>
            </c:spPr>
            <c:extLst>
              <c:ext xmlns:c16="http://schemas.microsoft.com/office/drawing/2014/chart" uri="{C3380CC4-5D6E-409C-BE32-E72D297353CC}">
                <c16:uniqueId val="{0000001F-F874-46F6-A54F-167D67DDF83F}"/>
              </c:ext>
            </c:extLst>
          </c:dPt>
          <c:dPt>
            <c:idx val="31"/>
            <c:invertIfNegative val="0"/>
            <c:bubble3D val="0"/>
            <c:spPr>
              <a:solidFill>
                <a:srgbClr val="BFDDE1"/>
              </a:solidFill>
              <a:ln>
                <a:noFill/>
              </a:ln>
              <a:effectLst/>
            </c:spPr>
            <c:extLst>
              <c:ext xmlns:c16="http://schemas.microsoft.com/office/drawing/2014/chart" uri="{C3380CC4-5D6E-409C-BE32-E72D297353CC}">
                <c16:uniqueId val="{00000013-F874-46F6-A54F-167D67DDF83F}"/>
              </c:ext>
            </c:extLst>
          </c:dPt>
          <c:dLbls>
            <c:dLbl>
              <c:idx val="0"/>
              <c:layout>
                <c:manualLayout>
                  <c:x val="-1.8850141376060493E-3"/>
                  <c:y val="7.6527820147687922E-4"/>
                </c:manualLayout>
              </c:layout>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874-46F6-A54F-167D67DDF83F}"/>
                </c:ext>
              </c:extLst>
            </c:dLbl>
            <c:dLbl>
              <c:idx val="1"/>
              <c:layout>
                <c:manualLayout>
                  <c:x val="2.1786013788804202E-3"/>
                  <c:y val="-2.8177607418409107E-4"/>
                </c:manualLayout>
              </c:layout>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874-46F6-A54F-167D67DDF83F}"/>
                </c:ext>
              </c:extLst>
            </c:dLbl>
            <c:dLbl>
              <c:idx val="3"/>
              <c:layout>
                <c:manualLayout>
                  <c:x val="-2.1786013788804202E-3"/>
                  <c:y val="-0.149412345518013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874-46F6-A54F-167D67DDF83F}"/>
                </c:ext>
              </c:extLst>
            </c:dLbl>
            <c:dLbl>
              <c:idx val="4"/>
              <c:layout>
                <c:manualLayout>
                  <c:x val="2.9373566758443602E-4"/>
                  <c:y val="-0.11697826016082201"/>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layout>
                    <c:manualLayout>
                      <c:w val="4.690790889593089E-2"/>
                      <c:h val="5.4629045291428646E-2"/>
                    </c:manualLayout>
                  </c15:layout>
                  <c15:showDataLabelsRange val="0"/>
                </c:ext>
                <c:ext xmlns:c16="http://schemas.microsoft.com/office/drawing/2014/chart" uri="{C3380CC4-5D6E-409C-BE32-E72D297353CC}">
                  <c16:uniqueId val="{00000003-F874-46F6-A54F-167D67DDF83F}"/>
                </c:ext>
              </c:extLst>
            </c:dLbl>
            <c:dLbl>
              <c:idx val="6"/>
              <c:layout>
                <c:manualLayout>
                  <c:x val="-3.4558193303579244E-17"/>
                  <c:y val="-0.2018686876919745"/>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874-46F6-A54F-167D67DDF83F}"/>
                </c:ext>
              </c:extLst>
            </c:dLbl>
            <c:dLbl>
              <c:idx val="7"/>
              <c:layout>
                <c:manualLayout>
                  <c:x val="2.9358724127438832E-4"/>
                  <c:y val="-0.15604048726302283"/>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874-46F6-A54F-167D67DDF83F}"/>
                </c:ext>
              </c:extLst>
            </c:dLbl>
            <c:dLbl>
              <c:idx val="9"/>
              <c:layout>
                <c:manualLayout>
                  <c:x val="-1.885014137606032E-3"/>
                  <c:y val="-0.14153484126226359"/>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874-46F6-A54F-167D67DDF83F}"/>
                </c:ext>
              </c:extLst>
            </c:dLbl>
            <c:dLbl>
              <c:idx val="10"/>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874-46F6-A54F-167D67DDF83F}"/>
                </c:ext>
              </c:extLst>
            </c:dLbl>
            <c:dLbl>
              <c:idx val="12"/>
              <c:layout>
                <c:manualLayout>
                  <c:x val="-2.1786013788804895E-3"/>
                  <c:y val="-0.22042515585011377"/>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874-46F6-A54F-167D67DDF83F}"/>
                </c:ext>
              </c:extLst>
            </c:dLbl>
            <c:dLbl>
              <c:idx val="13"/>
              <c:layout>
                <c:manualLayout>
                  <c:x val="0"/>
                  <c:y val="-0.15339068601994787"/>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874-46F6-A54F-167D67DDF83F}"/>
                </c:ext>
              </c:extLst>
            </c:dLbl>
            <c:dLbl>
              <c:idx val="15"/>
              <c:layout>
                <c:manualLayout>
                  <c:x val="-3.5518415994419171E-4"/>
                  <c:y val="-0.28054956231559391"/>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(38)</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8218661639962301E-2"/>
                      <c:h val="8.1275514124898973E-2"/>
                    </c:manualLayout>
                  </c15:layout>
                  <c15:showDataLabelsRange val="0"/>
                </c:ext>
                <c:ext xmlns:c16="http://schemas.microsoft.com/office/drawing/2014/chart" uri="{C3380CC4-5D6E-409C-BE32-E72D297353CC}">
                  <c16:uniqueId val="{0000001A-F874-46F6-A54F-167D67DDF83F}"/>
                </c:ext>
              </c:extLst>
            </c:dLbl>
            <c:dLbl>
              <c:idx val="16"/>
              <c:layout>
                <c:manualLayout>
                  <c:x val="-1.885014137606032E-3"/>
                  <c:y val="-0.13790289903334504"/>
                </c:manualLayout>
              </c:layout>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874-46F6-A54F-167D67DDF83F}"/>
                </c:ext>
              </c:extLst>
            </c:dLbl>
            <c:dLbl>
              <c:idx val="18"/>
              <c:layout>
                <c:manualLayout>
                  <c:x val="-2.1786492374727671E-3"/>
                  <c:y val="-0.15234375"/>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874-46F6-A54F-167D67DDF83F}"/>
                </c:ext>
              </c:extLst>
            </c:dLbl>
            <c:dLbl>
              <c:idx val="19"/>
              <c:layout>
                <c:manualLayout>
                  <c:x val="2.935872412743192E-4"/>
                  <c:y val="-0.11181561598345671"/>
                </c:manualLayout>
              </c:layout>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874-46F6-A54F-167D67DDF83F}"/>
                </c:ext>
              </c:extLst>
            </c:dLbl>
            <c:dLbl>
              <c:idx val="21"/>
              <c:layout>
                <c:manualLayout>
                  <c:x val="-2.4721886201549471E-3"/>
                  <c:y val="-0.3067815175853886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(16)</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879359095193214E-2"/>
                      <c:h val="6.6488092049955858E-2"/>
                    </c:manualLayout>
                  </c15:layout>
                  <c15:showDataLabelsRange val="0"/>
                </c:ext>
                <c:ext xmlns:c16="http://schemas.microsoft.com/office/drawing/2014/chart" uri="{C3380CC4-5D6E-409C-BE32-E72D297353CC}">
                  <c16:uniqueId val="{0000001C-F874-46F6-A54F-167D67DDF83F}"/>
                </c:ext>
              </c:extLst>
            </c:dLbl>
            <c:dLbl>
              <c:idx val="22"/>
              <c:layout>
                <c:manualLayout>
                  <c:x val="-1.2976912287472077E-3"/>
                  <c:y val="-0.19573132534890167"/>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874-46F6-A54F-167D67DDF83F}"/>
                </c:ext>
              </c:extLst>
            </c:dLbl>
            <c:dLbl>
              <c:idx val="24"/>
              <c:layout>
                <c:manualLayout>
                  <c:x val="0"/>
                  <c:y val="-9.9750185716048892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F874-46F6-A54F-167D67DDF83F}"/>
                </c:ext>
              </c:extLst>
            </c:dLbl>
            <c:dLbl>
              <c:idx val="25"/>
              <c:layout>
                <c:manualLayout>
                  <c:x val="0"/>
                  <c:y val="-7.421875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874-46F6-A54F-167D67DDF83F}"/>
                </c:ext>
              </c:extLst>
            </c:dLbl>
            <c:dLbl>
              <c:idx val="27"/>
              <c:layout>
                <c:manualLayout>
                  <c:x val="5.874645422360229E-4"/>
                  <c:y val="-0.3884034701141809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(37)</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5183788878416582E-2"/>
                      <c:h val="7.7578658606163198E-2"/>
                    </c:manualLayout>
                  </c15:layout>
                  <c15:showDataLabelsRange val="0"/>
                </c:ext>
                <c:ext xmlns:c16="http://schemas.microsoft.com/office/drawing/2014/chart" uri="{C3380CC4-5D6E-409C-BE32-E72D297353CC}">
                  <c16:uniqueId val="{0000001E-F874-46F6-A54F-167D67DDF83F}"/>
                </c:ext>
              </c:extLst>
            </c:dLbl>
            <c:dLbl>
              <c:idx val="28"/>
              <c:layout>
                <c:manualLayout>
                  <c:x val="0"/>
                  <c:y val="-0.31640625"/>
                </c:manualLayout>
              </c:layout>
              <c:tx>
                <c:rich>
                  <a:bodyPr/>
                  <a:lstStyle/>
                  <a:p>
                    <a:r>
                      <a:rPr lang="en-US"/>
                      <a:t>(27)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874-46F6-A54F-167D67DDF83F}"/>
                </c:ext>
              </c:extLst>
            </c:dLbl>
            <c:dLbl>
              <c:idx val="30"/>
              <c:layout>
                <c:manualLayout>
                  <c:x val="2.1786492374726071E-3"/>
                  <c:y val="-0.19921875000000008"/>
                </c:manualLayout>
              </c:layout>
              <c:tx>
                <c:rich>
                  <a:bodyPr/>
                  <a:lstStyle/>
                  <a:p>
                    <a:r>
                      <a:rPr lang="en-US"/>
                      <a:t>(142)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F874-46F6-A54F-167D67DDF83F}"/>
                </c:ext>
              </c:extLst>
            </c:dLbl>
            <c:dLbl>
              <c:idx val="31"/>
              <c:layout>
                <c:manualLayout>
                  <c:x val="0"/>
                  <c:y val="-0.13281250000000008"/>
                </c:manualLayout>
              </c:layout>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874-46F6-A54F-167D67DDF8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Sheet3!$H$4:$H$35</c:f>
              <c:numCache>
                <c:formatCode>0.0</c:formatCode>
                <c:ptCount val="32"/>
                <c:pt idx="0">
                  <c:v>0</c:v>
                </c:pt>
                <c:pt idx="1">
                  <c:v>0</c:v>
                </c:pt>
                <c:pt idx="3">
                  <c:v>22.222222222222221</c:v>
                </c:pt>
                <c:pt idx="4">
                  <c:v>14.285714285714285</c:v>
                </c:pt>
                <c:pt idx="6">
                  <c:v>31.818181818181817</c:v>
                </c:pt>
                <c:pt idx="7">
                  <c:v>25</c:v>
                </c:pt>
                <c:pt idx="9">
                  <c:v>20</c:v>
                </c:pt>
                <c:pt idx="10">
                  <c:v>0</c:v>
                </c:pt>
                <c:pt idx="12">
                  <c:v>36.84210526315789</c:v>
                </c:pt>
                <c:pt idx="13">
                  <c:v>23.076923076923077</c:v>
                </c:pt>
                <c:pt idx="15">
                  <c:v>46.341463414634148</c:v>
                </c:pt>
                <c:pt idx="16">
                  <c:v>19.148936170212767</c:v>
                </c:pt>
                <c:pt idx="18">
                  <c:v>20.588235294117645</c:v>
                </c:pt>
                <c:pt idx="19">
                  <c:v>13.636363636363635</c:v>
                </c:pt>
                <c:pt idx="21">
                  <c:v>51.612903225806448</c:v>
                </c:pt>
                <c:pt idx="22">
                  <c:v>30.76923076923077</c:v>
                </c:pt>
                <c:pt idx="24">
                  <c:v>12.195121951219512</c:v>
                </c:pt>
                <c:pt idx="25">
                  <c:v>4.6511627906976747</c:v>
                </c:pt>
                <c:pt idx="27">
                  <c:v>66.071428571428569</c:v>
                </c:pt>
                <c:pt idx="28">
                  <c:v>54</c:v>
                </c:pt>
                <c:pt idx="30">
                  <c:v>32.199546485260768</c:v>
                </c:pt>
                <c:pt idx="31">
                  <c:v>19.213973799126638</c:v>
                </c:pt>
              </c:numCache>
              <c:extLst xmlns:c15="http://schemas.microsoft.com/office/drawing/2012/chart"/>
            </c:numRef>
          </c:val>
          <c:extLst>
            <c:ext xmlns:c16="http://schemas.microsoft.com/office/drawing/2014/chart" uri="{C3380CC4-5D6E-409C-BE32-E72D297353CC}">
              <c16:uniqueId val="{00000020-F874-46F6-A54F-167D67DDF83F}"/>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Sheet3!$D$3</c15:sqref>
                        </c15:formulaRef>
                      </c:ext>
                    </c:extLst>
                    <c:strCache>
                      <c:ptCount val="1"/>
                      <c:pt idx="0">
                        <c:v>live donor Tx</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Sheet3!$D$4:$D$35</c15:sqref>
                        </c15:formulaRef>
                      </c:ext>
                    </c:extLst>
                    <c:numCache>
                      <c:formatCode>0.0</c:formatCode>
                      <c:ptCount val="32"/>
                      <c:pt idx="0">
                        <c:v>8.1081081081081088</c:v>
                      </c:pt>
                      <c:pt idx="1">
                        <c:v>19.230769230769234</c:v>
                      </c:pt>
                      <c:pt idx="3">
                        <c:v>11.111111111111111</c:v>
                      </c:pt>
                      <c:pt idx="4">
                        <c:v>23.809523809523807</c:v>
                      </c:pt>
                      <c:pt idx="6">
                        <c:v>0</c:v>
                      </c:pt>
                      <c:pt idx="7">
                        <c:v>0</c:v>
                      </c:pt>
                      <c:pt idx="9">
                        <c:v>0</c:v>
                      </c:pt>
                      <c:pt idx="10">
                        <c:v>0</c:v>
                      </c:pt>
                      <c:pt idx="12">
                        <c:v>0</c:v>
                      </c:pt>
                      <c:pt idx="13">
                        <c:v>0</c:v>
                      </c:pt>
                      <c:pt idx="15">
                        <c:v>8.536585365853659</c:v>
                      </c:pt>
                      <c:pt idx="16">
                        <c:v>14.893617021276595</c:v>
                      </c:pt>
                      <c:pt idx="18">
                        <c:v>16.666666666666664</c:v>
                      </c:pt>
                      <c:pt idx="19">
                        <c:v>0.90909090909090906</c:v>
                      </c:pt>
                      <c:pt idx="21">
                        <c:v>0</c:v>
                      </c:pt>
                      <c:pt idx="22">
                        <c:v>0</c:v>
                      </c:pt>
                      <c:pt idx="24">
                        <c:v>7.3170731707317067</c:v>
                      </c:pt>
                      <c:pt idx="25">
                        <c:v>4.6511627906976747</c:v>
                      </c:pt>
                      <c:pt idx="27">
                        <c:v>0</c:v>
                      </c:pt>
                      <c:pt idx="28">
                        <c:v>4</c:v>
                      </c:pt>
                      <c:pt idx="30">
                        <c:v>7.7097505668934234</c:v>
                      </c:pt>
                      <c:pt idx="31">
                        <c:v>7.4235807860262017</c:v>
                      </c:pt>
                    </c:numCache>
                  </c:numRef>
                </c:val>
                <c:extLst>
                  <c:ext xmlns:c16="http://schemas.microsoft.com/office/drawing/2014/chart" uri="{C3380CC4-5D6E-409C-BE32-E72D297353CC}">
                    <c16:uniqueId val="{00000021-F874-46F6-A54F-167D67DDF83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Sheet3!$E$3</c15:sqref>
                        </c15:formulaRef>
                      </c:ext>
                    </c:extLst>
                    <c:strCache>
                      <c:ptCount val="1"/>
                      <c:pt idx="0">
                        <c:v>deceased donor Tx</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Sheet3!$E$4:$E$35</c15:sqref>
                        </c15:formulaRef>
                      </c:ext>
                    </c:extLst>
                    <c:numCache>
                      <c:formatCode>0.0</c:formatCode>
                      <c:ptCount val="32"/>
                      <c:pt idx="0">
                        <c:v>0</c:v>
                      </c:pt>
                      <c:pt idx="1">
                        <c:v>0</c:v>
                      </c:pt>
                      <c:pt idx="3">
                        <c:v>11.111111111111111</c:v>
                      </c:pt>
                      <c:pt idx="4">
                        <c:v>0</c:v>
                      </c:pt>
                      <c:pt idx="6">
                        <c:v>4.5454545454545459</c:v>
                      </c:pt>
                      <c:pt idx="7">
                        <c:v>0</c:v>
                      </c:pt>
                      <c:pt idx="9">
                        <c:v>0</c:v>
                      </c:pt>
                      <c:pt idx="10">
                        <c:v>0</c:v>
                      </c:pt>
                      <c:pt idx="12">
                        <c:v>0</c:v>
                      </c:pt>
                      <c:pt idx="13">
                        <c:v>3.8461538461538463</c:v>
                      </c:pt>
                      <c:pt idx="15">
                        <c:v>3.6585365853658534</c:v>
                      </c:pt>
                      <c:pt idx="16">
                        <c:v>9.5744680851063837</c:v>
                      </c:pt>
                      <c:pt idx="18">
                        <c:v>0.98039215686274506</c:v>
                      </c:pt>
                      <c:pt idx="19">
                        <c:v>3.6363636363636362</c:v>
                      </c:pt>
                      <c:pt idx="21">
                        <c:v>3.225806451612903</c:v>
                      </c:pt>
                      <c:pt idx="22">
                        <c:v>3.8461538461538463</c:v>
                      </c:pt>
                      <c:pt idx="24">
                        <c:v>2.4390243902439024</c:v>
                      </c:pt>
                      <c:pt idx="25">
                        <c:v>4.6511627906976747</c:v>
                      </c:pt>
                      <c:pt idx="27">
                        <c:v>0</c:v>
                      </c:pt>
                      <c:pt idx="28">
                        <c:v>0</c:v>
                      </c:pt>
                      <c:pt idx="30">
                        <c:v>2.4943310657596371</c:v>
                      </c:pt>
                      <c:pt idx="31">
                        <c:v>3.7117903930131009</c:v>
                      </c:pt>
                    </c:numCache>
                  </c:numRef>
                </c:val>
                <c:extLst xmlns:c15="http://schemas.microsoft.com/office/drawing/2012/chart">
                  <c:ext xmlns:c16="http://schemas.microsoft.com/office/drawing/2014/chart" uri="{C3380CC4-5D6E-409C-BE32-E72D297353CC}">
                    <c16:uniqueId val="{00000022-F874-46F6-A54F-167D67DDF83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Sheet3!$F$4:$F$35</c15:sqref>
                        </c15:formulaRef>
                      </c:ext>
                    </c:extLst>
                    <c:numCache>
                      <c:formatCode>0.0</c:formatCode>
                      <c:ptCount val="32"/>
                      <c:pt idx="0">
                        <c:v>16.216216216216218</c:v>
                      </c:pt>
                      <c:pt idx="1">
                        <c:v>15.384615384615385</c:v>
                      </c:pt>
                      <c:pt idx="3">
                        <c:v>27.777777777777779</c:v>
                      </c:pt>
                      <c:pt idx="4">
                        <c:v>19.047619047619047</c:v>
                      </c:pt>
                      <c:pt idx="6">
                        <c:v>18.181818181818183</c:v>
                      </c:pt>
                      <c:pt idx="7">
                        <c:v>20.833333333333336</c:v>
                      </c:pt>
                      <c:pt idx="9">
                        <c:v>13.333333333333334</c:v>
                      </c:pt>
                      <c:pt idx="10">
                        <c:v>23.52941176470588</c:v>
                      </c:pt>
                      <c:pt idx="12">
                        <c:v>21.052631578947366</c:v>
                      </c:pt>
                      <c:pt idx="13">
                        <c:v>19.230769230769234</c:v>
                      </c:pt>
                      <c:pt idx="15">
                        <c:v>17.073170731707318</c:v>
                      </c:pt>
                      <c:pt idx="16">
                        <c:v>19.148936170212767</c:v>
                      </c:pt>
                      <c:pt idx="18">
                        <c:v>22.549019607843139</c:v>
                      </c:pt>
                      <c:pt idx="19">
                        <c:v>35.454545454545453</c:v>
                      </c:pt>
                      <c:pt idx="21">
                        <c:v>22.58064516129032</c:v>
                      </c:pt>
                      <c:pt idx="22">
                        <c:v>34.615384615384613</c:v>
                      </c:pt>
                      <c:pt idx="24">
                        <c:v>17.073170731707318</c:v>
                      </c:pt>
                      <c:pt idx="25">
                        <c:v>16.279069767441861</c:v>
                      </c:pt>
                      <c:pt idx="27">
                        <c:v>16.071428571428573</c:v>
                      </c:pt>
                      <c:pt idx="28">
                        <c:v>24</c:v>
                      </c:pt>
                      <c:pt idx="30">
                        <c:v>19.501133786848072</c:v>
                      </c:pt>
                      <c:pt idx="31">
                        <c:v>24.23580786026201</c:v>
                      </c:pt>
                    </c:numCache>
                  </c:numRef>
                </c:val>
                <c:extLst xmlns:c15="http://schemas.microsoft.com/office/drawing/2012/chart">
                  <c:ext xmlns:c16="http://schemas.microsoft.com/office/drawing/2014/chart" uri="{C3380CC4-5D6E-409C-BE32-E72D297353CC}">
                    <c16:uniqueId val="{00000023-F874-46F6-A54F-167D67DDF83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Sheet3!$G$4:$G$35</c15:sqref>
                        </c15:formulaRef>
                      </c:ext>
                    </c:extLst>
                    <c:numCache>
                      <c:formatCode>0.0</c:formatCode>
                      <c:ptCount val="32"/>
                      <c:pt idx="0">
                        <c:v>75.675675675675677</c:v>
                      </c:pt>
                      <c:pt idx="1">
                        <c:v>65.384615384615387</c:v>
                      </c:pt>
                      <c:pt idx="3">
                        <c:v>27.777777777777779</c:v>
                      </c:pt>
                      <c:pt idx="4">
                        <c:v>42.857142857142854</c:v>
                      </c:pt>
                      <c:pt idx="6">
                        <c:v>45.454545454545453</c:v>
                      </c:pt>
                      <c:pt idx="7">
                        <c:v>54.166666666666664</c:v>
                      </c:pt>
                      <c:pt idx="9">
                        <c:v>66.666666666666657</c:v>
                      </c:pt>
                      <c:pt idx="10">
                        <c:v>76.470588235294116</c:v>
                      </c:pt>
                      <c:pt idx="12">
                        <c:v>42.105263157894733</c:v>
                      </c:pt>
                      <c:pt idx="13">
                        <c:v>53.846153846153847</c:v>
                      </c:pt>
                      <c:pt idx="15">
                        <c:v>24.390243902439025</c:v>
                      </c:pt>
                      <c:pt idx="16">
                        <c:v>37.234042553191486</c:v>
                      </c:pt>
                      <c:pt idx="18">
                        <c:v>39.215686274509807</c:v>
                      </c:pt>
                      <c:pt idx="19">
                        <c:v>46.36363636363636</c:v>
                      </c:pt>
                      <c:pt idx="21">
                        <c:v>22.58064516129032</c:v>
                      </c:pt>
                      <c:pt idx="22">
                        <c:v>30.76923076923077</c:v>
                      </c:pt>
                      <c:pt idx="24">
                        <c:v>60.975609756097562</c:v>
                      </c:pt>
                      <c:pt idx="25">
                        <c:v>69.767441860465112</c:v>
                      </c:pt>
                      <c:pt idx="27">
                        <c:v>17.857142857142858</c:v>
                      </c:pt>
                      <c:pt idx="28">
                        <c:v>18</c:v>
                      </c:pt>
                      <c:pt idx="30">
                        <c:v>38.095238095238095</c:v>
                      </c:pt>
                      <c:pt idx="31">
                        <c:v>45.414847161572055</c:v>
                      </c:pt>
                    </c:numCache>
                  </c:numRef>
                </c:val>
                <c:extLst xmlns:c15="http://schemas.microsoft.com/office/drawing/2012/chart">
                  <c:ext xmlns:c16="http://schemas.microsoft.com/office/drawing/2014/chart" uri="{C3380CC4-5D6E-409C-BE32-E72D297353CC}">
                    <c16:uniqueId val="{00000024-F874-46F6-A54F-167D67DDF83F}"/>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a:t>
                </a:r>
                <a:r>
                  <a:rPr lang="en-AU" sz="800" baseline="0">
                    <a:latin typeface="Arial" panose="020B0604020202020204" pitchFamily="34" charset="0"/>
                    <a:cs typeface="Arial" panose="020B0604020202020204" pitchFamily="34" charset="0"/>
                  </a:rPr>
                  <a:t> of new RRT patients</a:t>
                </a:r>
                <a:endParaRPr lang="en-AU" sz="800">
                  <a:latin typeface="Arial" panose="020B0604020202020204" pitchFamily="34" charset="0"/>
                  <a:cs typeface="Arial" panose="020B0604020202020204" pitchFamily="34" charset="0"/>
                </a:endParaRPr>
              </a:p>
            </c:rich>
          </c:tx>
          <c:layout>
            <c:manualLayout>
              <c:xMode val="edge"/>
              <c:yMode val="edge"/>
              <c:x val="1.7620386632384397E-2"/>
              <c:y val="0.29613356549609382"/>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60936347681042E-2"/>
          <c:y val="0.11196556037971887"/>
          <c:w val="0.90722155614797551"/>
          <c:h val="0.71644712635219665"/>
        </c:manualLayout>
      </c:layout>
      <c:barChart>
        <c:barDir val="col"/>
        <c:grouping val="clustered"/>
        <c:varyColors val="0"/>
        <c:ser>
          <c:idx val="0"/>
          <c:order val="0"/>
          <c:tx>
            <c:strRef>
              <c:f>'KPI 1'!$AA$81</c:f>
              <c:strCache>
                <c:ptCount val="1"/>
                <c:pt idx="0">
                  <c:v>Dec-19</c:v>
                </c:pt>
              </c:strCache>
            </c:strRef>
          </c:tx>
          <c:spPr>
            <a:solidFill>
              <a:srgbClr val="007586"/>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1'!$AA$82:$AA$92</c:f>
              <c:numCache>
                <c:formatCode>0%</c:formatCode>
                <c:ptCount val="11"/>
                <c:pt idx="0">
                  <c:v>1</c:v>
                </c:pt>
                <c:pt idx="1">
                  <c:v>0.8571428571428571</c:v>
                </c:pt>
                <c:pt idx="2">
                  <c:v>1</c:v>
                </c:pt>
                <c:pt idx="3">
                  <c:v>0.89473684210526316</c:v>
                </c:pt>
                <c:pt idx="4">
                  <c:v>0.90740740740740744</c:v>
                </c:pt>
                <c:pt idx="5">
                  <c:v>0.86792452830188682</c:v>
                </c:pt>
                <c:pt idx="6">
                  <c:v>0.91176470588235292</c:v>
                </c:pt>
                <c:pt idx="7">
                  <c:v>1</c:v>
                </c:pt>
                <c:pt idx="8">
                  <c:v>0.83333333333333337</c:v>
                </c:pt>
                <c:pt idx="9">
                  <c:v>1</c:v>
                </c:pt>
                <c:pt idx="10">
                  <c:v>0.91935483870967738</c:v>
                </c:pt>
              </c:numCache>
            </c:numRef>
          </c:val>
          <c:extLst>
            <c:ext xmlns:c16="http://schemas.microsoft.com/office/drawing/2014/chart" uri="{C3380CC4-5D6E-409C-BE32-E72D297353CC}">
              <c16:uniqueId val="{00000000-4508-4222-8DF0-C1D31A0075F4}"/>
            </c:ext>
          </c:extLst>
        </c:ser>
        <c:ser>
          <c:idx val="1"/>
          <c:order val="1"/>
          <c:tx>
            <c:strRef>
              <c:f>'KPI 1'!$O$81</c:f>
              <c:strCache>
                <c:ptCount val="1"/>
                <c:pt idx="0">
                  <c:v>Dec-20</c:v>
                </c:pt>
              </c:strCache>
            </c:strRef>
          </c:tx>
          <c:spPr>
            <a:solidFill>
              <a:srgbClr val="4098A4"/>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1'!$O$82:$O$92</c:f>
              <c:numCache>
                <c:formatCode>0%</c:formatCode>
                <c:ptCount val="11"/>
                <c:pt idx="0">
                  <c:v>0.94339622641509435</c:v>
                </c:pt>
                <c:pt idx="1">
                  <c:v>0.9285714285714286</c:v>
                </c:pt>
                <c:pt idx="2">
                  <c:v>0.97142857142857142</c:v>
                </c:pt>
                <c:pt idx="3">
                  <c:v>0.97142857142857142</c:v>
                </c:pt>
                <c:pt idx="4">
                  <c:v>0.86842105263157898</c:v>
                </c:pt>
                <c:pt idx="5">
                  <c:v>0.93333333333333335</c:v>
                </c:pt>
                <c:pt idx="6">
                  <c:v>0.97931034482758617</c:v>
                </c:pt>
                <c:pt idx="7">
                  <c:v>1</c:v>
                </c:pt>
                <c:pt idx="8">
                  <c:v>0.96666666666666667</c:v>
                </c:pt>
                <c:pt idx="9">
                  <c:v>0.96923076923076923</c:v>
                </c:pt>
                <c:pt idx="10">
                  <c:v>0.95559210526315785</c:v>
                </c:pt>
              </c:numCache>
            </c:numRef>
          </c:val>
          <c:extLst>
            <c:ext xmlns:c16="http://schemas.microsoft.com/office/drawing/2014/chart" uri="{C3380CC4-5D6E-409C-BE32-E72D297353CC}">
              <c16:uniqueId val="{00000001-4508-4222-8DF0-C1D31A0075F4}"/>
            </c:ext>
          </c:extLst>
        </c:ser>
        <c:ser>
          <c:idx val="2"/>
          <c:order val="2"/>
          <c:tx>
            <c:strRef>
              <c:f>'KPI 1'!$C$81</c:f>
              <c:strCache>
                <c:ptCount val="1"/>
                <c:pt idx="0">
                  <c:v>Dec-21</c:v>
                </c:pt>
              </c:strCache>
            </c:strRef>
          </c:tx>
          <c:spPr>
            <a:solidFill>
              <a:srgbClr val="BFDDE1"/>
            </a:solidFill>
          </c:spPr>
          <c:invertIfNegative val="0"/>
          <c:cat>
            <c:strRef>
              <c:f>'KPI 1'!$B$82:$B$92</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 average</c:v>
                </c:pt>
              </c:strCache>
            </c:strRef>
          </c:cat>
          <c:val>
            <c:numRef>
              <c:f>'KPI 1'!$C$82:$C$92</c:f>
              <c:numCache>
                <c:formatCode>0%</c:formatCode>
                <c:ptCount val="11"/>
                <c:pt idx="0">
                  <c:v>0.87755102040816324</c:v>
                </c:pt>
                <c:pt idx="1">
                  <c:v>0.94230769230769229</c:v>
                </c:pt>
                <c:pt idx="2">
                  <c:v>1</c:v>
                </c:pt>
                <c:pt idx="3">
                  <c:v>1</c:v>
                </c:pt>
                <c:pt idx="4">
                  <c:v>0.94736842105263153</c:v>
                </c:pt>
                <c:pt idx="5">
                  <c:v>0.92660550458715596</c:v>
                </c:pt>
                <c:pt idx="6">
                  <c:v>0.94573643410852715</c:v>
                </c:pt>
                <c:pt idx="7">
                  <c:v>0.95744680851063835</c:v>
                </c:pt>
                <c:pt idx="8">
                  <c:v>0.90697674418604646</c:v>
                </c:pt>
                <c:pt idx="9">
                  <c:v>1</c:v>
                </c:pt>
                <c:pt idx="10">
                  <c:v>0.93802345058626468</c:v>
                </c:pt>
              </c:numCache>
            </c:numRef>
          </c:val>
          <c:extLst>
            <c:ext xmlns:c16="http://schemas.microsoft.com/office/drawing/2014/chart" uri="{C3380CC4-5D6E-409C-BE32-E72D297353CC}">
              <c16:uniqueId val="{00000002-4508-4222-8DF0-C1D31A0075F4}"/>
            </c:ext>
          </c:extLst>
        </c:ser>
        <c:dLbls>
          <c:showLegendKey val="0"/>
          <c:showVal val="0"/>
          <c:showCatName val="0"/>
          <c:showSerName val="0"/>
          <c:showPercent val="0"/>
          <c:showBubbleSize val="0"/>
        </c:dLbls>
        <c:gapWidth val="150"/>
        <c:axId val="47292800"/>
        <c:axId val="47294720"/>
      </c:barChart>
      <c:catAx>
        <c:axId val="47292800"/>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7294720"/>
        <c:crosses val="autoZero"/>
        <c:auto val="1"/>
        <c:lblAlgn val="ctr"/>
        <c:lblOffset val="100"/>
        <c:noMultiLvlLbl val="0"/>
      </c:catAx>
      <c:valAx>
        <c:axId val="47294720"/>
        <c:scaling>
          <c:orientation val="minMax"/>
          <c:max val="1"/>
          <c:min val="0.5"/>
        </c:scaling>
        <c:delete val="0"/>
        <c:axPos val="l"/>
        <c:majorGridlines/>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7292800"/>
        <c:crosses val="autoZero"/>
        <c:crossBetween val="between"/>
      </c:valAx>
      <c:spPr>
        <a:ln>
          <a:solidFill>
            <a:srgbClr val="FFFFFF">
              <a:lumMod val="85000"/>
            </a:srgbClr>
          </a:solidFill>
        </a:ln>
      </c:spPr>
    </c:plotArea>
    <c:legend>
      <c:legendPos val="r"/>
      <c:layout>
        <c:manualLayout>
          <c:xMode val="edge"/>
          <c:yMode val="edge"/>
          <c:x val="0.30930903651832475"/>
          <c:y val="0.92262070182403666"/>
          <c:w val="0.36406188177423432"/>
          <c:h val="5.1116919208628361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60701736953911E-2"/>
          <c:y val="7.5116270512914862E-2"/>
          <c:w val="0.92162977180760175"/>
          <c:h val="0.71502869968356764"/>
        </c:manualLayout>
      </c:layout>
      <c:barChart>
        <c:barDir val="col"/>
        <c:grouping val="clustered"/>
        <c:varyColors val="0"/>
        <c:ser>
          <c:idx val="0"/>
          <c:order val="0"/>
          <c:tx>
            <c:strRef>
              <c:f>'KPI2-12MonthRolling'!$C$87</c:f>
              <c:strCache>
                <c:ptCount val="1"/>
                <c:pt idx="0">
                  <c:v>Dec-21</c:v>
                </c:pt>
              </c:strCache>
            </c:strRef>
          </c:tx>
          <c:spPr>
            <a:solidFill>
              <a:srgbClr val="007586"/>
            </a:solidFill>
          </c:spPr>
          <c:invertIfNegative val="0"/>
          <c:errBars>
            <c:errBarType val="both"/>
            <c:errValType val="cust"/>
            <c:noEndCap val="0"/>
            <c:plus>
              <c:numRef>
                <c:f>'KPI2-12MonthRolling'!$EA$88:$EA$98</c:f>
                <c:numCache>
                  <c:formatCode>General</c:formatCode>
                  <c:ptCount val="11"/>
                  <c:pt idx="0">
                    <c:v>4.5499846514797042E-2</c:v>
                  </c:pt>
                  <c:pt idx="1">
                    <c:v>4.2820731731771068E-2</c:v>
                  </c:pt>
                  <c:pt idx="2">
                    <c:v>5.7632831045371154E-2</c:v>
                  </c:pt>
                  <c:pt idx="3">
                    <c:v>0.11695775952816662</c:v>
                  </c:pt>
                  <c:pt idx="4">
                    <c:v>2.3049813261853371E-2</c:v>
                  </c:pt>
                  <c:pt idx="5">
                    <c:v>2.3850157377947923E-2</c:v>
                  </c:pt>
                  <c:pt idx="6">
                    <c:v>6.791196484486671E-2</c:v>
                  </c:pt>
                  <c:pt idx="7">
                    <c:v>5.5042334490599434E-2</c:v>
                  </c:pt>
                  <c:pt idx="8">
                    <c:v>8.2677300028688602E-2</c:v>
                  </c:pt>
                  <c:pt idx="9">
                    <c:v>2.9289142148121301E-2</c:v>
                  </c:pt>
                  <c:pt idx="10">
                    <c:v>3.4305691577332376E-2</c:v>
                  </c:pt>
                </c:numCache>
              </c:numRef>
            </c:plus>
            <c:minus>
              <c:numRef>
                <c:f>'KPI2-12MonthRolling'!$EA$88:$EA$98</c:f>
                <c:numCache>
                  <c:formatCode>General</c:formatCode>
                  <c:ptCount val="11"/>
                  <c:pt idx="0">
                    <c:v>4.5499846514797042E-2</c:v>
                  </c:pt>
                  <c:pt idx="1">
                    <c:v>4.2820731731771068E-2</c:v>
                  </c:pt>
                  <c:pt idx="2">
                    <c:v>5.7632831045371154E-2</c:v>
                  </c:pt>
                  <c:pt idx="3">
                    <c:v>0.11695775952816662</c:v>
                  </c:pt>
                  <c:pt idx="4">
                    <c:v>2.3049813261853371E-2</c:v>
                  </c:pt>
                  <c:pt idx="5">
                    <c:v>2.3850157377947923E-2</c:v>
                  </c:pt>
                  <c:pt idx="6">
                    <c:v>6.791196484486671E-2</c:v>
                  </c:pt>
                  <c:pt idx="7">
                    <c:v>5.5042334490599434E-2</c:v>
                  </c:pt>
                  <c:pt idx="8">
                    <c:v>8.2677300028688602E-2</c:v>
                  </c:pt>
                  <c:pt idx="9">
                    <c:v>2.9289142148121301E-2</c:v>
                  </c:pt>
                  <c:pt idx="10">
                    <c:v>3.4305691577332376E-2</c:v>
                  </c:pt>
                </c:numCache>
              </c:numRef>
            </c:minus>
          </c:errBars>
          <c:cat>
            <c:strRef>
              <c:f>'KPI2-12MonthRolling'!$A$88:$A$98</c:f>
              <c:strCache>
                <c:ptCount val="11"/>
                <c:pt idx="0">
                  <c:v>Alfred           (20)</c:v>
                </c:pt>
                <c:pt idx="1">
                  <c:v>Austin           (40)</c:v>
                </c:pt>
                <c:pt idx="2">
                  <c:v>Barwon           (19)</c:v>
                </c:pt>
                <c:pt idx="3">
                  <c:v>Bendigo           (14)</c:v>
                </c:pt>
                <c:pt idx="4">
                  <c:v>Eastern           (37)</c:v>
                </c:pt>
                <c:pt idx="5">
                  <c:v>Melbourne           (91)</c:v>
                </c:pt>
                <c:pt idx="6">
                  <c:v>Monash           (115)</c:v>
                </c:pt>
                <c:pt idx="7">
                  <c:v>Northern           (41)</c:v>
                </c:pt>
                <c:pt idx="8">
                  <c:v>St Vincents           (28)</c:v>
                </c:pt>
                <c:pt idx="9">
                  <c:v>Western           (43)</c:v>
                </c:pt>
                <c:pt idx="10">
                  <c:v>State           (448)</c:v>
                </c:pt>
              </c:strCache>
            </c:strRef>
          </c:cat>
          <c:val>
            <c:numRef>
              <c:f>'KPI2-12MonthRolling'!$C$88:$C$98</c:f>
              <c:numCache>
                <c:formatCode>0.0%</c:formatCode>
                <c:ptCount val="11"/>
                <c:pt idx="0">
                  <c:v>0.55000000000000004</c:v>
                </c:pt>
                <c:pt idx="1">
                  <c:v>0.5</c:v>
                </c:pt>
                <c:pt idx="2">
                  <c:v>0.68421052631578949</c:v>
                </c:pt>
                <c:pt idx="3">
                  <c:v>0.5714285714285714</c:v>
                </c:pt>
                <c:pt idx="4">
                  <c:v>0.51351351351351349</c:v>
                </c:pt>
                <c:pt idx="5">
                  <c:v>0.49450549450549453</c:v>
                </c:pt>
                <c:pt idx="6">
                  <c:v>0.5043478260869565</c:v>
                </c:pt>
                <c:pt idx="7">
                  <c:v>0.58536585365853655</c:v>
                </c:pt>
                <c:pt idx="8">
                  <c:v>0.35714285714285715</c:v>
                </c:pt>
                <c:pt idx="9">
                  <c:v>0.53488372093023251</c:v>
                </c:pt>
                <c:pt idx="10">
                  <c:v>0.515625</c:v>
                </c:pt>
              </c:numCache>
            </c:numRef>
          </c:val>
          <c:extLst>
            <c:ext xmlns:c16="http://schemas.microsoft.com/office/drawing/2014/chart" uri="{C3380CC4-5D6E-409C-BE32-E72D297353CC}">
              <c16:uniqueId val="{00000000-587A-4132-8D1C-0C15A562E662}"/>
            </c:ext>
          </c:extLst>
        </c:ser>
        <c:dLbls>
          <c:showLegendKey val="0"/>
          <c:showVal val="0"/>
          <c:showCatName val="0"/>
          <c:showSerName val="0"/>
          <c:showPercent val="0"/>
          <c:showBubbleSize val="0"/>
        </c:dLbls>
        <c:gapWidth val="150"/>
        <c:axId val="134737920"/>
        <c:axId val="134739840"/>
      </c:barChart>
      <c:catAx>
        <c:axId val="134737920"/>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134739840"/>
        <c:crosses val="autoZero"/>
        <c:auto val="1"/>
        <c:lblAlgn val="ctr"/>
        <c:lblOffset val="100"/>
        <c:noMultiLvlLbl val="0"/>
      </c:catAx>
      <c:valAx>
        <c:axId val="134739840"/>
        <c:scaling>
          <c:orientation val="minMax"/>
          <c:max val="0.8"/>
        </c:scaling>
        <c:delete val="0"/>
        <c:axPos val="l"/>
        <c:majorGridlines/>
        <c:numFmt formatCode="0%" sourceLinked="0"/>
        <c:majorTickMark val="out"/>
        <c:minorTickMark val="none"/>
        <c:tickLblPos val="nextTo"/>
        <c:txPr>
          <a:bodyPr/>
          <a:lstStyle/>
          <a:p>
            <a:pPr>
              <a:defRPr sz="800">
                <a:latin typeface="+mn-lt"/>
              </a:defRPr>
            </a:pPr>
            <a:endParaRPr lang="en-US"/>
          </a:p>
        </c:txPr>
        <c:crossAx val="13473792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58939369152746E-2"/>
          <c:y val="0.1003330752487108"/>
          <c:w val="0.89451759684033416"/>
          <c:h val="0.71845669291338587"/>
        </c:manualLayout>
      </c:layout>
      <c:barChart>
        <c:barDir val="col"/>
        <c:grouping val="clustered"/>
        <c:varyColors val="0"/>
        <c:ser>
          <c:idx val="0"/>
          <c:order val="0"/>
          <c:tx>
            <c:strRef>
              <c:f>'KPI2-12MonthRolling'!$AA$61</c:f>
              <c:strCache>
                <c:ptCount val="1"/>
                <c:pt idx="0">
                  <c:v>Dec-19</c:v>
                </c:pt>
              </c:strCache>
            </c:strRef>
          </c:tx>
          <c:spPr>
            <a:solidFill>
              <a:srgbClr val="007586"/>
            </a:solidFill>
          </c:spPr>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'KPI2-12MonthRolling'!$AA$88:$AA$98</c:f>
              <c:numCache>
                <c:formatCode>0.0%</c:formatCode>
                <c:ptCount val="11"/>
                <c:pt idx="0">
                  <c:v>0.55172413793103448</c:v>
                </c:pt>
                <c:pt idx="1">
                  <c:v>0.4</c:v>
                </c:pt>
                <c:pt idx="2">
                  <c:v>0.44444444444444442</c:v>
                </c:pt>
                <c:pt idx="3">
                  <c:v>0.53846153846153844</c:v>
                </c:pt>
                <c:pt idx="4">
                  <c:v>0.51515151515151514</c:v>
                </c:pt>
                <c:pt idx="5">
                  <c:v>0.50649350649350644</c:v>
                </c:pt>
                <c:pt idx="6">
                  <c:v>0.52475247524752477</c:v>
                </c:pt>
                <c:pt idx="7">
                  <c:v>0.59090909090909094</c:v>
                </c:pt>
                <c:pt idx="8">
                  <c:v>0.5</c:v>
                </c:pt>
                <c:pt idx="9">
                  <c:v>0.58064516129032262</c:v>
                </c:pt>
                <c:pt idx="10">
                  <c:v>0.5186170212765957</c:v>
                </c:pt>
              </c:numCache>
            </c:numRef>
          </c:val>
          <c:extLst>
            <c:ext xmlns:c16="http://schemas.microsoft.com/office/drawing/2014/chart" uri="{C3380CC4-5D6E-409C-BE32-E72D297353CC}">
              <c16:uniqueId val="{00000000-2C1B-4082-99FB-CC8299EA8AA7}"/>
            </c:ext>
          </c:extLst>
        </c:ser>
        <c:ser>
          <c:idx val="1"/>
          <c:order val="1"/>
          <c:tx>
            <c:strRef>
              <c:f>'KPI2-12MonthRolling'!$O$87</c:f>
              <c:strCache>
                <c:ptCount val="1"/>
                <c:pt idx="0">
                  <c:v>Dec-20</c:v>
                </c:pt>
              </c:strCache>
            </c:strRef>
          </c:tx>
          <c:spPr>
            <a:solidFill>
              <a:srgbClr val="4098A4"/>
            </a:solidFill>
          </c:spPr>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'KPI2-12MonthRolling'!$O$88:$O$98</c:f>
              <c:numCache>
                <c:formatCode>0.0%</c:formatCode>
                <c:ptCount val="11"/>
                <c:pt idx="0">
                  <c:v>0.66666666666666663</c:v>
                </c:pt>
                <c:pt idx="1">
                  <c:v>0.60526315789473684</c:v>
                </c:pt>
                <c:pt idx="2">
                  <c:v>0.5714285714285714</c:v>
                </c:pt>
                <c:pt idx="3">
                  <c:v>0.33333333333333331</c:v>
                </c:pt>
                <c:pt idx="4">
                  <c:v>0.60606060606060608</c:v>
                </c:pt>
                <c:pt idx="5">
                  <c:v>0.57499999999999996</c:v>
                </c:pt>
                <c:pt idx="6">
                  <c:v>0.69655172413793098</c:v>
                </c:pt>
                <c:pt idx="7">
                  <c:v>0.63888888888888884</c:v>
                </c:pt>
                <c:pt idx="8">
                  <c:v>0.52941176470588236</c:v>
                </c:pt>
                <c:pt idx="9">
                  <c:v>0.66666666666666663</c:v>
                </c:pt>
                <c:pt idx="10">
                  <c:v>0.62217659137576997</c:v>
                </c:pt>
              </c:numCache>
            </c:numRef>
          </c:val>
          <c:extLst>
            <c:ext xmlns:c16="http://schemas.microsoft.com/office/drawing/2014/chart" uri="{C3380CC4-5D6E-409C-BE32-E72D297353CC}">
              <c16:uniqueId val="{00000001-2C1B-4082-99FB-CC8299EA8AA7}"/>
            </c:ext>
          </c:extLst>
        </c:ser>
        <c:ser>
          <c:idx val="2"/>
          <c:order val="2"/>
          <c:tx>
            <c:strRef>
              <c:f>'KPI2-12MonthRolling'!$C$87</c:f>
              <c:strCache>
                <c:ptCount val="1"/>
                <c:pt idx="0">
                  <c:v>Dec-21</c:v>
                </c:pt>
              </c:strCache>
            </c:strRef>
          </c:tx>
          <c:spPr>
            <a:solidFill>
              <a:srgbClr val="BFDDE1"/>
            </a:solidFill>
          </c:spPr>
          <c:invertIfNegative val="0"/>
          <c:cat>
            <c:strRef>
              <c:f>'[1]KPI 2'!$B$85:$B$95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'KPI2-12MonthRolling'!$C$88:$C$98</c:f>
              <c:numCache>
                <c:formatCode>0.0%</c:formatCode>
                <c:ptCount val="11"/>
                <c:pt idx="0">
                  <c:v>0.55000000000000004</c:v>
                </c:pt>
                <c:pt idx="1">
                  <c:v>0.5</c:v>
                </c:pt>
                <c:pt idx="2">
                  <c:v>0.68421052631578949</c:v>
                </c:pt>
                <c:pt idx="3">
                  <c:v>0.5714285714285714</c:v>
                </c:pt>
                <c:pt idx="4">
                  <c:v>0.51351351351351349</c:v>
                </c:pt>
                <c:pt idx="5">
                  <c:v>0.49450549450549453</c:v>
                </c:pt>
                <c:pt idx="6">
                  <c:v>0.5043478260869565</c:v>
                </c:pt>
                <c:pt idx="7">
                  <c:v>0.58536585365853655</c:v>
                </c:pt>
                <c:pt idx="8">
                  <c:v>0.35714285714285715</c:v>
                </c:pt>
                <c:pt idx="9">
                  <c:v>0.53488372093023251</c:v>
                </c:pt>
                <c:pt idx="10">
                  <c:v>0.515625</c:v>
                </c:pt>
              </c:numCache>
            </c:numRef>
          </c:val>
          <c:extLst>
            <c:ext xmlns:c16="http://schemas.microsoft.com/office/drawing/2014/chart" uri="{C3380CC4-5D6E-409C-BE32-E72D297353CC}">
              <c16:uniqueId val="{00000002-2C1B-4082-99FB-CC8299EA8AA7}"/>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txPr>
          <a:bodyPr/>
          <a:lstStyle/>
          <a:p>
            <a:pPr>
              <a:defRPr sz="800">
                <a:latin typeface="+mn-lt"/>
              </a:defRPr>
            </a:pPr>
            <a:endParaRPr lang="en-US"/>
          </a:p>
        </c:txPr>
        <c:crossAx val="47267840"/>
        <c:crosses val="autoZero"/>
        <c:auto val="1"/>
        <c:lblAlgn val="ctr"/>
        <c:lblOffset val="100"/>
        <c:noMultiLvlLbl val="0"/>
      </c:catAx>
      <c:valAx>
        <c:axId val="47267840"/>
        <c:scaling>
          <c:orientation val="minMax"/>
        </c:scaling>
        <c:delete val="0"/>
        <c:axPos val="l"/>
        <c:majorGridlines/>
        <c:numFmt formatCode="0%" sourceLinked="0"/>
        <c:majorTickMark val="out"/>
        <c:minorTickMark val="none"/>
        <c:tickLblPos val="nextTo"/>
        <c:txPr>
          <a:bodyPr/>
          <a:lstStyle/>
          <a:p>
            <a:pPr>
              <a:defRPr sz="800">
                <a:latin typeface="+mn-lt"/>
              </a:defRPr>
            </a:pPr>
            <a:endParaRPr lang="en-US"/>
          </a:p>
        </c:txPr>
        <c:crossAx val="47266048"/>
        <c:crosses val="autoZero"/>
        <c:crossBetween val="between"/>
      </c:valAx>
    </c:plotArea>
    <c:legend>
      <c:legendPos val="r"/>
      <c:layout>
        <c:manualLayout>
          <c:xMode val="edge"/>
          <c:yMode val="edge"/>
          <c:x val="9.5345029601432707E-2"/>
          <c:y val="0.92824828714592478"/>
          <c:w val="0.78589013960135667"/>
          <c:h val="5.7788935473974852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'Home Dialysis by HS'!$B$30</c:f>
              <c:strCache>
                <c:ptCount val="1"/>
                <c:pt idx="0">
                  <c:v>Home dialysis%</c:v>
                </c:pt>
              </c:strCache>
            </c:strRef>
          </c:tx>
          <c:spPr>
            <a:solidFill>
              <a:srgbClr val="007586"/>
            </a:solidFill>
            <a:ln>
              <a:noFill/>
            </a:ln>
            <a:effectLst/>
          </c:spPr>
          <c:invertIfNegative val="0"/>
          <c:cat>
            <c:strRef>
              <c:f>'Home Dialysis by HS'!$A$31:$A$41</c:f>
              <c:strCache>
                <c:ptCount val="11"/>
                <c:pt idx="0">
                  <c:v>Alfred    (103)</c:v>
                </c:pt>
                <c:pt idx="1">
                  <c:v>Austin   (64)</c:v>
                </c:pt>
                <c:pt idx="2">
                  <c:v>Barwon (57)</c:v>
                </c:pt>
                <c:pt idx="3">
                  <c:v>Bendigo (43)</c:v>
                </c:pt>
                <c:pt idx="4">
                  <c:v>Eastern (62)</c:v>
                </c:pt>
                <c:pt idx="5">
                  <c:v>Melbourne (132)</c:v>
                </c:pt>
                <c:pt idx="6">
                  <c:v>Monash (190)</c:v>
                </c:pt>
                <c:pt idx="7">
                  <c:v>Northern (42)</c:v>
                </c:pt>
                <c:pt idx="8">
                  <c:v>St Vincents (85)</c:v>
                </c:pt>
                <c:pt idx="9">
                  <c:v>Western (107)</c:v>
                </c:pt>
                <c:pt idx="10">
                  <c:v>State</c:v>
                </c:pt>
              </c:strCache>
            </c:strRef>
          </c:cat>
          <c:val>
            <c:numRef>
              <c:f>'Home Dialysis by HS'!$B$31:$B$41</c:f>
              <c:numCache>
                <c:formatCode>General</c:formatCode>
                <c:ptCount val="11"/>
                <c:pt idx="0">
                  <c:v>31</c:v>
                </c:pt>
                <c:pt idx="1">
                  <c:v>21</c:v>
                </c:pt>
                <c:pt idx="2">
                  <c:v>34</c:v>
                </c:pt>
                <c:pt idx="3">
                  <c:v>36</c:v>
                </c:pt>
                <c:pt idx="4">
                  <c:v>25</c:v>
                </c:pt>
                <c:pt idx="5">
                  <c:v>23</c:v>
                </c:pt>
                <c:pt idx="6">
                  <c:v>27</c:v>
                </c:pt>
                <c:pt idx="7">
                  <c:v>25</c:v>
                </c:pt>
                <c:pt idx="8">
                  <c:v>28</c:v>
                </c:pt>
                <c:pt idx="9">
                  <c:v>28</c:v>
                </c:pt>
                <c:pt idx="10">
                  <c:v>27</c:v>
                </c:pt>
              </c:numCache>
            </c:numRef>
          </c:val>
          <c:extLst>
            <c:ext xmlns:c16="http://schemas.microsoft.com/office/drawing/2014/chart" uri="{C3380CC4-5D6E-409C-BE32-E72D297353CC}">
              <c16:uniqueId val="{00000000-3B96-49D0-B688-CED1D339826F}"/>
            </c:ext>
          </c:extLst>
        </c:ser>
        <c:dLbls>
          <c:showLegendKey val="0"/>
          <c:showVal val="0"/>
          <c:showCatName val="0"/>
          <c:showSerName val="0"/>
          <c:showPercent val="0"/>
          <c:showBubbleSize val="0"/>
        </c:dLbls>
        <c:gapWidth val="219"/>
        <c:overlap val="-27"/>
        <c:axId val="594800520"/>
        <c:axId val="594798880"/>
      </c:barChart>
      <c:catAx>
        <c:axId val="59480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94798880"/>
        <c:crosses val="autoZero"/>
        <c:auto val="1"/>
        <c:lblAlgn val="ctr"/>
        <c:lblOffset val="100"/>
        <c:noMultiLvlLbl val="0"/>
      </c:catAx>
      <c:valAx>
        <c:axId val="59479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Home</a:t>
                </a:r>
                <a:r>
                  <a:rPr lang="en-AU" sz="800" baseline="0">
                    <a:latin typeface="Arial" panose="020B0604020202020204" pitchFamily="34" charset="0"/>
                    <a:cs typeface="Arial" panose="020B0604020202020204" pitchFamily="34" charset="0"/>
                  </a:rPr>
                  <a:t> dialysis as % of all dialysis patients</a:t>
                </a:r>
                <a:endParaRPr lang="en-AU"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800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42153625483715E-2"/>
          <c:y val="0.12485921402681807"/>
          <c:w val="0.91282400861342083"/>
          <c:h val="0.69694595668123083"/>
        </c:manualLayout>
      </c:layout>
      <c:barChart>
        <c:barDir val="col"/>
        <c:grouping val="clustered"/>
        <c:varyColors val="0"/>
        <c:ser>
          <c:idx val="1"/>
          <c:order val="0"/>
          <c:tx>
            <c:strRef>
              <c:f>'KPI 4'!$C$64</c:f>
              <c:strCache>
                <c:ptCount val="1"/>
                <c:pt idx="0">
                  <c:v>Dec-21</c:v>
                </c:pt>
              </c:strCache>
            </c:strRef>
          </c:tx>
          <c:spPr>
            <a:solidFill>
              <a:srgbClr val="007586"/>
            </a:solidFill>
          </c:spPr>
          <c:invertIfNegative val="0"/>
          <c:dPt>
            <c:idx val="1"/>
            <c:invertIfNegative val="0"/>
            <c:bubble3D val="0"/>
            <c:extLst>
              <c:ext xmlns:c16="http://schemas.microsoft.com/office/drawing/2014/chart" uri="{C3380CC4-5D6E-409C-BE32-E72D297353CC}">
                <c16:uniqueId val="{00000000-2FE3-42D2-A710-5DD3DDF6D027}"/>
              </c:ext>
            </c:extLst>
          </c:dPt>
          <c:dPt>
            <c:idx val="7"/>
            <c:invertIfNegative val="0"/>
            <c:bubble3D val="0"/>
            <c:spPr>
              <a:solidFill>
                <a:srgbClr val="BFDDE1"/>
              </a:solidFill>
            </c:spPr>
            <c:extLst>
              <c:ext xmlns:c16="http://schemas.microsoft.com/office/drawing/2014/chart" uri="{C3380CC4-5D6E-409C-BE32-E72D297353CC}">
                <c16:uniqueId val="{00000001-32A4-4790-98F3-57084CE8B3D4}"/>
              </c:ext>
            </c:extLst>
          </c:dPt>
          <c:errBars>
            <c:errBarType val="both"/>
            <c:errValType val="cust"/>
            <c:noEndCap val="0"/>
            <c:plus>
              <c:numRef>
                <c:f>'KPI 4'!$DY$65:$DY$75</c:f>
                <c:numCache>
                  <c:formatCode>General</c:formatCode>
                  <c:ptCount val="11"/>
                  <c:pt idx="0">
                    <c:v>1.9966514411517939E-2</c:v>
                  </c:pt>
                  <c:pt idx="1">
                    <c:v>7.4444539050675482E-2</c:v>
                  </c:pt>
                  <c:pt idx="2">
                    <c:v>5.6698643137334775E-2</c:v>
                  </c:pt>
                  <c:pt idx="3">
                    <c:v>5.0913766227657392E-2</c:v>
                  </c:pt>
                  <c:pt idx="4">
                    <c:v>5.0030773613738116E-2</c:v>
                  </c:pt>
                  <c:pt idx="5">
                    <c:v>5.1267622340185788E-2</c:v>
                  </c:pt>
                  <c:pt idx="6">
                    <c:v>5.9857426464942527E-2</c:v>
                  </c:pt>
                  <c:pt idx="7">
                    <c:v>7.0101309838841691E-2</c:v>
                  </c:pt>
                  <c:pt idx="8">
                    <c:v>3.4548240282707761E-2</c:v>
                  </c:pt>
                  <c:pt idx="9">
                    <c:v>1.6559547124078509E-2</c:v>
                  </c:pt>
                  <c:pt idx="10">
                    <c:v>8.0808726588555754E-3</c:v>
                  </c:pt>
                </c:numCache>
              </c:numRef>
            </c:plus>
            <c:minus>
              <c:numRef>
                <c:f>'KPI 4'!$DY$65:$DY$75</c:f>
                <c:numCache>
                  <c:formatCode>General</c:formatCode>
                  <c:ptCount val="11"/>
                  <c:pt idx="0">
                    <c:v>1.9966514411517939E-2</c:v>
                  </c:pt>
                  <c:pt idx="1">
                    <c:v>7.4444539050675482E-2</c:v>
                  </c:pt>
                  <c:pt idx="2">
                    <c:v>5.6698643137334775E-2</c:v>
                  </c:pt>
                  <c:pt idx="3">
                    <c:v>5.0913766227657392E-2</c:v>
                  </c:pt>
                  <c:pt idx="4">
                    <c:v>5.0030773613738116E-2</c:v>
                  </c:pt>
                  <c:pt idx="5">
                    <c:v>5.1267622340185788E-2</c:v>
                  </c:pt>
                  <c:pt idx="6">
                    <c:v>5.9857426464942527E-2</c:v>
                  </c:pt>
                  <c:pt idx="7">
                    <c:v>7.0101309838841691E-2</c:v>
                  </c:pt>
                  <c:pt idx="8">
                    <c:v>3.4548240282707761E-2</c:v>
                  </c:pt>
                  <c:pt idx="9">
                    <c:v>1.6559547124078509E-2</c:v>
                  </c:pt>
                  <c:pt idx="10">
                    <c:v>8.0808726588555754E-3</c:v>
                  </c:pt>
                </c:numCache>
              </c:numRef>
            </c:minus>
          </c:errBars>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4'!$C$65:$C$75</c:f>
              <c:numCache>
                <c:formatCode>0.000</c:formatCode>
                <c:ptCount val="11"/>
                <c:pt idx="0">
                  <c:v>0.14962593516209477</c:v>
                </c:pt>
                <c:pt idx="1">
                  <c:v>7.3086058834277379E-2</c:v>
                </c:pt>
                <c:pt idx="2">
                  <c:v>0.17870439314966491</c:v>
                </c:pt>
                <c:pt idx="3">
                  <c:v>0.12820512820512819</c:v>
                </c:pt>
                <c:pt idx="4">
                  <c:v>0.21398956800855959</c:v>
                </c:pt>
                <c:pt idx="5">
                  <c:v>0.10597586105387106</c:v>
                </c:pt>
                <c:pt idx="6">
                  <c:v>0.10374830033561001</c:v>
                </c:pt>
                <c:pt idx="7">
                  <c:v>0.34196891191709849</c:v>
                </c:pt>
                <c:pt idx="8">
                  <c:v>0.13174145738987239</c:v>
                </c:pt>
                <c:pt idx="9">
                  <c:v>0.12127745586848135</c:v>
                </c:pt>
                <c:pt idx="10">
                  <c:v>0.20204260800660645</c:v>
                </c:pt>
              </c:numCache>
            </c:numRef>
          </c:val>
          <c:extLst>
            <c:ext xmlns:c16="http://schemas.microsoft.com/office/drawing/2014/chart" uri="{C3380CC4-5D6E-409C-BE32-E72D297353CC}">
              <c16:uniqueId val="{00000001-2FE3-42D2-A710-5DD3DDF6D027}"/>
            </c:ext>
          </c:extLst>
        </c:ser>
        <c:dLbls>
          <c:showLegendKey val="0"/>
          <c:showVal val="0"/>
          <c:showCatName val="0"/>
          <c:showSerName val="0"/>
          <c:showPercent val="0"/>
          <c:showBubbleSize val="0"/>
        </c:dLbls>
        <c:gapWidth val="150"/>
        <c:axId val="47220992"/>
        <c:axId val="47239168"/>
      </c:barChart>
      <c:catAx>
        <c:axId val="47220992"/>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7239168"/>
        <c:crosses val="autoZero"/>
        <c:auto val="1"/>
        <c:lblAlgn val="ctr"/>
        <c:lblOffset val="100"/>
        <c:noMultiLvlLbl val="0"/>
      </c:catAx>
      <c:valAx>
        <c:axId val="47239168"/>
        <c:scaling>
          <c:orientation val="minMax"/>
          <c:max val="0.5"/>
          <c:min val="0"/>
        </c:scaling>
        <c:delete val="0"/>
        <c:axPos val="l"/>
        <c:majorGridlines/>
        <c:title>
          <c:tx>
            <c:rich>
              <a:bodyPr/>
              <a:lstStyle/>
              <a:p>
                <a:pPr>
                  <a:defRPr/>
                </a:pPr>
                <a:r>
                  <a:rPr lang="en-AU"/>
                  <a:t>Peritontis episodes per patient year</a:t>
                </a:r>
              </a:p>
            </c:rich>
          </c:tx>
          <c:overlay val="0"/>
        </c:title>
        <c:numFmt formatCode="0.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7220992"/>
        <c:crosses val="autoZero"/>
        <c:crossBetween val="between"/>
        <c:minorUnit val="0.1"/>
      </c:valAx>
    </c:plotArea>
    <c:plotVisOnly val="1"/>
    <c:dispBlanksAs val="gap"/>
    <c:showDLblsOverMax val="0"/>
  </c:chart>
  <c:spPr>
    <a:ln>
      <a:noFill/>
    </a:ln>
  </c:spPr>
  <c:txPr>
    <a:bodyPr/>
    <a:lstStyle/>
    <a:p>
      <a:pPr>
        <a:defRPr>
          <a:latin typeface="+mn-lt"/>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45856032989989E-2"/>
          <c:y val="0.11714940177932304"/>
          <c:w val="0.86339061106189641"/>
          <c:h val="0.74245669291338601"/>
        </c:manualLayout>
      </c:layout>
      <c:barChart>
        <c:barDir val="col"/>
        <c:grouping val="clustered"/>
        <c:varyColors val="0"/>
        <c:ser>
          <c:idx val="0"/>
          <c:order val="0"/>
          <c:tx>
            <c:strRef>
              <c:f>'KPI 4'!$AA$64</c:f>
              <c:strCache>
                <c:ptCount val="1"/>
                <c:pt idx="0">
                  <c:v>Dec-19</c:v>
                </c:pt>
              </c:strCache>
            </c:strRef>
          </c:tx>
          <c:spPr>
            <a:solidFill>
              <a:srgbClr val="64C2C8"/>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4'!$AA$65:$AA$75</c:f>
              <c:numCache>
                <c:formatCode>0.000</c:formatCode>
                <c:ptCount val="11"/>
                <c:pt idx="0">
                  <c:v>0.15370972509606856</c:v>
                </c:pt>
                <c:pt idx="1">
                  <c:v>0.3460939452787018</c:v>
                </c:pt>
                <c:pt idx="2">
                  <c:v>0.38534098663348448</c:v>
                </c:pt>
                <c:pt idx="3">
                  <c:v>0.19672131147540983</c:v>
                </c:pt>
                <c:pt idx="4">
                  <c:v>0.17062177418208185</c:v>
                </c:pt>
                <c:pt idx="5">
                  <c:v>0.22615432938959268</c:v>
                </c:pt>
                <c:pt idx="6">
                  <c:v>0.24379094926100867</c:v>
                </c:pt>
                <c:pt idx="7">
                  <c:v>0.21978021978021978</c:v>
                </c:pt>
                <c:pt idx="8">
                  <c:v>9.9200881785615855E-2</c:v>
                </c:pt>
                <c:pt idx="9">
                  <c:v>0.17056357046407503</c:v>
                </c:pt>
                <c:pt idx="10">
                  <c:v>0.20654867407700342</c:v>
                </c:pt>
              </c:numCache>
            </c:numRef>
          </c:val>
          <c:extLst>
            <c:ext xmlns:c16="http://schemas.microsoft.com/office/drawing/2014/chart" uri="{C3380CC4-5D6E-409C-BE32-E72D297353CC}">
              <c16:uniqueId val="{00000000-0FEE-4079-B6AE-D7BC53D7B831}"/>
            </c:ext>
          </c:extLst>
        </c:ser>
        <c:ser>
          <c:idx val="1"/>
          <c:order val="1"/>
          <c:tx>
            <c:strRef>
              <c:f>'KPI 4'!$O$64</c:f>
              <c:strCache>
                <c:ptCount val="1"/>
                <c:pt idx="0">
                  <c:v>Dec-20</c:v>
                </c:pt>
              </c:strCache>
            </c:strRef>
          </c:tx>
          <c:spPr>
            <a:solidFill>
              <a:srgbClr val="005892"/>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4'!$O$65:$O$75</c:f>
              <c:numCache>
                <c:formatCode>0.000</c:formatCode>
                <c:ptCount val="11"/>
                <c:pt idx="0">
                  <c:v>0.15527022991937892</c:v>
                </c:pt>
                <c:pt idx="1">
                  <c:v>0.21660649819494587</c:v>
                </c:pt>
                <c:pt idx="2">
                  <c:v>7.2463768115942018E-2</c:v>
                </c:pt>
                <c:pt idx="3">
                  <c:v>0.20689655172413796</c:v>
                </c:pt>
                <c:pt idx="4">
                  <c:v>0.18573551263001484</c:v>
                </c:pt>
                <c:pt idx="5">
                  <c:v>0.24995266048096951</c:v>
                </c:pt>
                <c:pt idx="6">
                  <c:v>0.23885689912561317</c:v>
                </c:pt>
                <c:pt idx="7">
                  <c:v>0.24615384615384617</c:v>
                </c:pt>
                <c:pt idx="8">
                  <c:v>0.18390804597701149</c:v>
                </c:pt>
                <c:pt idx="9">
                  <c:v>9.9341860176331814E-2</c:v>
                </c:pt>
                <c:pt idx="10">
                  <c:v>0.19780464318927027</c:v>
                </c:pt>
              </c:numCache>
            </c:numRef>
          </c:val>
          <c:extLst>
            <c:ext xmlns:c16="http://schemas.microsoft.com/office/drawing/2014/chart" uri="{C3380CC4-5D6E-409C-BE32-E72D297353CC}">
              <c16:uniqueId val="{00000001-0FEE-4079-B6AE-D7BC53D7B831}"/>
            </c:ext>
          </c:extLst>
        </c:ser>
        <c:ser>
          <c:idx val="2"/>
          <c:order val="2"/>
          <c:tx>
            <c:strRef>
              <c:f>'KPI 4'!$C$64</c:f>
              <c:strCache>
                <c:ptCount val="1"/>
                <c:pt idx="0">
                  <c:v>Dec-21</c:v>
                </c:pt>
              </c:strCache>
            </c:strRef>
          </c:tx>
          <c:spPr>
            <a:solidFill>
              <a:srgbClr val="C1E6FF"/>
            </a:solidFill>
          </c:spPr>
          <c:invertIfNegative val="0"/>
          <c:cat>
            <c:strRef>
              <c:f>'KPI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 4'!$C$65:$C$75</c:f>
              <c:numCache>
                <c:formatCode>0.000</c:formatCode>
                <c:ptCount val="11"/>
                <c:pt idx="0">
                  <c:v>0.14962593516209477</c:v>
                </c:pt>
                <c:pt idx="1">
                  <c:v>7.3086058834277379E-2</c:v>
                </c:pt>
                <c:pt idx="2">
                  <c:v>0.17870439314966491</c:v>
                </c:pt>
                <c:pt idx="3">
                  <c:v>0.12820512820512819</c:v>
                </c:pt>
                <c:pt idx="4">
                  <c:v>0.21398956800855959</c:v>
                </c:pt>
                <c:pt idx="5">
                  <c:v>0.10597586105387106</c:v>
                </c:pt>
                <c:pt idx="6">
                  <c:v>0.10374830033561001</c:v>
                </c:pt>
                <c:pt idx="7">
                  <c:v>0.34196891191709849</c:v>
                </c:pt>
                <c:pt idx="8">
                  <c:v>0.13174145738987239</c:v>
                </c:pt>
                <c:pt idx="9">
                  <c:v>0.12127745586848135</c:v>
                </c:pt>
                <c:pt idx="10">
                  <c:v>0.20204260800660645</c:v>
                </c:pt>
              </c:numCache>
            </c:numRef>
          </c:val>
          <c:extLst>
            <c:ext xmlns:c16="http://schemas.microsoft.com/office/drawing/2014/chart" uri="{C3380CC4-5D6E-409C-BE32-E72D297353CC}">
              <c16:uniqueId val="{00000002-0FEE-4079-B6AE-D7BC53D7B831}"/>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n-US"/>
          </a:p>
        </c:txPr>
        <c:crossAx val="47267840"/>
        <c:crosses val="autoZero"/>
        <c:auto val="1"/>
        <c:lblAlgn val="ctr"/>
        <c:lblOffset val="100"/>
        <c:noMultiLvlLbl val="0"/>
      </c:catAx>
      <c:valAx>
        <c:axId val="47267840"/>
        <c:scaling>
          <c:orientation val="minMax"/>
        </c:scaling>
        <c:delete val="0"/>
        <c:axPos val="l"/>
        <c:majorGridlines/>
        <c:title>
          <c:tx>
            <c:rich>
              <a:bodyPr/>
              <a:lstStyle/>
              <a:p>
                <a:pPr>
                  <a:defRPr sz="800" b="0">
                    <a:latin typeface="Arial" panose="020B0604020202020204" pitchFamily="34" charset="0"/>
                    <a:cs typeface="Arial" panose="020B0604020202020204" pitchFamily="34" charset="0"/>
                  </a:defRPr>
                </a:pPr>
                <a:r>
                  <a:rPr lang="en-AU" sz="800" b="0">
                    <a:latin typeface="Arial" panose="020B0604020202020204" pitchFamily="34" charset="0"/>
                    <a:cs typeface="Arial" panose="020B0604020202020204" pitchFamily="34" charset="0"/>
                  </a:rPr>
                  <a:t>peritonitis</a:t>
                </a:r>
                <a:r>
                  <a:rPr lang="en-AU" sz="800" b="0" baseline="0">
                    <a:latin typeface="Arial" panose="020B0604020202020204" pitchFamily="34" charset="0"/>
                    <a:cs typeface="Arial" panose="020B0604020202020204" pitchFamily="34" charset="0"/>
                  </a:rPr>
                  <a:t> episodes per patient year</a:t>
                </a:r>
                <a:endParaRPr lang="en-AU" sz="800" b="0">
                  <a:latin typeface="Arial" panose="020B0604020202020204" pitchFamily="34" charset="0"/>
                  <a:cs typeface="Arial" panose="020B0604020202020204" pitchFamily="34" charset="0"/>
                </a:endParaRPr>
              </a:p>
            </c:rich>
          </c:tx>
          <c:layout>
            <c:manualLayout>
              <c:xMode val="edge"/>
              <c:yMode val="edge"/>
              <c:x val="1.1148939585217468E-2"/>
              <c:y val="0.25583073342247314"/>
            </c:manualLayout>
          </c:layout>
          <c:overlay val="0"/>
        </c:title>
        <c:numFmt formatCode="0.0" sourceLinked="0"/>
        <c:majorTickMark val="out"/>
        <c:minorTickMark val="none"/>
        <c:tickLblPos val="nextTo"/>
        <c:txPr>
          <a:bodyPr/>
          <a:lstStyle/>
          <a:p>
            <a:pPr>
              <a:defRPr sz="800" b="0">
                <a:latin typeface="Arial" panose="020B0604020202020204" pitchFamily="34" charset="0"/>
                <a:cs typeface="Arial" panose="020B0604020202020204" pitchFamily="34" charset="0"/>
              </a:defRPr>
            </a:pPr>
            <a:endParaRPr lang="en-US"/>
          </a:p>
        </c:txPr>
        <c:crossAx val="47266048"/>
        <c:crosses val="autoZero"/>
        <c:crossBetween val="between"/>
        <c:majorUnit val="0.1"/>
      </c:valAx>
    </c:plotArea>
    <c:legend>
      <c:legendPos val="r"/>
      <c:layout>
        <c:manualLayout>
          <c:xMode val="edge"/>
          <c:yMode val="edge"/>
          <c:x val="9.5345029601432707E-2"/>
          <c:y val="0.92824828714592478"/>
          <c:w val="0.78589013960135667"/>
          <c:h val="5.7788935473974852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62485299882399E-2"/>
          <c:y val="0.14008113590263691"/>
          <c:w val="0.91259502989409724"/>
          <c:h val="0.65272460110843145"/>
        </c:manualLayout>
      </c:layout>
      <c:barChart>
        <c:barDir val="col"/>
        <c:grouping val="stacked"/>
        <c:varyColors val="0"/>
        <c:ser>
          <c:idx val="0"/>
          <c:order val="0"/>
          <c:tx>
            <c:strRef>
              <c:f>Sheet3!$D$3</c:f>
              <c:strCache>
                <c:ptCount val="1"/>
                <c:pt idx="0">
                  <c:v>live donor Tx</c:v>
                </c:pt>
              </c:strCache>
            </c:strRef>
          </c:tx>
          <c:spPr>
            <a:solidFill>
              <a:srgbClr val="007586"/>
            </a:solidFill>
            <a:ln>
              <a:noFill/>
            </a:ln>
            <a:effectLst/>
          </c:spPr>
          <c:invertIfNegative val="0"/>
          <c:dPt>
            <c:idx val="0"/>
            <c:invertIfNegative val="0"/>
            <c:bubble3D val="0"/>
            <c:spPr>
              <a:solidFill>
                <a:srgbClr val="007586"/>
              </a:solidFill>
              <a:ln>
                <a:noFill/>
              </a:ln>
              <a:effectLst/>
            </c:spPr>
            <c:extLst>
              <c:ext xmlns:c16="http://schemas.microsoft.com/office/drawing/2014/chart" uri="{C3380CC4-5D6E-409C-BE32-E72D297353CC}">
                <c16:uniqueId val="{00000001-B9B8-4534-8AE2-5670E7D25640}"/>
              </c:ext>
            </c:extLst>
          </c:dPt>
          <c:dPt>
            <c:idx val="1"/>
            <c:invertIfNegative val="0"/>
            <c:bubble3D val="0"/>
            <c:spPr>
              <a:solidFill>
                <a:srgbClr val="007586"/>
              </a:solidFill>
              <a:ln>
                <a:noFill/>
              </a:ln>
              <a:effectLst/>
            </c:spPr>
            <c:extLst>
              <c:ext xmlns:c16="http://schemas.microsoft.com/office/drawing/2014/chart" uri="{C3380CC4-5D6E-409C-BE32-E72D297353CC}">
                <c16:uniqueId val="{00000003-B9B8-4534-8AE2-5670E7D25640}"/>
              </c:ext>
            </c:extLst>
          </c:dPt>
          <c:dPt>
            <c:idx val="3"/>
            <c:invertIfNegative val="0"/>
            <c:bubble3D val="0"/>
            <c:spPr>
              <a:solidFill>
                <a:srgbClr val="007586"/>
              </a:solidFill>
              <a:ln>
                <a:noFill/>
              </a:ln>
              <a:effectLst/>
            </c:spPr>
            <c:extLst>
              <c:ext xmlns:c16="http://schemas.microsoft.com/office/drawing/2014/chart" uri="{C3380CC4-5D6E-409C-BE32-E72D297353CC}">
                <c16:uniqueId val="{00000005-B9B8-4534-8AE2-5670E7D25640}"/>
              </c:ext>
            </c:extLst>
          </c:dPt>
          <c:dPt>
            <c:idx val="4"/>
            <c:invertIfNegative val="0"/>
            <c:bubble3D val="0"/>
            <c:spPr>
              <a:solidFill>
                <a:srgbClr val="007586"/>
              </a:solidFill>
              <a:ln>
                <a:noFill/>
              </a:ln>
              <a:effectLst/>
            </c:spPr>
            <c:extLst>
              <c:ext xmlns:c16="http://schemas.microsoft.com/office/drawing/2014/chart" uri="{C3380CC4-5D6E-409C-BE32-E72D297353CC}">
                <c16:uniqueId val="{00000007-B9B8-4534-8AE2-5670E7D25640}"/>
              </c:ext>
            </c:extLst>
          </c:dPt>
          <c:dPt>
            <c:idx val="6"/>
            <c:invertIfNegative val="0"/>
            <c:bubble3D val="0"/>
            <c:spPr>
              <a:solidFill>
                <a:srgbClr val="007586"/>
              </a:solidFill>
              <a:ln>
                <a:noFill/>
              </a:ln>
              <a:effectLst/>
            </c:spPr>
            <c:extLst>
              <c:ext xmlns:c16="http://schemas.microsoft.com/office/drawing/2014/chart" uri="{C3380CC4-5D6E-409C-BE32-E72D297353CC}">
                <c16:uniqueId val="{00000009-B9B8-4534-8AE2-5670E7D25640}"/>
              </c:ext>
            </c:extLst>
          </c:dPt>
          <c:dPt>
            <c:idx val="7"/>
            <c:invertIfNegative val="0"/>
            <c:bubble3D val="0"/>
            <c:spPr>
              <a:solidFill>
                <a:srgbClr val="007586"/>
              </a:solidFill>
              <a:ln>
                <a:noFill/>
              </a:ln>
              <a:effectLst/>
            </c:spPr>
            <c:extLst>
              <c:ext xmlns:c16="http://schemas.microsoft.com/office/drawing/2014/chart" uri="{C3380CC4-5D6E-409C-BE32-E72D297353CC}">
                <c16:uniqueId val="{0000000B-B9B8-4534-8AE2-5670E7D25640}"/>
              </c:ext>
            </c:extLst>
          </c:dPt>
          <c:dPt>
            <c:idx val="13"/>
            <c:invertIfNegative val="0"/>
            <c:bubble3D val="0"/>
            <c:spPr>
              <a:solidFill>
                <a:srgbClr val="007586"/>
              </a:solidFill>
              <a:ln>
                <a:noFill/>
              </a:ln>
              <a:effectLst/>
            </c:spPr>
            <c:extLst>
              <c:ext xmlns:c16="http://schemas.microsoft.com/office/drawing/2014/chart" uri="{C3380CC4-5D6E-409C-BE32-E72D297353CC}">
                <c16:uniqueId val="{0000000D-B9B8-4534-8AE2-5670E7D25640}"/>
              </c:ext>
            </c:extLst>
          </c:dPt>
          <c:dPt>
            <c:idx val="15"/>
            <c:invertIfNegative val="0"/>
            <c:bubble3D val="0"/>
            <c:spPr>
              <a:solidFill>
                <a:srgbClr val="007586"/>
              </a:solidFill>
              <a:ln>
                <a:noFill/>
              </a:ln>
              <a:effectLst/>
            </c:spPr>
            <c:extLst>
              <c:ext xmlns:c16="http://schemas.microsoft.com/office/drawing/2014/chart" uri="{C3380CC4-5D6E-409C-BE32-E72D297353CC}">
                <c16:uniqueId val="{0000000F-B9B8-4534-8AE2-5670E7D25640}"/>
              </c:ext>
            </c:extLst>
          </c:dPt>
          <c:dPt>
            <c:idx val="16"/>
            <c:invertIfNegative val="0"/>
            <c:bubble3D val="0"/>
            <c:spPr>
              <a:solidFill>
                <a:srgbClr val="007586"/>
              </a:solidFill>
              <a:ln>
                <a:noFill/>
              </a:ln>
              <a:effectLst/>
            </c:spPr>
            <c:extLst>
              <c:ext xmlns:c16="http://schemas.microsoft.com/office/drawing/2014/chart" uri="{C3380CC4-5D6E-409C-BE32-E72D297353CC}">
                <c16:uniqueId val="{00000011-B9B8-4534-8AE2-5670E7D25640}"/>
              </c:ext>
            </c:extLst>
          </c:dPt>
          <c:dPt>
            <c:idx val="18"/>
            <c:invertIfNegative val="0"/>
            <c:bubble3D val="0"/>
            <c:spPr>
              <a:solidFill>
                <a:srgbClr val="007586"/>
              </a:solidFill>
              <a:ln>
                <a:noFill/>
              </a:ln>
              <a:effectLst/>
            </c:spPr>
            <c:extLst>
              <c:ext xmlns:c16="http://schemas.microsoft.com/office/drawing/2014/chart" uri="{C3380CC4-5D6E-409C-BE32-E72D297353CC}">
                <c16:uniqueId val="{00000013-B9B8-4534-8AE2-5670E7D25640}"/>
              </c:ext>
            </c:extLst>
          </c:dPt>
          <c:dPt>
            <c:idx val="19"/>
            <c:invertIfNegative val="0"/>
            <c:bubble3D val="0"/>
            <c:spPr>
              <a:solidFill>
                <a:srgbClr val="007586"/>
              </a:solidFill>
              <a:ln>
                <a:noFill/>
              </a:ln>
              <a:effectLst/>
            </c:spPr>
            <c:extLst>
              <c:ext xmlns:c16="http://schemas.microsoft.com/office/drawing/2014/chart" uri="{C3380CC4-5D6E-409C-BE32-E72D297353CC}">
                <c16:uniqueId val="{00000015-B9B8-4534-8AE2-5670E7D25640}"/>
              </c:ext>
            </c:extLst>
          </c:dPt>
          <c:dPt>
            <c:idx val="24"/>
            <c:invertIfNegative val="0"/>
            <c:bubble3D val="0"/>
            <c:spPr>
              <a:solidFill>
                <a:srgbClr val="007586"/>
              </a:solidFill>
              <a:ln>
                <a:noFill/>
              </a:ln>
              <a:effectLst/>
            </c:spPr>
            <c:extLst>
              <c:ext xmlns:c16="http://schemas.microsoft.com/office/drawing/2014/chart" uri="{C3380CC4-5D6E-409C-BE32-E72D297353CC}">
                <c16:uniqueId val="{00000017-B9B8-4534-8AE2-5670E7D25640}"/>
              </c:ext>
            </c:extLst>
          </c:dPt>
          <c:dPt>
            <c:idx val="25"/>
            <c:invertIfNegative val="0"/>
            <c:bubble3D val="0"/>
            <c:spPr>
              <a:solidFill>
                <a:srgbClr val="007586"/>
              </a:solidFill>
              <a:ln>
                <a:noFill/>
              </a:ln>
              <a:effectLst/>
            </c:spPr>
            <c:extLst>
              <c:ext xmlns:c16="http://schemas.microsoft.com/office/drawing/2014/chart" uri="{C3380CC4-5D6E-409C-BE32-E72D297353CC}">
                <c16:uniqueId val="{00000019-B9B8-4534-8AE2-5670E7D25640}"/>
              </c:ext>
            </c:extLst>
          </c:dPt>
          <c:dPt>
            <c:idx val="27"/>
            <c:invertIfNegative val="0"/>
            <c:bubble3D val="0"/>
            <c:spPr>
              <a:solidFill>
                <a:srgbClr val="007586"/>
              </a:solidFill>
              <a:ln>
                <a:noFill/>
              </a:ln>
              <a:effectLst/>
            </c:spPr>
            <c:extLst>
              <c:ext xmlns:c16="http://schemas.microsoft.com/office/drawing/2014/chart" uri="{C3380CC4-5D6E-409C-BE32-E72D297353CC}">
                <c16:uniqueId val="{0000001B-B9B8-4534-8AE2-5670E7D25640}"/>
              </c:ext>
            </c:extLst>
          </c:dPt>
          <c:dPt>
            <c:idx val="28"/>
            <c:invertIfNegative val="0"/>
            <c:bubble3D val="0"/>
            <c:spPr>
              <a:solidFill>
                <a:srgbClr val="007586"/>
              </a:solidFill>
              <a:ln>
                <a:noFill/>
              </a:ln>
              <a:effectLst/>
            </c:spPr>
            <c:extLst>
              <c:ext xmlns:c16="http://schemas.microsoft.com/office/drawing/2014/chart" uri="{C3380CC4-5D6E-409C-BE32-E72D297353CC}">
                <c16:uniqueId val="{0000001D-B9B8-4534-8AE2-5670E7D25640}"/>
              </c:ext>
            </c:extLst>
          </c:dPt>
          <c:dPt>
            <c:idx val="30"/>
            <c:invertIfNegative val="0"/>
            <c:bubble3D val="0"/>
            <c:spPr>
              <a:solidFill>
                <a:srgbClr val="007586"/>
              </a:solidFill>
              <a:ln>
                <a:noFill/>
              </a:ln>
              <a:effectLst/>
            </c:spPr>
            <c:extLst>
              <c:ext xmlns:c16="http://schemas.microsoft.com/office/drawing/2014/chart" uri="{C3380CC4-5D6E-409C-BE32-E72D297353CC}">
                <c16:uniqueId val="{0000001F-B9B8-4534-8AE2-5670E7D25640}"/>
              </c:ext>
            </c:extLst>
          </c:dPt>
          <c:dPt>
            <c:idx val="31"/>
            <c:invertIfNegative val="0"/>
            <c:bubble3D val="0"/>
            <c:spPr>
              <a:solidFill>
                <a:srgbClr val="007586"/>
              </a:solidFill>
              <a:ln>
                <a:noFill/>
              </a:ln>
              <a:effectLst/>
            </c:spPr>
            <c:extLst>
              <c:ext xmlns:c16="http://schemas.microsoft.com/office/drawing/2014/chart" uri="{C3380CC4-5D6E-409C-BE32-E72D297353CC}">
                <c16:uniqueId val="{00000021-B9B8-4534-8AE2-5670E7D25640}"/>
              </c:ext>
            </c:extLst>
          </c:dPt>
          <c:dLbls>
            <c:dLbl>
              <c:idx val="0"/>
              <c:delete val="1"/>
              <c:extLst>
                <c:ext xmlns:c15="http://schemas.microsoft.com/office/drawing/2012/chart" uri="{CE6537A1-D6FC-4f65-9D91-7224C49458BB}">
                  <c15:layout>
                    <c:manualLayout>
                      <c:w val="2.4647952139898753E-2"/>
                      <c:h val="1.6867897135490438E-2"/>
                    </c:manualLayout>
                  </c15:layout>
                </c:ext>
                <c:ext xmlns:c16="http://schemas.microsoft.com/office/drawing/2014/chart" uri="{C3380CC4-5D6E-409C-BE32-E72D297353CC}">
                  <c16:uniqueId val="{00000001-B9B8-4534-8AE2-5670E7D25640}"/>
                </c:ext>
              </c:extLst>
            </c:dLbl>
            <c:dLbl>
              <c:idx val="1"/>
              <c:delete val="1"/>
              <c:extLst>
                <c:ext xmlns:c15="http://schemas.microsoft.com/office/drawing/2012/chart" uri="{CE6537A1-D6FC-4f65-9D91-7224C49458BB}"/>
                <c:ext xmlns:c16="http://schemas.microsoft.com/office/drawing/2014/chart" uri="{C3380CC4-5D6E-409C-BE32-E72D297353CC}">
                  <c16:uniqueId val="{00000003-B9B8-4534-8AE2-5670E7D25640}"/>
                </c:ext>
              </c:extLst>
            </c:dLbl>
            <c:dLbl>
              <c:idx val="3"/>
              <c:delete val="1"/>
              <c:extLst>
                <c:ext xmlns:c15="http://schemas.microsoft.com/office/drawing/2012/chart" uri="{CE6537A1-D6FC-4f65-9D91-7224C49458BB}"/>
                <c:ext xmlns:c16="http://schemas.microsoft.com/office/drawing/2014/chart" uri="{C3380CC4-5D6E-409C-BE32-E72D297353CC}">
                  <c16:uniqueId val="{00000005-B9B8-4534-8AE2-5670E7D25640}"/>
                </c:ext>
              </c:extLst>
            </c:dLbl>
            <c:dLbl>
              <c:idx val="4"/>
              <c:delete val="1"/>
              <c:extLst>
                <c:ext xmlns:c15="http://schemas.microsoft.com/office/drawing/2012/chart" uri="{CE6537A1-D6FC-4f65-9D91-7224C49458BB}"/>
                <c:ext xmlns:c16="http://schemas.microsoft.com/office/drawing/2014/chart" uri="{C3380CC4-5D6E-409C-BE32-E72D297353CC}">
                  <c16:uniqueId val="{00000007-B9B8-4534-8AE2-5670E7D25640}"/>
                </c:ext>
              </c:extLst>
            </c:dLbl>
            <c:dLbl>
              <c:idx val="6"/>
              <c:delete val="1"/>
              <c:extLst>
                <c:ext xmlns:c15="http://schemas.microsoft.com/office/drawing/2012/chart" uri="{CE6537A1-D6FC-4f65-9D91-7224C49458BB}"/>
                <c:ext xmlns:c16="http://schemas.microsoft.com/office/drawing/2014/chart" uri="{C3380CC4-5D6E-409C-BE32-E72D297353CC}">
                  <c16:uniqueId val="{00000009-B9B8-4534-8AE2-5670E7D25640}"/>
                </c:ext>
              </c:extLst>
            </c:dLbl>
            <c:dLbl>
              <c:idx val="10"/>
              <c:delete val="1"/>
              <c:extLst>
                <c:ext xmlns:c15="http://schemas.microsoft.com/office/drawing/2012/chart" uri="{CE6537A1-D6FC-4f65-9D91-7224C49458BB}"/>
                <c:ext xmlns:c16="http://schemas.microsoft.com/office/drawing/2014/chart" uri="{C3380CC4-5D6E-409C-BE32-E72D297353CC}">
                  <c16:uniqueId val="{00000025-17AD-407F-A18D-0B8312345EEE}"/>
                </c:ext>
              </c:extLst>
            </c:dLbl>
            <c:dLbl>
              <c:idx val="13"/>
              <c:delete val="1"/>
              <c:extLst>
                <c:ext xmlns:c15="http://schemas.microsoft.com/office/drawing/2012/chart" uri="{CE6537A1-D6FC-4f65-9D91-7224C49458BB}"/>
                <c:ext xmlns:c16="http://schemas.microsoft.com/office/drawing/2014/chart" uri="{C3380CC4-5D6E-409C-BE32-E72D297353CC}">
                  <c16:uniqueId val="{0000000D-B9B8-4534-8AE2-5670E7D25640}"/>
                </c:ext>
              </c:extLst>
            </c:dLbl>
            <c:dLbl>
              <c:idx val="15"/>
              <c:delete val="1"/>
              <c:extLst>
                <c:ext xmlns:c15="http://schemas.microsoft.com/office/drawing/2012/chart" uri="{CE6537A1-D6FC-4f65-9D91-7224C49458BB}"/>
                <c:ext xmlns:c16="http://schemas.microsoft.com/office/drawing/2014/chart" uri="{C3380CC4-5D6E-409C-BE32-E72D297353CC}">
                  <c16:uniqueId val="{0000000F-B9B8-4534-8AE2-5670E7D25640}"/>
                </c:ext>
              </c:extLst>
            </c:dLbl>
            <c:dLbl>
              <c:idx val="16"/>
              <c:delete val="1"/>
              <c:extLst>
                <c:ext xmlns:c15="http://schemas.microsoft.com/office/drawing/2012/chart" uri="{CE6537A1-D6FC-4f65-9D91-7224C49458BB}"/>
                <c:ext xmlns:c16="http://schemas.microsoft.com/office/drawing/2014/chart" uri="{C3380CC4-5D6E-409C-BE32-E72D297353CC}">
                  <c16:uniqueId val="{00000011-B9B8-4534-8AE2-5670E7D25640}"/>
                </c:ext>
              </c:extLst>
            </c:dLbl>
            <c:dLbl>
              <c:idx val="18"/>
              <c:delete val="1"/>
              <c:extLst>
                <c:ext xmlns:c15="http://schemas.microsoft.com/office/drawing/2012/chart" uri="{CE6537A1-D6FC-4f65-9D91-7224C49458BB}"/>
                <c:ext xmlns:c16="http://schemas.microsoft.com/office/drawing/2014/chart" uri="{C3380CC4-5D6E-409C-BE32-E72D297353CC}">
                  <c16:uniqueId val="{00000013-B9B8-4534-8AE2-5670E7D25640}"/>
                </c:ext>
              </c:extLst>
            </c:dLbl>
            <c:dLbl>
              <c:idx val="19"/>
              <c:delete val="1"/>
              <c:extLst>
                <c:ext xmlns:c15="http://schemas.microsoft.com/office/drawing/2012/chart" uri="{CE6537A1-D6FC-4f65-9D91-7224C49458BB}"/>
                <c:ext xmlns:c16="http://schemas.microsoft.com/office/drawing/2014/chart" uri="{C3380CC4-5D6E-409C-BE32-E72D297353CC}">
                  <c16:uniqueId val="{00000015-B9B8-4534-8AE2-5670E7D25640}"/>
                </c:ext>
              </c:extLst>
            </c:dLbl>
            <c:dLbl>
              <c:idx val="21"/>
              <c:delete val="1"/>
              <c:extLst>
                <c:ext xmlns:c15="http://schemas.microsoft.com/office/drawing/2012/chart" uri="{CE6537A1-D6FC-4f65-9D91-7224C49458BB}"/>
                <c:ext xmlns:c16="http://schemas.microsoft.com/office/drawing/2014/chart" uri="{C3380CC4-5D6E-409C-BE32-E72D297353CC}">
                  <c16:uniqueId val="{00000022-B9B8-4534-8AE2-5670E7D25640}"/>
                </c:ext>
              </c:extLst>
            </c:dLbl>
            <c:dLbl>
              <c:idx val="22"/>
              <c:delete val="1"/>
              <c:extLst>
                <c:ext xmlns:c15="http://schemas.microsoft.com/office/drawing/2012/chart" uri="{CE6537A1-D6FC-4f65-9D91-7224C49458BB}"/>
                <c:ext xmlns:c16="http://schemas.microsoft.com/office/drawing/2014/chart" uri="{C3380CC4-5D6E-409C-BE32-E72D297353CC}">
                  <c16:uniqueId val="{00000023-B9B8-4534-8AE2-5670E7D25640}"/>
                </c:ext>
              </c:extLst>
            </c:dLbl>
            <c:dLbl>
              <c:idx val="24"/>
              <c:delete val="1"/>
              <c:extLst>
                <c:ext xmlns:c15="http://schemas.microsoft.com/office/drawing/2012/chart" uri="{CE6537A1-D6FC-4f65-9D91-7224C49458BB}"/>
                <c:ext xmlns:c16="http://schemas.microsoft.com/office/drawing/2014/chart" uri="{C3380CC4-5D6E-409C-BE32-E72D297353CC}">
                  <c16:uniqueId val="{00000017-B9B8-4534-8AE2-5670E7D25640}"/>
                </c:ext>
              </c:extLst>
            </c:dLbl>
            <c:dLbl>
              <c:idx val="25"/>
              <c:delete val="1"/>
              <c:extLst>
                <c:ext xmlns:c15="http://schemas.microsoft.com/office/drawing/2012/chart" uri="{CE6537A1-D6FC-4f65-9D91-7224C49458BB}"/>
                <c:ext xmlns:c16="http://schemas.microsoft.com/office/drawing/2014/chart" uri="{C3380CC4-5D6E-409C-BE32-E72D297353CC}">
                  <c16:uniqueId val="{00000019-B9B8-4534-8AE2-5670E7D25640}"/>
                </c:ext>
              </c:extLst>
            </c:dLbl>
            <c:dLbl>
              <c:idx val="28"/>
              <c:delete val="1"/>
              <c:extLst>
                <c:ext xmlns:c15="http://schemas.microsoft.com/office/drawing/2012/chart" uri="{CE6537A1-D6FC-4f65-9D91-7224C49458BB}"/>
                <c:ext xmlns:c16="http://schemas.microsoft.com/office/drawing/2014/chart" uri="{C3380CC4-5D6E-409C-BE32-E72D297353CC}">
                  <c16:uniqueId val="{0000001D-B9B8-4534-8AE2-5670E7D25640}"/>
                </c:ext>
              </c:extLst>
            </c:dLbl>
            <c:dLbl>
              <c:idx val="30"/>
              <c:delete val="1"/>
              <c:extLst>
                <c:ext xmlns:c15="http://schemas.microsoft.com/office/drawing/2012/chart" uri="{CE6537A1-D6FC-4f65-9D91-7224C49458BB}"/>
                <c:ext xmlns:c16="http://schemas.microsoft.com/office/drawing/2014/chart" uri="{C3380CC4-5D6E-409C-BE32-E72D297353CC}">
                  <c16:uniqueId val="{0000001F-B9B8-4534-8AE2-5670E7D25640}"/>
                </c:ext>
              </c:extLst>
            </c:dLbl>
            <c:dLbl>
              <c:idx val="31"/>
              <c:delete val="1"/>
              <c:extLst>
                <c:ext xmlns:c15="http://schemas.microsoft.com/office/drawing/2012/chart" uri="{CE6537A1-D6FC-4f65-9D91-7224C49458BB}"/>
                <c:ext xmlns:c16="http://schemas.microsoft.com/office/drawing/2014/chart" uri="{C3380CC4-5D6E-409C-BE32-E72D297353CC}">
                  <c16:uniqueId val="{00000021-B9B8-4534-8AE2-5670E7D256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Sheet3!$D$4:$D$35</c:f>
              <c:numCache>
                <c:formatCode>0.0</c:formatCode>
                <c:ptCount val="32"/>
                <c:pt idx="0">
                  <c:v>8.1081081081081088</c:v>
                </c:pt>
                <c:pt idx="1">
                  <c:v>19.230769230769234</c:v>
                </c:pt>
                <c:pt idx="3">
                  <c:v>11.111111111111111</c:v>
                </c:pt>
                <c:pt idx="4">
                  <c:v>23.809523809523807</c:v>
                </c:pt>
                <c:pt idx="6">
                  <c:v>0</c:v>
                </c:pt>
                <c:pt idx="7">
                  <c:v>0</c:v>
                </c:pt>
                <c:pt idx="9">
                  <c:v>0</c:v>
                </c:pt>
                <c:pt idx="10">
                  <c:v>0</c:v>
                </c:pt>
                <c:pt idx="12">
                  <c:v>0</c:v>
                </c:pt>
                <c:pt idx="13">
                  <c:v>0</c:v>
                </c:pt>
                <c:pt idx="15">
                  <c:v>8.536585365853659</c:v>
                </c:pt>
                <c:pt idx="16">
                  <c:v>14.893617021276595</c:v>
                </c:pt>
                <c:pt idx="18">
                  <c:v>16.666666666666664</c:v>
                </c:pt>
                <c:pt idx="19">
                  <c:v>0.90909090909090906</c:v>
                </c:pt>
                <c:pt idx="21">
                  <c:v>0</c:v>
                </c:pt>
                <c:pt idx="22">
                  <c:v>0</c:v>
                </c:pt>
                <c:pt idx="24">
                  <c:v>7.3170731707317067</c:v>
                </c:pt>
                <c:pt idx="25">
                  <c:v>4.6511627906976747</c:v>
                </c:pt>
                <c:pt idx="27">
                  <c:v>0</c:v>
                </c:pt>
                <c:pt idx="28">
                  <c:v>4</c:v>
                </c:pt>
                <c:pt idx="30">
                  <c:v>7.7097505668934234</c:v>
                </c:pt>
                <c:pt idx="31">
                  <c:v>7.4235807860262017</c:v>
                </c:pt>
              </c:numCache>
            </c:numRef>
          </c:val>
          <c:extLst>
            <c:ext xmlns:c16="http://schemas.microsoft.com/office/drawing/2014/chart" uri="{C3380CC4-5D6E-409C-BE32-E72D297353CC}">
              <c16:uniqueId val="{00000024-B9B8-4534-8AE2-5670E7D25640}"/>
            </c:ext>
          </c:extLst>
        </c:ser>
        <c:ser>
          <c:idx val="1"/>
          <c:order val="1"/>
          <c:tx>
            <c:strRef>
              <c:f>Sheet3!$E$3</c:f>
              <c:strCache>
                <c:ptCount val="1"/>
                <c:pt idx="0">
                  <c:v>deceased donor Tx</c:v>
                </c:pt>
              </c:strCache>
            </c:strRef>
          </c:tx>
          <c:spPr>
            <a:solidFill>
              <a:srgbClr val="BFDDE1">
                <a:alpha val="70000"/>
              </a:srgbClr>
            </a:solidFill>
            <a:ln>
              <a:noFill/>
            </a:ln>
            <a:effectLst/>
          </c:spPr>
          <c:invertIfNegative val="0"/>
          <c:dPt>
            <c:idx val="3"/>
            <c:invertIfNegative val="0"/>
            <c:bubble3D val="0"/>
            <c:spPr>
              <a:solidFill>
                <a:srgbClr val="BFDDE1">
                  <a:alpha val="70000"/>
                </a:srgbClr>
              </a:solidFill>
              <a:ln>
                <a:noFill/>
              </a:ln>
              <a:effectLst/>
            </c:spPr>
            <c:extLst>
              <c:ext xmlns:c16="http://schemas.microsoft.com/office/drawing/2014/chart" uri="{C3380CC4-5D6E-409C-BE32-E72D297353CC}">
                <c16:uniqueId val="{00000027-B9B8-4534-8AE2-5670E7D25640}"/>
              </c:ext>
            </c:extLst>
          </c:dPt>
          <c:dPt>
            <c:idx val="6"/>
            <c:invertIfNegative val="0"/>
            <c:bubble3D val="0"/>
            <c:spPr>
              <a:solidFill>
                <a:srgbClr val="BFDDE1">
                  <a:alpha val="70000"/>
                </a:srgbClr>
              </a:solidFill>
              <a:ln>
                <a:noFill/>
              </a:ln>
              <a:effectLst/>
            </c:spPr>
            <c:extLst>
              <c:ext xmlns:c16="http://schemas.microsoft.com/office/drawing/2014/chart" uri="{C3380CC4-5D6E-409C-BE32-E72D297353CC}">
                <c16:uniqueId val="{00000029-B9B8-4534-8AE2-5670E7D25640}"/>
              </c:ext>
            </c:extLst>
          </c:dPt>
          <c:dPt>
            <c:idx val="13"/>
            <c:invertIfNegative val="0"/>
            <c:bubble3D val="0"/>
            <c:spPr>
              <a:solidFill>
                <a:srgbClr val="BFDDE1">
                  <a:alpha val="70000"/>
                </a:srgbClr>
              </a:solidFill>
              <a:ln>
                <a:noFill/>
              </a:ln>
              <a:effectLst/>
            </c:spPr>
            <c:extLst>
              <c:ext xmlns:c16="http://schemas.microsoft.com/office/drawing/2014/chart" uri="{C3380CC4-5D6E-409C-BE32-E72D297353CC}">
                <c16:uniqueId val="{0000002B-B9B8-4534-8AE2-5670E7D25640}"/>
              </c:ext>
            </c:extLst>
          </c:dPt>
          <c:dPt>
            <c:idx val="15"/>
            <c:invertIfNegative val="0"/>
            <c:bubble3D val="0"/>
            <c:spPr>
              <a:solidFill>
                <a:srgbClr val="BFDDE1">
                  <a:alpha val="70000"/>
                </a:srgbClr>
              </a:solidFill>
              <a:ln>
                <a:noFill/>
              </a:ln>
              <a:effectLst/>
            </c:spPr>
            <c:extLst>
              <c:ext xmlns:c16="http://schemas.microsoft.com/office/drawing/2014/chart" uri="{C3380CC4-5D6E-409C-BE32-E72D297353CC}">
                <c16:uniqueId val="{0000002C-B9B8-4534-8AE2-5670E7D25640}"/>
              </c:ext>
            </c:extLst>
          </c:dPt>
          <c:dPt>
            <c:idx val="16"/>
            <c:invertIfNegative val="0"/>
            <c:bubble3D val="0"/>
            <c:spPr>
              <a:solidFill>
                <a:srgbClr val="BFDDE1">
                  <a:alpha val="70000"/>
                </a:srgbClr>
              </a:solidFill>
              <a:ln>
                <a:noFill/>
              </a:ln>
              <a:effectLst/>
            </c:spPr>
            <c:extLst>
              <c:ext xmlns:c16="http://schemas.microsoft.com/office/drawing/2014/chart" uri="{C3380CC4-5D6E-409C-BE32-E72D297353CC}">
                <c16:uniqueId val="{0000002D-B9B8-4534-8AE2-5670E7D25640}"/>
              </c:ext>
            </c:extLst>
          </c:dPt>
          <c:dPt>
            <c:idx val="18"/>
            <c:invertIfNegative val="0"/>
            <c:bubble3D val="0"/>
            <c:spPr>
              <a:solidFill>
                <a:srgbClr val="BFDDE1">
                  <a:alpha val="70000"/>
                </a:srgbClr>
              </a:solidFill>
              <a:ln>
                <a:noFill/>
              </a:ln>
              <a:effectLst/>
            </c:spPr>
            <c:extLst>
              <c:ext xmlns:c16="http://schemas.microsoft.com/office/drawing/2014/chart" uri="{C3380CC4-5D6E-409C-BE32-E72D297353CC}">
                <c16:uniqueId val="{0000002E-B9B8-4534-8AE2-5670E7D25640}"/>
              </c:ext>
            </c:extLst>
          </c:dPt>
          <c:dPt>
            <c:idx val="19"/>
            <c:invertIfNegative val="0"/>
            <c:bubble3D val="0"/>
            <c:spPr>
              <a:solidFill>
                <a:srgbClr val="BFDDE1">
                  <a:alpha val="70000"/>
                </a:srgbClr>
              </a:solidFill>
              <a:ln>
                <a:noFill/>
              </a:ln>
              <a:effectLst/>
            </c:spPr>
            <c:extLst>
              <c:ext xmlns:c16="http://schemas.microsoft.com/office/drawing/2014/chart" uri="{C3380CC4-5D6E-409C-BE32-E72D297353CC}">
                <c16:uniqueId val="{0000002F-B9B8-4534-8AE2-5670E7D25640}"/>
              </c:ext>
            </c:extLst>
          </c:dPt>
          <c:dPt>
            <c:idx val="21"/>
            <c:invertIfNegative val="0"/>
            <c:bubble3D val="0"/>
            <c:spPr>
              <a:solidFill>
                <a:srgbClr val="BFDDE1">
                  <a:alpha val="70000"/>
                </a:srgbClr>
              </a:solidFill>
              <a:ln>
                <a:noFill/>
              </a:ln>
              <a:effectLst/>
            </c:spPr>
            <c:extLst>
              <c:ext xmlns:c16="http://schemas.microsoft.com/office/drawing/2014/chart" uri="{C3380CC4-5D6E-409C-BE32-E72D297353CC}">
                <c16:uniqueId val="{00000030-B9B8-4534-8AE2-5670E7D25640}"/>
              </c:ext>
            </c:extLst>
          </c:dPt>
          <c:dPt>
            <c:idx val="22"/>
            <c:invertIfNegative val="0"/>
            <c:bubble3D val="0"/>
            <c:spPr>
              <a:solidFill>
                <a:srgbClr val="BFDDE1">
                  <a:alpha val="70000"/>
                </a:srgbClr>
              </a:solidFill>
              <a:ln>
                <a:noFill/>
              </a:ln>
              <a:effectLst/>
            </c:spPr>
            <c:extLst>
              <c:ext xmlns:c16="http://schemas.microsoft.com/office/drawing/2014/chart" uri="{C3380CC4-5D6E-409C-BE32-E72D297353CC}">
                <c16:uniqueId val="{00000031-B9B8-4534-8AE2-5670E7D25640}"/>
              </c:ext>
            </c:extLst>
          </c:dPt>
          <c:dPt>
            <c:idx val="24"/>
            <c:invertIfNegative val="0"/>
            <c:bubble3D val="0"/>
            <c:spPr>
              <a:solidFill>
                <a:srgbClr val="BFDDE1">
                  <a:alpha val="70000"/>
                </a:srgbClr>
              </a:solidFill>
              <a:ln>
                <a:noFill/>
              </a:ln>
              <a:effectLst/>
            </c:spPr>
            <c:extLst>
              <c:ext xmlns:c16="http://schemas.microsoft.com/office/drawing/2014/chart" uri="{C3380CC4-5D6E-409C-BE32-E72D297353CC}">
                <c16:uniqueId val="{00000032-B9B8-4534-8AE2-5670E7D25640}"/>
              </c:ext>
            </c:extLst>
          </c:dPt>
          <c:dPt>
            <c:idx val="25"/>
            <c:invertIfNegative val="0"/>
            <c:bubble3D val="0"/>
            <c:spPr>
              <a:solidFill>
                <a:srgbClr val="BFDDE1">
                  <a:alpha val="70000"/>
                </a:srgbClr>
              </a:solidFill>
              <a:ln>
                <a:noFill/>
              </a:ln>
              <a:effectLst/>
            </c:spPr>
            <c:extLst>
              <c:ext xmlns:c16="http://schemas.microsoft.com/office/drawing/2014/chart" uri="{C3380CC4-5D6E-409C-BE32-E72D297353CC}">
                <c16:uniqueId val="{00000033-B9B8-4534-8AE2-5670E7D25640}"/>
              </c:ext>
            </c:extLst>
          </c:dPt>
          <c:dPt>
            <c:idx val="30"/>
            <c:invertIfNegative val="0"/>
            <c:bubble3D val="0"/>
            <c:spPr>
              <a:solidFill>
                <a:srgbClr val="BFDDE1">
                  <a:alpha val="70000"/>
                </a:srgbClr>
              </a:solidFill>
              <a:ln>
                <a:noFill/>
              </a:ln>
              <a:effectLst/>
            </c:spPr>
            <c:extLst>
              <c:ext xmlns:c16="http://schemas.microsoft.com/office/drawing/2014/chart" uri="{C3380CC4-5D6E-409C-BE32-E72D297353CC}">
                <c16:uniqueId val="{00000035-B9B8-4534-8AE2-5670E7D25640}"/>
              </c:ext>
            </c:extLst>
          </c:dPt>
          <c:dPt>
            <c:idx val="31"/>
            <c:invertIfNegative val="0"/>
            <c:bubble3D val="0"/>
            <c:spPr>
              <a:solidFill>
                <a:srgbClr val="BFDDE1">
                  <a:alpha val="70000"/>
                </a:srgbClr>
              </a:solidFill>
              <a:ln>
                <a:noFill/>
              </a:ln>
              <a:effectLst/>
            </c:spPr>
            <c:extLst>
              <c:ext xmlns:c16="http://schemas.microsoft.com/office/drawing/2014/chart" uri="{C3380CC4-5D6E-409C-BE32-E72D297353CC}">
                <c16:uniqueId val="{00000036-B9B8-4534-8AE2-5670E7D25640}"/>
              </c:ext>
            </c:extLst>
          </c:dPt>
          <c:dLbls>
            <c:dLbl>
              <c:idx val="0"/>
              <c:layout>
                <c:manualLayout>
                  <c:x val="0"/>
                  <c:y val="-5.079366772275723E-2"/>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9B8-4534-8AE2-5670E7D25640}"/>
                </c:ext>
              </c:extLst>
            </c:dLbl>
            <c:dLbl>
              <c:idx val="1"/>
              <c:layout>
                <c:manualLayout>
                  <c:x val="-1.8407731247123793E-3"/>
                  <c:y val="-4.2328056435631027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9B8-4534-8AE2-5670E7D25640}"/>
                </c:ext>
              </c:extLst>
            </c:dLbl>
            <c:dLbl>
              <c:idx val="3"/>
              <c:layout>
                <c:manualLayout>
                  <c:x val="0"/>
                  <c:y val="-0.16931222574252411"/>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9B8-4534-8AE2-5670E7D25640}"/>
                </c:ext>
              </c:extLst>
            </c:dLbl>
            <c:dLbl>
              <c:idx val="4"/>
              <c:layout>
                <c:manualLayout>
                  <c:x val="1.3024456254467714E-2"/>
                  <c:y val="-3.96530924333806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(10)</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1581069026504967E-2"/>
                      <c:h val="5.9020387663032726E-2"/>
                    </c:manualLayout>
                  </c15:layout>
                  <c15:showDataLabelsRange val="0"/>
                </c:ext>
                <c:ext xmlns:c16="http://schemas.microsoft.com/office/drawing/2014/chart" uri="{C3380CC4-5D6E-409C-BE32-E72D297353CC}">
                  <c16:uniqueId val="{00000028-B9B8-4534-8AE2-5670E7D25640}"/>
                </c:ext>
              </c:extLst>
            </c:dLbl>
            <c:dLbl>
              <c:idx val="6"/>
              <c:layout>
                <c:manualLayout>
                  <c:x val="1.8407731247123455E-3"/>
                  <c:y val="-0.10582014108907756"/>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B9B8-4534-8AE2-5670E7D25640}"/>
                </c:ext>
              </c:extLst>
            </c:dLbl>
            <c:dLbl>
              <c:idx val="7"/>
              <c:delete val="1"/>
              <c:extLst>
                <c:ext xmlns:c15="http://schemas.microsoft.com/office/drawing/2012/chart" uri="{CE6537A1-D6FC-4f65-9D91-7224C49458BB}"/>
                <c:ext xmlns:c16="http://schemas.microsoft.com/office/drawing/2014/chart" uri="{C3380CC4-5D6E-409C-BE32-E72D297353CC}">
                  <c16:uniqueId val="{0000002A-B9B8-4534-8AE2-5670E7D25640}"/>
                </c:ext>
              </c:extLst>
            </c:dLbl>
            <c:dLbl>
              <c:idx val="9"/>
              <c:delete val="1"/>
              <c:extLst>
                <c:ext xmlns:c15="http://schemas.microsoft.com/office/drawing/2012/chart" uri="{CE6537A1-D6FC-4f65-9D91-7224C49458BB}"/>
                <c:ext xmlns:c16="http://schemas.microsoft.com/office/drawing/2014/chart" uri="{C3380CC4-5D6E-409C-BE32-E72D297353CC}">
                  <c16:uniqueId val="{00000022-17AD-407F-A18D-0B8312345EEE}"/>
                </c:ext>
              </c:extLst>
            </c:dLbl>
            <c:dLbl>
              <c:idx val="10"/>
              <c:delete val="1"/>
              <c:extLst>
                <c:ext xmlns:c15="http://schemas.microsoft.com/office/drawing/2012/chart" uri="{CE6537A1-D6FC-4f65-9D91-7224C49458BB}"/>
                <c:ext xmlns:c16="http://schemas.microsoft.com/office/drawing/2014/chart" uri="{C3380CC4-5D6E-409C-BE32-E72D297353CC}">
                  <c16:uniqueId val="{00000023-17AD-407F-A18D-0B8312345EEE}"/>
                </c:ext>
              </c:extLst>
            </c:dLbl>
            <c:dLbl>
              <c:idx val="12"/>
              <c:delete val="1"/>
              <c:extLst>
                <c:ext xmlns:c15="http://schemas.microsoft.com/office/drawing/2012/chart" uri="{CE6537A1-D6FC-4f65-9D91-7224C49458BB}"/>
                <c:ext xmlns:c16="http://schemas.microsoft.com/office/drawing/2014/chart" uri="{C3380CC4-5D6E-409C-BE32-E72D297353CC}">
                  <c16:uniqueId val="{00000024-17AD-407F-A18D-0B8312345EEE}"/>
                </c:ext>
              </c:extLst>
            </c:dLbl>
            <c:dLbl>
              <c:idx val="13"/>
              <c:layout>
                <c:manualLayout>
                  <c:x val="-6.749423487362647E-17"/>
                  <c:y val="-9.3121724158388333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9B8-4534-8AE2-5670E7D25640}"/>
                </c:ext>
              </c:extLst>
            </c:dLbl>
            <c:dLbl>
              <c:idx val="15"/>
              <c:layout>
                <c:manualLayout>
                  <c:x val="-1.3100800920785966E-3"/>
                  <c:y val="-9.114166609135650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(10)</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8780347871831484E-2"/>
                      <c:h val="6.8674516301542199E-2"/>
                    </c:manualLayout>
                  </c15:layout>
                  <c15:showDataLabelsRange val="0"/>
                </c:ext>
                <c:ext xmlns:c16="http://schemas.microsoft.com/office/drawing/2014/chart" uri="{C3380CC4-5D6E-409C-BE32-E72D297353CC}">
                  <c16:uniqueId val="{0000002C-B9B8-4534-8AE2-5670E7D25640}"/>
                </c:ext>
              </c:extLst>
            </c:dLbl>
            <c:dLbl>
              <c:idx val="16"/>
              <c:layout>
                <c:manualLayout>
                  <c:x val="1.8407731247123116E-3"/>
                  <c:y val="-0.15238100316827177"/>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9B8-4534-8AE2-5670E7D25640}"/>
                </c:ext>
              </c:extLst>
            </c:dLbl>
            <c:dLbl>
              <c:idx val="18"/>
              <c:layout>
                <c:manualLayout>
                  <c:x val="0"/>
                  <c:y val="-5.5026473366320369E-2"/>
                </c:manualLayout>
              </c:layout>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9B8-4534-8AE2-5670E7D25640}"/>
                </c:ext>
              </c:extLst>
            </c:dLbl>
            <c:dLbl>
              <c:idx val="19"/>
              <c:layout>
                <c:manualLayout>
                  <c:x val="-1.8407731247124467E-3"/>
                  <c:y val="-0.10158733544551446"/>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9B8-4534-8AE2-5670E7D25640}"/>
                </c:ext>
              </c:extLst>
            </c:dLbl>
            <c:dLbl>
              <c:idx val="21"/>
              <c:layout>
                <c:manualLayout>
                  <c:x val="-2.6203731328809784E-3"/>
                  <c:y val="-8.6886482100826598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layout>
                    <c:manualLayout>
                      <c:w val="3.3320004506216472E-2"/>
                      <c:h val="5.9195904850928266E-2"/>
                    </c:manualLayout>
                  </c15:layout>
                  <c15:showDataLabelsRange val="0"/>
                </c:ext>
                <c:ext xmlns:c16="http://schemas.microsoft.com/office/drawing/2014/chart" uri="{C3380CC4-5D6E-409C-BE32-E72D297353CC}">
                  <c16:uniqueId val="{00000030-B9B8-4534-8AE2-5670E7D25640}"/>
                </c:ext>
              </c:extLst>
            </c:dLbl>
            <c:dLbl>
              <c:idx val="22"/>
              <c:layout>
                <c:manualLayout>
                  <c:x val="0"/>
                  <c:y val="-8.0423307227698942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9B8-4534-8AE2-5670E7D25640}"/>
                </c:ext>
              </c:extLst>
            </c:dLbl>
            <c:dLbl>
              <c:idx val="24"/>
              <c:layout>
                <c:manualLayout>
                  <c:x val="3.6815462494247586E-3"/>
                  <c:y val="-7.6190501584135928E-2"/>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9B8-4534-8AE2-5670E7D25640}"/>
                </c:ext>
              </c:extLst>
            </c:dLbl>
            <c:dLbl>
              <c:idx val="25"/>
              <c:layout>
                <c:manualLayout>
                  <c:x val="-1.3498846974725294E-16"/>
                  <c:y val="-0.11005294673264067"/>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B9B8-4534-8AE2-5670E7D25640}"/>
                </c:ext>
              </c:extLst>
            </c:dLbl>
            <c:dLbl>
              <c:idx val="27"/>
              <c:delete val="1"/>
              <c:extLst>
                <c:ext xmlns:c15="http://schemas.microsoft.com/office/drawing/2012/chart" uri="{CE6537A1-D6FC-4f65-9D91-7224C49458BB}"/>
                <c:ext xmlns:c16="http://schemas.microsoft.com/office/drawing/2014/chart" uri="{C3380CC4-5D6E-409C-BE32-E72D297353CC}">
                  <c16:uniqueId val="{00000026-17AD-407F-A18D-0B8312345EEE}"/>
                </c:ext>
              </c:extLst>
            </c:dLbl>
            <c:dLbl>
              <c:idx val="28"/>
              <c:layout>
                <c:manualLayout>
                  <c:x val="-1.8407731247123793E-3"/>
                  <c:y val="-4.2328056435631027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B9B8-4534-8AE2-5670E7D25640}"/>
                </c:ext>
              </c:extLst>
            </c:dLbl>
            <c:dLbl>
              <c:idx val="30"/>
              <c:layout>
                <c:manualLayout>
                  <c:x val="-1.3498846974725294E-16"/>
                  <c:y val="-8.8888918514825235E-2"/>
                </c:manualLayout>
              </c:layout>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B9B8-4534-8AE2-5670E7D25640}"/>
                </c:ext>
              </c:extLst>
            </c:dLbl>
            <c:dLbl>
              <c:idx val="31"/>
              <c:layout>
                <c:manualLayout>
                  <c:x val="1.4922759851611054E-3"/>
                  <c:y val="-8.148748175318992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(51)</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3757454753654043E-2"/>
                      <c:h val="6.8674516301542199E-2"/>
                    </c:manualLayout>
                  </c15:layout>
                  <c15:showDataLabelsRange val="0"/>
                </c:ext>
                <c:ext xmlns:c16="http://schemas.microsoft.com/office/drawing/2014/chart" uri="{C3380CC4-5D6E-409C-BE32-E72D297353CC}">
                  <c16:uniqueId val="{00000036-B9B8-4534-8AE2-5670E7D256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Sheet3!$E$4:$E$35</c:f>
              <c:numCache>
                <c:formatCode>0.0</c:formatCode>
                <c:ptCount val="32"/>
                <c:pt idx="0">
                  <c:v>0</c:v>
                </c:pt>
                <c:pt idx="1">
                  <c:v>0</c:v>
                </c:pt>
                <c:pt idx="3">
                  <c:v>11.111111111111111</c:v>
                </c:pt>
                <c:pt idx="4">
                  <c:v>0</c:v>
                </c:pt>
                <c:pt idx="6">
                  <c:v>4.5454545454545459</c:v>
                </c:pt>
                <c:pt idx="7">
                  <c:v>0</c:v>
                </c:pt>
                <c:pt idx="9">
                  <c:v>0</c:v>
                </c:pt>
                <c:pt idx="10">
                  <c:v>0</c:v>
                </c:pt>
                <c:pt idx="12">
                  <c:v>0</c:v>
                </c:pt>
                <c:pt idx="13">
                  <c:v>3.8461538461538463</c:v>
                </c:pt>
                <c:pt idx="15">
                  <c:v>3.6585365853658534</c:v>
                </c:pt>
                <c:pt idx="16">
                  <c:v>9.5744680851063837</c:v>
                </c:pt>
                <c:pt idx="18">
                  <c:v>0.98039215686274506</c:v>
                </c:pt>
                <c:pt idx="19">
                  <c:v>3.6363636363636362</c:v>
                </c:pt>
                <c:pt idx="21">
                  <c:v>3.225806451612903</c:v>
                </c:pt>
                <c:pt idx="22">
                  <c:v>3.8461538461538463</c:v>
                </c:pt>
                <c:pt idx="24">
                  <c:v>2.4390243902439024</c:v>
                </c:pt>
                <c:pt idx="25">
                  <c:v>4.6511627906976747</c:v>
                </c:pt>
                <c:pt idx="27">
                  <c:v>0</c:v>
                </c:pt>
                <c:pt idx="28">
                  <c:v>0</c:v>
                </c:pt>
                <c:pt idx="30">
                  <c:v>2.4943310657596371</c:v>
                </c:pt>
                <c:pt idx="31">
                  <c:v>3.7117903930131009</c:v>
                </c:pt>
              </c:numCache>
            </c:numRef>
          </c:val>
          <c:extLst>
            <c:ext xmlns:c16="http://schemas.microsoft.com/office/drawing/2014/chart" uri="{C3380CC4-5D6E-409C-BE32-E72D297353CC}">
              <c16:uniqueId val="{00000037-B9B8-4534-8AE2-5670E7D25640}"/>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2"/>
                <c:order val="2"/>
                <c:tx>
                  <c:strRef>
                    <c:extLst>
                      <c:ext uri="{02D57815-91ED-43cb-92C2-25804820EDAC}">
                        <c15:formulaRef>
                          <c15:sqref>Sheet3!$F$3</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Sheet3!$F$4:$F$35</c15:sqref>
                        </c15:formulaRef>
                      </c:ext>
                    </c:extLst>
                    <c:numCache>
                      <c:formatCode>0.0</c:formatCode>
                      <c:ptCount val="32"/>
                      <c:pt idx="0">
                        <c:v>16.216216216216218</c:v>
                      </c:pt>
                      <c:pt idx="1">
                        <c:v>15.384615384615385</c:v>
                      </c:pt>
                      <c:pt idx="3">
                        <c:v>27.777777777777779</c:v>
                      </c:pt>
                      <c:pt idx="4">
                        <c:v>19.047619047619047</c:v>
                      </c:pt>
                      <c:pt idx="6">
                        <c:v>18.181818181818183</c:v>
                      </c:pt>
                      <c:pt idx="7">
                        <c:v>20.833333333333336</c:v>
                      </c:pt>
                      <c:pt idx="9">
                        <c:v>13.333333333333334</c:v>
                      </c:pt>
                      <c:pt idx="10">
                        <c:v>23.52941176470588</c:v>
                      </c:pt>
                      <c:pt idx="12">
                        <c:v>21.052631578947366</c:v>
                      </c:pt>
                      <c:pt idx="13">
                        <c:v>19.230769230769234</c:v>
                      </c:pt>
                      <c:pt idx="15">
                        <c:v>17.073170731707318</c:v>
                      </c:pt>
                      <c:pt idx="16">
                        <c:v>19.148936170212767</c:v>
                      </c:pt>
                      <c:pt idx="18">
                        <c:v>22.549019607843139</c:v>
                      </c:pt>
                      <c:pt idx="19">
                        <c:v>35.454545454545453</c:v>
                      </c:pt>
                      <c:pt idx="21">
                        <c:v>22.58064516129032</c:v>
                      </c:pt>
                      <c:pt idx="22">
                        <c:v>34.615384615384613</c:v>
                      </c:pt>
                      <c:pt idx="24">
                        <c:v>17.073170731707318</c:v>
                      </c:pt>
                      <c:pt idx="25">
                        <c:v>16.279069767441861</c:v>
                      </c:pt>
                      <c:pt idx="27">
                        <c:v>16.071428571428573</c:v>
                      </c:pt>
                      <c:pt idx="28">
                        <c:v>24</c:v>
                      </c:pt>
                      <c:pt idx="30">
                        <c:v>19.501133786848072</c:v>
                      </c:pt>
                      <c:pt idx="31">
                        <c:v>24.23580786026201</c:v>
                      </c:pt>
                    </c:numCache>
                  </c:numRef>
                </c:val>
                <c:extLst>
                  <c:ext xmlns:c16="http://schemas.microsoft.com/office/drawing/2014/chart" uri="{C3380CC4-5D6E-409C-BE32-E72D297353CC}">
                    <c16:uniqueId val="{00000038-B9B8-4534-8AE2-5670E7D2564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Sheet3!$G$4:$G$35</c15:sqref>
                        </c15:formulaRef>
                      </c:ext>
                    </c:extLst>
                    <c:numCache>
                      <c:formatCode>0.0</c:formatCode>
                      <c:ptCount val="32"/>
                      <c:pt idx="0">
                        <c:v>75.675675675675677</c:v>
                      </c:pt>
                      <c:pt idx="1">
                        <c:v>65.384615384615387</c:v>
                      </c:pt>
                      <c:pt idx="3">
                        <c:v>27.777777777777779</c:v>
                      </c:pt>
                      <c:pt idx="4">
                        <c:v>42.857142857142854</c:v>
                      </c:pt>
                      <c:pt idx="6">
                        <c:v>45.454545454545453</c:v>
                      </c:pt>
                      <c:pt idx="7">
                        <c:v>54.166666666666664</c:v>
                      </c:pt>
                      <c:pt idx="9">
                        <c:v>66.666666666666657</c:v>
                      </c:pt>
                      <c:pt idx="10">
                        <c:v>76.470588235294116</c:v>
                      </c:pt>
                      <c:pt idx="12">
                        <c:v>42.105263157894733</c:v>
                      </c:pt>
                      <c:pt idx="13">
                        <c:v>53.846153846153847</c:v>
                      </c:pt>
                      <c:pt idx="15">
                        <c:v>24.390243902439025</c:v>
                      </c:pt>
                      <c:pt idx="16">
                        <c:v>37.234042553191486</c:v>
                      </c:pt>
                      <c:pt idx="18">
                        <c:v>39.215686274509807</c:v>
                      </c:pt>
                      <c:pt idx="19">
                        <c:v>46.36363636363636</c:v>
                      </c:pt>
                      <c:pt idx="21">
                        <c:v>22.58064516129032</c:v>
                      </c:pt>
                      <c:pt idx="22">
                        <c:v>30.76923076923077</c:v>
                      </c:pt>
                      <c:pt idx="24">
                        <c:v>60.975609756097562</c:v>
                      </c:pt>
                      <c:pt idx="25">
                        <c:v>69.767441860465112</c:v>
                      </c:pt>
                      <c:pt idx="27">
                        <c:v>17.857142857142858</c:v>
                      </c:pt>
                      <c:pt idx="28">
                        <c:v>18</c:v>
                      </c:pt>
                      <c:pt idx="30">
                        <c:v>38.095238095238095</c:v>
                      </c:pt>
                      <c:pt idx="31">
                        <c:v>45.414847161572055</c:v>
                      </c:pt>
                    </c:numCache>
                  </c:numRef>
                </c:val>
                <c:extLst xmlns:c15="http://schemas.microsoft.com/office/drawing/2012/chart">
                  <c:ext xmlns:c16="http://schemas.microsoft.com/office/drawing/2014/chart" uri="{C3380CC4-5D6E-409C-BE32-E72D297353CC}">
                    <c16:uniqueId val="{00000039-B9B8-4534-8AE2-5670E7D2564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0.0</c:formatCode>
                      <c:ptCount val="32"/>
                      <c:pt idx="0">
                        <c:v>0</c:v>
                      </c:pt>
                      <c:pt idx="1">
                        <c:v>0</c:v>
                      </c:pt>
                      <c:pt idx="3">
                        <c:v>22.222222222222221</c:v>
                      </c:pt>
                      <c:pt idx="4">
                        <c:v>14.285714285714285</c:v>
                      </c:pt>
                      <c:pt idx="6">
                        <c:v>31.818181818181817</c:v>
                      </c:pt>
                      <c:pt idx="7">
                        <c:v>25</c:v>
                      </c:pt>
                      <c:pt idx="9">
                        <c:v>20</c:v>
                      </c:pt>
                      <c:pt idx="10">
                        <c:v>0</c:v>
                      </c:pt>
                      <c:pt idx="12">
                        <c:v>36.84210526315789</c:v>
                      </c:pt>
                      <c:pt idx="13">
                        <c:v>23.076923076923077</c:v>
                      </c:pt>
                      <c:pt idx="15">
                        <c:v>46.341463414634148</c:v>
                      </c:pt>
                      <c:pt idx="16">
                        <c:v>19.148936170212767</c:v>
                      </c:pt>
                      <c:pt idx="18">
                        <c:v>20.588235294117645</c:v>
                      </c:pt>
                      <c:pt idx="19">
                        <c:v>13.636363636363635</c:v>
                      </c:pt>
                      <c:pt idx="21">
                        <c:v>51.612903225806448</c:v>
                      </c:pt>
                      <c:pt idx="22">
                        <c:v>30.76923076923077</c:v>
                      </c:pt>
                      <c:pt idx="24">
                        <c:v>12.195121951219512</c:v>
                      </c:pt>
                      <c:pt idx="25">
                        <c:v>4.6511627906976747</c:v>
                      </c:pt>
                      <c:pt idx="27">
                        <c:v>66.071428571428569</c:v>
                      </c:pt>
                      <c:pt idx="28">
                        <c:v>54</c:v>
                      </c:pt>
                      <c:pt idx="30">
                        <c:v>32.199546485260768</c:v>
                      </c:pt>
                      <c:pt idx="31">
                        <c:v>19.213973799126638</c:v>
                      </c:pt>
                    </c:numCache>
                  </c:numRef>
                </c:val>
                <c:extLst xmlns:c15="http://schemas.microsoft.com/office/drawing/2012/chart">
                  <c:ext xmlns:c16="http://schemas.microsoft.com/office/drawing/2014/chart" uri="{C3380CC4-5D6E-409C-BE32-E72D297353CC}">
                    <c16:uniqueId val="{0000003A-B9B8-4534-8AE2-5670E7D25640}"/>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177999"/>
        <c:crosses val="autoZero"/>
        <c:auto val="1"/>
        <c:lblAlgn val="ctr"/>
        <c:lblOffset val="100"/>
        <c:noMultiLvlLbl val="0"/>
      </c:catAx>
      <c:valAx>
        <c:axId val="231177999"/>
        <c:scaling>
          <c:orientation val="minMax"/>
          <c:max val="3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a:t>
                </a:r>
                <a:r>
                  <a:rPr lang="en-AU" sz="800" baseline="0">
                    <a:latin typeface="Arial" panose="020B0604020202020204" pitchFamily="34" charset="0"/>
                    <a:cs typeface="Arial" panose="020B0604020202020204" pitchFamily="34" charset="0"/>
                  </a:rPr>
                  <a:t> of new RRT patients </a:t>
                </a:r>
                <a:endParaRPr lang="en-AU" sz="8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8029631"/>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81363491852817E-2"/>
          <c:y val="0.10876288659793815"/>
          <c:w val="0.92179876966574792"/>
          <c:h val="0.72260004870525207"/>
        </c:manualLayout>
      </c:layout>
      <c:barChart>
        <c:barDir val="col"/>
        <c:grouping val="stacked"/>
        <c:varyColors val="0"/>
        <c:ser>
          <c:idx val="0"/>
          <c:order val="0"/>
          <c:tx>
            <c:strRef>
              <c:f>Sheet3!$D$3</c:f>
              <c:strCache>
                <c:ptCount val="1"/>
                <c:pt idx="0">
                  <c:v>live donor Tx</c:v>
                </c:pt>
              </c:strCache>
            </c:strRef>
          </c:tx>
          <c:spPr>
            <a:solidFill>
              <a:srgbClr val="007586">
                <a:alpha val="70000"/>
              </a:srgbClr>
            </a:solidFill>
            <a:ln>
              <a:noFill/>
            </a:ln>
            <a:effectLst/>
          </c:spPr>
          <c:invertIfNegative val="0"/>
          <c:dLbls>
            <c:delete val="1"/>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Sheet3!$D$4:$D$35</c:f>
              <c:numCache>
                <c:formatCode>0.0</c:formatCode>
                <c:ptCount val="32"/>
                <c:pt idx="0">
                  <c:v>8.1081081081081088</c:v>
                </c:pt>
                <c:pt idx="1">
                  <c:v>19.230769230769234</c:v>
                </c:pt>
                <c:pt idx="3">
                  <c:v>11.111111111111111</c:v>
                </c:pt>
                <c:pt idx="4">
                  <c:v>23.809523809523807</c:v>
                </c:pt>
                <c:pt idx="6">
                  <c:v>0</c:v>
                </c:pt>
                <c:pt idx="7">
                  <c:v>0</c:v>
                </c:pt>
                <c:pt idx="9">
                  <c:v>0</c:v>
                </c:pt>
                <c:pt idx="10">
                  <c:v>0</c:v>
                </c:pt>
                <c:pt idx="12">
                  <c:v>0</c:v>
                </c:pt>
                <c:pt idx="13">
                  <c:v>0</c:v>
                </c:pt>
                <c:pt idx="15">
                  <c:v>8.536585365853659</c:v>
                </c:pt>
                <c:pt idx="16">
                  <c:v>14.893617021276595</c:v>
                </c:pt>
                <c:pt idx="18">
                  <c:v>16.666666666666664</c:v>
                </c:pt>
                <c:pt idx="19">
                  <c:v>0.90909090909090906</c:v>
                </c:pt>
                <c:pt idx="21">
                  <c:v>0</c:v>
                </c:pt>
                <c:pt idx="22">
                  <c:v>0</c:v>
                </c:pt>
                <c:pt idx="24">
                  <c:v>7.3170731707317067</c:v>
                </c:pt>
                <c:pt idx="25">
                  <c:v>4.6511627906976747</c:v>
                </c:pt>
                <c:pt idx="27">
                  <c:v>0</c:v>
                </c:pt>
                <c:pt idx="28">
                  <c:v>4</c:v>
                </c:pt>
                <c:pt idx="30">
                  <c:v>7.7097505668934234</c:v>
                </c:pt>
                <c:pt idx="31">
                  <c:v>7.4235807860262017</c:v>
                </c:pt>
              </c:numCache>
            </c:numRef>
          </c:val>
          <c:extLst>
            <c:ext xmlns:c16="http://schemas.microsoft.com/office/drawing/2014/chart" uri="{C3380CC4-5D6E-409C-BE32-E72D297353CC}">
              <c16:uniqueId val="{00000000-5E7B-4663-B8F5-0ADBCF36ED59}"/>
            </c:ext>
          </c:extLst>
        </c:ser>
        <c:ser>
          <c:idx val="1"/>
          <c:order val="1"/>
          <c:tx>
            <c:strRef>
              <c:f>Sheet3!$E$3</c:f>
              <c:strCache>
                <c:ptCount val="1"/>
                <c:pt idx="0">
                  <c:v>deceased donor Tx</c:v>
                </c:pt>
              </c:strCache>
            </c:strRef>
          </c:tx>
          <c:spPr>
            <a:solidFill>
              <a:srgbClr val="007586">
                <a:alpha val="7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E7B-4663-B8F5-0ADBCF36ED59}"/>
                </c:ext>
              </c:extLst>
            </c:dLbl>
            <c:dLbl>
              <c:idx val="1"/>
              <c:delete val="1"/>
              <c:extLst>
                <c:ext xmlns:c15="http://schemas.microsoft.com/office/drawing/2012/chart" uri="{CE6537A1-D6FC-4f65-9D91-7224C49458BB}"/>
                <c:ext xmlns:c16="http://schemas.microsoft.com/office/drawing/2014/chart" uri="{C3380CC4-5D6E-409C-BE32-E72D297353CC}">
                  <c16:uniqueId val="{00000002-5E7B-4663-B8F5-0ADBCF36ED59}"/>
                </c:ext>
              </c:extLst>
            </c:dLbl>
            <c:dLbl>
              <c:idx val="3"/>
              <c:layout>
                <c:manualLayout>
                  <c:x val="0"/>
                  <c:y val="-0.44433723833301325"/>
                </c:manualLayout>
              </c:layout>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E7B-4663-B8F5-0ADBCF36ED59}"/>
                </c:ext>
              </c:extLst>
            </c:dLbl>
            <c:dLbl>
              <c:idx val="4"/>
              <c:delete val="1"/>
              <c:extLst>
                <c:ext xmlns:c15="http://schemas.microsoft.com/office/drawing/2012/chart" uri="{CE6537A1-D6FC-4f65-9D91-7224C49458BB}"/>
                <c:ext xmlns:c16="http://schemas.microsoft.com/office/drawing/2014/chart" uri="{C3380CC4-5D6E-409C-BE32-E72D297353CC}">
                  <c16:uniqueId val="{00000004-5E7B-4663-B8F5-0ADBCF36ED59}"/>
                </c:ext>
              </c:extLst>
            </c:dLbl>
            <c:dLbl>
              <c:idx val="6"/>
              <c:layout>
                <c:manualLayout>
                  <c:x val="2.9562246690390453E-4"/>
                  <c:y val="-0.27963099933132274"/>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E7B-4663-B8F5-0ADBCF36ED59}"/>
                </c:ext>
              </c:extLst>
            </c:dLbl>
            <c:dLbl>
              <c:idx val="7"/>
              <c:delete val="1"/>
              <c:extLst>
                <c:ext xmlns:c15="http://schemas.microsoft.com/office/drawing/2012/chart" uri="{CE6537A1-D6FC-4f65-9D91-7224C49458BB}"/>
                <c:ext xmlns:c16="http://schemas.microsoft.com/office/drawing/2014/chart" uri="{C3380CC4-5D6E-409C-BE32-E72D297353CC}">
                  <c16:uniqueId val="{00000006-5E7B-4663-B8F5-0ADBCF36ED59}"/>
                </c:ext>
              </c:extLst>
            </c:dLbl>
            <c:dLbl>
              <c:idx val="9"/>
              <c:delete val="1"/>
              <c:extLst>
                <c:ext xmlns:c15="http://schemas.microsoft.com/office/drawing/2012/chart" uri="{CE6537A1-D6FC-4f65-9D91-7224C49458BB}"/>
                <c:ext xmlns:c16="http://schemas.microsoft.com/office/drawing/2014/chart" uri="{C3380CC4-5D6E-409C-BE32-E72D297353CC}">
                  <c16:uniqueId val="{00000007-5E7B-4663-B8F5-0ADBCF36ED59}"/>
                </c:ext>
              </c:extLst>
            </c:dLbl>
            <c:dLbl>
              <c:idx val="10"/>
              <c:delete val="1"/>
              <c:extLst>
                <c:ext xmlns:c15="http://schemas.microsoft.com/office/drawing/2012/chart" uri="{CE6537A1-D6FC-4f65-9D91-7224C49458BB}"/>
                <c:ext xmlns:c16="http://schemas.microsoft.com/office/drawing/2014/chart" uri="{C3380CC4-5D6E-409C-BE32-E72D297353CC}">
                  <c16:uniqueId val="{00000008-5E7B-4663-B8F5-0ADBCF36ED59}"/>
                </c:ext>
              </c:extLst>
            </c:dLbl>
            <c:dLbl>
              <c:idx val="12"/>
              <c:delete val="1"/>
              <c:extLst>
                <c:ext xmlns:c15="http://schemas.microsoft.com/office/drawing/2012/chart" uri="{CE6537A1-D6FC-4f65-9D91-7224C49458BB}"/>
                <c:ext xmlns:c16="http://schemas.microsoft.com/office/drawing/2014/chart" uri="{C3380CC4-5D6E-409C-BE32-E72D297353CC}">
                  <c16:uniqueId val="{00000009-5E7B-4663-B8F5-0ADBCF36ED59}"/>
                </c:ext>
              </c:extLst>
            </c:dLbl>
            <c:dLbl>
              <c:idx val="13"/>
              <c:layout>
                <c:manualLayout>
                  <c:x val="-2.0030048226678319E-3"/>
                  <c:y val="-0.31484642468471935"/>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(6)</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4106166195145666E-2"/>
                      <c:h val="6.4991997951475575E-2"/>
                    </c:manualLayout>
                  </c15:layout>
                  <c15:showDataLabelsRange val="0"/>
                </c:ext>
                <c:ext xmlns:c16="http://schemas.microsoft.com/office/drawing/2014/chart" uri="{C3380CC4-5D6E-409C-BE32-E72D297353CC}">
                  <c16:uniqueId val="{0000000A-5E7B-4663-B8F5-0ADBCF36ED59}"/>
                </c:ext>
              </c:extLst>
            </c:dLbl>
            <c:dLbl>
              <c:idx val="15"/>
              <c:delete val="1"/>
              <c:extLst>
                <c:ext xmlns:c15="http://schemas.microsoft.com/office/drawing/2012/chart" uri="{CE6537A1-D6FC-4f65-9D91-7224C49458BB}"/>
                <c:ext xmlns:c16="http://schemas.microsoft.com/office/drawing/2014/chart" uri="{C3380CC4-5D6E-409C-BE32-E72D297353CC}">
                  <c16:uniqueId val="{0000000B-5E7B-4663-B8F5-0ADBCF36ED59}"/>
                </c:ext>
              </c:extLst>
            </c:dLbl>
            <c:dLbl>
              <c:idx val="16"/>
              <c:delete val="1"/>
              <c:extLst>
                <c:ext xmlns:c15="http://schemas.microsoft.com/office/drawing/2012/chart" uri="{CE6537A1-D6FC-4f65-9D91-7224C49458BB}"/>
                <c:ext xmlns:c16="http://schemas.microsoft.com/office/drawing/2014/chart" uri="{C3380CC4-5D6E-409C-BE32-E72D297353CC}">
                  <c16:uniqueId val="{0000000C-5E7B-4663-B8F5-0ADBCF36ED59}"/>
                </c:ext>
              </c:extLst>
            </c:dLbl>
            <c:dLbl>
              <c:idx val="18"/>
              <c:delete val="1"/>
              <c:extLst>
                <c:ext xmlns:c15="http://schemas.microsoft.com/office/drawing/2012/chart" uri="{CE6537A1-D6FC-4f65-9D91-7224C49458BB}"/>
                <c:ext xmlns:c16="http://schemas.microsoft.com/office/drawing/2014/chart" uri="{C3380CC4-5D6E-409C-BE32-E72D297353CC}">
                  <c16:uniqueId val="{0000000D-5E7B-4663-B8F5-0ADBCF36ED59}"/>
                </c:ext>
              </c:extLst>
            </c:dLbl>
            <c:dLbl>
              <c:idx val="19"/>
              <c:layout>
                <c:manualLayout>
                  <c:x val="2.0030048226678319E-3"/>
                  <c:y val="-0.49717534088726711"/>
                </c:manualLayout>
              </c:layout>
              <c:tx>
                <c:rich>
                  <a:bodyPr/>
                  <a:lstStyle/>
                  <a:p>
                    <a:r>
                      <a:rPr lang="en-US"/>
                      <a:t>(44)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7B-4663-B8F5-0ADBCF36ED59}"/>
                </c:ext>
              </c:extLst>
            </c:dLbl>
            <c:dLbl>
              <c:idx val="21"/>
              <c:layout>
                <c:manualLayout>
                  <c:x val="-0.17512018817520592"/>
                  <c:y val="-0.39121336662185519"/>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E7B-4663-B8F5-0ADBCF36ED59}"/>
                </c:ext>
              </c:extLst>
            </c:dLbl>
            <c:dLbl>
              <c:idx val="22"/>
              <c:delete val="1"/>
              <c:extLst>
                <c:ext xmlns:c15="http://schemas.microsoft.com/office/drawing/2012/chart" uri="{CE6537A1-D6FC-4f65-9D91-7224C49458BB}"/>
                <c:ext xmlns:c16="http://schemas.microsoft.com/office/drawing/2014/chart" uri="{C3380CC4-5D6E-409C-BE32-E72D297353CC}">
                  <c16:uniqueId val="{00000010-5E7B-4663-B8F5-0ADBCF36ED59}"/>
                </c:ext>
              </c:extLst>
            </c:dLbl>
            <c:dLbl>
              <c:idx val="24"/>
              <c:delete val="1"/>
              <c:extLst>
                <c:ext xmlns:c15="http://schemas.microsoft.com/office/drawing/2012/chart" uri="{CE6537A1-D6FC-4f65-9D91-7224C49458BB}"/>
                <c:ext xmlns:c16="http://schemas.microsoft.com/office/drawing/2014/chart" uri="{C3380CC4-5D6E-409C-BE32-E72D297353CC}">
                  <c16:uniqueId val="{00000011-5E7B-4663-B8F5-0ADBCF36ED59}"/>
                </c:ext>
              </c:extLst>
            </c:dLbl>
            <c:dLbl>
              <c:idx val="25"/>
              <c:delete val="1"/>
              <c:extLst>
                <c:ext xmlns:c15="http://schemas.microsoft.com/office/drawing/2012/chart" uri="{CE6537A1-D6FC-4f65-9D91-7224C49458BB}"/>
                <c:ext xmlns:c16="http://schemas.microsoft.com/office/drawing/2014/chart" uri="{C3380CC4-5D6E-409C-BE32-E72D297353CC}">
                  <c16:uniqueId val="{00000012-5E7B-4663-B8F5-0ADBCF36ED59}"/>
                </c:ext>
              </c:extLst>
            </c:dLbl>
            <c:dLbl>
              <c:idx val="27"/>
              <c:delete val="1"/>
              <c:extLst>
                <c:ext xmlns:c15="http://schemas.microsoft.com/office/drawing/2012/chart" uri="{CE6537A1-D6FC-4f65-9D91-7224C49458BB}"/>
                <c:ext xmlns:c16="http://schemas.microsoft.com/office/drawing/2014/chart" uri="{C3380CC4-5D6E-409C-BE32-E72D297353CC}">
                  <c16:uniqueId val="{00000013-5E7B-4663-B8F5-0ADBCF36ED59}"/>
                </c:ext>
              </c:extLst>
            </c:dLbl>
            <c:dLbl>
              <c:idx val="28"/>
              <c:delete val="1"/>
              <c:extLst>
                <c:ext xmlns:c15="http://schemas.microsoft.com/office/drawing/2012/chart" uri="{CE6537A1-D6FC-4f65-9D91-7224C49458BB}"/>
                <c:ext xmlns:c16="http://schemas.microsoft.com/office/drawing/2014/chart" uri="{C3380CC4-5D6E-409C-BE32-E72D297353CC}">
                  <c16:uniqueId val="{00000014-5E7B-4663-B8F5-0ADBCF36ED59}"/>
                </c:ext>
              </c:extLst>
            </c:dLbl>
            <c:dLbl>
              <c:idx val="30"/>
              <c:delete val="1"/>
              <c:extLst>
                <c:ext xmlns:c15="http://schemas.microsoft.com/office/drawing/2012/chart" uri="{CE6537A1-D6FC-4f65-9D91-7224C49458BB}"/>
                <c:ext xmlns:c16="http://schemas.microsoft.com/office/drawing/2014/chart" uri="{C3380CC4-5D6E-409C-BE32-E72D297353CC}">
                  <c16:uniqueId val="{00000015-5E7B-4663-B8F5-0ADBCF36ED59}"/>
                </c:ext>
              </c:extLst>
            </c:dLbl>
            <c:dLbl>
              <c:idx val="31"/>
              <c:delete val="1"/>
              <c:extLst>
                <c:ext xmlns:c15="http://schemas.microsoft.com/office/drawing/2012/chart" uri="{CE6537A1-D6FC-4f65-9D91-7224C49458BB}"/>
                <c:ext xmlns:c16="http://schemas.microsoft.com/office/drawing/2014/chart" uri="{C3380CC4-5D6E-409C-BE32-E72D297353CC}">
                  <c16:uniqueId val="{00000016-5E7B-4663-B8F5-0ADBCF36ED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Sheet3!$E$4:$E$35</c:f>
              <c:numCache>
                <c:formatCode>0.0</c:formatCode>
                <c:ptCount val="32"/>
                <c:pt idx="0">
                  <c:v>0</c:v>
                </c:pt>
                <c:pt idx="1">
                  <c:v>0</c:v>
                </c:pt>
                <c:pt idx="3">
                  <c:v>11.111111111111111</c:v>
                </c:pt>
                <c:pt idx="4">
                  <c:v>0</c:v>
                </c:pt>
                <c:pt idx="6">
                  <c:v>4.5454545454545459</c:v>
                </c:pt>
                <c:pt idx="7">
                  <c:v>0</c:v>
                </c:pt>
                <c:pt idx="9">
                  <c:v>0</c:v>
                </c:pt>
                <c:pt idx="10">
                  <c:v>0</c:v>
                </c:pt>
                <c:pt idx="12">
                  <c:v>0</c:v>
                </c:pt>
                <c:pt idx="13">
                  <c:v>3.8461538461538463</c:v>
                </c:pt>
                <c:pt idx="15">
                  <c:v>3.6585365853658534</c:v>
                </c:pt>
                <c:pt idx="16">
                  <c:v>9.5744680851063837</c:v>
                </c:pt>
                <c:pt idx="18">
                  <c:v>0.98039215686274506</c:v>
                </c:pt>
                <c:pt idx="19">
                  <c:v>3.6363636363636362</c:v>
                </c:pt>
                <c:pt idx="21">
                  <c:v>3.225806451612903</c:v>
                </c:pt>
                <c:pt idx="22">
                  <c:v>3.8461538461538463</c:v>
                </c:pt>
                <c:pt idx="24">
                  <c:v>2.4390243902439024</c:v>
                </c:pt>
                <c:pt idx="25">
                  <c:v>4.6511627906976747</c:v>
                </c:pt>
                <c:pt idx="27">
                  <c:v>0</c:v>
                </c:pt>
                <c:pt idx="28">
                  <c:v>0</c:v>
                </c:pt>
                <c:pt idx="30">
                  <c:v>2.4943310657596371</c:v>
                </c:pt>
                <c:pt idx="31">
                  <c:v>3.7117903930131009</c:v>
                </c:pt>
              </c:numCache>
            </c:numRef>
          </c:val>
          <c:extLst>
            <c:ext xmlns:c16="http://schemas.microsoft.com/office/drawing/2014/chart" uri="{C3380CC4-5D6E-409C-BE32-E72D297353CC}">
              <c16:uniqueId val="{00000017-5E7B-4663-B8F5-0ADBCF36ED59}"/>
            </c:ext>
          </c:extLst>
        </c:ser>
        <c:ser>
          <c:idx val="2"/>
          <c:order val="2"/>
          <c:tx>
            <c:strRef>
              <c:f>Sheet3!$F$3</c:f>
              <c:strCache>
                <c:ptCount val="1"/>
                <c:pt idx="0">
                  <c:v>On waiting list</c:v>
                </c:pt>
              </c:strCache>
              <c:extLst xmlns:c15="http://schemas.microsoft.com/office/drawing/2012/chart"/>
            </c:strRef>
          </c:tx>
          <c:spPr>
            <a:solidFill>
              <a:srgbClr val="BFDDE1">
                <a:alpha val="70000"/>
              </a:srgbClr>
            </a:solidFill>
            <a:ln>
              <a:noFill/>
            </a:ln>
            <a:effectLst/>
          </c:spPr>
          <c:invertIfNegative val="0"/>
          <c:dLbls>
            <c:dLbl>
              <c:idx val="0"/>
              <c:layout>
                <c:manualLayout>
                  <c:x val="4.2712233557219426E-3"/>
                  <c:y val="-0.13864818024263431"/>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E7B-4663-B8F5-0ADBCF36ED59}"/>
                </c:ext>
              </c:extLst>
            </c:dLbl>
            <c:dLbl>
              <c:idx val="1"/>
              <c:layout>
                <c:manualLayout>
                  <c:x val="1.0787474012850424E-3"/>
                  <c:y val="-0.14489325432259118"/>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E7B-4663-B8F5-0ADBCF36ED59}"/>
                </c:ext>
              </c:extLst>
            </c:dLbl>
            <c:dLbl>
              <c:idx val="3"/>
              <c:delete val="1"/>
              <c:extLst>
                <c:ext xmlns:c15="http://schemas.microsoft.com/office/drawing/2012/chart" uri="{CE6537A1-D6FC-4f65-9D91-7224C49458BB}">
                  <c15:layout>
                    <c:manualLayout>
                      <c:w val="3.8292589543721944E-2"/>
                      <c:h val="6.3244937841133095E-2"/>
                    </c:manualLayout>
                  </c15:layout>
                </c:ext>
                <c:ext xmlns:c16="http://schemas.microsoft.com/office/drawing/2014/chart" uri="{C3380CC4-5D6E-409C-BE32-E72D297353CC}">
                  <c16:uniqueId val="{0000001A-5E7B-4663-B8F5-0ADBCF36ED59}"/>
                </c:ext>
              </c:extLst>
            </c:dLbl>
            <c:dLbl>
              <c:idx val="4"/>
              <c:layout>
                <c:manualLayout>
                  <c:x val="2.4618033288993668E-3"/>
                  <c:y val="-0.17401702835925997"/>
                </c:manualLayout>
              </c:layout>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E7B-4663-B8F5-0ADBCF36ED59}"/>
                </c:ext>
              </c:extLst>
            </c:dLbl>
            <c:dLbl>
              <c:idx val="6"/>
              <c:delete val="1"/>
              <c:extLst>
                <c:ext xmlns:c15="http://schemas.microsoft.com/office/drawing/2012/chart" uri="{CE6537A1-D6FC-4f65-9D91-7224C49458BB}"/>
                <c:ext xmlns:c16="http://schemas.microsoft.com/office/drawing/2014/chart" uri="{C3380CC4-5D6E-409C-BE32-E72D297353CC}">
                  <c16:uniqueId val="{0000001C-5E7B-4663-B8F5-0ADBCF36ED59}"/>
                </c:ext>
              </c:extLst>
            </c:dLbl>
            <c:dLbl>
              <c:idx val="7"/>
              <c:layout>
                <c:manualLayout>
                  <c:x val="2.9562246690390453E-4"/>
                  <c:y val="-0.15125970605494071"/>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E7B-4663-B8F5-0ADBCF36ED59}"/>
                </c:ext>
              </c:extLst>
            </c:dLbl>
            <c:dLbl>
              <c:idx val="9"/>
              <c:layout>
                <c:manualLayout>
                  <c:x val="0"/>
                  <c:y val="-0.11746213430638243"/>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E7B-4663-B8F5-0ADBCF36ED59}"/>
                </c:ext>
              </c:extLst>
            </c:dLbl>
            <c:dLbl>
              <c:idx val="10"/>
              <c:layout>
                <c:manualLayout>
                  <c:x val="-1.8399892109570669E-3"/>
                  <c:y val="-0.17946833335607751"/>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E7B-4663-B8F5-0ADBCF36ED59}"/>
                </c:ext>
              </c:extLst>
            </c:dLbl>
            <c:dLbl>
              <c:idx val="12"/>
              <c:layout>
                <c:manualLayout>
                  <c:x val="-2.9562246690390453E-4"/>
                  <c:y val="-0.15748004203114133"/>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E7B-4663-B8F5-0ADBCF36ED59}"/>
                </c:ext>
              </c:extLst>
            </c:dLbl>
            <c:dLbl>
              <c:idx val="13"/>
              <c:delete val="1"/>
              <c:extLst>
                <c:ext xmlns:c15="http://schemas.microsoft.com/office/drawing/2012/chart" uri="{CE6537A1-D6FC-4f65-9D91-7224C49458BB}"/>
                <c:ext xmlns:c16="http://schemas.microsoft.com/office/drawing/2014/chart" uri="{C3380CC4-5D6E-409C-BE32-E72D297353CC}">
                  <c16:uniqueId val="{00000021-5E7B-4663-B8F5-0ADBCF36ED59}"/>
                </c:ext>
              </c:extLst>
            </c:dLbl>
            <c:dLbl>
              <c:idx val="15"/>
              <c:layout>
                <c:manualLayout>
                  <c:x val="3.1472252705397101E-2"/>
                  <c:y val="-0.32573151526790861"/>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E7B-4663-B8F5-0ADBCF36ED59}"/>
                </c:ext>
              </c:extLst>
            </c:dLbl>
            <c:dLbl>
              <c:idx val="16"/>
              <c:delete val="1"/>
              <c:extLst>
                <c:ext xmlns:c15="http://schemas.microsoft.com/office/drawing/2012/chart" uri="{CE6537A1-D6FC-4f65-9D91-7224C49458BB}">
                  <c15:layout>
                    <c:manualLayout>
                      <c:w val="0.10859585381923037"/>
                      <c:h val="4.154259746994364E-2"/>
                    </c:manualLayout>
                  </c15:layout>
                </c:ext>
                <c:ext xmlns:c16="http://schemas.microsoft.com/office/drawing/2014/chart" uri="{C3380CC4-5D6E-409C-BE32-E72D297353CC}">
                  <c16:uniqueId val="{00000023-5E7B-4663-B8F5-0ADBCF36ED59}"/>
                </c:ext>
              </c:extLst>
            </c:dLbl>
            <c:dLbl>
              <c:idx val="18"/>
              <c:layout>
                <c:manualLayout>
                  <c:x val="-1.8399264029439497E-3"/>
                  <c:y val="-0.19931271477663232"/>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5E7B-4663-B8F5-0ADBCF36ED59}"/>
                </c:ext>
              </c:extLst>
            </c:dLbl>
            <c:dLbl>
              <c:idx val="19"/>
              <c:delete val="1"/>
              <c:extLst>
                <c:ext xmlns:c15="http://schemas.microsoft.com/office/drawing/2012/chart" uri="{CE6537A1-D6FC-4f65-9D91-7224C49458BB}"/>
                <c:ext xmlns:c16="http://schemas.microsoft.com/office/drawing/2014/chart" uri="{C3380CC4-5D6E-409C-BE32-E72D297353CC}">
                  <c16:uniqueId val="{00000025-5E7B-4663-B8F5-0ADBCF36ED59}"/>
                </c:ext>
              </c:extLst>
            </c:dLbl>
            <c:dLbl>
              <c:idx val="21"/>
              <c:layout>
                <c:manualLayout>
                  <c:x val="0"/>
                  <c:y val="-0.18828525702579865"/>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E7B-4663-B8F5-0ADBCF36ED59}"/>
                </c:ext>
              </c:extLst>
            </c:dLbl>
            <c:dLbl>
              <c:idx val="22"/>
              <c:layout>
                <c:manualLayout>
                  <c:x val="-2.0030048226678319E-3"/>
                  <c:y val="-0.2488766404199475"/>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layout>
                    <c:manualLayout>
                      <c:w val="4.8112175840481324E-2"/>
                      <c:h val="4.5479802829524352E-2"/>
                    </c:manualLayout>
                  </c15:layout>
                  <c15:showDataLabelsRange val="0"/>
                </c:ext>
                <c:ext xmlns:c16="http://schemas.microsoft.com/office/drawing/2014/chart" uri="{C3380CC4-5D6E-409C-BE32-E72D297353CC}">
                  <c16:uniqueId val="{00000027-5E7B-4663-B8F5-0ADBCF36ED59}"/>
                </c:ext>
              </c:extLst>
            </c:dLbl>
            <c:dLbl>
              <c:idx val="24"/>
              <c:layout>
                <c:manualLayout>
                  <c:x val="2.1660841129543312E-3"/>
                  <c:y val="-0.14536918251072276"/>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E7B-4663-B8F5-0ADBCF36ED59}"/>
                </c:ext>
              </c:extLst>
            </c:dLbl>
            <c:dLbl>
              <c:idx val="25"/>
              <c:layout>
                <c:manualLayout>
                  <c:x val="0"/>
                  <c:y val="-0.13428867752016274"/>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E7B-4663-B8F5-0ADBCF36ED59}"/>
                </c:ext>
              </c:extLst>
            </c:dLbl>
            <c:dLbl>
              <c:idx val="27"/>
              <c:layout>
                <c:manualLayout>
                  <c:x val="0"/>
                  <c:y val="-0.13763561183968129"/>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E7B-4663-B8F5-0ADBCF36ED59}"/>
                </c:ext>
              </c:extLst>
            </c:dLbl>
            <c:dLbl>
              <c:idx val="28"/>
              <c:layout>
                <c:manualLayout>
                  <c:x val="-3.2143478127805093E-3"/>
                  <c:y val="-0.19536729485937307"/>
                </c:manualLayout>
              </c:layout>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E7B-4663-B8F5-0ADBCF36ED59}"/>
                </c:ext>
              </c:extLst>
            </c:dLbl>
            <c:dLbl>
              <c:idx val="30"/>
              <c:layout>
                <c:manualLayout>
                  <c:x val="2.776204113446408E-2"/>
                  <c:y val="-0.24423967735740348"/>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(162)</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0355541241869292E-2"/>
                      <c:h val="6.1739965431150373E-2"/>
                    </c:manualLayout>
                  </c15:layout>
                  <c15:showDataLabelsRange val="0"/>
                </c:ext>
                <c:ext xmlns:c16="http://schemas.microsoft.com/office/drawing/2014/chart" uri="{C3380CC4-5D6E-409C-BE32-E72D297353CC}">
                  <c16:uniqueId val="{0000002C-5E7B-4663-B8F5-0ADBCF36ED59}"/>
                </c:ext>
              </c:extLst>
            </c:dLbl>
            <c:dLbl>
              <c:idx val="31"/>
              <c:layout>
                <c:manualLayout>
                  <c:x val="-3.1935151851423239E-2"/>
                  <c:y val="-0.1296768452723897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(131)</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3689277581424812E-2"/>
                      <c:h val="7.2738438024536348E-2"/>
                    </c:manualLayout>
                  </c15:layout>
                  <c15:showDataLabelsRange val="0"/>
                </c:ext>
                <c:ext xmlns:c16="http://schemas.microsoft.com/office/drawing/2014/chart" uri="{C3380CC4-5D6E-409C-BE32-E72D297353CC}">
                  <c16:uniqueId val="{0000002D-5E7B-4663-B8F5-0ADBCF36ED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Sheet3!$B$4:$B$35</c:f>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Sheet3!$F$4:$F$35</c:f>
              <c:numCache>
                <c:formatCode>0.0</c:formatCode>
                <c:ptCount val="32"/>
                <c:pt idx="0">
                  <c:v>16.216216216216218</c:v>
                </c:pt>
                <c:pt idx="1">
                  <c:v>15.384615384615385</c:v>
                </c:pt>
                <c:pt idx="3">
                  <c:v>27.777777777777779</c:v>
                </c:pt>
                <c:pt idx="4">
                  <c:v>19.047619047619047</c:v>
                </c:pt>
                <c:pt idx="6">
                  <c:v>18.181818181818183</c:v>
                </c:pt>
                <c:pt idx="7">
                  <c:v>20.833333333333336</c:v>
                </c:pt>
                <c:pt idx="9">
                  <c:v>13.333333333333334</c:v>
                </c:pt>
                <c:pt idx="10">
                  <c:v>23.52941176470588</c:v>
                </c:pt>
                <c:pt idx="12">
                  <c:v>21.052631578947366</c:v>
                </c:pt>
                <c:pt idx="13">
                  <c:v>19.230769230769234</c:v>
                </c:pt>
                <c:pt idx="15">
                  <c:v>17.073170731707318</c:v>
                </c:pt>
                <c:pt idx="16">
                  <c:v>19.148936170212767</c:v>
                </c:pt>
                <c:pt idx="18">
                  <c:v>22.549019607843139</c:v>
                </c:pt>
                <c:pt idx="19">
                  <c:v>35.454545454545453</c:v>
                </c:pt>
                <c:pt idx="21">
                  <c:v>22.58064516129032</c:v>
                </c:pt>
                <c:pt idx="22">
                  <c:v>34.615384615384613</c:v>
                </c:pt>
                <c:pt idx="24">
                  <c:v>17.073170731707318</c:v>
                </c:pt>
                <c:pt idx="25">
                  <c:v>16.279069767441861</c:v>
                </c:pt>
                <c:pt idx="27">
                  <c:v>16.071428571428573</c:v>
                </c:pt>
                <c:pt idx="28">
                  <c:v>24</c:v>
                </c:pt>
                <c:pt idx="30">
                  <c:v>19.501133786848072</c:v>
                </c:pt>
                <c:pt idx="31">
                  <c:v>24.23580786026201</c:v>
                </c:pt>
              </c:numCache>
              <c:extLst xmlns:c15="http://schemas.microsoft.com/office/drawing/2012/chart"/>
            </c:numRef>
          </c:val>
          <c:extLst>
            <c:ext xmlns:c16="http://schemas.microsoft.com/office/drawing/2014/chart" uri="{C3380CC4-5D6E-409C-BE32-E72D297353CC}">
              <c16:uniqueId val="{0000002E-5E7B-4663-B8F5-0ADBCF36ED59}"/>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3"/>
                <c:order val="3"/>
                <c:tx>
                  <c:strRef>
                    <c:extLst>
                      <c:ext uri="{02D57815-91ED-43cb-92C2-25804820EDAC}">
                        <c15:formulaRef>
                          <c15:sqref>Sheet3!$G$3</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Sheet3!$G$4:$G$35</c15:sqref>
                        </c15:formulaRef>
                      </c:ext>
                    </c:extLst>
                    <c:numCache>
                      <c:formatCode>0.0</c:formatCode>
                      <c:ptCount val="32"/>
                      <c:pt idx="0">
                        <c:v>75.675675675675677</c:v>
                      </c:pt>
                      <c:pt idx="1">
                        <c:v>65.384615384615387</c:v>
                      </c:pt>
                      <c:pt idx="3">
                        <c:v>27.777777777777779</c:v>
                      </c:pt>
                      <c:pt idx="4">
                        <c:v>42.857142857142854</c:v>
                      </c:pt>
                      <c:pt idx="6">
                        <c:v>45.454545454545453</c:v>
                      </c:pt>
                      <c:pt idx="7">
                        <c:v>54.166666666666664</c:v>
                      </c:pt>
                      <c:pt idx="9">
                        <c:v>66.666666666666657</c:v>
                      </c:pt>
                      <c:pt idx="10">
                        <c:v>76.470588235294116</c:v>
                      </c:pt>
                      <c:pt idx="12">
                        <c:v>42.105263157894733</c:v>
                      </c:pt>
                      <c:pt idx="13">
                        <c:v>53.846153846153847</c:v>
                      </c:pt>
                      <c:pt idx="15">
                        <c:v>24.390243902439025</c:v>
                      </c:pt>
                      <c:pt idx="16">
                        <c:v>37.234042553191486</c:v>
                      </c:pt>
                      <c:pt idx="18">
                        <c:v>39.215686274509807</c:v>
                      </c:pt>
                      <c:pt idx="19">
                        <c:v>46.36363636363636</c:v>
                      </c:pt>
                      <c:pt idx="21">
                        <c:v>22.58064516129032</c:v>
                      </c:pt>
                      <c:pt idx="22">
                        <c:v>30.76923076923077</c:v>
                      </c:pt>
                      <c:pt idx="24">
                        <c:v>60.975609756097562</c:v>
                      </c:pt>
                      <c:pt idx="25">
                        <c:v>69.767441860465112</c:v>
                      </c:pt>
                      <c:pt idx="27">
                        <c:v>17.857142857142858</c:v>
                      </c:pt>
                      <c:pt idx="28">
                        <c:v>18</c:v>
                      </c:pt>
                      <c:pt idx="30">
                        <c:v>38.095238095238095</c:v>
                      </c:pt>
                      <c:pt idx="31">
                        <c:v>45.414847161572055</c:v>
                      </c:pt>
                    </c:numCache>
                  </c:numRef>
                </c:val>
                <c:extLst>
                  <c:ext xmlns:c16="http://schemas.microsoft.com/office/drawing/2014/chart" uri="{C3380CC4-5D6E-409C-BE32-E72D297353CC}">
                    <c16:uniqueId val="{0000002F-5E7B-4663-B8F5-0ADBCF36ED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Sheet3!$H$3</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Sheet3!$B$4:$B$35</c15:sqref>
                        </c15:formulaRef>
                      </c:ext>
                    </c:extLst>
                    <c:strCache>
                      <c:ptCount val="31"/>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Sheet3!$H$4:$H$35</c15:sqref>
                        </c15:formulaRef>
                      </c:ext>
                    </c:extLst>
                    <c:numCache>
                      <c:formatCode>0.0</c:formatCode>
                      <c:ptCount val="32"/>
                      <c:pt idx="0">
                        <c:v>0</c:v>
                      </c:pt>
                      <c:pt idx="1">
                        <c:v>0</c:v>
                      </c:pt>
                      <c:pt idx="3">
                        <c:v>22.222222222222221</c:v>
                      </c:pt>
                      <c:pt idx="4">
                        <c:v>14.285714285714285</c:v>
                      </c:pt>
                      <c:pt idx="6">
                        <c:v>31.818181818181817</c:v>
                      </c:pt>
                      <c:pt idx="7">
                        <c:v>25</c:v>
                      </c:pt>
                      <c:pt idx="9">
                        <c:v>20</c:v>
                      </c:pt>
                      <c:pt idx="10">
                        <c:v>0</c:v>
                      </c:pt>
                      <c:pt idx="12">
                        <c:v>36.84210526315789</c:v>
                      </c:pt>
                      <c:pt idx="13">
                        <c:v>23.076923076923077</c:v>
                      </c:pt>
                      <c:pt idx="15">
                        <c:v>46.341463414634148</c:v>
                      </c:pt>
                      <c:pt idx="16">
                        <c:v>19.148936170212767</c:v>
                      </c:pt>
                      <c:pt idx="18">
                        <c:v>20.588235294117645</c:v>
                      </c:pt>
                      <c:pt idx="19">
                        <c:v>13.636363636363635</c:v>
                      </c:pt>
                      <c:pt idx="21">
                        <c:v>51.612903225806448</c:v>
                      </c:pt>
                      <c:pt idx="22">
                        <c:v>30.76923076923077</c:v>
                      </c:pt>
                      <c:pt idx="24">
                        <c:v>12.195121951219512</c:v>
                      </c:pt>
                      <c:pt idx="25">
                        <c:v>4.6511627906976747</c:v>
                      </c:pt>
                      <c:pt idx="27">
                        <c:v>66.071428571428569</c:v>
                      </c:pt>
                      <c:pt idx="28">
                        <c:v>54</c:v>
                      </c:pt>
                      <c:pt idx="30">
                        <c:v>32.199546485260768</c:v>
                      </c:pt>
                      <c:pt idx="31">
                        <c:v>19.213973799126638</c:v>
                      </c:pt>
                    </c:numCache>
                  </c:numRef>
                </c:val>
                <c:extLst xmlns:c15="http://schemas.microsoft.com/office/drawing/2012/chart">
                  <c:ext xmlns:c16="http://schemas.microsoft.com/office/drawing/2014/chart" uri="{C3380CC4-5D6E-409C-BE32-E72D297353CC}">
                    <c16:uniqueId val="{00000030-5E7B-4663-B8F5-0ADBCF36ED59}"/>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latin typeface="Arial" panose="020B0604020202020204" pitchFamily="34" charset="0"/>
                    <a:cs typeface="Arial" panose="020B0604020202020204" pitchFamily="34" charset="0"/>
                  </a:rPr>
                  <a:t>%</a:t>
                </a:r>
                <a:r>
                  <a:rPr lang="en-AU" sz="800" baseline="0">
                    <a:latin typeface="Arial" panose="020B0604020202020204" pitchFamily="34" charset="0"/>
                    <a:cs typeface="Arial" panose="020B0604020202020204" pitchFamily="34" charset="0"/>
                  </a:rPr>
                  <a:t> of new RRT patients</a:t>
                </a:r>
              </a:p>
              <a:p>
                <a:pPr>
                  <a:defRPr>
                    <a:latin typeface="Arial" panose="020B0604020202020204" pitchFamily="34" charset="0"/>
                    <a:cs typeface="Arial" panose="020B0604020202020204" pitchFamily="34" charset="0"/>
                  </a:defRPr>
                </a:pPr>
                <a:endParaRPr lang="en-AU">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8029631"/>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29793131424349323"/>
          <c:y val="0.92139134670021916"/>
          <c:w val="0.13734804308615059"/>
          <c:h val="5.79900965987499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0.0527</cdr:x>
      <cdr:y>0.45497</cdr:y>
    </cdr:from>
    <cdr:to>
      <cdr:x>1</cdr:x>
      <cdr:y>0.45658</cdr:y>
    </cdr:to>
    <cdr:sp macro="" textlink="">
      <cdr:nvSpPr>
        <cdr:cNvPr id="3" name="Straight Connector 2"/>
        <cdr:cNvSpPr/>
      </cdr:nvSpPr>
      <cdr:spPr>
        <a:xfrm xmlns:a="http://schemas.openxmlformats.org/drawingml/2006/main">
          <a:off x="341453" y="1637817"/>
          <a:ext cx="6138087" cy="5788"/>
        </a:xfrm>
        <a:prstGeom xmlns:a="http://schemas.openxmlformats.org/drawingml/2006/main" prst="line">
          <a:avLst/>
        </a:prstGeom>
        <a:ln xmlns:a="http://schemas.openxmlformats.org/drawingml/2006/main">
          <a:solidFill>
            <a:schemeClr val="tx1"/>
          </a:solidFill>
        </a:ln>
        <a:effectLst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0.81843</cdr:x>
      <cdr:y>0.01884</cdr:y>
    </cdr:from>
    <cdr:to>
      <cdr:x>0.99908</cdr:x>
      <cdr:y>0.08244</cdr:y>
    </cdr:to>
    <cdr:sp macro="" textlink="">
      <cdr:nvSpPr>
        <cdr:cNvPr id="4" name="TextBox 3"/>
        <cdr:cNvSpPr txBox="1"/>
      </cdr:nvSpPr>
      <cdr:spPr>
        <a:xfrm xmlns:a="http://schemas.openxmlformats.org/drawingml/2006/main">
          <a:off x="5303071" y="66762"/>
          <a:ext cx="1170507" cy="2253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800" b="1">
              <a:latin typeface="Arial" panose="020B0604020202020204" pitchFamily="34" charset="0"/>
              <a:cs typeface="Arial" panose="020B0604020202020204" pitchFamily="34" charset="0"/>
            </a:rPr>
            <a:t>Target = 80%</a:t>
          </a:r>
        </a:p>
      </cdr:txBody>
    </cdr:sp>
  </cdr:relSizeAnchor>
  <cdr:relSizeAnchor xmlns:cdr="http://schemas.openxmlformats.org/drawingml/2006/chartDrawing">
    <cdr:from>
      <cdr:x>0.25042</cdr:x>
      <cdr:y>0.93025</cdr:y>
    </cdr:from>
    <cdr:to>
      <cdr:x>0.4116</cdr:x>
      <cdr:y>0.99104</cdr:y>
    </cdr:to>
    <cdr:sp macro="" textlink="">
      <cdr:nvSpPr>
        <cdr:cNvPr id="5" name="TextBox 1"/>
        <cdr:cNvSpPr txBox="1"/>
      </cdr:nvSpPr>
      <cdr:spPr>
        <a:xfrm xmlns:a="http://schemas.openxmlformats.org/drawingml/2006/main">
          <a:off x="1622606" y="3296154"/>
          <a:ext cx="1044394" cy="2153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Above target</a:t>
          </a:r>
        </a:p>
      </cdr:txBody>
    </cdr:sp>
  </cdr:relSizeAnchor>
  <cdr:relSizeAnchor xmlns:cdr="http://schemas.openxmlformats.org/drawingml/2006/chartDrawing">
    <cdr:from>
      <cdr:x>0.22187</cdr:x>
      <cdr:y>0.94624</cdr:y>
    </cdr:from>
    <cdr:to>
      <cdr:x>0.24036</cdr:x>
      <cdr:y>0.96995</cdr:y>
    </cdr:to>
    <cdr:sp macro="" textlink="">
      <cdr:nvSpPr>
        <cdr:cNvPr id="6" name="Rectangle 5"/>
        <cdr:cNvSpPr/>
      </cdr:nvSpPr>
      <cdr:spPr>
        <a:xfrm xmlns:a="http://schemas.openxmlformats.org/drawingml/2006/main">
          <a:off x="2243867" y="3989743"/>
          <a:ext cx="186998" cy="99970"/>
        </a:xfrm>
        <a:prstGeom xmlns:a="http://schemas.openxmlformats.org/drawingml/2006/main" prst="rect">
          <a:avLst/>
        </a:prstGeom>
        <a:solidFill xmlns:a="http://schemas.openxmlformats.org/drawingml/2006/main">
          <a:srgbClr val="00758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0.51552</cdr:x>
      <cdr:y>0.93103</cdr:y>
    </cdr:from>
    <cdr:to>
      <cdr:x>0.70105</cdr:x>
      <cdr:y>0.99585</cdr:y>
    </cdr:to>
    <cdr:sp macro="" textlink="">
      <cdr:nvSpPr>
        <cdr:cNvPr id="7" name="TextBox 1"/>
        <cdr:cNvSpPr txBox="1"/>
      </cdr:nvSpPr>
      <cdr:spPr>
        <a:xfrm xmlns:a="http://schemas.openxmlformats.org/drawingml/2006/main">
          <a:off x="3340332" y="3298919"/>
          <a:ext cx="1202152" cy="229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Below target</a:t>
          </a:r>
        </a:p>
      </cdr:txBody>
    </cdr:sp>
  </cdr:relSizeAnchor>
  <cdr:relSizeAnchor xmlns:cdr="http://schemas.openxmlformats.org/drawingml/2006/chartDrawing">
    <cdr:from>
      <cdr:x>0.47878</cdr:x>
      <cdr:y>0.94859</cdr:y>
    </cdr:from>
    <cdr:to>
      <cdr:x>0.49726</cdr:x>
      <cdr:y>0.9723</cdr:y>
    </cdr:to>
    <cdr:sp macro="" textlink="">
      <cdr:nvSpPr>
        <cdr:cNvPr id="8" name="Rectangle 7"/>
        <cdr:cNvSpPr/>
      </cdr:nvSpPr>
      <cdr:spPr>
        <a:xfrm xmlns:a="http://schemas.openxmlformats.org/drawingml/2006/main">
          <a:off x="4686300" y="4318000"/>
          <a:ext cx="180960" cy="107944"/>
        </a:xfrm>
        <a:prstGeom xmlns:a="http://schemas.openxmlformats.org/drawingml/2006/main" prst="rect">
          <a:avLst/>
        </a:prstGeom>
        <a:solidFill xmlns:a="http://schemas.openxmlformats.org/drawingml/2006/main">
          <a:srgbClr val="DB31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0.74476</cdr:x>
      <cdr:y>0.93025</cdr:y>
    </cdr:from>
    <cdr:to>
      <cdr:x>0.94421</cdr:x>
      <cdr:y>1</cdr:y>
    </cdr:to>
    <cdr:sp macro="" textlink="">
      <cdr:nvSpPr>
        <cdr:cNvPr id="9" name="TextBox 1"/>
        <cdr:cNvSpPr txBox="1"/>
      </cdr:nvSpPr>
      <cdr:spPr>
        <a:xfrm xmlns:a="http://schemas.openxmlformats.org/drawingml/2006/main">
          <a:off x="4825701" y="3296155"/>
          <a:ext cx="1292361" cy="2471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Within target range</a:t>
          </a:r>
        </a:p>
      </cdr:txBody>
    </cdr:sp>
  </cdr:relSizeAnchor>
  <cdr:relSizeAnchor xmlns:cdr="http://schemas.openxmlformats.org/drawingml/2006/chartDrawing">
    <cdr:from>
      <cdr:x>0.71103</cdr:x>
      <cdr:y>0.95138</cdr:y>
    </cdr:from>
    <cdr:to>
      <cdr:x>0.72952</cdr:x>
      <cdr:y>0.97509</cdr:y>
    </cdr:to>
    <cdr:sp macro="" textlink="">
      <cdr:nvSpPr>
        <cdr:cNvPr id="10" name="Rectangle 9"/>
        <cdr:cNvSpPr/>
      </cdr:nvSpPr>
      <cdr:spPr>
        <a:xfrm xmlns:a="http://schemas.openxmlformats.org/drawingml/2006/main">
          <a:off x="6959600" y="4330700"/>
          <a:ext cx="180960" cy="107944"/>
        </a:xfrm>
        <a:prstGeom xmlns:a="http://schemas.openxmlformats.org/drawingml/2006/main" prst="rect">
          <a:avLst/>
        </a:prstGeom>
        <a:solidFill xmlns:a="http://schemas.openxmlformats.org/drawingml/2006/main">
          <a:srgbClr val="F2B8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0.83707</cdr:x>
      <cdr:y>0.02801</cdr:y>
    </cdr:from>
    <cdr:to>
      <cdr:x>0.97248</cdr:x>
      <cdr:y>0.14486</cdr:y>
    </cdr:to>
    <cdr:sp macro="" textlink="">
      <cdr:nvSpPr>
        <cdr:cNvPr id="2" name="TextBox 1"/>
        <cdr:cNvSpPr txBox="1"/>
      </cdr:nvSpPr>
      <cdr:spPr>
        <a:xfrm xmlns:a="http://schemas.openxmlformats.org/drawingml/2006/main">
          <a:off x="5423829" y="114175"/>
          <a:ext cx="877394" cy="476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Target</a:t>
          </a:r>
          <a:r>
            <a:rPr lang="en-AU" sz="800" b="1" baseline="0">
              <a:latin typeface="Arial" panose="020B0604020202020204" pitchFamily="34" charset="0"/>
              <a:cs typeface="Arial" panose="020B0604020202020204" pitchFamily="34" charset="0"/>
            </a:rPr>
            <a:t> = 80%</a:t>
          </a:r>
          <a:endParaRPr lang="en-AU"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0.06431</cdr:x>
      <cdr:y>0.3971</cdr:y>
    </cdr:from>
    <cdr:to>
      <cdr:x>0.96909</cdr:x>
      <cdr:y>0.3987</cdr:y>
    </cdr:to>
    <cdr:cxnSp macro="">
      <cdr:nvCxnSpPr>
        <cdr:cNvPr id="4" name="Straight Connector 3"/>
        <cdr:cNvCxnSpPr/>
      </cdr:nvCxnSpPr>
      <cdr:spPr>
        <a:xfrm xmlns:a="http://schemas.openxmlformats.org/drawingml/2006/main">
          <a:off x="416688" y="1429474"/>
          <a:ext cx="5862578" cy="578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Straight Connector 1"/>
        <cdr:cNvSpPr/>
      </cdr:nvSpPr>
      <cdr:spPr>
        <a:xfrm xmlns:a="http://schemas.openxmlformats.org/drawingml/2006/main">
          <a:off x="-12798135" y="-5676899"/>
          <a:ext cx="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0.4704</cdr:x>
      <cdr:y>0.02212</cdr:y>
    </cdr:from>
    <cdr:to>
      <cdr:x>0.9924</cdr:x>
      <cdr:y>0.08087</cdr:y>
    </cdr:to>
    <cdr:sp macro="" textlink="">
      <cdr:nvSpPr>
        <cdr:cNvPr id="3" name="TextBox 1"/>
        <cdr:cNvSpPr txBox="1"/>
      </cdr:nvSpPr>
      <cdr:spPr>
        <a:xfrm xmlns:a="http://schemas.openxmlformats.org/drawingml/2006/main">
          <a:off x="3048000" y="90305"/>
          <a:ext cx="3382296" cy="239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i="0">
              <a:latin typeface="Arial" panose="020B0604020202020204" pitchFamily="34" charset="0"/>
              <a:cs typeface="Arial" panose="020B0604020202020204" pitchFamily="34" charset="0"/>
            </a:rPr>
            <a:t>Target  = 0.33 peritonitis episodes for every  patient year</a:t>
          </a:r>
        </a:p>
      </cdr:txBody>
    </cdr:sp>
  </cdr:relSizeAnchor>
  <cdr:relSizeAnchor xmlns:cdr="http://schemas.openxmlformats.org/drawingml/2006/chartDrawing">
    <cdr:from>
      <cdr:x>0.23451</cdr:x>
      <cdr:y>0.92887</cdr:y>
    </cdr:from>
    <cdr:to>
      <cdr:x>0.41924</cdr:x>
      <cdr:y>1</cdr:y>
    </cdr:to>
    <cdr:sp macro="" textlink="">
      <cdr:nvSpPr>
        <cdr:cNvPr id="9" name="TextBox 1"/>
        <cdr:cNvSpPr txBox="1"/>
      </cdr:nvSpPr>
      <cdr:spPr>
        <a:xfrm xmlns:a="http://schemas.openxmlformats.org/drawingml/2006/main">
          <a:off x="1641014" y="3863416"/>
          <a:ext cx="1292686" cy="2958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Better</a:t>
          </a:r>
          <a:r>
            <a:rPr lang="en-AU" sz="800" baseline="0">
              <a:latin typeface="Arial" panose="020B0604020202020204" pitchFamily="34" charset="0"/>
              <a:cs typeface="Arial" panose="020B0604020202020204" pitchFamily="34" charset="0"/>
            </a:rPr>
            <a:t> than</a:t>
          </a:r>
          <a:r>
            <a:rPr lang="en-AU" sz="800">
              <a:latin typeface="Arial" panose="020B0604020202020204" pitchFamily="34" charset="0"/>
              <a:cs typeface="Arial" panose="020B0604020202020204" pitchFamily="34" charset="0"/>
            </a:rPr>
            <a:t> target</a:t>
          </a:r>
        </a:p>
      </cdr:txBody>
    </cdr:sp>
  </cdr:relSizeAnchor>
  <cdr:relSizeAnchor xmlns:cdr="http://schemas.openxmlformats.org/drawingml/2006/chartDrawing">
    <cdr:from>
      <cdr:x>0.50412</cdr:x>
      <cdr:y>0.92582</cdr:y>
    </cdr:from>
    <cdr:to>
      <cdr:x>0.64086</cdr:x>
      <cdr:y>0.9822</cdr:y>
    </cdr:to>
    <cdr:sp macro="" textlink="">
      <cdr:nvSpPr>
        <cdr:cNvPr id="10" name="TextBox 1"/>
        <cdr:cNvSpPr txBox="1"/>
      </cdr:nvSpPr>
      <cdr:spPr>
        <a:xfrm xmlns:a="http://schemas.openxmlformats.org/drawingml/2006/main">
          <a:off x="3886200" y="3962400"/>
          <a:ext cx="1054100" cy="241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Below target</a:t>
          </a:r>
        </a:p>
      </cdr:txBody>
    </cdr:sp>
  </cdr:relSizeAnchor>
  <cdr:relSizeAnchor xmlns:cdr="http://schemas.openxmlformats.org/drawingml/2006/chartDrawing">
    <cdr:from>
      <cdr:x>0.75783</cdr:x>
      <cdr:y>0.92582</cdr:y>
    </cdr:from>
    <cdr:to>
      <cdr:x>0.95222</cdr:x>
      <cdr:y>0.9822</cdr:y>
    </cdr:to>
    <cdr:sp macro="" textlink="">
      <cdr:nvSpPr>
        <cdr:cNvPr id="11" name="TextBox 1"/>
        <cdr:cNvSpPr txBox="1"/>
      </cdr:nvSpPr>
      <cdr:spPr>
        <a:xfrm xmlns:a="http://schemas.openxmlformats.org/drawingml/2006/main">
          <a:off x="5842000" y="3962400"/>
          <a:ext cx="1498600" cy="241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Within</a:t>
          </a:r>
          <a:r>
            <a:rPr lang="en-AU" sz="800" baseline="0">
              <a:latin typeface="Arial" panose="020B0604020202020204" pitchFamily="34" charset="0"/>
              <a:cs typeface="Arial" panose="020B0604020202020204" pitchFamily="34" charset="0"/>
            </a:rPr>
            <a:t> target  range</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0.07511</cdr:x>
      <cdr:y>0.36581</cdr:y>
    </cdr:from>
    <cdr:to>
      <cdr:x>0.97627</cdr:x>
      <cdr:y>0.36581</cdr:y>
    </cdr:to>
    <cdr:cxnSp macro="">
      <cdr:nvCxnSpPr>
        <cdr:cNvPr id="12" name="Straight Connector 11">
          <a:extLst xmlns:a="http://schemas.openxmlformats.org/drawingml/2006/main">
            <a:ext uri="{FF2B5EF4-FFF2-40B4-BE49-F238E27FC236}">
              <a16:creationId xmlns:a16="http://schemas.microsoft.com/office/drawing/2014/main" id="{FA36BB23-5996-4414-A3F3-BCC13AD28918}"/>
            </a:ext>
          </a:extLst>
        </cdr:cNvPr>
        <cdr:cNvCxnSpPr/>
      </cdr:nvCxnSpPr>
      <cdr:spPr>
        <a:xfrm xmlns:a="http://schemas.openxmlformats.org/drawingml/2006/main" flipV="1">
          <a:off x="984719" y="2081335"/>
          <a:ext cx="11814778"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0.53606</cdr:x>
      <cdr:y>0.01005</cdr:y>
    </cdr:from>
    <cdr:to>
      <cdr:x>1</cdr:x>
      <cdr:y>0.08176</cdr:y>
    </cdr:to>
    <cdr:sp macro="" textlink="">
      <cdr:nvSpPr>
        <cdr:cNvPr id="2" name="TextBox 1"/>
        <cdr:cNvSpPr txBox="1"/>
      </cdr:nvSpPr>
      <cdr:spPr>
        <a:xfrm xmlns:a="http://schemas.openxmlformats.org/drawingml/2006/main">
          <a:off x="3473450" y="40593"/>
          <a:ext cx="3006090" cy="2896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800" b="1" i="0">
              <a:latin typeface="Arial" panose="020B0604020202020204" pitchFamily="34" charset="0"/>
              <a:cs typeface="Arial" panose="020B0604020202020204" pitchFamily="34" charset="0"/>
            </a:rPr>
            <a:t>Target  = 0.33</a:t>
          </a:r>
          <a:r>
            <a:rPr lang="en-AU" sz="800" b="1" i="0" baseline="0">
              <a:latin typeface="Arial" panose="020B0604020202020204" pitchFamily="34" charset="0"/>
              <a:cs typeface="Arial" panose="020B0604020202020204" pitchFamily="34" charset="0"/>
            </a:rPr>
            <a:t> peritonitis episodes for every patient year</a:t>
          </a:r>
          <a:endParaRPr lang="en-AU" sz="800" b="1" i="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0.05372</cdr:x>
      <cdr:y>0.36494</cdr:y>
    </cdr:from>
    <cdr:to>
      <cdr:x>0.96353</cdr:x>
      <cdr:y>0.36494</cdr:y>
    </cdr:to>
    <cdr:cxnSp macro="">
      <cdr:nvCxnSpPr>
        <cdr:cNvPr id="9" name="Straight Connector 8">
          <a:extLst xmlns:a="http://schemas.openxmlformats.org/drawingml/2006/main">
            <a:ext uri="{FF2B5EF4-FFF2-40B4-BE49-F238E27FC236}">
              <a16:creationId xmlns:a16="http://schemas.microsoft.com/office/drawing/2014/main" id="{5C52C4ED-C442-4810-8A48-8D58677C869E}"/>
            </a:ext>
          </a:extLst>
        </cdr:cNvPr>
        <cdr:cNvCxnSpPr/>
      </cdr:nvCxnSpPr>
      <cdr:spPr>
        <a:xfrm xmlns:a="http://schemas.openxmlformats.org/drawingml/2006/main" flipV="1">
          <a:off x="461433" y="2053166"/>
          <a:ext cx="7814733" cy="1"/>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0.45814</cdr:x>
      <cdr:y>0.75258</cdr:y>
    </cdr:from>
    <cdr:to>
      <cdr:x>0.59062</cdr:x>
      <cdr:y>1</cdr:y>
    </cdr:to>
    <cdr:sp macro="" textlink="">
      <cdr:nvSpPr>
        <cdr:cNvPr id="3" name="TextBox 2">
          <a:extLst xmlns:a="http://schemas.openxmlformats.org/drawingml/2006/main">
            <a:ext uri="{FF2B5EF4-FFF2-40B4-BE49-F238E27FC236}">
              <a16:creationId xmlns:a16="http://schemas.microsoft.com/office/drawing/2014/main" id="{DA3C9E74-47FD-4B13-BE46-33C86ACAE889}"/>
            </a:ext>
          </a:extLst>
        </cdr:cNvPr>
        <cdr:cNvSpPr txBox="1"/>
      </cdr:nvSpPr>
      <cdr:spPr>
        <a:xfrm xmlns:a="http://schemas.openxmlformats.org/drawingml/2006/main">
          <a:off x="316230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0.25667</cdr:x>
      <cdr:y>0.93299</cdr:y>
    </cdr:from>
    <cdr:to>
      <cdr:x>0.45078</cdr:x>
      <cdr:y>0.97423</cdr:y>
    </cdr:to>
    <cdr:sp macro="" textlink="">
      <cdr:nvSpPr>
        <cdr:cNvPr id="4" name="TextBox 3">
          <a:extLst xmlns:a="http://schemas.openxmlformats.org/drawingml/2006/main">
            <a:ext uri="{FF2B5EF4-FFF2-40B4-BE49-F238E27FC236}">
              <a16:creationId xmlns:a16="http://schemas.microsoft.com/office/drawing/2014/main" id="{86BA7ADC-6127-4A45-8D49-C6A0DC60757A}"/>
            </a:ext>
          </a:extLst>
        </cdr:cNvPr>
        <cdr:cNvSpPr txBox="1"/>
      </cdr:nvSpPr>
      <cdr:spPr>
        <a:xfrm xmlns:a="http://schemas.openxmlformats.org/drawingml/2006/main">
          <a:off x="1771650" y="3448050"/>
          <a:ext cx="13398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0.48803</cdr:x>
      <cdr:y>0.88758</cdr:y>
    </cdr:from>
    <cdr:to>
      <cdr:x>0.51875</cdr:x>
      <cdr:y>0.92282</cdr:y>
    </cdr:to>
    <cdr:sp macro="" textlink="">
      <cdr:nvSpPr>
        <cdr:cNvPr id="2" name="TextBox 1">
          <a:extLst xmlns:a="http://schemas.openxmlformats.org/drawingml/2006/main">
            <a:ext uri="{FF2B5EF4-FFF2-40B4-BE49-F238E27FC236}">
              <a16:creationId xmlns:a16="http://schemas.microsoft.com/office/drawing/2014/main" id="{CD4E55AB-FEC6-4C67-B9C3-B7F992FE7AE8}"/>
            </a:ext>
          </a:extLst>
        </cdr:cNvPr>
        <cdr:cNvSpPr txBox="1"/>
      </cdr:nvSpPr>
      <cdr:spPr>
        <a:xfrm xmlns:a="http://schemas.openxmlformats.org/drawingml/2006/main">
          <a:off x="3429000" y="3359150"/>
          <a:ext cx="215900" cy="133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0.52822</cdr:x>
      <cdr:y>0.91632</cdr:y>
    </cdr:from>
    <cdr:to>
      <cdr:x>0.81145</cdr:x>
      <cdr:y>0.97858</cdr:y>
    </cdr:to>
    <cdr:sp macro="" textlink="">
      <cdr:nvSpPr>
        <cdr:cNvPr id="6" name="TextBox 1">
          <a:extLst xmlns:a="http://schemas.openxmlformats.org/drawingml/2006/main">
            <a:ext uri="{FF2B5EF4-FFF2-40B4-BE49-F238E27FC236}">
              <a16:creationId xmlns:a16="http://schemas.microsoft.com/office/drawing/2014/main" id="{B1E7C343-7BBB-4475-9372-EC70E622DB22}"/>
            </a:ext>
          </a:extLst>
        </cdr:cNvPr>
        <cdr:cNvSpPr txBox="1"/>
      </cdr:nvSpPr>
      <cdr:spPr>
        <a:xfrm xmlns:a="http://schemas.openxmlformats.org/drawingml/2006/main">
          <a:off x="3422649" y="2770833"/>
          <a:ext cx="1835151" cy="18826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Live or deceased donor transplant</a:t>
          </a:r>
        </a:p>
      </cdr:txBody>
    </cdr:sp>
  </cdr:relSizeAnchor>
  <cdr:relSizeAnchor xmlns:cdr="http://schemas.openxmlformats.org/drawingml/2006/chartDrawing">
    <cdr:from>
      <cdr:x>0.61455</cdr:x>
      <cdr:y>0.93289</cdr:y>
    </cdr:from>
    <cdr:to>
      <cdr:x>0.6254</cdr:x>
      <cdr:y>0.95973</cdr:y>
    </cdr:to>
    <cdr:sp macro="" textlink="">
      <cdr:nvSpPr>
        <cdr:cNvPr id="7" name="TextBox 6">
          <a:extLst xmlns:a="http://schemas.openxmlformats.org/drawingml/2006/main">
            <a:ext uri="{FF2B5EF4-FFF2-40B4-BE49-F238E27FC236}">
              <a16:creationId xmlns:a16="http://schemas.microsoft.com/office/drawing/2014/main" id="{BA316237-971B-4FD4-8BBE-CDFBB4F96441}"/>
            </a:ext>
          </a:extLst>
        </cdr:cNvPr>
        <cdr:cNvSpPr txBox="1"/>
      </cdr:nvSpPr>
      <cdr:spPr>
        <a:xfrm xmlns:a="http://schemas.openxmlformats.org/drawingml/2006/main">
          <a:off x="4318000" y="3530599"/>
          <a:ext cx="76200" cy="1016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0.5296</cdr:x>
      <cdr:y>0.86074</cdr:y>
    </cdr:from>
    <cdr:to>
      <cdr:x>0.58473</cdr:x>
      <cdr:y>0.95302</cdr:y>
    </cdr:to>
    <cdr:sp macro="" textlink="">
      <cdr:nvSpPr>
        <cdr:cNvPr id="8" name="TextBox 7">
          <a:extLst xmlns:a="http://schemas.openxmlformats.org/drawingml/2006/main">
            <a:ext uri="{FF2B5EF4-FFF2-40B4-BE49-F238E27FC236}">
              <a16:creationId xmlns:a16="http://schemas.microsoft.com/office/drawing/2014/main" id="{6DE9D8D5-6D4C-4015-82E6-4BA9A214C727}"/>
            </a:ext>
          </a:extLst>
        </cdr:cNvPr>
        <cdr:cNvSpPr txBox="1"/>
      </cdr:nvSpPr>
      <cdr:spPr>
        <a:xfrm xmlns:a="http://schemas.openxmlformats.org/drawingml/2006/main">
          <a:off x="3721100" y="3257550"/>
          <a:ext cx="387350" cy="349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0.52893</cdr:x>
      <cdr:y>0.94614</cdr:y>
    </cdr:from>
    <cdr:to>
      <cdr:x>0.53535</cdr:x>
      <cdr:y>0.95805</cdr:y>
    </cdr:to>
    <cdr:sp macro="" textlink="">
      <cdr:nvSpPr>
        <cdr:cNvPr id="9" name="Text Box 15">
          <a:extLst xmlns:a="http://schemas.openxmlformats.org/drawingml/2006/main">
            <a:ext uri="{FF2B5EF4-FFF2-40B4-BE49-F238E27FC236}">
              <a16:creationId xmlns:a16="http://schemas.microsoft.com/office/drawing/2014/main" id="{989C3F46-4555-4F53-8219-CD90343C40BF}"/>
            </a:ext>
          </a:extLst>
        </cdr:cNvPr>
        <cdr:cNvSpPr txBox="1"/>
      </cdr:nvSpPr>
      <cdr:spPr>
        <a:xfrm xmlns:a="http://schemas.openxmlformats.org/drawingml/2006/main">
          <a:off x="3427224" y="2861004"/>
          <a:ext cx="41599" cy="36015"/>
        </a:xfrm>
        <a:prstGeom xmlns:a="http://schemas.openxmlformats.org/drawingml/2006/main" prst="rect">
          <a:avLst/>
        </a:prstGeom>
        <a:solidFill xmlns:a="http://schemas.openxmlformats.org/drawingml/2006/main">
          <a:srgbClr val="007586"/>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1400"/>
            </a:lnSpc>
            <a:spcBef>
              <a:spcPts val="800"/>
            </a:spcBef>
            <a:spcAft>
              <a:spcPts val="800"/>
            </a:spcAft>
          </a:pPr>
          <a:r>
            <a:rPr lang="en-AU" sz="1000">
              <a:solidFill>
                <a:srgbClr val="336699"/>
              </a:solidFill>
              <a:effectLst/>
              <a:latin typeface="VIC" panose="00000500000000000000" pitchFamily="2" charset="0"/>
              <a:ea typeface="Times New Roman" panose="02020603050405020304" pitchFamily="18" charset="0"/>
              <a:cs typeface="Times New Roman" panose="02020603050405020304" pitchFamily="18" charset="0"/>
            </a:rPr>
            <a:t> </a:t>
          </a:r>
          <a:endParaRPr lang="en-AU" sz="1000">
            <a:solidFill>
              <a:srgbClr val="000000"/>
            </a:solidFill>
            <a:effectLst/>
            <a:latin typeface="VIC" panose="00000500000000000000" pitchFamily="2"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50BFC-8E98-47F9-AB1B-AE1EF040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4034</Words>
  <Characters>22998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Victorian Renal Key Performance Indicators</vt:lpstr>
    </vt:vector>
  </TitlesOfParts>
  <Company>Department of Treasury and Finance</Company>
  <LinksUpToDate>false</LinksUpToDate>
  <CharactersWithSpaces>26979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Renal Key Performance Indicators</dc:title>
  <dc:creator>Emma D Gumbleton (DHHS)</dc:creator>
  <cp:lastModifiedBy>Courtney Lynch</cp:lastModifiedBy>
  <cp:revision>2</cp:revision>
  <cp:lastPrinted>2022-03-28T01:12:00Z</cp:lastPrinted>
  <dcterms:created xsi:type="dcterms:W3CDTF">2022-04-29T04:12:00Z</dcterms:created>
  <dcterms:modified xsi:type="dcterms:W3CDTF">2022-04-29T04:12:00Z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efdf5488-3066-4b6c-8fea-9472b8a1f34c_Enabled">
    <vt:lpwstr>true</vt:lpwstr>
  </property>
  <property fmtid="{D5CDD505-2E9C-101B-9397-08002B2CF9AE}" pid="5" name="MSIP_Label_efdf5488-3066-4b6c-8fea-9472b8a1f34c_SetDate">
    <vt:lpwstr>2021-01-03T22:45:10Z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67b55d6b-6310-41cb-abbb-ed376789038a</vt:lpwstr>
  </property>
  <property fmtid="{D5CDD505-2E9C-101B-9397-08002B2CF9AE}" pid="10" name="MSIP_Label_efdf5488-3066-4b6c-8fea-9472b8a1f34c_ContentBits">
    <vt:lpwstr>0</vt:lpwstr>
  </property>
</Properties>
</file>