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DAD8" w14:textId="77777777" w:rsidR="00FE2B1D" w:rsidRDefault="00681472" w:rsidP="00FE2B1D">
      <w:pPr>
        <w:pStyle w:val="SCVborderabovetitle"/>
        <w:pBdr>
          <w:top w:val="single" w:sz="24" w:space="1" w:color="CCCCD0"/>
        </w:pBdr>
        <w:rPr>
          <w:rFonts w:asciiTheme="majorHAnsi" w:hAnsiTheme="majorHAnsi" w:cstheme="majorHAnsi"/>
          <w:sz w:val="28"/>
          <w:szCs w:val="44"/>
        </w:rPr>
      </w:pPr>
      <w:r>
        <w:rPr>
          <w:rFonts w:asciiTheme="majorHAnsi" w:hAnsiTheme="majorHAnsi" w:cstheme="majorHAnsi"/>
          <w:b/>
          <w:bCs/>
          <w:color w:val="007586" w:themeColor="text2"/>
          <w:sz w:val="28"/>
          <w:szCs w:val="44"/>
        </w:rPr>
        <w:t>SAPSE reviews</w:t>
      </w:r>
      <w:r w:rsidR="006B6497" w:rsidRPr="006E5A80">
        <w:rPr>
          <w:rFonts w:asciiTheme="majorHAnsi" w:hAnsiTheme="majorHAnsi" w:cstheme="majorHAnsi"/>
          <w:color w:val="007586" w:themeColor="text2"/>
          <w:sz w:val="28"/>
          <w:szCs w:val="44"/>
        </w:rPr>
        <w:t xml:space="preserve"> </w:t>
      </w:r>
      <w:r w:rsidR="006B6497" w:rsidRPr="006B6497">
        <w:rPr>
          <w:rFonts w:asciiTheme="majorHAnsi" w:hAnsiTheme="majorHAnsi" w:cstheme="majorHAnsi"/>
          <w:sz w:val="28"/>
          <w:szCs w:val="44"/>
        </w:rPr>
        <w:t xml:space="preserve">– </w:t>
      </w:r>
      <w:r w:rsidR="00FE2B1D" w:rsidRPr="006B6497">
        <w:rPr>
          <w:rFonts w:asciiTheme="majorHAnsi" w:hAnsiTheme="majorHAnsi" w:cstheme="majorHAnsi"/>
          <w:sz w:val="28"/>
          <w:szCs w:val="44"/>
        </w:rPr>
        <w:t>Frequently asked question</w:t>
      </w:r>
      <w:r w:rsidR="00FE2B1D">
        <w:rPr>
          <w:rFonts w:asciiTheme="majorHAnsi" w:hAnsiTheme="majorHAnsi" w:cstheme="majorHAnsi"/>
          <w:sz w:val="28"/>
          <w:szCs w:val="44"/>
        </w:rPr>
        <w:t xml:space="preserve"> (FAQ) sheet</w:t>
      </w:r>
    </w:p>
    <w:p w14:paraId="164AFB26" w14:textId="745B4FCC" w:rsidR="00521CA5" w:rsidRPr="00FE2B1D" w:rsidRDefault="00FE2B1D" w:rsidP="00521CA5">
      <w:pPr>
        <w:pStyle w:val="SCVborderabovetitle"/>
        <w:pBdr>
          <w:top w:val="single" w:sz="24" w:space="1" w:color="CCCCD0"/>
        </w:pBdr>
        <w:rPr>
          <w:rFonts w:asciiTheme="majorHAnsi" w:hAnsiTheme="majorHAnsi" w:cstheme="majorHAnsi"/>
          <w:b/>
          <w:bCs/>
          <w:sz w:val="20"/>
          <w:szCs w:val="32"/>
        </w:rPr>
      </w:pPr>
      <w:r w:rsidRPr="00C95AF7">
        <w:rPr>
          <w:rFonts w:asciiTheme="majorHAnsi" w:hAnsiTheme="majorHAnsi" w:cstheme="majorHAnsi"/>
          <w:b/>
          <w:bCs/>
          <w:sz w:val="20"/>
          <w:szCs w:val="32"/>
        </w:rPr>
        <w:t xml:space="preserve">Please note, this FAQ sheet is to be released in draft form until relevant regulations under the </w:t>
      </w:r>
      <w:r w:rsidRPr="00C95AF7">
        <w:rPr>
          <w:rFonts w:asciiTheme="majorHAnsi" w:hAnsiTheme="majorHAnsi" w:cstheme="majorHAnsi"/>
          <w:b/>
          <w:bCs/>
          <w:i/>
          <w:iCs/>
          <w:sz w:val="20"/>
          <w:szCs w:val="32"/>
        </w:rPr>
        <w:t>Health Services Act 1988</w:t>
      </w:r>
      <w:r w:rsidRPr="00C95AF7">
        <w:rPr>
          <w:rFonts w:asciiTheme="majorHAnsi" w:hAnsiTheme="majorHAnsi" w:cstheme="majorHAnsi"/>
          <w:b/>
          <w:bCs/>
          <w:sz w:val="20"/>
          <w:szCs w:val="32"/>
        </w:rPr>
        <w:t xml:space="preserve"> have been made. </w:t>
      </w:r>
    </w:p>
    <w:p w14:paraId="028AFF96" w14:textId="77777777" w:rsidR="00521CA5" w:rsidRDefault="00521CA5" w:rsidP="00521CA5">
      <w:pPr>
        <w:pStyle w:val="SCVborderabovetitle"/>
      </w:pPr>
    </w:p>
    <w:p w14:paraId="55918E49" w14:textId="3835C9C9" w:rsidR="00E66CD7" w:rsidRPr="00876171" w:rsidRDefault="00E66CD7" w:rsidP="00521CA5">
      <w:pPr>
        <w:pStyle w:val="SCVborderabovetitle"/>
        <w:sectPr w:rsidR="00E66CD7"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33BAE43C" w14:textId="5CA20248" w:rsidR="00680E46" w:rsidRDefault="00680E46" w:rsidP="001861B5">
      <w:pPr>
        <w:pStyle w:val="Heading4"/>
        <w:numPr>
          <w:ilvl w:val="0"/>
          <w:numId w:val="12"/>
        </w:numPr>
        <w:ind w:left="426" w:hanging="426"/>
        <w:rPr>
          <w:color w:val="007586" w:themeColor="text2"/>
        </w:rPr>
      </w:pPr>
      <w:r>
        <w:rPr>
          <w:color w:val="007586" w:themeColor="text2"/>
        </w:rPr>
        <w:t>When do the provisions associated with a SAPSE review come into effect?</w:t>
      </w:r>
    </w:p>
    <w:p w14:paraId="1652C556" w14:textId="7EAAE96F" w:rsidR="0033045E" w:rsidRPr="00680E46" w:rsidRDefault="00A559EA" w:rsidP="00680E46">
      <w:pPr>
        <w:pStyle w:val="SCVbody"/>
      </w:pPr>
      <w:r w:rsidRPr="00A559EA">
        <w:t>The provisions concerning SAPSEs and SAPSE review processes apply from 30 November 2022, and do not apply to events that occurred prior to this date.</w:t>
      </w:r>
      <w:r>
        <w:t xml:space="preserve"> </w:t>
      </w:r>
      <w:r w:rsidR="005772E4" w:rsidRPr="005772E4">
        <w:t>The</w:t>
      </w:r>
      <w:r w:rsidR="00116477">
        <w:t xml:space="preserve"> protections </w:t>
      </w:r>
      <w:r w:rsidR="005772E4" w:rsidRPr="005772E4">
        <w:t xml:space="preserve">apply separately to each SAPSE review, and do not have a cessation date </w:t>
      </w:r>
      <w:r w:rsidR="00116477">
        <w:t xml:space="preserve">under the </w:t>
      </w:r>
      <w:r w:rsidR="00116477" w:rsidRPr="0033045E">
        <w:rPr>
          <w:i/>
          <w:iCs/>
        </w:rPr>
        <w:t>Health Service</w:t>
      </w:r>
      <w:r w:rsidR="0033045E" w:rsidRPr="0033045E">
        <w:rPr>
          <w:i/>
          <w:iCs/>
        </w:rPr>
        <w:t>s</w:t>
      </w:r>
      <w:r w:rsidR="00116477" w:rsidRPr="0033045E">
        <w:rPr>
          <w:i/>
          <w:iCs/>
        </w:rPr>
        <w:t xml:space="preserve"> Act </w:t>
      </w:r>
      <w:r w:rsidR="0033045E" w:rsidRPr="0033045E">
        <w:rPr>
          <w:i/>
          <w:iCs/>
        </w:rPr>
        <w:t>1988</w:t>
      </w:r>
      <w:r w:rsidR="0033045E">
        <w:t xml:space="preserve"> (Vic)(Act). </w:t>
      </w:r>
    </w:p>
    <w:p w14:paraId="40E5D638" w14:textId="274240C1" w:rsidR="00816D37" w:rsidRPr="00AF4F90" w:rsidRDefault="00816D37" w:rsidP="001861B5">
      <w:pPr>
        <w:pStyle w:val="Heading4"/>
        <w:numPr>
          <w:ilvl w:val="0"/>
          <w:numId w:val="12"/>
        </w:numPr>
        <w:ind w:left="426" w:hanging="426"/>
        <w:rPr>
          <w:color w:val="007586" w:themeColor="text2"/>
        </w:rPr>
      </w:pPr>
      <w:r w:rsidRPr="00AF4F90">
        <w:rPr>
          <w:color w:val="007586" w:themeColor="text2"/>
        </w:rPr>
        <w:t>What is a SAPSE?</w:t>
      </w:r>
    </w:p>
    <w:p w14:paraId="4C57F883" w14:textId="77777777" w:rsidR="00816D37" w:rsidRDefault="00816D37" w:rsidP="00816D37">
      <w:pPr>
        <w:pStyle w:val="SCVbody"/>
      </w:pPr>
      <w:r>
        <w:t>A serious adverse patient safety event (SAPSE) is an event that:</w:t>
      </w:r>
    </w:p>
    <w:p w14:paraId="65E58F15" w14:textId="77777777" w:rsidR="00816D37" w:rsidRPr="00DC4EE2" w:rsidRDefault="00816D37" w:rsidP="001861B5">
      <w:pPr>
        <w:pStyle w:val="SCVbullet1"/>
      </w:pPr>
      <w:r w:rsidRPr="00DC4EE2">
        <w:t xml:space="preserve">occurred while the patient was receiving care from a health service entity; and </w:t>
      </w:r>
    </w:p>
    <w:p w14:paraId="32AEFC23" w14:textId="77777777" w:rsidR="00816D37" w:rsidRPr="00DC4EE2" w:rsidRDefault="00816D37" w:rsidP="001861B5">
      <w:pPr>
        <w:pStyle w:val="SCVbullet1"/>
      </w:pPr>
      <w:r w:rsidRPr="00DC4EE2">
        <w:t xml:space="preserve">in the reasonable opinion of a registered health practitioner, has resulted in, or is likely to result in, unintended or unexpected moderate or severe harm or prolonged psychological harm being sustained by the patient. </w:t>
      </w:r>
    </w:p>
    <w:p w14:paraId="7E0B8694" w14:textId="77777777" w:rsidR="00816D37" w:rsidRDefault="00816D37" w:rsidP="00816D37">
      <w:pPr>
        <w:pStyle w:val="SCVbody"/>
      </w:pPr>
      <w:r w:rsidRPr="00DC4EE2">
        <w:t>For the avoidance of doubt, an event may be identified following discharge from the health service entity.</w:t>
      </w:r>
    </w:p>
    <w:p w14:paraId="1B36E0FE" w14:textId="3D213CB5" w:rsidR="00816D37" w:rsidRDefault="00816D37" w:rsidP="00816D37">
      <w:pPr>
        <w:pStyle w:val="SCVbody"/>
      </w:pPr>
      <w:r w:rsidRPr="003B4671">
        <w:t>A SAPSE is</w:t>
      </w:r>
      <w:r w:rsidR="45AD57EE">
        <w:t xml:space="preserve"> </w:t>
      </w:r>
      <w:r w:rsidR="51847053">
        <w:t>likely to be</w:t>
      </w:r>
      <w:r w:rsidRPr="003B4671">
        <w:t xml:space="preserve"> the equivalent of an ISR 1 or 2 event within services </w:t>
      </w:r>
      <w:r>
        <w:t xml:space="preserve">that </w:t>
      </w:r>
      <w:r w:rsidR="000C2FE5">
        <w:t>use</w:t>
      </w:r>
      <w:r>
        <w:t xml:space="preserve"> the </w:t>
      </w:r>
      <w:r w:rsidRPr="003B4671">
        <w:t>Victorian Health Incident Management System scale.</w:t>
      </w:r>
      <w:r>
        <w:t xml:space="preserve"> However, it has been noted that some health service entities </w:t>
      </w:r>
      <w:r w:rsidR="000C2FE5">
        <w:t>use</w:t>
      </w:r>
      <w:r>
        <w:t xml:space="preserve"> their incident management system to capture data that may not otherwise be an ‘adverse event’. </w:t>
      </w:r>
      <w:r w:rsidR="48B4F6EA" w:rsidRPr="48B4F6EA">
        <w:rPr>
          <w:rFonts w:ascii="Arial" w:eastAsia="Arial" w:hAnsi="Arial" w:cs="Arial"/>
          <w:color w:val="000000" w:themeColor="text1"/>
        </w:rPr>
        <w:t xml:space="preserve">It will be </w:t>
      </w:r>
      <w:r w:rsidR="48B4F6EA" w:rsidRPr="00D8364E">
        <w:rPr>
          <w:rFonts w:ascii="Arial" w:eastAsia="Arial" w:hAnsi="Arial" w:cs="Arial"/>
        </w:rPr>
        <w:t>important for</w:t>
      </w:r>
      <w:r w:rsidR="48B4F6EA" w:rsidRPr="00371A4B">
        <w:rPr>
          <w:rFonts w:ascii="Arial" w:eastAsia="Arial" w:hAnsi="Arial" w:cs="Arial"/>
        </w:rPr>
        <w:t xml:space="preserve"> </w:t>
      </w:r>
      <w:r w:rsidR="48B4F6EA" w:rsidRPr="48B4F6EA">
        <w:rPr>
          <w:rFonts w:ascii="Arial" w:eastAsia="Arial" w:hAnsi="Arial" w:cs="Arial"/>
          <w:color w:val="000000" w:themeColor="text1"/>
        </w:rPr>
        <w:t xml:space="preserve">the relevant team (e.g. quality team) within a health service entity to discuss whether </w:t>
      </w:r>
      <w:r w:rsidR="48B4F6EA" w:rsidRPr="00371A4B">
        <w:rPr>
          <w:rFonts w:ascii="Arial" w:eastAsia="Arial" w:hAnsi="Arial" w:cs="Arial"/>
        </w:rPr>
        <w:t xml:space="preserve">an event </w:t>
      </w:r>
      <w:r w:rsidR="48B4F6EA" w:rsidRPr="48B4F6EA">
        <w:rPr>
          <w:rFonts w:ascii="Arial" w:eastAsia="Arial" w:hAnsi="Arial" w:cs="Arial"/>
          <w:color w:val="000000" w:themeColor="text1"/>
        </w:rPr>
        <w:t xml:space="preserve">meets the above criteria, and </w:t>
      </w:r>
      <w:r w:rsidR="48B4F6EA" w:rsidRPr="48B4F6EA">
        <w:rPr>
          <w:rFonts w:ascii="Arial" w:eastAsia="Arial" w:hAnsi="Arial" w:cs="Arial"/>
          <w:strike/>
          <w:color w:val="D13438"/>
        </w:rPr>
        <w:t xml:space="preserve">be </w:t>
      </w:r>
      <w:r w:rsidR="48B4F6EA" w:rsidRPr="00371A4B">
        <w:rPr>
          <w:rFonts w:ascii="Arial" w:eastAsia="Arial" w:hAnsi="Arial" w:cs="Arial"/>
        </w:rPr>
        <w:t xml:space="preserve">therefore be </w:t>
      </w:r>
      <w:r w:rsidR="48B4F6EA" w:rsidRPr="48B4F6EA">
        <w:rPr>
          <w:rFonts w:ascii="Arial" w:eastAsia="Arial" w:hAnsi="Arial" w:cs="Arial"/>
          <w:color w:val="000000" w:themeColor="text1"/>
        </w:rPr>
        <w:t>a SAPSE.</w:t>
      </w:r>
    </w:p>
    <w:p w14:paraId="4739C7DC" w14:textId="6DBDF023" w:rsidR="00816D37" w:rsidRPr="00FC5478" w:rsidRDefault="00816D37" w:rsidP="00816D37">
      <w:pPr>
        <w:pStyle w:val="SCVbody"/>
        <w:spacing w:line="240" w:lineRule="auto"/>
        <w:rPr>
          <w:b/>
          <w:bCs/>
        </w:rPr>
      </w:pPr>
      <w:r w:rsidRPr="00FC5478">
        <w:rPr>
          <w:b/>
          <w:bCs/>
        </w:rPr>
        <w:t xml:space="preserve">If a patient suffers a SAPSE in the course of receiving health services, the health service entity responsible for providing those services owes a </w:t>
      </w:r>
      <w:r w:rsidR="0054542D">
        <w:rPr>
          <w:b/>
          <w:bCs/>
        </w:rPr>
        <w:t>Statutory Duty of Candour (</w:t>
      </w:r>
      <w:r w:rsidRPr="00FC5478">
        <w:rPr>
          <w:b/>
          <w:bCs/>
        </w:rPr>
        <w:t>SDC</w:t>
      </w:r>
      <w:r w:rsidR="0054542D">
        <w:rPr>
          <w:b/>
          <w:bCs/>
        </w:rPr>
        <w:t>)</w:t>
      </w:r>
      <w:r w:rsidRPr="00FC5478">
        <w:rPr>
          <w:b/>
          <w:bCs/>
        </w:rPr>
        <w:t xml:space="preserve"> to the patient.</w:t>
      </w:r>
    </w:p>
    <w:p w14:paraId="0A6E9149" w14:textId="56A3DF09" w:rsidR="00816D37" w:rsidRDefault="00816D37" w:rsidP="001861B5">
      <w:pPr>
        <w:pStyle w:val="Heading4"/>
        <w:numPr>
          <w:ilvl w:val="0"/>
          <w:numId w:val="12"/>
        </w:numPr>
        <w:ind w:left="426" w:hanging="426"/>
        <w:rPr>
          <w:color w:val="007586" w:themeColor="text2"/>
        </w:rPr>
      </w:pPr>
      <w:r w:rsidRPr="0054542D">
        <w:rPr>
          <w:color w:val="007586" w:themeColor="text2"/>
        </w:rPr>
        <w:t>Do I have to do a SAPSE review for every SAPSE?</w:t>
      </w:r>
    </w:p>
    <w:p w14:paraId="5040FDDF" w14:textId="7E900A50" w:rsidR="0054542D" w:rsidRDefault="0054542D" w:rsidP="0054542D">
      <w:pPr>
        <w:pStyle w:val="SCVbody"/>
      </w:pPr>
      <w:r w:rsidRPr="00A727FE">
        <w:rPr>
          <w:b/>
          <w:bCs/>
        </w:rPr>
        <w:t>No.</w:t>
      </w:r>
      <w:r>
        <w:t xml:space="preserve"> The term ‘SAPSE review’ refers to</w:t>
      </w:r>
      <w:r w:rsidR="005B0933">
        <w:t xml:space="preserve"> </w:t>
      </w:r>
      <w:r w:rsidR="00396F3E">
        <w:t xml:space="preserve">a </w:t>
      </w:r>
      <w:r w:rsidR="005B0933">
        <w:t>protected</w:t>
      </w:r>
      <w:r>
        <w:t xml:space="preserve"> </w:t>
      </w:r>
      <w:r w:rsidR="4427322C">
        <w:t>review</w:t>
      </w:r>
      <w:r w:rsidR="00396F3E">
        <w:t xml:space="preserve"> proces</w:t>
      </w:r>
      <w:r w:rsidR="4427322C">
        <w:t>s</w:t>
      </w:r>
      <w:r w:rsidR="00E15416">
        <w:t xml:space="preserve"> conducted </w:t>
      </w:r>
      <w:r w:rsidR="005B0933">
        <w:t xml:space="preserve">by a SAPSE review panel </w:t>
      </w:r>
      <w:r w:rsidR="00E15416">
        <w:t xml:space="preserve">in accordance with Division 8 of Part 5A of the </w:t>
      </w:r>
      <w:r w:rsidR="002D3E34" w:rsidRPr="002D3E34">
        <w:t>Act</w:t>
      </w:r>
      <w:r w:rsidR="00E15416">
        <w:t xml:space="preserve">. </w:t>
      </w:r>
      <w:r w:rsidR="002D3E34">
        <w:t xml:space="preserve">Not all investigations or reviews of </w:t>
      </w:r>
      <w:r w:rsidR="22A25F1D">
        <w:t xml:space="preserve">a </w:t>
      </w:r>
      <w:r w:rsidR="002D3E34">
        <w:t>SAPSE will  be conducted in accordance with the Act, however it will otherwise not be a SAPSE review and the process will not be protected</w:t>
      </w:r>
      <w:r w:rsidR="384FECE2">
        <w:t xml:space="preserve"> as set out in Part 5A of the Act</w:t>
      </w:r>
      <w:r w:rsidR="002D3E34">
        <w:t xml:space="preserve">. </w:t>
      </w:r>
    </w:p>
    <w:p w14:paraId="4160A8BE" w14:textId="5707675F" w:rsidR="002D3E34" w:rsidRDefault="00F1106C" w:rsidP="0054542D">
      <w:pPr>
        <w:pStyle w:val="SCVbody"/>
      </w:pPr>
      <w:r>
        <w:t xml:space="preserve">The term SAPSE review is also not a term for a new type of review methodology. </w:t>
      </w:r>
      <w:r w:rsidR="00190A99">
        <w:t>Some of the</w:t>
      </w:r>
      <w:r w:rsidR="00246CA6">
        <w:t xml:space="preserve"> types of review methodologies </w:t>
      </w:r>
      <w:r w:rsidR="03654F48">
        <w:t>that may be conducted by a SAPSE review panel</w:t>
      </w:r>
      <w:r w:rsidR="00246CA6">
        <w:t xml:space="preserve"> include:</w:t>
      </w:r>
    </w:p>
    <w:p w14:paraId="68B2D3A1" w14:textId="29F7F490" w:rsidR="00246CA6" w:rsidRDefault="00246CA6" w:rsidP="001861B5">
      <w:pPr>
        <w:pStyle w:val="SCVbullet1"/>
      </w:pPr>
      <w:r>
        <w:t xml:space="preserve">Root </w:t>
      </w:r>
      <w:r w:rsidR="00371A4B">
        <w:t>c</w:t>
      </w:r>
      <w:r>
        <w:t xml:space="preserve">ause </w:t>
      </w:r>
      <w:r w:rsidR="00371A4B">
        <w:t>a</w:t>
      </w:r>
      <w:r>
        <w:t>nalysis (RCA)</w:t>
      </w:r>
    </w:p>
    <w:p w14:paraId="2DF76228" w14:textId="5ABE4272" w:rsidR="00246CA6" w:rsidRDefault="00246CA6" w:rsidP="001861B5">
      <w:pPr>
        <w:pStyle w:val="SCVbullet1"/>
      </w:pPr>
      <w:r>
        <w:t>Acci</w:t>
      </w:r>
      <w:r w:rsidR="00371A4B">
        <w:t>M</w:t>
      </w:r>
      <w:r>
        <w:t>ap</w:t>
      </w:r>
    </w:p>
    <w:p w14:paraId="35D54070" w14:textId="78662F47" w:rsidR="00297CF0" w:rsidRDefault="000B6310" w:rsidP="00C626DD">
      <w:pPr>
        <w:pStyle w:val="SCVbullet1"/>
      </w:pPr>
      <w:r>
        <w:t>London Protocol</w:t>
      </w:r>
      <w:r w:rsidR="00556758">
        <w:t>.</w:t>
      </w:r>
    </w:p>
    <w:p w14:paraId="49362684" w14:textId="77A96100" w:rsidR="0033045E" w:rsidRPr="006D6826" w:rsidRDefault="0033045E" w:rsidP="001861B5">
      <w:pPr>
        <w:pStyle w:val="Heading4"/>
        <w:numPr>
          <w:ilvl w:val="0"/>
          <w:numId w:val="12"/>
        </w:numPr>
        <w:ind w:left="426" w:hanging="426"/>
        <w:rPr>
          <w:color w:val="007586" w:themeColor="text2"/>
        </w:rPr>
      </w:pPr>
      <w:r w:rsidRPr="48B4F6EA">
        <w:rPr>
          <w:color w:val="007586" w:themeColor="accent2"/>
        </w:rPr>
        <w:t xml:space="preserve">When should </w:t>
      </w:r>
      <w:r w:rsidR="006D6826" w:rsidRPr="48B4F6EA">
        <w:rPr>
          <w:color w:val="007586" w:themeColor="accent2"/>
        </w:rPr>
        <w:t xml:space="preserve">a health service entity </w:t>
      </w:r>
      <w:r w:rsidR="6304FD04" w:rsidRPr="48B4F6EA">
        <w:rPr>
          <w:color w:val="007586" w:themeColor="accent2"/>
        </w:rPr>
        <w:t>seek</w:t>
      </w:r>
      <w:r w:rsidR="006D6826" w:rsidRPr="48B4F6EA">
        <w:rPr>
          <w:color w:val="007586" w:themeColor="accent2"/>
        </w:rPr>
        <w:t xml:space="preserve"> to protect a review?</w:t>
      </w:r>
    </w:p>
    <w:p w14:paraId="07362BF5" w14:textId="26205888" w:rsidR="006D6826" w:rsidRDefault="006D6826" w:rsidP="00C626DD">
      <w:pPr>
        <w:pStyle w:val="SCVbody"/>
      </w:pPr>
      <w:r>
        <w:t xml:space="preserve">The relevant health service entity </w:t>
      </w:r>
      <w:r w:rsidR="6304FD04">
        <w:t>should develop</w:t>
      </w:r>
      <w:r>
        <w:t xml:space="preserve"> its own internal policies to determine when to conduct a SAPSE review. </w:t>
      </w:r>
      <w:r w:rsidR="0083083D">
        <w:t>However,</w:t>
      </w:r>
      <w:r>
        <w:t xml:space="preserve"> there are many benefits to completing a SAPSE review and</w:t>
      </w:r>
      <w:r w:rsidR="0083083D">
        <w:t xml:space="preserve"> </w:t>
      </w:r>
      <w:r w:rsidR="0D65B919">
        <w:t>enlivening the</w:t>
      </w:r>
      <w:r w:rsidR="0083083D">
        <w:t xml:space="preserve"> relevant protections to the review process</w:t>
      </w:r>
      <w:r>
        <w:t xml:space="preserve">, </w:t>
      </w:r>
      <w:r w:rsidR="0083083D">
        <w:t>including:</w:t>
      </w:r>
    </w:p>
    <w:p w14:paraId="72567430" w14:textId="5C063F43" w:rsidR="007B02D8" w:rsidRDefault="007B02D8" w:rsidP="001861B5">
      <w:pPr>
        <w:pStyle w:val="SCVbullet1"/>
      </w:pPr>
      <w:r>
        <w:lastRenderedPageBreak/>
        <w:t>reducing concern about potential medico-legal risk to an individual or organisation, in order to encourage reporting of errors</w:t>
      </w:r>
    </w:p>
    <w:p w14:paraId="2208E121" w14:textId="7ECB7F84" w:rsidR="0083083D" w:rsidRDefault="007B02D8" w:rsidP="001861B5">
      <w:pPr>
        <w:pStyle w:val="SCVbullet1"/>
      </w:pPr>
      <w:r>
        <w:t>fostering information sharing within health service entities</w:t>
      </w:r>
    </w:p>
    <w:p w14:paraId="7EE62FA6" w14:textId="19EF2F46" w:rsidR="00937E17" w:rsidRDefault="00937E17" w:rsidP="001861B5">
      <w:pPr>
        <w:pStyle w:val="SCVbullet1"/>
      </w:pPr>
      <w:r>
        <w:t>more robust discussion</w:t>
      </w:r>
      <w:r w:rsidR="00EC7F88">
        <w:t xml:space="preserve"> and enhanced quality of discussion</w:t>
      </w:r>
    </w:p>
    <w:p w14:paraId="70142AB9" w14:textId="2BD767A0" w:rsidR="00937E17" w:rsidRDefault="00937E17" w:rsidP="001861B5">
      <w:pPr>
        <w:pStyle w:val="SCVbullet1"/>
      </w:pPr>
      <w:r>
        <w:t>more comprehensive and effective recommendations for improvements</w:t>
      </w:r>
    </w:p>
    <w:p w14:paraId="3715C92F" w14:textId="214490CB" w:rsidR="00EC7F88" w:rsidRDefault="00EC7F88" w:rsidP="001861B5">
      <w:pPr>
        <w:pStyle w:val="SCVbullet1"/>
      </w:pPr>
      <w:r>
        <w:t>promote a just culture.</w:t>
      </w:r>
    </w:p>
    <w:p w14:paraId="4273C967" w14:textId="2CAD9ECD" w:rsidR="00EC7F88" w:rsidRDefault="00EC7F88" w:rsidP="00937E17">
      <w:pPr>
        <w:pStyle w:val="SCVbody"/>
      </w:pPr>
      <w:r>
        <w:t xml:space="preserve">In turn this </w:t>
      </w:r>
      <w:r w:rsidR="240A403A">
        <w:t>may</w:t>
      </w:r>
      <w:r>
        <w:t>:</w:t>
      </w:r>
    </w:p>
    <w:p w14:paraId="1ADE46EB" w14:textId="4A981656" w:rsidR="00EC7F88" w:rsidRDefault="00EC7F88" w:rsidP="001861B5">
      <w:pPr>
        <w:pStyle w:val="SCVbullet1"/>
      </w:pPr>
      <w:r>
        <w:t>improve the quality and safety within a health service entity</w:t>
      </w:r>
    </w:p>
    <w:p w14:paraId="66F8CFED" w14:textId="6AAD8CB2" w:rsidR="00642892" w:rsidRDefault="00EC7F88" w:rsidP="00642892">
      <w:pPr>
        <w:pStyle w:val="SCVbullet1"/>
      </w:pPr>
      <w:r>
        <w:t>prevent similar events from occurring in the future</w:t>
      </w:r>
      <w:r w:rsidR="00642892">
        <w:t>, delivering better outcomes for patients.</w:t>
      </w:r>
    </w:p>
    <w:p w14:paraId="1196CDD5" w14:textId="0DFD4568" w:rsidR="00EB6422" w:rsidRPr="00F926AC" w:rsidRDefault="00EB6422" w:rsidP="001861B5">
      <w:pPr>
        <w:pStyle w:val="Heading4"/>
        <w:numPr>
          <w:ilvl w:val="0"/>
          <w:numId w:val="12"/>
        </w:numPr>
        <w:ind w:left="426" w:hanging="426"/>
        <w:rPr>
          <w:color w:val="007586" w:themeColor="text2"/>
        </w:rPr>
      </w:pPr>
      <w:r w:rsidRPr="00F926AC">
        <w:rPr>
          <w:color w:val="007586" w:themeColor="text2"/>
        </w:rPr>
        <w:t>Who must be on a SAPSE review panel?</w:t>
      </w:r>
    </w:p>
    <w:p w14:paraId="7CFEEDA6" w14:textId="77777777" w:rsidR="00F926AC" w:rsidRDefault="00F926AC" w:rsidP="00F926AC">
      <w:pPr>
        <w:pStyle w:val="SCVbody"/>
      </w:pPr>
      <w:r>
        <w:t>The membership of a SAPSE review panel:</w:t>
      </w:r>
    </w:p>
    <w:p w14:paraId="348FAD1F" w14:textId="4517B3E8" w:rsidR="48B4F6EA" w:rsidRDefault="48B4F6EA" w:rsidP="001861B5">
      <w:pPr>
        <w:pStyle w:val="SCVbullet1"/>
      </w:pPr>
      <w:r w:rsidRPr="48B4F6EA">
        <w:rPr>
          <w:b/>
          <w:bCs/>
        </w:rPr>
        <w:t xml:space="preserve">must </w:t>
      </w:r>
      <w:r>
        <w:t>include members that have appropriate skills and experience to conduct a SAPSE review</w:t>
      </w:r>
    </w:p>
    <w:p w14:paraId="5AEFEA12" w14:textId="32033512" w:rsidR="00F926AC" w:rsidRDefault="00F926AC" w:rsidP="001861B5">
      <w:pPr>
        <w:pStyle w:val="SCVbullet1"/>
      </w:pPr>
      <w:r w:rsidRPr="00F926AC">
        <w:rPr>
          <w:b/>
          <w:bCs/>
        </w:rPr>
        <w:t>must</w:t>
      </w:r>
      <w:r>
        <w:t xml:space="preserve"> include an external person who is not employed or engaged by the health service entity that appointed the panel</w:t>
      </w:r>
    </w:p>
    <w:p w14:paraId="40F39C9D" w14:textId="686EBF1A" w:rsidR="00F926AC" w:rsidRDefault="00F926AC" w:rsidP="001861B5">
      <w:pPr>
        <w:pStyle w:val="SCVbullet1"/>
      </w:pPr>
      <w:r w:rsidRPr="00F926AC">
        <w:rPr>
          <w:b/>
          <w:bCs/>
        </w:rPr>
        <w:t>must</w:t>
      </w:r>
      <w:r>
        <w:t xml:space="preserve"> not include any person who was directly involved in the SAPSE under review</w:t>
      </w:r>
    </w:p>
    <w:p w14:paraId="5CCC1856" w14:textId="347A62C6" w:rsidR="00F926AC" w:rsidRDefault="00F926AC" w:rsidP="001861B5">
      <w:pPr>
        <w:pStyle w:val="SCVbullet1"/>
      </w:pPr>
      <w:r w:rsidRPr="00F926AC">
        <w:rPr>
          <w:b/>
          <w:bCs/>
        </w:rPr>
        <w:t>may</w:t>
      </w:r>
      <w:r>
        <w:t xml:space="preserve"> include independent experts</w:t>
      </w:r>
    </w:p>
    <w:p w14:paraId="1CCE8B43" w14:textId="71C0C8CB" w:rsidR="00F926AC" w:rsidRDefault="00F926AC" w:rsidP="001861B5">
      <w:pPr>
        <w:pStyle w:val="SCVbullet1"/>
      </w:pPr>
      <w:r w:rsidRPr="00F926AC">
        <w:rPr>
          <w:b/>
          <w:bCs/>
        </w:rPr>
        <w:t>may</w:t>
      </w:r>
      <w:r>
        <w:t xml:space="preserve"> include consumer representatives</w:t>
      </w:r>
    </w:p>
    <w:p w14:paraId="3AC15205" w14:textId="15E39322" w:rsidR="00F926AC" w:rsidRDefault="00F926AC" w:rsidP="001861B5">
      <w:pPr>
        <w:pStyle w:val="SCVbullet1"/>
      </w:pPr>
      <w:r w:rsidRPr="002F2A11">
        <w:rPr>
          <w:b/>
          <w:bCs/>
        </w:rPr>
        <w:t>must</w:t>
      </w:r>
      <w:r>
        <w:t xml:space="preserve"> comply with any prescribed requirements</w:t>
      </w:r>
      <w:r w:rsidR="00F16A12">
        <w:t>:</w:t>
      </w:r>
    </w:p>
    <w:p w14:paraId="2C2AF0DC" w14:textId="77777777" w:rsidR="0049277F" w:rsidRDefault="003C20EE" w:rsidP="001861B5">
      <w:pPr>
        <w:pStyle w:val="SCVbullet2"/>
      </w:pPr>
      <w:r w:rsidRPr="003C20EE">
        <w:t xml:space="preserve">the SAPSE review panel </w:t>
      </w:r>
      <w:r w:rsidRPr="003C20EE">
        <w:rPr>
          <w:b/>
          <w:bCs/>
        </w:rPr>
        <w:t>must</w:t>
      </w:r>
      <w:r w:rsidRPr="003C20EE">
        <w:t xml:space="preserve"> consist of no less than 3 members</w:t>
      </w:r>
    </w:p>
    <w:p w14:paraId="4957DFE5" w14:textId="108FBC94" w:rsidR="00EB6422" w:rsidRDefault="0049277F" w:rsidP="001861B5">
      <w:pPr>
        <w:pStyle w:val="SCVbullet2"/>
      </w:pPr>
      <w:r w:rsidRPr="0049277F">
        <w:t xml:space="preserve">if a SAPSE review relates to an event that is considered a sentinel event, the review panel </w:t>
      </w:r>
      <w:r w:rsidRPr="0049277F">
        <w:rPr>
          <w:b/>
          <w:bCs/>
        </w:rPr>
        <w:t>must</w:t>
      </w:r>
      <w:r w:rsidRPr="0049277F">
        <w:t xml:space="preserve"> also contain a consumer representative.</w:t>
      </w:r>
    </w:p>
    <w:p w14:paraId="475776A5" w14:textId="41F12310" w:rsidR="00F16A12" w:rsidRDefault="00E11F9B" w:rsidP="00F16A12">
      <w:pPr>
        <w:pStyle w:val="SCVbody"/>
      </w:pPr>
      <w:r w:rsidRPr="00E11F9B">
        <w:t>If a SAPSE involves two or more health service entities, the CEOs (however named) of those health service entities may agree to appoint a joint SAPSE review panel in accordance with the Act and regulations.</w:t>
      </w:r>
      <w:r>
        <w:t xml:space="preserve"> </w:t>
      </w:r>
      <w:r w:rsidR="6ABEC645">
        <w:t>T</w:t>
      </w:r>
      <w:r w:rsidR="11F8425B">
        <w:t>he</w:t>
      </w:r>
      <w:r w:rsidR="0095711A" w:rsidRPr="0095711A">
        <w:t xml:space="preserve"> Secretary may</w:t>
      </w:r>
      <w:r w:rsidR="11F8425B">
        <w:t xml:space="preserve"> </w:t>
      </w:r>
      <w:r w:rsidR="052A33AB">
        <w:t>also</w:t>
      </w:r>
      <w:r w:rsidR="0095711A" w:rsidRPr="0095711A">
        <w:t xml:space="preserve"> direct that a joint SAPSE review panel must be appointed and if the CEOs (however named) of the health service entities involved are unable to agree to appoint a joint SAPSE review panel, the Secretary may appoint the panel</w:t>
      </w:r>
      <w:r w:rsidR="0095711A">
        <w:t>.</w:t>
      </w:r>
    </w:p>
    <w:p w14:paraId="484F044C" w14:textId="77777777" w:rsidR="0055007A" w:rsidRDefault="0055007A" w:rsidP="0055007A">
      <w:pPr>
        <w:pStyle w:val="SCVbody"/>
      </w:pPr>
      <w:r>
        <w:t xml:space="preserve">A </w:t>
      </w:r>
      <w:r w:rsidRPr="0055007A">
        <w:rPr>
          <w:u w:val="single"/>
        </w:rPr>
        <w:t>joint SAPSE review panel</w:t>
      </w:r>
      <w:r>
        <w:t>:</w:t>
      </w:r>
    </w:p>
    <w:p w14:paraId="1A64BECA" w14:textId="66633985" w:rsidR="0055007A" w:rsidRDefault="0055007A" w:rsidP="001861B5">
      <w:pPr>
        <w:pStyle w:val="SCVbullet1"/>
      </w:pPr>
      <w:r w:rsidRPr="0055007A">
        <w:rPr>
          <w:b/>
          <w:bCs/>
        </w:rPr>
        <w:t>must</w:t>
      </w:r>
      <w:r>
        <w:t xml:space="preserve"> include at least one member from each health service entity involved with the SAPSE</w:t>
      </w:r>
    </w:p>
    <w:p w14:paraId="25F8036E" w14:textId="04C41E5D" w:rsidR="0055007A" w:rsidRDefault="0055007A" w:rsidP="001861B5">
      <w:pPr>
        <w:pStyle w:val="SCVbullet1"/>
      </w:pPr>
      <w:r w:rsidRPr="0055007A">
        <w:rPr>
          <w:b/>
          <w:bCs/>
        </w:rPr>
        <w:t>must</w:t>
      </w:r>
      <w:r>
        <w:t xml:space="preserve"> consist of no less than four members</w:t>
      </w:r>
    </w:p>
    <w:p w14:paraId="304B2CD6" w14:textId="27C6DF0C" w:rsidR="0055007A" w:rsidRDefault="0055007A" w:rsidP="001861B5">
      <w:pPr>
        <w:pStyle w:val="SCVbullet1"/>
      </w:pPr>
      <w:r w:rsidRPr="0055007A">
        <w:rPr>
          <w:b/>
          <w:bCs/>
        </w:rPr>
        <w:t>may</w:t>
      </w:r>
      <w:r>
        <w:t xml:space="preserve"> include a representative appointed by the Secretary</w:t>
      </w:r>
    </w:p>
    <w:p w14:paraId="7A5B578B" w14:textId="1F8917F2" w:rsidR="2DCEE350" w:rsidRDefault="2DCEE350" w:rsidP="001861B5">
      <w:pPr>
        <w:pStyle w:val="SCVbullet1"/>
      </w:pPr>
      <w:r w:rsidRPr="00DA51CB">
        <w:t xml:space="preserve">if the review relates to an event that is considered a sentinel event, </w:t>
      </w:r>
      <w:r w:rsidR="00912274">
        <w:t xml:space="preserve">it </w:t>
      </w:r>
      <w:r w:rsidRPr="00912274">
        <w:rPr>
          <w:b/>
          <w:bCs/>
        </w:rPr>
        <w:t>must</w:t>
      </w:r>
      <w:r w:rsidRPr="00DA51CB">
        <w:t xml:space="preserve"> include a consumer representative</w:t>
      </w:r>
      <w:r w:rsidR="00912274">
        <w:t>.</w:t>
      </w:r>
    </w:p>
    <w:p w14:paraId="64568B1C" w14:textId="6C9A4AED" w:rsidR="0055007A" w:rsidRDefault="00DA51CB" w:rsidP="00F16A12">
      <w:pPr>
        <w:pStyle w:val="SCVbody"/>
      </w:pPr>
      <w:r>
        <w:t>A</w:t>
      </w:r>
      <w:r w:rsidRPr="00DA51CB">
        <w:t xml:space="preserve"> member of a SAPSE review panel who has a potential or actual conflict of interest with respect to a SAPSE review they have been appointed to conduct must disclose the conflict of interest to the other members of that panel</w:t>
      </w:r>
      <w:r w:rsidR="12D27CF5">
        <w:t>.</w:t>
      </w:r>
    </w:p>
    <w:p w14:paraId="6048717E" w14:textId="6D6F7142" w:rsidR="00E54E40" w:rsidRPr="003E6FB1" w:rsidRDefault="00E54E40" w:rsidP="001861B5">
      <w:pPr>
        <w:pStyle w:val="Heading4"/>
        <w:numPr>
          <w:ilvl w:val="0"/>
          <w:numId w:val="12"/>
        </w:numPr>
        <w:ind w:left="426" w:hanging="426"/>
        <w:rPr>
          <w:color w:val="007586" w:themeColor="text2"/>
        </w:rPr>
      </w:pPr>
      <w:r w:rsidRPr="003E6FB1">
        <w:rPr>
          <w:color w:val="007586" w:themeColor="text2"/>
        </w:rPr>
        <w:t xml:space="preserve">Does a sentinel event </w:t>
      </w:r>
      <w:r w:rsidR="00883124">
        <w:rPr>
          <w:color w:val="007586" w:themeColor="text2"/>
        </w:rPr>
        <w:t xml:space="preserve">review process </w:t>
      </w:r>
      <w:r w:rsidRPr="003E6FB1">
        <w:rPr>
          <w:color w:val="007586" w:themeColor="text2"/>
        </w:rPr>
        <w:t>automatically fulfill the SAPSE review requirements?</w:t>
      </w:r>
    </w:p>
    <w:p w14:paraId="6F063B1D" w14:textId="77777777" w:rsidR="001C5B96" w:rsidRDefault="00845A43" w:rsidP="00EE2C39">
      <w:pPr>
        <w:pStyle w:val="SCVbody"/>
      </w:pPr>
      <w:r>
        <w:t>There are no changes to sentinel event reporting</w:t>
      </w:r>
      <w:r w:rsidR="001C5B96">
        <w:t xml:space="preserve"> and review</w:t>
      </w:r>
      <w:r w:rsidR="00697221">
        <w:t xml:space="preserve"> requirements. </w:t>
      </w:r>
    </w:p>
    <w:p w14:paraId="5636E695" w14:textId="5C95846D" w:rsidR="00E54E40" w:rsidRDefault="0065698A" w:rsidP="00EE2C39">
      <w:pPr>
        <w:pStyle w:val="SCVbody"/>
      </w:pPr>
      <w:r>
        <w:lastRenderedPageBreak/>
        <w:t>T</w:t>
      </w:r>
      <w:r w:rsidR="00E54E40">
        <w:t>he panel requirements for a sentinel event</w:t>
      </w:r>
      <w:r w:rsidR="00EE2C39">
        <w:t xml:space="preserve"> must</w:t>
      </w:r>
      <w:r w:rsidR="00E54E40">
        <w:t xml:space="preserve"> include a</w:t>
      </w:r>
      <w:r w:rsidR="00EE2C39">
        <w:t xml:space="preserve"> member who is external to the health service </w:t>
      </w:r>
      <w:r w:rsidR="00EE2C39" w:rsidRPr="00EE2C39">
        <w:rPr>
          <w:b/>
          <w:bCs/>
        </w:rPr>
        <w:t>and</w:t>
      </w:r>
      <w:r>
        <w:rPr>
          <w:b/>
          <w:bCs/>
        </w:rPr>
        <w:t xml:space="preserve"> </w:t>
      </w:r>
      <w:r w:rsidR="00EE2C39">
        <w:t xml:space="preserve">a consumer representative, </w:t>
      </w:r>
      <w:r>
        <w:t xml:space="preserve">therefore if the SAPSE review panel member requirements within the </w:t>
      </w:r>
      <w:r w:rsidR="00912274">
        <w:t>Act</w:t>
      </w:r>
      <w:r w:rsidR="59EEE32A">
        <w:t xml:space="preserve"> and </w:t>
      </w:r>
      <w:r w:rsidR="00912274">
        <w:t>relevant</w:t>
      </w:r>
      <w:r>
        <w:t xml:space="preserve"> regulations are</w:t>
      </w:r>
      <w:r w:rsidR="00883124">
        <w:t xml:space="preserve"> also</w:t>
      </w:r>
      <w:r>
        <w:t xml:space="preserve"> met, it </w:t>
      </w:r>
      <w:r w:rsidR="1597C499">
        <w:t xml:space="preserve">could </w:t>
      </w:r>
      <w:r w:rsidR="1597C499" w:rsidRPr="002E4785">
        <w:rPr>
          <w:b/>
        </w:rPr>
        <w:t>also</w:t>
      </w:r>
      <w:r>
        <w:t xml:space="preserve"> be a SAPSE review panel. </w:t>
      </w:r>
    </w:p>
    <w:p w14:paraId="0D1E58FC" w14:textId="7ADD7873" w:rsidR="00E54E40" w:rsidRDefault="000B19A0" w:rsidP="00E54E40">
      <w:pPr>
        <w:pStyle w:val="SCVbody"/>
      </w:pPr>
      <w:r>
        <w:t xml:space="preserve">This panel must then produce a SAPSE review report, whilst ensuring that any significant sentinel event reporting timelines </w:t>
      </w:r>
      <w:r w:rsidR="00864FC5">
        <w:t xml:space="preserve">and requirements </w:t>
      </w:r>
      <w:r>
        <w:t>are met</w:t>
      </w:r>
      <w:r w:rsidR="00864FC5">
        <w:t xml:space="preserve"> as well. </w:t>
      </w:r>
      <w:r w:rsidR="00AA45AC">
        <w:t xml:space="preserve">If they </w:t>
      </w:r>
      <w:r w:rsidR="00883124">
        <w:t>are met</w:t>
      </w:r>
      <w:r w:rsidR="00AA45AC">
        <w:t xml:space="preserve">, then it will </w:t>
      </w:r>
      <w:r w:rsidR="00845A43">
        <w:t>also be</w:t>
      </w:r>
      <w:r w:rsidR="00AA45AC">
        <w:t xml:space="preserve"> a SAPSE review and have relevant protections applied</w:t>
      </w:r>
      <w:r w:rsidR="00385704">
        <w:t xml:space="preserve"> to the review process</w:t>
      </w:r>
      <w:r w:rsidR="00AA45AC">
        <w:t>.</w:t>
      </w:r>
    </w:p>
    <w:p w14:paraId="2DBADC72" w14:textId="51F3B2C7" w:rsidR="00246CA6" w:rsidRPr="004A1DDA" w:rsidRDefault="00297CF0" w:rsidP="001861B5">
      <w:pPr>
        <w:pStyle w:val="Heading4"/>
        <w:numPr>
          <w:ilvl w:val="0"/>
          <w:numId w:val="12"/>
        </w:numPr>
        <w:ind w:left="426" w:hanging="426"/>
        <w:rPr>
          <w:color w:val="007586" w:themeColor="text2"/>
        </w:rPr>
      </w:pPr>
      <w:r w:rsidRPr="004A1DDA">
        <w:rPr>
          <w:color w:val="007586" w:themeColor="text2"/>
        </w:rPr>
        <w:t>What do I need to include in the SAPSE review report?</w:t>
      </w:r>
    </w:p>
    <w:p w14:paraId="159DBACB" w14:textId="30375F49" w:rsidR="004A1DDA" w:rsidRDefault="004A1DDA" w:rsidP="004A1DDA">
      <w:pPr>
        <w:pStyle w:val="SCVbody"/>
      </w:pPr>
      <w:r>
        <w:t>A SAPSE review report must be produced by the SAPSE review panel containing one or more of the following as considered appropriate:</w:t>
      </w:r>
    </w:p>
    <w:p w14:paraId="5F13C3F3" w14:textId="533E06B2" w:rsidR="004A1DDA" w:rsidRDefault="004A1DDA" w:rsidP="001861B5">
      <w:pPr>
        <w:pStyle w:val="SCVbullet1"/>
      </w:pPr>
      <w:r>
        <w:t>a description of the serious adverse patient safety event</w:t>
      </w:r>
    </w:p>
    <w:p w14:paraId="14511B10" w14:textId="763B8DA3" w:rsidR="004A1DDA" w:rsidRDefault="004A1DDA" w:rsidP="001861B5">
      <w:pPr>
        <w:pStyle w:val="SCVbullet1"/>
      </w:pPr>
      <w:r>
        <w:t>analysis identifying why the event happened and any factors that contributed to the event</w:t>
      </w:r>
    </w:p>
    <w:p w14:paraId="2B1A8CC8" w14:textId="0E47DC58" w:rsidR="00297CF0" w:rsidRDefault="004A1DDA" w:rsidP="001861B5">
      <w:pPr>
        <w:pStyle w:val="SCVbullet1"/>
      </w:pPr>
      <w:r>
        <w:t>any recommendations about changes or improvements in a policy, procedure or practice relating to the provision of a health service that are intended to reduce the likelihood of, or prevent, the same type of event happening again.</w:t>
      </w:r>
    </w:p>
    <w:p w14:paraId="51856BEC" w14:textId="1A631B7B" w:rsidR="00C50DB6" w:rsidRPr="0054542D" w:rsidRDefault="00ED4838" w:rsidP="00991178">
      <w:pPr>
        <w:pStyle w:val="SCVbody"/>
        <w:spacing w:line="240" w:lineRule="auto"/>
      </w:pPr>
      <w:r>
        <w:t>However,</w:t>
      </w:r>
      <w:r w:rsidR="00C50DB6">
        <w:t xml:space="preserve"> if this SAPSE review report is given to the patient and/or </w:t>
      </w:r>
      <w:r w:rsidR="006F7414">
        <w:t>next-of-kin (</w:t>
      </w:r>
      <w:r w:rsidR="00C50DB6">
        <w:t>NOK</w:t>
      </w:r>
      <w:r w:rsidR="006F7414">
        <w:t>)</w:t>
      </w:r>
      <w:r w:rsidR="00C50DB6">
        <w:t xml:space="preserve"> as part of the Statutory Duty of Candour </w:t>
      </w:r>
      <w:r>
        <w:t xml:space="preserve">(SDC) </w:t>
      </w:r>
      <w:r w:rsidR="00C50DB6">
        <w:t xml:space="preserve">process, please ensure all Requirements within the </w:t>
      </w:r>
      <w:r w:rsidRPr="00ED4838">
        <w:rPr>
          <w:i/>
          <w:iCs/>
        </w:rPr>
        <w:t>Victorian</w:t>
      </w:r>
      <w:r w:rsidR="00C50DB6" w:rsidRPr="00ED4838">
        <w:rPr>
          <w:i/>
          <w:iCs/>
        </w:rPr>
        <w:t xml:space="preserve"> Duty of Candour</w:t>
      </w:r>
      <w:r w:rsidRPr="00ED4838">
        <w:rPr>
          <w:i/>
          <w:iCs/>
        </w:rPr>
        <w:t xml:space="preserve"> Guidelines</w:t>
      </w:r>
      <w:r>
        <w:t xml:space="preserve"> are </w:t>
      </w:r>
      <w:r w:rsidR="49069916">
        <w:t xml:space="preserve">also </w:t>
      </w:r>
      <w:r>
        <w:t xml:space="preserve">met. </w:t>
      </w:r>
    </w:p>
    <w:p w14:paraId="369EA374" w14:textId="5D9B373A" w:rsidR="00816D37" w:rsidRDefault="00CE71A2" w:rsidP="001861B5">
      <w:pPr>
        <w:pStyle w:val="Heading4"/>
        <w:numPr>
          <w:ilvl w:val="0"/>
          <w:numId w:val="12"/>
        </w:numPr>
        <w:ind w:left="426" w:hanging="426"/>
        <w:rPr>
          <w:color w:val="007586" w:themeColor="text2"/>
        </w:rPr>
      </w:pPr>
      <w:r w:rsidRPr="48B4F6EA">
        <w:rPr>
          <w:color w:val="007586" w:themeColor="accent2"/>
        </w:rPr>
        <w:t xml:space="preserve">What documents are protected as part of a SAPSE review? </w:t>
      </w:r>
    </w:p>
    <w:p w14:paraId="597C06ED" w14:textId="1C833BA9" w:rsidR="48B4F6EA" w:rsidRDefault="48B4F6EA" w:rsidP="00135FD0">
      <w:pPr>
        <w:pStyle w:val="SCVbody"/>
        <w:spacing w:line="240" w:lineRule="auto"/>
      </w:pPr>
      <w:r w:rsidRPr="48B4F6EA">
        <w:t>Any document that is the original or a copy of a document that was created for the sole purpose of providing information in the course of conducting a SAPSE review and provided in the course of conducting a SAPSE review</w:t>
      </w:r>
      <w:r w:rsidR="10023739">
        <w:t xml:space="preserve"> are protected as part of the SAPSE review.</w:t>
      </w:r>
    </w:p>
    <w:p w14:paraId="71647984" w14:textId="2EF041A8" w:rsidR="48B4F6EA" w:rsidRDefault="48B4F6EA" w:rsidP="00135FD0">
      <w:pPr>
        <w:pStyle w:val="SCVbody"/>
        <w:spacing w:line="240" w:lineRule="auto"/>
      </w:pPr>
      <w:r>
        <w:t>For example</w:t>
      </w:r>
      <w:r w:rsidR="10023739">
        <w:t>, this may include</w:t>
      </w:r>
      <w:r>
        <w:t>:</w:t>
      </w:r>
    </w:p>
    <w:p w14:paraId="5DC9F95A" w14:textId="7311F9DD" w:rsidR="00CE71A2" w:rsidRDefault="001B03A4" w:rsidP="001861B5">
      <w:pPr>
        <w:pStyle w:val="SCVbullet1"/>
      </w:pPr>
      <w:r>
        <w:t>d</w:t>
      </w:r>
      <w:r w:rsidR="00211EBE">
        <w:t>raft SAPSE review report</w:t>
      </w:r>
    </w:p>
    <w:p w14:paraId="578DDBDE" w14:textId="345AC15E" w:rsidR="00211EBE" w:rsidRDefault="001B03A4" w:rsidP="001861B5">
      <w:pPr>
        <w:pStyle w:val="SCVbullet1"/>
      </w:pPr>
      <w:r>
        <w:t>f</w:t>
      </w:r>
      <w:r w:rsidR="00211EBE">
        <w:t>inal SAPSE review report</w:t>
      </w:r>
    </w:p>
    <w:p w14:paraId="73FC2217" w14:textId="0D4B4210" w:rsidR="00211EBE" w:rsidRDefault="001B03A4" w:rsidP="001861B5">
      <w:pPr>
        <w:pStyle w:val="SCVbullet1"/>
      </w:pPr>
      <w:r>
        <w:t>i</w:t>
      </w:r>
      <w:r w:rsidR="00211EBE">
        <w:t>nterview records</w:t>
      </w:r>
    </w:p>
    <w:p w14:paraId="34414D53" w14:textId="6951C41E" w:rsidR="00B641E3" w:rsidRPr="00CE71A2" w:rsidRDefault="001B03A4" w:rsidP="001861B5">
      <w:pPr>
        <w:pStyle w:val="SCVbullet1"/>
      </w:pPr>
      <w:r>
        <w:t>w</w:t>
      </w:r>
      <w:r w:rsidR="00211EBE">
        <w:t xml:space="preserve">orking </w:t>
      </w:r>
      <w:r w:rsidR="00B641E3">
        <w:t xml:space="preserve">notes or </w:t>
      </w:r>
      <w:r w:rsidR="00211EBE">
        <w:t xml:space="preserve">documents created as part of the </w:t>
      </w:r>
      <w:r w:rsidR="00B641E3">
        <w:t xml:space="preserve">SAPSE </w:t>
      </w:r>
      <w:r w:rsidR="00211EBE">
        <w:t>review</w:t>
      </w:r>
      <w:r w:rsidR="00B641E3">
        <w:t>.</w:t>
      </w:r>
    </w:p>
    <w:p w14:paraId="0C9EBDD9" w14:textId="4E075A64" w:rsidR="00816D37" w:rsidRDefault="00D3058A" w:rsidP="001861B5">
      <w:pPr>
        <w:pStyle w:val="Heading4"/>
        <w:numPr>
          <w:ilvl w:val="0"/>
          <w:numId w:val="12"/>
        </w:numPr>
        <w:ind w:left="426" w:hanging="426"/>
        <w:rPr>
          <w:color w:val="007586" w:themeColor="text2"/>
        </w:rPr>
      </w:pPr>
      <w:r>
        <w:rPr>
          <w:color w:val="007586" w:themeColor="text2"/>
        </w:rPr>
        <w:t>Is a patient’s medical record protected as part of the SAPSE review?</w:t>
      </w:r>
    </w:p>
    <w:p w14:paraId="3E05A1BC" w14:textId="477F4DCC" w:rsidR="00437F70" w:rsidRPr="00D3058A" w:rsidRDefault="00D3058A" w:rsidP="00D3058A">
      <w:pPr>
        <w:pStyle w:val="SCVbody"/>
      </w:pPr>
      <w:r>
        <w:t>T</w:t>
      </w:r>
      <w:r w:rsidRPr="00D3058A">
        <w:t>he</w:t>
      </w:r>
      <w:r w:rsidR="00F1106C">
        <w:t>se</w:t>
      </w:r>
      <w:r w:rsidRPr="00D3058A">
        <w:t xml:space="preserve"> protections do not </w:t>
      </w:r>
      <w:r w:rsidR="00437F70" w:rsidRPr="00437F70">
        <w:t>affect the right of a patient to access the</w:t>
      </w:r>
      <w:r w:rsidR="00437F70">
        <w:t xml:space="preserve">ir </w:t>
      </w:r>
      <w:r w:rsidR="00437F70" w:rsidRPr="00437F70">
        <w:t xml:space="preserve">own medical </w:t>
      </w:r>
      <w:r w:rsidR="001C1CAA">
        <w:t>files/records.</w:t>
      </w:r>
    </w:p>
    <w:p w14:paraId="29A0875F" w14:textId="5A998238" w:rsidR="00ED4838" w:rsidRPr="00773F17" w:rsidRDefault="00ED4838" w:rsidP="001861B5">
      <w:pPr>
        <w:pStyle w:val="Heading4"/>
        <w:numPr>
          <w:ilvl w:val="0"/>
          <w:numId w:val="12"/>
        </w:numPr>
        <w:ind w:left="426" w:hanging="426"/>
        <w:rPr>
          <w:color w:val="007586" w:themeColor="text2"/>
        </w:rPr>
      </w:pPr>
      <w:r w:rsidRPr="00773F17">
        <w:rPr>
          <w:color w:val="007586" w:themeColor="text2"/>
        </w:rPr>
        <w:t>Can someone request a copy of the SAPSE review report if they are not entitled to it?</w:t>
      </w:r>
    </w:p>
    <w:p w14:paraId="40EB9ADA" w14:textId="10B5E093" w:rsidR="00ED4838" w:rsidRDefault="00ED4838" w:rsidP="001861B5">
      <w:pPr>
        <w:pStyle w:val="SCVbody"/>
        <w:spacing w:line="240" w:lineRule="auto"/>
      </w:pPr>
      <w:r w:rsidRPr="004E5F1A">
        <w:t xml:space="preserve">The SAPSE review report created as part of a SAPSE review cannot be requested under the </w:t>
      </w:r>
      <w:r w:rsidRPr="004E5F1A">
        <w:rPr>
          <w:i/>
          <w:iCs/>
        </w:rPr>
        <w:t xml:space="preserve">Freedom of Information Act 1982 </w:t>
      </w:r>
      <w:r w:rsidRPr="004E5F1A">
        <w:t xml:space="preserve">(Vic) or </w:t>
      </w:r>
      <w:r w:rsidRPr="004E5F1A">
        <w:rPr>
          <w:i/>
          <w:iCs/>
        </w:rPr>
        <w:t>Health Records Act 2001</w:t>
      </w:r>
      <w:r w:rsidRPr="004E5F1A">
        <w:t xml:space="preserve">. In addition, a person involved in the </w:t>
      </w:r>
      <w:r>
        <w:t>SAPSE</w:t>
      </w:r>
      <w:r w:rsidRPr="004E5F1A">
        <w:t xml:space="preserve"> review cannot be required to produce the SAPSE review report before any court, tribunal, board, agency or other person</w:t>
      </w:r>
      <w:r w:rsidR="49069916">
        <w:t>, except the Coroners Court</w:t>
      </w:r>
      <w:r w:rsidR="007B3993">
        <w:t xml:space="preserve"> (as appropriate) if for the purpose of an investigation or inquest</w:t>
      </w:r>
      <w:r w:rsidRPr="004E5F1A">
        <w:t>.</w:t>
      </w:r>
      <w:r w:rsidR="00670CF7">
        <w:t xml:space="preserve"> This includes WorkSafe, however doesn’t prevent WorkSafe from conducting their own review.</w:t>
      </w:r>
    </w:p>
    <w:p w14:paraId="27172512" w14:textId="6EDA1F31" w:rsidR="001F7DDC" w:rsidRPr="0049085B" w:rsidRDefault="005F029D" w:rsidP="001861B5">
      <w:pPr>
        <w:pStyle w:val="Heading4"/>
        <w:numPr>
          <w:ilvl w:val="0"/>
          <w:numId w:val="12"/>
        </w:numPr>
        <w:ind w:left="426" w:hanging="426"/>
        <w:rPr>
          <w:color w:val="007586" w:themeColor="text2"/>
        </w:rPr>
      </w:pPr>
      <w:r w:rsidRPr="0049085B">
        <w:rPr>
          <w:color w:val="007586" w:themeColor="text2"/>
        </w:rPr>
        <w:lastRenderedPageBreak/>
        <w:t>My health service entity</w:t>
      </w:r>
      <w:r w:rsidR="005715AC" w:rsidRPr="0049085B">
        <w:rPr>
          <w:color w:val="007586" w:themeColor="text2"/>
        </w:rPr>
        <w:t xml:space="preserve"> has a committee </w:t>
      </w:r>
      <w:r w:rsidR="00B11B3E" w:rsidRPr="0049085B">
        <w:rPr>
          <w:color w:val="007586" w:themeColor="text2"/>
        </w:rPr>
        <w:t xml:space="preserve">appointed </w:t>
      </w:r>
      <w:r w:rsidR="00A42E39" w:rsidRPr="0049085B">
        <w:rPr>
          <w:color w:val="007586" w:themeColor="text2"/>
        </w:rPr>
        <w:t>under section 139</w:t>
      </w:r>
      <w:r w:rsidR="0049085B" w:rsidRPr="0049085B">
        <w:rPr>
          <w:color w:val="007586" w:themeColor="text2"/>
        </w:rPr>
        <w:t xml:space="preserve"> </w:t>
      </w:r>
      <w:r w:rsidR="00EB7721">
        <w:rPr>
          <w:color w:val="007586" w:themeColor="text2"/>
        </w:rPr>
        <w:t xml:space="preserve">of the </w:t>
      </w:r>
      <w:r w:rsidR="00EB7721" w:rsidRPr="00EB7721">
        <w:rPr>
          <w:i/>
          <w:iCs w:val="0"/>
          <w:color w:val="007586" w:themeColor="text2"/>
        </w:rPr>
        <w:t xml:space="preserve">Health Services </w:t>
      </w:r>
      <w:r w:rsidR="0049085B" w:rsidRPr="00EB7721">
        <w:rPr>
          <w:i/>
          <w:iCs w:val="0"/>
          <w:color w:val="007586" w:themeColor="text2"/>
        </w:rPr>
        <w:t>Act</w:t>
      </w:r>
      <w:r w:rsidR="00EB7721" w:rsidRPr="00EB7721">
        <w:rPr>
          <w:i/>
          <w:iCs w:val="0"/>
          <w:color w:val="007586" w:themeColor="text2"/>
        </w:rPr>
        <w:t xml:space="preserve"> 1988</w:t>
      </w:r>
      <w:r w:rsidR="00EB7721">
        <w:rPr>
          <w:color w:val="007586" w:themeColor="text2"/>
        </w:rPr>
        <w:t xml:space="preserve"> (Vic)(Act)</w:t>
      </w:r>
      <w:r w:rsidR="00A42E39" w:rsidRPr="0049085B">
        <w:rPr>
          <w:color w:val="007586" w:themeColor="text2"/>
        </w:rPr>
        <w:t>. What does the SDC legislation mean in accordance with this?</w:t>
      </w:r>
    </w:p>
    <w:p w14:paraId="41DE6D97" w14:textId="28A9449E" w:rsidR="00870661" w:rsidRPr="00510690" w:rsidRDefault="00870661" w:rsidP="0006213A">
      <w:pPr>
        <w:pStyle w:val="SCVbody"/>
        <w:spacing w:line="240" w:lineRule="auto"/>
      </w:pPr>
      <w:r w:rsidRPr="00870661">
        <w:t xml:space="preserve">Section 139 does not apply to Division 8 of Part 5A of the Act. This means that a member of a Quality Assurance Committee gazetted in accordance with section 139 cannot rely on their membership of that committee to refuse to provide a copy of the SAPSE review report to the patient </w:t>
      </w:r>
      <w:r w:rsidR="006F7414">
        <w:t>and/</w:t>
      </w:r>
      <w:r w:rsidRPr="00870661">
        <w:t>or their NOK.</w:t>
      </w:r>
    </w:p>
    <w:p w14:paraId="08AD0885" w14:textId="00BA3B64" w:rsidR="00EB7721" w:rsidRDefault="00EB7721" w:rsidP="00EB7721">
      <w:pPr>
        <w:pStyle w:val="SCVbody"/>
        <w:spacing w:line="240" w:lineRule="auto"/>
      </w:pPr>
      <w:r>
        <w:t xml:space="preserve">It is expected that any SAPSE review will be undertaken by a SAPSE review panel in accordance with the new provisions, including that the SAPSE review report will be provided to the patient and/or their </w:t>
      </w:r>
      <w:r w:rsidR="006F7414">
        <w:t>NOK</w:t>
      </w:r>
      <w:r>
        <w:t>.  However, documents and discussions of the SAPSE review panel including interview records and working documents are protected by the new SAPSE provisions.</w:t>
      </w:r>
    </w:p>
    <w:p w14:paraId="05CAFD95" w14:textId="0DB22AEA" w:rsidR="00E105A8" w:rsidRDefault="00EB7721" w:rsidP="00EB7721">
      <w:pPr>
        <w:pStyle w:val="SCVbody"/>
        <w:spacing w:line="240" w:lineRule="auto"/>
      </w:pPr>
      <w:r>
        <w:t xml:space="preserve">Health service entities with a section 139 </w:t>
      </w:r>
      <w:r w:rsidR="37E9C782">
        <w:t xml:space="preserve">committee </w:t>
      </w:r>
      <w:r>
        <w:t xml:space="preserve">in place should have clear avenues for late recognition of a SAPSE and that the section 139 committee does not </w:t>
      </w:r>
      <w:r w:rsidR="37E9C782">
        <w:t>impede events</w:t>
      </w:r>
      <w:r>
        <w:t xml:space="preserve"> being captured as </w:t>
      </w:r>
      <w:r w:rsidR="37E9C782">
        <w:t xml:space="preserve">a </w:t>
      </w:r>
      <w:r>
        <w:t>SAPSE and SDC being completed as intended.</w:t>
      </w:r>
    </w:p>
    <w:p w14:paraId="3F59562B" w14:textId="64377DF3" w:rsidR="0055007A" w:rsidRPr="00187347" w:rsidRDefault="0055007A" w:rsidP="001861B5">
      <w:pPr>
        <w:pStyle w:val="Heading4"/>
        <w:numPr>
          <w:ilvl w:val="0"/>
          <w:numId w:val="12"/>
        </w:numPr>
        <w:ind w:left="426" w:hanging="426"/>
        <w:rPr>
          <w:color w:val="007586" w:themeColor="text2"/>
        </w:rPr>
      </w:pPr>
      <w:r w:rsidRPr="48B4F6EA">
        <w:rPr>
          <w:color w:val="007586" w:themeColor="accent2"/>
        </w:rPr>
        <w:t xml:space="preserve">Who </w:t>
      </w:r>
      <w:r w:rsidR="00A2470E" w:rsidRPr="48B4F6EA">
        <w:rPr>
          <w:color w:val="007586" w:themeColor="accent2"/>
        </w:rPr>
        <w:t>must be offered a copy of the SAPSE review report?</w:t>
      </w:r>
    </w:p>
    <w:p w14:paraId="64565B2F" w14:textId="29FAB3A0" w:rsidR="48B4F6EA" w:rsidRDefault="48B4F6EA" w:rsidP="00135FD0">
      <w:pPr>
        <w:pStyle w:val="SCVbody"/>
        <w:spacing w:line="240" w:lineRule="auto"/>
      </w:pPr>
      <w:r>
        <w:t xml:space="preserve">The health service </w:t>
      </w:r>
      <w:r w:rsidR="10023739">
        <w:t xml:space="preserve">entity </w:t>
      </w:r>
      <w:r>
        <w:t>must offer a copy of the SAPSE review report to:</w:t>
      </w:r>
    </w:p>
    <w:p w14:paraId="1B843374" w14:textId="0CE97108" w:rsidR="00035CD7" w:rsidRDefault="00035CD7" w:rsidP="001861B5">
      <w:pPr>
        <w:pStyle w:val="SCVbullet1"/>
      </w:pPr>
      <w:r>
        <w:t>a patient</w:t>
      </w:r>
    </w:p>
    <w:p w14:paraId="39B69BDE" w14:textId="489B7870" w:rsidR="00035CD7" w:rsidRDefault="00035CD7" w:rsidP="001861B5">
      <w:pPr>
        <w:pStyle w:val="SCVbullet1"/>
      </w:pPr>
      <w:r>
        <w:t>a person nominated by the patient</w:t>
      </w:r>
    </w:p>
    <w:p w14:paraId="29309A8B" w14:textId="3C0A107C" w:rsidR="00A2470E" w:rsidRDefault="00035CD7" w:rsidP="001861B5">
      <w:pPr>
        <w:pStyle w:val="SCVbullet1"/>
      </w:pPr>
      <w:r>
        <w:t>the immediate family, carer or next of kin of a patient, if the patient is deceased or lacks capacity.</w:t>
      </w:r>
    </w:p>
    <w:p w14:paraId="101F8D4E" w14:textId="7D290E09" w:rsidR="00A2470E" w:rsidRDefault="00187347" w:rsidP="00EB7721">
      <w:pPr>
        <w:pStyle w:val="SCVbody"/>
        <w:spacing w:line="240" w:lineRule="auto"/>
      </w:pPr>
      <w:r w:rsidRPr="00187347">
        <w:t>If requested, a report must be disclosed to the Secretary, or anyone nominated by the Secretary. The Secretary may choose to nominate another person, for example the Chief Quality and Safety Officer, whose role includes the oversight and support of quality and safety reviews in health service entities.</w:t>
      </w:r>
    </w:p>
    <w:p w14:paraId="0D9F7180" w14:textId="3C1752E0" w:rsidR="00203707" w:rsidRDefault="00203707" w:rsidP="00203707">
      <w:pPr>
        <w:pStyle w:val="SCVbody"/>
        <w:spacing w:line="240" w:lineRule="auto"/>
      </w:pPr>
      <w:r>
        <w:t>There is a public interest need to facilitate the flow of information from a SAPSE review to other reviews that are focused on the cause of the SAPSE. Therefore, a SAPSE</w:t>
      </w:r>
      <w:r w:rsidR="007E6F3A">
        <w:t xml:space="preserve"> </w:t>
      </w:r>
      <w:r w:rsidR="00643F7A">
        <w:t>review</w:t>
      </w:r>
      <w:r>
        <w:t xml:space="preserve"> report produced by a SAPSE </w:t>
      </w:r>
      <w:r w:rsidR="007E6F3A">
        <w:t xml:space="preserve">review </w:t>
      </w:r>
      <w:r>
        <w:t>panel may be provided to a Coroner for the purposes of:</w:t>
      </w:r>
    </w:p>
    <w:p w14:paraId="38D1EB9B" w14:textId="21268860" w:rsidR="00203707" w:rsidRDefault="00203707" w:rsidP="001861B5">
      <w:pPr>
        <w:pStyle w:val="SCVbullet1"/>
      </w:pPr>
      <w:r>
        <w:t xml:space="preserve">an investigation under Division 1 of Part 4 of the </w:t>
      </w:r>
      <w:r w:rsidRPr="00203707">
        <w:rPr>
          <w:i/>
          <w:iCs/>
        </w:rPr>
        <w:t>Coroners Act 2008</w:t>
      </w:r>
      <w:r>
        <w:t>, or</w:t>
      </w:r>
    </w:p>
    <w:p w14:paraId="0302D89F" w14:textId="6E864BF2" w:rsidR="00203707" w:rsidRDefault="00203707" w:rsidP="001861B5">
      <w:pPr>
        <w:pStyle w:val="SCVbullet1"/>
      </w:pPr>
      <w:r>
        <w:t xml:space="preserve">an inquest (within the meaning of the </w:t>
      </w:r>
      <w:r w:rsidRPr="00203707">
        <w:rPr>
          <w:i/>
          <w:iCs/>
        </w:rPr>
        <w:t>Coroners Act 2008</w:t>
      </w:r>
      <w:r>
        <w:t>) in respect of a death.</w:t>
      </w:r>
    </w:p>
    <w:p w14:paraId="6E3E7667" w14:textId="1C6BD40C" w:rsidR="002921FF" w:rsidRPr="002921FF" w:rsidRDefault="002921FF" w:rsidP="001861B5">
      <w:pPr>
        <w:pStyle w:val="Heading4"/>
        <w:numPr>
          <w:ilvl w:val="0"/>
          <w:numId w:val="12"/>
        </w:numPr>
        <w:ind w:left="426" w:hanging="426"/>
        <w:rPr>
          <w:color w:val="007586" w:themeColor="text2"/>
        </w:rPr>
      </w:pPr>
      <w:r w:rsidRPr="002921FF">
        <w:rPr>
          <w:color w:val="007586" w:themeColor="text2"/>
        </w:rPr>
        <w:t xml:space="preserve">I gave information to a SAPSE review panel about </w:t>
      </w:r>
      <w:r w:rsidR="000A01D3">
        <w:rPr>
          <w:color w:val="007586" w:themeColor="text2"/>
        </w:rPr>
        <w:t>my health service entity</w:t>
      </w:r>
      <w:r w:rsidR="005F0F8E">
        <w:rPr>
          <w:color w:val="007586" w:themeColor="text2"/>
        </w:rPr>
        <w:t xml:space="preserve"> that I think contributed to the SAPSE</w:t>
      </w:r>
      <w:r w:rsidRPr="002921FF">
        <w:rPr>
          <w:color w:val="007586" w:themeColor="text2"/>
        </w:rPr>
        <w:t>. Am I protected from giving evidence in a legal proceeding if it was for the purpose of a SAPSE review?</w:t>
      </w:r>
    </w:p>
    <w:p w14:paraId="4E9807FE" w14:textId="65D329AC" w:rsidR="00A56C05" w:rsidRDefault="00A56C05" w:rsidP="00A56C05">
      <w:pPr>
        <w:pStyle w:val="SCVbody"/>
        <w:spacing w:line="240" w:lineRule="auto"/>
      </w:pPr>
      <w:r>
        <w:t xml:space="preserve">Certain protections are included in the legislation for persons who provide information to the SAPSE review panel to allow people to speak freely to the panel if they have knowledge of the event, or any other information that is relevant to the SAPSE review. </w:t>
      </w:r>
    </w:p>
    <w:p w14:paraId="39778A2B" w14:textId="70F2A491" w:rsidR="00A56C05" w:rsidRDefault="00A56C05" w:rsidP="00A56C05">
      <w:pPr>
        <w:pStyle w:val="SCVbody"/>
        <w:spacing w:line="240" w:lineRule="auto"/>
      </w:pPr>
      <w:r>
        <w:t>A person cannot be required to give evidence in a legal proceeding, or required to respond to any legal process, except in any prescribed circumstances, about:</w:t>
      </w:r>
    </w:p>
    <w:p w14:paraId="39FC66DE" w14:textId="0629B581" w:rsidR="00A56C05" w:rsidRDefault="00A56C05" w:rsidP="001861B5">
      <w:pPr>
        <w:pStyle w:val="SCVbullet1"/>
      </w:pPr>
      <w:r>
        <w:t>whether the person gave information to a SAPSE review panel</w:t>
      </w:r>
    </w:p>
    <w:p w14:paraId="230324EC" w14:textId="633D10FD" w:rsidR="00A56C05" w:rsidRDefault="00A56C05" w:rsidP="001861B5">
      <w:pPr>
        <w:pStyle w:val="SCVbullet1"/>
      </w:pPr>
      <w:r>
        <w:t>what information the person gave to a SAPSE review panel</w:t>
      </w:r>
    </w:p>
    <w:p w14:paraId="4AAC3625" w14:textId="07C74423" w:rsidR="00A56C05" w:rsidRDefault="00A56C05" w:rsidP="001861B5">
      <w:pPr>
        <w:pStyle w:val="SCVbullet1"/>
      </w:pPr>
      <w:r>
        <w:t>a document the person gave to a SAPSE review panel that was created by the person for the purposes of the SAPSE review; and</w:t>
      </w:r>
    </w:p>
    <w:p w14:paraId="6E516902" w14:textId="076D7CAA" w:rsidR="00E67273" w:rsidRDefault="00A56C05" w:rsidP="001861B5">
      <w:pPr>
        <w:pStyle w:val="SCVbullet1"/>
      </w:pPr>
      <w:r>
        <w:t>information the person was given, or questions the person was asked, by a SAPSE review panel.</w:t>
      </w:r>
    </w:p>
    <w:p w14:paraId="7886C027" w14:textId="706F12C1" w:rsidR="00E67273" w:rsidRPr="00AC34AF" w:rsidRDefault="00E67273" w:rsidP="001861B5">
      <w:pPr>
        <w:pStyle w:val="Heading4"/>
        <w:numPr>
          <w:ilvl w:val="0"/>
          <w:numId w:val="12"/>
        </w:numPr>
        <w:ind w:left="426" w:hanging="426"/>
        <w:rPr>
          <w:color w:val="007586" w:themeColor="text2"/>
        </w:rPr>
      </w:pPr>
      <w:r w:rsidRPr="00AC34AF">
        <w:rPr>
          <w:color w:val="007586" w:themeColor="text2"/>
        </w:rPr>
        <w:lastRenderedPageBreak/>
        <w:t xml:space="preserve">Whilst completing a SAPSE review, we found that a staff member </w:t>
      </w:r>
      <w:r w:rsidR="00AC34AF" w:rsidRPr="00AC34AF">
        <w:rPr>
          <w:color w:val="007586" w:themeColor="text2"/>
        </w:rPr>
        <w:t>abused a patient. What do we do?</w:t>
      </w:r>
    </w:p>
    <w:p w14:paraId="2406C1CA" w14:textId="629EE9F5" w:rsidR="007F3680" w:rsidRDefault="007F3680" w:rsidP="007F3680">
      <w:pPr>
        <w:pStyle w:val="SCVbody"/>
        <w:spacing w:line="240" w:lineRule="auto"/>
      </w:pPr>
      <w:r>
        <w:t xml:space="preserve">Members of SAPSE review panels who are regulated health professionals have mandatory reporting obligations, including:  </w:t>
      </w:r>
    </w:p>
    <w:p w14:paraId="32452273" w14:textId="1C130C0F" w:rsidR="007F3680" w:rsidRDefault="007F3680" w:rsidP="001861B5">
      <w:pPr>
        <w:pStyle w:val="SCVbullet1"/>
      </w:pPr>
      <w:r>
        <w:t>the Health Practitioner Regulation National Law</w:t>
      </w:r>
    </w:p>
    <w:p w14:paraId="214754DF" w14:textId="532B7424" w:rsidR="007F3680" w:rsidRDefault="007F3680" w:rsidP="001861B5">
      <w:pPr>
        <w:pStyle w:val="SCVbullet1"/>
      </w:pPr>
      <w:r>
        <w:t xml:space="preserve">s. 184, </w:t>
      </w:r>
      <w:r w:rsidRPr="00422585">
        <w:rPr>
          <w:i/>
          <w:iCs/>
        </w:rPr>
        <w:t>Children, Youth and Families Act 2005</w:t>
      </w:r>
      <w:r w:rsidR="00422585">
        <w:t>.</w:t>
      </w:r>
    </w:p>
    <w:p w14:paraId="00095828" w14:textId="488FA03D" w:rsidR="007F3680" w:rsidRDefault="007F3680" w:rsidP="007F3680">
      <w:pPr>
        <w:pStyle w:val="SCVbody"/>
        <w:spacing w:line="240" w:lineRule="auto"/>
      </w:pPr>
      <w:r>
        <w:t>There may also be other mandatory reporting obligations that apply depending on the particular circumstances.</w:t>
      </w:r>
    </w:p>
    <w:p w14:paraId="27D50EC7" w14:textId="2DC1D4B1" w:rsidR="00AC34AF" w:rsidRDefault="00AC34AF" w:rsidP="00AC34AF">
      <w:pPr>
        <w:pStyle w:val="SCVbody"/>
        <w:spacing w:line="240" w:lineRule="auto"/>
      </w:pPr>
      <w:r>
        <w:t>A SAPSE review must be suspended where members of the review panel have reason to believe that the review has identified that the adverse event may involve a prohibited act(s). Prohibited acts include:</w:t>
      </w:r>
    </w:p>
    <w:p w14:paraId="33A4BC97" w14:textId="658D8DC2" w:rsidR="00AC34AF" w:rsidRDefault="00AC34AF" w:rsidP="001861B5">
      <w:pPr>
        <w:pStyle w:val="SCVbullet1"/>
      </w:pPr>
      <w:r>
        <w:t xml:space="preserve">evidence that an offence might have been committed by a member of the staff </w:t>
      </w:r>
    </w:p>
    <w:p w14:paraId="51E3AD98" w14:textId="24C04D45" w:rsidR="00AC34AF" w:rsidRDefault="00AC34AF" w:rsidP="001861B5">
      <w:pPr>
        <w:pStyle w:val="SCVbullet1"/>
      </w:pPr>
      <w:r>
        <w:t>evidence of medical unfitness because of the presence of a medical condition impaired capacity or ability to safely perform requirements of their roles</w:t>
      </w:r>
    </w:p>
    <w:p w14:paraId="268777A9" w14:textId="26E87C1E" w:rsidR="00AC34AF" w:rsidRDefault="00AC34AF" w:rsidP="001861B5">
      <w:pPr>
        <w:pStyle w:val="SCVbullet1"/>
      </w:pPr>
      <w:r>
        <w:t>the abuse of a patient</w:t>
      </w:r>
    </w:p>
    <w:p w14:paraId="36066743" w14:textId="364B35DA" w:rsidR="00AC34AF" w:rsidRDefault="00AC34AF" w:rsidP="001861B5">
      <w:pPr>
        <w:pStyle w:val="SCVbullet1"/>
      </w:pPr>
      <w:r>
        <w:t>deliberately unsafe acts (other than an act that might be reasonably undertaken in the provision of a health service).</w:t>
      </w:r>
    </w:p>
    <w:p w14:paraId="2EB43927" w14:textId="2DE04651" w:rsidR="00AC34AF" w:rsidRDefault="00AC34AF" w:rsidP="00AC34AF">
      <w:pPr>
        <w:pStyle w:val="SCVbody"/>
        <w:spacing w:line="240" w:lineRule="auto"/>
      </w:pPr>
      <w:r>
        <w:t xml:space="preserve">Where the review is suspended for this reason, </w:t>
      </w:r>
      <w:r w:rsidR="00834156">
        <w:t>t</w:t>
      </w:r>
      <w:r w:rsidR="00834156" w:rsidRPr="00834156">
        <w:t>he SAPSE review panel may recommence its review once it receives written notice from the CEO (however named) that either:</w:t>
      </w:r>
    </w:p>
    <w:p w14:paraId="53014F67" w14:textId="0A669A60" w:rsidR="00AC34AF" w:rsidRDefault="00AC34AF" w:rsidP="001861B5">
      <w:pPr>
        <w:pStyle w:val="SCVbullet1"/>
      </w:pPr>
      <w:r>
        <w:t xml:space="preserve">the </w:t>
      </w:r>
      <w:r w:rsidR="7513FD35">
        <w:t xml:space="preserve">suspected </w:t>
      </w:r>
      <w:r>
        <w:t>prohibited act did not occur, or</w:t>
      </w:r>
    </w:p>
    <w:p w14:paraId="74501222" w14:textId="5172530D" w:rsidR="00AC34AF" w:rsidRDefault="7513FD35" w:rsidP="001861B5">
      <w:pPr>
        <w:pStyle w:val="SCVbullet1"/>
      </w:pPr>
      <w:r>
        <w:t>the suspected</w:t>
      </w:r>
      <w:r w:rsidR="00AC34AF">
        <w:t xml:space="preserve"> prohibited act is able to be investigated independently of the SAPSE review. </w:t>
      </w:r>
    </w:p>
    <w:p w14:paraId="1F280235" w14:textId="6E673821" w:rsidR="00BA53C6" w:rsidRDefault="00AC34AF" w:rsidP="00AC34AF">
      <w:pPr>
        <w:pStyle w:val="SCVbody"/>
        <w:spacing w:line="240" w:lineRule="auto"/>
      </w:pPr>
      <w:r>
        <w:t xml:space="preserve">It may be necessary for the SAPSE review panel to seek legal advice in the event </w:t>
      </w:r>
      <w:r w:rsidR="005F6F52">
        <w:t xml:space="preserve">of a suspected </w:t>
      </w:r>
      <w:r>
        <w:t>prohibited act.</w:t>
      </w:r>
    </w:p>
    <w:p w14:paraId="152B1847" w14:textId="6F6CE4C9" w:rsidR="00BA53C6" w:rsidRPr="00BA53C6" w:rsidRDefault="00BA53C6" w:rsidP="001861B5">
      <w:pPr>
        <w:pStyle w:val="Heading4"/>
        <w:numPr>
          <w:ilvl w:val="0"/>
          <w:numId w:val="12"/>
        </w:numPr>
        <w:ind w:left="426" w:hanging="426"/>
        <w:rPr>
          <w:color w:val="007586" w:themeColor="text2"/>
        </w:rPr>
      </w:pPr>
      <w:r w:rsidRPr="00DA72CD">
        <w:rPr>
          <w:color w:val="007586" w:themeColor="accent2"/>
        </w:rPr>
        <w:t xml:space="preserve">What if the patient gives the SAPSE review report to their lawyer or the media? Do the protections prevent this? </w:t>
      </w:r>
    </w:p>
    <w:p w14:paraId="44A4036D" w14:textId="01E56C23" w:rsidR="00BA5746" w:rsidRDefault="4BCBAF58" w:rsidP="00AC34AF">
      <w:pPr>
        <w:pStyle w:val="SCVbody"/>
        <w:spacing w:line="240" w:lineRule="auto"/>
      </w:pPr>
      <w:r>
        <w:t xml:space="preserve">The protections do not prohibit the patient disclosing the report in this way. </w:t>
      </w:r>
      <w:r w:rsidR="00D32751">
        <w:t>However,</w:t>
      </w:r>
      <w:r w:rsidR="71DE9F3D">
        <w:t xml:space="preserve"> the protections apply to the </w:t>
      </w:r>
      <w:r w:rsidR="00BA5746">
        <w:t xml:space="preserve">SAPSE review </w:t>
      </w:r>
      <w:r w:rsidR="71DE9F3D">
        <w:t xml:space="preserve">report and related documents </w:t>
      </w:r>
      <w:r w:rsidR="00BA5746">
        <w:t xml:space="preserve">created as part of the review process, </w:t>
      </w:r>
      <w:r w:rsidR="71DE9F3D">
        <w:t xml:space="preserve">and how it may be treated in a </w:t>
      </w:r>
      <w:r w:rsidR="00D32751">
        <w:t xml:space="preserve">legal </w:t>
      </w:r>
      <w:r w:rsidR="71DE9F3D">
        <w:t>proceeding.</w:t>
      </w:r>
    </w:p>
    <w:p w14:paraId="3A9F1C23" w14:textId="15F631E0" w:rsidR="009468E3" w:rsidRDefault="009468E3" w:rsidP="001861B5">
      <w:pPr>
        <w:pStyle w:val="Heading4"/>
        <w:numPr>
          <w:ilvl w:val="0"/>
          <w:numId w:val="12"/>
        </w:numPr>
        <w:ind w:left="426" w:hanging="426"/>
        <w:rPr>
          <w:color w:val="007586" w:themeColor="text2"/>
        </w:rPr>
      </w:pPr>
      <w:r w:rsidRPr="00DA72CD">
        <w:rPr>
          <w:color w:val="007586" w:themeColor="accent2"/>
        </w:rPr>
        <w:t>Will the documents forming part of an investigation (containing findings of error and recommendations for improvement) disclosed to a consumer constitute waiver of the protections offered by the Act?</w:t>
      </w:r>
    </w:p>
    <w:p w14:paraId="017A8E63" w14:textId="7D31BA91" w:rsidR="00695993" w:rsidRDefault="009468E3" w:rsidP="003C04F7">
      <w:pPr>
        <w:pStyle w:val="SCVbody"/>
      </w:pPr>
      <w:r w:rsidRPr="009468E3">
        <w:t>No</w:t>
      </w:r>
      <w:r w:rsidR="4DD0AFC1">
        <w:t>,</w:t>
      </w:r>
      <w:r w:rsidRPr="009468E3">
        <w:t xml:space="preserve"> the Act requires the offering of the SAPSE review report to a patient. However, the protections apply to the report and related documents and how it may be treated in a proceeding.</w:t>
      </w:r>
    </w:p>
    <w:p w14:paraId="177770B0" w14:textId="2059DFF2" w:rsidR="003C04F7" w:rsidRPr="003C04F7" w:rsidRDefault="003C04F7" w:rsidP="001861B5">
      <w:pPr>
        <w:pStyle w:val="Heading4"/>
        <w:numPr>
          <w:ilvl w:val="0"/>
          <w:numId w:val="12"/>
        </w:numPr>
        <w:ind w:left="426" w:hanging="426"/>
        <w:rPr>
          <w:color w:val="007586" w:themeColor="text2"/>
        </w:rPr>
      </w:pPr>
      <w:r w:rsidRPr="003C04F7">
        <w:rPr>
          <w:color w:val="007586" w:themeColor="text2"/>
        </w:rPr>
        <w:t xml:space="preserve">Where can I </w:t>
      </w:r>
      <w:r w:rsidR="00AE7410">
        <w:rPr>
          <w:color w:val="007586" w:themeColor="text2"/>
        </w:rPr>
        <w:t>find</w:t>
      </w:r>
      <w:r w:rsidRPr="003C04F7">
        <w:rPr>
          <w:color w:val="007586" w:themeColor="text2"/>
        </w:rPr>
        <w:t xml:space="preserve"> further information? </w:t>
      </w:r>
    </w:p>
    <w:p w14:paraId="22F050D9" w14:textId="08ADD9E1" w:rsidR="003C04F7" w:rsidRDefault="003C04F7" w:rsidP="003C04F7">
      <w:pPr>
        <w:pStyle w:val="SCVbody"/>
      </w:pPr>
      <w:r>
        <w:t>You can access the ‘Protections for serious adverse patient safety event (SAPSE) reviews’ resource on the Safer Care Victoria</w:t>
      </w:r>
      <w:r w:rsidR="00605409">
        <w:t xml:space="preserve"> (SCV)</w:t>
      </w:r>
      <w:r>
        <w:t xml:space="preserve"> website</w:t>
      </w:r>
      <w:r w:rsidR="00AA7A57">
        <w:t>.</w:t>
      </w:r>
    </w:p>
    <w:p w14:paraId="1BEFB112" w14:textId="0B361D5F" w:rsidR="00AA7A57" w:rsidRDefault="00AA7A57" w:rsidP="003C04F7">
      <w:pPr>
        <w:pStyle w:val="SCVbody"/>
      </w:pPr>
      <w:r>
        <w:t>SCV website:</w:t>
      </w:r>
      <w:r w:rsidR="00513AD7">
        <w:t xml:space="preserve"> </w:t>
      </w:r>
      <w:hyperlink r:id="rId17" w:history="1">
        <w:r w:rsidR="003A3E4B">
          <w:rPr>
            <w:rStyle w:val="Hyperlink"/>
          </w:rPr>
          <w:t>Statutory Duty of Candour and protections for SAPSE reviews | Safer Care Victoria</w:t>
        </w:r>
      </w:hyperlink>
    </w:p>
    <w:p w14:paraId="14E8C527" w14:textId="7B262016" w:rsidR="00AA7A57" w:rsidRDefault="00AA7A57" w:rsidP="003C04F7">
      <w:pPr>
        <w:pStyle w:val="SCVbody"/>
      </w:pPr>
      <w:r>
        <w:t xml:space="preserve">Resource: </w:t>
      </w:r>
      <w:hyperlink r:id="rId18" w:history="1">
        <w:r w:rsidRPr="005B6667">
          <w:rPr>
            <w:rStyle w:val="Hyperlink"/>
          </w:rPr>
          <w:t>Protections for serious adverse patient safety event (SAPSE) reviews</w:t>
        </w:r>
      </w:hyperlink>
    </w:p>
    <w:p w14:paraId="2FC6793A" w14:textId="1C142D45" w:rsidR="00695993" w:rsidRPr="00695993" w:rsidRDefault="005F567B" w:rsidP="00695993">
      <w:pPr>
        <w:pStyle w:val="SCVbody"/>
      </w:pPr>
      <w:r>
        <w:t>E</w:t>
      </w:r>
      <w:r w:rsidR="00044480">
        <w:t>-</w:t>
      </w:r>
      <w:r>
        <w:t>L</w:t>
      </w:r>
      <w:r w:rsidR="00FB4513">
        <w:t>earning</w:t>
      </w:r>
      <w:r w:rsidR="00044480">
        <w:t xml:space="preserve"> for SAPSE reviews</w:t>
      </w:r>
      <w:r w:rsidR="00605409">
        <w:t xml:space="preserve"> will also be available on the SCV website </w:t>
      </w:r>
      <w:r w:rsidR="00044480">
        <w:t>by mid-late September 2022.</w:t>
      </w:r>
    </w:p>
    <w:sectPr w:rsidR="00695993" w:rsidRPr="00695993" w:rsidSect="00C15DBE">
      <w:headerReference w:type="even" r:id="rId19"/>
      <w:headerReference w:type="default" r:id="rId20"/>
      <w:headerReference w:type="first" r:id="rId21"/>
      <w:type w:val="continuous"/>
      <w:pgSz w:w="11906" w:h="16838" w:code="9"/>
      <w:pgMar w:top="2438" w:right="737" w:bottom="1361" w:left="737"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8A40" w14:textId="77777777" w:rsidR="00A95157" w:rsidRDefault="00A95157" w:rsidP="002D711A">
      <w:pPr>
        <w:spacing w:after="0" w:line="240" w:lineRule="auto"/>
      </w:pPr>
      <w:r>
        <w:separator/>
      </w:r>
    </w:p>
  </w:endnote>
  <w:endnote w:type="continuationSeparator" w:id="0">
    <w:p w14:paraId="1B30CC32" w14:textId="77777777" w:rsidR="00A95157" w:rsidRDefault="00A95157" w:rsidP="002D711A">
      <w:pPr>
        <w:spacing w:after="0" w:line="240" w:lineRule="auto"/>
      </w:pPr>
      <w:r>
        <w:continuationSeparator/>
      </w:r>
    </w:p>
  </w:endnote>
  <w:endnote w:type="continuationNotice" w:id="1">
    <w:p w14:paraId="046B413A" w14:textId="77777777" w:rsidR="00A95157" w:rsidRDefault="00A951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834" w14:textId="77777777" w:rsidR="00385D03" w:rsidRDefault="00385D03">
    <w:pPr>
      <w:pStyle w:val="Footer"/>
    </w:pPr>
    <w:r>
      <mc:AlternateContent>
        <mc:Choice Requires="wps">
          <w:drawing>
            <wp:anchor distT="0" distB="0" distL="114300" distR="114300" simplePos="0" relativeHeight="251658240" behindDoc="0" locked="0" layoutInCell="0" allowOverlap="1" wp14:anchorId="4DE82C23" wp14:editId="5EF22483">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F4D91"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E82C23"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87F4D91"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2723" w14:textId="77777777" w:rsidR="00385D03" w:rsidRPr="006B337A" w:rsidRDefault="00CD27BE" w:rsidP="00C15DBE">
    <w:pPr>
      <w:pStyle w:val="SCVfooter"/>
      <w:jc w:val="right"/>
    </w:pPr>
    <w:r>
      <mc:AlternateContent>
        <mc:Choice Requires="wps">
          <w:drawing>
            <wp:anchor distT="0" distB="0" distL="114300" distR="114300" simplePos="0" relativeHeight="251658242" behindDoc="0" locked="0" layoutInCell="0" allowOverlap="1" wp14:anchorId="0A6FA1B7" wp14:editId="779BA113">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2DCF68"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6FA1B7"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E2DCF68"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986F5C">
      <w:t xml:space="preserve">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9048" w14:textId="77777777" w:rsidR="006B6497" w:rsidRDefault="006B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8B22" w14:textId="77777777" w:rsidR="00A95157" w:rsidRDefault="00A95157" w:rsidP="00E33E08">
      <w:pPr>
        <w:spacing w:before="0" w:after="0" w:line="240" w:lineRule="auto"/>
      </w:pPr>
    </w:p>
  </w:footnote>
  <w:footnote w:type="continuationSeparator" w:id="0">
    <w:p w14:paraId="52A626E5" w14:textId="77777777" w:rsidR="00A95157" w:rsidRDefault="00A95157" w:rsidP="00E33E08">
      <w:pPr>
        <w:spacing w:before="0" w:after="0" w:line="240" w:lineRule="auto"/>
      </w:pPr>
    </w:p>
  </w:footnote>
  <w:footnote w:type="continuationNotice" w:id="1">
    <w:p w14:paraId="67B4EFCE" w14:textId="77777777" w:rsidR="00A95157" w:rsidRDefault="00A951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9612" w14:textId="7F7AFB20" w:rsidR="006B6497" w:rsidRDefault="006B6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708C" w14:textId="2C00FA14" w:rsidR="00385D03" w:rsidRDefault="00385D03">
    <w:pPr>
      <w:pStyle w:val="Header"/>
    </w:pPr>
    <w:r>
      <w:rPr>
        <w:noProof/>
      </w:rPr>
      <w:drawing>
        <wp:anchor distT="0" distB="0" distL="114300" distR="114300" simplePos="0" relativeHeight="251658241" behindDoc="1" locked="1" layoutInCell="1" allowOverlap="1" wp14:anchorId="290164A2" wp14:editId="357E6B53">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647B" w14:textId="0964EA3E" w:rsidR="006B6497" w:rsidRDefault="006B6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EE5B" w14:textId="1536BE4B"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F832" w14:textId="702F099A" w:rsidR="00385D03" w:rsidRDefault="00385D03"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91C1" w14:textId="3C86AA0E" w:rsidR="00B01FFE" w:rsidRDefault="00B01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45E9"/>
    <w:multiLevelType w:val="hybridMultilevel"/>
    <w:tmpl w:val="B63C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BCB7A92"/>
    <w:multiLevelType w:val="hybridMultilevel"/>
    <w:tmpl w:val="2AC6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64722"/>
    <w:multiLevelType w:val="hybridMultilevel"/>
    <w:tmpl w:val="283AB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31719A"/>
    <w:multiLevelType w:val="hybridMultilevel"/>
    <w:tmpl w:val="F6D6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494702"/>
    <w:multiLevelType w:val="hybridMultilevel"/>
    <w:tmpl w:val="6BB6B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9A2C3B"/>
    <w:multiLevelType w:val="hybridMultilevel"/>
    <w:tmpl w:val="D3D405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6FE1E80"/>
    <w:multiLevelType w:val="hybridMultilevel"/>
    <w:tmpl w:val="98B28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393C80"/>
    <w:multiLevelType w:val="hybridMultilevel"/>
    <w:tmpl w:val="8C4E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7868DD"/>
    <w:multiLevelType w:val="hybridMultilevel"/>
    <w:tmpl w:val="7520AEAE"/>
    <w:lvl w:ilvl="0" w:tplc="F3C8C830">
      <w:start w:val="7"/>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0B07A3F"/>
    <w:multiLevelType w:val="hybridMultilevel"/>
    <w:tmpl w:val="36AE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964267"/>
    <w:multiLevelType w:val="hybridMultilevel"/>
    <w:tmpl w:val="4BA2E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B3E7C"/>
    <w:multiLevelType w:val="hybridMultilevel"/>
    <w:tmpl w:val="9E0EFE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5" w15:restartNumberingAfterBreak="0">
    <w:nsid w:val="3EBE44D2"/>
    <w:multiLevelType w:val="hybridMultilevel"/>
    <w:tmpl w:val="E8967710"/>
    <w:lvl w:ilvl="0" w:tplc="F3C8C830">
      <w:start w:val="7"/>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65361"/>
    <w:multiLevelType w:val="hybridMultilevel"/>
    <w:tmpl w:val="F09A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B6D89"/>
    <w:multiLevelType w:val="hybridMultilevel"/>
    <w:tmpl w:val="FC46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9D0C07"/>
    <w:multiLevelType w:val="hybridMultilevel"/>
    <w:tmpl w:val="2564F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2A1272F"/>
    <w:multiLevelType w:val="hybridMultilevel"/>
    <w:tmpl w:val="002E4AEC"/>
    <w:lvl w:ilvl="0" w:tplc="F3C8C830">
      <w:start w:val="7"/>
      <w:numFmt w:val="bullet"/>
      <w:lvlText w:val="-"/>
      <w:lvlJc w:val="left"/>
      <w:pPr>
        <w:ind w:left="1080" w:hanging="360"/>
      </w:pPr>
      <w:rPr>
        <w:rFonts w:ascii="Arial" w:eastAsiaTheme="minorEastAsia"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2" w15:restartNumberingAfterBreak="0">
    <w:nsid w:val="57325D06"/>
    <w:multiLevelType w:val="hybridMultilevel"/>
    <w:tmpl w:val="DEA02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7523C5"/>
    <w:multiLevelType w:val="hybridMultilevel"/>
    <w:tmpl w:val="49C213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7463FF"/>
    <w:multiLevelType w:val="hybridMultilevel"/>
    <w:tmpl w:val="D596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1605AB5"/>
    <w:multiLevelType w:val="hybridMultilevel"/>
    <w:tmpl w:val="6BB6B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8" w15:restartNumberingAfterBreak="0">
    <w:nsid w:val="696765BC"/>
    <w:multiLevelType w:val="hybridMultilevel"/>
    <w:tmpl w:val="4DF88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7E74D9"/>
    <w:multiLevelType w:val="hybridMultilevel"/>
    <w:tmpl w:val="D8826E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9938C8"/>
    <w:multiLevelType w:val="hybridMultilevel"/>
    <w:tmpl w:val="3A76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DB3639"/>
    <w:multiLevelType w:val="hybridMultilevel"/>
    <w:tmpl w:val="BDF0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73D9B"/>
    <w:multiLevelType w:val="hybridMultilevel"/>
    <w:tmpl w:val="0448A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B0260A"/>
    <w:multiLevelType w:val="hybridMultilevel"/>
    <w:tmpl w:val="F700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F17357"/>
    <w:multiLevelType w:val="hybridMultilevel"/>
    <w:tmpl w:val="5878810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7B9E1CB6"/>
    <w:multiLevelType w:val="hybridMultilevel"/>
    <w:tmpl w:val="32CE9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3529A6"/>
    <w:multiLevelType w:val="hybridMultilevel"/>
    <w:tmpl w:val="0CA20E24"/>
    <w:lvl w:ilvl="0" w:tplc="F3C8C830">
      <w:start w:val="7"/>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5C6B3D"/>
    <w:multiLevelType w:val="hybridMultilevel"/>
    <w:tmpl w:val="B8AA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25"/>
  </w:num>
  <w:num w:numId="2">
    <w:abstractNumId w:val="14"/>
  </w:num>
  <w:num w:numId="3">
    <w:abstractNumId w:val="27"/>
  </w:num>
  <w:num w:numId="4">
    <w:abstractNumId w:val="21"/>
  </w:num>
  <w:num w:numId="5">
    <w:abstractNumId w:val="19"/>
  </w:num>
  <w:num w:numId="6">
    <w:abstractNumId w:val="35"/>
  </w:num>
  <w:num w:numId="7">
    <w:abstractNumId w:val="1"/>
  </w:num>
  <w:num w:numId="8">
    <w:abstractNumId w:val="32"/>
  </w:num>
  <w:num w:numId="9">
    <w:abstractNumId w:val="33"/>
  </w:num>
  <w:num w:numId="10">
    <w:abstractNumId w:val="25"/>
  </w:num>
  <w:num w:numId="11">
    <w:abstractNumId w:val="23"/>
  </w:num>
  <w:num w:numId="12">
    <w:abstractNumId w:val="5"/>
  </w:num>
  <w:num w:numId="13">
    <w:abstractNumId w:val="28"/>
  </w:num>
  <w:num w:numId="14">
    <w:abstractNumId w:val="4"/>
  </w:num>
  <w:num w:numId="15">
    <w:abstractNumId w:val="17"/>
  </w:num>
  <w:num w:numId="16">
    <w:abstractNumId w:val="16"/>
  </w:num>
  <w:num w:numId="17">
    <w:abstractNumId w:val="2"/>
  </w:num>
  <w:num w:numId="18">
    <w:abstractNumId w:val="30"/>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38"/>
  </w:num>
  <w:num w:numId="24">
    <w:abstractNumId w:val="3"/>
  </w:num>
  <w:num w:numId="25">
    <w:abstractNumId w:val="36"/>
  </w:num>
  <w:num w:numId="26">
    <w:abstractNumId w:val="31"/>
  </w:num>
  <w:num w:numId="27">
    <w:abstractNumId w:val="0"/>
  </w:num>
  <w:num w:numId="28">
    <w:abstractNumId w:val="20"/>
  </w:num>
  <w:num w:numId="29">
    <w:abstractNumId w:val="37"/>
  </w:num>
  <w:num w:numId="30">
    <w:abstractNumId w:val="34"/>
  </w:num>
  <w:num w:numId="31">
    <w:abstractNumId w:val="24"/>
  </w:num>
  <w:num w:numId="32">
    <w:abstractNumId w:val="7"/>
  </w:num>
  <w:num w:numId="33">
    <w:abstractNumId w:val="26"/>
  </w:num>
  <w:num w:numId="34">
    <w:abstractNumId w:val="18"/>
  </w:num>
  <w:num w:numId="35">
    <w:abstractNumId w:val="8"/>
  </w:num>
  <w:num w:numId="36">
    <w:abstractNumId w:val="9"/>
  </w:num>
  <w:num w:numId="37">
    <w:abstractNumId w:val="15"/>
  </w:num>
  <w:num w:numId="38">
    <w:abstractNumId w:val="29"/>
  </w:num>
  <w:num w:numId="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97"/>
    <w:rsid w:val="00005005"/>
    <w:rsid w:val="00010D02"/>
    <w:rsid w:val="00012F6F"/>
    <w:rsid w:val="00014213"/>
    <w:rsid w:val="00014B55"/>
    <w:rsid w:val="00020E3E"/>
    <w:rsid w:val="0002328B"/>
    <w:rsid w:val="00023BF3"/>
    <w:rsid w:val="00024184"/>
    <w:rsid w:val="00026811"/>
    <w:rsid w:val="00030E08"/>
    <w:rsid w:val="0003419F"/>
    <w:rsid w:val="00035CD7"/>
    <w:rsid w:val="0004185E"/>
    <w:rsid w:val="00044480"/>
    <w:rsid w:val="0004698F"/>
    <w:rsid w:val="000477DC"/>
    <w:rsid w:val="00056988"/>
    <w:rsid w:val="0006213A"/>
    <w:rsid w:val="0007218E"/>
    <w:rsid w:val="00072279"/>
    <w:rsid w:val="00075895"/>
    <w:rsid w:val="00075AF3"/>
    <w:rsid w:val="00075E6C"/>
    <w:rsid w:val="00081C12"/>
    <w:rsid w:val="00083375"/>
    <w:rsid w:val="00084C8F"/>
    <w:rsid w:val="00085467"/>
    <w:rsid w:val="00087D42"/>
    <w:rsid w:val="000A01D3"/>
    <w:rsid w:val="000A2620"/>
    <w:rsid w:val="000B19A0"/>
    <w:rsid w:val="000B29AD"/>
    <w:rsid w:val="000B6310"/>
    <w:rsid w:val="000B64EF"/>
    <w:rsid w:val="000C2FE5"/>
    <w:rsid w:val="000C39D9"/>
    <w:rsid w:val="000C5407"/>
    <w:rsid w:val="000C6372"/>
    <w:rsid w:val="000D0D7E"/>
    <w:rsid w:val="000D1042"/>
    <w:rsid w:val="000D7841"/>
    <w:rsid w:val="000E392D"/>
    <w:rsid w:val="000E39B6"/>
    <w:rsid w:val="000E3D05"/>
    <w:rsid w:val="000E47B9"/>
    <w:rsid w:val="000F4254"/>
    <w:rsid w:val="000F4288"/>
    <w:rsid w:val="000F4B25"/>
    <w:rsid w:val="000F63A4"/>
    <w:rsid w:val="000F7165"/>
    <w:rsid w:val="00100361"/>
    <w:rsid w:val="00102379"/>
    <w:rsid w:val="00102574"/>
    <w:rsid w:val="00103722"/>
    <w:rsid w:val="00105EB8"/>
    <w:rsid w:val="001065D6"/>
    <w:rsid w:val="001068D5"/>
    <w:rsid w:val="00116477"/>
    <w:rsid w:val="00121252"/>
    <w:rsid w:val="00124609"/>
    <w:rsid w:val="001254CE"/>
    <w:rsid w:val="00131057"/>
    <w:rsid w:val="00135ECC"/>
    <w:rsid w:val="00135FD0"/>
    <w:rsid w:val="001422CC"/>
    <w:rsid w:val="00142CC3"/>
    <w:rsid w:val="00145346"/>
    <w:rsid w:val="00150333"/>
    <w:rsid w:val="001617B6"/>
    <w:rsid w:val="00165E66"/>
    <w:rsid w:val="00170650"/>
    <w:rsid w:val="0017154C"/>
    <w:rsid w:val="00173E35"/>
    <w:rsid w:val="00174D89"/>
    <w:rsid w:val="00174F38"/>
    <w:rsid w:val="001849FD"/>
    <w:rsid w:val="001861B5"/>
    <w:rsid w:val="00187347"/>
    <w:rsid w:val="00187541"/>
    <w:rsid w:val="00190A99"/>
    <w:rsid w:val="0019351B"/>
    <w:rsid w:val="00194B79"/>
    <w:rsid w:val="00196143"/>
    <w:rsid w:val="001963E7"/>
    <w:rsid w:val="001A24FC"/>
    <w:rsid w:val="001A51BF"/>
    <w:rsid w:val="001B03A4"/>
    <w:rsid w:val="001B0FDC"/>
    <w:rsid w:val="001C1CAA"/>
    <w:rsid w:val="001C5B96"/>
    <w:rsid w:val="001C629F"/>
    <w:rsid w:val="001C66AB"/>
    <w:rsid w:val="001C7A85"/>
    <w:rsid w:val="001C7BAE"/>
    <w:rsid w:val="001E31FA"/>
    <w:rsid w:val="001E48F9"/>
    <w:rsid w:val="001E64F6"/>
    <w:rsid w:val="001E7AEB"/>
    <w:rsid w:val="001F5C46"/>
    <w:rsid w:val="001F7DDC"/>
    <w:rsid w:val="00203707"/>
    <w:rsid w:val="00204B82"/>
    <w:rsid w:val="00205C68"/>
    <w:rsid w:val="00211EBE"/>
    <w:rsid w:val="00222BEB"/>
    <w:rsid w:val="00223217"/>
    <w:rsid w:val="0022446E"/>
    <w:rsid w:val="00225E60"/>
    <w:rsid w:val="00230BBB"/>
    <w:rsid w:val="0023202C"/>
    <w:rsid w:val="00234040"/>
    <w:rsid w:val="00234253"/>
    <w:rsid w:val="00234619"/>
    <w:rsid w:val="00237687"/>
    <w:rsid w:val="00245043"/>
    <w:rsid w:val="00246CA6"/>
    <w:rsid w:val="002472A4"/>
    <w:rsid w:val="002510A7"/>
    <w:rsid w:val="0025381A"/>
    <w:rsid w:val="00254991"/>
    <w:rsid w:val="0025578B"/>
    <w:rsid w:val="002570BD"/>
    <w:rsid w:val="0026028E"/>
    <w:rsid w:val="002617D1"/>
    <w:rsid w:val="00266374"/>
    <w:rsid w:val="00267D39"/>
    <w:rsid w:val="00272EC4"/>
    <w:rsid w:val="00276717"/>
    <w:rsid w:val="00282118"/>
    <w:rsid w:val="00284FA2"/>
    <w:rsid w:val="00286657"/>
    <w:rsid w:val="002921FF"/>
    <w:rsid w:val="00292D36"/>
    <w:rsid w:val="00294A5A"/>
    <w:rsid w:val="00297281"/>
    <w:rsid w:val="00297A47"/>
    <w:rsid w:val="00297CF0"/>
    <w:rsid w:val="002A4AD5"/>
    <w:rsid w:val="002A4BEA"/>
    <w:rsid w:val="002A5891"/>
    <w:rsid w:val="002A7723"/>
    <w:rsid w:val="002B03F1"/>
    <w:rsid w:val="002B3A5F"/>
    <w:rsid w:val="002B5E2B"/>
    <w:rsid w:val="002B6DAA"/>
    <w:rsid w:val="002B7019"/>
    <w:rsid w:val="002C2957"/>
    <w:rsid w:val="002C462C"/>
    <w:rsid w:val="002C737D"/>
    <w:rsid w:val="002D3E34"/>
    <w:rsid w:val="002D6F3C"/>
    <w:rsid w:val="002D70F7"/>
    <w:rsid w:val="002D711A"/>
    <w:rsid w:val="002D7336"/>
    <w:rsid w:val="002E3396"/>
    <w:rsid w:val="002E4785"/>
    <w:rsid w:val="002E5BF2"/>
    <w:rsid w:val="002F2953"/>
    <w:rsid w:val="002F2A11"/>
    <w:rsid w:val="002F4173"/>
    <w:rsid w:val="002F728B"/>
    <w:rsid w:val="00303E66"/>
    <w:rsid w:val="003078C5"/>
    <w:rsid w:val="0031149C"/>
    <w:rsid w:val="00313516"/>
    <w:rsid w:val="00315B8F"/>
    <w:rsid w:val="00316FC9"/>
    <w:rsid w:val="00321679"/>
    <w:rsid w:val="00325E21"/>
    <w:rsid w:val="0033045E"/>
    <w:rsid w:val="0033301B"/>
    <w:rsid w:val="00333447"/>
    <w:rsid w:val="00341527"/>
    <w:rsid w:val="00342FCF"/>
    <w:rsid w:val="00345B45"/>
    <w:rsid w:val="00345F0B"/>
    <w:rsid w:val="00350441"/>
    <w:rsid w:val="00350521"/>
    <w:rsid w:val="00354D98"/>
    <w:rsid w:val="0036778F"/>
    <w:rsid w:val="00371A4B"/>
    <w:rsid w:val="00385704"/>
    <w:rsid w:val="00385D03"/>
    <w:rsid w:val="00385F30"/>
    <w:rsid w:val="0038771C"/>
    <w:rsid w:val="00396F3E"/>
    <w:rsid w:val="003A290F"/>
    <w:rsid w:val="003A3E4B"/>
    <w:rsid w:val="003A430B"/>
    <w:rsid w:val="003A541A"/>
    <w:rsid w:val="003A62D2"/>
    <w:rsid w:val="003A6923"/>
    <w:rsid w:val="003B4671"/>
    <w:rsid w:val="003B6D2B"/>
    <w:rsid w:val="003C04F7"/>
    <w:rsid w:val="003C1DA3"/>
    <w:rsid w:val="003C20EE"/>
    <w:rsid w:val="003C2C67"/>
    <w:rsid w:val="003C2D4C"/>
    <w:rsid w:val="003C3B3A"/>
    <w:rsid w:val="003C5BA4"/>
    <w:rsid w:val="003E3E26"/>
    <w:rsid w:val="003E6FB1"/>
    <w:rsid w:val="003F1295"/>
    <w:rsid w:val="003F5102"/>
    <w:rsid w:val="003F684A"/>
    <w:rsid w:val="003F76FC"/>
    <w:rsid w:val="004002EB"/>
    <w:rsid w:val="00407A79"/>
    <w:rsid w:val="004108A6"/>
    <w:rsid w:val="0042033A"/>
    <w:rsid w:val="00421060"/>
    <w:rsid w:val="00422585"/>
    <w:rsid w:val="00422DDC"/>
    <w:rsid w:val="004231B5"/>
    <w:rsid w:val="004236C8"/>
    <w:rsid w:val="00427681"/>
    <w:rsid w:val="00433DB7"/>
    <w:rsid w:val="0043696B"/>
    <w:rsid w:val="00437F70"/>
    <w:rsid w:val="00452CE4"/>
    <w:rsid w:val="00453750"/>
    <w:rsid w:val="00456941"/>
    <w:rsid w:val="004624E4"/>
    <w:rsid w:val="00463C5A"/>
    <w:rsid w:val="004702EA"/>
    <w:rsid w:val="004777DB"/>
    <w:rsid w:val="0048259C"/>
    <w:rsid w:val="00482D02"/>
    <w:rsid w:val="00484326"/>
    <w:rsid w:val="00487845"/>
    <w:rsid w:val="004902D8"/>
    <w:rsid w:val="00490369"/>
    <w:rsid w:val="0049085B"/>
    <w:rsid w:val="0049277F"/>
    <w:rsid w:val="00497EB0"/>
    <w:rsid w:val="004A1DDA"/>
    <w:rsid w:val="004A7519"/>
    <w:rsid w:val="004B64B1"/>
    <w:rsid w:val="004B77E9"/>
    <w:rsid w:val="004C61C2"/>
    <w:rsid w:val="004C7BCC"/>
    <w:rsid w:val="004D01AC"/>
    <w:rsid w:val="004D3518"/>
    <w:rsid w:val="004D62D6"/>
    <w:rsid w:val="004D6898"/>
    <w:rsid w:val="004D7778"/>
    <w:rsid w:val="004E0327"/>
    <w:rsid w:val="004E5F1A"/>
    <w:rsid w:val="004F2019"/>
    <w:rsid w:val="004F3F4E"/>
    <w:rsid w:val="00501DA9"/>
    <w:rsid w:val="005066EC"/>
    <w:rsid w:val="005079B2"/>
    <w:rsid w:val="00510167"/>
    <w:rsid w:val="00510690"/>
    <w:rsid w:val="00511E12"/>
    <w:rsid w:val="00513AD7"/>
    <w:rsid w:val="00513E86"/>
    <w:rsid w:val="00515958"/>
    <w:rsid w:val="00521CA5"/>
    <w:rsid w:val="00523E77"/>
    <w:rsid w:val="005306A2"/>
    <w:rsid w:val="0053416C"/>
    <w:rsid w:val="00536616"/>
    <w:rsid w:val="005416D7"/>
    <w:rsid w:val="00541C2F"/>
    <w:rsid w:val="005450D9"/>
    <w:rsid w:val="0054542D"/>
    <w:rsid w:val="00547A71"/>
    <w:rsid w:val="0055007A"/>
    <w:rsid w:val="00552DE4"/>
    <w:rsid w:val="00556758"/>
    <w:rsid w:val="00561474"/>
    <w:rsid w:val="005619BB"/>
    <w:rsid w:val="00563527"/>
    <w:rsid w:val="005715AC"/>
    <w:rsid w:val="0057168A"/>
    <w:rsid w:val="0057407A"/>
    <w:rsid w:val="00576382"/>
    <w:rsid w:val="005772E4"/>
    <w:rsid w:val="0058124E"/>
    <w:rsid w:val="00581CD1"/>
    <w:rsid w:val="005848A5"/>
    <w:rsid w:val="00586D50"/>
    <w:rsid w:val="005875A3"/>
    <w:rsid w:val="00593A04"/>
    <w:rsid w:val="00593AD7"/>
    <w:rsid w:val="005953EA"/>
    <w:rsid w:val="0059597E"/>
    <w:rsid w:val="005A3416"/>
    <w:rsid w:val="005B0933"/>
    <w:rsid w:val="005B27FE"/>
    <w:rsid w:val="005B6667"/>
    <w:rsid w:val="005B6827"/>
    <w:rsid w:val="005B76DF"/>
    <w:rsid w:val="005B79CB"/>
    <w:rsid w:val="005C04F0"/>
    <w:rsid w:val="005C0E91"/>
    <w:rsid w:val="005C12A8"/>
    <w:rsid w:val="005D2641"/>
    <w:rsid w:val="005D2B14"/>
    <w:rsid w:val="005E08D7"/>
    <w:rsid w:val="005E4C16"/>
    <w:rsid w:val="005E57E1"/>
    <w:rsid w:val="005E5947"/>
    <w:rsid w:val="005F029D"/>
    <w:rsid w:val="005F05B5"/>
    <w:rsid w:val="005F0F8E"/>
    <w:rsid w:val="005F567B"/>
    <w:rsid w:val="005F61DF"/>
    <w:rsid w:val="005F6F52"/>
    <w:rsid w:val="0060163A"/>
    <w:rsid w:val="006023F9"/>
    <w:rsid w:val="00605409"/>
    <w:rsid w:val="00610559"/>
    <w:rsid w:val="006111BF"/>
    <w:rsid w:val="00614076"/>
    <w:rsid w:val="00616087"/>
    <w:rsid w:val="00617BB5"/>
    <w:rsid w:val="006208C4"/>
    <w:rsid w:val="006325B9"/>
    <w:rsid w:val="006328D9"/>
    <w:rsid w:val="00632F2E"/>
    <w:rsid w:val="006332F6"/>
    <w:rsid w:val="00633C69"/>
    <w:rsid w:val="006413F2"/>
    <w:rsid w:val="00642892"/>
    <w:rsid w:val="00642E87"/>
    <w:rsid w:val="00643F7A"/>
    <w:rsid w:val="00645C90"/>
    <w:rsid w:val="00645E9B"/>
    <w:rsid w:val="00650E65"/>
    <w:rsid w:val="006534B2"/>
    <w:rsid w:val="0065615D"/>
    <w:rsid w:val="0065698A"/>
    <w:rsid w:val="00657011"/>
    <w:rsid w:val="00657A33"/>
    <w:rsid w:val="006650B5"/>
    <w:rsid w:val="006651B1"/>
    <w:rsid w:val="00665778"/>
    <w:rsid w:val="00670CF7"/>
    <w:rsid w:val="00676E5F"/>
    <w:rsid w:val="00680E46"/>
    <w:rsid w:val="00681029"/>
    <w:rsid w:val="00681472"/>
    <w:rsid w:val="0068425B"/>
    <w:rsid w:val="00685873"/>
    <w:rsid w:val="006945CA"/>
    <w:rsid w:val="00695993"/>
    <w:rsid w:val="00697221"/>
    <w:rsid w:val="006A2C51"/>
    <w:rsid w:val="006A3309"/>
    <w:rsid w:val="006A39F1"/>
    <w:rsid w:val="006A3A5A"/>
    <w:rsid w:val="006A5231"/>
    <w:rsid w:val="006A5B34"/>
    <w:rsid w:val="006B337A"/>
    <w:rsid w:val="006B6497"/>
    <w:rsid w:val="006C77A9"/>
    <w:rsid w:val="006D1071"/>
    <w:rsid w:val="006D4720"/>
    <w:rsid w:val="006D5B85"/>
    <w:rsid w:val="006D6826"/>
    <w:rsid w:val="006E4C5F"/>
    <w:rsid w:val="006E5A80"/>
    <w:rsid w:val="006E5EA6"/>
    <w:rsid w:val="006E6CDF"/>
    <w:rsid w:val="006E7C80"/>
    <w:rsid w:val="006F37F2"/>
    <w:rsid w:val="006F6693"/>
    <w:rsid w:val="006F7414"/>
    <w:rsid w:val="00700378"/>
    <w:rsid w:val="00704EAC"/>
    <w:rsid w:val="00707F8F"/>
    <w:rsid w:val="00707FE8"/>
    <w:rsid w:val="00714AAE"/>
    <w:rsid w:val="00724962"/>
    <w:rsid w:val="00724A0F"/>
    <w:rsid w:val="00726D2F"/>
    <w:rsid w:val="00736732"/>
    <w:rsid w:val="00740019"/>
    <w:rsid w:val="007432F9"/>
    <w:rsid w:val="00743962"/>
    <w:rsid w:val="00746426"/>
    <w:rsid w:val="00747C87"/>
    <w:rsid w:val="00750BF9"/>
    <w:rsid w:val="00750CBE"/>
    <w:rsid w:val="00751C3B"/>
    <w:rsid w:val="007650D2"/>
    <w:rsid w:val="00766B5A"/>
    <w:rsid w:val="00767B8C"/>
    <w:rsid w:val="0077000B"/>
    <w:rsid w:val="00772209"/>
    <w:rsid w:val="00773F17"/>
    <w:rsid w:val="007770A5"/>
    <w:rsid w:val="00777ABD"/>
    <w:rsid w:val="007834F2"/>
    <w:rsid w:val="0078432C"/>
    <w:rsid w:val="00791020"/>
    <w:rsid w:val="0079573E"/>
    <w:rsid w:val="00796484"/>
    <w:rsid w:val="007A04D2"/>
    <w:rsid w:val="007A437E"/>
    <w:rsid w:val="007A5F82"/>
    <w:rsid w:val="007B02D8"/>
    <w:rsid w:val="007B19B7"/>
    <w:rsid w:val="007B3993"/>
    <w:rsid w:val="007B55C7"/>
    <w:rsid w:val="007B63AC"/>
    <w:rsid w:val="007D5F9E"/>
    <w:rsid w:val="007D6713"/>
    <w:rsid w:val="007E098F"/>
    <w:rsid w:val="007E3BA2"/>
    <w:rsid w:val="007E5BF1"/>
    <w:rsid w:val="007E6F3A"/>
    <w:rsid w:val="007F0631"/>
    <w:rsid w:val="007F0D76"/>
    <w:rsid w:val="007F1A4C"/>
    <w:rsid w:val="007F3680"/>
    <w:rsid w:val="007F38D3"/>
    <w:rsid w:val="007F723F"/>
    <w:rsid w:val="007F7E46"/>
    <w:rsid w:val="008022C3"/>
    <w:rsid w:val="008041E6"/>
    <w:rsid w:val="0080423B"/>
    <w:rsid w:val="008065D2"/>
    <w:rsid w:val="00815A8A"/>
    <w:rsid w:val="00816D37"/>
    <w:rsid w:val="0082194C"/>
    <w:rsid w:val="008222FF"/>
    <w:rsid w:val="008241FF"/>
    <w:rsid w:val="00827454"/>
    <w:rsid w:val="0083083D"/>
    <w:rsid w:val="00834156"/>
    <w:rsid w:val="0083436E"/>
    <w:rsid w:val="0083539D"/>
    <w:rsid w:val="00836CC9"/>
    <w:rsid w:val="008407F9"/>
    <w:rsid w:val="008411E9"/>
    <w:rsid w:val="00841617"/>
    <w:rsid w:val="008417E8"/>
    <w:rsid w:val="0084200F"/>
    <w:rsid w:val="00843B2C"/>
    <w:rsid w:val="00844F16"/>
    <w:rsid w:val="00845A43"/>
    <w:rsid w:val="00847745"/>
    <w:rsid w:val="008548C4"/>
    <w:rsid w:val="00855FF9"/>
    <w:rsid w:val="0086277A"/>
    <w:rsid w:val="00864039"/>
    <w:rsid w:val="00864FC5"/>
    <w:rsid w:val="00865A5B"/>
    <w:rsid w:val="008668A8"/>
    <w:rsid w:val="00870661"/>
    <w:rsid w:val="008719DF"/>
    <w:rsid w:val="00876171"/>
    <w:rsid w:val="008768AD"/>
    <w:rsid w:val="00880138"/>
    <w:rsid w:val="00880AC4"/>
    <w:rsid w:val="00883124"/>
    <w:rsid w:val="00884481"/>
    <w:rsid w:val="00890BFA"/>
    <w:rsid w:val="00897447"/>
    <w:rsid w:val="008A39EB"/>
    <w:rsid w:val="008A4900"/>
    <w:rsid w:val="008A4C59"/>
    <w:rsid w:val="008A55FE"/>
    <w:rsid w:val="008B146D"/>
    <w:rsid w:val="008B3794"/>
    <w:rsid w:val="008B42AD"/>
    <w:rsid w:val="008B5666"/>
    <w:rsid w:val="008C2834"/>
    <w:rsid w:val="008D0281"/>
    <w:rsid w:val="008D09AC"/>
    <w:rsid w:val="008D6AEE"/>
    <w:rsid w:val="008E2348"/>
    <w:rsid w:val="008E347D"/>
    <w:rsid w:val="008E4DFC"/>
    <w:rsid w:val="008F04C8"/>
    <w:rsid w:val="008F0C34"/>
    <w:rsid w:val="008F64E9"/>
    <w:rsid w:val="008F6D45"/>
    <w:rsid w:val="00903F5A"/>
    <w:rsid w:val="00903F81"/>
    <w:rsid w:val="00905E6A"/>
    <w:rsid w:val="0090765A"/>
    <w:rsid w:val="00907FF7"/>
    <w:rsid w:val="00911131"/>
    <w:rsid w:val="00912155"/>
    <w:rsid w:val="00912274"/>
    <w:rsid w:val="009159FA"/>
    <w:rsid w:val="00916FB6"/>
    <w:rsid w:val="00920E37"/>
    <w:rsid w:val="00922944"/>
    <w:rsid w:val="00931FD9"/>
    <w:rsid w:val="00934C41"/>
    <w:rsid w:val="00936479"/>
    <w:rsid w:val="00937A10"/>
    <w:rsid w:val="00937E17"/>
    <w:rsid w:val="00941491"/>
    <w:rsid w:val="0094455D"/>
    <w:rsid w:val="009464B0"/>
    <w:rsid w:val="009468E3"/>
    <w:rsid w:val="00947A0F"/>
    <w:rsid w:val="00950E42"/>
    <w:rsid w:val="009559C9"/>
    <w:rsid w:val="0095711A"/>
    <w:rsid w:val="009579EA"/>
    <w:rsid w:val="00966115"/>
    <w:rsid w:val="00972812"/>
    <w:rsid w:val="00972CE1"/>
    <w:rsid w:val="0097378F"/>
    <w:rsid w:val="00974B3F"/>
    <w:rsid w:val="009834C0"/>
    <w:rsid w:val="0098622B"/>
    <w:rsid w:val="00986AAC"/>
    <w:rsid w:val="00986F5C"/>
    <w:rsid w:val="00990346"/>
    <w:rsid w:val="009905FA"/>
    <w:rsid w:val="00991178"/>
    <w:rsid w:val="00993B69"/>
    <w:rsid w:val="00994B72"/>
    <w:rsid w:val="00995526"/>
    <w:rsid w:val="009A0E50"/>
    <w:rsid w:val="009A1DA2"/>
    <w:rsid w:val="009A35AA"/>
    <w:rsid w:val="009A3704"/>
    <w:rsid w:val="009A4739"/>
    <w:rsid w:val="009A674F"/>
    <w:rsid w:val="009A6D22"/>
    <w:rsid w:val="009B199C"/>
    <w:rsid w:val="009B3671"/>
    <w:rsid w:val="009B3849"/>
    <w:rsid w:val="009B5979"/>
    <w:rsid w:val="009B61F1"/>
    <w:rsid w:val="009B62E0"/>
    <w:rsid w:val="009C3D88"/>
    <w:rsid w:val="009E0ECD"/>
    <w:rsid w:val="009E1651"/>
    <w:rsid w:val="009E3858"/>
    <w:rsid w:val="009E3895"/>
    <w:rsid w:val="009E467D"/>
    <w:rsid w:val="009E4942"/>
    <w:rsid w:val="009E70DD"/>
    <w:rsid w:val="009F2031"/>
    <w:rsid w:val="009F2ED9"/>
    <w:rsid w:val="009F3231"/>
    <w:rsid w:val="009F440B"/>
    <w:rsid w:val="009F5C58"/>
    <w:rsid w:val="00A023A0"/>
    <w:rsid w:val="00A034F7"/>
    <w:rsid w:val="00A05EBC"/>
    <w:rsid w:val="00A06289"/>
    <w:rsid w:val="00A10CCB"/>
    <w:rsid w:val="00A113B2"/>
    <w:rsid w:val="00A1562B"/>
    <w:rsid w:val="00A170F4"/>
    <w:rsid w:val="00A21408"/>
    <w:rsid w:val="00A21CFD"/>
    <w:rsid w:val="00A23BA4"/>
    <w:rsid w:val="00A2470E"/>
    <w:rsid w:val="00A25B78"/>
    <w:rsid w:val="00A27263"/>
    <w:rsid w:val="00A27A9E"/>
    <w:rsid w:val="00A27B01"/>
    <w:rsid w:val="00A330D5"/>
    <w:rsid w:val="00A37582"/>
    <w:rsid w:val="00A400CC"/>
    <w:rsid w:val="00A40495"/>
    <w:rsid w:val="00A42E39"/>
    <w:rsid w:val="00A452B7"/>
    <w:rsid w:val="00A455CC"/>
    <w:rsid w:val="00A45CB0"/>
    <w:rsid w:val="00A46288"/>
    <w:rsid w:val="00A46403"/>
    <w:rsid w:val="00A46BA8"/>
    <w:rsid w:val="00A47634"/>
    <w:rsid w:val="00A54761"/>
    <w:rsid w:val="00A559EA"/>
    <w:rsid w:val="00A55BF3"/>
    <w:rsid w:val="00A56C05"/>
    <w:rsid w:val="00A612FE"/>
    <w:rsid w:val="00A62FF6"/>
    <w:rsid w:val="00A64E68"/>
    <w:rsid w:val="00A66F4D"/>
    <w:rsid w:val="00A703B3"/>
    <w:rsid w:val="00A70B49"/>
    <w:rsid w:val="00A727FE"/>
    <w:rsid w:val="00A740D4"/>
    <w:rsid w:val="00A8084F"/>
    <w:rsid w:val="00A92D94"/>
    <w:rsid w:val="00A95157"/>
    <w:rsid w:val="00AA1337"/>
    <w:rsid w:val="00AA26B8"/>
    <w:rsid w:val="00AA3A3B"/>
    <w:rsid w:val="00AA4288"/>
    <w:rsid w:val="00AA45AC"/>
    <w:rsid w:val="00AA4907"/>
    <w:rsid w:val="00AA5E54"/>
    <w:rsid w:val="00AA7A57"/>
    <w:rsid w:val="00AB1B76"/>
    <w:rsid w:val="00AB24E4"/>
    <w:rsid w:val="00AB3BA4"/>
    <w:rsid w:val="00AC0B87"/>
    <w:rsid w:val="00AC1B87"/>
    <w:rsid w:val="00AC2624"/>
    <w:rsid w:val="00AC32A8"/>
    <w:rsid w:val="00AC34AF"/>
    <w:rsid w:val="00AC6857"/>
    <w:rsid w:val="00AD1351"/>
    <w:rsid w:val="00AD3079"/>
    <w:rsid w:val="00AD4528"/>
    <w:rsid w:val="00AD7E4E"/>
    <w:rsid w:val="00AE2101"/>
    <w:rsid w:val="00AE271D"/>
    <w:rsid w:val="00AE5665"/>
    <w:rsid w:val="00AE5E04"/>
    <w:rsid w:val="00AE7410"/>
    <w:rsid w:val="00AF4D58"/>
    <w:rsid w:val="00AF4F1A"/>
    <w:rsid w:val="00AF4F90"/>
    <w:rsid w:val="00AF6666"/>
    <w:rsid w:val="00AF7BC5"/>
    <w:rsid w:val="00B01FFE"/>
    <w:rsid w:val="00B1051C"/>
    <w:rsid w:val="00B10AAF"/>
    <w:rsid w:val="00B116E3"/>
    <w:rsid w:val="00B11B3E"/>
    <w:rsid w:val="00B15592"/>
    <w:rsid w:val="00B16529"/>
    <w:rsid w:val="00B16D2B"/>
    <w:rsid w:val="00B23AE9"/>
    <w:rsid w:val="00B254CB"/>
    <w:rsid w:val="00B37FF8"/>
    <w:rsid w:val="00B41DEC"/>
    <w:rsid w:val="00B46074"/>
    <w:rsid w:val="00B515DB"/>
    <w:rsid w:val="00B51C51"/>
    <w:rsid w:val="00B556E1"/>
    <w:rsid w:val="00B641E3"/>
    <w:rsid w:val="00B64ADF"/>
    <w:rsid w:val="00B673BB"/>
    <w:rsid w:val="00B71711"/>
    <w:rsid w:val="00B73B9C"/>
    <w:rsid w:val="00B765F7"/>
    <w:rsid w:val="00B80951"/>
    <w:rsid w:val="00B81204"/>
    <w:rsid w:val="00B81795"/>
    <w:rsid w:val="00B81B44"/>
    <w:rsid w:val="00B828F5"/>
    <w:rsid w:val="00B9053B"/>
    <w:rsid w:val="00B95294"/>
    <w:rsid w:val="00B9777C"/>
    <w:rsid w:val="00BA04FE"/>
    <w:rsid w:val="00BA0C37"/>
    <w:rsid w:val="00BA3782"/>
    <w:rsid w:val="00BA4A09"/>
    <w:rsid w:val="00BA53C6"/>
    <w:rsid w:val="00BA5746"/>
    <w:rsid w:val="00BA5BEB"/>
    <w:rsid w:val="00BA6543"/>
    <w:rsid w:val="00BB00EF"/>
    <w:rsid w:val="00BB4D98"/>
    <w:rsid w:val="00BB4EBF"/>
    <w:rsid w:val="00BB59E0"/>
    <w:rsid w:val="00BB7DF0"/>
    <w:rsid w:val="00BC278D"/>
    <w:rsid w:val="00BC3422"/>
    <w:rsid w:val="00BC437C"/>
    <w:rsid w:val="00BC5458"/>
    <w:rsid w:val="00BC6008"/>
    <w:rsid w:val="00BC6E19"/>
    <w:rsid w:val="00BD05FA"/>
    <w:rsid w:val="00BD0B31"/>
    <w:rsid w:val="00BD0BF3"/>
    <w:rsid w:val="00BD1585"/>
    <w:rsid w:val="00BD4FF1"/>
    <w:rsid w:val="00BD5018"/>
    <w:rsid w:val="00BE1608"/>
    <w:rsid w:val="00BE4EDC"/>
    <w:rsid w:val="00BE5ADC"/>
    <w:rsid w:val="00BE763E"/>
    <w:rsid w:val="00BF4F96"/>
    <w:rsid w:val="00C015B9"/>
    <w:rsid w:val="00C022F9"/>
    <w:rsid w:val="00C032EA"/>
    <w:rsid w:val="00C06EB5"/>
    <w:rsid w:val="00C1145F"/>
    <w:rsid w:val="00C11CD1"/>
    <w:rsid w:val="00C15701"/>
    <w:rsid w:val="00C15DBE"/>
    <w:rsid w:val="00C17654"/>
    <w:rsid w:val="00C216B0"/>
    <w:rsid w:val="00C258F2"/>
    <w:rsid w:val="00C26F95"/>
    <w:rsid w:val="00C2715F"/>
    <w:rsid w:val="00C30637"/>
    <w:rsid w:val="00C31342"/>
    <w:rsid w:val="00C319AA"/>
    <w:rsid w:val="00C319F5"/>
    <w:rsid w:val="00C32D49"/>
    <w:rsid w:val="00C33235"/>
    <w:rsid w:val="00C33AD3"/>
    <w:rsid w:val="00C41B3C"/>
    <w:rsid w:val="00C43F06"/>
    <w:rsid w:val="00C45702"/>
    <w:rsid w:val="00C47503"/>
    <w:rsid w:val="00C50A2B"/>
    <w:rsid w:val="00C50DB6"/>
    <w:rsid w:val="00C51C01"/>
    <w:rsid w:val="00C539DC"/>
    <w:rsid w:val="00C626DD"/>
    <w:rsid w:val="00C637E1"/>
    <w:rsid w:val="00C63C7E"/>
    <w:rsid w:val="00C67442"/>
    <w:rsid w:val="00C67EAC"/>
    <w:rsid w:val="00C70D50"/>
    <w:rsid w:val="00C72252"/>
    <w:rsid w:val="00C76B9F"/>
    <w:rsid w:val="00C777A4"/>
    <w:rsid w:val="00C81050"/>
    <w:rsid w:val="00C907D7"/>
    <w:rsid w:val="00C92338"/>
    <w:rsid w:val="00C9535B"/>
    <w:rsid w:val="00C95E66"/>
    <w:rsid w:val="00C96051"/>
    <w:rsid w:val="00C964DD"/>
    <w:rsid w:val="00C97B86"/>
    <w:rsid w:val="00CA05DC"/>
    <w:rsid w:val="00CA0E9B"/>
    <w:rsid w:val="00CA7B47"/>
    <w:rsid w:val="00CB1DD6"/>
    <w:rsid w:val="00CB3976"/>
    <w:rsid w:val="00CB441A"/>
    <w:rsid w:val="00CB69EE"/>
    <w:rsid w:val="00CC6087"/>
    <w:rsid w:val="00CD0307"/>
    <w:rsid w:val="00CD27BE"/>
    <w:rsid w:val="00CD3D1B"/>
    <w:rsid w:val="00CE083F"/>
    <w:rsid w:val="00CE2ECE"/>
    <w:rsid w:val="00CE4670"/>
    <w:rsid w:val="00CE6EC4"/>
    <w:rsid w:val="00CE71A2"/>
    <w:rsid w:val="00CF2474"/>
    <w:rsid w:val="00CF284C"/>
    <w:rsid w:val="00CF6EC4"/>
    <w:rsid w:val="00D02663"/>
    <w:rsid w:val="00D0633E"/>
    <w:rsid w:val="00D12E74"/>
    <w:rsid w:val="00D1423C"/>
    <w:rsid w:val="00D15955"/>
    <w:rsid w:val="00D2312F"/>
    <w:rsid w:val="00D23B04"/>
    <w:rsid w:val="00D269C1"/>
    <w:rsid w:val="00D27944"/>
    <w:rsid w:val="00D3058A"/>
    <w:rsid w:val="00D32751"/>
    <w:rsid w:val="00D361BA"/>
    <w:rsid w:val="00D40D8B"/>
    <w:rsid w:val="00D41B2F"/>
    <w:rsid w:val="00D44953"/>
    <w:rsid w:val="00D518CB"/>
    <w:rsid w:val="00D542F3"/>
    <w:rsid w:val="00D54513"/>
    <w:rsid w:val="00D54AAE"/>
    <w:rsid w:val="00D5644B"/>
    <w:rsid w:val="00D56E25"/>
    <w:rsid w:val="00D57E89"/>
    <w:rsid w:val="00D6089A"/>
    <w:rsid w:val="00D6093D"/>
    <w:rsid w:val="00D60E1A"/>
    <w:rsid w:val="00D6560D"/>
    <w:rsid w:val="00D65D77"/>
    <w:rsid w:val="00D662E0"/>
    <w:rsid w:val="00D718D7"/>
    <w:rsid w:val="00D814B7"/>
    <w:rsid w:val="00D8364E"/>
    <w:rsid w:val="00D863EB"/>
    <w:rsid w:val="00D8720A"/>
    <w:rsid w:val="00D90688"/>
    <w:rsid w:val="00D948D8"/>
    <w:rsid w:val="00D95D65"/>
    <w:rsid w:val="00DA18B5"/>
    <w:rsid w:val="00DA3AAD"/>
    <w:rsid w:val="00DA51CB"/>
    <w:rsid w:val="00DA72CD"/>
    <w:rsid w:val="00DB0804"/>
    <w:rsid w:val="00DB312B"/>
    <w:rsid w:val="00DB3BC7"/>
    <w:rsid w:val="00DC4EE2"/>
    <w:rsid w:val="00DC5533"/>
    <w:rsid w:val="00DC5654"/>
    <w:rsid w:val="00DC5CF1"/>
    <w:rsid w:val="00DC658F"/>
    <w:rsid w:val="00DC674A"/>
    <w:rsid w:val="00DD34D3"/>
    <w:rsid w:val="00DD4DE3"/>
    <w:rsid w:val="00DD6383"/>
    <w:rsid w:val="00DD7FAE"/>
    <w:rsid w:val="00DE0E4E"/>
    <w:rsid w:val="00DE60CC"/>
    <w:rsid w:val="00DF4809"/>
    <w:rsid w:val="00DF52CC"/>
    <w:rsid w:val="00E06416"/>
    <w:rsid w:val="00E105A8"/>
    <w:rsid w:val="00E11F9B"/>
    <w:rsid w:val="00E15416"/>
    <w:rsid w:val="00E17C00"/>
    <w:rsid w:val="00E22A20"/>
    <w:rsid w:val="00E23617"/>
    <w:rsid w:val="00E26B32"/>
    <w:rsid w:val="00E31CD4"/>
    <w:rsid w:val="00E31E60"/>
    <w:rsid w:val="00E33E08"/>
    <w:rsid w:val="00E35A78"/>
    <w:rsid w:val="00E407B6"/>
    <w:rsid w:val="00E41C19"/>
    <w:rsid w:val="00E41EF1"/>
    <w:rsid w:val="00E42942"/>
    <w:rsid w:val="00E543D9"/>
    <w:rsid w:val="00E54E40"/>
    <w:rsid w:val="00E55653"/>
    <w:rsid w:val="00E65A0A"/>
    <w:rsid w:val="00E66CD7"/>
    <w:rsid w:val="00E67273"/>
    <w:rsid w:val="00E71BDF"/>
    <w:rsid w:val="00E72E8A"/>
    <w:rsid w:val="00E739E4"/>
    <w:rsid w:val="00E75CCB"/>
    <w:rsid w:val="00E8245B"/>
    <w:rsid w:val="00E82C21"/>
    <w:rsid w:val="00E82F59"/>
    <w:rsid w:val="00E83CA7"/>
    <w:rsid w:val="00E87B3A"/>
    <w:rsid w:val="00E911C3"/>
    <w:rsid w:val="00E92192"/>
    <w:rsid w:val="00E95A71"/>
    <w:rsid w:val="00EA005B"/>
    <w:rsid w:val="00EA030C"/>
    <w:rsid w:val="00EA0DA3"/>
    <w:rsid w:val="00EA0F6C"/>
    <w:rsid w:val="00EA2B81"/>
    <w:rsid w:val="00EA2CE3"/>
    <w:rsid w:val="00EA511A"/>
    <w:rsid w:val="00EA5761"/>
    <w:rsid w:val="00EB363A"/>
    <w:rsid w:val="00EB6068"/>
    <w:rsid w:val="00EB6422"/>
    <w:rsid w:val="00EB7014"/>
    <w:rsid w:val="00EB7721"/>
    <w:rsid w:val="00EC161C"/>
    <w:rsid w:val="00EC5CDE"/>
    <w:rsid w:val="00EC67AC"/>
    <w:rsid w:val="00EC7F88"/>
    <w:rsid w:val="00ED3077"/>
    <w:rsid w:val="00ED4838"/>
    <w:rsid w:val="00ED487E"/>
    <w:rsid w:val="00ED64F1"/>
    <w:rsid w:val="00ED656C"/>
    <w:rsid w:val="00EE0887"/>
    <w:rsid w:val="00EE2C39"/>
    <w:rsid w:val="00EE33A1"/>
    <w:rsid w:val="00EE39EB"/>
    <w:rsid w:val="00EE7A0D"/>
    <w:rsid w:val="00EF295D"/>
    <w:rsid w:val="00EF4286"/>
    <w:rsid w:val="00F0222C"/>
    <w:rsid w:val="00F024AD"/>
    <w:rsid w:val="00F1106C"/>
    <w:rsid w:val="00F12312"/>
    <w:rsid w:val="00F1594E"/>
    <w:rsid w:val="00F16A12"/>
    <w:rsid w:val="00F177C7"/>
    <w:rsid w:val="00F17CE1"/>
    <w:rsid w:val="00F2115C"/>
    <w:rsid w:val="00F22ABA"/>
    <w:rsid w:val="00F329F6"/>
    <w:rsid w:val="00F349C9"/>
    <w:rsid w:val="00F35AA9"/>
    <w:rsid w:val="00F36B12"/>
    <w:rsid w:val="00F47C64"/>
    <w:rsid w:val="00F504CA"/>
    <w:rsid w:val="00F60F9F"/>
    <w:rsid w:val="00F635D9"/>
    <w:rsid w:val="00F64F08"/>
    <w:rsid w:val="00F67ED5"/>
    <w:rsid w:val="00F70055"/>
    <w:rsid w:val="00F71150"/>
    <w:rsid w:val="00F71C3E"/>
    <w:rsid w:val="00F71D46"/>
    <w:rsid w:val="00F734F5"/>
    <w:rsid w:val="00F73B5B"/>
    <w:rsid w:val="00F73E28"/>
    <w:rsid w:val="00F8499C"/>
    <w:rsid w:val="00F90EA5"/>
    <w:rsid w:val="00F91F5A"/>
    <w:rsid w:val="00F926AC"/>
    <w:rsid w:val="00F966B1"/>
    <w:rsid w:val="00F97D48"/>
    <w:rsid w:val="00FA0311"/>
    <w:rsid w:val="00FA1489"/>
    <w:rsid w:val="00FA39E1"/>
    <w:rsid w:val="00FA7BE5"/>
    <w:rsid w:val="00FB396D"/>
    <w:rsid w:val="00FB4513"/>
    <w:rsid w:val="00FC5478"/>
    <w:rsid w:val="00FD50F0"/>
    <w:rsid w:val="00FD640F"/>
    <w:rsid w:val="00FD6B4C"/>
    <w:rsid w:val="00FD7069"/>
    <w:rsid w:val="00FE0553"/>
    <w:rsid w:val="00FE1925"/>
    <w:rsid w:val="00FE25D0"/>
    <w:rsid w:val="00FE2B1D"/>
    <w:rsid w:val="00FE2DE0"/>
    <w:rsid w:val="00FE6CB3"/>
    <w:rsid w:val="00FF411C"/>
    <w:rsid w:val="00FF4597"/>
    <w:rsid w:val="00FF4E99"/>
    <w:rsid w:val="00FF670D"/>
    <w:rsid w:val="019E3EF3"/>
    <w:rsid w:val="02EAF641"/>
    <w:rsid w:val="02F08A23"/>
    <w:rsid w:val="03654F48"/>
    <w:rsid w:val="047B5156"/>
    <w:rsid w:val="052A33AB"/>
    <w:rsid w:val="0588DD91"/>
    <w:rsid w:val="05D4DBE3"/>
    <w:rsid w:val="074F7C2E"/>
    <w:rsid w:val="084DF26A"/>
    <w:rsid w:val="095526B5"/>
    <w:rsid w:val="0A27C94E"/>
    <w:rsid w:val="0A42D8A7"/>
    <w:rsid w:val="0AD31871"/>
    <w:rsid w:val="0AD98AD4"/>
    <w:rsid w:val="0B45B0FD"/>
    <w:rsid w:val="0BDEA908"/>
    <w:rsid w:val="0CD7DA12"/>
    <w:rsid w:val="0D65B919"/>
    <w:rsid w:val="0F6C6BCF"/>
    <w:rsid w:val="0FA987EF"/>
    <w:rsid w:val="0FBA33EB"/>
    <w:rsid w:val="10023739"/>
    <w:rsid w:val="11EACC5F"/>
    <w:rsid w:val="11F8425B"/>
    <w:rsid w:val="123BF2BB"/>
    <w:rsid w:val="12D27CF5"/>
    <w:rsid w:val="137294DE"/>
    <w:rsid w:val="14D16D0D"/>
    <w:rsid w:val="14D34824"/>
    <w:rsid w:val="1597C499"/>
    <w:rsid w:val="159BFE73"/>
    <w:rsid w:val="15A94BC6"/>
    <w:rsid w:val="164F37ED"/>
    <w:rsid w:val="16DEC6A5"/>
    <w:rsid w:val="193AB5E0"/>
    <w:rsid w:val="1B4245F5"/>
    <w:rsid w:val="1B8D9363"/>
    <w:rsid w:val="1B929B7B"/>
    <w:rsid w:val="1BCCF5F2"/>
    <w:rsid w:val="1C2EA331"/>
    <w:rsid w:val="1C9605AE"/>
    <w:rsid w:val="1ED5274B"/>
    <w:rsid w:val="1F2045B6"/>
    <w:rsid w:val="1FD8453B"/>
    <w:rsid w:val="206C7C89"/>
    <w:rsid w:val="213F9FF2"/>
    <w:rsid w:val="2174159C"/>
    <w:rsid w:val="21F404A1"/>
    <w:rsid w:val="222A6984"/>
    <w:rsid w:val="22A04E71"/>
    <w:rsid w:val="22A25F1D"/>
    <w:rsid w:val="23689082"/>
    <w:rsid w:val="240A403A"/>
    <w:rsid w:val="2423B902"/>
    <w:rsid w:val="24FD0BD0"/>
    <w:rsid w:val="25263C21"/>
    <w:rsid w:val="258F4AE0"/>
    <w:rsid w:val="25D3820A"/>
    <w:rsid w:val="26857E49"/>
    <w:rsid w:val="28A8CC3C"/>
    <w:rsid w:val="291FEA87"/>
    <w:rsid w:val="2BAFC4BA"/>
    <w:rsid w:val="2BB91308"/>
    <w:rsid w:val="2DCEE350"/>
    <w:rsid w:val="2DFD1921"/>
    <w:rsid w:val="2FE590A2"/>
    <w:rsid w:val="30C07257"/>
    <w:rsid w:val="3125BDA8"/>
    <w:rsid w:val="32023EA5"/>
    <w:rsid w:val="320E64CD"/>
    <w:rsid w:val="32265E3A"/>
    <w:rsid w:val="3351E882"/>
    <w:rsid w:val="3361E817"/>
    <w:rsid w:val="339523AB"/>
    <w:rsid w:val="33BB2738"/>
    <w:rsid w:val="33DF72B1"/>
    <w:rsid w:val="342E8928"/>
    <w:rsid w:val="349425B1"/>
    <w:rsid w:val="349E906B"/>
    <w:rsid w:val="34B69021"/>
    <w:rsid w:val="3502BFB7"/>
    <w:rsid w:val="3545F550"/>
    <w:rsid w:val="3586F3FC"/>
    <w:rsid w:val="37E9C782"/>
    <w:rsid w:val="384FECE2"/>
    <w:rsid w:val="38A65EF7"/>
    <w:rsid w:val="3AE4FC57"/>
    <w:rsid w:val="3C715719"/>
    <w:rsid w:val="3C825961"/>
    <w:rsid w:val="3CAC4074"/>
    <w:rsid w:val="3DB60307"/>
    <w:rsid w:val="3FEEEDF9"/>
    <w:rsid w:val="40085AAD"/>
    <w:rsid w:val="40586D73"/>
    <w:rsid w:val="41037F55"/>
    <w:rsid w:val="41BB6B65"/>
    <w:rsid w:val="42CF4C19"/>
    <w:rsid w:val="4427322C"/>
    <w:rsid w:val="446FA502"/>
    <w:rsid w:val="449F4E92"/>
    <w:rsid w:val="45ACB18A"/>
    <w:rsid w:val="45AD57EE"/>
    <w:rsid w:val="4627C569"/>
    <w:rsid w:val="487DC8EC"/>
    <w:rsid w:val="489642DA"/>
    <w:rsid w:val="48B4F6EA"/>
    <w:rsid w:val="48DC5777"/>
    <w:rsid w:val="49069916"/>
    <w:rsid w:val="492A3553"/>
    <w:rsid w:val="49ABC074"/>
    <w:rsid w:val="4AB9FE24"/>
    <w:rsid w:val="4B0F07BE"/>
    <w:rsid w:val="4BC9D461"/>
    <w:rsid w:val="4BCBAF58"/>
    <w:rsid w:val="4C7BCA78"/>
    <w:rsid w:val="4D342D68"/>
    <w:rsid w:val="4D5AD313"/>
    <w:rsid w:val="4DD0AFC1"/>
    <w:rsid w:val="4DE395F4"/>
    <w:rsid w:val="516B7E06"/>
    <w:rsid w:val="51847053"/>
    <w:rsid w:val="51948ABE"/>
    <w:rsid w:val="524889D7"/>
    <w:rsid w:val="567CF697"/>
    <w:rsid w:val="56C84650"/>
    <w:rsid w:val="571DBF96"/>
    <w:rsid w:val="5741ED69"/>
    <w:rsid w:val="5818C6F8"/>
    <w:rsid w:val="58328B95"/>
    <w:rsid w:val="588D3EE6"/>
    <w:rsid w:val="58904C2D"/>
    <w:rsid w:val="592B8996"/>
    <w:rsid w:val="597A1E07"/>
    <w:rsid w:val="59EEE32A"/>
    <w:rsid w:val="5BEBF4EC"/>
    <w:rsid w:val="5D2B76ED"/>
    <w:rsid w:val="5D2C13A4"/>
    <w:rsid w:val="5FA7E63E"/>
    <w:rsid w:val="5FBCC232"/>
    <w:rsid w:val="60578D83"/>
    <w:rsid w:val="60E36686"/>
    <w:rsid w:val="617C4600"/>
    <w:rsid w:val="62B6331E"/>
    <w:rsid w:val="6304FD04"/>
    <w:rsid w:val="63522B29"/>
    <w:rsid w:val="635B799F"/>
    <w:rsid w:val="64C10791"/>
    <w:rsid w:val="652C020D"/>
    <w:rsid w:val="6650C9B5"/>
    <w:rsid w:val="66E94BFD"/>
    <w:rsid w:val="675EAA42"/>
    <w:rsid w:val="67D08507"/>
    <w:rsid w:val="67F273B9"/>
    <w:rsid w:val="6833187D"/>
    <w:rsid w:val="688541C5"/>
    <w:rsid w:val="6985C40A"/>
    <w:rsid w:val="69D7C2BA"/>
    <w:rsid w:val="6ABEC645"/>
    <w:rsid w:val="6B5757E2"/>
    <w:rsid w:val="6B5BCF6B"/>
    <w:rsid w:val="6CA7F013"/>
    <w:rsid w:val="6D1A1DBF"/>
    <w:rsid w:val="6DD56E6D"/>
    <w:rsid w:val="71DE9F3D"/>
    <w:rsid w:val="72892B6E"/>
    <w:rsid w:val="73798AEF"/>
    <w:rsid w:val="74F44543"/>
    <w:rsid w:val="7513FD35"/>
    <w:rsid w:val="76DC62CB"/>
    <w:rsid w:val="792FD8FB"/>
    <w:rsid w:val="795D65B6"/>
    <w:rsid w:val="7BD31828"/>
    <w:rsid w:val="7C360201"/>
    <w:rsid w:val="7D5165A1"/>
    <w:rsid w:val="7DF31A45"/>
    <w:rsid w:val="7E494BE1"/>
    <w:rsid w:val="7E7FC68D"/>
    <w:rsid w:val="7FF8E1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8122E"/>
  <w15:docId w15:val="{6C00BF41-DCB7-464F-BFF1-6EFACD3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1861B5"/>
    <w:pPr>
      <w:keepNext/>
      <w:keepLines/>
      <w:spacing w:before="360" w:after="12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1861B5"/>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styleId="Mention">
    <w:name w:val="Mention"/>
    <w:basedOn w:val="DefaultParagraphFont"/>
    <w:uiPriority w:val="99"/>
    <w:unhideWhenUsed/>
    <w:rsid w:val="00670C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631641182">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4970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rcare.vic.gov.au/sites/default/files/2022-10/Protections%20for%20serious%20adverse%20patient%20safety%20event%20%28SAPSE%29%20reviews%20-%20FINAL.docx"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fercare.vic.gov.au/support-training/adverse-event-review-and-response/duty-of-candou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2eww\OneDrive%20-%20DFFH,%20DH%20Victoria\SCV%20blank.dotx" TargetMode="External"/></Relationships>
</file>

<file path=word/documenttasks/documenttasks1.xml><?xml version="1.0" encoding="utf-8"?>
<t:Tasks xmlns:t="http://schemas.microsoft.com/office/tasks/2019/documenttasks" xmlns:oel="http://schemas.microsoft.com/office/2019/extlst">
  <t:Task id="{2421BBD5-08F8-4938-888D-AA1FF04478D7}">
    <t:Anchor>
      <t:Comment id="1378567761"/>
    </t:Anchor>
    <t:History>
      <t:Event id="{158035CE-37FF-4971-8B6F-D71E2727CDD2}" time="2022-09-05T06:48:02.744Z">
        <t:Attribution userId="S::nicole.youngs@safercare.vic.gov.au::65be26fa-e920-4315-ac69-718a9ac73e95" userProvider="AD" userName="Nicole Youngs (DHHS)"/>
        <t:Anchor>
          <t:Comment id="1939258644"/>
        </t:Anchor>
        <t:Create/>
      </t:Event>
      <t:Event id="{E5F031BE-51A9-4E4D-9CDB-B779FB81DD99}" time="2022-09-05T06:48:02.744Z">
        <t:Attribution userId="S::nicole.youngs@safercare.vic.gov.au::65be26fa-e920-4315-ac69-718a9ac73e95" userProvider="AD" userName="Nicole Youngs (DHHS)"/>
        <t:Anchor>
          <t:Comment id="1939258644"/>
        </t:Anchor>
        <t:Assign userId="S::Joanna.Green@health.vic.gov.au::fc62a859-3a4a-41c4-ae53-e221298c19cb" userProvider="AD" userName="Joanna Green (Health)"/>
      </t:Event>
      <t:Event id="{1A4DD08A-55A0-4B32-B68A-39CF764221B7}" time="2022-09-05T06:48:02.744Z">
        <t:Attribution userId="S::nicole.youngs@safercare.vic.gov.au::65be26fa-e920-4315-ac69-718a9ac73e95" userProvider="AD" userName="Nicole Youngs (DHHS)"/>
        <t:Anchor>
          <t:Comment id="1939258644"/>
        </t:Anchor>
        <t:SetTitle title="@Joanna Green (Health) Wendy added it as that the protections that would apply to a SAPSE review won't cease. Please review again if you agree with this."/>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SharedWithUsers xmlns="819afca8-9d5b-4e5f-a02d-e8160e861db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4" ma:contentTypeDescription="Create a new document." ma:contentTypeScope="" ma:versionID="e270d02d7ae0458dfe00206c5fdfbdf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4bc038c3081566f9a54f1717aff19cd9"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bacec-8de2-4b31-a51a-08fc30afc0d0}"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4EFDD-117F-4DF0-92BA-910F1DE92A1F}">
  <ds:schemaRefs>
    <ds:schemaRef ds:uri="5ce0f2b5-5be5-4508-bce9-d7011ece0659"/>
    <ds:schemaRef ds:uri="d57d50af-0511-4abc-8473-7b8c08a937c3"/>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19afca8-9d5b-4e5f-a02d-e8160e861db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4D4134-9C89-4B1F-A4BE-82CE633517D0}">
  <ds:schemaRefs>
    <ds:schemaRef ds:uri="http://schemas.microsoft.com/sharepoint/v3/contenttype/forms"/>
  </ds:schemaRefs>
</ds:datastoreItem>
</file>

<file path=customXml/itemProps3.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4.xml><?xml version="1.0" encoding="utf-8"?>
<ds:datastoreItem xmlns:ds="http://schemas.openxmlformats.org/officeDocument/2006/customXml" ds:itemID="{E3A05614-B1ED-42C5-BE02-EFCC2E999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SCV blank.dotx</Template>
  <TotalTime>227</TotalTime>
  <Pages>5</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13576</CharactersWithSpaces>
  <SharedDoc>false</SharedDoc>
  <HLinks>
    <vt:vector size="12" baseType="variant">
      <vt:variant>
        <vt:i4>7995411</vt:i4>
      </vt:variant>
      <vt:variant>
        <vt:i4>3</vt:i4>
      </vt:variant>
      <vt:variant>
        <vt:i4>0</vt:i4>
      </vt:variant>
      <vt:variant>
        <vt:i4>5</vt:i4>
      </vt:variant>
      <vt:variant>
        <vt:lpwstr>mailto:Joanna.Green@health.vic.gov.au</vt:lpwstr>
      </vt:variant>
      <vt:variant>
        <vt:lpwstr/>
      </vt:variant>
      <vt:variant>
        <vt:i4>7995411</vt:i4>
      </vt:variant>
      <vt:variant>
        <vt:i4>0</vt:i4>
      </vt:variant>
      <vt:variant>
        <vt:i4>0</vt:i4>
      </vt:variant>
      <vt:variant>
        <vt:i4>5</vt:i4>
      </vt:variant>
      <vt:variant>
        <vt:lpwstr>mailto:Joanna.Green@health.vic.gov.au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Nicole Youngs (DHHS)</dc:creator>
  <cp:keywords/>
  <cp:lastModifiedBy>Nicole Youngs (DHHS)</cp:lastModifiedBy>
  <cp:revision>253</cp:revision>
  <cp:lastPrinted>2020-08-14T14:56:00Z</cp:lastPrinted>
  <dcterms:created xsi:type="dcterms:W3CDTF">2022-08-06T10:08:00Z</dcterms:created>
  <dcterms:modified xsi:type="dcterms:W3CDTF">2022-10-27T06:01:00Z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ContentBits">
    <vt:lpwstr>2</vt:lpwstr>
  </property>
  <property fmtid="{D5CDD505-2E9C-101B-9397-08002B2CF9AE}" pid="9" name="MediaServiceImageTags">
    <vt:lpwstr/>
  </property>
  <property fmtid="{D5CDD505-2E9C-101B-9397-08002B2CF9AE}" pid="10" name="MSIP_Label_43e64453-338c-4f93-8a4d-0039a0a41f2a_SetDate">
    <vt:lpwstr>2022-09-05T23:26:01Z</vt:lpwstr>
  </property>
  <property fmtid="{D5CDD505-2E9C-101B-9397-08002B2CF9AE}" pid="11" name="MSIP_Label_43e64453-338c-4f93-8a4d-0039a0a41f2a_ActionId">
    <vt:lpwstr>1b04b0ad-361a-4221-b351-57ed106d4d57</vt:lpwstr>
  </property>
</Properties>
</file>