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AFB26" w14:textId="0B2E4CE0" w:rsidR="00521CA5" w:rsidRDefault="006B6497" w:rsidP="00521CA5">
      <w:pPr>
        <w:pStyle w:val="SCVborderabovetitle"/>
        <w:pBdr>
          <w:top w:val="single" w:sz="24" w:space="1" w:color="CCCCD0"/>
        </w:pBdr>
        <w:rPr>
          <w:rFonts w:asciiTheme="majorHAnsi" w:hAnsiTheme="majorHAnsi" w:cstheme="majorHAnsi"/>
          <w:sz w:val="28"/>
          <w:szCs w:val="44"/>
        </w:rPr>
      </w:pPr>
      <w:r w:rsidRPr="006E5A80">
        <w:rPr>
          <w:rFonts w:asciiTheme="majorHAnsi" w:hAnsiTheme="majorHAnsi" w:cstheme="majorHAnsi"/>
          <w:b/>
          <w:bCs/>
          <w:color w:val="007586" w:themeColor="text2"/>
          <w:sz w:val="28"/>
          <w:szCs w:val="44"/>
        </w:rPr>
        <w:t>Statutory Duty of Candour (SDC)</w:t>
      </w:r>
      <w:r w:rsidRPr="006E5A80">
        <w:rPr>
          <w:rFonts w:asciiTheme="majorHAnsi" w:hAnsiTheme="majorHAnsi" w:cstheme="majorHAnsi"/>
          <w:color w:val="007586" w:themeColor="text2"/>
          <w:sz w:val="28"/>
          <w:szCs w:val="44"/>
        </w:rPr>
        <w:t xml:space="preserve"> </w:t>
      </w:r>
      <w:r w:rsidRPr="006B6497">
        <w:rPr>
          <w:rFonts w:asciiTheme="majorHAnsi" w:hAnsiTheme="majorHAnsi" w:cstheme="majorHAnsi"/>
          <w:sz w:val="28"/>
          <w:szCs w:val="44"/>
        </w:rPr>
        <w:t>– Frequently asked question</w:t>
      </w:r>
      <w:r w:rsidR="00B301EE">
        <w:rPr>
          <w:rFonts w:asciiTheme="majorHAnsi" w:hAnsiTheme="majorHAnsi" w:cstheme="majorHAnsi"/>
          <w:sz w:val="28"/>
          <w:szCs w:val="44"/>
        </w:rPr>
        <w:t xml:space="preserve"> (FAQ) sheet</w:t>
      </w:r>
    </w:p>
    <w:p w14:paraId="0E8DB579" w14:textId="2CCE58AE" w:rsidR="00183FD1" w:rsidRPr="00C95AF7" w:rsidRDefault="00183FD1" w:rsidP="00521CA5">
      <w:pPr>
        <w:pStyle w:val="SCVborderabovetitle"/>
        <w:pBdr>
          <w:top w:val="single" w:sz="24" w:space="1" w:color="CCCCD0"/>
        </w:pBdr>
        <w:rPr>
          <w:rFonts w:asciiTheme="majorHAnsi" w:hAnsiTheme="majorHAnsi" w:cstheme="majorHAnsi"/>
          <w:b/>
          <w:bCs/>
          <w:sz w:val="20"/>
          <w:szCs w:val="32"/>
        </w:rPr>
      </w:pPr>
      <w:r w:rsidRPr="00C95AF7">
        <w:rPr>
          <w:rFonts w:asciiTheme="majorHAnsi" w:hAnsiTheme="majorHAnsi" w:cstheme="majorHAnsi"/>
          <w:b/>
          <w:bCs/>
          <w:sz w:val="20"/>
          <w:szCs w:val="32"/>
        </w:rPr>
        <w:t>Please note, this</w:t>
      </w:r>
      <w:r w:rsidR="00B301EE" w:rsidRPr="00C95AF7">
        <w:rPr>
          <w:rFonts w:asciiTheme="majorHAnsi" w:hAnsiTheme="majorHAnsi" w:cstheme="majorHAnsi"/>
          <w:b/>
          <w:bCs/>
          <w:sz w:val="20"/>
          <w:szCs w:val="32"/>
        </w:rPr>
        <w:t xml:space="preserve"> FAQ sheet is </w:t>
      </w:r>
      <w:r w:rsidR="00C95AF7" w:rsidRPr="00C95AF7">
        <w:rPr>
          <w:rFonts w:asciiTheme="majorHAnsi" w:hAnsiTheme="majorHAnsi" w:cstheme="majorHAnsi"/>
          <w:b/>
          <w:bCs/>
          <w:sz w:val="20"/>
          <w:szCs w:val="32"/>
        </w:rPr>
        <w:t>to be released in</w:t>
      </w:r>
      <w:r w:rsidR="00B301EE" w:rsidRPr="00C95AF7">
        <w:rPr>
          <w:rFonts w:asciiTheme="majorHAnsi" w:hAnsiTheme="majorHAnsi" w:cstheme="majorHAnsi"/>
          <w:b/>
          <w:bCs/>
          <w:sz w:val="20"/>
          <w:szCs w:val="32"/>
        </w:rPr>
        <w:t xml:space="preserve"> draft</w:t>
      </w:r>
      <w:r w:rsidR="00C95AF7" w:rsidRPr="00C95AF7">
        <w:rPr>
          <w:rFonts w:asciiTheme="majorHAnsi" w:hAnsiTheme="majorHAnsi" w:cstheme="majorHAnsi"/>
          <w:b/>
          <w:bCs/>
          <w:sz w:val="20"/>
          <w:szCs w:val="32"/>
        </w:rPr>
        <w:t xml:space="preserve"> form</w:t>
      </w:r>
      <w:r w:rsidR="00B301EE" w:rsidRPr="00C95AF7">
        <w:rPr>
          <w:rFonts w:asciiTheme="majorHAnsi" w:hAnsiTheme="majorHAnsi" w:cstheme="majorHAnsi"/>
          <w:b/>
          <w:bCs/>
          <w:sz w:val="20"/>
          <w:szCs w:val="32"/>
        </w:rPr>
        <w:t xml:space="preserve"> until relevant regulations</w:t>
      </w:r>
      <w:r w:rsidR="00C95AF7" w:rsidRPr="00C95AF7">
        <w:rPr>
          <w:rFonts w:asciiTheme="majorHAnsi" w:hAnsiTheme="majorHAnsi" w:cstheme="majorHAnsi"/>
          <w:b/>
          <w:bCs/>
          <w:sz w:val="20"/>
          <w:szCs w:val="32"/>
        </w:rPr>
        <w:t xml:space="preserve"> under the </w:t>
      </w:r>
      <w:r w:rsidR="00C95AF7" w:rsidRPr="00C95AF7">
        <w:rPr>
          <w:rFonts w:asciiTheme="majorHAnsi" w:hAnsiTheme="majorHAnsi" w:cstheme="majorHAnsi"/>
          <w:b/>
          <w:bCs/>
          <w:i/>
          <w:iCs/>
          <w:sz w:val="20"/>
          <w:szCs w:val="32"/>
        </w:rPr>
        <w:t>Health Services Act 1988</w:t>
      </w:r>
      <w:r w:rsidR="00C95AF7" w:rsidRPr="00C95AF7">
        <w:rPr>
          <w:rFonts w:asciiTheme="majorHAnsi" w:hAnsiTheme="majorHAnsi" w:cstheme="majorHAnsi"/>
          <w:b/>
          <w:bCs/>
          <w:sz w:val="20"/>
          <w:szCs w:val="32"/>
        </w:rPr>
        <w:t xml:space="preserve"> have been made.</w:t>
      </w:r>
      <w:r w:rsidR="00B301EE" w:rsidRPr="00C95AF7">
        <w:rPr>
          <w:rFonts w:asciiTheme="majorHAnsi" w:hAnsiTheme="majorHAnsi" w:cstheme="majorHAnsi"/>
          <w:b/>
          <w:bCs/>
          <w:sz w:val="20"/>
          <w:szCs w:val="32"/>
        </w:rPr>
        <w:t xml:space="preserve"> </w:t>
      </w:r>
    </w:p>
    <w:p w14:paraId="028AFF96" w14:textId="77777777" w:rsidR="00521CA5" w:rsidRDefault="00521CA5" w:rsidP="00521CA5">
      <w:pPr>
        <w:pStyle w:val="SCVborderabovetitle"/>
      </w:pPr>
    </w:p>
    <w:p w14:paraId="55918E49" w14:textId="3835C9C9" w:rsidR="00E66CD7" w:rsidRPr="00876171" w:rsidRDefault="00E66CD7" w:rsidP="00521CA5">
      <w:pPr>
        <w:pStyle w:val="SCVborderabovetitle"/>
        <w:sectPr w:rsidR="00E66CD7" w:rsidRPr="00876171" w:rsidSect="00BE763E">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438" w:right="737" w:bottom="1361" w:left="737" w:header="454" w:footer="851" w:gutter="0"/>
          <w:cols w:space="284"/>
          <w:docGrid w:linePitch="360"/>
        </w:sectPr>
      </w:pPr>
    </w:p>
    <w:p w14:paraId="622061A7" w14:textId="42C91C9A" w:rsidR="000F4B25" w:rsidRDefault="000F4B25" w:rsidP="00C4510D">
      <w:pPr>
        <w:pStyle w:val="Heading4"/>
        <w:numPr>
          <w:ilvl w:val="0"/>
          <w:numId w:val="12"/>
        </w:numPr>
        <w:spacing w:before="240"/>
        <w:ind w:left="425" w:hanging="425"/>
        <w:rPr>
          <w:color w:val="007586" w:themeColor="text2"/>
        </w:rPr>
      </w:pPr>
      <w:r>
        <w:rPr>
          <w:color w:val="007586" w:themeColor="text2"/>
        </w:rPr>
        <w:t>When doe</w:t>
      </w:r>
      <w:r w:rsidR="006E4C5F">
        <w:rPr>
          <w:color w:val="007586" w:themeColor="text2"/>
        </w:rPr>
        <w:t>s</w:t>
      </w:r>
      <w:r>
        <w:rPr>
          <w:color w:val="007586" w:themeColor="text2"/>
        </w:rPr>
        <w:t xml:space="preserve"> the SDC legislation come into effect?</w:t>
      </w:r>
    </w:p>
    <w:p w14:paraId="3EAEF076" w14:textId="0667DDC5" w:rsidR="003A62D2" w:rsidRDefault="006E4C5F" w:rsidP="000F4B25">
      <w:pPr>
        <w:pStyle w:val="SCVbody"/>
      </w:pPr>
      <w:r>
        <w:t xml:space="preserve">The </w:t>
      </w:r>
      <w:r w:rsidR="008F64E9">
        <w:t xml:space="preserve">SDC </w:t>
      </w:r>
      <w:r>
        <w:t xml:space="preserve">legislation takes effect from 30 November 2022 and is </w:t>
      </w:r>
      <w:r w:rsidR="003A62D2">
        <w:t>legislated under</w:t>
      </w:r>
      <w:r w:rsidR="003A62D2" w:rsidRPr="003A62D2">
        <w:t xml:space="preserve"> s</w:t>
      </w:r>
      <w:r w:rsidR="003A62D2">
        <w:t xml:space="preserve">ection </w:t>
      </w:r>
      <w:r w:rsidR="003A62D2" w:rsidRPr="003A62D2">
        <w:t xml:space="preserve">128ZC of the </w:t>
      </w:r>
      <w:r w:rsidR="003A62D2" w:rsidRPr="003A62D2">
        <w:rPr>
          <w:i/>
          <w:iCs/>
        </w:rPr>
        <w:t>Health Services Act 1988</w:t>
      </w:r>
      <w:r w:rsidR="003A62D2">
        <w:rPr>
          <w:i/>
          <w:iCs/>
        </w:rPr>
        <w:t>,</w:t>
      </w:r>
      <w:r w:rsidR="003A62D2" w:rsidRPr="003A62D2">
        <w:t xml:space="preserve"> s</w:t>
      </w:r>
      <w:r w:rsidR="003A62D2">
        <w:t xml:space="preserve">ection </w:t>
      </w:r>
      <w:r w:rsidR="003A62D2" w:rsidRPr="003A62D2">
        <w:t xml:space="preserve">22I of the </w:t>
      </w:r>
      <w:r w:rsidR="003A62D2" w:rsidRPr="003A62D2">
        <w:rPr>
          <w:i/>
          <w:iCs/>
        </w:rPr>
        <w:t>Ambulance Services Act 1986</w:t>
      </w:r>
      <w:r w:rsidR="003A62D2">
        <w:rPr>
          <w:i/>
          <w:iCs/>
        </w:rPr>
        <w:t>,</w:t>
      </w:r>
      <w:r w:rsidR="003A62D2" w:rsidRPr="003A62D2">
        <w:t xml:space="preserve"> and s</w:t>
      </w:r>
      <w:r w:rsidR="003A62D2">
        <w:t xml:space="preserve">ection </w:t>
      </w:r>
      <w:r w:rsidR="003A62D2" w:rsidRPr="003A62D2">
        <w:t xml:space="preserve">345B of the </w:t>
      </w:r>
      <w:r w:rsidR="003A62D2" w:rsidRPr="003A62D2">
        <w:rPr>
          <w:i/>
          <w:iCs/>
        </w:rPr>
        <w:t>Mental Health Act 2014</w:t>
      </w:r>
      <w:r>
        <w:t>.</w:t>
      </w:r>
    </w:p>
    <w:p w14:paraId="109FFB13" w14:textId="3B3A6E52" w:rsidR="00B56C89" w:rsidRPr="00B56C89" w:rsidRDefault="00B56C89" w:rsidP="001238C2">
      <w:pPr>
        <w:pStyle w:val="SCVbody"/>
        <w:numPr>
          <w:ilvl w:val="0"/>
          <w:numId w:val="12"/>
        </w:numPr>
        <w:spacing w:before="360"/>
        <w:ind w:left="425" w:hanging="425"/>
        <w:rPr>
          <w:b/>
          <w:color w:val="007586" w:themeColor="text2"/>
        </w:rPr>
      </w:pPr>
      <w:r w:rsidRPr="22308A35">
        <w:rPr>
          <w:b/>
          <w:color w:val="007586" w:themeColor="accent2"/>
        </w:rPr>
        <w:t>Why do we need the SDC</w:t>
      </w:r>
      <w:r w:rsidR="00704272" w:rsidRPr="22308A35">
        <w:rPr>
          <w:b/>
          <w:color w:val="007586" w:themeColor="accent2"/>
        </w:rPr>
        <w:t xml:space="preserve"> legislation</w:t>
      </w:r>
      <w:r w:rsidRPr="22308A35">
        <w:rPr>
          <w:b/>
          <w:color w:val="007586" w:themeColor="accent2"/>
        </w:rPr>
        <w:t>?</w:t>
      </w:r>
    </w:p>
    <w:p w14:paraId="74CE6293" w14:textId="5630C5D3" w:rsidR="00D042C0" w:rsidRDefault="00B56C89" w:rsidP="000F4B25">
      <w:pPr>
        <w:pStyle w:val="SCVbody"/>
      </w:pPr>
      <w:r>
        <w:t xml:space="preserve">The SDC builds on the Australian Open Disclosure </w:t>
      </w:r>
      <w:r w:rsidR="00334584">
        <w:t>Framework and</w:t>
      </w:r>
      <w:r>
        <w:t xml:space="preserve"> has </w:t>
      </w:r>
      <w:r w:rsidR="00DD0E52">
        <w:t xml:space="preserve">similar principles and </w:t>
      </w:r>
      <w:r w:rsidR="00C91172">
        <w:t>requirements</w:t>
      </w:r>
      <w:r w:rsidR="00334584">
        <w:t xml:space="preserve">. </w:t>
      </w:r>
      <w:r w:rsidR="00C91172">
        <w:t xml:space="preserve">Although </w:t>
      </w:r>
      <w:r w:rsidR="00334584">
        <w:t>the</w:t>
      </w:r>
      <w:r w:rsidR="00E15E4E">
        <w:t xml:space="preserve"> Australian</w:t>
      </w:r>
      <w:r>
        <w:t xml:space="preserve"> Open Disclosure </w:t>
      </w:r>
      <w:r w:rsidR="00334584">
        <w:t xml:space="preserve">Framework </w:t>
      </w:r>
      <w:r w:rsidR="00C91172">
        <w:t>is not legislated</w:t>
      </w:r>
      <w:r w:rsidR="00951BA2">
        <w:t xml:space="preserve"> across the State</w:t>
      </w:r>
      <w:r w:rsidR="00425E17">
        <w:t>,</w:t>
      </w:r>
      <w:r w:rsidR="00C91172">
        <w:t xml:space="preserve"> it is </w:t>
      </w:r>
      <w:r w:rsidR="007F2A49">
        <w:t>however mandated</w:t>
      </w:r>
      <w:r w:rsidR="00025B93">
        <w:t xml:space="preserve"> in </w:t>
      </w:r>
      <w:r w:rsidR="00D042C0">
        <w:t>Standard 1 of</w:t>
      </w:r>
      <w:r w:rsidR="00C91172">
        <w:t xml:space="preserve"> the </w:t>
      </w:r>
      <w:r w:rsidR="007B0601" w:rsidRPr="007B0601">
        <w:t>National Safety and Quality Health Service (NSQHS) Standards</w:t>
      </w:r>
      <w:r w:rsidR="00704272">
        <w:t xml:space="preserve">, which </w:t>
      </w:r>
      <w:r w:rsidR="00704272" w:rsidRPr="00704272">
        <w:t xml:space="preserve">provide a nationally consistent statement of the level of care consumers can expect from health service </w:t>
      </w:r>
      <w:r w:rsidR="00704272">
        <w:t>entities</w:t>
      </w:r>
      <w:r w:rsidR="00704272" w:rsidRPr="00704272">
        <w:t>.</w:t>
      </w:r>
      <w:r w:rsidR="00704272">
        <w:t xml:space="preserve"> </w:t>
      </w:r>
    </w:p>
    <w:p w14:paraId="347CD729" w14:textId="53150F85" w:rsidR="00425E17" w:rsidRPr="000F4B25" w:rsidRDefault="00704272" w:rsidP="000F4B25">
      <w:pPr>
        <w:pStyle w:val="SCVbody"/>
      </w:pPr>
      <w:r>
        <w:t xml:space="preserve">The SDC process will be legislated for </w:t>
      </w:r>
      <w:r w:rsidR="00D66592">
        <w:t>all SAPSEs and in the case that an event is not a SAPSE</w:t>
      </w:r>
      <w:r w:rsidR="00F9024F">
        <w:t>, open disclosure will still be required.</w:t>
      </w:r>
      <w:r w:rsidR="00D042C0">
        <w:t xml:space="preserve"> </w:t>
      </w:r>
      <w:r w:rsidR="00D441B7">
        <w:t>Open disclosure</w:t>
      </w:r>
      <w:r w:rsidR="00EB4A00">
        <w:t xml:space="preserve"> (and the SDC)</w:t>
      </w:r>
      <w:r w:rsidR="00D441B7">
        <w:t xml:space="preserve"> is a patient right, is anchored in professional ethics, considered good clinical practice, and is part of the care continuum</w:t>
      </w:r>
      <w:r w:rsidR="00EB4A00">
        <w:t>.</w:t>
      </w:r>
    </w:p>
    <w:p w14:paraId="1FC06478" w14:textId="2B7BF085" w:rsidR="006D1071" w:rsidRDefault="006D1071" w:rsidP="001238C2">
      <w:pPr>
        <w:pStyle w:val="Heading4"/>
        <w:numPr>
          <w:ilvl w:val="0"/>
          <w:numId w:val="12"/>
        </w:numPr>
        <w:spacing w:before="360"/>
        <w:ind w:left="426" w:hanging="426"/>
        <w:rPr>
          <w:color w:val="007586" w:themeColor="text2"/>
        </w:rPr>
      </w:pPr>
      <w:r>
        <w:rPr>
          <w:color w:val="007586" w:themeColor="text2"/>
        </w:rPr>
        <w:t>Who must comply with the SDC?</w:t>
      </w:r>
    </w:p>
    <w:p w14:paraId="0457F63D" w14:textId="148EF821" w:rsidR="006D1071" w:rsidRDefault="00A06289" w:rsidP="006D1071">
      <w:pPr>
        <w:pStyle w:val="SCVbody"/>
      </w:pPr>
      <w:r>
        <w:t>A health service entity</w:t>
      </w:r>
      <w:r w:rsidR="004624E4">
        <w:t xml:space="preserve"> for the purposes of the </w:t>
      </w:r>
      <w:r w:rsidR="004624E4" w:rsidRPr="004624E4">
        <w:rPr>
          <w:i/>
          <w:iCs/>
        </w:rPr>
        <w:t>Health Services Act 1988</w:t>
      </w:r>
      <w:r w:rsidR="0049085B">
        <w:rPr>
          <w:i/>
          <w:iCs/>
        </w:rPr>
        <w:t xml:space="preserve"> </w:t>
      </w:r>
      <w:r w:rsidR="0049085B" w:rsidRPr="0049085B">
        <w:t>(Vic)(Act)</w:t>
      </w:r>
      <w:r w:rsidR="004624E4">
        <w:t xml:space="preserve"> includ</w:t>
      </w:r>
      <w:r w:rsidR="001238C2">
        <w:t>es</w:t>
      </w:r>
      <w:r>
        <w:t>:</w:t>
      </w:r>
    </w:p>
    <w:p w14:paraId="56FD51DF" w14:textId="359A5130" w:rsidR="00A06289" w:rsidRDefault="00A06289" w:rsidP="00A05E49">
      <w:pPr>
        <w:pStyle w:val="SCVbullet1"/>
      </w:pPr>
      <w:r>
        <w:t>a public health service</w:t>
      </w:r>
    </w:p>
    <w:p w14:paraId="4F3AB52F" w14:textId="1FE32D59" w:rsidR="00A06289" w:rsidRDefault="00A06289" w:rsidP="00A05E49">
      <w:pPr>
        <w:pStyle w:val="SCVbullet1"/>
      </w:pPr>
      <w:r>
        <w:t>a public hospital</w:t>
      </w:r>
    </w:p>
    <w:p w14:paraId="1A45B414" w14:textId="283AD6CD" w:rsidR="00A06289" w:rsidRDefault="48975C11" w:rsidP="00A05E49">
      <w:pPr>
        <w:pStyle w:val="SCVbullet1"/>
      </w:pPr>
      <w:r>
        <w:t xml:space="preserve">a </w:t>
      </w:r>
      <w:r w:rsidR="003459A4">
        <w:t>multi-purpose</w:t>
      </w:r>
      <w:r>
        <w:t xml:space="preserve"> service</w:t>
      </w:r>
    </w:p>
    <w:p w14:paraId="7F1A1B3C" w14:textId="147987F0" w:rsidR="00A06289" w:rsidRDefault="00A06289" w:rsidP="00A05E49">
      <w:pPr>
        <w:pStyle w:val="SCVbullet1"/>
      </w:pPr>
      <w:r>
        <w:t>a denominational hospital</w:t>
      </w:r>
    </w:p>
    <w:p w14:paraId="2793C0F0" w14:textId="693058C7" w:rsidR="00A06289" w:rsidRDefault="00A06289" w:rsidP="00A05E49">
      <w:pPr>
        <w:pStyle w:val="SCVbullet1"/>
      </w:pPr>
      <w:r>
        <w:t>a private hospital</w:t>
      </w:r>
    </w:p>
    <w:p w14:paraId="6A5D7FA4" w14:textId="14F3891F" w:rsidR="00A06289" w:rsidRDefault="00A06289" w:rsidP="00A05E49">
      <w:pPr>
        <w:pStyle w:val="SCVbullet1"/>
      </w:pPr>
      <w:r>
        <w:t>a day procedure centre</w:t>
      </w:r>
    </w:p>
    <w:p w14:paraId="1FF6A938" w14:textId="53F9A496" w:rsidR="00A06289" w:rsidRDefault="00A06289" w:rsidP="00A05E49">
      <w:pPr>
        <w:pStyle w:val="SCVbullet1"/>
      </w:pPr>
      <w:r>
        <w:t xml:space="preserve">an ambulance service within the meaning of the </w:t>
      </w:r>
      <w:r w:rsidRPr="00A06289">
        <w:rPr>
          <w:i/>
          <w:iCs/>
        </w:rPr>
        <w:t>Ambulance Services Act 1986</w:t>
      </w:r>
    </w:p>
    <w:p w14:paraId="5247119E" w14:textId="714FE6E6" w:rsidR="00A06289" w:rsidRDefault="00A06289" w:rsidP="00A05E49">
      <w:pPr>
        <w:pStyle w:val="SCVbullet1"/>
      </w:pPr>
      <w:r>
        <w:t xml:space="preserve">a non-emergency patient transport service within the meaning of the </w:t>
      </w:r>
      <w:r w:rsidRPr="00A06289">
        <w:rPr>
          <w:i/>
          <w:iCs/>
        </w:rPr>
        <w:t>Non-Emergency Patient Transport and First Aid Services Act 2003</w:t>
      </w:r>
      <w:r>
        <w:t xml:space="preserve"> that is licensed under that Act</w:t>
      </w:r>
      <w:r w:rsidR="00D518CB">
        <w:t>, and</w:t>
      </w:r>
    </w:p>
    <w:p w14:paraId="1294CA71" w14:textId="5259ACD2" w:rsidR="00B23ECF" w:rsidRDefault="00D518CB" w:rsidP="00A05E49">
      <w:pPr>
        <w:pStyle w:val="SCVbullet1"/>
      </w:pPr>
      <w:r w:rsidRPr="00D518CB">
        <w:t xml:space="preserve">the Victorian Institute of Forensic Mental Health established by section 328 of the </w:t>
      </w:r>
      <w:r w:rsidRPr="00D518CB">
        <w:rPr>
          <w:i/>
          <w:iCs/>
        </w:rPr>
        <w:t>Mental Health Act 2014</w:t>
      </w:r>
      <w:r>
        <w:t>.</w:t>
      </w:r>
    </w:p>
    <w:p w14:paraId="6210B859" w14:textId="77777777" w:rsidR="004624E4" w:rsidRPr="00D6089A" w:rsidRDefault="004624E4" w:rsidP="001238C2">
      <w:pPr>
        <w:pStyle w:val="Heading4"/>
        <w:numPr>
          <w:ilvl w:val="0"/>
          <w:numId w:val="12"/>
        </w:numPr>
        <w:spacing w:before="360"/>
        <w:ind w:left="426" w:hanging="426"/>
        <w:rPr>
          <w:color w:val="007586" w:themeColor="text2"/>
        </w:rPr>
      </w:pPr>
      <w:r w:rsidRPr="00D6089A">
        <w:rPr>
          <w:color w:val="007586" w:themeColor="text2"/>
        </w:rPr>
        <w:t>I am the manager of an aged care facility attached to a (public or private) hospital. Do I need to comply with the SDC?</w:t>
      </w:r>
    </w:p>
    <w:p w14:paraId="16089389" w14:textId="1E1F237B" w:rsidR="004624E4" w:rsidRDefault="004624E4" w:rsidP="00A05E49">
      <w:pPr>
        <w:pStyle w:val="SCVbody"/>
      </w:pPr>
      <w:r>
        <w:t xml:space="preserve">Only defined health service entities are required to comply with SDC. </w:t>
      </w:r>
      <w:r w:rsidRPr="00941491">
        <w:t>I</w:t>
      </w:r>
      <w:r>
        <w:t>f the</w:t>
      </w:r>
      <w:r w:rsidRPr="00941491">
        <w:t xml:space="preserve"> corporate entity that is registered as the </w:t>
      </w:r>
      <w:r>
        <w:t xml:space="preserve">(public or </w:t>
      </w:r>
      <w:r w:rsidRPr="00941491">
        <w:t>private</w:t>
      </w:r>
      <w:r>
        <w:t>)</w:t>
      </w:r>
      <w:r w:rsidRPr="00941491">
        <w:t xml:space="preserve"> hospital is different from the corporate entity that is registered as an approved provider under the </w:t>
      </w:r>
      <w:r w:rsidRPr="00941491">
        <w:rPr>
          <w:i/>
          <w:iCs/>
        </w:rPr>
        <w:t>Aged Care Act 1997</w:t>
      </w:r>
      <w:r w:rsidRPr="00941491">
        <w:t xml:space="preserve"> (Commonwealth</w:t>
      </w:r>
      <w:r>
        <w:t>),</w:t>
      </w:r>
      <w:r w:rsidRPr="00941491">
        <w:t xml:space="preserve"> the approved provider of aged care does not have to comply with the </w:t>
      </w:r>
      <w:r>
        <w:t>SDC</w:t>
      </w:r>
      <w:r w:rsidRPr="00941491">
        <w:t xml:space="preserve"> as it is not </w:t>
      </w:r>
      <w:r w:rsidR="0005577B">
        <w:t xml:space="preserve">listed as </w:t>
      </w:r>
      <w:r w:rsidRPr="00941491">
        <w:t xml:space="preserve">a </w:t>
      </w:r>
      <w:r w:rsidR="0005577B">
        <w:t xml:space="preserve">relevant </w:t>
      </w:r>
      <w:r>
        <w:t>health service</w:t>
      </w:r>
      <w:r w:rsidR="00425E17">
        <w:t xml:space="preserve"> entity</w:t>
      </w:r>
      <w:r>
        <w:t>.</w:t>
      </w:r>
      <w:r w:rsidRPr="00941491">
        <w:t xml:space="preserve"> However, </w:t>
      </w:r>
      <w:r>
        <w:t>your health service entity will</w:t>
      </w:r>
      <w:r w:rsidRPr="00941491">
        <w:t xml:space="preserve"> need to do </w:t>
      </w:r>
      <w:r>
        <w:t>its</w:t>
      </w:r>
      <w:r w:rsidRPr="00941491">
        <w:t xml:space="preserve"> own assessment and determine which of </w:t>
      </w:r>
      <w:r>
        <w:t>your</w:t>
      </w:r>
      <w:r w:rsidRPr="00941491">
        <w:t xml:space="preserve"> corporate entities are </w:t>
      </w:r>
      <w:r>
        <w:t>a ‘</w:t>
      </w:r>
      <w:r w:rsidRPr="00941491">
        <w:t>health service entity</w:t>
      </w:r>
      <w:r>
        <w:t>’</w:t>
      </w:r>
      <w:r w:rsidRPr="00941491">
        <w:t xml:space="preserve"> and therefore must comply with the </w:t>
      </w:r>
      <w:r>
        <w:t>SDC</w:t>
      </w:r>
      <w:r w:rsidRPr="00941491">
        <w:t>.</w:t>
      </w:r>
    </w:p>
    <w:p w14:paraId="06EC7085" w14:textId="54563CA1" w:rsidR="00EA005B" w:rsidRPr="00EA005B" w:rsidRDefault="00EA005B" w:rsidP="00477A06">
      <w:pPr>
        <w:pStyle w:val="Heading4"/>
        <w:numPr>
          <w:ilvl w:val="0"/>
          <w:numId w:val="12"/>
        </w:numPr>
        <w:ind w:left="426" w:hanging="426"/>
        <w:rPr>
          <w:color w:val="007586" w:themeColor="text2"/>
        </w:rPr>
      </w:pPr>
      <w:r w:rsidRPr="00EA005B">
        <w:rPr>
          <w:color w:val="007586" w:themeColor="text2"/>
        </w:rPr>
        <w:lastRenderedPageBreak/>
        <w:t>I work at a community health service. Do I need to comply with the SDC?</w:t>
      </w:r>
    </w:p>
    <w:p w14:paraId="06A27019" w14:textId="5FD7B1D6" w:rsidR="00EA005B" w:rsidRDefault="00EA005B" w:rsidP="00974B3F">
      <w:pPr>
        <w:pStyle w:val="SCVbody"/>
        <w:spacing w:line="240" w:lineRule="auto"/>
      </w:pPr>
      <w:r w:rsidRPr="00EA005B">
        <w:t xml:space="preserve">At this stage, the obligation to comply with the </w:t>
      </w:r>
      <w:r>
        <w:t>SDC</w:t>
      </w:r>
      <w:r w:rsidRPr="00EA005B">
        <w:t xml:space="preserve"> </w:t>
      </w:r>
      <w:r>
        <w:t xml:space="preserve">only applies to certain health service entities and </w:t>
      </w:r>
      <w:r w:rsidRPr="00EA005B">
        <w:t>does not apply to community health services and publicly funded mental health community support services</w:t>
      </w:r>
      <w:r w:rsidR="00E72D25" w:rsidRPr="00EA005B">
        <w:t xml:space="preserve">. </w:t>
      </w:r>
    </w:p>
    <w:p w14:paraId="3A6CC2EF" w14:textId="39215678" w:rsidR="004D51F3" w:rsidRDefault="00321679" w:rsidP="00974B3F">
      <w:pPr>
        <w:pStyle w:val="SCVbody"/>
        <w:spacing w:line="240" w:lineRule="auto"/>
      </w:pPr>
      <w:r>
        <w:t xml:space="preserve">There may be future amendments to </w:t>
      </w:r>
      <w:r w:rsidR="00864039">
        <w:t>add to the list required to comply with the SDC</w:t>
      </w:r>
      <w:r>
        <w:t xml:space="preserve">, although this would be </w:t>
      </w:r>
      <w:r w:rsidR="00593AD7">
        <w:t>post consultation and communication.</w:t>
      </w:r>
    </w:p>
    <w:p w14:paraId="04CA0544" w14:textId="77777777" w:rsidR="002A4BEA" w:rsidRPr="00AF4F90" w:rsidRDefault="002A4BEA" w:rsidP="00477A06">
      <w:pPr>
        <w:pStyle w:val="Heading4"/>
        <w:numPr>
          <w:ilvl w:val="0"/>
          <w:numId w:val="12"/>
        </w:numPr>
        <w:ind w:left="426" w:hanging="426"/>
        <w:rPr>
          <w:color w:val="007586" w:themeColor="text2"/>
        </w:rPr>
      </w:pPr>
      <w:r w:rsidRPr="00AF4F90">
        <w:rPr>
          <w:color w:val="007586" w:themeColor="text2"/>
        </w:rPr>
        <w:t>What is a SAPSE?</w:t>
      </w:r>
    </w:p>
    <w:p w14:paraId="5538B241" w14:textId="77777777" w:rsidR="002A4BEA" w:rsidRDefault="002A4BEA" w:rsidP="002A4BEA">
      <w:pPr>
        <w:pStyle w:val="SCVbody"/>
      </w:pPr>
      <w:r>
        <w:t>A serious adverse patient safety event (SAPSE) is an event that:</w:t>
      </w:r>
    </w:p>
    <w:p w14:paraId="7B1B5C6C" w14:textId="5D6AC67B" w:rsidR="002A4BEA" w:rsidRPr="00DC4EE2" w:rsidRDefault="002A4BEA" w:rsidP="00A05E49">
      <w:pPr>
        <w:pStyle w:val="SCVbullet1"/>
      </w:pPr>
      <w:r w:rsidRPr="00DC4EE2">
        <w:t xml:space="preserve">occurred while the patient was receiving </w:t>
      </w:r>
      <w:r w:rsidR="005D4D7D">
        <w:t>health services</w:t>
      </w:r>
      <w:r w:rsidRPr="00DC4EE2">
        <w:t xml:space="preserve"> from a health service entity; and </w:t>
      </w:r>
    </w:p>
    <w:p w14:paraId="63B5A241" w14:textId="10B9DF9F" w:rsidR="002A4BEA" w:rsidRPr="00DC4EE2" w:rsidRDefault="002A4BEA" w:rsidP="00A05E49">
      <w:pPr>
        <w:pStyle w:val="SCVbullet1"/>
      </w:pPr>
      <w:r w:rsidRPr="00DC4EE2">
        <w:t xml:space="preserve">in the reasonable opinion of a registered health practitioner, has resulted in, or is likely to result in, unintended or unexpected moderate or severe harm or prolonged psychological harm being sustained by the patient. </w:t>
      </w:r>
    </w:p>
    <w:p w14:paraId="4A1E7DBE" w14:textId="77777777" w:rsidR="002A4BEA" w:rsidRDefault="002A4BEA" w:rsidP="002A4BEA">
      <w:pPr>
        <w:pStyle w:val="SCVbody"/>
      </w:pPr>
      <w:r w:rsidRPr="00DC4EE2">
        <w:t>For the avoidance of doubt, an event may be identified following discharge from the health service entity.</w:t>
      </w:r>
    </w:p>
    <w:p w14:paraId="0ECAAB9B" w14:textId="780D7AD1" w:rsidR="002A4BEA" w:rsidRDefault="002A4BEA" w:rsidP="002A4BEA">
      <w:pPr>
        <w:pStyle w:val="SCVbody"/>
      </w:pPr>
      <w:r w:rsidRPr="003B4671">
        <w:t>A SAPSE is</w:t>
      </w:r>
      <w:r w:rsidR="31378C06">
        <w:t xml:space="preserve"> likely to be</w:t>
      </w:r>
      <w:r w:rsidRPr="003B4671">
        <w:t xml:space="preserve"> the equivalent of an ISR 1 or 2 event within services </w:t>
      </w:r>
      <w:r>
        <w:t xml:space="preserve">that utilise the </w:t>
      </w:r>
      <w:r w:rsidRPr="003B4671">
        <w:t>Victorian Health Incident Management System scale.</w:t>
      </w:r>
      <w:r>
        <w:t xml:space="preserve"> However, it has been noted that some health service entities </w:t>
      </w:r>
      <w:r w:rsidR="00BB3151">
        <w:t>use</w:t>
      </w:r>
      <w:r>
        <w:t xml:space="preserve"> their incident management system to capture data that may not otherwise be an adverse event. It will be important for the relevant team (e.g. quality team) within a health service entity to discuss whether an event meets the above criteria, and therefore be a SAPSE.</w:t>
      </w:r>
    </w:p>
    <w:p w14:paraId="4EFFC3A2" w14:textId="389F5DF0" w:rsidR="00C30637" w:rsidRPr="00A05E49" w:rsidRDefault="00B16529" w:rsidP="00974B3F">
      <w:pPr>
        <w:pStyle w:val="SCVbody"/>
        <w:spacing w:line="240" w:lineRule="auto"/>
        <w:rPr>
          <w:b/>
          <w:bCs/>
        </w:rPr>
      </w:pPr>
      <w:r w:rsidRPr="00FC5478">
        <w:rPr>
          <w:b/>
          <w:bCs/>
        </w:rPr>
        <w:t xml:space="preserve">If a patient suffers a SAPSE in the course of receiving health services, the health service entity responsible for providing those services owes a </w:t>
      </w:r>
      <w:r w:rsidR="002F728B" w:rsidRPr="00FC5478">
        <w:rPr>
          <w:b/>
          <w:bCs/>
        </w:rPr>
        <w:t>SDC</w:t>
      </w:r>
      <w:r w:rsidRPr="00FC5478">
        <w:rPr>
          <w:b/>
          <w:bCs/>
        </w:rPr>
        <w:t xml:space="preserve"> to the patient</w:t>
      </w:r>
      <w:r w:rsidR="002F728B" w:rsidRPr="00FC5478">
        <w:rPr>
          <w:b/>
          <w:bCs/>
        </w:rPr>
        <w:t>.</w:t>
      </w:r>
    </w:p>
    <w:p w14:paraId="35B7BB7D" w14:textId="77777777" w:rsidR="002C2957" w:rsidRPr="00A27A9E" w:rsidRDefault="002C2957" w:rsidP="00477A06">
      <w:pPr>
        <w:pStyle w:val="Heading4"/>
        <w:numPr>
          <w:ilvl w:val="0"/>
          <w:numId w:val="12"/>
        </w:numPr>
        <w:ind w:left="426" w:hanging="426"/>
        <w:rPr>
          <w:color w:val="007586" w:themeColor="text2"/>
        </w:rPr>
      </w:pPr>
      <w:r w:rsidRPr="00A27A9E">
        <w:rPr>
          <w:color w:val="007586" w:themeColor="text2"/>
        </w:rPr>
        <w:t>Who is a registered health practitioner?</w:t>
      </w:r>
    </w:p>
    <w:p w14:paraId="7A18BE49" w14:textId="3DBE0BE3" w:rsidR="002C2957" w:rsidRDefault="003B4588" w:rsidP="005564F1">
      <w:pPr>
        <w:pStyle w:val="SCVbody"/>
        <w:sectPr w:rsidR="002C2957" w:rsidSect="002C2957">
          <w:headerReference w:type="even" r:id="rId17"/>
          <w:headerReference w:type="default" r:id="rId18"/>
          <w:headerReference w:type="first" r:id="rId19"/>
          <w:type w:val="continuous"/>
          <w:pgSz w:w="11906" w:h="16838" w:code="9"/>
          <w:pgMar w:top="2438" w:right="737" w:bottom="1361" w:left="737" w:header="851" w:footer="851" w:gutter="0"/>
          <w:cols w:space="284"/>
          <w:docGrid w:linePitch="360"/>
        </w:sectPr>
      </w:pPr>
      <w:r>
        <w:t>Examples of</w:t>
      </w:r>
      <w:r w:rsidR="002C2957">
        <w:t xml:space="preserve"> registered health practitioner</w:t>
      </w:r>
      <w:r>
        <w:t>s</w:t>
      </w:r>
      <w:r w:rsidR="007E51F0">
        <w:t xml:space="preserve">, as listed on Ahpra, </w:t>
      </w:r>
      <w:r w:rsidR="002C2957">
        <w:t>include</w:t>
      </w:r>
      <w:r w:rsidR="005564F1">
        <w:t>:</w:t>
      </w:r>
    </w:p>
    <w:p w14:paraId="2248EB56" w14:textId="77777777" w:rsidR="002C2957" w:rsidRDefault="002C2957" w:rsidP="00A05E49">
      <w:pPr>
        <w:pStyle w:val="SCVbullet1"/>
      </w:pPr>
      <w:r>
        <w:t xml:space="preserve">Aboriginal and Torres Strait Islander Health practitioner </w:t>
      </w:r>
    </w:p>
    <w:p w14:paraId="6278FC9C" w14:textId="77777777" w:rsidR="002C2957" w:rsidRDefault="002C2957" w:rsidP="00A05E49">
      <w:pPr>
        <w:pStyle w:val="SCVbullet1"/>
      </w:pPr>
      <w:r>
        <w:t>Medical practitioner (doctors/surgeons)</w:t>
      </w:r>
    </w:p>
    <w:p w14:paraId="567FD99E" w14:textId="77777777" w:rsidR="002C2957" w:rsidRDefault="002C2957" w:rsidP="00A05E49">
      <w:pPr>
        <w:pStyle w:val="SCVbullet1"/>
      </w:pPr>
      <w:r>
        <w:t>Medical radiation practitioner</w:t>
      </w:r>
    </w:p>
    <w:p w14:paraId="01CC604A" w14:textId="77777777" w:rsidR="002C2957" w:rsidRDefault="002C2957" w:rsidP="00A05E49">
      <w:pPr>
        <w:pStyle w:val="SCVbullet1"/>
      </w:pPr>
      <w:r>
        <w:t>Nurse</w:t>
      </w:r>
    </w:p>
    <w:p w14:paraId="18969ADA" w14:textId="77777777" w:rsidR="002C2957" w:rsidRDefault="002C2957" w:rsidP="00A05E49">
      <w:pPr>
        <w:pStyle w:val="SCVbullet1"/>
      </w:pPr>
      <w:r>
        <w:t>Midwife</w:t>
      </w:r>
    </w:p>
    <w:p w14:paraId="64BF57DD" w14:textId="77777777" w:rsidR="002C2957" w:rsidRDefault="002C2957" w:rsidP="00A05E49">
      <w:pPr>
        <w:pStyle w:val="SCVbullet1"/>
      </w:pPr>
      <w:r>
        <w:t>Occupational therapist</w:t>
      </w:r>
    </w:p>
    <w:p w14:paraId="1B9AB2BF" w14:textId="77777777" w:rsidR="002C2957" w:rsidRDefault="002C2957" w:rsidP="00A05E49">
      <w:pPr>
        <w:pStyle w:val="SCVbullet1"/>
      </w:pPr>
      <w:r>
        <w:t>Paramedic</w:t>
      </w:r>
    </w:p>
    <w:p w14:paraId="18C80DB9" w14:textId="77777777" w:rsidR="002C2957" w:rsidRDefault="002C2957" w:rsidP="00A05E49">
      <w:pPr>
        <w:pStyle w:val="SCVbullet1"/>
      </w:pPr>
      <w:r>
        <w:t>Pharmacist</w:t>
      </w:r>
    </w:p>
    <w:p w14:paraId="4DC33EDC" w14:textId="77777777" w:rsidR="002C2957" w:rsidRDefault="002C2957" w:rsidP="00A05E49">
      <w:pPr>
        <w:pStyle w:val="SCVbullet1"/>
      </w:pPr>
      <w:r>
        <w:t>Physiotherapist</w:t>
      </w:r>
    </w:p>
    <w:p w14:paraId="564F50CB" w14:textId="77777777" w:rsidR="002C2957" w:rsidRDefault="002C2957" w:rsidP="00A05E49">
      <w:pPr>
        <w:pStyle w:val="SCVbullet1"/>
      </w:pPr>
      <w:r>
        <w:t>Podiatrist</w:t>
      </w:r>
    </w:p>
    <w:p w14:paraId="56A63BEC" w14:textId="05BDC240" w:rsidR="002C2957" w:rsidRDefault="002C2957" w:rsidP="00A05E49">
      <w:pPr>
        <w:pStyle w:val="SCVbullet1"/>
        <w:sectPr w:rsidR="002C2957" w:rsidSect="00454185">
          <w:headerReference w:type="even" r:id="rId20"/>
          <w:headerReference w:type="default" r:id="rId21"/>
          <w:headerReference w:type="first" r:id="rId22"/>
          <w:type w:val="continuous"/>
          <w:pgSz w:w="11906" w:h="16838" w:code="9"/>
          <w:pgMar w:top="2438" w:right="737" w:bottom="1361" w:left="737" w:header="851" w:footer="851" w:gutter="0"/>
          <w:cols w:num="2" w:space="284"/>
          <w:docGrid w:linePitch="360"/>
        </w:sectPr>
      </w:pPr>
      <w:r>
        <w:t>Psychologis</w:t>
      </w:r>
      <w:r w:rsidR="001238C2">
        <w:t>t</w:t>
      </w:r>
    </w:p>
    <w:p w14:paraId="4ADF34D1" w14:textId="25D9B6A5" w:rsidR="00D948D8" w:rsidRDefault="00D948D8" w:rsidP="00477A06">
      <w:pPr>
        <w:pStyle w:val="Heading4"/>
        <w:numPr>
          <w:ilvl w:val="0"/>
          <w:numId w:val="12"/>
        </w:numPr>
        <w:ind w:left="426" w:hanging="426"/>
        <w:rPr>
          <w:color w:val="007586" w:themeColor="text2"/>
        </w:rPr>
      </w:pPr>
      <w:r w:rsidRPr="00D6089A">
        <w:rPr>
          <w:color w:val="007586" w:themeColor="text2"/>
        </w:rPr>
        <w:t>What do I need to give the patient as part of the review of the SAPSE (requirement 6 and 7)?</w:t>
      </w:r>
    </w:p>
    <w:p w14:paraId="6FFA1C46" w14:textId="77777777" w:rsidR="00D948D8" w:rsidRDefault="00D948D8" w:rsidP="00D948D8">
      <w:pPr>
        <w:pStyle w:val="SCVbody"/>
      </w:pPr>
      <w:r>
        <w:t xml:space="preserve">The report created as a result of the review must include the matters required by section 128ZC of the </w:t>
      </w:r>
      <w:r w:rsidRPr="00B80951">
        <w:rPr>
          <w:i/>
          <w:iCs/>
        </w:rPr>
        <w:t>Health Services Act 1988</w:t>
      </w:r>
      <w:r>
        <w:t>, being:</w:t>
      </w:r>
    </w:p>
    <w:p w14:paraId="691BAE46" w14:textId="77777777" w:rsidR="00D948D8" w:rsidRDefault="00D948D8" w:rsidP="00A05E49">
      <w:pPr>
        <w:pStyle w:val="SCVbullet1"/>
      </w:pPr>
      <w:r>
        <w:t>a written account of the facts regarding the SAPSE</w:t>
      </w:r>
    </w:p>
    <w:p w14:paraId="65F9B594" w14:textId="77777777" w:rsidR="00D948D8" w:rsidRDefault="00D948D8" w:rsidP="00A05E49">
      <w:pPr>
        <w:pStyle w:val="SCVbullet1"/>
      </w:pPr>
      <w:r>
        <w:t>an apology for the harm suffered by the patient</w:t>
      </w:r>
    </w:p>
    <w:p w14:paraId="37B7DC29" w14:textId="77777777" w:rsidR="00D948D8" w:rsidRDefault="00D948D8" w:rsidP="00A05E49">
      <w:pPr>
        <w:pStyle w:val="SCVbullet1"/>
      </w:pPr>
      <w:r>
        <w:t>a description of the health service entity's response to the event, and</w:t>
      </w:r>
    </w:p>
    <w:p w14:paraId="2385F23A" w14:textId="77777777" w:rsidR="00D948D8" w:rsidRDefault="00D948D8" w:rsidP="00A05E49">
      <w:pPr>
        <w:pStyle w:val="SCVbullet1"/>
      </w:pPr>
      <w:r>
        <w:t>the steps that the health service entity has taken to prevent re-occurrence of the event.</w:t>
      </w:r>
    </w:p>
    <w:p w14:paraId="64AA7309" w14:textId="4FD8D88F" w:rsidR="00D948D8" w:rsidRDefault="00D948D8" w:rsidP="00D948D8">
      <w:pPr>
        <w:pStyle w:val="SCVbody"/>
        <w:spacing w:line="240" w:lineRule="auto"/>
      </w:pPr>
      <w:r>
        <w:lastRenderedPageBreak/>
        <w:t>As part of the SDC process, the review report must then be offered to</w:t>
      </w:r>
      <w:r w:rsidR="002C2C8E">
        <w:t xml:space="preserve"> the following, unless the patient has opted out</w:t>
      </w:r>
      <w:r>
        <w:t>:</w:t>
      </w:r>
    </w:p>
    <w:p w14:paraId="7A0C038C" w14:textId="77777777" w:rsidR="00D948D8" w:rsidRDefault="00D948D8" w:rsidP="00A05E49">
      <w:pPr>
        <w:pStyle w:val="SCVbullet1"/>
      </w:pPr>
      <w:r>
        <w:t>the patient, or</w:t>
      </w:r>
    </w:p>
    <w:p w14:paraId="39F1058D" w14:textId="77777777" w:rsidR="00D948D8" w:rsidRDefault="00D948D8" w:rsidP="00A05E49">
      <w:pPr>
        <w:pStyle w:val="SCVbullet1"/>
      </w:pPr>
      <w:r>
        <w:t>if the patient is deceased or lacks capacity, a person nominated by the patient, the immediate family, carer or NOK of a patient.</w:t>
      </w:r>
    </w:p>
    <w:p w14:paraId="676BB114" w14:textId="56630836" w:rsidR="002C2C8E" w:rsidRDefault="00D948D8" w:rsidP="00D948D8">
      <w:pPr>
        <w:pStyle w:val="SCVbody"/>
        <w:spacing w:line="240" w:lineRule="auto"/>
      </w:pPr>
      <w:r>
        <w:t xml:space="preserve">Dependent on what type of review methodology is used, </w:t>
      </w:r>
      <w:r w:rsidR="0090765A">
        <w:t>Safer Care Victoria (</w:t>
      </w:r>
      <w:r>
        <w:t>SCV</w:t>
      </w:r>
      <w:r w:rsidR="0090765A">
        <w:t>)</w:t>
      </w:r>
      <w:r>
        <w:t xml:space="preserve"> recommend providing the patient with this full report once completed</w:t>
      </w:r>
      <w:r w:rsidR="00707F8F">
        <w:t xml:space="preserve"> </w:t>
      </w:r>
      <w:r w:rsidR="005F05B5">
        <w:t>in line with</w:t>
      </w:r>
      <w:r w:rsidR="00707F8F">
        <w:t xml:space="preserve"> </w:t>
      </w:r>
      <w:r w:rsidR="005F05B5">
        <w:t>open and honest communication</w:t>
      </w:r>
      <w:r>
        <w:t xml:space="preserve">. It is also recommended that any learnings are then disseminated throughout the unit where the harm occurred, to improve future practices. </w:t>
      </w:r>
    </w:p>
    <w:p w14:paraId="185C192C" w14:textId="77777777" w:rsidR="002C2C8E" w:rsidRDefault="002C2C8E" w:rsidP="00477A06">
      <w:pPr>
        <w:pStyle w:val="Heading4"/>
        <w:numPr>
          <w:ilvl w:val="0"/>
          <w:numId w:val="12"/>
        </w:numPr>
        <w:ind w:left="426" w:hanging="426"/>
        <w:rPr>
          <w:color w:val="007586" w:themeColor="text2"/>
        </w:rPr>
      </w:pPr>
      <w:r>
        <w:rPr>
          <w:color w:val="007586" w:themeColor="text2"/>
        </w:rPr>
        <w:t>The requirement to obtain a signed statement from a patient/family/next-of-kin to opt out of the SDC process may be difficult in some situations. Are they able to decline verbally?</w:t>
      </w:r>
    </w:p>
    <w:p w14:paraId="203E772A" w14:textId="77777777" w:rsidR="002C2C8E" w:rsidRDefault="002C2C8E" w:rsidP="002C2C8E">
      <w:pPr>
        <w:pStyle w:val="SCVbody"/>
      </w:pPr>
      <w:r>
        <w:t xml:space="preserve">Unfortunately, as outlined in section 128ZC of the </w:t>
      </w:r>
      <w:r w:rsidRPr="0017487A">
        <w:rPr>
          <w:i/>
          <w:iCs/>
        </w:rPr>
        <w:t>Health Services Act 1988</w:t>
      </w:r>
      <w:r>
        <w:t xml:space="preserve">, section 22I of the </w:t>
      </w:r>
      <w:r w:rsidRPr="0017487A">
        <w:rPr>
          <w:i/>
          <w:iCs/>
        </w:rPr>
        <w:t>Ambulance Services Act 1986</w:t>
      </w:r>
      <w:r>
        <w:t xml:space="preserve"> and section 345B of the </w:t>
      </w:r>
      <w:r w:rsidRPr="0017487A">
        <w:rPr>
          <w:i/>
          <w:iCs/>
        </w:rPr>
        <w:t>Mental Health Act 2014</w:t>
      </w:r>
      <w:r>
        <w:t>, it clearly states that:</w:t>
      </w:r>
    </w:p>
    <w:p w14:paraId="176E595B" w14:textId="43436D20" w:rsidR="002C2C8E" w:rsidRDefault="000833DB" w:rsidP="00A05E49">
      <w:pPr>
        <w:pStyle w:val="SCVbullet1"/>
      </w:pPr>
      <w:r>
        <w:t>a</w:t>
      </w:r>
      <w:r w:rsidR="002C2C8E" w:rsidRPr="0017487A">
        <w:t xml:space="preserve"> patient may choose not to receive information in accordance with this Division by providing the health service entity with a signed statement.</w:t>
      </w:r>
    </w:p>
    <w:p w14:paraId="63108380" w14:textId="7EEEEBCF" w:rsidR="00EA005B" w:rsidRDefault="002C2C8E" w:rsidP="00A05E49">
      <w:pPr>
        <w:pStyle w:val="SCVbody"/>
      </w:pPr>
      <w:r>
        <w:t>This therefore would be a breach of the Act if this was not obtained, verbally obtained, or signed by a clinician on their behalf</w:t>
      </w:r>
      <w:r w:rsidR="6D9073CE">
        <w:t xml:space="preserve"> and then SDC was not completed</w:t>
      </w:r>
      <w:r>
        <w:t xml:space="preserve">. It can also be disputed by the patient, leaving the health service entity in a vulnerable position. A health service entity may consider creating an electronic form for the patient/NOK to obtain signed declaration. </w:t>
      </w:r>
    </w:p>
    <w:p w14:paraId="2B803CB9" w14:textId="340F30C8" w:rsidR="00475659" w:rsidRPr="000A5607" w:rsidRDefault="00475659" w:rsidP="00477A06">
      <w:pPr>
        <w:pStyle w:val="Heading4"/>
        <w:numPr>
          <w:ilvl w:val="0"/>
          <w:numId w:val="12"/>
        </w:numPr>
        <w:ind w:left="426" w:hanging="426"/>
        <w:rPr>
          <w:color w:val="007586" w:themeColor="text2"/>
        </w:rPr>
      </w:pPr>
      <w:r w:rsidRPr="3A838B2F">
        <w:rPr>
          <w:color w:val="007586" w:themeColor="accent2"/>
        </w:rPr>
        <w:t xml:space="preserve">What if </w:t>
      </w:r>
      <w:r w:rsidR="01259CDC" w:rsidRPr="3A838B2F">
        <w:rPr>
          <w:color w:val="007586" w:themeColor="accent2"/>
        </w:rPr>
        <w:t>a patient</w:t>
      </w:r>
      <w:r w:rsidRPr="3A838B2F">
        <w:rPr>
          <w:color w:val="007586" w:themeColor="accent2"/>
        </w:rPr>
        <w:t xml:space="preserve"> sign</w:t>
      </w:r>
      <w:r w:rsidR="6917D9B1" w:rsidRPr="3A838B2F">
        <w:rPr>
          <w:color w:val="007586" w:themeColor="accent2"/>
        </w:rPr>
        <w:t>s</w:t>
      </w:r>
      <w:r w:rsidRPr="3A838B2F">
        <w:rPr>
          <w:color w:val="007586" w:themeColor="accent2"/>
        </w:rPr>
        <w:t xml:space="preserve"> a declaration</w:t>
      </w:r>
      <w:r w:rsidR="000A5607" w:rsidRPr="3A838B2F">
        <w:rPr>
          <w:color w:val="007586" w:themeColor="accent2"/>
        </w:rPr>
        <w:t xml:space="preserve"> to opt out</w:t>
      </w:r>
      <w:r w:rsidRPr="3A838B2F">
        <w:rPr>
          <w:color w:val="007586" w:themeColor="accent2"/>
        </w:rPr>
        <w:t xml:space="preserve">? </w:t>
      </w:r>
    </w:p>
    <w:p w14:paraId="16AFAA8C" w14:textId="411343C2" w:rsidR="00EC62F7" w:rsidRDefault="27E75636" w:rsidP="00EC62F7">
      <w:pPr>
        <w:pStyle w:val="SCVbody"/>
        <w:spacing w:line="240" w:lineRule="auto"/>
      </w:pPr>
      <w:r>
        <w:t xml:space="preserve">If a patient has signed a declaration to opt out, </w:t>
      </w:r>
      <w:r w:rsidR="00E268F7" w:rsidRPr="00E268F7">
        <w:t xml:space="preserve">the </w:t>
      </w:r>
      <w:r w:rsidR="00475659">
        <w:t xml:space="preserve">health service entity </w:t>
      </w:r>
      <w:r w:rsidR="00E268F7" w:rsidRPr="00E268F7">
        <w:t>does not have to comply with the Requirements in the</w:t>
      </w:r>
      <w:r w:rsidR="005B4010">
        <w:t xml:space="preserve"> Act or the </w:t>
      </w:r>
      <w:r w:rsidR="005B4010" w:rsidRPr="00113024">
        <w:rPr>
          <w:i/>
        </w:rPr>
        <w:t>Victorian Duty of Candour</w:t>
      </w:r>
      <w:r w:rsidR="00E268F7" w:rsidRPr="00113024">
        <w:rPr>
          <w:i/>
        </w:rPr>
        <w:t xml:space="preserve"> Guidelines</w:t>
      </w:r>
      <w:r w:rsidR="00113024">
        <w:t xml:space="preserve"> (Guidelines)</w:t>
      </w:r>
      <w:r w:rsidR="00E268F7" w:rsidRPr="00E268F7">
        <w:t>.</w:t>
      </w:r>
      <w:r w:rsidR="005B4010">
        <w:t xml:space="preserve"> </w:t>
      </w:r>
      <w:r w:rsidR="00EC62F7">
        <w:t>It is recommended, although not required, that the health service entity should</w:t>
      </w:r>
      <w:r w:rsidR="00475659">
        <w:t xml:space="preserve"> continue </w:t>
      </w:r>
      <w:r w:rsidR="00EC62F7">
        <w:t>Requirements</w:t>
      </w:r>
      <w:r w:rsidR="00475659">
        <w:t xml:space="preserve"> 6-9 </w:t>
      </w:r>
      <w:r w:rsidR="00B40DB1">
        <w:t xml:space="preserve">within the </w:t>
      </w:r>
      <w:r w:rsidR="00113024" w:rsidRPr="00113024">
        <w:t>Guidelines</w:t>
      </w:r>
      <w:r w:rsidR="00EC62F7" w:rsidRPr="3A838B2F">
        <w:rPr>
          <w:i/>
          <w:iCs/>
        </w:rPr>
        <w:t xml:space="preserve">. </w:t>
      </w:r>
    </w:p>
    <w:p w14:paraId="30F5CD66" w14:textId="4E4186C6" w:rsidR="004909B4" w:rsidRDefault="000A5607" w:rsidP="00974B3F">
      <w:pPr>
        <w:pStyle w:val="SCVbody"/>
        <w:spacing w:line="240" w:lineRule="auto"/>
      </w:pPr>
      <w:r>
        <w:t>If the</w:t>
      </w:r>
      <w:r w:rsidR="255A7AA0">
        <w:t xml:space="preserve"> patient</w:t>
      </w:r>
      <w:r>
        <w:t xml:space="preserve"> decide</w:t>
      </w:r>
      <w:r w:rsidR="73EAA791">
        <w:t>s</w:t>
      </w:r>
      <w:r>
        <w:t xml:space="preserve"> at a later date to be involved</w:t>
      </w:r>
      <w:r w:rsidR="6F821C15">
        <w:t xml:space="preserve"> by withdrawing their declaration to opt out</w:t>
      </w:r>
      <w:r>
        <w:t xml:space="preserve">, the health service entity must </w:t>
      </w:r>
      <w:r w:rsidR="4F0E8C30">
        <w:t>comply with the request</w:t>
      </w:r>
      <w:r>
        <w:t>.</w:t>
      </w:r>
    </w:p>
    <w:p w14:paraId="7E3A8CD1" w14:textId="33235809" w:rsidR="004909B4" w:rsidRPr="00947C73" w:rsidRDefault="004909B4" w:rsidP="00477A06">
      <w:pPr>
        <w:pStyle w:val="Heading4"/>
        <w:numPr>
          <w:ilvl w:val="0"/>
          <w:numId w:val="12"/>
        </w:numPr>
        <w:ind w:left="426" w:hanging="426"/>
        <w:rPr>
          <w:color w:val="007586" w:themeColor="text2"/>
        </w:rPr>
      </w:pPr>
      <w:r w:rsidRPr="00947C73">
        <w:rPr>
          <w:color w:val="007586" w:themeColor="text2"/>
        </w:rPr>
        <w:t xml:space="preserve">What if a patient </w:t>
      </w:r>
      <w:r w:rsidR="002B0324" w:rsidRPr="00947C73">
        <w:rPr>
          <w:color w:val="007586" w:themeColor="text2"/>
        </w:rPr>
        <w:t>indicated they want to opt out, but do not sign</w:t>
      </w:r>
      <w:r w:rsidRPr="00947C73">
        <w:rPr>
          <w:color w:val="007586" w:themeColor="text2"/>
        </w:rPr>
        <w:t xml:space="preserve"> a declaration to </w:t>
      </w:r>
      <w:r w:rsidR="002B0324" w:rsidRPr="00947C73">
        <w:rPr>
          <w:color w:val="007586" w:themeColor="text2"/>
        </w:rPr>
        <w:t>this effect</w:t>
      </w:r>
      <w:r w:rsidRPr="00947C73">
        <w:rPr>
          <w:color w:val="007586" w:themeColor="text2"/>
        </w:rPr>
        <w:t>?</w:t>
      </w:r>
    </w:p>
    <w:p w14:paraId="32431C1B" w14:textId="2613C273" w:rsidR="000A5607" w:rsidRPr="006D1071" w:rsidRDefault="00D446CE" w:rsidP="00974B3F">
      <w:pPr>
        <w:pStyle w:val="SCVbody"/>
        <w:spacing w:line="240" w:lineRule="auto"/>
      </w:pPr>
      <w:r>
        <w:t>T</w:t>
      </w:r>
      <w:r w:rsidR="002B0324">
        <w:t xml:space="preserve">he Requirements within the Act and the Guidelines </w:t>
      </w:r>
      <w:r w:rsidR="008F6F8B">
        <w:t>will continue to apply</w:t>
      </w:r>
      <w:r w:rsidR="002B0324">
        <w:t xml:space="preserve">, and the health service entity must continue to </w:t>
      </w:r>
      <w:r w:rsidR="00AC1213">
        <w:t>attempt to engage with the patient/family</w:t>
      </w:r>
      <w:r w:rsidR="00E268F7">
        <w:t>, until a declaration has been signed</w:t>
      </w:r>
      <w:r w:rsidR="00AC1213">
        <w:t>.</w:t>
      </w:r>
      <w:r w:rsidR="00D24AF5">
        <w:t xml:space="preserve"> </w:t>
      </w:r>
    </w:p>
    <w:p w14:paraId="783DB3B8" w14:textId="7B3A28D5" w:rsidR="009E1B80" w:rsidRPr="006F4B2E" w:rsidRDefault="009E1B80" w:rsidP="009E1B80">
      <w:pPr>
        <w:pStyle w:val="Heading4"/>
        <w:numPr>
          <w:ilvl w:val="0"/>
          <w:numId w:val="12"/>
        </w:numPr>
        <w:ind w:left="426" w:hanging="426"/>
        <w:rPr>
          <w:color w:val="007586" w:themeColor="text2"/>
        </w:rPr>
      </w:pPr>
      <w:r w:rsidRPr="006F4B2E">
        <w:rPr>
          <w:color w:val="007586" w:themeColor="text2"/>
        </w:rPr>
        <w:t>What if a patient has decreased capacity (and may never recover capacity), and also doesn’t have a NOK/carer/any family?</w:t>
      </w:r>
    </w:p>
    <w:p w14:paraId="722488E2" w14:textId="77777777" w:rsidR="009E1B80" w:rsidRDefault="009E1B80" w:rsidP="009E1B80">
      <w:pPr>
        <w:pStyle w:val="SCVbody"/>
        <w:spacing w:line="240" w:lineRule="auto"/>
      </w:pPr>
      <w:r>
        <w:t>T</w:t>
      </w:r>
      <w:r w:rsidRPr="00113024">
        <w:t>he Act and</w:t>
      </w:r>
      <w:r>
        <w:t xml:space="preserve"> the</w:t>
      </w:r>
      <w:r w:rsidRPr="00113024">
        <w:t xml:space="preserve"> Guidelines include provisions to involve the family, carers, next of kin or nominated persons of the patient in the event of decreased capacity of the patient.</w:t>
      </w:r>
      <w:r>
        <w:t xml:space="preserve"> </w:t>
      </w:r>
      <w:r w:rsidRPr="009E1B80">
        <w:t>If none of these people are available for a particular patient in these circumstances, the health service may determine who is appropriate to involve in SDC, such as an appointed medical treatment decision maker</w:t>
      </w:r>
      <w:r>
        <w:t>.</w:t>
      </w:r>
    </w:p>
    <w:p w14:paraId="25D1AF45" w14:textId="77777777" w:rsidR="009E1B80" w:rsidRPr="006D1071" w:rsidRDefault="009E1B80" w:rsidP="00974B3F">
      <w:pPr>
        <w:pStyle w:val="SCVbody"/>
        <w:spacing w:line="240" w:lineRule="auto"/>
      </w:pPr>
    </w:p>
    <w:p w14:paraId="4C0C6A2C" w14:textId="6295B1D9" w:rsidR="00B254CB" w:rsidRPr="00D6089A" w:rsidRDefault="00A55BF3" w:rsidP="00477A06">
      <w:pPr>
        <w:pStyle w:val="Heading4"/>
        <w:numPr>
          <w:ilvl w:val="0"/>
          <w:numId w:val="12"/>
        </w:numPr>
        <w:ind w:left="426" w:hanging="426"/>
        <w:rPr>
          <w:color w:val="007586" w:themeColor="text2"/>
        </w:rPr>
      </w:pPr>
      <w:r w:rsidRPr="331A3B9C">
        <w:rPr>
          <w:color w:val="007586" w:themeColor="accent2"/>
        </w:rPr>
        <w:lastRenderedPageBreak/>
        <w:t>What are the legal implications for the health service</w:t>
      </w:r>
      <w:r w:rsidR="001B2EE4">
        <w:rPr>
          <w:color w:val="007586" w:themeColor="accent2"/>
        </w:rPr>
        <w:t xml:space="preserve"> entity</w:t>
      </w:r>
      <w:r w:rsidRPr="331A3B9C">
        <w:rPr>
          <w:color w:val="007586" w:themeColor="accent2"/>
        </w:rPr>
        <w:t>?</w:t>
      </w:r>
    </w:p>
    <w:p w14:paraId="0FD7354B" w14:textId="5F178653" w:rsidR="00AA1337" w:rsidRDefault="00C17654" w:rsidP="00A55BF3">
      <w:pPr>
        <w:pStyle w:val="SCVbody"/>
      </w:pPr>
      <w:r>
        <w:t xml:space="preserve">The relevant health service entity must comply with the legal requirements of </w:t>
      </w:r>
      <w:r w:rsidR="00487845">
        <w:t xml:space="preserve">the </w:t>
      </w:r>
      <w:r>
        <w:t>SDC if it is</w:t>
      </w:r>
      <w:r w:rsidR="002B7019">
        <w:t xml:space="preserve"> listed as a ‘health service entity’ within the</w:t>
      </w:r>
      <w:r w:rsidR="0049085B">
        <w:t xml:space="preserve"> </w:t>
      </w:r>
      <w:r w:rsidR="00AA1337" w:rsidRPr="00AA1337">
        <w:t>Act</w:t>
      </w:r>
      <w:r w:rsidR="009F5AAA">
        <w:t xml:space="preserve">, meaning it must </w:t>
      </w:r>
      <w:r w:rsidR="00AA1337">
        <w:t xml:space="preserve">comply with the </w:t>
      </w:r>
      <w:r w:rsidR="00280B44">
        <w:t>Act</w:t>
      </w:r>
      <w:r w:rsidR="00AA1337">
        <w:t xml:space="preserve"> and the </w:t>
      </w:r>
      <w:r w:rsidR="00AA1337" w:rsidRPr="00113024">
        <w:t>Guidelines</w:t>
      </w:r>
      <w:r w:rsidR="00AA1337">
        <w:t xml:space="preserve">, including timelines and reporting requirements. </w:t>
      </w:r>
    </w:p>
    <w:p w14:paraId="38866531" w14:textId="6773DBDB" w:rsidR="00D8720A" w:rsidRDefault="00174D89" w:rsidP="000A24C9">
      <w:pPr>
        <w:pStyle w:val="SCVbody"/>
      </w:pPr>
      <w:r>
        <w:t xml:space="preserve">If your health service entity fails to comply with the SDC, </w:t>
      </w:r>
      <w:r w:rsidR="00DF4809">
        <w:t>the Secretary or Minister may take this into account</w:t>
      </w:r>
      <w:r w:rsidR="331A3B9C" w:rsidRPr="331A3B9C">
        <w:t xml:space="preserve"> when assessing: </w:t>
      </w:r>
    </w:p>
    <w:p w14:paraId="43676170" w14:textId="77777777" w:rsidR="004F0A11" w:rsidRDefault="331A3B9C" w:rsidP="00A05E49">
      <w:pPr>
        <w:pStyle w:val="SCVbullet1"/>
      </w:pPr>
      <w:r>
        <w:t>whether the entity provides safe, patient-centred and appropriate services</w:t>
      </w:r>
    </w:p>
    <w:p w14:paraId="3D62BD73" w14:textId="7E9F615E" w:rsidR="00D8720A" w:rsidRPr="004F0A11" w:rsidRDefault="331A3B9C" w:rsidP="00A05E49">
      <w:pPr>
        <w:pStyle w:val="SCVbullet1"/>
      </w:pPr>
      <w:r w:rsidRPr="331A3B9C">
        <w:t>the quality and safety of health services provided by the entity</w:t>
      </w:r>
      <w:r w:rsidR="00D446CC">
        <w:t>.</w:t>
      </w:r>
      <w:r w:rsidR="00D446CC" w:rsidRPr="004F0A11">
        <w:rPr>
          <w:rFonts w:ascii="Arial" w:eastAsia="Arial" w:hAnsi="Arial" w:cs="Arial"/>
          <w:vertAlign w:val="superscript"/>
        </w:rPr>
        <w:t xml:space="preserve"> </w:t>
      </w:r>
    </w:p>
    <w:p w14:paraId="6B3C0B5B" w14:textId="30A69074" w:rsidR="00D8720A" w:rsidRDefault="00D8720A" w:rsidP="000A24C9">
      <w:pPr>
        <w:spacing w:line="288" w:lineRule="auto"/>
      </w:pPr>
      <w:r>
        <w:t xml:space="preserve">The Minister may also then publish a statement on the </w:t>
      </w:r>
      <w:r w:rsidR="00CE6EC4">
        <w:t>i</w:t>
      </w:r>
      <w:r>
        <w:t>nternet site of the Department</w:t>
      </w:r>
      <w:r w:rsidR="00CE6EC4">
        <w:t xml:space="preserve"> of Health (DH)</w:t>
      </w:r>
      <w:r>
        <w:t xml:space="preserve"> setting out the name of a </w:t>
      </w:r>
      <w:r w:rsidR="68D29E06">
        <w:t xml:space="preserve">certain </w:t>
      </w:r>
      <w:r>
        <w:t xml:space="preserve">health service </w:t>
      </w:r>
      <w:r w:rsidR="68D29E06">
        <w:t>entit</w:t>
      </w:r>
      <w:r w:rsidR="00297CA8">
        <w:t>y</w:t>
      </w:r>
      <w:r>
        <w:t xml:space="preserve"> if, in the Minister's opinion:</w:t>
      </w:r>
    </w:p>
    <w:p w14:paraId="798C9CF0" w14:textId="67A4DBDD" w:rsidR="00D8720A" w:rsidRDefault="00D8720A" w:rsidP="00A05E49">
      <w:pPr>
        <w:pStyle w:val="SCVbullet1"/>
      </w:pPr>
      <w:r>
        <w:t>the relevant health service entity has failed to comply with the duty of candour on 2 or more occasions; and</w:t>
      </w:r>
    </w:p>
    <w:p w14:paraId="21294581" w14:textId="182C551D" w:rsidR="00D6089A" w:rsidRDefault="00D8720A" w:rsidP="00A05E49">
      <w:pPr>
        <w:pStyle w:val="SCVbullet1"/>
      </w:pPr>
      <w:r>
        <w:t>the failure to comply is of a serious nature.</w:t>
      </w:r>
    </w:p>
    <w:p w14:paraId="289CEC6D" w14:textId="3AA3C7D3" w:rsidR="00E66CD7" w:rsidRPr="00D6089A" w:rsidRDefault="00E66CD7" w:rsidP="00477A06">
      <w:pPr>
        <w:pStyle w:val="Heading4"/>
        <w:numPr>
          <w:ilvl w:val="0"/>
          <w:numId w:val="12"/>
        </w:numPr>
        <w:ind w:left="426" w:hanging="426"/>
        <w:rPr>
          <w:color w:val="007586" w:themeColor="text2"/>
        </w:rPr>
      </w:pPr>
      <w:r w:rsidRPr="00D6089A">
        <w:rPr>
          <w:color w:val="007586" w:themeColor="text2"/>
        </w:rPr>
        <w:t>What are the legal implications for me as a clinician?</w:t>
      </w:r>
    </w:p>
    <w:p w14:paraId="0097169D" w14:textId="6C18D3BD" w:rsidR="00BA04FE" w:rsidRDefault="009E4942" w:rsidP="00E66CD7">
      <w:pPr>
        <w:pStyle w:val="SCVbody"/>
      </w:pPr>
      <w:r>
        <w:t>If you offer the patient</w:t>
      </w:r>
      <w:r w:rsidR="00BA04FE">
        <w:t xml:space="preserve">, next-of-kin, or carer </w:t>
      </w:r>
      <w:r>
        <w:t>an apology</w:t>
      </w:r>
      <w:r w:rsidR="00E55653">
        <w:t xml:space="preserve"> if the patient has suffered a SAPSE</w:t>
      </w:r>
      <w:r>
        <w:t xml:space="preserve">, </w:t>
      </w:r>
      <w:r w:rsidR="00BA04FE">
        <w:t xml:space="preserve">you can be assured that this apology does not constitute an admission of </w:t>
      </w:r>
      <w:r w:rsidR="0060023D">
        <w:t xml:space="preserve">fault or </w:t>
      </w:r>
      <w:r w:rsidR="00BA04FE">
        <w:t xml:space="preserve">liability. However, it is important to note how to offer this apology. SCV recommend completing the Open Disclosure and </w:t>
      </w:r>
      <w:r w:rsidR="00B07565">
        <w:t xml:space="preserve">Statutory </w:t>
      </w:r>
      <w:r w:rsidR="00BA04FE">
        <w:t xml:space="preserve">Duty of </w:t>
      </w:r>
      <w:r w:rsidR="00B07565">
        <w:t>C</w:t>
      </w:r>
      <w:r w:rsidR="00BA04FE">
        <w:t xml:space="preserve">andour eLearning modules developed to understand more. </w:t>
      </w:r>
    </w:p>
    <w:p w14:paraId="05D26E68" w14:textId="19A3E655" w:rsidR="00990346" w:rsidRDefault="00A455CC" w:rsidP="00E66CD7">
      <w:pPr>
        <w:pStyle w:val="SCVbody"/>
      </w:pPr>
      <w:r>
        <w:t xml:space="preserve">There are current reporting obligations </w:t>
      </w:r>
      <w:r w:rsidR="00681029">
        <w:t>for the health service entity</w:t>
      </w:r>
      <w:r w:rsidR="00BC5458">
        <w:t xml:space="preserve"> </w:t>
      </w:r>
      <w:r w:rsidR="00681029">
        <w:t>i</w:t>
      </w:r>
      <w:r w:rsidR="00990346">
        <w:t xml:space="preserve">f </w:t>
      </w:r>
      <w:r w:rsidR="0060023D">
        <w:t>a clinician</w:t>
      </w:r>
      <w:r w:rsidR="00990346">
        <w:t xml:space="preserve"> ha</w:t>
      </w:r>
      <w:r w:rsidR="0060023D">
        <w:t>s</w:t>
      </w:r>
      <w:r w:rsidR="00990346">
        <w:t xml:space="preserve"> acted in a way that </w:t>
      </w:r>
      <w:r w:rsidR="00F73E28">
        <w:t>constitutes a ‘prohibited act</w:t>
      </w:r>
      <w:r w:rsidR="00341527">
        <w:t>’ or</w:t>
      </w:r>
      <w:r w:rsidR="00F73E28">
        <w:t xml:space="preserve"> is notifiable under the </w:t>
      </w:r>
      <w:r w:rsidR="00173E35" w:rsidRPr="00173E35">
        <w:t>Health Practitioner Regulation National Law</w:t>
      </w:r>
      <w:r w:rsidR="00BC5458">
        <w:t xml:space="preserve">. In these </w:t>
      </w:r>
      <w:r w:rsidR="005D2B14">
        <w:t>cases,</w:t>
      </w:r>
      <w:r w:rsidR="00BC5458">
        <w:t xml:space="preserve"> </w:t>
      </w:r>
      <w:r w:rsidR="002C737D">
        <w:t>the Australia</w:t>
      </w:r>
      <w:r w:rsidR="004C2BCD">
        <w:t>n</w:t>
      </w:r>
      <w:r w:rsidR="002C737D">
        <w:t xml:space="preserve"> Health Practitioner </w:t>
      </w:r>
      <w:r w:rsidR="00341527">
        <w:t xml:space="preserve">Regulation </w:t>
      </w:r>
      <w:r w:rsidR="002C737D">
        <w:t xml:space="preserve">Agency (Ahpra) will be </w:t>
      </w:r>
      <w:r>
        <w:t>contacted</w:t>
      </w:r>
      <w:r w:rsidR="00341527">
        <w:t xml:space="preserve"> as per usual procedure</w:t>
      </w:r>
      <w:r w:rsidR="00EE0887">
        <w:t>, and the</w:t>
      </w:r>
      <w:r w:rsidR="00E911C3">
        <w:t xml:space="preserve"> apology</w:t>
      </w:r>
      <w:r w:rsidR="00EE0887">
        <w:t xml:space="preserve"> protection</w:t>
      </w:r>
      <w:r w:rsidR="001C6835">
        <w:t>s</w:t>
      </w:r>
      <w:r w:rsidR="00EE0887">
        <w:t xml:space="preserve"> do not prohibit this from </w:t>
      </w:r>
      <w:r w:rsidR="00E911C3">
        <w:t>occurring or from any disciplinary proceedings that follow in regards to the actual event</w:t>
      </w:r>
      <w:r w:rsidR="00341527">
        <w:t>.</w:t>
      </w:r>
    </w:p>
    <w:p w14:paraId="7E74C2E5" w14:textId="2489021C" w:rsidR="006120A1" w:rsidRDefault="00C26F95" w:rsidP="00E66CD7">
      <w:pPr>
        <w:pStyle w:val="SCVbody"/>
      </w:pPr>
      <w:r>
        <w:t xml:space="preserve">For those involved in conducting the review and providing the review report to the patient or their family, </w:t>
      </w:r>
      <w:r w:rsidR="001C7A85">
        <w:t xml:space="preserve">the timelines of the </w:t>
      </w:r>
      <w:r w:rsidR="001C7A85" w:rsidRPr="00113024">
        <w:t>Guidelines</w:t>
      </w:r>
      <w:r w:rsidR="001C7A85">
        <w:t xml:space="preserve"> must be followed.</w:t>
      </w:r>
    </w:p>
    <w:p w14:paraId="5E654EBA" w14:textId="151D07DB" w:rsidR="003114EE" w:rsidRPr="00E92761" w:rsidRDefault="003114EE" w:rsidP="00477A06">
      <w:pPr>
        <w:pStyle w:val="Heading4"/>
        <w:numPr>
          <w:ilvl w:val="0"/>
          <w:numId w:val="12"/>
        </w:numPr>
        <w:ind w:left="426" w:hanging="426"/>
        <w:rPr>
          <w:color w:val="007586" w:themeColor="text2"/>
        </w:rPr>
      </w:pPr>
      <w:r w:rsidRPr="00E92761">
        <w:rPr>
          <w:color w:val="007586" w:themeColor="text2"/>
        </w:rPr>
        <w:t xml:space="preserve">What if I am </w:t>
      </w:r>
      <w:r w:rsidR="00FB1241">
        <w:rPr>
          <w:color w:val="007586" w:themeColor="text2"/>
        </w:rPr>
        <w:t>a Visiting Medical Officer (VMO</w:t>
      </w:r>
      <w:r w:rsidR="00D11060">
        <w:rPr>
          <w:color w:val="007586" w:themeColor="text2"/>
        </w:rPr>
        <w:t>), d</w:t>
      </w:r>
      <w:r w:rsidR="00E92761" w:rsidRPr="00E92761">
        <w:rPr>
          <w:color w:val="007586" w:themeColor="text2"/>
        </w:rPr>
        <w:t>o I have to comply with the SDC?</w:t>
      </w:r>
    </w:p>
    <w:p w14:paraId="24C79420" w14:textId="787D4BF8" w:rsidR="00BB6838" w:rsidRDefault="001B2E0F" w:rsidP="00E66CD7">
      <w:pPr>
        <w:pStyle w:val="SCVbody"/>
      </w:pPr>
      <w:r w:rsidRPr="001B2E0F">
        <w:t>In respect of</w:t>
      </w:r>
      <w:r>
        <w:t xml:space="preserve"> a</w:t>
      </w:r>
      <w:r w:rsidRPr="001B2E0F">
        <w:t xml:space="preserve"> SAPSE that occurs to a patient “in the course of receiving health services”, the obligation to comply with the </w:t>
      </w:r>
      <w:r>
        <w:t>SDC</w:t>
      </w:r>
      <w:r w:rsidRPr="001B2E0F">
        <w:t xml:space="preserve"> is on the health service entity responsible for providing those services</w:t>
      </w:r>
      <w:r>
        <w:t xml:space="preserve">. </w:t>
      </w:r>
      <w:r w:rsidR="00BF1A14">
        <w:t>The Act</w:t>
      </w:r>
      <w:r w:rsidR="00BF1A14" w:rsidRPr="00BF1A14">
        <w:t xml:space="preserve"> regulates health service entities not individual health practitioners</w:t>
      </w:r>
      <w:r w:rsidR="00BF1A14">
        <w:t>, and t</w:t>
      </w:r>
      <w:r w:rsidR="00D11060" w:rsidRPr="00D11060">
        <w:t>he regulation of individual registered health practitioners is the responsibility of the Health Practitioner Regulation National Law.</w:t>
      </w:r>
      <w:r w:rsidR="009F081D">
        <w:t xml:space="preserve"> It may be an option to include </w:t>
      </w:r>
      <w:r w:rsidR="006B49BC">
        <w:t>the SDC</w:t>
      </w:r>
      <w:r w:rsidR="00C32799">
        <w:t xml:space="preserve"> into contractual agreements, similar to ensuring compliance with open disclosure with VMOs.</w:t>
      </w:r>
    </w:p>
    <w:p w14:paraId="306D98E9" w14:textId="183E42E7" w:rsidR="00E66CD7" w:rsidRPr="00D6089A" w:rsidRDefault="0003419F" w:rsidP="00477A06">
      <w:pPr>
        <w:pStyle w:val="Heading4"/>
        <w:numPr>
          <w:ilvl w:val="0"/>
          <w:numId w:val="12"/>
        </w:numPr>
        <w:ind w:left="426" w:hanging="426"/>
        <w:rPr>
          <w:color w:val="007586" w:themeColor="text2"/>
        </w:rPr>
      </w:pPr>
      <w:r w:rsidRPr="00D6089A">
        <w:rPr>
          <w:color w:val="007586" w:themeColor="text2"/>
        </w:rPr>
        <w:t>What are the apology protections?</w:t>
      </w:r>
    </w:p>
    <w:p w14:paraId="763EE34A" w14:textId="4866AF58" w:rsidR="0057168A" w:rsidRDefault="0057168A" w:rsidP="0057168A">
      <w:pPr>
        <w:pStyle w:val="SCVbody"/>
      </w:pPr>
      <w:r>
        <w:t>In a civil proceeding where the death or injury of a person is in issue or is relevant to an issue of fact or law, an apology:</w:t>
      </w:r>
    </w:p>
    <w:p w14:paraId="65A289D0" w14:textId="01D9AE9D" w:rsidR="0057168A" w:rsidRDefault="0057168A" w:rsidP="00A05E49">
      <w:pPr>
        <w:pStyle w:val="SCVbullet1"/>
      </w:pPr>
      <w:r>
        <w:t>does not constitute an express or implied admission of liability for the death or injury; and</w:t>
      </w:r>
    </w:p>
    <w:p w14:paraId="2E79452A" w14:textId="306D3A75" w:rsidR="0003419F" w:rsidRDefault="0057168A" w:rsidP="00A05E49">
      <w:pPr>
        <w:pStyle w:val="SCVbullet1"/>
      </w:pPr>
      <w:r>
        <w:lastRenderedPageBreak/>
        <w:t>is not relevant to the determination of fault or liability in connection with that proceeding.</w:t>
      </w:r>
    </w:p>
    <w:p w14:paraId="704CEEF8" w14:textId="564DA3CB" w:rsidR="00EA0F6C" w:rsidRDefault="00EA0F6C" w:rsidP="00EA0F6C">
      <w:pPr>
        <w:pStyle w:val="SCVbody"/>
      </w:pPr>
      <w:r>
        <w:t>The above applie</w:t>
      </w:r>
      <w:r w:rsidR="002A7A37">
        <w:t>s</w:t>
      </w:r>
      <w:r>
        <w:t xml:space="preserve"> whether the apology was made orally or in writing, and either before or after a civil proceeding. </w:t>
      </w:r>
    </w:p>
    <w:p w14:paraId="02C60217" w14:textId="592ADC18" w:rsidR="002E0DEB" w:rsidRDefault="00CB69EE" w:rsidP="0003419F">
      <w:pPr>
        <w:pStyle w:val="SCVbody"/>
      </w:pPr>
      <w:r w:rsidRPr="00CB69EE">
        <w:t>Evidence of an apology made by or on behalf of a person or a health service entity in connection with any matter alleged to have been caused by the person or health service entity is not admissible in any civil or disciplinary proceedings as evidence of the fault or liability of the person or health service entity in connection with that matter.</w:t>
      </w:r>
    </w:p>
    <w:p w14:paraId="7682DEE3" w14:textId="6B69725E" w:rsidR="00D6089A" w:rsidRPr="00A330D5" w:rsidRDefault="00AD3079" w:rsidP="00477A06">
      <w:pPr>
        <w:pStyle w:val="Heading4"/>
        <w:numPr>
          <w:ilvl w:val="0"/>
          <w:numId w:val="12"/>
        </w:numPr>
        <w:ind w:left="426" w:hanging="426"/>
        <w:rPr>
          <w:color w:val="007586" w:themeColor="text2"/>
        </w:rPr>
      </w:pPr>
      <w:r w:rsidRPr="00A330D5">
        <w:rPr>
          <w:color w:val="007586" w:themeColor="text2"/>
        </w:rPr>
        <w:t>Who</w:t>
      </w:r>
      <w:r w:rsidR="00F67ED5" w:rsidRPr="00A330D5">
        <w:rPr>
          <w:color w:val="007586" w:themeColor="text2"/>
        </w:rPr>
        <w:t xml:space="preserve"> decides if an event is a SAPSE?</w:t>
      </w:r>
    </w:p>
    <w:p w14:paraId="3EED5270" w14:textId="7C123E70" w:rsidR="00F67ED5" w:rsidRDefault="00F67ED5" w:rsidP="0003419F">
      <w:pPr>
        <w:pStyle w:val="SCVbody"/>
      </w:pPr>
      <w:r>
        <w:t xml:space="preserve">With </w:t>
      </w:r>
      <w:r w:rsidR="0A51D64A">
        <w:t>reference</w:t>
      </w:r>
      <w:r>
        <w:t xml:space="preserve"> to the definition of </w:t>
      </w:r>
      <w:r w:rsidR="00A330D5">
        <w:t xml:space="preserve">SAPSE and </w:t>
      </w:r>
      <w:r>
        <w:t xml:space="preserve">the “reasonable opinion of a registered health practitioner”, </w:t>
      </w:r>
      <w:r w:rsidR="00254991" w:rsidRPr="00254991">
        <w:t xml:space="preserve">it </w:t>
      </w:r>
      <w:r w:rsidR="00553F04">
        <w:t>will depend</w:t>
      </w:r>
      <w:r w:rsidR="00254991" w:rsidRPr="00254991">
        <w:t xml:space="preserve"> on the assessment of a registered health practitioner</w:t>
      </w:r>
      <w:r w:rsidR="53085E35">
        <w:t xml:space="preserve"> as to whether an event is a SAPSE</w:t>
      </w:r>
      <w:r w:rsidR="00F35AA9">
        <w:t xml:space="preserve">. </w:t>
      </w:r>
      <w:r w:rsidR="00350521">
        <w:t>However,</w:t>
      </w:r>
      <w:r w:rsidR="00254991">
        <w:t xml:space="preserve"> </w:t>
      </w:r>
      <w:r>
        <w:t>your he</w:t>
      </w:r>
      <w:r w:rsidRPr="00F67ED5">
        <w:t>alth service</w:t>
      </w:r>
      <w:r>
        <w:t xml:space="preserve"> entity</w:t>
      </w:r>
      <w:r w:rsidRPr="00F67ED5">
        <w:t xml:space="preserve">’s policy may also specify who decides whether an event is a SAPSE if there is any </w:t>
      </w:r>
      <w:r w:rsidR="19BFECA6">
        <w:t>disagreement on whether it is reasonable to hold the opinion that the event was a SAPSE</w:t>
      </w:r>
      <w:r w:rsidR="00A330D5">
        <w:t>. T</w:t>
      </w:r>
      <w:r w:rsidRPr="00F67ED5">
        <w:t>his could be a committee of the health service</w:t>
      </w:r>
      <w:r w:rsidR="00A330D5">
        <w:t xml:space="preserve"> entity,</w:t>
      </w:r>
      <w:r w:rsidRPr="00F67ED5">
        <w:t xml:space="preserve"> or in the case of a small service it could be the C</w:t>
      </w:r>
      <w:r w:rsidR="00A330D5">
        <w:t>hief Executive Officer (CEO)</w:t>
      </w:r>
      <w:r w:rsidRPr="00F67ED5">
        <w:t>.  Each health service entity must make its own assessment as to how it will ensure that the health service entity complies with the legislation.</w:t>
      </w:r>
    </w:p>
    <w:p w14:paraId="7CDB663D" w14:textId="7DF95C3A" w:rsidR="00A330D5" w:rsidRDefault="00350521" w:rsidP="0003419F">
      <w:pPr>
        <w:pStyle w:val="SCVbody"/>
      </w:pPr>
      <w:r w:rsidRPr="00350521">
        <w:t xml:space="preserve">Each health service entity will have to develop its own processes to ensure that every adverse event that could potentially fulfil the definition of SAPSE is assessed by one or more registered </w:t>
      </w:r>
      <w:r w:rsidR="00085467" w:rsidRPr="00350521">
        <w:t>health</w:t>
      </w:r>
      <w:r w:rsidRPr="00350521">
        <w:t xml:space="preserve"> practitioners, and a judgement made as to whether it is a SAPSE or not.</w:t>
      </w:r>
    </w:p>
    <w:p w14:paraId="099BFE72" w14:textId="586EB8C1" w:rsidR="008C2834" w:rsidRDefault="008C2834" w:rsidP="0003419F">
      <w:pPr>
        <w:pStyle w:val="SCVbody"/>
      </w:pPr>
      <w:r w:rsidRPr="008C2834">
        <w:t>It is possible that a policy could reflect the reasonable opinion of a registered health practitioner – that is, one or more registered health practitioners could make a policy that events that fall within the ISR</w:t>
      </w:r>
      <w:r>
        <w:t xml:space="preserve"> </w:t>
      </w:r>
      <w:r w:rsidRPr="008C2834">
        <w:t>1 and ISR 2 criteria</w:t>
      </w:r>
      <w:r>
        <w:t>,</w:t>
      </w:r>
      <w:r w:rsidRPr="008C2834">
        <w:t xml:space="preserve"> also satisfy the definition of a SAPSE.  However, arrangement would need to exist within the policy for an assessment to be made of incidents that are borderline ISR</w:t>
      </w:r>
      <w:r>
        <w:t xml:space="preserve"> </w:t>
      </w:r>
      <w:r w:rsidRPr="008C2834">
        <w:t>2</w:t>
      </w:r>
      <w:r>
        <w:t>’</w:t>
      </w:r>
      <w:r w:rsidRPr="008C2834">
        <w:t>s</w:t>
      </w:r>
      <w:r>
        <w:t xml:space="preserve"> (or equivalent)</w:t>
      </w:r>
      <w:r w:rsidRPr="008C2834">
        <w:t>.</w:t>
      </w:r>
    </w:p>
    <w:p w14:paraId="54876A52" w14:textId="5320D110" w:rsidR="000C39D9" w:rsidRPr="000C39D9" w:rsidRDefault="000C39D9" w:rsidP="00477A06">
      <w:pPr>
        <w:pStyle w:val="Heading4"/>
        <w:numPr>
          <w:ilvl w:val="0"/>
          <w:numId w:val="12"/>
        </w:numPr>
        <w:ind w:left="426" w:hanging="426"/>
        <w:rPr>
          <w:rFonts w:eastAsia="Times New Roman"/>
          <w:color w:val="007586" w:themeColor="text2"/>
        </w:rPr>
      </w:pPr>
      <w:r w:rsidRPr="000C39D9">
        <w:rPr>
          <w:rFonts w:eastAsia="Times New Roman"/>
          <w:color w:val="007586" w:themeColor="text2"/>
        </w:rPr>
        <w:t>What happens if there is a difference of opinion between the health service entity and patient as to whether an event is a SAPSE?</w:t>
      </w:r>
    </w:p>
    <w:p w14:paraId="43F72C8B" w14:textId="6509D2ED" w:rsidR="000C39D9" w:rsidRDefault="0068425B" w:rsidP="0003419F">
      <w:pPr>
        <w:pStyle w:val="SCVbody"/>
      </w:pPr>
      <w:r w:rsidRPr="0068425B">
        <w:t xml:space="preserve">If a health service entity decides an event is not a SAPSE, an appropriate record of that decision should be made in their quality and safety systems. However, a patient is entitled to complain about that assessment in the same way that they are entitled to complain about any other aspect of the services that they have received from the health service entity. </w:t>
      </w:r>
      <w:r>
        <w:t>T</w:t>
      </w:r>
      <w:r w:rsidRPr="0068425B">
        <w:t>he health service entity may reconsider and change their decision as to whether an event is a SAPSE after considering a complaint.</w:t>
      </w:r>
    </w:p>
    <w:p w14:paraId="66B33CD2" w14:textId="415A8B78" w:rsidR="00502CF7" w:rsidRDefault="000F4254" w:rsidP="0003419F">
      <w:pPr>
        <w:pStyle w:val="SCVbody"/>
      </w:pPr>
      <w:r w:rsidRPr="000F4254">
        <w:t>All health service entities should have processes in place for dealing with complaints</w:t>
      </w:r>
      <w:r w:rsidR="00F329F6">
        <w:t>, which may first involve raising a complaint with the health service entity</w:t>
      </w:r>
      <w:r w:rsidRPr="000F4254">
        <w:t>. In addition, a patient may</w:t>
      </w:r>
      <w:r w:rsidR="00F329F6">
        <w:t xml:space="preserve"> then</w:t>
      </w:r>
      <w:r w:rsidRPr="000F4254">
        <w:t xml:space="preserve"> complain to the Health Complaints Commissioner </w:t>
      </w:r>
      <w:r>
        <w:t xml:space="preserve">(HCC) </w:t>
      </w:r>
      <w:r w:rsidRPr="000F4254">
        <w:t xml:space="preserve">or Mental Health Complaints Commissioner </w:t>
      </w:r>
      <w:r>
        <w:t xml:space="preserve">(MHCC) </w:t>
      </w:r>
      <w:r w:rsidRPr="000F4254">
        <w:t xml:space="preserve">as appropriate. New paragraph 5(1)(da) of the </w:t>
      </w:r>
      <w:r w:rsidRPr="000F4254">
        <w:rPr>
          <w:i/>
          <w:iCs/>
        </w:rPr>
        <w:t>Health Complaints Act 2016</w:t>
      </w:r>
      <w:r w:rsidRPr="000F4254">
        <w:t xml:space="preserve"> provides that a person may complain to a health service provider about a failure to comply with the </w:t>
      </w:r>
      <w:r>
        <w:t>SDC</w:t>
      </w:r>
      <w:r w:rsidRPr="000F4254">
        <w:t xml:space="preserve">. This will involve an examination of the health service entity’s decision that a particular event was not a SAPSE.  Similarly new sections 6(1)(da) and 7(1)(da) permit complaints to </w:t>
      </w:r>
      <w:r w:rsidR="00FF73B5">
        <w:t>be</w:t>
      </w:r>
      <w:r w:rsidR="00FF73B5" w:rsidRPr="000F4254">
        <w:t xml:space="preserve"> </w:t>
      </w:r>
      <w:r w:rsidRPr="000F4254">
        <w:t xml:space="preserve">made to the </w:t>
      </w:r>
      <w:r>
        <w:t>HCC</w:t>
      </w:r>
      <w:r w:rsidRPr="000F4254">
        <w:t xml:space="preserve"> about a failure to comply with the </w:t>
      </w:r>
      <w:r>
        <w:t>SDC</w:t>
      </w:r>
      <w:r w:rsidRPr="000F4254">
        <w:t>.</w:t>
      </w:r>
    </w:p>
    <w:p w14:paraId="4E28E6ED" w14:textId="5CA387A1" w:rsidR="00502CF7" w:rsidRPr="006B4145" w:rsidRDefault="00502CF7" w:rsidP="00477A06">
      <w:pPr>
        <w:pStyle w:val="Heading4"/>
        <w:numPr>
          <w:ilvl w:val="0"/>
          <w:numId w:val="12"/>
        </w:numPr>
        <w:ind w:left="426" w:hanging="426"/>
        <w:rPr>
          <w:color w:val="007586" w:themeColor="text2"/>
        </w:rPr>
      </w:pPr>
      <w:r w:rsidRPr="37F9E758">
        <w:rPr>
          <w:color w:val="007586" w:themeColor="accent2"/>
        </w:rPr>
        <w:lastRenderedPageBreak/>
        <w:t xml:space="preserve">What happens if a breach </w:t>
      </w:r>
      <w:r w:rsidR="006B4145" w:rsidRPr="37F9E758">
        <w:rPr>
          <w:color w:val="007586" w:themeColor="accent2"/>
        </w:rPr>
        <w:t>of SDC is found?</w:t>
      </w:r>
    </w:p>
    <w:p w14:paraId="0FE70A75" w14:textId="5CA387A1" w:rsidR="004801B4" w:rsidRDefault="004801B4" w:rsidP="0003419F">
      <w:pPr>
        <w:pStyle w:val="SCVbody"/>
      </w:pPr>
      <w:r>
        <w:t>Breaches to the SDC may be found through a variety of ways:</w:t>
      </w:r>
    </w:p>
    <w:p w14:paraId="56EF55B5" w14:textId="5CA387A1" w:rsidR="004801B4" w:rsidRDefault="004801B4" w:rsidP="00A05E49">
      <w:pPr>
        <w:pStyle w:val="SCVbullet1"/>
      </w:pPr>
      <w:r>
        <w:t>internally through a</w:t>
      </w:r>
      <w:r w:rsidR="00532595">
        <w:t>n audit</w:t>
      </w:r>
    </w:p>
    <w:p w14:paraId="0C1D0720" w14:textId="5CA387A1" w:rsidR="00532595" w:rsidRDefault="00532595" w:rsidP="00A05E49">
      <w:pPr>
        <w:pStyle w:val="SCVbullet1"/>
      </w:pPr>
      <w:r>
        <w:t>internally through a complaint</w:t>
      </w:r>
      <w:r w:rsidR="006578A5">
        <w:t xml:space="preserve"> to a clinician or a consumer liaison officer</w:t>
      </w:r>
    </w:p>
    <w:p w14:paraId="6A9540D3" w14:textId="5CA387A1" w:rsidR="00532595" w:rsidRDefault="00532595" w:rsidP="00A05E49">
      <w:pPr>
        <w:pStyle w:val="SCVbullet1"/>
      </w:pPr>
      <w:r>
        <w:t>externally from a complaint to the HCC, MHCC,</w:t>
      </w:r>
      <w:r w:rsidR="00A2279F">
        <w:t xml:space="preserve"> Secretary</w:t>
      </w:r>
      <w:r w:rsidR="00C67139">
        <w:t xml:space="preserve"> or Minister’s office,</w:t>
      </w:r>
      <w:r>
        <w:t xml:space="preserve"> </w:t>
      </w:r>
      <w:r w:rsidR="00A2279F">
        <w:t>DH</w:t>
      </w:r>
      <w:r>
        <w:t xml:space="preserve"> or SCV</w:t>
      </w:r>
    </w:p>
    <w:p w14:paraId="2A4C799E" w14:textId="5CA387A1" w:rsidR="00532595" w:rsidRDefault="4CDFB329" w:rsidP="00A05E49">
      <w:pPr>
        <w:pStyle w:val="SCVbullet1"/>
      </w:pPr>
      <w:r>
        <w:t>as an outcome from</w:t>
      </w:r>
      <w:r w:rsidR="7C5545C7">
        <w:t xml:space="preserve"> an accreditation report</w:t>
      </w:r>
    </w:p>
    <w:p w14:paraId="129E2AE2" w14:textId="79F3BBF7" w:rsidR="007F341B" w:rsidRDefault="00EC161C" w:rsidP="0003419F">
      <w:pPr>
        <w:pStyle w:val="SCVbody"/>
      </w:pPr>
      <w:r w:rsidRPr="00EC161C">
        <w:t xml:space="preserve">Both </w:t>
      </w:r>
      <w:r>
        <w:t>the HCC or MHCC</w:t>
      </w:r>
      <w:r w:rsidRPr="00EC161C">
        <w:t xml:space="preserve"> may report to the Secretary if they find that a health service entity has not complied with the </w:t>
      </w:r>
      <w:r>
        <w:t>SDC</w:t>
      </w:r>
      <w:r w:rsidRPr="00EC161C">
        <w:t xml:space="preserve"> (see new sections 228(ja) and 233(1)(ea) of the </w:t>
      </w:r>
      <w:r w:rsidRPr="00EC161C">
        <w:rPr>
          <w:i/>
          <w:iCs/>
        </w:rPr>
        <w:t>Mental Health Act 2014</w:t>
      </w:r>
      <w:r w:rsidRPr="00EC161C">
        <w:t xml:space="preserve"> and amended section 118(1)(l) of the </w:t>
      </w:r>
      <w:r w:rsidRPr="002E78EC">
        <w:rPr>
          <w:i/>
        </w:rPr>
        <w:t>Health Complaints Act 2016</w:t>
      </w:r>
      <w:r>
        <w:t>).</w:t>
      </w:r>
      <w:r w:rsidRPr="00EC161C">
        <w:t xml:space="preserve"> </w:t>
      </w:r>
    </w:p>
    <w:p w14:paraId="3276677A" w14:textId="4DF2A297" w:rsidR="00A5790F" w:rsidRPr="0061141A" w:rsidRDefault="00A5790F" w:rsidP="00477A06">
      <w:pPr>
        <w:pStyle w:val="Heading4"/>
        <w:numPr>
          <w:ilvl w:val="0"/>
          <w:numId w:val="12"/>
        </w:numPr>
        <w:ind w:left="426" w:hanging="426"/>
        <w:rPr>
          <w:color w:val="007586" w:themeColor="text2"/>
        </w:rPr>
      </w:pPr>
      <w:r w:rsidRPr="0061141A">
        <w:rPr>
          <w:color w:val="007586" w:themeColor="text2"/>
        </w:rPr>
        <w:t>What if the SAPSE occurred across multiple health services? Who is liable?</w:t>
      </w:r>
    </w:p>
    <w:p w14:paraId="2906B62C" w14:textId="67D06DDF" w:rsidR="00DB30AA" w:rsidRPr="00F009F0" w:rsidRDefault="00F009F0" w:rsidP="00F009F0">
      <w:pPr>
        <w:pStyle w:val="SCVbody"/>
      </w:pPr>
      <w:r w:rsidRPr="00F009F0">
        <w:t xml:space="preserve">In the case of a SAPSE that involves two or more health service entities (i.e. event at each service likely contributed to the harm), the health service entities should discuss how to conduct the SDC process, but all entities must participate. If the harm </w:t>
      </w:r>
      <w:r w:rsidR="00FC6E8F">
        <w:t>includes a health service entity within</w:t>
      </w:r>
      <w:r w:rsidRPr="00F009F0">
        <w:t xml:space="preserve"> another state, the Victorian service must still meet SDC requirements.</w:t>
      </w:r>
    </w:p>
    <w:p w14:paraId="0FEED377" w14:textId="7ED58D1C" w:rsidR="00FC6E8F" w:rsidRDefault="00FC6E8F" w:rsidP="00FC6E8F">
      <w:pPr>
        <w:pStyle w:val="SCVbody"/>
      </w:pPr>
      <w:r w:rsidRPr="00FC6E8F">
        <w:t xml:space="preserve">In the event that two or more health service entities involved in an event disagree as to whether the event constitutes a SAPSE (which then triggers the SDC), or there is a disagreement about how to conduct the SDC process, these matters should be escalated to the Secretary. It may be that the Secretary could defer these concerns to the </w:t>
      </w:r>
      <w:r>
        <w:t>Chief Quality and Safety Officer (</w:t>
      </w:r>
      <w:r w:rsidRPr="00FC6E8F">
        <w:t>CQSO</w:t>
      </w:r>
      <w:r>
        <w:t>)</w:t>
      </w:r>
      <w:r w:rsidRPr="00FC6E8F">
        <w:t>.</w:t>
      </w:r>
    </w:p>
    <w:p w14:paraId="53508965" w14:textId="0DC1FD2D" w:rsidR="000D3808" w:rsidRPr="0061141A" w:rsidRDefault="000D3808" w:rsidP="00477A06">
      <w:pPr>
        <w:pStyle w:val="Heading4"/>
        <w:numPr>
          <w:ilvl w:val="0"/>
          <w:numId w:val="12"/>
        </w:numPr>
        <w:ind w:left="426" w:hanging="426"/>
        <w:rPr>
          <w:color w:val="007586" w:themeColor="text2"/>
        </w:rPr>
      </w:pPr>
      <w:r w:rsidRPr="0061141A">
        <w:rPr>
          <w:color w:val="007586" w:themeColor="text2"/>
        </w:rPr>
        <w:t xml:space="preserve">Will </w:t>
      </w:r>
      <w:r w:rsidR="0061141A" w:rsidRPr="0061141A">
        <w:rPr>
          <w:color w:val="007586" w:themeColor="text2"/>
        </w:rPr>
        <w:t>an individual employee, officer or director of a hospital ever be personally liable for a failure to comply with the SDC obligations</w:t>
      </w:r>
      <w:r w:rsidR="0061141A">
        <w:rPr>
          <w:color w:val="007586" w:themeColor="text2"/>
        </w:rPr>
        <w:t>?</w:t>
      </w:r>
    </w:p>
    <w:p w14:paraId="687615E0" w14:textId="21CB34B0" w:rsidR="00066232" w:rsidRDefault="00B142B9" w:rsidP="0061141A">
      <w:pPr>
        <w:pStyle w:val="SCVbody"/>
      </w:pPr>
      <w:r>
        <w:t xml:space="preserve">No. Any liability resulting from an act or omission that would attach to the person instead attaches to the health service entity. </w:t>
      </w:r>
    </w:p>
    <w:p w14:paraId="2B03C816" w14:textId="478BEC56" w:rsidR="005C77C7" w:rsidRPr="00B23ECF" w:rsidRDefault="005C77C7" w:rsidP="00477A06">
      <w:pPr>
        <w:pStyle w:val="Heading4"/>
        <w:numPr>
          <w:ilvl w:val="0"/>
          <w:numId w:val="12"/>
        </w:numPr>
        <w:ind w:left="426" w:hanging="426"/>
        <w:rPr>
          <w:color w:val="007586" w:themeColor="text2"/>
        </w:rPr>
      </w:pPr>
      <w:r w:rsidRPr="00B23ECF">
        <w:rPr>
          <w:color w:val="007586" w:themeColor="accent2"/>
        </w:rPr>
        <w:t>What if a patient states they have suffered a SAPSE, but the health service entity disagree</w:t>
      </w:r>
      <w:r w:rsidR="00B23ECF" w:rsidRPr="22308A35">
        <w:rPr>
          <w:color w:val="007586" w:themeColor="accent2"/>
        </w:rPr>
        <w:t>s</w:t>
      </w:r>
      <w:r w:rsidRPr="00B23ECF">
        <w:rPr>
          <w:color w:val="007586" w:themeColor="accent2"/>
        </w:rPr>
        <w:t>?</w:t>
      </w:r>
    </w:p>
    <w:p w14:paraId="46BC3E72" w14:textId="77777777" w:rsidR="00B23ECF" w:rsidRDefault="00B23ECF" w:rsidP="00B23ECF">
      <w:pPr>
        <w:pStyle w:val="SCVbody"/>
      </w:pPr>
      <w:r>
        <w:t>If a patient self-reports a harm that is disputed by a registered health practitioner, the health service entity should provide the patient with a means of escalation to mediate the disagreement. This point of escalation may be:</w:t>
      </w:r>
    </w:p>
    <w:p w14:paraId="3EB46A17" w14:textId="601989F5" w:rsidR="00B23ECF" w:rsidRDefault="0B27594E" w:rsidP="00A05E49">
      <w:pPr>
        <w:pStyle w:val="SCVbullet1"/>
      </w:pPr>
      <w:r>
        <w:t>the internal consumer liaison officer (or equivalent) if it is disputed by a registered health practitioner</w:t>
      </w:r>
    </w:p>
    <w:p w14:paraId="2A56C38E" w14:textId="6176FECF" w:rsidR="00B23ECF" w:rsidRDefault="0B27594E" w:rsidP="00A05E49">
      <w:pPr>
        <w:pStyle w:val="SCVbullet1"/>
      </w:pPr>
      <w:r>
        <w:t>the Health Complaints Commissioner (HCC), or</w:t>
      </w:r>
    </w:p>
    <w:p w14:paraId="3CBF4CAC" w14:textId="201459AF" w:rsidR="0058475F" w:rsidRPr="00FC6E8F" w:rsidRDefault="0B27594E" w:rsidP="00A05E49">
      <w:pPr>
        <w:pStyle w:val="SCVbullet1"/>
      </w:pPr>
      <w:r>
        <w:t>the Mental health Complaints Commissioner (MHCC).</w:t>
      </w:r>
    </w:p>
    <w:p w14:paraId="49825EE0" w14:textId="26C2E834" w:rsidR="00DB30AA" w:rsidRPr="00DB30AA" w:rsidRDefault="00F918D7" w:rsidP="00A05E49">
      <w:pPr>
        <w:pStyle w:val="SCVbody"/>
        <w:numPr>
          <w:ilvl w:val="0"/>
          <w:numId w:val="12"/>
        </w:numPr>
        <w:spacing w:before="480" w:line="240" w:lineRule="auto"/>
        <w:ind w:left="425" w:hanging="425"/>
        <w:rPr>
          <w:b/>
          <w:color w:val="007586" w:themeColor="text2"/>
        </w:rPr>
      </w:pPr>
      <w:r w:rsidRPr="22308A35">
        <w:rPr>
          <w:b/>
          <w:color w:val="007586" w:themeColor="accent2"/>
        </w:rPr>
        <w:t>What are the reporting requirements under the legislation?</w:t>
      </w:r>
    </w:p>
    <w:p w14:paraId="451ECBEF" w14:textId="25D8758A" w:rsidR="00DB30AA" w:rsidRPr="004D51F3" w:rsidRDefault="004D51F3" w:rsidP="004D51F3">
      <w:pPr>
        <w:pStyle w:val="SCVbody"/>
      </w:pPr>
      <w:r w:rsidRPr="004D51F3">
        <w:t xml:space="preserve">The reporting requirements </w:t>
      </w:r>
      <w:r>
        <w:t xml:space="preserve">are to be finalised although may include </w:t>
      </w:r>
      <w:r w:rsidRPr="004D51F3">
        <w:t xml:space="preserve">the </w:t>
      </w:r>
      <w:r>
        <w:t xml:space="preserve">following </w:t>
      </w:r>
      <w:r w:rsidRPr="004D51F3">
        <w:t>data collection points:</w:t>
      </w:r>
    </w:p>
    <w:p w14:paraId="5D4946DD" w14:textId="7BE5C3D7" w:rsidR="0009082A" w:rsidRPr="0009082A" w:rsidRDefault="00A05E49" w:rsidP="00A05E49">
      <w:pPr>
        <w:pStyle w:val="SCVbullet1"/>
      </w:pPr>
      <w:r>
        <w:t>n</w:t>
      </w:r>
      <w:r w:rsidR="0009082A" w:rsidRPr="0009082A">
        <w:t xml:space="preserve">umber of SAPSE </w:t>
      </w:r>
    </w:p>
    <w:p w14:paraId="5F307735" w14:textId="16A3367B" w:rsidR="0009082A" w:rsidRPr="0009082A" w:rsidRDefault="00A05E49" w:rsidP="00A05E49">
      <w:pPr>
        <w:pStyle w:val="SCVbullet1"/>
      </w:pPr>
      <w:r>
        <w:t>i</w:t>
      </w:r>
      <w:r w:rsidR="0009082A" w:rsidRPr="0009082A">
        <w:t>nstances where SDC was commenced</w:t>
      </w:r>
    </w:p>
    <w:p w14:paraId="615A0DCF" w14:textId="24604BD6" w:rsidR="0009082A" w:rsidRPr="0009082A" w:rsidRDefault="00A05E49" w:rsidP="00A05E49">
      <w:pPr>
        <w:pStyle w:val="SCVbullet1"/>
      </w:pPr>
      <w:r>
        <w:lastRenderedPageBreak/>
        <w:t>i</w:t>
      </w:r>
      <w:r w:rsidR="0009082A" w:rsidRPr="0009082A">
        <w:t xml:space="preserve">nstances where SDC was completed </w:t>
      </w:r>
    </w:p>
    <w:p w14:paraId="793C529C" w14:textId="280482CD" w:rsidR="004D51F3" w:rsidRPr="0009082A" w:rsidRDefault="00A05E49" w:rsidP="00A05E49">
      <w:pPr>
        <w:pStyle w:val="SCVbullet1"/>
      </w:pPr>
      <w:r>
        <w:t>i</w:t>
      </w:r>
      <w:r w:rsidR="0009082A">
        <w:t>nstances where patient/NOK opted out</w:t>
      </w:r>
      <w:r>
        <w:t>.</w:t>
      </w:r>
    </w:p>
    <w:p w14:paraId="0774B543" w14:textId="4AE294F5" w:rsidR="00DB30AA" w:rsidRDefault="0009082A" w:rsidP="0009082A">
      <w:pPr>
        <w:pStyle w:val="SCVbody"/>
      </w:pPr>
      <w:r w:rsidRPr="0009082A">
        <w:t xml:space="preserve">This data will likely be collected via an Agency Information Management System (AIMS) form via the Victorian Agency for Health Information (VAHI). </w:t>
      </w:r>
      <w:r w:rsidR="00635A25">
        <w:t xml:space="preserve">It </w:t>
      </w:r>
      <w:r w:rsidR="003C3ED5">
        <w:t>is likely it</w:t>
      </w:r>
      <w:r w:rsidR="00635A25">
        <w:t xml:space="preserve"> wi</w:t>
      </w:r>
      <w:r w:rsidR="00353B69">
        <w:t xml:space="preserve">ll </w:t>
      </w:r>
      <w:r w:rsidR="002B0E94">
        <w:t>be required to be submitted to VAHI</w:t>
      </w:r>
      <w:r w:rsidR="00353B69">
        <w:t xml:space="preserve"> on a quarterly basis and will be monitored by SCV</w:t>
      </w:r>
      <w:r w:rsidR="00540D23">
        <w:t>/DH</w:t>
      </w:r>
      <w:r w:rsidR="00353B69">
        <w:t>.</w:t>
      </w:r>
    </w:p>
    <w:p w14:paraId="0C3821B7" w14:textId="77777777" w:rsidR="0058475F" w:rsidRPr="0058475F" w:rsidRDefault="00AF534C" w:rsidP="00477A06">
      <w:pPr>
        <w:pStyle w:val="Heading4"/>
        <w:numPr>
          <w:ilvl w:val="0"/>
          <w:numId w:val="12"/>
        </w:numPr>
        <w:ind w:left="426" w:hanging="426"/>
        <w:rPr>
          <w:color w:val="007586" w:themeColor="text2"/>
        </w:rPr>
      </w:pPr>
      <w:r w:rsidRPr="3A838B2F">
        <w:rPr>
          <w:color w:val="007586" w:themeColor="accent2"/>
        </w:rPr>
        <w:t>In the circumstance that a health service entity may only have become aware of a SAPSE following commencement of legal proceedings, is it expected that the SDC process would still proceed with the applicable timeframes?</w:t>
      </w:r>
    </w:p>
    <w:p w14:paraId="705D13FC" w14:textId="4DAA291E" w:rsidR="00AF534C" w:rsidRPr="00B56D5E" w:rsidRDefault="35A448B0" w:rsidP="0058475F">
      <w:pPr>
        <w:pStyle w:val="SCVbody"/>
        <w:rPr>
          <w:color w:val="007586" w:themeColor="text2"/>
        </w:rPr>
      </w:pPr>
      <w:r>
        <w:t>Yes, SDC should commence from the time a health service entity becomes aware that an event is a SAPSE.</w:t>
      </w:r>
      <w:r w:rsidR="00C956DB">
        <w:t xml:space="preserve"> </w:t>
      </w:r>
      <w:r w:rsidR="00307F6B">
        <w:t xml:space="preserve">The patient may have </w:t>
      </w:r>
      <w:r w:rsidR="008F6F6B">
        <w:t xml:space="preserve">a nominated person that the health service entity must communicate with in these circumstances. </w:t>
      </w:r>
    </w:p>
    <w:sectPr w:rsidR="00AF534C" w:rsidRPr="00B56D5E" w:rsidSect="00454185">
      <w:type w:val="continuous"/>
      <w:pgSz w:w="11906" w:h="16838" w:code="9"/>
      <w:pgMar w:top="2438" w:right="737" w:bottom="1361" w:left="737" w:header="851" w:footer="851"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8D105" w14:textId="77777777" w:rsidR="00D12DAE" w:rsidRDefault="00D12DAE" w:rsidP="002D711A">
      <w:pPr>
        <w:spacing w:after="0" w:line="240" w:lineRule="auto"/>
      </w:pPr>
      <w:r>
        <w:separator/>
      </w:r>
    </w:p>
  </w:endnote>
  <w:endnote w:type="continuationSeparator" w:id="0">
    <w:p w14:paraId="3A609941" w14:textId="77777777" w:rsidR="00D12DAE" w:rsidRDefault="00D12DAE" w:rsidP="002D711A">
      <w:pPr>
        <w:spacing w:after="0" w:line="240" w:lineRule="auto"/>
      </w:pPr>
      <w:r>
        <w:continuationSeparator/>
      </w:r>
    </w:p>
  </w:endnote>
  <w:endnote w:type="continuationNotice" w:id="1">
    <w:p w14:paraId="179BFD09" w14:textId="77777777" w:rsidR="00D12DAE" w:rsidRDefault="00D12DA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D8834" w14:textId="77777777" w:rsidR="00385D03" w:rsidRDefault="00385D03">
    <w:pPr>
      <w:pStyle w:val="Footer"/>
    </w:pPr>
    <w:r>
      <mc:AlternateContent>
        <mc:Choice Requires="wps">
          <w:drawing>
            <wp:anchor distT="0" distB="0" distL="114300" distR="114300" simplePos="0" relativeHeight="251656192" behindDoc="0" locked="0" layoutInCell="0" allowOverlap="1" wp14:anchorId="4DE82C23" wp14:editId="5EF22483">
              <wp:simplePos x="0" y="0"/>
              <wp:positionH relativeFrom="page">
                <wp:posOffset>0</wp:posOffset>
              </wp:positionH>
              <wp:positionV relativeFrom="page">
                <wp:posOffset>10234930</wp:posOffset>
              </wp:positionV>
              <wp:extent cx="7560310" cy="266700"/>
              <wp:effectExtent l="0" t="0" r="0" b="0"/>
              <wp:wrapNone/>
              <wp:docPr id="4" name="MSIPCM778c4c7da650f796005b5f3f"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7F4D91" w14:textId="77777777" w:rsidR="00385D03" w:rsidRPr="00F635D9" w:rsidRDefault="00385D03" w:rsidP="00F635D9">
                          <w:pPr>
                            <w:spacing w:before="0" w:after="0"/>
                            <w:jc w:val="center"/>
                            <w:rPr>
                              <w:rFonts w:ascii="Arial Black" w:hAnsi="Arial Black"/>
                              <w:color w:val="000000"/>
                            </w:rPr>
                          </w:pPr>
                          <w:r w:rsidRPr="00F635D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DE82C23" id="_x0000_t202" coordsize="21600,21600" o:spt="202" path="m,l,21600r21600,l21600,xe">
              <v:stroke joinstyle="miter"/>
              <v:path gradientshapeok="t" o:connecttype="rect"/>
            </v:shapetype>
            <v:shape id="MSIPCM778c4c7da650f796005b5f3f" o:spid="_x0000_s1026" type="#_x0000_t202" alt="{&quot;HashCode&quot;:904758361,&quot;Height&quot;:841.0,&quot;Width&quot;:595.0,&quot;Placement&quot;:&quot;Footer&quot;,&quot;Index&quot;:&quot;OddAndEven&quot;,&quot;Section&quot;:1,&quot;Top&quot;:0.0,&quot;Left&quot;:0.0}" style="position:absolute;margin-left:0;margin-top:805.9pt;width:595.3pt;height:21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Tf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" o:allowincell="f" filled="f" stroked="f" strokeweight=".5pt">
              <v:textbox inset=",0,,0">
                <w:txbxContent>
                  <w:p w14:paraId="287F4D91" w14:textId="77777777" w:rsidR="00385D03" w:rsidRPr="00F635D9" w:rsidRDefault="00385D03" w:rsidP="00F635D9">
                    <w:pPr>
                      <w:spacing w:before="0" w:after="0"/>
                      <w:jc w:val="center"/>
                      <w:rPr>
                        <w:rFonts w:ascii="Arial Black" w:hAnsi="Arial Black"/>
                        <w:color w:val="000000"/>
                      </w:rPr>
                    </w:pPr>
                    <w:r w:rsidRPr="00F635D9">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2723" w14:textId="77777777" w:rsidR="00385D03" w:rsidRPr="006B337A" w:rsidRDefault="00CD27BE" w:rsidP="00C15DBE">
    <w:pPr>
      <w:pStyle w:val="SCVfooter"/>
      <w:jc w:val="right"/>
    </w:pPr>
    <w:r>
      <mc:AlternateContent>
        <mc:Choice Requires="wps">
          <w:drawing>
            <wp:anchor distT="0" distB="0" distL="114300" distR="114300" simplePos="0" relativeHeight="251660288" behindDoc="0" locked="0" layoutInCell="0" allowOverlap="1" wp14:anchorId="0A6FA1B7" wp14:editId="779BA113">
              <wp:simplePos x="0" y="0"/>
              <wp:positionH relativeFrom="page">
                <wp:posOffset>0</wp:posOffset>
              </wp:positionH>
              <wp:positionV relativeFrom="page">
                <wp:posOffset>10189210</wp:posOffset>
              </wp:positionV>
              <wp:extent cx="7560310" cy="311785"/>
              <wp:effectExtent l="0" t="0" r="0" b="12065"/>
              <wp:wrapNone/>
              <wp:docPr id="1" name="MSIPCM20be40788fa5d4fabd7fac39"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2DCF68" w14:textId="77777777" w:rsidR="00CD27BE" w:rsidRPr="00CD27BE" w:rsidRDefault="00CD27BE" w:rsidP="00CD27BE">
                          <w:pPr>
                            <w:spacing w:before="0" w:after="0"/>
                            <w:jc w:val="center"/>
                            <w:rPr>
                              <w:rFonts w:ascii="Arial Black" w:hAnsi="Arial Black"/>
                              <w:color w:val="000000"/>
                            </w:rPr>
                          </w:pPr>
                          <w:r w:rsidRPr="00CD27B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A6FA1B7" id="_x0000_t202" coordsize="21600,21600" o:spt="202" path="m,l,21600r21600,l21600,xe">
              <v:stroke joinstyle="miter"/>
              <v:path gradientshapeok="t" o:connecttype="rect"/>
            </v:shapetype>
            <v:shape id="MSIPCM20be40788fa5d4fabd7fac39"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E2DCF68" w14:textId="77777777" w:rsidR="00CD27BE" w:rsidRPr="00CD27BE" w:rsidRDefault="00CD27BE" w:rsidP="00CD27BE">
                    <w:pPr>
                      <w:spacing w:before="0" w:after="0"/>
                      <w:jc w:val="center"/>
                      <w:rPr>
                        <w:rFonts w:ascii="Arial Black" w:hAnsi="Arial Black"/>
                        <w:color w:val="000000"/>
                      </w:rPr>
                    </w:pPr>
                    <w:r w:rsidRPr="00CD27BE">
                      <w:rPr>
                        <w:rFonts w:ascii="Arial Black" w:hAnsi="Arial Black"/>
                        <w:color w:val="000000"/>
                      </w:rPr>
                      <w:t>OFFICIAL</w:t>
                    </w:r>
                  </w:p>
                </w:txbxContent>
              </v:textbox>
              <w10:wrap anchorx="page" anchory="page"/>
            </v:shape>
          </w:pict>
        </mc:Fallback>
      </mc:AlternateContent>
    </w:r>
    <w:r w:rsidR="00986F5C">
      <w:t xml:space="preserve"> </w:t>
    </w:r>
    <w:r w:rsidR="00385D03">
      <w:t> </w:t>
    </w:r>
    <w:r w:rsidR="00385D03">
      <w:fldChar w:fldCharType="begin"/>
    </w:r>
    <w:r w:rsidR="00385D03">
      <w:instrText xml:space="preserve"> PAGE   \* MERGEFORMAT </w:instrText>
    </w:r>
    <w:r w:rsidR="00385D03">
      <w:fldChar w:fldCharType="separate"/>
    </w:r>
    <w:r w:rsidR="00385D03">
      <w:t>3</w:t>
    </w:r>
    <w:r w:rsidR="00385D0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AF774" w14:textId="77777777" w:rsidR="001F5AC2" w:rsidRDefault="001F5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9B7D" w14:textId="77777777" w:rsidR="00D12DAE" w:rsidRDefault="00D12DAE" w:rsidP="00E33E08">
      <w:pPr>
        <w:spacing w:before="0" w:after="0" w:line="240" w:lineRule="auto"/>
      </w:pPr>
    </w:p>
  </w:footnote>
  <w:footnote w:type="continuationSeparator" w:id="0">
    <w:p w14:paraId="7E9CBB5E" w14:textId="77777777" w:rsidR="00D12DAE" w:rsidRDefault="00D12DAE" w:rsidP="00E33E08">
      <w:pPr>
        <w:spacing w:before="0" w:after="0" w:line="240" w:lineRule="auto"/>
      </w:pPr>
    </w:p>
  </w:footnote>
  <w:footnote w:type="continuationNotice" w:id="1">
    <w:p w14:paraId="1B98735C" w14:textId="77777777" w:rsidR="00D12DAE" w:rsidRDefault="00D12DA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844A5" w14:textId="77777777" w:rsidR="001F5AC2" w:rsidRDefault="001F5A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6708C" w14:textId="53357881" w:rsidR="00385D03" w:rsidRDefault="00385D03">
    <w:pPr>
      <w:pStyle w:val="Header"/>
    </w:pPr>
    <w:r>
      <w:rPr>
        <w:noProof/>
      </w:rPr>
      <w:drawing>
        <wp:anchor distT="0" distB="0" distL="114300" distR="114300" simplePos="0" relativeHeight="251658240" behindDoc="1" locked="1" layoutInCell="1" allowOverlap="1" wp14:anchorId="290164A2" wp14:editId="357E6B53">
          <wp:simplePos x="0" y="0"/>
          <wp:positionH relativeFrom="page">
            <wp:align>left</wp:align>
          </wp:positionH>
          <wp:positionV relativeFrom="page">
            <wp:align>top</wp:align>
          </wp:positionV>
          <wp:extent cx="1522800" cy="1206000"/>
          <wp:effectExtent l="0" t="0" r="1270" b="0"/>
          <wp:wrapNone/>
          <wp:docPr id="2" name="Picture 1" descr="Safer Care Victor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fer Care Victoria&#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800" cy="120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09130" w14:textId="77777777" w:rsidR="001F5AC2" w:rsidRDefault="001F5A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3F425" w14:textId="13A73469" w:rsidR="002C2957" w:rsidRDefault="002C2957" w:rsidP="00B1051C">
    <w:pPr>
      <w:pStyle w:val="SCVfooterempty"/>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C2C95" w14:textId="10925845" w:rsidR="002C2957" w:rsidRDefault="002C2957" w:rsidP="00C15DBE">
    <w:pPr>
      <w:pStyle w:val="SCVheader"/>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84A73" w14:textId="455CC966" w:rsidR="009E6C00" w:rsidRDefault="009E6C0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AEE5B" w14:textId="14233CF0" w:rsidR="00385D03" w:rsidRDefault="00385D03" w:rsidP="00B1051C">
    <w:pPr>
      <w:pStyle w:val="SCVfooterempty"/>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9F832" w14:textId="26E58247" w:rsidR="00385D03" w:rsidRDefault="00385D03" w:rsidP="00C15DBE">
    <w:pPr>
      <w:pStyle w:val="SCVheader"/>
      <w:pBdr>
        <w:bottom w:val="none" w:sz="0" w:space="0"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1B2B2" w14:textId="5951046A" w:rsidR="009E6C00" w:rsidRDefault="009E6C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37593"/>
    <w:multiLevelType w:val="hybridMultilevel"/>
    <w:tmpl w:val="1E48F084"/>
    <w:lvl w:ilvl="0" w:tplc="A6E05B86">
      <w:start w:val="1"/>
      <w:numFmt w:val="lowerLetter"/>
      <w:lvlText w:val="%1)"/>
      <w:lvlJc w:val="left"/>
      <w:pPr>
        <w:ind w:left="720" w:hanging="360"/>
      </w:pPr>
      <w:rPr>
        <w:sz w:val="20"/>
        <w:szCs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B7B64C0"/>
    <w:multiLevelType w:val="multilevel"/>
    <w:tmpl w:val="B96621C2"/>
    <w:styleLink w:val="ZZPulloutbullets"/>
    <w:lvl w:ilvl="0">
      <w:start w:val="1"/>
      <w:numFmt w:val="bullet"/>
      <w:pStyle w:val="SCVpulloutbullet"/>
      <w:lvlText w:val="•"/>
      <w:lvlJc w:val="left"/>
      <w:pPr>
        <w:ind w:left="284" w:hanging="284"/>
      </w:pPr>
      <w:rPr>
        <w:rFonts w:ascii="Calibri" w:hAnsi="Calibri" w:hint="default"/>
        <w:color w:val="007586" w:themeColor="text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BCB7A92"/>
    <w:multiLevelType w:val="hybridMultilevel"/>
    <w:tmpl w:val="2AC67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31719A"/>
    <w:multiLevelType w:val="hybridMultilevel"/>
    <w:tmpl w:val="F6D62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494702"/>
    <w:multiLevelType w:val="hybridMultilevel"/>
    <w:tmpl w:val="6BB6B5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9A2C3B"/>
    <w:multiLevelType w:val="hybridMultilevel"/>
    <w:tmpl w:val="D3D405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2FF50519"/>
    <w:multiLevelType w:val="hybridMultilevel"/>
    <w:tmpl w:val="6BB6B5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0B07A3F"/>
    <w:multiLevelType w:val="hybridMultilevel"/>
    <w:tmpl w:val="36AE1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B745B9"/>
    <w:multiLevelType w:val="hybridMultilevel"/>
    <w:tmpl w:val="1C706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3615B0"/>
    <w:multiLevelType w:val="multilevel"/>
    <w:tmpl w:val="F27293EC"/>
    <w:name w:val="List num2"/>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0" w15:restartNumberingAfterBreak="0">
    <w:nsid w:val="3E6C68D4"/>
    <w:multiLevelType w:val="multilevel"/>
    <w:tmpl w:val="FCC83088"/>
    <w:styleLink w:val="ZZNumbersdigit"/>
    <w:lvl w:ilvl="0">
      <w:start w:val="1"/>
      <w:numFmt w:val="decimal"/>
      <w:pStyle w:val="SCVnumberdigit"/>
      <w:lvlText w:val="%1."/>
      <w:lvlJc w:val="left"/>
      <w:pPr>
        <w:tabs>
          <w:tab w:val="num" w:pos="397"/>
        </w:tabs>
        <w:ind w:left="397" w:hanging="397"/>
      </w:pPr>
      <w:rPr>
        <w:rFonts w:cs="Times New Roman" w:hint="default"/>
      </w:rPr>
    </w:lvl>
    <w:lvl w:ilvl="1">
      <w:start w:val="1"/>
      <w:numFmt w:val="lowerLetter"/>
      <w:pStyle w:val="SCVnumberloweralphaindent"/>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tabs>
          <w:tab w:val="num" w:pos="0"/>
        </w:tabs>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right"/>
      <w:pPr>
        <w:ind w:left="0" w:firstLine="0"/>
      </w:pPr>
      <w:rPr>
        <w:rFonts w:cs="Times New Roman" w:hint="default"/>
      </w:rPr>
    </w:lvl>
  </w:abstractNum>
  <w:abstractNum w:abstractNumId="11" w15:restartNumberingAfterBreak="0">
    <w:nsid w:val="40665361"/>
    <w:multiLevelType w:val="hybridMultilevel"/>
    <w:tmpl w:val="F09AF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5B6D89"/>
    <w:multiLevelType w:val="hybridMultilevel"/>
    <w:tmpl w:val="FC46C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3A5098"/>
    <w:multiLevelType w:val="hybridMultilevel"/>
    <w:tmpl w:val="5840F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338DEC"/>
    <w:multiLevelType w:val="hybridMultilevel"/>
    <w:tmpl w:val="D5E8E56C"/>
    <w:lvl w:ilvl="0" w:tplc="219226E4">
      <w:start w:val="1"/>
      <w:numFmt w:val="decimal"/>
      <w:lvlText w:val="%1."/>
      <w:lvlJc w:val="left"/>
      <w:pPr>
        <w:ind w:left="720" w:hanging="360"/>
      </w:pPr>
    </w:lvl>
    <w:lvl w:ilvl="1" w:tplc="7BDC02E2">
      <w:start w:val="1"/>
      <w:numFmt w:val="lowerLetter"/>
      <w:lvlText w:val="%2."/>
      <w:lvlJc w:val="left"/>
      <w:pPr>
        <w:ind w:left="1440" w:hanging="360"/>
      </w:pPr>
    </w:lvl>
    <w:lvl w:ilvl="2" w:tplc="F558CB7C">
      <w:start w:val="1"/>
      <w:numFmt w:val="lowerRoman"/>
      <w:lvlText w:val="%3."/>
      <w:lvlJc w:val="right"/>
      <w:pPr>
        <w:ind w:left="2160" w:hanging="180"/>
      </w:pPr>
    </w:lvl>
    <w:lvl w:ilvl="3" w:tplc="FCA271AA">
      <w:start w:val="1"/>
      <w:numFmt w:val="decimal"/>
      <w:lvlText w:val="%4."/>
      <w:lvlJc w:val="left"/>
      <w:pPr>
        <w:ind w:left="2880" w:hanging="360"/>
      </w:pPr>
    </w:lvl>
    <w:lvl w:ilvl="4" w:tplc="1E70FA12">
      <w:start w:val="1"/>
      <w:numFmt w:val="lowerLetter"/>
      <w:lvlText w:val="%5."/>
      <w:lvlJc w:val="left"/>
      <w:pPr>
        <w:ind w:left="3600" w:hanging="360"/>
      </w:pPr>
    </w:lvl>
    <w:lvl w:ilvl="5" w:tplc="506EFC22">
      <w:start w:val="1"/>
      <w:numFmt w:val="lowerRoman"/>
      <w:lvlText w:val="%6."/>
      <w:lvlJc w:val="right"/>
      <w:pPr>
        <w:ind w:left="4320" w:hanging="180"/>
      </w:pPr>
    </w:lvl>
    <w:lvl w:ilvl="6" w:tplc="2AE6014E">
      <w:start w:val="1"/>
      <w:numFmt w:val="decimal"/>
      <w:lvlText w:val="%7."/>
      <w:lvlJc w:val="left"/>
      <w:pPr>
        <w:ind w:left="5040" w:hanging="360"/>
      </w:pPr>
    </w:lvl>
    <w:lvl w:ilvl="7" w:tplc="44BEB470">
      <w:start w:val="1"/>
      <w:numFmt w:val="lowerLetter"/>
      <w:lvlText w:val="%8."/>
      <w:lvlJc w:val="left"/>
      <w:pPr>
        <w:ind w:left="5760" w:hanging="360"/>
      </w:pPr>
    </w:lvl>
    <w:lvl w:ilvl="8" w:tplc="E2B28C50">
      <w:start w:val="1"/>
      <w:numFmt w:val="lowerRoman"/>
      <w:lvlText w:val="%9."/>
      <w:lvlJc w:val="right"/>
      <w:pPr>
        <w:ind w:left="6480" w:hanging="180"/>
      </w:pPr>
    </w:lvl>
  </w:abstractNum>
  <w:abstractNum w:abstractNumId="15" w15:restartNumberingAfterBreak="0">
    <w:nsid w:val="4A8513C4"/>
    <w:multiLevelType w:val="multilevel"/>
    <w:tmpl w:val="1EF4C3C8"/>
    <w:styleLink w:val="ZZTablenumbers"/>
    <w:lvl w:ilvl="0">
      <w:start w:val="1"/>
      <w:numFmt w:val="decimal"/>
      <w:pStyle w:val="SCVtablenumber1"/>
      <w:lvlText w:val="%1."/>
      <w:lvlJc w:val="left"/>
      <w:pPr>
        <w:ind w:left="340" w:hanging="340"/>
      </w:pPr>
      <w:rPr>
        <w:rFonts w:hint="default"/>
      </w:rPr>
    </w:lvl>
    <w:lvl w:ilvl="1">
      <w:start w:val="1"/>
      <w:numFmt w:val="lowerLetter"/>
      <w:pStyle w:val="SCVtablenumber2"/>
      <w:lvlText w:val="(%2)"/>
      <w:lvlJc w:val="left"/>
      <w:pPr>
        <w:tabs>
          <w:tab w:val="num" w:pos="340"/>
        </w:tabs>
        <w:ind w:left="680" w:hanging="34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541611C2"/>
    <w:multiLevelType w:val="multilevel"/>
    <w:tmpl w:val="E0D49F02"/>
    <w:styleLink w:val="ZZTablebullets"/>
    <w:lvl w:ilvl="0">
      <w:start w:val="1"/>
      <w:numFmt w:val="bullet"/>
      <w:pStyle w:val="SCVtablebullet1"/>
      <w:lvlText w:val="•"/>
      <w:lvlJc w:val="left"/>
      <w:pPr>
        <w:ind w:left="227" w:hanging="227"/>
      </w:pPr>
      <w:rPr>
        <w:rFonts w:ascii="Calibri" w:hAnsi="Calibri" w:hint="default"/>
      </w:rPr>
    </w:lvl>
    <w:lvl w:ilvl="1">
      <w:start w:val="1"/>
      <w:numFmt w:val="bullet"/>
      <w:lvlRestart w:val="0"/>
      <w:pStyle w:val="SCVtablebullet2"/>
      <w:lvlText w:val="–"/>
      <w:lvlJc w:val="left"/>
      <w:pPr>
        <w:tabs>
          <w:tab w:val="num" w:pos="227"/>
        </w:tabs>
        <w:ind w:left="454" w:hanging="227"/>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7" w15:restartNumberingAfterBreak="0">
    <w:nsid w:val="56041A43"/>
    <w:multiLevelType w:val="hybridMultilevel"/>
    <w:tmpl w:val="7502287A"/>
    <w:lvl w:ilvl="0" w:tplc="0C090001">
      <w:start w:val="1"/>
      <w:numFmt w:val="bullet"/>
      <w:lvlText w:val=""/>
      <w:lvlJc w:val="left"/>
      <w:pPr>
        <w:ind w:left="720" w:hanging="360"/>
      </w:pPr>
      <w:rPr>
        <w:rFonts w:ascii="Symbol" w:hAnsi="Symbol" w:hint="default"/>
        <w:sz w:val="20"/>
        <w:szCs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97523C5"/>
    <w:multiLevelType w:val="hybridMultilevel"/>
    <w:tmpl w:val="49C213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1320433"/>
    <w:multiLevelType w:val="multilevel"/>
    <w:tmpl w:val="69C2D2B4"/>
    <w:styleLink w:val="ZZBullets"/>
    <w:lvl w:ilvl="0">
      <w:start w:val="1"/>
      <w:numFmt w:val="bullet"/>
      <w:pStyle w:val="SCVbullet1"/>
      <w:lvlText w:val=""/>
      <w:lvlJc w:val="left"/>
      <w:pPr>
        <w:ind w:left="284" w:hanging="284"/>
      </w:pPr>
      <w:rPr>
        <w:rFonts w:ascii="Wingdings 2" w:hAnsi="Wingdings 2" w:hint="default"/>
        <w:color w:val="004C97" w:themeColor="accent4"/>
        <w:position w:val="2"/>
        <w:sz w:val="16"/>
      </w:rPr>
    </w:lvl>
    <w:lvl w:ilvl="1">
      <w:start w:val="1"/>
      <w:numFmt w:val="bullet"/>
      <w:pStyle w:val="SCVbullet2"/>
      <w:lvlText w:val="–"/>
      <w:lvlJc w:val="left"/>
      <w:pPr>
        <w:tabs>
          <w:tab w:val="num" w:pos="284"/>
        </w:tabs>
        <w:ind w:left="567" w:hanging="283"/>
      </w:pPr>
      <w:rPr>
        <w:rFonts w:ascii="Arial Black" w:hAnsi="Arial Black"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6309259F"/>
    <w:multiLevelType w:val="multilevel"/>
    <w:tmpl w:val="DECE3280"/>
    <w:styleLink w:val="ZZQuotebullets"/>
    <w:lvl w:ilvl="0">
      <w:start w:val="1"/>
      <w:numFmt w:val="bullet"/>
      <w:pStyle w:val="SCVquotebullet1"/>
      <w:lvlText w:val="•"/>
      <w:lvlJc w:val="left"/>
      <w:pPr>
        <w:ind w:left="680" w:hanging="283"/>
      </w:pPr>
      <w:rPr>
        <w:rFonts w:ascii="Calibri" w:hAnsi="Calibri" w:hint="default"/>
        <w:color w:val="007586" w:themeColor="text2"/>
      </w:rPr>
    </w:lvl>
    <w:lvl w:ilvl="1">
      <w:start w:val="1"/>
      <w:numFmt w:val="bullet"/>
      <w:lvlRestart w:val="0"/>
      <w:pStyle w:val="SCVquotebullet2"/>
      <w:lvlText w:val="–"/>
      <w:lvlJc w:val="left"/>
      <w:pPr>
        <w:ind w:left="964" w:hanging="284"/>
      </w:pPr>
      <w:rPr>
        <w:rFonts w:ascii="Calibri" w:hAnsi="Calibri" w:hint="default"/>
        <w:color w:val="007586" w:themeColor="text2"/>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21" w15:restartNumberingAfterBreak="0">
    <w:nsid w:val="696765BC"/>
    <w:multiLevelType w:val="hybridMultilevel"/>
    <w:tmpl w:val="4DF88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8E4705"/>
    <w:multiLevelType w:val="hybridMultilevel"/>
    <w:tmpl w:val="6BB6B5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010785C"/>
    <w:multiLevelType w:val="hybridMultilevel"/>
    <w:tmpl w:val="4B9E4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220678"/>
    <w:multiLevelType w:val="hybridMultilevel"/>
    <w:tmpl w:val="C0E47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19938C8"/>
    <w:multiLevelType w:val="hybridMultilevel"/>
    <w:tmpl w:val="3A762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7473D9B"/>
    <w:multiLevelType w:val="hybridMultilevel"/>
    <w:tmpl w:val="0448A2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9B0260A"/>
    <w:multiLevelType w:val="hybridMultilevel"/>
    <w:tmpl w:val="F7006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F619B4"/>
    <w:multiLevelType w:val="multilevel"/>
    <w:tmpl w:val="32A667BE"/>
    <w:styleLink w:val="ZZBulletsafternumbers"/>
    <w:lvl w:ilvl="0">
      <w:start w:val="1"/>
      <w:numFmt w:val="none"/>
      <w:lvlText w:val=""/>
      <w:lvlJc w:val="left"/>
      <w:pPr>
        <w:ind w:left="0" w:firstLine="0"/>
      </w:pPr>
      <w:rPr>
        <w:rFonts w:hint="default"/>
      </w:rPr>
    </w:lvl>
    <w:lvl w:ilvl="1">
      <w:start w:val="1"/>
      <w:numFmt w:val="bullet"/>
      <w:lvlRestart w:val="0"/>
      <w:pStyle w:val="SCVbulletafternumbers"/>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7EA30049"/>
    <w:multiLevelType w:val="hybridMultilevel"/>
    <w:tmpl w:val="6BB6B5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F7279AF"/>
    <w:multiLevelType w:val="hybridMultilevel"/>
    <w:tmpl w:val="0CBCE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FD44514"/>
    <w:multiLevelType w:val="multilevel"/>
    <w:tmpl w:val="457635A8"/>
    <w:name w:val="List num"/>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19"/>
  </w:num>
  <w:num w:numId="2">
    <w:abstractNumId w:val="10"/>
  </w:num>
  <w:num w:numId="3">
    <w:abstractNumId w:val="20"/>
  </w:num>
  <w:num w:numId="4">
    <w:abstractNumId w:val="16"/>
  </w:num>
  <w:num w:numId="5">
    <w:abstractNumId w:val="15"/>
  </w:num>
  <w:num w:numId="6">
    <w:abstractNumId w:val="28"/>
  </w:num>
  <w:num w:numId="7">
    <w:abstractNumId w:val="1"/>
  </w:num>
  <w:num w:numId="8">
    <w:abstractNumId w:val="26"/>
  </w:num>
  <w:num w:numId="9">
    <w:abstractNumId w:val="27"/>
  </w:num>
  <w:num w:numId="10">
    <w:abstractNumId w:val="19"/>
  </w:num>
  <w:num w:numId="11">
    <w:abstractNumId w:val="18"/>
  </w:num>
  <w:num w:numId="12">
    <w:abstractNumId w:val="4"/>
  </w:num>
  <w:num w:numId="13">
    <w:abstractNumId w:val="21"/>
  </w:num>
  <w:num w:numId="14">
    <w:abstractNumId w:val="3"/>
  </w:num>
  <w:num w:numId="15">
    <w:abstractNumId w:val="12"/>
  </w:num>
  <w:num w:numId="16">
    <w:abstractNumId w:val="11"/>
  </w:num>
  <w:num w:numId="17">
    <w:abstractNumId w:val="2"/>
  </w:num>
  <w:num w:numId="18">
    <w:abstractNumId w:val="25"/>
  </w:num>
  <w:num w:numId="19">
    <w:abstractNumId w:val="7"/>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8"/>
  </w:num>
  <w:num w:numId="23">
    <w:abstractNumId w:val="24"/>
  </w:num>
  <w:num w:numId="24">
    <w:abstractNumId w:val="6"/>
  </w:num>
  <w:num w:numId="25">
    <w:abstractNumId w:val="13"/>
  </w:num>
  <w:num w:numId="26">
    <w:abstractNumId w:val="14"/>
  </w:num>
  <w:num w:numId="27">
    <w:abstractNumId w:val="0"/>
  </w:num>
  <w:num w:numId="28">
    <w:abstractNumId w:val="17"/>
  </w:num>
  <w:num w:numId="29">
    <w:abstractNumId w:val="23"/>
  </w:num>
  <w:num w:numId="30">
    <w:abstractNumId w:val="30"/>
  </w:num>
  <w:num w:numId="31">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497"/>
    <w:rsid w:val="00005005"/>
    <w:rsid w:val="00006335"/>
    <w:rsid w:val="00012B1B"/>
    <w:rsid w:val="00012F6F"/>
    <w:rsid w:val="00014213"/>
    <w:rsid w:val="00014B55"/>
    <w:rsid w:val="00020E3E"/>
    <w:rsid w:val="00021C7F"/>
    <w:rsid w:val="0002328B"/>
    <w:rsid w:val="00023BF3"/>
    <w:rsid w:val="00024184"/>
    <w:rsid w:val="00024EDE"/>
    <w:rsid w:val="00025B93"/>
    <w:rsid w:val="00026811"/>
    <w:rsid w:val="00030E08"/>
    <w:rsid w:val="000315A2"/>
    <w:rsid w:val="0003419F"/>
    <w:rsid w:val="00041069"/>
    <w:rsid w:val="0004185E"/>
    <w:rsid w:val="00041DD6"/>
    <w:rsid w:val="00044A79"/>
    <w:rsid w:val="00044ADA"/>
    <w:rsid w:val="0004698F"/>
    <w:rsid w:val="000477DC"/>
    <w:rsid w:val="000554BC"/>
    <w:rsid w:val="0005577B"/>
    <w:rsid w:val="00056988"/>
    <w:rsid w:val="00057801"/>
    <w:rsid w:val="00066232"/>
    <w:rsid w:val="00072279"/>
    <w:rsid w:val="000753DF"/>
    <w:rsid w:val="00075895"/>
    <w:rsid w:val="00075AF3"/>
    <w:rsid w:val="00075E6C"/>
    <w:rsid w:val="00081C12"/>
    <w:rsid w:val="00083375"/>
    <w:rsid w:val="000833DB"/>
    <w:rsid w:val="00085467"/>
    <w:rsid w:val="00087BC3"/>
    <w:rsid w:val="00087D42"/>
    <w:rsid w:val="0009082A"/>
    <w:rsid w:val="000A24C9"/>
    <w:rsid w:val="000A2620"/>
    <w:rsid w:val="000A5579"/>
    <w:rsid w:val="000A5607"/>
    <w:rsid w:val="000B29AD"/>
    <w:rsid w:val="000C2B73"/>
    <w:rsid w:val="000C39D9"/>
    <w:rsid w:val="000C6372"/>
    <w:rsid w:val="000D1042"/>
    <w:rsid w:val="000D3808"/>
    <w:rsid w:val="000D7841"/>
    <w:rsid w:val="000E392D"/>
    <w:rsid w:val="000E39B6"/>
    <w:rsid w:val="000E3D05"/>
    <w:rsid w:val="000F4254"/>
    <w:rsid w:val="000F4288"/>
    <w:rsid w:val="000F4B25"/>
    <w:rsid w:val="000F7165"/>
    <w:rsid w:val="00100361"/>
    <w:rsid w:val="00102379"/>
    <w:rsid w:val="00102574"/>
    <w:rsid w:val="00103722"/>
    <w:rsid w:val="00105EB8"/>
    <w:rsid w:val="001065D6"/>
    <w:rsid w:val="001068D5"/>
    <w:rsid w:val="00111C85"/>
    <w:rsid w:val="00113024"/>
    <w:rsid w:val="00121252"/>
    <w:rsid w:val="001238C2"/>
    <w:rsid w:val="00124609"/>
    <w:rsid w:val="001254CE"/>
    <w:rsid w:val="00131E06"/>
    <w:rsid w:val="001422CC"/>
    <w:rsid w:val="00142CC3"/>
    <w:rsid w:val="00144E34"/>
    <w:rsid w:val="00145346"/>
    <w:rsid w:val="00150333"/>
    <w:rsid w:val="001608B1"/>
    <w:rsid w:val="001617B6"/>
    <w:rsid w:val="0016395C"/>
    <w:rsid w:val="00165E66"/>
    <w:rsid w:val="001661DF"/>
    <w:rsid w:val="00170650"/>
    <w:rsid w:val="00171CF6"/>
    <w:rsid w:val="00173E35"/>
    <w:rsid w:val="0017487A"/>
    <w:rsid w:val="00174D89"/>
    <w:rsid w:val="00174F38"/>
    <w:rsid w:val="00176269"/>
    <w:rsid w:val="00183FD1"/>
    <w:rsid w:val="001849FD"/>
    <w:rsid w:val="00187541"/>
    <w:rsid w:val="0019074E"/>
    <w:rsid w:val="0019351B"/>
    <w:rsid w:val="00194B79"/>
    <w:rsid w:val="00196143"/>
    <w:rsid w:val="001A24FC"/>
    <w:rsid w:val="001A4CDE"/>
    <w:rsid w:val="001A51BF"/>
    <w:rsid w:val="001B0FDC"/>
    <w:rsid w:val="001B1C47"/>
    <w:rsid w:val="001B2E0F"/>
    <w:rsid w:val="001B2EE4"/>
    <w:rsid w:val="001B3DF5"/>
    <w:rsid w:val="001C629F"/>
    <w:rsid w:val="001C66AB"/>
    <w:rsid w:val="001C6835"/>
    <w:rsid w:val="001C7A85"/>
    <w:rsid w:val="001C7BAE"/>
    <w:rsid w:val="001E31FA"/>
    <w:rsid w:val="001E48F9"/>
    <w:rsid w:val="001E5A61"/>
    <w:rsid w:val="001E64F6"/>
    <w:rsid w:val="001E7AEB"/>
    <w:rsid w:val="001F5AC2"/>
    <w:rsid w:val="001F7DDC"/>
    <w:rsid w:val="00204B82"/>
    <w:rsid w:val="002052DC"/>
    <w:rsid w:val="00205C68"/>
    <w:rsid w:val="00215631"/>
    <w:rsid w:val="00222BEB"/>
    <w:rsid w:val="00223217"/>
    <w:rsid w:val="00224940"/>
    <w:rsid w:val="00225E60"/>
    <w:rsid w:val="00230BBB"/>
    <w:rsid w:val="0023202C"/>
    <w:rsid w:val="00234040"/>
    <w:rsid w:val="00234253"/>
    <w:rsid w:val="00234619"/>
    <w:rsid w:val="00237687"/>
    <w:rsid w:val="00245043"/>
    <w:rsid w:val="0025282B"/>
    <w:rsid w:val="00254991"/>
    <w:rsid w:val="002550F6"/>
    <w:rsid w:val="0025578B"/>
    <w:rsid w:val="002570BD"/>
    <w:rsid w:val="0026028E"/>
    <w:rsid w:val="00266374"/>
    <w:rsid w:val="00266810"/>
    <w:rsid w:val="00267D39"/>
    <w:rsid w:val="00272EC4"/>
    <w:rsid w:val="00276717"/>
    <w:rsid w:val="00280B44"/>
    <w:rsid w:val="00282118"/>
    <w:rsid w:val="00282391"/>
    <w:rsid w:val="00284FA2"/>
    <w:rsid w:val="00285674"/>
    <w:rsid w:val="0028598E"/>
    <w:rsid w:val="00286657"/>
    <w:rsid w:val="00291139"/>
    <w:rsid w:val="002924F6"/>
    <w:rsid w:val="00292D36"/>
    <w:rsid w:val="00294A5A"/>
    <w:rsid w:val="00297281"/>
    <w:rsid w:val="00297A47"/>
    <w:rsid w:val="00297CA8"/>
    <w:rsid w:val="002A4AD5"/>
    <w:rsid w:val="002A4BEA"/>
    <w:rsid w:val="002A5891"/>
    <w:rsid w:val="002A7A37"/>
    <w:rsid w:val="002B0324"/>
    <w:rsid w:val="002B03F1"/>
    <w:rsid w:val="002B0E94"/>
    <w:rsid w:val="002B1123"/>
    <w:rsid w:val="002B3F05"/>
    <w:rsid w:val="002B5E2B"/>
    <w:rsid w:val="002B6DAA"/>
    <w:rsid w:val="002B7019"/>
    <w:rsid w:val="002C2957"/>
    <w:rsid w:val="002C2C8E"/>
    <w:rsid w:val="002C462C"/>
    <w:rsid w:val="002C737D"/>
    <w:rsid w:val="002D6F3C"/>
    <w:rsid w:val="002D70F7"/>
    <w:rsid w:val="002D711A"/>
    <w:rsid w:val="002D7336"/>
    <w:rsid w:val="002E0DEB"/>
    <w:rsid w:val="002E3396"/>
    <w:rsid w:val="002E5BF2"/>
    <w:rsid w:val="002E78EC"/>
    <w:rsid w:val="002F2953"/>
    <w:rsid w:val="002F3E58"/>
    <w:rsid w:val="002F4173"/>
    <w:rsid w:val="002F5D89"/>
    <w:rsid w:val="002F70DF"/>
    <w:rsid w:val="002F728B"/>
    <w:rsid w:val="003018B5"/>
    <w:rsid w:val="00303E66"/>
    <w:rsid w:val="00307F6B"/>
    <w:rsid w:val="0031149C"/>
    <w:rsid w:val="003114EE"/>
    <w:rsid w:val="00313516"/>
    <w:rsid w:val="00315B8F"/>
    <w:rsid w:val="00316FC9"/>
    <w:rsid w:val="00321679"/>
    <w:rsid w:val="00325E21"/>
    <w:rsid w:val="00331C26"/>
    <w:rsid w:val="0033301B"/>
    <w:rsid w:val="00333447"/>
    <w:rsid w:val="00334584"/>
    <w:rsid w:val="00341527"/>
    <w:rsid w:val="00342FCF"/>
    <w:rsid w:val="003459A4"/>
    <w:rsid w:val="00345B45"/>
    <w:rsid w:val="00345F0B"/>
    <w:rsid w:val="00350441"/>
    <w:rsid w:val="00350521"/>
    <w:rsid w:val="00353B69"/>
    <w:rsid w:val="00354D98"/>
    <w:rsid w:val="00360F13"/>
    <w:rsid w:val="0036778F"/>
    <w:rsid w:val="00385D03"/>
    <w:rsid w:val="00385D0C"/>
    <w:rsid w:val="0038771C"/>
    <w:rsid w:val="003965CD"/>
    <w:rsid w:val="003A290F"/>
    <w:rsid w:val="003A430B"/>
    <w:rsid w:val="003A536C"/>
    <w:rsid w:val="003A541A"/>
    <w:rsid w:val="003A62D2"/>
    <w:rsid w:val="003A6923"/>
    <w:rsid w:val="003B4588"/>
    <w:rsid w:val="003B4671"/>
    <w:rsid w:val="003B611D"/>
    <w:rsid w:val="003C1DA3"/>
    <w:rsid w:val="003C2C67"/>
    <w:rsid w:val="003C2D4C"/>
    <w:rsid w:val="003C3B3A"/>
    <w:rsid w:val="003C3ED5"/>
    <w:rsid w:val="003C5BA4"/>
    <w:rsid w:val="003E3E26"/>
    <w:rsid w:val="003E5446"/>
    <w:rsid w:val="003E7B2C"/>
    <w:rsid w:val="003F1295"/>
    <w:rsid w:val="003F5102"/>
    <w:rsid w:val="003F76FC"/>
    <w:rsid w:val="004002EB"/>
    <w:rsid w:val="00407A79"/>
    <w:rsid w:val="004108A6"/>
    <w:rsid w:val="00416163"/>
    <w:rsid w:val="0042033A"/>
    <w:rsid w:val="00421060"/>
    <w:rsid w:val="00422DDC"/>
    <w:rsid w:val="004231B5"/>
    <w:rsid w:val="004236C8"/>
    <w:rsid w:val="00425E17"/>
    <w:rsid w:val="00427681"/>
    <w:rsid w:val="004306E1"/>
    <w:rsid w:val="004325AE"/>
    <w:rsid w:val="00433DB7"/>
    <w:rsid w:val="00435A0A"/>
    <w:rsid w:val="0043696B"/>
    <w:rsid w:val="00452CE4"/>
    <w:rsid w:val="00453750"/>
    <w:rsid w:val="00454185"/>
    <w:rsid w:val="00456941"/>
    <w:rsid w:val="004624E4"/>
    <w:rsid w:val="00463C5A"/>
    <w:rsid w:val="004702EA"/>
    <w:rsid w:val="00475659"/>
    <w:rsid w:val="004777DB"/>
    <w:rsid w:val="00477A06"/>
    <w:rsid w:val="004801B4"/>
    <w:rsid w:val="0048259C"/>
    <w:rsid w:val="00482D02"/>
    <w:rsid w:val="00484326"/>
    <w:rsid w:val="00487845"/>
    <w:rsid w:val="004902D8"/>
    <w:rsid w:val="00490369"/>
    <w:rsid w:val="0049085B"/>
    <w:rsid w:val="004909B4"/>
    <w:rsid w:val="00497EB0"/>
    <w:rsid w:val="004A36BE"/>
    <w:rsid w:val="004A7519"/>
    <w:rsid w:val="004B017F"/>
    <w:rsid w:val="004B0DCB"/>
    <w:rsid w:val="004B58EE"/>
    <w:rsid w:val="004B64B1"/>
    <w:rsid w:val="004B77E9"/>
    <w:rsid w:val="004C2BCD"/>
    <w:rsid w:val="004C61C2"/>
    <w:rsid w:val="004C6FA5"/>
    <w:rsid w:val="004C7BCC"/>
    <w:rsid w:val="004D01AC"/>
    <w:rsid w:val="004D3518"/>
    <w:rsid w:val="004D51F3"/>
    <w:rsid w:val="004D569B"/>
    <w:rsid w:val="004D62D6"/>
    <w:rsid w:val="004D6898"/>
    <w:rsid w:val="004D7778"/>
    <w:rsid w:val="004D7E5D"/>
    <w:rsid w:val="004E0327"/>
    <w:rsid w:val="004F0A11"/>
    <w:rsid w:val="004F2019"/>
    <w:rsid w:val="004F369E"/>
    <w:rsid w:val="004F3F4E"/>
    <w:rsid w:val="00501DA9"/>
    <w:rsid w:val="00502CF7"/>
    <w:rsid w:val="005066EC"/>
    <w:rsid w:val="005079B2"/>
    <w:rsid w:val="00510167"/>
    <w:rsid w:val="00510690"/>
    <w:rsid w:val="00511E12"/>
    <w:rsid w:val="00512EA0"/>
    <w:rsid w:val="00513E86"/>
    <w:rsid w:val="00515958"/>
    <w:rsid w:val="00521CA5"/>
    <w:rsid w:val="00523E77"/>
    <w:rsid w:val="005306A2"/>
    <w:rsid w:val="00532595"/>
    <w:rsid w:val="0053416C"/>
    <w:rsid w:val="00536616"/>
    <w:rsid w:val="00540D23"/>
    <w:rsid w:val="005416D7"/>
    <w:rsid w:val="00541C2F"/>
    <w:rsid w:val="005450D9"/>
    <w:rsid w:val="00547A71"/>
    <w:rsid w:val="00552DE4"/>
    <w:rsid w:val="00553F04"/>
    <w:rsid w:val="005564F1"/>
    <w:rsid w:val="00556B79"/>
    <w:rsid w:val="00561474"/>
    <w:rsid w:val="005619BB"/>
    <w:rsid w:val="00563527"/>
    <w:rsid w:val="0057076E"/>
    <w:rsid w:val="005715AC"/>
    <w:rsid w:val="0057168A"/>
    <w:rsid w:val="0057407A"/>
    <w:rsid w:val="00576382"/>
    <w:rsid w:val="0058124E"/>
    <w:rsid w:val="00582B6D"/>
    <w:rsid w:val="0058475F"/>
    <w:rsid w:val="005848A5"/>
    <w:rsid w:val="005850E8"/>
    <w:rsid w:val="00586D50"/>
    <w:rsid w:val="005875A3"/>
    <w:rsid w:val="00591F4D"/>
    <w:rsid w:val="00593A04"/>
    <w:rsid w:val="00593AD7"/>
    <w:rsid w:val="005953EA"/>
    <w:rsid w:val="005A3416"/>
    <w:rsid w:val="005A5317"/>
    <w:rsid w:val="005B0C0E"/>
    <w:rsid w:val="005B11C5"/>
    <w:rsid w:val="005B27FE"/>
    <w:rsid w:val="005B4010"/>
    <w:rsid w:val="005B6827"/>
    <w:rsid w:val="005B76DF"/>
    <w:rsid w:val="005B79CB"/>
    <w:rsid w:val="005C044F"/>
    <w:rsid w:val="005C04F0"/>
    <w:rsid w:val="005C0E91"/>
    <w:rsid w:val="005C12A8"/>
    <w:rsid w:val="005C77C7"/>
    <w:rsid w:val="005D2B14"/>
    <w:rsid w:val="005D4D7D"/>
    <w:rsid w:val="005E08D7"/>
    <w:rsid w:val="005E4C16"/>
    <w:rsid w:val="005E57E1"/>
    <w:rsid w:val="005E5947"/>
    <w:rsid w:val="005F029D"/>
    <w:rsid w:val="005F05B5"/>
    <w:rsid w:val="005F61DF"/>
    <w:rsid w:val="0060023D"/>
    <w:rsid w:val="0060163A"/>
    <w:rsid w:val="006023F9"/>
    <w:rsid w:val="00603103"/>
    <w:rsid w:val="00610559"/>
    <w:rsid w:val="0061141A"/>
    <w:rsid w:val="006120A1"/>
    <w:rsid w:val="00614076"/>
    <w:rsid w:val="00616087"/>
    <w:rsid w:val="00617BB5"/>
    <w:rsid w:val="006208C4"/>
    <w:rsid w:val="006325B9"/>
    <w:rsid w:val="006328D9"/>
    <w:rsid w:val="00632F2E"/>
    <w:rsid w:val="006332F6"/>
    <w:rsid w:val="00633C69"/>
    <w:rsid w:val="00635A25"/>
    <w:rsid w:val="006413F2"/>
    <w:rsid w:val="00642415"/>
    <w:rsid w:val="00642E87"/>
    <w:rsid w:val="00645E9B"/>
    <w:rsid w:val="00647276"/>
    <w:rsid w:val="006534B2"/>
    <w:rsid w:val="0065615D"/>
    <w:rsid w:val="00657011"/>
    <w:rsid w:val="006578A5"/>
    <w:rsid w:val="006650B5"/>
    <w:rsid w:val="006651B1"/>
    <w:rsid w:val="00665778"/>
    <w:rsid w:val="0067272B"/>
    <w:rsid w:val="00676E5F"/>
    <w:rsid w:val="00681029"/>
    <w:rsid w:val="0068425B"/>
    <w:rsid w:val="006945CA"/>
    <w:rsid w:val="006A2C51"/>
    <w:rsid w:val="006A3309"/>
    <w:rsid w:val="006A39F1"/>
    <w:rsid w:val="006A3A5A"/>
    <w:rsid w:val="006A5231"/>
    <w:rsid w:val="006A5B34"/>
    <w:rsid w:val="006B337A"/>
    <w:rsid w:val="006B4145"/>
    <w:rsid w:val="006B49BC"/>
    <w:rsid w:val="006B6497"/>
    <w:rsid w:val="006C77A9"/>
    <w:rsid w:val="006D1071"/>
    <w:rsid w:val="006D4720"/>
    <w:rsid w:val="006D5B85"/>
    <w:rsid w:val="006E278F"/>
    <w:rsid w:val="006E4C5F"/>
    <w:rsid w:val="006E5A80"/>
    <w:rsid w:val="006E6CDF"/>
    <w:rsid w:val="006E7C80"/>
    <w:rsid w:val="006F37F2"/>
    <w:rsid w:val="006F3E6F"/>
    <w:rsid w:val="006F4B2E"/>
    <w:rsid w:val="006F6693"/>
    <w:rsid w:val="00700378"/>
    <w:rsid w:val="00700E15"/>
    <w:rsid w:val="007012D2"/>
    <w:rsid w:val="00704272"/>
    <w:rsid w:val="00704EAC"/>
    <w:rsid w:val="00707F8F"/>
    <w:rsid w:val="00707FE8"/>
    <w:rsid w:val="00714AAE"/>
    <w:rsid w:val="00724962"/>
    <w:rsid w:val="00724A0F"/>
    <w:rsid w:val="00726027"/>
    <w:rsid w:val="00726D2F"/>
    <w:rsid w:val="007273A6"/>
    <w:rsid w:val="00736732"/>
    <w:rsid w:val="00740019"/>
    <w:rsid w:val="007432F9"/>
    <w:rsid w:val="00746426"/>
    <w:rsid w:val="00747C87"/>
    <w:rsid w:val="00750BF9"/>
    <w:rsid w:val="00750CBE"/>
    <w:rsid w:val="00751C3B"/>
    <w:rsid w:val="007579F3"/>
    <w:rsid w:val="00757B35"/>
    <w:rsid w:val="007650D2"/>
    <w:rsid w:val="00765986"/>
    <w:rsid w:val="00766B5A"/>
    <w:rsid w:val="00767B8C"/>
    <w:rsid w:val="0077000B"/>
    <w:rsid w:val="007702EA"/>
    <w:rsid w:val="00772209"/>
    <w:rsid w:val="007770A5"/>
    <w:rsid w:val="00777ABD"/>
    <w:rsid w:val="007834F2"/>
    <w:rsid w:val="0078432C"/>
    <w:rsid w:val="00785BD2"/>
    <w:rsid w:val="00791020"/>
    <w:rsid w:val="00791EE0"/>
    <w:rsid w:val="007949CE"/>
    <w:rsid w:val="00796484"/>
    <w:rsid w:val="00797819"/>
    <w:rsid w:val="007A04D2"/>
    <w:rsid w:val="007A437E"/>
    <w:rsid w:val="007A5F82"/>
    <w:rsid w:val="007B0243"/>
    <w:rsid w:val="007B0601"/>
    <w:rsid w:val="007B19B7"/>
    <w:rsid w:val="007B55C7"/>
    <w:rsid w:val="007D37A2"/>
    <w:rsid w:val="007D5F9E"/>
    <w:rsid w:val="007D6713"/>
    <w:rsid w:val="007E098F"/>
    <w:rsid w:val="007E3BA2"/>
    <w:rsid w:val="007E51F0"/>
    <w:rsid w:val="007E5BF1"/>
    <w:rsid w:val="007F0631"/>
    <w:rsid w:val="007F0D76"/>
    <w:rsid w:val="007F1A4C"/>
    <w:rsid w:val="007F2A49"/>
    <w:rsid w:val="007F31C9"/>
    <w:rsid w:val="007F341B"/>
    <w:rsid w:val="007F38D3"/>
    <w:rsid w:val="007F4C61"/>
    <w:rsid w:val="007F723F"/>
    <w:rsid w:val="007F7D05"/>
    <w:rsid w:val="008022C3"/>
    <w:rsid w:val="008041E6"/>
    <w:rsid w:val="008065D2"/>
    <w:rsid w:val="00815A8A"/>
    <w:rsid w:val="0082194C"/>
    <w:rsid w:val="008222FF"/>
    <w:rsid w:val="008241FF"/>
    <w:rsid w:val="00827454"/>
    <w:rsid w:val="0083539D"/>
    <w:rsid w:val="00836CC9"/>
    <w:rsid w:val="008405B7"/>
    <w:rsid w:val="008411E9"/>
    <w:rsid w:val="00841617"/>
    <w:rsid w:val="008417E8"/>
    <w:rsid w:val="0084200F"/>
    <w:rsid w:val="00843B2C"/>
    <w:rsid w:val="00844F16"/>
    <w:rsid w:val="00847745"/>
    <w:rsid w:val="00855FF9"/>
    <w:rsid w:val="0086277A"/>
    <w:rsid w:val="00864039"/>
    <w:rsid w:val="008656DC"/>
    <w:rsid w:val="00865A5B"/>
    <w:rsid w:val="008668A8"/>
    <w:rsid w:val="0087183D"/>
    <w:rsid w:val="008719DF"/>
    <w:rsid w:val="00876171"/>
    <w:rsid w:val="008768AD"/>
    <w:rsid w:val="00876FB5"/>
    <w:rsid w:val="00880AC4"/>
    <w:rsid w:val="00897447"/>
    <w:rsid w:val="008A0615"/>
    <w:rsid w:val="008A1C46"/>
    <w:rsid w:val="008A36DB"/>
    <w:rsid w:val="008A4297"/>
    <w:rsid w:val="008A4900"/>
    <w:rsid w:val="008A55FE"/>
    <w:rsid w:val="008A5EAD"/>
    <w:rsid w:val="008B146D"/>
    <w:rsid w:val="008B3794"/>
    <w:rsid w:val="008B42AD"/>
    <w:rsid w:val="008B5666"/>
    <w:rsid w:val="008B77F1"/>
    <w:rsid w:val="008C2834"/>
    <w:rsid w:val="008C6566"/>
    <w:rsid w:val="008D0281"/>
    <w:rsid w:val="008D09AC"/>
    <w:rsid w:val="008D676E"/>
    <w:rsid w:val="008D692E"/>
    <w:rsid w:val="008D6AEE"/>
    <w:rsid w:val="008E2348"/>
    <w:rsid w:val="008E273D"/>
    <w:rsid w:val="008E347D"/>
    <w:rsid w:val="008E43E6"/>
    <w:rsid w:val="008E4DFC"/>
    <w:rsid w:val="008E7E47"/>
    <w:rsid w:val="008F04C8"/>
    <w:rsid w:val="008F0C34"/>
    <w:rsid w:val="008F64E9"/>
    <w:rsid w:val="008F6D45"/>
    <w:rsid w:val="008F6F6B"/>
    <w:rsid w:val="008F6F8B"/>
    <w:rsid w:val="00900059"/>
    <w:rsid w:val="00903F5A"/>
    <w:rsid w:val="00903F81"/>
    <w:rsid w:val="00905E6A"/>
    <w:rsid w:val="0090765A"/>
    <w:rsid w:val="00907FF7"/>
    <w:rsid w:val="009151FB"/>
    <w:rsid w:val="00916FB6"/>
    <w:rsid w:val="00920E37"/>
    <w:rsid w:val="00922944"/>
    <w:rsid w:val="0092789A"/>
    <w:rsid w:val="00931859"/>
    <w:rsid w:val="00931FD9"/>
    <w:rsid w:val="00934C41"/>
    <w:rsid w:val="00936479"/>
    <w:rsid w:val="00937A10"/>
    <w:rsid w:val="00941491"/>
    <w:rsid w:val="009464B0"/>
    <w:rsid w:val="009479F8"/>
    <w:rsid w:val="00947A0F"/>
    <w:rsid w:val="00947C73"/>
    <w:rsid w:val="00950E42"/>
    <w:rsid w:val="00951BA2"/>
    <w:rsid w:val="00952829"/>
    <w:rsid w:val="009579EA"/>
    <w:rsid w:val="00960A2F"/>
    <w:rsid w:val="00966115"/>
    <w:rsid w:val="00967B97"/>
    <w:rsid w:val="00972812"/>
    <w:rsid w:val="0097378F"/>
    <w:rsid w:val="00974B3F"/>
    <w:rsid w:val="00982D83"/>
    <w:rsid w:val="009834C0"/>
    <w:rsid w:val="0098622B"/>
    <w:rsid w:val="00986AAC"/>
    <w:rsid w:val="00986F5C"/>
    <w:rsid w:val="00990346"/>
    <w:rsid w:val="009905FA"/>
    <w:rsid w:val="00992D6A"/>
    <w:rsid w:val="00993B69"/>
    <w:rsid w:val="00994B72"/>
    <w:rsid w:val="00995526"/>
    <w:rsid w:val="009A0815"/>
    <w:rsid w:val="009A0E50"/>
    <w:rsid w:val="009A1DA2"/>
    <w:rsid w:val="009A2297"/>
    <w:rsid w:val="009A35AA"/>
    <w:rsid w:val="009A3704"/>
    <w:rsid w:val="009A4739"/>
    <w:rsid w:val="009A674F"/>
    <w:rsid w:val="009A6D22"/>
    <w:rsid w:val="009B199C"/>
    <w:rsid w:val="009B3849"/>
    <w:rsid w:val="009B5979"/>
    <w:rsid w:val="009B61F1"/>
    <w:rsid w:val="009B62E0"/>
    <w:rsid w:val="009C2140"/>
    <w:rsid w:val="009C3D88"/>
    <w:rsid w:val="009E0ECD"/>
    <w:rsid w:val="009E1651"/>
    <w:rsid w:val="009E1B80"/>
    <w:rsid w:val="009E3858"/>
    <w:rsid w:val="009E3895"/>
    <w:rsid w:val="009E467D"/>
    <w:rsid w:val="009E4942"/>
    <w:rsid w:val="009E6C00"/>
    <w:rsid w:val="009E70DD"/>
    <w:rsid w:val="009E7166"/>
    <w:rsid w:val="009F081D"/>
    <w:rsid w:val="009F2ED9"/>
    <w:rsid w:val="009F3151"/>
    <w:rsid w:val="009F3231"/>
    <w:rsid w:val="009F5AAA"/>
    <w:rsid w:val="009F5C58"/>
    <w:rsid w:val="009F653D"/>
    <w:rsid w:val="00A023A0"/>
    <w:rsid w:val="00A034F7"/>
    <w:rsid w:val="00A05E49"/>
    <w:rsid w:val="00A05EBC"/>
    <w:rsid w:val="00A06289"/>
    <w:rsid w:val="00A10CCB"/>
    <w:rsid w:val="00A1562B"/>
    <w:rsid w:val="00A170F4"/>
    <w:rsid w:val="00A21408"/>
    <w:rsid w:val="00A21CFD"/>
    <w:rsid w:val="00A2279F"/>
    <w:rsid w:val="00A23BA4"/>
    <w:rsid w:val="00A25AA7"/>
    <w:rsid w:val="00A25B78"/>
    <w:rsid w:val="00A27A9E"/>
    <w:rsid w:val="00A27B01"/>
    <w:rsid w:val="00A330D5"/>
    <w:rsid w:val="00A35531"/>
    <w:rsid w:val="00A400CC"/>
    <w:rsid w:val="00A40495"/>
    <w:rsid w:val="00A42E39"/>
    <w:rsid w:val="00A455CC"/>
    <w:rsid w:val="00A45CB0"/>
    <w:rsid w:val="00A46288"/>
    <w:rsid w:val="00A46BA8"/>
    <w:rsid w:val="00A47634"/>
    <w:rsid w:val="00A54761"/>
    <w:rsid w:val="00A55BF3"/>
    <w:rsid w:val="00A5790F"/>
    <w:rsid w:val="00A612FE"/>
    <w:rsid w:val="00A62FF6"/>
    <w:rsid w:val="00A64E68"/>
    <w:rsid w:val="00A66F4D"/>
    <w:rsid w:val="00A703B3"/>
    <w:rsid w:val="00A70B49"/>
    <w:rsid w:val="00A740D4"/>
    <w:rsid w:val="00A8084F"/>
    <w:rsid w:val="00A913AF"/>
    <w:rsid w:val="00A92D94"/>
    <w:rsid w:val="00AA1337"/>
    <w:rsid w:val="00AA26B8"/>
    <w:rsid w:val="00AA2919"/>
    <w:rsid w:val="00AA3A3B"/>
    <w:rsid w:val="00AA4288"/>
    <w:rsid w:val="00AA4907"/>
    <w:rsid w:val="00AA6875"/>
    <w:rsid w:val="00AB01B8"/>
    <w:rsid w:val="00AB1B76"/>
    <w:rsid w:val="00AB24E4"/>
    <w:rsid w:val="00AC0B87"/>
    <w:rsid w:val="00AC1213"/>
    <w:rsid w:val="00AC2624"/>
    <w:rsid w:val="00AC32A8"/>
    <w:rsid w:val="00AD1351"/>
    <w:rsid w:val="00AD1E4C"/>
    <w:rsid w:val="00AD3079"/>
    <w:rsid w:val="00AD4528"/>
    <w:rsid w:val="00AD7E4E"/>
    <w:rsid w:val="00AE271D"/>
    <w:rsid w:val="00AE5E04"/>
    <w:rsid w:val="00AF12CD"/>
    <w:rsid w:val="00AF4D58"/>
    <w:rsid w:val="00AF4F90"/>
    <w:rsid w:val="00AF534C"/>
    <w:rsid w:val="00AF63A6"/>
    <w:rsid w:val="00AF6666"/>
    <w:rsid w:val="00AF7BC5"/>
    <w:rsid w:val="00B01456"/>
    <w:rsid w:val="00B07565"/>
    <w:rsid w:val="00B1051C"/>
    <w:rsid w:val="00B10AAF"/>
    <w:rsid w:val="00B116E3"/>
    <w:rsid w:val="00B11B3E"/>
    <w:rsid w:val="00B142B9"/>
    <w:rsid w:val="00B15592"/>
    <w:rsid w:val="00B16529"/>
    <w:rsid w:val="00B16D2B"/>
    <w:rsid w:val="00B2279D"/>
    <w:rsid w:val="00B23AE9"/>
    <w:rsid w:val="00B23ECF"/>
    <w:rsid w:val="00B254CB"/>
    <w:rsid w:val="00B301EE"/>
    <w:rsid w:val="00B37FF8"/>
    <w:rsid w:val="00B40DB1"/>
    <w:rsid w:val="00B41DEC"/>
    <w:rsid w:val="00B46074"/>
    <w:rsid w:val="00B515DB"/>
    <w:rsid w:val="00B51C51"/>
    <w:rsid w:val="00B556E1"/>
    <w:rsid w:val="00B56C89"/>
    <w:rsid w:val="00B56D5E"/>
    <w:rsid w:val="00B64ADF"/>
    <w:rsid w:val="00B65A54"/>
    <w:rsid w:val="00B673BB"/>
    <w:rsid w:val="00B71711"/>
    <w:rsid w:val="00B72015"/>
    <w:rsid w:val="00B73B9C"/>
    <w:rsid w:val="00B765F7"/>
    <w:rsid w:val="00B80951"/>
    <w:rsid w:val="00B81204"/>
    <w:rsid w:val="00B81795"/>
    <w:rsid w:val="00B81B44"/>
    <w:rsid w:val="00B85812"/>
    <w:rsid w:val="00B9053B"/>
    <w:rsid w:val="00B96D28"/>
    <w:rsid w:val="00B9777C"/>
    <w:rsid w:val="00BA04FE"/>
    <w:rsid w:val="00BA0C37"/>
    <w:rsid w:val="00BA3782"/>
    <w:rsid w:val="00BA4A09"/>
    <w:rsid w:val="00BA5BEB"/>
    <w:rsid w:val="00BA740A"/>
    <w:rsid w:val="00BB00EF"/>
    <w:rsid w:val="00BB3151"/>
    <w:rsid w:val="00BB4D98"/>
    <w:rsid w:val="00BB4EBF"/>
    <w:rsid w:val="00BB59E0"/>
    <w:rsid w:val="00BB6838"/>
    <w:rsid w:val="00BB68F3"/>
    <w:rsid w:val="00BB7DF0"/>
    <w:rsid w:val="00BC3422"/>
    <w:rsid w:val="00BC437C"/>
    <w:rsid w:val="00BC5458"/>
    <w:rsid w:val="00BC6008"/>
    <w:rsid w:val="00BC6E19"/>
    <w:rsid w:val="00BD05FA"/>
    <w:rsid w:val="00BD0B31"/>
    <w:rsid w:val="00BD0BF3"/>
    <w:rsid w:val="00BD1585"/>
    <w:rsid w:val="00BD4FF1"/>
    <w:rsid w:val="00BD5018"/>
    <w:rsid w:val="00BE1608"/>
    <w:rsid w:val="00BE4EDC"/>
    <w:rsid w:val="00BE5ADC"/>
    <w:rsid w:val="00BE763E"/>
    <w:rsid w:val="00BF1A14"/>
    <w:rsid w:val="00BF3D04"/>
    <w:rsid w:val="00BF4F96"/>
    <w:rsid w:val="00C015B9"/>
    <w:rsid w:val="00C022F9"/>
    <w:rsid w:val="00C032EA"/>
    <w:rsid w:val="00C06EB5"/>
    <w:rsid w:val="00C1145F"/>
    <w:rsid w:val="00C11CD1"/>
    <w:rsid w:val="00C15701"/>
    <w:rsid w:val="00C15DBE"/>
    <w:rsid w:val="00C17654"/>
    <w:rsid w:val="00C216B0"/>
    <w:rsid w:val="00C258F2"/>
    <w:rsid w:val="00C26F95"/>
    <w:rsid w:val="00C2715F"/>
    <w:rsid w:val="00C30637"/>
    <w:rsid w:val="00C319F5"/>
    <w:rsid w:val="00C32799"/>
    <w:rsid w:val="00C32D49"/>
    <w:rsid w:val="00C33AD3"/>
    <w:rsid w:val="00C41B3C"/>
    <w:rsid w:val="00C43F06"/>
    <w:rsid w:val="00C4510D"/>
    <w:rsid w:val="00C45702"/>
    <w:rsid w:val="00C47503"/>
    <w:rsid w:val="00C50A2B"/>
    <w:rsid w:val="00C51C01"/>
    <w:rsid w:val="00C539DC"/>
    <w:rsid w:val="00C60699"/>
    <w:rsid w:val="00C637E1"/>
    <w:rsid w:val="00C63C7E"/>
    <w:rsid w:val="00C67139"/>
    <w:rsid w:val="00C67442"/>
    <w:rsid w:val="00C67EAC"/>
    <w:rsid w:val="00C70D50"/>
    <w:rsid w:val="00C72252"/>
    <w:rsid w:val="00C73BC3"/>
    <w:rsid w:val="00C76B9F"/>
    <w:rsid w:val="00C777A4"/>
    <w:rsid w:val="00C81050"/>
    <w:rsid w:val="00C907D7"/>
    <w:rsid w:val="00C91172"/>
    <w:rsid w:val="00C92338"/>
    <w:rsid w:val="00C9535B"/>
    <w:rsid w:val="00C956DB"/>
    <w:rsid w:val="00C95AF7"/>
    <w:rsid w:val="00C95E66"/>
    <w:rsid w:val="00C96051"/>
    <w:rsid w:val="00C964DD"/>
    <w:rsid w:val="00C97B86"/>
    <w:rsid w:val="00CA05DC"/>
    <w:rsid w:val="00CA66AF"/>
    <w:rsid w:val="00CA7B47"/>
    <w:rsid w:val="00CB1DD6"/>
    <w:rsid w:val="00CB3976"/>
    <w:rsid w:val="00CB441A"/>
    <w:rsid w:val="00CB69EE"/>
    <w:rsid w:val="00CC2670"/>
    <w:rsid w:val="00CC6087"/>
    <w:rsid w:val="00CD0307"/>
    <w:rsid w:val="00CD27BE"/>
    <w:rsid w:val="00CD3D1B"/>
    <w:rsid w:val="00CE083F"/>
    <w:rsid w:val="00CE4670"/>
    <w:rsid w:val="00CE5D9E"/>
    <w:rsid w:val="00CE6EC4"/>
    <w:rsid w:val="00CF2474"/>
    <w:rsid w:val="00CF6EC4"/>
    <w:rsid w:val="00D02663"/>
    <w:rsid w:val="00D042C0"/>
    <w:rsid w:val="00D0633E"/>
    <w:rsid w:val="00D11060"/>
    <w:rsid w:val="00D12DAE"/>
    <w:rsid w:val="00D12E74"/>
    <w:rsid w:val="00D1423C"/>
    <w:rsid w:val="00D15955"/>
    <w:rsid w:val="00D2312F"/>
    <w:rsid w:val="00D235C1"/>
    <w:rsid w:val="00D23B04"/>
    <w:rsid w:val="00D24AF5"/>
    <w:rsid w:val="00D269C1"/>
    <w:rsid w:val="00D27944"/>
    <w:rsid w:val="00D361BA"/>
    <w:rsid w:val="00D40D8B"/>
    <w:rsid w:val="00D41B2F"/>
    <w:rsid w:val="00D433B6"/>
    <w:rsid w:val="00D441B7"/>
    <w:rsid w:val="00D446CC"/>
    <w:rsid w:val="00D446CE"/>
    <w:rsid w:val="00D44953"/>
    <w:rsid w:val="00D451B0"/>
    <w:rsid w:val="00D501B5"/>
    <w:rsid w:val="00D518CB"/>
    <w:rsid w:val="00D53E97"/>
    <w:rsid w:val="00D542F3"/>
    <w:rsid w:val="00D54513"/>
    <w:rsid w:val="00D54AAE"/>
    <w:rsid w:val="00D5644B"/>
    <w:rsid w:val="00D56E25"/>
    <w:rsid w:val="00D57E89"/>
    <w:rsid w:val="00D607C4"/>
    <w:rsid w:val="00D6089A"/>
    <w:rsid w:val="00D6093D"/>
    <w:rsid w:val="00D60E1A"/>
    <w:rsid w:val="00D6560D"/>
    <w:rsid w:val="00D65D77"/>
    <w:rsid w:val="00D662E0"/>
    <w:rsid w:val="00D66592"/>
    <w:rsid w:val="00D718D7"/>
    <w:rsid w:val="00D814B7"/>
    <w:rsid w:val="00D86093"/>
    <w:rsid w:val="00D863EB"/>
    <w:rsid w:val="00D8720A"/>
    <w:rsid w:val="00D90688"/>
    <w:rsid w:val="00D948D8"/>
    <w:rsid w:val="00D95D65"/>
    <w:rsid w:val="00DA18B5"/>
    <w:rsid w:val="00DA3038"/>
    <w:rsid w:val="00DA3AAD"/>
    <w:rsid w:val="00DA78F0"/>
    <w:rsid w:val="00DB0804"/>
    <w:rsid w:val="00DB30AA"/>
    <w:rsid w:val="00DB312B"/>
    <w:rsid w:val="00DC4EE2"/>
    <w:rsid w:val="00DC5533"/>
    <w:rsid w:val="00DC5654"/>
    <w:rsid w:val="00DC658F"/>
    <w:rsid w:val="00DC674A"/>
    <w:rsid w:val="00DD0E52"/>
    <w:rsid w:val="00DD34D3"/>
    <w:rsid w:val="00DD6383"/>
    <w:rsid w:val="00DD7FAE"/>
    <w:rsid w:val="00DE0E4E"/>
    <w:rsid w:val="00DE60CC"/>
    <w:rsid w:val="00DF2809"/>
    <w:rsid w:val="00DF4809"/>
    <w:rsid w:val="00DF52CC"/>
    <w:rsid w:val="00E06416"/>
    <w:rsid w:val="00E15E4E"/>
    <w:rsid w:val="00E17C00"/>
    <w:rsid w:val="00E22A20"/>
    <w:rsid w:val="00E23617"/>
    <w:rsid w:val="00E268F7"/>
    <w:rsid w:val="00E26B32"/>
    <w:rsid w:val="00E31CD4"/>
    <w:rsid w:val="00E31E60"/>
    <w:rsid w:val="00E3201C"/>
    <w:rsid w:val="00E33BD9"/>
    <w:rsid w:val="00E33E08"/>
    <w:rsid w:val="00E35A78"/>
    <w:rsid w:val="00E36608"/>
    <w:rsid w:val="00E407B6"/>
    <w:rsid w:val="00E41EF1"/>
    <w:rsid w:val="00E42942"/>
    <w:rsid w:val="00E529C0"/>
    <w:rsid w:val="00E543D9"/>
    <w:rsid w:val="00E55653"/>
    <w:rsid w:val="00E65A0A"/>
    <w:rsid w:val="00E66CD7"/>
    <w:rsid w:val="00E71BDF"/>
    <w:rsid w:val="00E72D25"/>
    <w:rsid w:val="00E72E8A"/>
    <w:rsid w:val="00E739E4"/>
    <w:rsid w:val="00E75CCB"/>
    <w:rsid w:val="00E8245B"/>
    <w:rsid w:val="00E82C21"/>
    <w:rsid w:val="00E82F59"/>
    <w:rsid w:val="00E83CA7"/>
    <w:rsid w:val="00E911C3"/>
    <w:rsid w:val="00E92192"/>
    <w:rsid w:val="00E92761"/>
    <w:rsid w:val="00E95A71"/>
    <w:rsid w:val="00E95A85"/>
    <w:rsid w:val="00EA005B"/>
    <w:rsid w:val="00EA030C"/>
    <w:rsid w:val="00EA0DA3"/>
    <w:rsid w:val="00EA0F6C"/>
    <w:rsid w:val="00EA2B81"/>
    <w:rsid w:val="00EA2CE3"/>
    <w:rsid w:val="00EA511A"/>
    <w:rsid w:val="00EA5761"/>
    <w:rsid w:val="00EB0677"/>
    <w:rsid w:val="00EB363A"/>
    <w:rsid w:val="00EB4A00"/>
    <w:rsid w:val="00EB6068"/>
    <w:rsid w:val="00EB7014"/>
    <w:rsid w:val="00EC161C"/>
    <w:rsid w:val="00EC5CDE"/>
    <w:rsid w:val="00EC62F7"/>
    <w:rsid w:val="00ED0D22"/>
    <w:rsid w:val="00ED3077"/>
    <w:rsid w:val="00ED487E"/>
    <w:rsid w:val="00ED64F1"/>
    <w:rsid w:val="00ED656C"/>
    <w:rsid w:val="00EE0887"/>
    <w:rsid w:val="00EE0D1B"/>
    <w:rsid w:val="00EE33A1"/>
    <w:rsid w:val="00EE39EB"/>
    <w:rsid w:val="00EE7A0D"/>
    <w:rsid w:val="00EF295D"/>
    <w:rsid w:val="00EF4286"/>
    <w:rsid w:val="00EF699F"/>
    <w:rsid w:val="00F009F0"/>
    <w:rsid w:val="00F0222C"/>
    <w:rsid w:val="00F024AD"/>
    <w:rsid w:val="00F06965"/>
    <w:rsid w:val="00F12312"/>
    <w:rsid w:val="00F15621"/>
    <w:rsid w:val="00F1594E"/>
    <w:rsid w:val="00F177C7"/>
    <w:rsid w:val="00F17CE1"/>
    <w:rsid w:val="00F2115C"/>
    <w:rsid w:val="00F22ABA"/>
    <w:rsid w:val="00F31304"/>
    <w:rsid w:val="00F329F6"/>
    <w:rsid w:val="00F349C9"/>
    <w:rsid w:val="00F35AA9"/>
    <w:rsid w:val="00F36B12"/>
    <w:rsid w:val="00F47C64"/>
    <w:rsid w:val="00F504CA"/>
    <w:rsid w:val="00F60F9F"/>
    <w:rsid w:val="00F635D9"/>
    <w:rsid w:val="00F64F08"/>
    <w:rsid w:val="00F67ED5"/>
    <w:rsid w:val="00F70055"/>
    <w:rsid w:val="00F71150"/>
    <w:rsid w:val="00F71D46"/>
    <w:rsid w:val="00F734F5"/>
    <w:rsid w:val="00F73B5B"/>
    <w:rsid w:val="00F73E28"/>
    <w:rsid w:val="00F808FA"/>
    <w:rsid w:val="00F9024F"/>
    <w:rsid w:val="00F90EA5"/>
    <w:rsid w:val="00F918D7"/>
    <w:rsid w:val="00F91F5A"/>
    <w:rsid w:val="00F966B1"/>
    <w:rsid w:val="00F97D48"/>
    <w:rsid w:val="00FA0311"/>
    <w:rsid w:val="00FA1489"/>
    <w:rsid w:val="00FA39E1"/>
    <w:rsid w:val="00FA5EB0"/>
    <w:rsid w:val="00FB1241"/>
    <w:rsid w:val="00FB396D"/>
    <w:rsid w:val="00FB3E48"/>
    <w:rsid w:val="00FC5478"/>
    <w:rsid w:val="00FC6E8F"/>
    <w:rsid w:val="00FD50F0"/>
    <w:rsid w:val="00FD640F"/>
    <w:rsid w:val="00FD6B4C"/>
    <w:rsid w:val="00FD7069"/>
    <w:rsid w:val="00FE0553"/>
    <w:rsid w:val="00FE25D0"/>
    <w:rsid w:val="00FE2DE0"/>
    <w:rsid w:val="00FE6B45"/>
    <w:rsid w:val="00FE6CB3"/>
    <w:rsid w:val="00FF12D5"/>
    <w:rsid w:val="00FF411C"/>
    <w:rsid w:val="00FF4597"/>
    <w:rsid w:val="00FF4E99"/>
    <w:rsid w:val="00FF73B5"/>
    <w:rsid w:val="01259CDC"/>
    <w:rsid w:val="0258EB81"/>
    <w:rsid w:val="047BA3C4"/>
    <w:rsid w:val="04CECD45"/>
    <w:rsid w:val="05037832"/>
    <w:rsid w:val="07696708"/>
    <w:rsid w:val="0912F645"/>
    <w:rsid w:val="095526B5"/>
    <w:rsid w:val="0988D3AB"/>
    <w:rsid w:val="0A51D64A"/>
    <w:rsid w:val="0B27594E"/>
    <w:rsid w:val="0B45B0FD"/>
    <w:rsid w:val="0BCBE82C"/>
    <w:rsid w:val="0C0D1D91"/>
    <w:rsid w:val="0E124C18"/>
    <w:rsid w:val="1020DF01"/>
    <w:rsid w:val="10916573"/>
    <w:rsid w:val="1143CA85"/>
    <w:rsid w:val="11694023"/>
    <w:rsid w:val="1468A98C"/>
    <w:rsid w:val="14A7D151"/>
    <w:rsid w:val="14E0887E"/>
    <w:rsid w:val="190C2807"/>
    <w:rsid w:val="191DB818"/>
    <w:rsid w:val="19BFECA6"/>
    <w:rsid w:val="19C52011"/>
    <w:rsid w:val="1C9F8F76"/>
    <w:rsid w:val="1D3C1CF6"/>
    <w:rsid w:val="1D6E568A"/>
    <w:rsid w:val="1DA997E5"/>
    <w:rsid w:val="1F2045B6"/>
    <w:rsid w:val="1F484016"/>
    <w:rsid w:val="206BABDB"/>
    <w:rsid w:val="20E8D38F"/>
    <w:rsid w:val="22308A35"/>
    <w:rsid w:val="22D12603"/>
    <w:rsid w:val="238AD2EF"/>
    <w:rsid w:val="24D06F45"/>
    <w:rsid w:val="255A7AA0"/>
    <w:rsid w:val="257B396F"/>
    <w:rsid w:val="25D3820A"/>
    <w:rsid w:val="27E75636"/>
    <w:rsid w:val="2B4738AD"/>
    <w:rsid w:val="2DFD1921"/>
    <w:rsid w:val="2E17FBF7"/>
    <w:rsid w:val="2F625DAA"/>
    <w:rsid w:val="30C25297"/>
    <w:rsid w:val="31122DAE"/>
    <w:rsid w:val="3129C7E3"/>
    <w:rsid w:val="31378C06"/>
    <w:rsid w:val="316605BD"/>
    <w:rsid w:val="331A3B9C"/>
    <w:rsid w:val="3351E882"/>
    <w:rsid w:val="339523AB"/>
    <w:rsid w:val="33DF72B1"/>
    <w:rsid w:val="347AEF3F"/>
    <w:rsid w:val="3545F550"/>
    <w:rsid w:val="3586F3FC"/>
    <w:rsid w:val="35A448B0"/>
    <w:rsid w:val="362DB256"/>
    <w:rsid w:val="3797B2E8"/>
    <w:rsid w:val="37CE6C66"/>
    <w:rsid w:val="37DED3A2"/>
    <w:rsid w:val="37F9E758"/>
    <w:rsid w:val="38955586"/>
    <w:rsid w:val="38B87F52"/>
    <w:rsid w:val="3911F6C4"/>
    <w:rsid w:val="39A1768D"/>
    <w:rsid w:val="3A72AD78"/>
    <w:rsid w:val="3A838B2F"/>
    <w:rsid w:val="3B3D46EE"/>
    <w:rsid w:val="3B6D9E6F"/>
    <w:rsid w:val="3BA8FEF8"/>
    <w:rsid w:val="3C825961"/>
    <w:rsid w:val="3CD2CCA4"/>
    <w:rsid w:val="3EF3AE32"/>
    <w:rsid w:val="3F680FEB"/>
    <w:rsid w:val="40085AAD"/>
    <w:rsid w:val="40D329EC"/>
    <w:rsid w:val="42CF4C19"/>
    <w:rsid w:val="437AA082"/>
    <w:rsid w:val="44F58AFF"/>
    <w:rsid w:val="45D3B537"/>
    <w:rsid w:val="480B7513"/>
    <w:rsid w:val="48975C11"/>
    <w:rsid w:val="4AA19C7F"/>
    <w:rsid w:val="4BC8F06D"/>
    <w:rsid w:val="4BCF4B5C"/>
    <w:rsid w:val="4C3D6CE0"/>
    <w:rsid w:val="4CCAB21A"/>
    <w:rsid w:val="4CCCDC64"/>
    <w:rsid w:val="4CDFB329"/>
    <w:rsid w:val="4D64C0CE"/>
    <w:rsid w:val="4D8DB23A"/>
    <w:rsid w:val="4E99AB08"/>
    <w:rsid w:val="4F0E8C30"/>
    <w:rsid w:val="50305BFD"/>
    <w:rsid w:val="51948ABE"/>
    <w:rsid w:val="51FD1B57"/>
    <w:rsid w:val="52C96505"/>
    <w:rsid w:val="53085E35"/>
    <w:rsid w:val="548AAB04"/>
    <w:rsid w:val="557A5518"/>
    <w:rsid w:val="5582F6A3"/>
    <w:rsid w:val="55E04AC4"/>
    <w:rsid w:val="5697F0E7"/>
    <w:rsid w:val="5A4C32A4"/>
    <w:rsid w:val="5BAB833C"/>
    <w:rsid w:val="5C42C512"/>
    <w:rsid w:val="5CB24C3B"/>
    <w:rsid w:val="5D2B76ED"/>
    <w:rsid w:val="5D2C13A4"/>
    <w:rsid w:val="5E634C6C"/>
    <w:rsid w:val="6033DE1D"/>
    <w:rsid w:val="60578D83"/>
    <w:rsid w:val="643EE61A"/>
    <w:rsid w:val="64C10791"/>
    <w:rsid w:val="684DF08E"/>
    <w:rsid w:val="688541C5"/>
    <w:rsid w:val="68D29E06"/>
    <w:rsid w:val="6917D9B1"/>
    <w:rsid w:val="6A1DC1E1"/>
    <w:rsid w:val="6B5757E2"/>
    <w:rsid w:val="6D9073CE"/>
    <w:rsid w:val="6F821C15"/>
    <w:rsid w:val="6FA90768"/>
    <w:rsid w:val="6FCE2DBF"/>
    <w:rsid w:val="708D05AA"/>
    <w:rsid w:val="722E7ECC"/>
    <w:rsid w:val="728E7D3B"/>
    <w:rsid w:val="73DEF5A9"/>
    <w:rsid w:val="73EAA791"/>
    <w:rsid w:val="7606DB74"/>
    <w:rsid w:val="76A793CF"/>
    <w:rsid w:val="76E967B0"/>
    <w:rsid w:val="77063CCC"/>
    <w:rsid w:val="7794982C"/>
    <w:rsid w:val="785A3D8D"/>
    <w:rsid w:val="79DF3491"/>
    <w:rsid w:val="7C5545C7"/>
    <w:rsid w:val="7CCEEC8F"/>
    <w:rsid w:val="7DB56D37"/>
    <w:rsid w:val="7E7D6128"/>
    <w:rsid w:val="7F8681B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8122E"/>
  <w15:docId w15:val="{2A95087D-8A1B-4BE7-AD47-D8C437098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semiHidden="1" w:uiPriority="0" w:qFormat="1"/>
    <w:lsdException w:name="footnote text" w:semiHidden="1" w:uiPriority="8"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rsid w:val="00876171"/>
  </w:style>
  <w:style w:type="paragraph" w:styleId="Heading1">
    <w:name w:val="heading 1"/>
    <w:basedOn w:val="Normal"/>
    <w:next w:val="SCVbody"/>
    <w:link w:val="Heading1Char"/>
    <w:qFormat/>
    <w:rsid w:val="00C15DBE"/>
    <w:pPr>
      <w:keepNext/>
      <w:keepLines/>
      <w:suppressAutoHyphens/>
      <w:spacing w:before="320" w:line="240" w:lineRule="auto"/>
      <w:outlineLvl w:val="0"/>
    </w:pPr>
    <w:rPr>
      <w:rFonts w:asciiTheme="majorHAnsi" w:eastAsiaTheme="majorEastAsia" w:hAnsiTheme="majorHAnsi" w:cstheme="majorBidi"/>
      <w:b/>
      <w:bCs/>
      <w:color w:val="007586" w:themeColor="text2"/>
      <w:sz w:val="32"/>
      <w:szCs w:val="32"/>
    </w:rPr>
  </w:style>
  <w:style w:type="paragraph" w:styleId="Heading2">
    <w:name w:val="heading 2"/>
    <w:basedOn w:val="Normal"/>
    <w:next w:val="SCVbody"/>
    <w:link w:val="Heading2Char"/>
    <w:qFormat/>
    <w:rsid w:val="00385D03"/>
    <w:pPr>
      <w:keepNext/>
      <w:keepLines/>
      <w:spacing w:before="280" w:after="80" w:line="240" w:lineRule="auto"/>
      <w:outlineLvl w:val="1"/>
    </w:pPr>
    <w:rPr>
      <w:rFonts w:asciiTheme="majorHAnsi" w:eastAsiaTheme="majorEastAsia" w:hAnsiTheme="majorHAnsi" w:cstheme="majorBidi"/>
      <w:b/>
      <w:bCs/>
      <w:sz w:val="26"/>
      <w:szCs w:val="26"/>
    </w:rPr>
  </w:style>
  <w:style w:type="paragraph" w:styleId="Heading3">
    <w:name w:val="heading 3"/>
    <w:basedOn w:val="Normal"/>
    <w:next w:val="SCVbody"/>
    <w:link w:val="Heading3Char"/>
    <w:qFormat/>
    <w:rsid w:val="00385D03"/>
    <w:pPr>
      <w:keepNext/>
      <w:keepLines/>
      <w:spacing w:before="240" w:after="80" w:line="240" w:lineRule="auto"/>
      <w:outlineLvl w:val="2"/>
    </w:pPr>
    <w:rPr>
      <w:rFonts w:asciiTheme="majorHAnsi" w:eastAsiaTheme="majorEastAsia" w:hAnsiTheme="majorHAnsi" w:cstheme="majorBidi"/>
      <w:b/>
      <w:bCs/>
      <w:color w:val="007586" w:themeColor="text2"/>
      <w:sz w:val="24"/>
      <w:szCs w:val="22"/>
    </w:rPr>
  </w:style>
  <w:style w:type="paragraph" w:styleId="Heading4">
    <w:name w:val="heading 4"/>
    <w:basedOn w:val="Normal"/>
    <w:next w:val="SCVbody"/>
    <w:link w:val="Heading4Char"/>
    <w:qFormat/>
    <w:rsid w:val="00A05E49"/>
    <w:pPr>
      <w:keepNext/>
      <w:keepLines/>
      <w:spacing w:before="480" w:after="120" w:line="240" w:lineRule="auto"/>
      <w:outlineLvl w:val="3"/>
    </w:pPr>
    <w:rPr>
      <w:rFonts w:asciiTheme="majorHAnsi" w:eastAsiaTheme="majorEastAsia" w:hAnsiTheme="majorHAnsi" w:cstheme="majorBidi"/>
      <w:b/>
      <w:bCs/>
      <w:iCs/>
      <w:color w:val="000000" w:themeColor="text1"/>
    </w:rPr>
  </w:style>
  <w:style w:type="paragraph" w:styleId="Heading5">
    <w:name w:val="heading 5"/>
    <w:basedOn w:val="Normal"/>
    <w:next w:val="SCVbody"/>
    <w:link w:val="Heading5Char"/>
    <w:uiPriority w:val="1"/>
    <w:semiHidden/>
    <w:qFormat/>
    <w:rsid w:val="00B15592"/>
    <w:pPr>
      <w:keepNext/>
      <w:keepLines/>
      <w:spacing w:before="280" w:after="80" w:line="264" w:lineRule="auto"/>
      <w:outlineLvl w:val="4"/>
    </w:pPr>
    <w:rPr>
      <w:rFonts w:asciiTheme="majorHAnsi" w:eastAsiaTheme="majorEastAsia" w:hAnsiTheme="majorHAnsi" w:cstheme="majorBidi"/>
      <w:color w:val="141A1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350441"/>
    <w:pPr>
      <w:spacing w:before="0" w:after="0" w:line="240" w:lineRule="auto"/>
    </w:pPr>
    <w:rPr>
      <w:rFonts w:eastAsiaTheme="minorHAnsi"/>
      <w:sz w:val="22"/>
      <w:szCs w:val="22"/>
      <w:lang w:eastAsia="en-US"/>
    </w:rPr>
    <w:tblPr>
      <w:tblBorders>
        <w:top w:val="single" w:sz="2" w:space="0" w:color="80808B"/>
        <w:bottom w:val="single" w:sz="2" w:space="0" w:color="80808B"/>
        <w:insideH w:val="single" w:sz="2" w:space="0" w:color="80808B"/>
      </w:tblBorders>
    </w:tblPr>
    <w:tblStylePr w:type="firstRow">
      <w:tblPr/>
      <w:tcPr>
        <w:tcBorders>
          <w:top w:val="nil"/>
          <w:left w:val="nil"/>
          <w:bottom w:val="single" w:sz="24" w:space="0" w:color="CCCCD0"/>
          <w:right w:val="nil"/>
          <w:insideH w:val="nil"/>
          <w:insideV w:val="nil"/>
          <w:tl2br w:val="nil"/>
          <w:tr2bl w:val="nil"/>
        </w:tcBorders>
        <w:shd w:val="clear" w:color="auto" w:fill="EDF5F7" w:themeFill="background2"/>
      </w:tc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pPr>
        <w:spacing w:before="0" w:after="0" w:line="240" w:lineRule="auto"/>
      </w:pPr>
      <w:rPr>
        <w:b/>
        <w:bCs/>
        <w:color w:val="FFFFFF" w:themeColor="background1"/>
      </w:rPr>
      <w:tblPr/>
      <w:tcPr>
        <w:shd w:val="clear" w:color="auto" w:fill="004C97" w:themeFill="accent4"/>
      </w:tcPr>
    </w:tblStylePr>
    <w:tblStylePr w:type="lastRow">
      <w:pPr>
        <w:spacing w:before="0" w:after="0" w:line="240" w:lineRule="auto"/>
      </w:pPr>
      <w:rPr>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tcBorders>
      </w:tcPr>
    </w:tblStylePr>
    <w:tblStylePr w:type="firstCol">
      <w:rPr>
        <w:b/>
        <w:bCs/>
      </w:rPr>
    </w:tblStylePr>
    <w:tblStylePr w:type="lastCol">
      <w:rPr>
        <w:b/>
        <w:bCs/>
      </w:r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pPr>
        <w:spacing w:before="0" w:after="0" w:line="240" w:lineRule="auto"/>
      </w:pPr>
      <w:rPr>
        <w:b/>
        <w:bCs/>
        <w:color w:val="FFFFFF" w:themeColor="background1"/>
      </w:rPr>
      <w:tblPr/>
      <w:tcPr>
        <w:shd w:val="clear" w:color="auto" w:fill="1B242A" w:themeFill="accent1"/>
      </w:tcPr>
    </w:tblStylePr>
    <w:tblStylePr w:type="lastRow">
      <w:pPr>
        <w:spacing w:before="0" w:after="0" w:line="240" w:lineRule="auto"/>
      </w:pPr>
      <w:rPr>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tcBorders>
      </w:tcPr>
    </w:tblStylePr>
    <w:tblStylePr w:type="firstCol">
      <w:rPr>
        <w:b/>
        <w:bCs/>
      </w:rPr>
    </w:tblStylePr>
    <w:tblStylePr w:type="lastCol">
      <w:rPr>
        <w:b/>
        <w:bCs/>
      </w:r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style>
  <w:style w:type="paragraph" w:styleId="TOC1">
    <w:name w:val="toc 1"/>
    <w:basedOn w:val="Normal"/>
    <w:next w:val="Normal"/>
    <w:uiPriority w:val="39"/>
    <w:rsid w:val="00994B72"/>
    <w:pPr>
      <w:keepNext/>
      <w:keepLines/>
      <w:pBdr>
        <w:bottom w:val="single" w:sz="2" w:space="1" w:color="000016"/>
        <w:between w:val="single" w:sz="2" w:space="1" w:color="000000" w:themeColor="text1"/>
      </w:pBdr>
      <w:tabs>
        <w:tab w:val="right" w:pos="10206"/>
      </w:tabs>
      <w:spacing w:before="120" w:after="0"/>
      <w:ind w:right="57"/>
    </w:pPr>
    <w:rPr>
      <w:b/>
      <w:noProof/>
      <w:lang w:eastAsia="en-US"/>
    </w:rPr>
  </w:style>
  <w:style w:type="paragraph" w:styleId="TOC2">
    <w:name w:val="toc 2"/>
    <w:basedOn w:val="Normal"/>
    <w:next w:val="Normal"/>
    <w:uiPriority w:val="39"/>
    <w:rsid w:val="00994B72"/>
    <w:pPr>
      <w:keepLines/>
      <w:pBdr>
        <w:bottom w:val="single" w:sz="2" w:space="1" w:color="000000" w:themeColor="text1"/>
        <w:between w:val="single" w:sz="2" w:space="1" w:color="000000" w:themeColor="text1"/>
      </w:pBdr>
      <w:tabs>
        <w:tab w:val="left" w:pos="340"/>
        <w:tab w:val="right" w:pos="10206"/>
      </w:tabs>
      <w:spacing w:before="40" w:after="0" w:line="240" w:lineRule="auto"/>
      <w:ind w:right="57"/>
    </w:pPr>
    <w:rPr>
      <w:b/>
      <w:noProof/>
      <w:color w:val="007586" w:themeColor="text2"/>
    </w:rPr>
  </w:style>
  <w:style w:type="paragraph" w:styleId="TOC3">
    <w:name w:val="toc 3"/>
    <w:basedOn w:val="TOC2"/>
    <w:next w:val="Normal"/>
    <w:uiPriority w:val="39"/>
    <w:rsid w:val="00E739E4"/>
    <w:pPr>
      <w:spacing w:before="0" w:line="280" w:lineRule="atLeast"/>
    </w:pPr>
    <w:rPr>
      <w:b w:val="0"/>
      <w:bCs/>
      <w:color w:val="000000" w:themeColor="text1"/>
    </w:rPr>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AD1351"/>
    <w:rPr>
      <w:color w:val="004C97"/>
      <w:u w:val="single"/>
    </w:rPr>
  </w:style>
  <w:style w:type="character" w:customStyle="1" w:styleId="Heading1Char">
    <w:name w:val="Heading 1 Char"/>
    <w:basedOn w:val="DefaultParagraphFont"/>
    <w:link w:val="Heading1"/>
    <w:rsid w:val="00C15DBE"/>
    <w:rPr>
      <w:rFonts w:asciiTheme="majorHAnsi" w:eastAsiaTheme="majorEastAsia" w:hAnsiTheme="majorHAnsi" w:cstheme="majorBidi"/>
      <w:b/>
      <w:bCs/>
      <w:color w:val="007586" w:themeColor="text2"/>
      <w:sz w:val="32"/>
      <w:szCs w:val="32"/>
    </w:rPr>
  </w:style>
  <w:style w:type="character" w:customStyle="1" w:styleId="Heading2Char">
    <w:name w:val="Heading 2 Char"/>
    <w:basedOn w:val="DefaultParagraphFont"/>
    <w:link w:val="Heading2"/>
    <w:rsid w:val="00385D03"/>
    <w:rPr>
      <w:rFonts w:asciiTheme="majorHAnsi" w:eastAsiaTheme="majorEastAsia" w:hAnsiTheme="majorHAnsi" w:cstheme="majorBidi"/>
      <w:b/>
      <w:bCs/>
      <w:sz w:val="26"/>
      <w:szCs w:val="26"/>
    </w:rPr>
  </w:style>
  <w:style w:type="paragraph" w:customStyle="1" w:styleId="SCVbullet1">
    <w:name w:val="SCV bullet 1"/>
    <w:basedOn w:val="SCVbody"/>
    <w:uiPriority w:val="9"/>
    <w:qFormat/>
    <w:rsid w:val="00316FC9"/>
    <w:pPr>
      <w:numPr>
        <w:numId w:val="1"/>
      </w:numPr>
      <w:spacing w:before="60" w:after="60"/>
    </w:pPr>
  </w:style>
  <w:style w:type="paragraph" w:customStyle="1" w:styleId="SCVbullet2">
    <w:name w:val="SCV bullet 2"/>
    <w:basedOn w:val="SCVbullet1"/>
    <w:uiPriority w:val="9"/>
    <w:qFormat/>
    <w:rsid w:val="00316FC9"/>
    <w:pPr>
      <w:numPr>
        <w:ilvl w:val="1"/>
      </w:numPr>
    </w:pPr>
  </w:style>
  <w:style w:type="paragraph" w:styleId="Quote">
    <w:name w:val="Quote"/>
    <w:basedOn w:val="Normal"/>
    <w:next w:val="Normal"/>
    <w:link w:val="QuoteChar"/>
    <w:uiPriority w:val="1"/>
    <w:semiHidden/>
    <w:qFormat/>
    <w:rsid w:val="00A05EBC"/>
    <w:pPr>
      <w:ind w:left="567" w:right="567"/>
      <w:jc w:val="center"/>
    </w:pPr>
    <w:rPr>
      <w:i/>
      <w:iCs/>
      <w:color w:val="000000" w:themeColor="text1"/>
    </w:rPr>
  </w:style>
  <w:style w:type="paragraph" w:customStyle="1" w:styleId="SCVbody">
    <w:name w:val="SCV body"/>
    <w:basedOn w:val="Normal"/>
    <w:link w:val="SCVbodyChar"/>
    <w:qFormat/>
    <w:rsid w:val="00A05E49"/>
    <w:pPr>
      <w:spacing w:before="240" w:after="120"/>
    </w:pPr>
  </w:style>
  <w:style w:type="paragraph" w:customStyle="1" w:styleId="SCVfigurecaption">
    <w:name w:val="SCV figure caption"/>
    <w:basedOn w:val="SCVtablecaption"/>
    <w:uiPriority w:val="14"/>
    <w:qFormat/>
    <w:rsid w:val="00B15592"/>
    <w:pPr>
      <w:spacing w:before="300"/>
    </w:pPr>
  </w:style>
  <w:style w:type="paragraph" w:customStyle="1" w:styleId="SCVbodyafterheading">
    <w:name w:val="SCV body after heading"/>
    <w:basedOn w:val="SCVbody"/>
    <w:qFormat/>
    <w:rsid w:val="00CC6087"/>
    <w:pPr>
      <w:spacing w:before="0"/>
    </w:pPr>
  </w:style>
  <w:style w:type="character" w:customStyle="1" w:styleId="Heading3Char">
    <w:name w:val="Heading 3 Char"/>
    <w:basedOn w:val="DefaultParagraphFont"/>
    <w:link w:val="Heading3"/>
    <w:rsid w:val="00385D03"/>
    <w:rPr>
      <w:rFonts w:asciiTheme="majorHAnsi" w:eastAsiaTheme="majorEastAsia" w:hAnsiTheme="majorHAnsi" w:cstheme="majorBidi"/>
      <w:b/>
      <w:bCs/>
      <w:color w:val="007586" w:themeColor="text2"/>
      <w:sz w:val="24"/>
      <w:szCs w:val="22"/>
    </w:rPr>
  </w:style>
  <w:style w:type="numbering" w:customStyle="1" w:styleId="ZZBullets">
    <w:name w:val="ZZ Bullets"/>
    <w:basedOn w:val="NoList"/>
    <w:uiPriority w:val="99"/>
    <w:rsid w:val="00E739E4"/>
    <w:pPr>
      <w:numPr>
        <w:numId w:val="1"/>
      </w:numPr>
    </w:pPr>
  </w:style>
  <w:style w:type="character" w:customStyle="1" w:styleId="Heading4Char">
    <w:name w:val="Heading 4 Char"/>
    <w:basedOn w:val="DefaultParagraphFont"/>
    <w:link w:val="Heading4"/>
    <w:rsid w:val="00A05E49"/>
    <w:rPr>
      <w:rFonts w:asciiTheme="majorHAnsi" w:eastAsiaTheme="majorEastAsia" w:hAnsiTheme="majorHAnsi" w:cstheme="majorBidi"/>
      <w:b/>
      <w:bCs/>
      <w:iCs/>
      <w:color w:val="000000" w:themeColor="text1"/>
    </w:rPr>
  </w:style>
  <w:style w:type="paragraph" w:customStyle="1" w:styleId="SCVfactsheettitle">
    <w:name w:val="SCV factsheet title"/>
    <w:uiPriority w:val="29"/>
    <w:rsid w:val="00521CA5"/>
    <w:pPr>
      <w:keepLines/>
      <w:suppressAutoHyphens/>
      <w:spacing w:line="216" w:lineRule="auto"/>
    </w:pPr>
    <w:rPr>
      <w:rFonts w:asciiTheme="majorHAnsi" w:eastAsia="Times New Roman" w:hAnsiTheme="majorHAnsi" w:cstheme="majorHAnsi"/>
      <w:b/>
      <w:color w:val="007586" w:themeColor="text2"/>
      <w:spacing w:val="-2"/>
      <w:sz w:val="48"/>
      <w:szCs w:val="48"/>
    </w:rPr>
  </w:style>
  <w:style w:type="paragraph" w:customStyle="1" w:styleId="SCVtablefigurenote">
    <w:name w:val="SCV table/figure note"/>
    <w:basedOn w:val="Normal"/>
    <w:uiPriority w:val="29"/>
    <w:rsid w:val="002D6F3C"/>
    <w:pPr>
      <w:spacing w:before="80" w:after="80" w:line="264" w:lineRule="auto"/>
    </w:pPr>
    <w:rPr>
      <w:sz w:val="17"/>
      <w:szCs w:val="17"/>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semiHidden/>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semiHidden/>
    <w:rsid w:val="00345B45"/>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semiHidden/>
    <w:rsid w:val="004B64B1"/>
    <w:pPr>
      <w:framePr w:hSpace="181" w:wrap="around" w:vAnchor="page" w:hAnchor="page" w:x="455" w:y="12021"/>
      <w:spacing w:before="0" w:after="40" w:line="240" w:lineRule="auto"/>
      <w:ind w:right="284"/>
      <w:contextualSpacing/>
      <w:suppressOverlap/>
    </w:pPr>
    <w:rPr>
      <w:rFonts w:asciiTheme="majorHAnsi" w:eastAsia="Times New Roman" w:hAnsiTheme="majorHAnsi" w:cstheme="majorHAnsi"/>
      <w:b/>
      <w:color w:val="007586" w:themeColor="text2"/>
      <w:spacing w:val="-2"/>
      <w:sz w:val="76"/>
      <w:szCs w:val="22"/>
    </w:rPr>
  </w:style>
  <w:style w:type="character" w:customStyle="1" w:styleId="TitleChar">
    <w:name w:val="Title Char"/>
    <w:basedOn w:val="DefaultParagraphFont"/>
    <w:link w:val="Title"/>
    <w:uiPriority w:val="99"/>
    <w:semiHidden/>
    <w:rsid w:val="00345B45"/>
    <w:rPr>
      <w:rFonts w:asciiTheme="majorHAnsi" w:eastAsia="Times New Roman" w:hAnsiTheme="majorHAnsi" w:cstheme="majorHAnsi"/>
      <w:b/>
      <w:color w:val="007586" w:themeColor="text2"/>
      <w:spacing w:val="-2"/>
      <w:sz w:val="76"/>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semiHidden/>
    <w:rsid w:val="00345B45"/>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AA4288"/>
    <w:pPr>
      <w:tabs>
        <w:tab w:val="center" w:pos="4513"/>
        <w:tab w:val="right" w:pos="9026"/>
      </w:tabs>
      <w:spacing w:before="0" w:line="240" w:lineRule="auto"/>
    </w:pPr>
  </w:style>
  <w:style w:type="character" w:customStyle="1" w:styleId="HeaderChar">
    <w:name w:val="Header Char"/>
    <w:basedOn w:val="DefaultParagraphFont"/>
    <w:link w:val="Header"/>
    <w:uiPriority w:val="99"/>
    <w:rsid w:val="00AA4288"/>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semiHidden/>
    <w:rsid w:val="005C12A8"/>
    <w:pPr>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D4DC" w:themeFill="accent1" w:themeFillTint="33"/>
    </w:tcPr>
    <w:tblStylePr w:type="firstRow">
      <w:rPr>
        <w:b/>
        <w:bCs/>
      </w:rPr>
      <w:tblPr/>
      <w:tcPr>
        <w:shd w:val="clear" w:color="auto" w:fill="93AABA" w:themeFill="accent1" w:themeFillTint="66"/>
      </w:tcPr>
    </w:tblStylePr>
    <w:tblStylePr w:type="lastRow">
      <w:rPr>
        <w:b/>
        <w:bCs/>
        <w:color w:val="000000" w:themeColor="text1"/>
      </w:rPr>
      <w:tblPr/>
      <w:tcPr>
        <w:shd w:val="clear" w:color="auto" w:fill="93AABA" w:themeFill="accent1" w:themeFillTint="66"/>
      </w:tcPr>
    </w:tblStylePr>
    <w:tblStylePr w:type="firstCol">
      <w:rPr>
        <w:color w:val="FFFFFF" w:themeColor="background1"/>
      </w:rPr>
      <w:tblPr/>
      <w:tcPr>
        <w:shd w:val="clear" w:color="auto" w:fill="141A1F" w:themeFill="accent1" w:themeFillShade="BF"/>
      </w:tcPr>
    </w:tblStylePr>
    <w:tblStylePr w:type="lastCol">
      <w:rPr>
        <w:color w:val="FFFFFF" w:themeColor="background1"/>
      </w:rPr>
      <w:tblPr/>
      <w:tcPr>
        <w:shd w:val="clear" w:color="auto" w:fill="141A1F" w:themeFill="accent1" w:themeFillShade="BF"/>
      </w:tc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paragraph" w:customStyle="1" w:styleId="SCVfactsheetsubtitle">
    <w:name w:val="SCV factsheet subtitle"/>
    <w:uiPriority w:val="29"/>
    <w:rsid w:val="00521CA5"/>
    <w:pPr>
      <w:keepLines/>
      <w:spacing w:before="0" w:line="240" w:lineRule="auto"/>
    </w:pPr>
    <w:rPr>
      <w:rFonts w:asciiTheme="majorHAnsi" w:eastAsia="Times New Roman" w:hAnsiTheme="majorHAnsi" w:cstheme="majorHAnsi"/>
      <w:color w:val="000000" w:themeColor="text1"/>
      <w:sz w:val="36"/>
      <w:szCs w:val="36"/>
    </w:rPr>
  </w:style>
  <w:style w:type="paragraph" w:customStyle="1" w:styleId="SCVfooterempty">
    <w:name w:val="SCV footer empty"/>
    <w:basedOn w:val="SCVfooter"/>
    <w:uiPriority w:val="98"/>
    <w:rsid w:val="006B337A"/>
    <w:pPr>
      <w:pBdr>
        <w:top w:val="none" w:sz="0" w:space="0" w:color="auto"/>
      </w:pBdr>
    </w:pPr>
    <w:rPr>
      <w:noProof w:val="0"/>
    </w:rPr>
  </w:style>
  <w:style w:type="paragraph" w:styleId="ListParagraph">
    <w:name w:val="List Paragraph"/>
    <w:basedOn w:val="Normal"/>
    <w:uiPriority w:val="34"/>
    <w:qFormat/>
    <w:rsid w:val="004231B5"/>
    <w:pPr>
      <w:ind w:left="720"/>
      <w:contextualSpacing/>
    </w:pPr>
  </w:style>
  <w:style w:type="paragraph" w:styleId="FootnoteText">
    <w:name w:val="footnote text"/>
    <w:basedOn w:val="Normal"/>
    <w:link w:val="FootnoteTextChar"/>
    <w:uiPriority w:val="8"/>
    <w:rsid w:val="00B15592"/>
    <w:pPr>
      <w:spacing w:before="0" w:after="60" w:line="288" w:lineRule="auto"/>
    </w:pPr>
    <w:rPr>
      <w:sz w:val="17"/>
      <w:szCs w:val="17"/>
    </w:rPr>
  </w:style>
  <w:style w:type="character" w:customStyle="1" w:styleId="FootnoteTextChar">
    <w:name w:val="Footnote Text Char"/>
    <w:basedOn w:val="DefaultParagraphFont"/>
    <w:link w:val="FootnoteText"/>
    <w:uiPriority w:val="8"/>
    <w:rsid w:val="00B15592"/>
    <w:rPr>
      <w:sz w:val="17"/>
      <w:szCs w:val="17"/>
    </w:rPr>
  </w:style>
  <w:style w:type="character" w:styleId="FootnoteReference">
    <w:name w:val="footnote reference"/>
    <w:basedOn w:val="DefaultParagraphFont"/>
    <w:uiPriority w:val="8"/>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3F5FF" w:themeFill="accent2" w:themeFillTint="33"/>
    </w:tcPr>
    <w:tblStylePr w:type="firstRow">
      <w:rPr>
        <w:b/>
        <w:bCs/>
      </w:rPr>
      <w:tblPr/>
      <w:tcPr>
        <w:shd w:val="clear" w:color="auto" w:fill="68EBFF" w:themeFill="accent2" w:themeFillTint="66"/>
      </w:tcPr>
    </w:tblStylePr>
    <w:tblStylePr w:type="lastRow">
      <w:rPr>
        <w:b/>
        <w:bCs/>
        <w:color w:val="000000" w:themeColor="text1"/>
      </w:rPr>
      <w:tblPr/>
      <w:tcPr>
        <w:shd w:val="clear" w:color="auto" w:fill="68EBFF" w:themeFill="accent2" w:themeFillTint="66"/>
      </w:tcPr>
    </w:tblStylePr>
    <w:tblStylePr w:type="firstCol">
      <w:rPr>
        <w:color w:val="FFFFFF" w:themeColor="background1"/>
      </w:rPr>
      <w:tblPr/>
      <w:tcPr>
        <w:shd w:val="clear" w:color="auto" w:fill="005764" w:themeFill="accent2" w:themeFillShade="BF"/>
      </w:tcPr>
    </w:tblStylePr>
    <w:tblStylePr w:type="lastCol">
      <w:rPr>
        <w:color w:val="FFFFFF" w:themeColor="background1"/>
      </w:rPr>
      <w:tblPr/>
      <w:tcPr>
        <w:shd w:val="clear" w:color="auto" w:fill="005764" w:themeFill="accent2" w:themeFillShade="BF"/>
      </w:tc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0FB" w:themeFill="accent3" w:themeFillTint="33"/>
    </w:tcPr>
    <w:tblStylePr w:type="firstRow">
      <w:rPr>
        <w:b/>
        <w:bCs/>
      </w:rPr>
      <w:tblPr/>
      <w:tcPr>
        <w:shd w:val="clear" w:color="auto" w:fill="BDE2F7" w:themeFill="accent3" w:themeFillTint="66"/>
      </w:tcPr>
    </w:tblStylePr>
    <w:tblStylePr w:type="lastRow">
      <w:rPr>
        <w:b/>
        <w:bCs/>
        <w:color w:val="000000" w:themeColor="text1"/>
      </w:rPr>
      <w:tblPr/>
      <w:tcPr>
        <w:shd w:val="clear" w:color="auto" w:fill="BDE2F7" w:themeFill="accent3" w:themeFillTint="66"/>
      </w:tcPr>
    </w:tblStylePr>
    <w:tblStylePr w:type="firstCol">
      <w:rPr>
        <w:color w:val="FFFFFF" w:themeColor="background1"/>
      </w:rPr>
      <w:tblPr/>
      <w:tcPr>
        <w:shd w:val="clear" w:color="auto" w:fill="1A97D9" w:themeFill="accent3" w:themeFillShade="BF"/>
      </w:tcPr>
    </w:tblStylePr>
    <w:tblStylePr w:type="lastCol">
      <w:rPr>
        <w:color w:val="FFFFFF" w:themeColor="background1"/>
      </w:rPr>
      <w:tblPr/>
      <w:tcPr>
        <w:shd w:val="clear" w:color="auto" w:fill="1A97D9" w:themeFill="accent3" w:themeFillShade="BF"/>
      </w:tc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paragraph" w:styleId="Caption">
    <w:name w:val="caption"/>
    <w:basedOn w:val="Normal"/>
    <w:next w:val="Normal"/>
    <w:uiPriority w:val="1"/>
    <w:semiHidden/>
    <w:rsid w:val="00A92D94"/>
    <w:pPr>
      <w:spacing w:before="280" w:after="210" w:line="260" w:lineRule="atLeast"/>
    </w:pPr>
    <w:rPr>
      <w:b/>
      <w:bCs/>
      <w:color w:val="007586" w:themeColor="text2"/>
      <w:szCs w:val="18"/>
    </w:rPr>
  </w:style>
  <w:style w:type="paragraph" w:customStyle="1" w:styleId="SCVtablecaption">
    <w:name w:val="SCV table caption"/>
    <w:next w:val="SCVbody"/>
    <w:uiPriority w:val="20"/>
    <w:qFormat/>
    <w:rsid w:val="00FD7069"/>
    <w:pPr>
      <w:keepNext/>
      <w:tabs>
        <w:tab w:val="left" w:pos="1080"/>
      </w:tabs>
      <w:spacing w:before="280" w:after="120" w:line="264" w:lineRule="auto"/>
    </w:pPr>
    <w:rPr>
      <w:b/>
      <w:bCs/>
      <w:color w:val="007586" w:themeColor="text2"/>
      <w:spacing w:val="2"/>
      <w:szCs w:val="18"/>
    </w:rPr>
  </w:style>
  <w:style w:type="character" w:styleId="PlaceholderText">
    <w:name w:val="Placeholder Text"/>
    <w:basedOn w:val="DefaultParagraphFont"/>
    <w:uiPriority w:val="1"/>
    <w:semiHidden/>
    <w:rsid w:val="00966115"/>
    <w:rPr>
      <w:color w:val="808080"/>
    </w:rPr>
  </w:style>
  <w:style w:type="paragraph" w:customStyle="1" w:styleId="SCVfooter">
    <w:name w:val="SCV footer"/>
    <w:basedOn w:val="Footer"/>
    <w:uiPriority w:val="99"/>
    <w:rsid w:val="009905FA"/>
    <w:pPr>
      <w:pBdr>
        <w:top w:val="single" w:sz="8" w:space="6" w:color="CCCCD0"/>
      </w:pBdr>
      <w:spacing w:line="240" w:lineRule="auto"/>
    </w:pPr>
    <w:rPr>
      <w:sz w:val="18"/>
    </w:rPr>
  </w:style>
  <w:style w:type="paragraph" w:customStyle="1" w:styleId="SCVintroductorytext">
    <w:name w:val="SCV introductory text"/>
    <w:basedOn w:val="Normal"/>
    <w:uiPriority w:val="1"/>
    <w:qFormat/>
    <w:rsid w:val="00876171"/>
    <w:pPr>
      <w:spacing w:before="400" w:after="240"/>
    </w:pPr>
    <w:rPr>
      <w:b/>
      <w:color w:val="007586" w:themeColor="text2"/>
    </w:rPr>
  </w:style>
  <w:style w:type="paragraph" w:styleId="NoSpacing">
    <w:name w:val="No Spacing"/>
    <w:uiPriority w:val="1"/>
    <w:semiHidden/>
    <w:qFormat/>
    <w:rsid w:val="00294A5A"/>
    <w:pPr>
      <w:spacing w:before="0" w:after="0" w:line="240" w:lineRule="auto"/>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DBFF" w:themeFill="accent4" w:themeFillTint="33"/>
    </w:tcPr>
    <w:tblStylePr w:type="firstRow">
      <w:rPr>
        <w:b/>
        <w:bCs/>
      </w:rPr>
      <w:tblPr/>
      <w:tcPr>
        <w:shd w:val="clear" w:color="auto" w:fill="6FB7FF" w:themeFill="accent4" w:themeFillTint="66"/>
      </w:tcPr>
    </w:tblStylePr>
    <w:tblStylePr w:type="lastRow">
      <w:rPr>
        <w:b/>
        <w:bCs/>
        <w:color w:val="000000" w:themeColor="text1"/>
      </w:rPr>
      <w:tblPr/>
      <w:tcPr>
        <w:shd w:val="clear" w:color="auto" w:fill="6FB7FF" w:themeFill="accent4" w:themeFillTint="66"/>
      </w:tcPr>
    </w:tblStylePr>
    <w:tblStylePr w:type="firstCol">
      <w:rPr>
        <w:color w:val="FFFFFF" w:themeColor="background1"/>
      </w:rPr>
      <w:tblPr/>
      <w:tcPr>
        <w:shd w:val="clear" w:color="auto" w:fill="003871" w:themeFill="accent4" w:themeFillShade="BF"/>
      </w:tcPr>
    </w:tblStylePr>
    <w:tblStylePr w:type="lastCol">
      <w:rPr>
        <w:color w:val="FFFFFF" w:themeColor="background1"/>
      </w:rPr>
      <w:tblPr/>
      <w:tcPr>
        <w:shd w:val="clear" w:color="auto" w:fill="003871" w:themeFill="accent4" w:themeFillShade="BF"/>
      </w:tc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EDF" w:themeFill="accent5" w:themeFillTint="33"/>
    </w:tcPr>
    <w:tblStylePr w:type="firstRow">
      <w:rPr>
        <w:b/>
        <w:bCs/>
      </w:rPr>
      <w:tblPr/>
      <w:tcPr>
        <w:shd w:val="clear" w:color="auto" w:fill="BDDDC0" w:themeFill="accent5" w:themeFillTint="66"/>
      </w:tcPr>
    </w:tblStylePr>
    <w:tblStylePr w:type="lastRow">
      <w:rPr>
        <w:b/>
        <w:bCs/>
        <w:color w:val="000000" w:themeColor="text1"/>
      </w:rPr>
      <w:tblPr/>
      <w:tcPr>
        <w:shd w:val="clear" w:color="auto" w:fill="BDDDC0" w:themeFill="accent5" w:themeFillTint="66"/>
      </w:tcPr>
    </w:tblStylePr>
    <w:tblStylePr w:type="firstCol">
      <w:rPr>
        <w:color w:val="FFFFFF" w:themeColor="background1"/>
      </w:rPr>
      <w:tblPr/>
      <w:tcPr>
        <w:shd w:val="clear" w:color="auto" w:fill="428049" w:themeFill="accent5" w:themeFillShade="BF"/>
      </w:tcPr>
    </w:tblStylePr>
    <w:tblStylePr w:type="lastCol">
      <w:rPr>
        <w:color w:val="FFFFFF" w:themeColor="background1"/>
      </w:rPr>
      <w:tblPr/>
      <w:tcPr>
        <w:shd w:val="clear" w:color="auto" w:fill="428049" w:themeFill="accent5" w:themeFillShade="BF"/>
      </w:tc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0D8" w:themeFill="accent6" w:themeFillTint="33"/>
    </w:tcPr>
    <w:tblStylePr w:type="firstRow">
      <w:rPr>
        <w:b/>
        <w:bCs/>
      </w:rPr>
      <w:tblPr/>
      <w:tcPr>
        <w:shd w:val="clear" w:color="auto" w:fill="F5C1B1" w:themeFill="accent6" w:themeFillTint="66"/>
      </w:tcPr>
    </w:tblStylePr>
    <w:tblStylePr w:type="lastRow">
      <w:rPr>
        <w:b/>
        <w:bCs/>
        <w:color w:val="000000" w:themeColor="text1"/>
      </w:rPr>
      <w:tblPr/>
      <w:tcPr>
        <w:shd w:val="clear" w:color="auto" w:fill="F5C1B1" w:themeFill="accent6" w:themeFillTint="66"/>
      </w:tcPr>
    </w:tblStylePr>
    <w:tblStylePr w:type="firstCol">
      <w:rPr>
        <w:color w:val="FFFFFF" w:themeColor="background1"/>
      </w:rPr>
      <w:tblPr/>
      <w:tcPr>
        <w:shd w:val="clear" w:color="auto" w:fill="C04018" w:themeFill="accent6" w:themeFillShade="BF"/>
      </w:tcPr>
    </w:tblStylePr>
    <w:tblStylePr w:type="lastCol">
      <w:rPr>
        <w:color w:val="FFFFFF" w:themeColor="background1"/>
      </w:rPr>
      <w:tblPr/>
      <w:tcPr>
        <w:shd w:val="clear" w:color="auto" w:fill="C04018" w:themeFill="accent6" w:themeFillShade="BF"/>
      </w:tc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4EAEE" w:themeFill="accen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AD4" w:themeFill="accent1" w:themeFillTint="3F"/>
      </w:tcPr>
    </w:tblStylePr>
    <w:tblStylePr w:type="band1Horz">
      <w:tblPr/>
      <w:tcPr>
        <w:shd w:val="clear" w:color="auto" w:fill="C9D4DC"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AFAFF" w:themeFill="accent2"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2FF" w:themeFill="accent2" w:themeFillTint="3F"/>
      </w:tcPr>
    </w:tblStylePr>
    <w:tblStylePr w:type="band1Horz">
      <w:tblPr/>
      <w:tcPr>
        <w:shd w:val="clear" w:color="auto" w:fill="B3F5FF"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8FD" w:themeFill="accent3" w:themeFillTint="19"/>
    </w:tcPr>
    <w:tblStylePr w:type="firstRow">
      <w:rPr>
        <w:b/>
        <w:bCs/>
        <w:color w:val="FFFFFF" w:themeColor="background1"/>
      </w:rPr>
      <w:tblPr/>
      <w:tcPr>
        <w:tcBorders>
          <w:bottom w:val="single" w:sz="12" w:space="0" w:color="FFFFFF" w:themeColor="background1"/>
        </w:tcBorders>
        <w:shd w:val="clear" w:color="auto" w:fill="003C78" w:themeFill="accent4" w:themeFillShade="CC"/>
      </w:tcPr>
    </w:tblStylePr>
    <w:tblStylePr w:type="lastRow">
      <w:rPr>
        <w:b/>
        <w:bCs/>
        <w:color w:val="003C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FA" w:themeFill="accent3" w:themeFillTint="3F"/>
      </w:tcPr>
    </w:tblStylePr>
    <w:tblStylePr w:type="band1Horz">
      <w:tblPr/>
      <w:tcPr>
        <w:shd w:val="clear" w:color="auto" w:fill="DEF0FB"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BEDFF" w:themeFill="accent4" w:themeFillTint="19"/>
    </w:tcPr>
    <w:tblStylePr w:type="firstRow">
      <w:rPr>
        <w:b/>
        <w:bCs/>
        <w:color w:val="FFFFFF" w:themeColor="background1"/>
      </w:rPr>
      <w:tblPr/>
      <w:tcPr>
        <w:tcBorders>
          <w:bottom w:val="single" w:sz="12" w:space="0" w:color="FFFFFF" w:themeColor="background1"/>
        </w:tcBorders>
        <w:shd w:val="clear" w:color="auto" w:fill="20A0E4" w:themeFill="accent3" w:themeFillShade="CC"/>
      </w:tcPr>
    </w:tblStylePr>
    <w:tblStylePr w:type="lastRow">
      <w:rPr>
        <w:b/>
        <w:bCs/>
        <w:color w:val="20A0E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4" w:themeFillTint="3F"/>
      </w:tcPr>
    </w:tblStylePr>
    <w:tblStylePr w:type="band1Horz">
      <w:tblPr/>
      <w:tcPr>
        <w:shd w:val="clear" w:color="auto" w:fill="B7DBFF"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6EF" w:themeFill="accent5" w:themeFillTint="19"/>
    </w:tcPr>
    <w:tblStylePr w:type="firstRow">
      <w:rPr>
        <w:b/>
        <w:bCs/>
        <w:color w:val="FFFFFF" w:themeColor="background1"/>
      </w:rPr>
      <w:tblPr/>
      <w:tcPr>
        <w:tcBorders>
          <w:bottom w:val="single" w:sz="12" w:space="0" w:color="FFFFFF" w:themeColor="background1"/>
        </w:tcBorders>
        <w:shd w:val="clear" w:color="auto" w:fill="CD441A" w:themeFill="accent6" w:themeFillShade="CC"/>
      </w:tcPr>
    </w:tblStylePr>
    <w:tblStylePr w:type="lastRow">
      <w:rPr>
        <w:b/>
        <w:bCs/>
        <w:color w:val="CD441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AD8" w:themeFill="accent5" w:themeFillTint="3F"/>
      </w:tcPr>
    </w:tblStylePr>
    <w:tblStylePr w:type="band1Horz">
      <w:tblPr/>
      <w:tcPr>
        <w:shd w:val="clear" w:color="auto" w:fill="DEEEDF"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CEFEB" w:themeFill="accent6" w:themeFillTint="19"/>
    </w:tcPr>
    <w:tblStylePr w:type="firstRow">
      <w:rPr>
        <w:b/>
        <w:bCs/>
        <w:color w:val="FFFFFF" w:themeColor="background1"/>
      </w:rPr>
      <w:tblPr/>
      <w:tcPr>
        <w:tcBorders>
          <w:bottom w:val="single" w:sz="12" w:space="0" w:color="FFFFFF" w:themeColor="background1"/>
        </w:tcBorders>
        <w:shd w:val="clear" w:color="auto" w:fill="46894E" w:themeFill="accent5" w:themeFillShade="CC"/>
      </w:tcPr>
    </w:tblStylePr>
    <w:tblStylePr w:type="lastRow">
      <w:rPr>
        <w:b/>
        <w:bCs/>
        <w:color w:val="46894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E" w:themeFill="accent6" w:themeFillTint="3F"/>
      </w:tcPr>
    </w:tblStylePr>
    <w:tblStylePr w:type="band1Horz">
      <w:tblPr/>
      <w:tcPr>
        <w:shd w:val="clear" w:color="auto" w:fill="FAE0D8"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1B242A" w:themeColor="accent1"/>
        <w:bottom w:val="single" w:sz="4" w:space="0" w:color="1B242A" w:themeColor="accent1"/>
        <w:right w:val="single" w:sz="4" w:space="0" w:color="1B242A" w:themeColor="accent1"/>
        <w:insideH w:val="single" w:sz="4" w:space="0" w:color="FFFFFF" w:themeColor="background1"/>
        <w:insideV w:val="single" w:sz="4" w:space="0" w:color="FFFFFF" w:themeColor="background1"/>
      </w:tblBorders>
    </w:tblPr>
    <w:tcPr>
      <w:shd w:val="clear" w:color="auto" w:fill="E4EAEE" w:themeFill="accen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1519" w:themeFill="accent1" w:themeFillShade="99"/>
      </w:tcPr>
    </w:tblStylePr>
    <w:tblStylePr w:type="firstCol">
      <w:rPr>
        <w:color w:val="FFFFFF" w:themeColor="background1"/>
      </w:rPr>
      <w:tblPr/>
      <w:tcPr>
        <w:tcBorders>
          <w:top w:val="nil"/>
          <w:left w:val="nil"/>
          <w:bottom w:val="nil"/>
          <w:right w:val="nil"/>
          <w:insideH w:val="single" w:sz="4" w:space="0" w:color="101519" w:themeColor="accent1" w:themeShade="99"/>
          <w:insideV w:val="nil"/>
        </w:tcBorders>
        <w:shd w:val="clear" w:color="auto" w:fill="1015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1519" w:themeFill="accent1" w:themeFillShade="99"/>
      </w:tcPr>
    </w:tblStylePr>
    <w:tblStylePr w:type="band1Vert">
      <w:tblPr/>
      <w:tcPr>
        <w:shd w:val="clear" w:color="auto" w:fill="93AABA" w:themeFill="accent1" w:themeFillTint="66"/>
      </w:tcPr>
    </w:tblStylePr>
    <w:tblStylePr w:type="band1Horz">
      <w:tblPr/>
      <w:tcPr>
        <w:shd w:val="clear" w:color="auto" w:fill="7995A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007586" w:themeColor="accent2"/>
        <w:bottom w:val="single" w:sz="4" w:space="0" w:color="007586" w:themeColor="accent2"/>
        <w:right w:val="single" w:sz="4" w:space="0" w:color="007586" w:themeColor="accent2"/>
        <w:insideH w:val="single" w:sz="4" w:space="0" w:color="FFFFFF" w:themeColor="background1"/>
        <w:insideV w:val="single" w:sz="4" w:space="0" w:color="FFFFFF" w:themeColor="background1"/>
      </w:tblBorders>
    </w:tblPr>
    <w:tcPr>
      <w:shd w:val="clear" w:color="auto" w:fill="DAFAFF" w:themeFill="accent2"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550" w:themeFill="accent2" w:themeFillShade="99"/>
      </w:tcPr>
    </w:tblStylePr>
    <w:tblStylePr w:type="firstCol">
      <w:rPr>
        <w:color w:val="FFFFFF" w:themeColor="background1"/>
      </w:rPr>
      <w:tblPr/>
      <w:tcPr>
        <w:tcBorders>
          <w:top w:val="nil"/>
          <w:left w:val="nil"/>
          <w:bottom w:val="nil"/>
          <w:right w:val="nil"/>
          <w:insideH w:val="single" w:sz="4" w:space="0" w:color="004550" w:themeColor="accent2" w:themeShade="99"/>
          <w:insideV w:val="nil"/>
        </w:tcBorders>
        <w:shd w:val="clear" w:color="auto" w:fill="00455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550" w:themeFill="accent2" w:themeFillShade="99"/>
      </w:tcPr>
    </w:tblStylePr>
    <w:tblStylePr w:type="band1Vert">
      <w:tblPr/>
      <w:tcPr>
        <w:shd w:val="clear" w:color="auto" w:fill="68EBFF" w:themeFill="accent2" w:themeFillTint="66"/>
      </w:tcPr>
    </w:tblStylePr>
    <w:tblStylePr w:type="band1Horz">
      <w:tblPr/>
      <w:tcPr>
        <w:shd w:val="clear" w:color="auto" w:fill="43E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4C97" w:themeColor="accent4"/>
        <w:left w:val="single" w:sz="4" w:space="0" w:color="5AB9EB" w:themeColor="accent3"/>
        <w:bottom w:val="single" w:sz="4" w:space="0" w:color="5AB9EB" w:themeColor="accent3"/>
        <w:right w:val="single" w:sz="4" w:space="0" w:color="5AB9EB" w:themeColor="accent3"/>
        <w:insideH w:val="single" w:sz="4" w:space="0" w:color="FFFFFF" w:themeColor="background1"/>
        <w:insideV w:val="single" w:sz="4" w:space="0" w:color="FFFFFF" w:themeColor="background1"/>
      </w:tblBorders>
    </w:tblPr>
    <w:tcPr>
      <w:shd w:val="clear" w:color="auto" w:fill="EEF8FD" w:themeFill="accent3" w:themeFillTint="19"/>
    </w:tcPr>
    <w:tblStylePr w:type="firstRow">
      <w:rPr>
        <w:b/>
        <w:bCs/>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79AD" w:themeFill="accent3" w:themeFillShade="99"/>
      </w:tcPr>
    </w:tblStylePr>
    <w:tblStylePr w:type="firstCol">
      <w:rPr>
        <w:color w:val="FFFFFF" w:themeColor="background1"/>
      </w:rPr>
      <w:tblPr/>
      <w:tcPr>
        <w:tcBorders>
          <w:top w:val="nil"/>
          <w:left w:val="nil"/>
          <w:bottom w:val="nil"/>
          <w:right w:val="nil"/>
          <w:insideH w:val="single" w:sz="4" w:space="0" w:color="1579AD" w:themeColor="accent3" w:themeShade="99"/>
          <w:insideV w:val="nil"/>
        </w:tcBorders>
        <w:shd w:val="clear" w:color="auto" w:fill="1579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579AD" w:themeFill="accent3" w:themeFillShade="99"/>
      </w:tcPr>
    </w:tblStylePr>
    <w:tblStylePr w:type="band1Vert">
      <w:tblPr/>
      <w:tcPr>
        <w:shd w:val="clear" w:color="auto" w:fill="BDE2F7" w:themeFill="accent3" w:themeFillTint="66"/>
      </w:tcPr>
    </w:tblStylePr>
    <w:tblStylePr w:type="band1Horz">
      <w:tblPr/>
      <w:tcPr>
        <w:shd w:val="clear" w:color="auto" w:fill="ACDCF5"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5AB9EB" w:themeColor="accent3"/>
        <w:left w:val="single" w:sz="4" w:space="0" w:color="004C97" w:themeColor="accent4"/>
        <w:bottom w:val="single" w:sz="4" w:space="0" w:color="004C97" w:themeColor="accent4"/>
        <w:right w:val="single" w:sz="4" w:space="0" w:color="004C97" w:themeColor="accent4"/>
        <w:insideH w:val="single" w:sz="4" w:space="0" w:color="FFFFFF" w:themeColor="background1"/>
        <w:insideV w:val="single" w:sz="4" w:space="0" w:color="FFFFFF" w:themeColor="background1"/>
      </w:tblBorders>
    </w:tblPr>
    <w:tcPr>
      <w:shd w:val="clear" w:color="auto" w:fill="DBEDFF" w:themeFill="accent4" w:themeFillTint="19"/>
    </w:tcPr>
    <w:tblStylePr w:type="firstRow">
      <w:rPr>
        <w:b/>
        <w:bCs/>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4" w:themeFillShade="99"/>
      </w:tcPr>
    </w:tblStylePr>
    <w:tblStylePr w:type="firstCol">
      <w:rPr>
        <w:color w:val="FFFFFF" w:themeColor="background1"/>
      </w:rPr>
      <w:tblPr/>
      <w:tcPr>
        <w:tcBorders>
          <w:top w:val="nil"/>
          <w:left w:val="nil"/>
          <w:bottom w:val="nil"/>
          <w:right w:val="nil"/>
          <w:insideH w:val="single" w:sz="4" w:space="0" w:color="002D5A" w:themeColor="accent4" w:themeShade="99"/>
          <w:insideV w:val="nil"/>
        </w:tcBorders>
        <w:shd w:val="clear" w:color="auto" w:fill="002D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4" w:themeFillShade="99"/>
      </w:tcPr>
    </w:tblStylePr>
    <w:tblStylePr w:type="band1Vert">
      <w:tblPr/>
      <w:tcPr>
        <w:shd w:val="clear" w:color="auto" w:fill="6FB7FF" w:themeFill="accent4" w:themeFillTint="66"/>
      </w:tcPr>
    </w:tblStylePr>
    <w:tblStylePr w:type="band1Horz">
      <w:tblPr/>
      <w:tcPr>
        <w:shd w:val="clear" w:color="auto" w:fill="4CA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E6643C" w:themeColor="accent6"/>
        <w:left w:val="single" w:sz="4" w:space="0" w:color="5AAA64" w:themeColor="accent5"/>
        <w:bottom w:val="single" w:sz="4" w:space="0" w:color="5AAA64" w:themeColor="accent5"/>
        <w:right w:val="single" w:sz="4" w:space="0" w:color="5AAA64" w:themeColor="accent5"/>
        <w:insideH w:val="single" w:sz="4" w:space="0" w:color="FFFFFF" w:themeColor="background1"/>
        <w:insideV w:val="single" w:sz="4" w:space="0" w:color="FFFFFF" w:themeColor="background1"/>
      </w:tblBorders>
    </w:tblPr>
    <w:tcPr>
      <w:shd w:val="clear" w:color="auto" w:fill="EEF6EF" w:themeFill="accent5" w:themeFillTint="19"/>
    </w:tcPr>
    <w:tblStylePr w:type="firstRow">
      <w:rPr>
        <w:b/>
        <w:bCs/>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63B" w:themeFill="accent5" w:themeFillShade="99"/>
      </w:tcPr>
    </w:tblStylePr>
    <w:tblStylePr w:type="firstCol">
      <w:rPr>
        <w:color w:val="FFFFFF" w:themeColor="background1"/>
      </w:rPr>
      <w:tblPr/>
      <w:tcPr>
        <w:tcBorders>
          <w:top w:val="nil"/>
          <w:left w:val="nil"/>
          <w:bottom w:val="nil"/>
          <w:right w:val="nil"/>
          <w:insideH w:val="single" w:sz="4" w:space="0" w:color="35663B" w:themeColor="accent5" w:themeShade="99"/>
          <w:insideV w:val="nil"/>
        </w:tcBorders>
        <w:shd w:val="clear" w:color="auto" w:fill="3566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663B" w:themeFill="accent5" w:themeFillShade="99"/>
      </w:tcPr>
    </w:tblStylePr>
    <w:tblStylePr w:type="band1Vert">
      <w:tblPr/>
      <w:tcPr>
        <w:shd w:val="clear" w:color="auto" w:fill="BDDDC0" w:themeFill="accent5" w:themeFillTint="66"/>
      </w:tcPr>
    </w:tblStylePr>
    <w:tblStylePr w:type="band1Horz">
      <w:tblPr/>
      <w:tcPr>
        <w:shd w:val="clear" w:color="auto" w:fill="ACD4B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5AAA64" w:themeColor="accent5"/>
        <w:left w:val="single" w:sz="4" w:space="0" w:color="E6643C" w:themeColor="accent6"/>
        <w:bottom w:val="single" w:sz="4" w:space="0" w:color="E6643C" w:themeColor="accent6"/>
        <w:right w:val="single" w:sz="4" w:space="0" w:color="E6643C" w:themeColor="accent6"/>
        <w:insideH w:val="single" w:sz="4" w:space="0" w:color="FFFFFF" w:themeColor="background1"/>
        <w:insideV w:val="single" w:sz="4" w:space="0" w:color="FFFFFF" w:themeColor="background1"/>
      </w:tblBorders>
    </w:tblPr>
    <w:tcPr>
      <w:shd w:val="clear" w:color="auto" w:fill="FCEFEB" w:themeFill="accent6" w:themeFillTint="19"/>
    </w:tcPr>
    <w:tblStylePr w:type="firstRow">
      <w:rPr>
        <w:b/>
        <w:bCs/>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3313" w:themeFill="accent6" w:themeFillShade="99"/>
      </w:tcPr>
    </w:tblStylePr>
    <w:tblStylePr w:type="firstCol">
      <w:rPr>
        <w:color w:val="FFFFFF" w:themeColor="background1"/>
      </w:rPr>
      <w:tblPr/>
      <w:tcPr>
        <w:tcBorders>
          <w:top w:val="nil"/>
          <w:left w:val="nil"/>
          <w:bottom w:val="nil"/>
          <w:right w:val="nil"/>
          <w:insideH w:val="single" w:sz="4" w:space="0" w:color="9A3313" w:themeColor="accent6" w:themeShade="99"/>
          <w:insideV w:val="nil"/>
        </w:tcBorders>
        <w:shd w:val="clear" w:color="auto" w:fill="9A33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A3313" w:themeFill="accent6" w:themeFillShade="99"/>
      </w:tcPr>
    </w:tblStylePr>
    <w:tblStylePr w:type="band1Vert">
      <w:tblPr/>
      <w:tcPr>
        <w:shd w:val="clear" w:color="auto" w:fill="F5C1B1" w:themeFill="accent6" w:themeFillTint="66"/>
      </w:tcPr>
    </w:tblStylePr>
    <w:tblStylePr w:type="band1Horz">
      <w:tblPr/>
      <w:tcPr>
        <w:shd w:val="clear" w:color="auto" w:fill="F2B19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1B242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1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1A1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1A1F" w:themeFill="accent1" w:themeFillShade="BF"/>
      </w:tcPr>
    </w:tblStylePr>
    <w:tblStylePr w:type="band1Vert">
      <w:tblPr/>
      <w:tcPr>
        <w:tcBorders>
          <w:top w:val="nil"/>
          <w:left w:val="nil"/>
          <w:bottom w:val="nil"/>
          <w:right w:val="nil"/>
          <w:insideH w:val="nil"/>
          <w:insideV w:val="nil"/>
        </w:tcBorders>
        <w:shd w:val="clear" w:color="auto" w:fill="141A1F" w:themeFill="accent1" w:themeFillShade="BF"/>
      </w:tcPr>
    </w:tblStylePr>
    <w:tblStylePr w:type="band1Horz">
      <w:tblPr/>
      <w:tcPr>
        <w:tcBorders>
          <w:top w:val="nil"/>
          <w:left w:val="nil"/>
          <w:bottom w:val="nil"/>
          <w:right w:val="nil"/>
          <w:insideH w:val="nil"/>
          <w:insideV w:val="nil"/>
        </w:tcBorders>
        <w:shd w:val="clear" w:color="auto" w:fill="141A1F"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758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4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76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764" w:themeFill="accent2" w:themeFillShade="BF"/>
      </w:tcPr>
    </w:tblStylePr>
    <w:tblStylePr w:type="band1Vert">
      <w:tblPr/>
      <w:tcPr>
        <w:tcBorders>
          <w:top w:val="nil"/>
          <w:left w:val="nil"/>
          <w:bottom w:val="nil"/>
          <w:right w:val="nil"/>
          <w:insideH w:val="nil"/>
          <w:insideV w:val="nil"/>
        </w:tcBorders>
        <w:shd w:val="clear" w:color="auto" w:fill="005764" w:themeFill="accent2" w:themeFillShade="BF"/>
      </w:tcPr>
    </w:tblStylePr>
    <w:tblStylePr w:type="band1Horz">
      <w:tblPr/>
      <w:tcPr>
        <w:tcBorders>
          <w:top w:val="nil"/>
          <w:left w:val="nil"/>
          <w:bottom w:val="nil"/>
          <w:right w:val="nil"/>
          <w:insideH w:val="nil"/>
          <w:insideV w:val="nil"/>
        </w:tcBorders>
        <w:shd w:val="clear" w:color="auto" w:fill="00576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B9E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649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A97D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A97D9" w:themeFill="accent3" w:themeFillShade="BF"/>
      </w:tcPr>
    </w:tblStylePr>
    <w:tblStylePr w:type="band1Vert">
      <w:tblPr/>
      <w:tcPr>
        <w:tcBorders>
          <w:top w:val="nil"/>
          <w:left w:val="nil"/>
          <w:bottom w:val="nil"/>
          <w:right w:val="nil"/>
          <w:insideH w:val="nil"/>
          <w:insideV w:val="nil"/>
        </w:tcBorders>
        <w:shd w:val="clear" w:color="auto" w:fill="1A97D9" w:themeFill="accent3" w:themeFillShade="BF"/>
      </w:tcPr>
    </w:tblStylePr>
    <w:tblStylePr w:type="band1Horz">
      <w:tblPr/>
      <w:tcPr>
        <w:tcBorders>
          <w:top w:val="nil"/>
          <w:left w:val="nil"/>
          <w:bottom w:val="nil"/>
          <w:right w:val="nil"/>
          <w:insideH w:val="nil"/>
          <w:insideV w:val="nil"/>
        </w:tcBorders>
        <w:shd w:val="clear" w:color="auto" w:fill="1A97D9"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4C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4" w:themeFillShade="BF"/>
      </w:tcPr>
    </w:tblStylePr>
    <w:tblStylePr w:type="band1Vert">
      <w:tblPr/>
      <w:tcPr>
        <w:tcBorders>
          <w:top w:val="nil"/>
          <w:left w:val="nil"/>
          <w:bottom w:val="nil"/>
          <w:right w:val="nil"/>
          <w:insideH w:val="nil"/>
          <w:insideV w:val="nil"/>
        </w:tcBorders>
        <w:shd w:val="clear" w:color="auto" w:fill="003871" w:themeFill="accent4" w:themeFillShade="BF"/>
      </w:tcPr>
    </w:tblStylePr>
    <w:tblStylePr w:type="band1Horz">
      <w:tblPr/>
      <w:tcPr>
        <w:tcBorders>
          <w:top w:val="nil"/>
          <w:left w:val="nil"/>
          <w:bottom w:val="nil"/>
          <w:right w:val="nil"/>
          <w:insideH w:val="nil"/>
          <w:insideV w:val="nil"/>
        </w:tcBorders>
        <w:shd w:val="clear" w:color="auto" w:fill="003871"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AA6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5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804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8049" w:themeFill="accent5" w:themeFillShade="BF"/>
      </w:tcPr>
    </w:tblStylePr>
    <w:tblStylePr w:type="band1Vert">
      <w:tblPr/>
      <w:tcPr>
        <w:tcBorders>
          <w:top w:val="nil"/>
          <w:left w:val="nil"/>
          <w:bottom w:val="nil"/>
          <w:right w:val="nil"/>
          <w:insideH w:val="nil"/>
          <w:insideV w:val="nil"/>
        </w:tcBorders>
        <w:shd w:val="clear" w:color="auto" w:fill="428049" w:themeFill="accent5" w:themeFillShade="BF"/>
      </w:tcPr>
    </w:tblStylePr>
    <w:tblStylePr w:type="band1Horz">
      <w:tblPr/>
      <w:tcPr>
        <w:tcBorders>
          <w:top w:val="nil"/>
          <w:left w:val="nil"/>
          <w:bottom w:val="nil"/>
          <w:right w:val="nil"/>
          <w:insideH w:val="nil"/>
          <w:insideV w:val="nil"/>
        </w:tcBorders>
        <w:shd w:val="clear" w:color="auto" w:fill="428049"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E6643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A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040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04018" w:themeFill="accent6" w:themeFillShade="BF"/>
      </w:tcPr>
    </w:tblStylePr>
    <w:tblStylePr w:type="band1Vert">
      <w:tblPr/>
      <w:tcPr>
        <w:tcBorders>
          <w:top w:val="nil"/>
          <w:left w:val="nil"/>
          <w:bottom w:val="nil"/>
          <w:right w:val="nil"/>
          <w:insideH w:val="nil"/>
          <w:insideV w:val="nil"/>
        </w:tcBorders>
        <w:shd w:val="clear" w:color="auto" w:fill="C04018" w:themeFill="accent6" w:themeFillShade="BF"/>
      </w:tcPr>
    </w:tblStylePr>
    <w:tblStylePr w:type="band1Horz">
      <w:tblPr/>
      <w:tcPr>
        <w:tcBorders>
          <w:top w:val="nil"/>
          <w:left w:val="nil"/>
          <w:bottom w:val="nil"/>
          <w:right w:val="nil"/>
          <w:insideH w:val="nil"/>
          <w:insideV w:val="nil"/>
        </w:tcBorders>
        <w:shd w:val="clear" w:color="auto" w:fill="C04018"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93AABA" w:themeColor="accent1" w:themeTint="66"/>
        <w:left w:val="single" w:sz="4" w:space="0" w:color="93AABA" w:themeColor="accent1" w:themeTint="66"/>
        <w:bottom w:val="single" w:sz="4" w:space="0" w:color="93AABA" w:themeColor="accent1" w:themeTint="66"/>
        <w:right w:val="single" w:sz="4" w:space="0" w:color="93AABA" w:themeColor="accent1" w:themeTint="66"/>
        <w:insideH w:val="single" w:sz="4" w:space="0" w:color="93AABA" w:themeColor="accent1" w:themeTint="66"/>
        <w:insideV w:val="single" w:sz="4" w:space="0" w:color="93AABA" w:themeColor="accent1" w:themeTint="66"/>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2" w:space="0" w:color="607F9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68EBFF" w:themeColor="accent2" w:themeTint="66"/>
        <w:left w:val="single" w:sz="4" w:space="0" w:color="68EBFF" w:themeColor="accent2" w:themeTint="66"/>
        <w:bottom w:val="single" w:sz="4" w:space="0" w:color="68EBFF" w:themeColor="accent2" w:themeTint="66"/>
        <w:right w:val="single" w:sz="4" w:space="0" w:color="68EBFF" w:themeColor="accent2" w:themeTint="66"/>
        <w:insideH w:val="single" w:sz="4" w:space="0" w:color="68EBFF" w:themeColor="accent2" w:themeTint="66"/>
        <w:insideV w:val="single" w:sz="4" w:space="0" w:color="68EBFF" w:themeColor="accent2" w:themeTint="66"/>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2" w:space="0" w:color="1DE1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BDE2F7" w:themeColor="accent3" w:themeTint="66"/>
        <w:left w:val="single" w:sz="4" w:space="0" w:color="BDE2F7" w:themeColor="accent3" w:themeTint="66"/>
        <w:bottom w:val="single" w:sz="4" w:space="0" w:color="BDE2F7" w:themeColor="accent3" w:themeTint="66"/>
        <w:right w:val="single" w:sz="4" w:space="0" w:color="BDE2F7" w:themeColor="accent3" w:themeTint="66"/>
        <w:insideH w:val="single" w:sz="4" w:space="0" w:color="BDE2F7" w:themeColor="accent3" w:themeTint="66"/>
        <w:insideV w:val="single" w:sz="4" w:space="0" w:color="BDE2F7" w:themeColor="accent3" w:themeTint="66"/>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2" w:space="0" w:color="9CD4F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6FB7FF" w:themeColor="accent4" w:themeTint="66"/>
        <w:left w:val="single" w:sz="4" w:space="0" w:color="6FB7FF" w:themeColor="accent4" w:themeTint="66"/>
        <w:bottom w:val="single" w:sz="4" w:space="0" w:color="6FB7FF" w:themeColor="accent4" w:themeTint="66"/>
        <w:right w:val="single" w:sz="4" w:space="0" w:color="6FB7FF" w:themeColor="accent4" w:themeTint="66"/>
        <w:insideH w:val="single" w:sz="4" w:space="0" w:color="6FB7FF" w:themeColor="accent4" w:themeTint="66"/>
        <w:insideV w:val="single" w:sz="4" w:space="0" w:color="6FB7FF" w:themeColor="accent4" w:themeTint="66"/>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2" w:space="0" w:color="2793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BDDDC0" w:themeColor="accent5" w:themeTint="66"/>
        <w:left w:val="single" w:sz="4" w:space="0" w:color="BDDDC0" w:themeColor="accent5" w:themeTint="66"/>
        <w:bottom w:val="single" w:sz="4" w:space="0" w:color="BDDDC0" w:themeColor="accent5" w:themeTint="66"/>
        <w:right w:val="single" w:sz="4" w:space="0" w:color="BDDDC0" w:themeColor="accent5" w:themeTint="66"/>
        <w:insideH w:val="single" w:sz="4" w:space="0" w:color="BDDDC0" w:themeColor="accent5" w:themeTint="66"/>
        <w:insideV w:val="single" w:sz="4" w:space="0" w:color="BDDDC0" w:themeColor="accent5" w:themeTint="66"/>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2" w:space="0" w:color="9CCCA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F5C1B1" w:themeColor="accent6" w:themeTint="66"/>
        <w:left w:val="single" w:sz="4" w:space="0" w:color="F5C1B1" w:themeColor="accent6" w:themeTint="66"/>
        <w:bottom w:val="single" w:sz="4" w:space="0" w:color="F5C1B1" w:themeColor="accent6" w:themeTint="66"/>
        <w:right w:val="single" w:sz="4" w:space="0" w:color="F5C1B1" w:themeColor="accent6" w:themeTint="66"/>
        <w:insideH w:val="single" w:sz="4" w:space="0" w:color="F5C1B1" w:themeColor="accent6" w:themeTint="66"/>
        <w:insideV w:val="single" w:sz="4" w:space="0" w:color="F5C1B1" w:themeColor="accent6" w:themeTint="66"/>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2" w:space="0" w:color="F0A28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607F95" w:themeColor="accent1" w:themeTint="99"/>
        <w:bottom w:val="single" w:sz="2" w:space="0" w:color="607F95" w:themeColor="accent1" w:themeTint="99"/>
        <w:insideH w:val="single" w:sz="2" w:space="0" w:color="607F95" w:themeColor="accent1" w:themeTint="99"/>
        <w:insideV w:val="single" w:sz="2" w:space="0" w:color="607F95" w:themeColor="accent1" w:themeTint="99"/>
      </w:tblBorders>
    </w:tblPr>
    <w:tblStylePr w:type="firstRow">
      <w:rPr>
        <w:b/>
        <w:bCs/>
      </w:rPr>
      <w:tblPr/>
      <w:tcPr>
        <w:tcBorders>
          <w:top w:val="nil"/>
          <w:bottom w:val="single" w:sz="12" w:space="0" w:color="607F95" w:themeColor="accent1" w:themeTint="99"/>
          <w:insideH w:val="nil"/>
          <w:insideV w:val="nil"/>
        </w:tcBorders>
        <w:shd w:val="clear" w:color="auto" w:fill="FFFFFF" w:themeFill="background1"/>
      </w:tcPr>
    </w:tblStylePr>
    <w:tblStylePr w:type="lastRow">
      <w:rPr>
        <w:b/>
        <w:bCs/>
      </w:rPr>
      <w:tblPr/>
      <w:tcPr>
        <w:tcBorders>
          <w:top w:val="double" w:sz="2" w:space="0" w:color="607F9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1DE1FF" w:themeColor="accent2" w:themeTint="99"/>
        <w:bottom w:val="single" w:sz="2" w:space="0" w:color="1DE1FF" w:themeColor="accent2" w:themeTint="99"/>
        <w:insideH w:val="single" w:sz="2" w:space="0" w:color="1DE1FF" w:themeColor="accent2" w:themeTint="99"/>
        <w:insideV w:val="single" w:sz="2" w:space="0" w:color="1DE1FF" w:themeColor="accent2" w:themeTint="99"/>
      </w:tblBorders>
    </w:tblPr>
    <w:tblStylePr w:type="firstRow">
      <w:rPr>
        <w:b/>
        <w:bCs/>
      </w:rPr>
      <w:tblPr/>
      <w:tcPr>
        <w:tcBorders>
          <w:top w:val="nil"/>
          <w:bottom w:val="single" w:sz="12" w:space="0" w:color="1DE1FF" w:themeColor="accent2" w:themeTint="99"/>
          <w:insideH w:val="nil"/>
          <w:insideV w:val="nil"/>
        </w:tcBorders>
        <w:shd w:val="clear" w:color="auto" w:fill="FFFFFF" w:themeFill="background1"/>
      </w:tcPr>
    </w:tblStylePr>
    <w:tblStylePr w:type="lastRow">
      <w:rPr>
        <w:b/>
        <w:bCs/>
      </w:rPr>
      <w:tblPr/>
      <w:tcPr>
        <w:tcBorders>
          <w:top w:val="double" w:sz="2" w:space="0" w:color="1DE1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9CD4F3" w:themeColor="accent3" w:themeTint="99"/>
        <w:bottom w:val="single" w:sz="2" w:space="0" w:color="9CD4F3" w:themeColor="accent3" w:themeTint="99"/>
        <w:insideH w:val="single" w:sz="2" w:space="0" w:color="9CD4F3" w:themeColor="accent3" w:themeTint="99"/>
        <w:insideV w:val="single" w:sz="2" w:space="0" w:color="9CD4F3" w:themeColor="accent3" w:themeTint="99"/>
      </w:tblBorders>
    </w:tblPr>
    <w:tblStylePr w:type="firstRow">
      <w:rPr>
        <w:b/>
        <w:bCs/>
      </w:rPr>
      <w:tblPr/>
      <w:tcPr>
        <w:tcBorders>
          <w:top w:val="nil"/>
          <w:bottom w:val="single" w:sz="12" w:space="0" w:color="9CD4F3" w:themeColor="accent3" w:themeTint="99"/>
          <w:insideH w:val="nil"/>
          <w:insideV w:val="nil"/>
        </w:tcBorders>
        <w:shd w:val="clear" w:color="auto" w:fill="FFFFFF" w:themeFill="background1"/>
      </w:tcPr>
    </w:tblStylePr>
    <w:tblStylePr w:type="lastRow">
      <w:rPr>
        <w:b/>
        <w:bCs/>
      </w:rPr>
      <w:tblPr/>
      <w:tcPr>
        <w:tcBorders>
          <w:top w:val="double" w:sz="2" w:space="0" w:color="9CD4F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2793FF" w:themeColor="accent4" w:themeTint="99"/>
        <w:bottom w:val="single" w:sz="2" w:space="0" w:color="2793FF" w:themeColor="accent4" w:themeTint="99"/>
        <w:insideH w:val="single" w:sz="2" w:space="0" w:color="2793FF" w:themeColor="accent4" w:themeTint="99"/>
        <w:insideV w:val="single" w:sz="2" w:space="0" w:color="2793FF" w:themeColor="accent4" w:themeTint="99"/>
      </w:tblBorders>
    </w:tblPr>
    <w:tblStylePr w:type="firstRow">
      <w:rPr>
        <w:b/>
        <w:bCs/>
      </w:rPr>
      <w:tblPr/>
      <w:tcPr>
        <w:tcBorders>
          <w:top w:val="nil"/>
          <w:bottom w:val="single" w:sz="12" w:space="0" w:color="2793FF" w:themeColor="accent4" w:themeTint="99"/>
          <w:insideH w:val="nil"/>
          <w:insideV w:val="nil"/>
        </w:tcBorders>
        <w:shd w:val="clear" w:color="auto" w:fill="FFFFFF" w:themeFill="background1"/>
      </w:tcPr>
    </w:tblStylePr>
    <w:tblStylePr w:type="lastRow">
      <w:rPr>
        <w:b/>
        <w:bCs/>
      </w:rPr>
      <w:tblPr/>
      <w:tcPr>
        <w:tcBorders>
          <w:top w:val="double" w:sz="2" w:space="0" w:color="2793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9CCCA1" w:themeColor="accent5" w:themeTint="99"/>
        <w:bottom w:val="single" w:sz="2" w:space="0" w:color="9CCCA1" w:themeColor="accent5" w:themeTint="99"/>
        <w:insideH w:val="single" w:sz="2" w:space="0" w:color="9CCCA1" w:themeColor="accent5" w:themeTint="99"/>
        <w:insideV w:val="single" w:sz="2" w:space="0" w:color="9CCCA1" w:themeColor="accent5" w:themeTint="99"/>
      </w:tblBorders>
    </w:tblPr>
    <w:tblStylePr w:type="firstRow">
      <w:rPr>
        <w:b/>
        <w:bCs/>
      </w:rPr>
      <w:tblPr/>
      <w:tcPr>
        <w:tcBorders>
          <w:top w:val="nil"/>
          <w:bottom w:val="single" w:sz="12" w:space="0" w:color="9CCCA1" w:themeColor="accent5" w:themeTint="99"/>
          <w:insideH w:val="nil"/>
          <w:insideV w:val="nil"/>
        </w:tcBorders>
        <w:shd w:val="clear" w:color="auto" w:fill="FFFFFF" w:themeFill="background1"/>
      </w:tcPr>
    </w:tblStylePr>
    <w:tblStylePr w:type="lastRow">
      <w:rPr>
        <w:b/>
        <w:bCs/>
      </w:rPr>
      <w:tblPr/>
      <w:tcPr>
        <w:tcBorders>
          <w:top w:val="double" w:sz="2" w:space="0" w:color="9CCCA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F0A28A" w:themeColor="accent6" w:themeTint="99"/>
        <w:bottom w:val="single" w:sz="2" w:space="0" w:color="F0A28A" w:themeColor="accent6" w:themeTint="99"/>
        <w:insideH w:val="single" w:sz="2" w:space="0" w:color="F0A28A" w:themeColor="accent6" w:themeTint="99"/>
        <w:insideV w:val="single" w:sz="2" w:space="0" w:color="F0A28A" w:themeColor="accent6" w:themeTint="99"/>
      </w:tblBorders>
    </w:tblPr>
    <w:tblStylePr w:type="firstRow">
      <w:rPr>
        <w:b/>
        <w:bCs/>
      </w:rPr>
      <w:tblPr/>
      <w:tcPr>
        <w:tcBorders>
          <w:top w:val="nil"/>
          <w:bottom w:val="single" w:sz="12" w:space="0" w:color="F0A28A" w:themeColor="accent6" w:themeTint="99"/>
          <w:insideH w:val="nil"/>
          <w:insideV w:val="nil"/>
        </w:tcBorders>
        <w:shd w:val="clear" w:color="auto" w:fill="FFFFFF" w:themeFill="background1"/>
      </w:tcPr>
    </w:tblStylePr>
    <w:tblStylePr w:type="lastRow">
      <w:rPr>
        <w:b/>
        <w:bCs/>
      </w:rPr>
      <w:tblPr/>
      <w:tcPr>
        <w:tcBorders>
          <w:top w:val="double" w:sz="2" w:space="0" w:color="F0A28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insideV w:val="nil"/>
        </w:tcBorders>
        <w:shd w:val="clear" w:color="auto" w:fill="1B242A" w:themeFill="accent1"/>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insideV w:val="nil"/>
        </w:tcBorders>
        <w:shd w:val="clear" w:color="auto" w:fill="007586" w:themeFill="accent2"/>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insideV w:val="nil"/>
        </w:tcBorders>
        <w:shd w:val="clear" w:color="auto" w:fill="5AB9EB" w:themeFill="accent3"/>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insideV w:val="nil"/>
        </w:tcBorders>
        <w:shd w:val="clear" w:color="auto" w:fill="004C97" w:themeFill="accent4"/>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insideV w:val="nil"/>
        </w:tcBorders>
        <w:shd w:val="clear" w:color="auto" w:fill="5AAA64" w:themeFill="accent5"/>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insideV w:val="nil"/>
        </w:tcBorders>
        <w:shd w:val="clear" w:color="auto" w:fill="E6643C" w:themeFill="accent6"/>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D4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242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242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242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242A" w:themeFill="accent1"/>
      </w:tcPr>
    </w:tblStylePr>
    <w:tblStylePr w:type="band1Vert">
      <w:tblPr/>
      <w:tcPr>
        <w:shd w:val="clear" w:color="auto" w:fill="93AABA" w:themeFill="accent1" w:themeFillTint="66"/>
      </w:tcPr>
    </w:tblStylePr>
    <w:tblStylePr w:type="band1Horz">
      <w:tblPr/>
      <w:tcPr>
        <w:shd w:val="clear" w:color="auto" w:fill="93AABA"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5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8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8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8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86" w:themeFill="accent2"/>
      </w:tcPr>
    </w:tblStylePr>
    <w:tblStylePr w:type="band1Vert">
      <w:tblPr/>
      <w:tcPr>
        <w:shd w:val="clear" w:color="auto" w:fill="68EBFF" w:themeFill="accent2" w:themeFillTint="66"/>
      </w:tcPr>
    </w:tblStylePr>
    <w:tblStylePr w:type="band1Horz">
      <w:tblPr/>
      <w:tcPr>
        <w:shd w:val="clear" w:color="auto" w:fill="68EBFF"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B9E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B9E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B9E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B9EB" w:themeFill="accent3"/>
      </w:tcPr>
    </w:tblStylePr>
    <w:tblStylePr w:type="band1Vert">
      <w:tblPr/>
      <w:tcPr>
        <w:shd w:val="clear" w:color="auto" w:fill="BDE2F7" w:themeFill="accent3" w:themeFillTint="66"/>
      </w:tcPr>
    </w:tblStylePr>
    <w:tblStylePr w:type="band1Horz">
      <w:tblPr/>
      <w:tcPr>
        <w:shd w:val="clear" w:color="auto" w:fill="BDE2F7"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4"/>
      </w:tcPr>
    </w:tblStylePr>
    <w:tblStylePr w:type="band1Vert">
      <w:tblPr/>
      <w:tcPr>
        <w:shd w:val="clear" w:color="auto" w:fill="6FB7FF" w:themeFill="accent4" w:themeFillTint="66"/>
      </w:tcPr>
    </w:tblStylePr>
    <w:tblStylePr w:type="band1Horz">
      <w:tblPr/>
      <w:tcPr>
        <w:shd w:val="clear" w:color="auto" w:fill="6FB7FF"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E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A6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A6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A6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A64" w:themeFill="accent5"/>
      </w:tcPr>
    </w:tblStylePr>
    <w:tblStylePr w:type="band1Vert">
      <w:tblPr/>
      <w:tcPr>
        <w:shd w:val="clear" w:color="auto" w:fill="BDDDC0" w:themeFill="accent5" w:themeFillTint="66"/>
      </w:tcPr>
    </w:tblStylePr>
    <w:tblStylePr w:type="band1Horz">
      <w:tblPr/>
      <w:tcPr>
        <w:shd w:val="clear" w:color="auto" w:fill="BDDDC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43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43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43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43C" w:themeFill="accent6"/>
      </w:tcPr>
    </w:tblStylePr>
    <w:tblStylePr w:type="band1Vert">
      <w:tblPr/>
      <w:tcPr>
        <w:shd w:val="clear" w:color="auto" w:fill="F5C1B1" w:themeFill="accent6" w:themeFillTint="66"/>
      </w:tcPr>
    </w:tblStylePr>
    <w:tblStylePr w:type="band1Horz">
      <w:tblPr/>
      <w:tcPr>
        <w:shd w:val="clear" w:color="auto" w:fill="F5C1B1"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18" w:space="0" w:color="1B242A" w:themeColor="accent1"/>
          <w:right w:val="single" w:sz="8" w:space="0" w:color="1B242A" w:themeColor="accent1"/>
          <w:insideH w:val="nil"/>
          <w:insideV w:val="single" w:sz="8" w:space="0" w:color="1B242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insideH w:val="nil"/>
          <w:insideV w:val="single" w:sz="8" w:space="0" w:color="1B242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shd w:val="clear" w:color="auto" w:fill="BCCAD4" w:themeFill="accent1" w:themeFillTint="3F"/>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shd w:val="clear" w:color="auto" w:fill="BCCAD4" w:themeFill="accent1" w:themeFillTint="3F"/>
      </w:tcPr>
    </w:tblStylePr>
    <w:tblStylePr w:type="band2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18" w:space="0" w:color="007586" w:themeColor="accent2"/>
          <w:right w:val="single" w:sz="8" w:space="0" w:color="007586" w:themeColor="accent2"/>
          <w:insideH w:val="nil"/>
          <w:insideV w:val="single" w:sz="8" w:space="0" w:color="00758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insideH w:val="nil"/>
          <w:insideV w:val="single" w:sz="8" w:space="0" w:color="00758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shd w:val="clear" w:color="auto" w:fill="A2F2FF" w:themeFill="accent2" w:themeFillTint="3F"/>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shd w:val="clear" w:color="auto" w:fill="A2F2FF" w:themeFill="accent2" w:themeFillTint="3F"/>
      </w:tcPr>
    </w:tblStylePr>
    <w:tblStylePr w:type="band2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18" w:space="0" w:color="5AB9EB" w:themeColor="accent3"/>
          <w:right w:val="single" w:sz="8" w:space="0" w:color="5AB9EB" w:themeColor="accent3"/>
          <w:insideH w:val="nil"/>
          <w:insideV w:val="single" w:sz="8" w:space="0" w:color="5AB9E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insideH w:val="nil"/>
          <w:insideV w:val="single" w:sz="8" w:space="0" w:color="5AB9E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shd w:val="clear" w:color="auto" w:fill="D5EDFA" w:themeFill="accent3" w:themeFillTint="3F"/>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shd w:val="clear" w:color="auto" w:fill="D5EDFA" w:themeFill="accent3" w:themeFillTint="3F"/>
      </w:tcPr>
    </w:tblStylePr>
    <w:tblStylePr w:type="band2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18" w:space="0" w:color="004C97" w:themeColor="accent4"/>
          <w:right w:val="single" w:sz="8" w:space="0" w:color="004C97" w:themeColor="accent4"/>
          <w:insideH w:val="nil"/>
          <w:insideV w:val="single" w:sz="8" w:space="0" w:color="004C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insideH w:val="nil"/>
          <w:insideV w:val="single" w:sz="8" w:space="0" w:color="004C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shd w:val="clear" w:color="auto" w:fill="A6D2FF" w:themeFill="accent4" w:themeFillTint="3F"/>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shd w:val="clear" w:color="auto" w:fill="A6D2FF" w:themeFill="accent4" w:themeFillTint="3F"/>
      </w:tcPr>
    </w:tblStylePr>
    <w:tblStylePr w:type="band2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18" w:space="0" w:color="5AAA64" w:themeColor="accent5"/>
          <w:right w:val="single" w:sz="8" w:space="0" w:color="5AAA64" w:themeColor="accent5"/>
          <w:insideH w:val="nil"/>
          <w:insideV w:val="single" w:sz="8" w:space="0" w:color="5AAA6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insideH w:val="nil"/>
          <w:insideV w:val="single" w:sz="8" w:space="0" w:color="5AAA6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shd w:val="clear" w:color="auto" w:fill="D6EAD8" w:themeFill="accent5" w:themeFillTint="3F"/>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shd w:val="clear" w:color="auto" w:fill="D6EAD8" w:themeFill="accent5" w:themeFillTint="3F"/>
      </w:tcPr>
    </w:tblStylePr>
    <w:tblStylePr w:type="band2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18" w:space="0" w:color="E6643C" w:themeColor="accent6"/>
          <w:right w:val="single" w:sz="8" w:space="0" w:color="E6643C" w:themeColor="accent6"/>
          <w:insideH w:val="nil"/>
          <w:insideV w:val="single" w:sz="8" w:space="0" w:color="E664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insideH w:val="nil"/>
          <w:insideV w:val="single" w:sz="8" w:space="0" w:color="E664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shd w:val="clear" w:color="auto" w:fill="F8D8CE" w:themeFill="accent6" w:themeFillTint="3F"/>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shd w:val="clear" w:color="auto" w:fill="F8D8CE" w:themeFill="accent6" w:themeFillTint="3F"/>
      </w:tcPr>
    </w:tblStylePr>
    <w:tblStylePr w:type="band2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pPr>
        <w:spacing w:before="0" w:after="0" w:line="240" w:lineRule="auto"/>
      </w:pPr>
      <w:rPr>
        <w:b/>
        <w:bCs/>
        <w:color w:val="FFFFFF" w:themeColor="background1"/>
      </w:rPr>
      <w:tblPr/>
      <w:tcPr>
        <w:shd w:val="clear" w:color="auto" w:fill="007586" w:themeFill="accent2"/>
      </w:tcPr>
    </w:tblStylePr>
    <w:tblStylePr w:type="lastRow">
      <w:pPr>
        <w:spacing w:before="0" w:after="0" w:line="240" w:lineRule="auto"/>
      </w:pPr>
      <w:rPr>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tcBorders>
      </w:tcPr>
    </w:tblStylePr>
    <w:tblStylePr w:type="firstCol">
      <w:rPr>
        <w:b/>
        <w:bCs/>
      </w:rPr>
    </w:tblStylePr>
    <w:tblStylePr w:type="lastCol">
      <w:rPr>
        <w:b/>
        <w:bCs/>
      </w:r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pPr>
        <w:spacing w:before="0" w:after="0" w:line="240" w:lineRule="auto"/>
      </w:pPr>
      <w:rPr>
        <w:b/>
        <w:bCs/>
        <w:color w:val="FFFFFF" w:themeColor="background1"/>
      </w:rPr>
      <w:tblPr/>
      <w:tcPr>
        <w:shd w:val="clear" w:color="auto" w:fill="5AB9EB" w:themeFill="accent3"/>
      </w:tcPr>
    </w:tblStylePr>
    <w:tblStylePr w:type="lastRow">
      <w:pPr>
        <w:spacing w:before="0" w:after="0" w:line="240" w:lineRule="auto"/>
      </w:pPr>
      <w:rPr>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tcBorders>
      </w:tcPr>
    </w:tblStylePr>
    <w:tblStylePr w:type="firstCol">
      <w:rPr>
        <w:b/>
        <w:bCs/>
      </w:rPr>
    </w:tblStylePr>
    <w:tblStylePr w:type="lastCol">
      <w:rPr>
        <w:b/>
        <w:bCs/>
      </w:r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pPr>
        <w:spacing w:before="0" w:after="0" w:line="240" w:lineRule="auto"/>
      </w:pPr>
      <w:rPr>
        <w:b/>
        <w:bCs/>
        <w:color w:val="FFFFFF" w:themeColor="background1"/>
      </w:rPr>
      <w:tblPr/>
      <w:tcPr>
        <w:shd w:val="clear" w:color="auto" w:fill="5AAA64" w:themeFill="accent5"/>
      </w:tcPr>
    </w:tblStylePr>
    <w:tblStylePr w:type="lastRow">
      <w:pPr>
        <w:spacing w:before="0" w:after="0" w:line="240" w:lineRule="auto"/>
      </w:pPr>
      <w:rPr>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tcBorders>
      </w:tcPr>
    </w:tblStylePr>
    <w:tblStylePr w:type="firstCol">
      <w:rPr>
        <w:b/>
        <w:bCs/>
      </w:rPr>
    </w:tblStylePr>
    <w:tblStylePr w:type="lastCol">
      <w:rPr>
        <w:b/>
        <w:bCs/>
      </w:r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pPr>
        <w:spacing w:before="0" w:after="0" w:line="240" w:lineRule="auto"/>
      </w:pPr>
      <w:rPr>
        <w:b/>
        <w:bCs/>
        <w:color w:val="FFFFFF" w:themeColor="background1"/>
      </w:rPr>
      <w:tblPr/>
      <w:tcPr>
        <w:shd w:val="clear" w:color="auto" w:fill="E6643C" w:themeFill="accent6"/>
      </w:tcPr>
    </w:tblStylePr>
    <w:tblStylePr w:type="lastRow">
      <w:pPr>
        <w:spacing w:before="0" w:after="0" w:line="240" w:lineRule="auto"/>
      </w:pPr>
      <w:rPr>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tcBorders>
      </w:tcPr>
    </w:tblStylePr>
    <w:tblStylePr w:type="firstCol">
      <w:rPr>
        <w:b/>
        <w:bCs/>
      </w:rPr>
    </w:tblStylePr>
    <w:tblStylePr w:type="lastCol">
      <w:rPr>
        <w:b/>
        <w:bCs/>
      </w:r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141A1F" w:themeColor="accent1" w:themeShade="BF"/>
    </w:rPr>
    <w:tblPr>
      <w:tblStyleRowBandSize w:val="1"/>
      <w:tblStyleColBandSize w:val="1"/>
      <w:tblBorders>
        <w:top w:val="single" w:sz="8" w:space="0" w:color="1B242A" w:themeColor="accent1"/>
        <w:bottom w:val="single" w:sz="8" w:space="0" w:color="1B242A" w:themeColor="accent1"/>
      </w:tblBorders>
    </w:tblPr>
    <w:tblStylePr w:type="fir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la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left w:val="nil"/>
          <w:right w:val="nil"/>
          <w:insideH w:val="nil"/>
          <w:insideV w:val="nil"/>
        </w:tcBorders>
        <w:shd w:val="clear" w:color="auto" w:fill="BCCAD4"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005764" w:themeColor="accent2" w:themeShade="BF"/>
    </w:rPr>
    <w:tblPr>
      <w:tblStyleRowBandSize w:val="1"/>
      <w:tblStyleColBandSize w:val="1"/>
      <w:tblBorders>
        <w:top w:val="single" w:sz="8" w:space="0" w:color="007586" w:themeColor="accent2"/>
        <w:bottom w:val="single" w:sz="8" w:space="0" w:color="007586" w:themeColor="accent2"/>
      </w:tblBorders>
    </w:tblPr>
    <w:tblStylePr w:type="fir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la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left w:val="nil"/>
          <w:right w:val="nil"/>
          <w:insideH w:val="nil"/>
          <w:insideV w:val="nil"/>
        </w:tcBorders>
        <w:shd w:val="clear" w:color="auto" w:fill="A2F2FF"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1A97D9" w:themeColor="accent3" w:themeShade="BF"/>
    </w:rPr>
    <w:tblPr>
      <w:tblStyleRowBandSize w:val="1"/>
      <w:tblStyleColBandSize w:val="1"/>
      <w:tblBorders>
        <w:top w:val="single" w:sz="8" w:space="0" w:color="5AB9EB" w:themeColor="accent3"/>
        <w:bottom w:val="single" w:sz="8" w:space="0" w:color="5AB9EB" w:themeColor="accent3"/>
      </w:tblBorders>
    </w:tblPr>
    <w:tblStylePr w:type="fir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la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left w:val="nil"/>
          <w:right w:val="nil"/>
          <w:insideH w:val="nil"/>
          <w:insideV w:val="nil"/>
        </w:tcBorders>
        <w:shd w:val="clear" w:color="auto" w:fill="D5EDFA"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003871" w:themeColor="accent4" w:themeShade="BF"/>
    </w:rPr>
    <w:tblPr>
      <w:tblStyleRowBandSize w:val="1"/>
      <w:tblStyleColBandSize w:val="1"/>
      <w:tblBorders>
        <w:top w:val="single" w:sz="8" w:space="0" w:color="004C97" w:themeColor="accent4"/>
        <w:bottom w:val="single" w:sz="8" w:space="0" w:color="004C97" w:themeColor="accent4"/>
      </w:tblBorders>
    </w:tblPr>
    <w:tblStylePr w:type="fir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la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left w:val="nil"/>
          <w:right w:val="nil"/>
          <w:insideH w:val="nil"/>
          <w:insideV w:val="nil"/>
        </w:tcBorders>
        <w:shd w:val="clear" w:color="auto" w:fill="A6D2FF"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428049" w:themeColor="accent5" w:themeShade="BF"/>
    </w:rPr>
    <w:tblPr>
      <w:tblStyleRowBandSize w:val="1"/>
      <w:tblStyleColBandSize w:val="1"/>
      <w:tblBorders>
        <w:top w:val="single" w:sz="8" w:space="0" w:color="5AAA64" w:themeColor="accent5"/>
        <w:bottom w:val="single" w:sz="8" w:space="0" w:color="5AAA64" w:themeColor="accent5"/>
      </w:tblBorders>
    </w:tblPr>
    <w:tblStylePr w:type="fir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la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left w:val="nil"/>
          <w:right w:val="nil"/>
          <w:insideH w:val="nil"/>
          <w:insideV w:val="nil"/>
        </w:tcBorders>
        <w:shd w:val="clear" w:color="auto" w:fill="D6EAD8"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C04018" w:themeColor="accent6" w:themeShade="BF"/>
    </w:rPr>
    <w:tblPr>
      <w:tblStyleRowBandSize w:val="1"/>
      <w:tblStyleColBandSize w:val="1"/>
      <w:tblBorders>
        <w:top w:val="single" w:sz="8" w:space="0" w:color="E6643C" w:themeColor="accent6"/>
        <w:bottom w:val="single" w:sz="8" w:space="0" w:color="E6643C" w:themeColor="accent6"/>
      </w:tblBorders>
    </w:tblPr>
    <w:tblStylePr w:type="fir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la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left w:val="nil"/>
          <w:right w:val="nil"/>
          <w:insideH w:val="nil"/>
          <w:insideV w:val="nil"/>
        </w:tcBorders>
        <w:shd w:val="clear" w:color="auto" w:fill="F8D8CE"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07F95" w:themeColor="accent1" w:themeTint="99"/>
        </w:tcBorders>
      </w:tcPr>
    </w:tblStylePr>
    <w:tblStylePr w:type="lastRow">
      <w:rPr>
        <w:b/>
        <w:bCs/>
      </w:rPr>
      <w:tblPr/>
      <w:tcPr>
        <w:tcBorders>
          <w:top w:val="sing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1DE1FF" w:themeColor="accent2" w:themeTint="99"/>
        </w:tcBorders>
      </w:tcPr>
    </w:tblStylePr>
    <w:tblStylePr w:type="lastRow">
      <w:rPr>
        <w:b/>
        <w:bCs/>
      </w:rPr>
      <w:tblPr/>
      <w:tcPr>
        <w:tcBorders>
          <w:top w:val="sing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9CD4F3" w:themeColor="accent3" w:themeTint="99"/>
        </w:tcBorders>
      </w:tcPr>
    </w:tblStylePr>
    <w:tblStylePr w:type="lastRow">
      <w:rPr>
        <w:b/>
        <w:bCs/>
      </w:rPr>
      <w:tblPr/>
      <w:tcPr>
        <w:tcBorders>
          <w:top w:val="sing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2793FF" w:themeColor="accent4" w:themeTint="99"/>
        </w:tcBorders>
      </w:tcPr>
    </w:tblStylePr>
    <w:tblStylePr w:type="lastRow">
      <w:rPr>
        <w:b/>
        <w:bCs/>
      </w:rPr>
      <w:tblPr/>
      <w:tcPr>
        <w:tcBorders>
          <w:top w:val="sing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9CCCA1" w:themeColor="accent5" w:themeTint="99"/>
        </w:tcBorders>
      </w:tcPr>
    </w:tblStylePr>
    <w:tblStylePr w:type="lastRow">
      <w:rPr>
        <w:b/>
        <w:bCs/>
      </w:rPr>
      <w:tblPr/>
      <w:tcPr>
        <w:tcBorders>
          <w:top w:val="sing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F0A28A" w:themeColor="accent6" w:themeTint="99"/>
        </w:tcBorders>
      </w:tcPr>
    </w:tblStylePr>
    <w:tblStylePr w:type="lastRow">
      <w:rPr>
        <w:b/>
        <w:bCs/>
      </w:rPr>
      <w:tblPr/>
      <w:tcPr>
        <w:tcBorders>
          <w:top w:val="sing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607F95" w:themeColor="accent1" w:themeTint="99"/>
        <w:bottom w:val="single" w:sz="4" w:space="0" w:color="607F95" w:themeColor="accent1" w:themeTint="99"/>
        <w:insideH w:val="single" w:sz="4" w:space="0" w:color="607F9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1DE1FF" w:themeColor="accent2" w:themeTint="99"/>
        <w:bottom w:val="single" w:sz="4" w:space="0" w:color="1DE1FF" w:themeColor="accent2" w:themeTint="99"/>
        <w:insideH w:val="single" w:sz="4" w:space="0" w:color="1DE1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9CD4F3" w:themeColor="accent3" w:themeTint="99"/>
        <w:bottom w:val="single" w:sz="4" w:space="0" w:color="9CD4F3" w:themeColor="accent3" w:themeTint="99"/>
        <w:insideH w:val="single" w:sz="4" w:space="0" w:color="9CD4F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2793FF" w:themeColor="accent4" w:themeTint="99"/>
        <w:bottom w:val="single" w:sz="4" w:space="0" w:color="2793FF" w:themeColor="accent4" w:themeTint="99"/>
        <w:insideH w:val="single" w:sz="4" w:space="0" w:color="2793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9CCCA1" w:themeColor="accent5" w:themeTint="99"/>
        <w:bottom w:val="single" w:sz="4" w:space="0" w:color="9CCCA1" w:themeColor="accent5" w:themeTint="99"/>
        <w:insideH w:val="single" w:sz="4" w:space="0" w:color="9CCCA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F0A28A" w:themeColor="accent6" w:themeTint="99"/>
        <w:bottom w:val="single" w:sz="4" w:space="0" w:color="F0A28A" w:themeColor="accent6" w:themeTint="99"/>
        <w:insideH w:val="single" w:sz="4" w:space="0" w:color="F0A28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1B242A" w:themeColor="accent1"/>
        <w:left w:val="single" w:sz="4" w:space="0" w:color="1B242A" w:themeColor="accent1"/>
        <w:bottom w:val="single" w:sz="4" w:space="0" w:color="1B242A" w:themeColor="accent1"/>
        <w:right w:val="single" w:sz="4" w:space="0" w:color="1B242A" w:themeColor="accent1"/>
      </w:tblBorders>
    </w:tblPr>
    <w:tblStylePr w:type="firstRow">
      <w:rPr>
        <w:b/>
        <w:bCs/>
        <w:color w:val="FFFFFF" w:themeColor="background1"/>
      </w:rPr>
      <w:tblPr/>
      <w:tcPr>
        <w:shd w:val="clear" w:color="auto" w:fill="1B242A" w:themeFill="accent1"/>
      </w:tcPr>
    </w:tblStylePr>
    <w:tblStylePr w:type="lastRow">
      <w:rPr>
        <w:b/>
        <w:bCs/>
      </w:rPr>
      <w:tblPr/>
      <w:tcPr>
        <w:tcBorders>
          <w:top w:val="double" w:sz="4" w:space="0" w:color="1B242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42A" w:themeColor="accent1"/>
          <w:right w:val="single" w:sz="4" w:space="0" w:color="1B242A" w:themeColor="accent1"/>
        </w:tcBorders>
      </w:tcPr>
    </w:tblStylePr>
    <w:tblStylePr w:type="band1Horz">
      <w:tblPr/>
      <w:tcPr>
        <w:tcBorders>
          <w:top w:val="single" w:sz="4" w:space="0" w:color="1B242A" w:themeColor="accent1"/>
          <w:bottom w:val="single" w:sz="4" w:space="0" w:color="1B242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42A" w:themeColor="accent1"/>
          <w:left w:val="nil"/>
        </w:tcBorders>
      </w:tcPr>
    </w:tblStylePr>
    <w:tblStylePr w:type="swCell">
      <w:tblPr/>
      <w:tcPr>
        <w:tcBorders>
          <w:top w:val="double" w:sz="4" w:space="0" w:color="1B242A"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007586" w:themeColor="accent2"/>
        <w:left w:val="single" w:sz="4" w:space="0" w:color="007586" w:themeColor="accent2"/>
        <w:bottom w:val="single" w:sz="4" w:space="0" w:color="007586" w:themeColor="accent2"/>
        <w:right w:val="single" w:sz="4" w:space="0" w:color="007586" w:themeColor="accent2"/>
      </w:tblBorders>
    </w:tblPr>
    <w:tblStylePr w:type="firstRow">
      <w:rPr>
        <w:b/>
        <w:bCs/>
        <w:color w:val="FFFFFF" w:themeColor="background1"/>
      </w:rPr>
      <w:tblPr/>
      <w:tcPr>
        <w:shd w:val="clear" w:color="auto" w:fill="007586" w:themeFill="accent2"/>
      </w:tcPr>
    </w:tblStylePr>
    <w:tblStylePr w:type="lastRow">
      <w:rPr>
        <w:b/>
        <w:bCs/>
      </w:rPr>
      <w:tblPr/>
      <w:tcPr>
        <w:tcBorders>
          <w:top w:val="double" w:sz="4" w:space="0" w:color="00758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86" w:themeColor="accent2"/>
          <w:right w:val="single" w:sz="4" w:space="0" w:color="007586" w:themeColor="accent2"/>
        </w:tcBorders>
      </w:tcPr>
    </w:tblStylePr>
    <w:tblStylePr w:type="band1Horz">
      <w:tblPr/>
      <w:tcPr>
        <w:tcBorders>
          <w:top w:val="single" w:sz="4" w:space="0" w:color="007586" w:themeColor="accent2"/>
          <w:bottom w:val="single" w:sz="4" w:space="0" w:color="00758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86" w:themeColor="accent2"/>
          <w:left w:val="nil"/>
        </w:tcBorders>
      </w:tcPr>
    </w:tblStylePr>
    <w:tblStylePr w:type="swCell">
      <w:tblPr/>
      <w:tcPr>
        <w:tcBorders>
          <w:top w:val="double" w:sz="4" w:space="0" w:color="007586"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5AB9EB" w:themeColor="accent3"/>
        <w:left w:val="single" w:sz="4" w:space="0" w:color="5AB9EB" w:themeColor="accent3"/>
        <w:bottom w:val="single" w:sz="4" w:space="0" w:color="5AB9EB" w:themeColor="accent3"/>
        <w:right w:val="single" w:sz="4" w:space="0" w:color="5AB9EB" w:themeColor="accent3"/>
      </w:tblBorders>
    </w:tblPr>
    <w:tblStylePr w:type="firstRow">
      <w:rPr>
        <w:b/>
        <w:bCs/>
        <w:color w:val="FFFFFF" w:themeColor="background1"/>
      </w:rPr>
      <w:tblPr/>
      <w:tcPr>
        <w:shd w:val="clear" w:color="auto" w:fill="5AB9EB" w:themeFill="accent3"/>
      </w:tcPr>
    </w:tblStylePr>
    <w:tblStylePr w:type="lastRow">
      <w:rPr>
        <w:b/>
        <w:bCs/>
      </w:rPr>
      <w:tblPr/>
      <w:tcPr>
        <w:tcBorders>
          <w:top w:val="double" w:sz="4" w:space="0" w:color="5AB9E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B9EB" w:themeColor="accent3"/>
          <w:right w:val="single" w:sz="4" w:space="0" w:color="5AB9EB" w:themeColor="accent3"/>
        </w:tcBorders>
      </w:tcPr>
    </w:tblStylePr>
    <w:tblStylePr w:type="band1Horz">
      <w:tblPr/>
      <w:tcPr>
        <w:tcBorders>
          <w:top w:val="single" w:sz="4" w:space="0" w:color="5AB9EB" w:themeColor="accent3"/>
          <w:bottom w:val="single" w:sz="4" w:space="0" w:color="5AB9E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B9EB" w:themeColor="accent3"/>
          <w:left w:val="nil"/>
        </w:tcBorders>
      </w:tcPr>
    </w:tblStylePr>
    <w:tblStylePr w:type="swCell">
      <w:tblPr/>
      <w:tcPr>
        <w:tcBorders>
          <w:top w:val="double" w:sz="4" w:space="0" w:color="5AB9EB"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004C97" w:themeColor="accent4"/>
        <w:left w:val="single" w:sz="4" w:space="0" w:color="004C97" w:themeColor="accent4"/>
        <w:bottom w:val="single" w:sz="4" w:space="0" w:color="004C97" w:themeColor="accent4"/>
        <w:right w:val="single" w:sz="4" w:space="0" w:color="004C97" w:themeColor="accent4"/>
      </w:tblBorders>
    </w:tblPr>
    <w:tblStylePr w:type="firstRow">
      <w:rPr>
        <w:b/>
        <w:bCs/>
        <w:color w:val="FFFFFF" w:themeColor="background1"/>
      </w:rPr>
      <w:tblPr/>
      <w:tcPr>
        <w:shd w:val="clear" w:color="auto" w:fill="004C97" w:themeFill="accent4"/>
      </w:tcPr>
    </w:tblStylePr>
    <w:tblStylePr w:type="lastRow">
      <w:rPr>
        <w:b/>
        <w:bCs/>
      </w:rPr>
      <w:tblPr/>
      <w:tcPr>
        <w:tcBorders>
          <w:top w:val="double" w:sz="4" w:space="0" w:color="004C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4"/>
          <w:right w:val="single" w:sz="4" w:space="0" w:color="004C97" w:themeColor="accent4"/>
        </w:tcBorders>
      </w:tcPr>
    </w:tblStylePr>
    <w:tblStylePr w:type="band1Horz">
      <w:tblPr/>
      <w:tcPr>
        <w:tcBorders>
          <w:top w:val="single" w:sz="4" w:space="0" w:color="004C97" w:themeColor="accent4"/>
          <w:bottom w:val="single" w:sz="4" w:space="0" w:color="004C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4"/>
          <w:left w:val="nil"/>
        </w:tcBorders>
      </w:tcPr>
    </w:tblStylePr>
    <w:tblStylePr w:type="swCell">
      <w:tblPr/>
      <w:tcPr>
        <w:tcBorders>
          <w:top w:val="double" w:sz="4" w:space="0" w:color="004C97"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5AAA64" w:themeColor="accent5"/>
        <w:left w:val="single" w:sz="4" w:space="0" w:color="5AAA64" w:themeColor="accent5"/>
        <w:bottom w:val="single" w:sz="4" w:space="0" w:color="5AAA64" w:themeColor="accent5"/>
        <w:right w:val="single" w:sz="4" w:space="0" w:color="5AAA64" w:themeColor="accent5"/>
      </w:tblBorders>
    </w:tblPr>
    <w:tblStylePr w:type="firstRow">
      <w:rPr>
        <w:b/>
        <w:bCs/>
        <w:color w:val="FFFFFF" w:themeColor="background1"/>
      </w:rPr>
      <w:tblPr/>
      <w:tcPr>
        <w:shd w:val="clear" w:color="auto" w:fill="5AAA64" w:themeFill="accent5"/>
      </w:tcPr>
    </w:tblStylePr>
    <w:tblStylePr w:type="lastRow">
      <w:rPr>
        <w:b/>
        <w:bCs/>
      </w:rPr>
      <w:tblPr/>
      <w:tcPr>
        <w:tcBorders>
          <w:top w:val="double" w:sz="4" w:space="0" w:color="5AAA6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A64" w:themeColor="accent5"/>
          <w:right w:val="single" w:sz="4" w:space="0" w:color="5AAA64" w:themeColor="accent5"/>
        </w:tcBorders>
      </w:tcPr>
    </w:tblStylePr>
    <w:tblStylePr w:type="band1Horz">
      <w:tblPr/>
      <w:tcPr>
        <w:tcBorders>
          <w:top w:val="single" w:sz="4" w:space="0" w:color="5AAA64" w:themeColor="accent5"/>
          <w:bottom w:val="single" w:sz="4" w:space="0" w:color="5AAA6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A64" w:themeColor="accent5"/>
          <w:left w:val="nil"/>
        </w:tcBorders>
      </w:tcPr>
    </w:tblStylePr>
    <w:tblStylePr w:type="swCell">
      <w:tblPr/>
      <w:tcPr>
        <w:tcBorders>
          <w:top w:val="double" w:sz="4" w:space="0" w:color="5AAA64"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E6643C" w:themeColor="accent6"/>
        <w:left w:val="single" w:sz="4" w:space="0" w:color="E6643C" w:themeColor="accent6"/>
        <w:bottom w:val="single" w:sz="4" w:space="0" w:color="E6643C" w:themeColor="accent6"/>
        <w:right w:val="single" w:sz="4" w:space="0" w:color="E6643C" w:themeColor="accent6"/>
      </w:tblBorders>
    </w:tblPr>
    <w:tblStylePr w:type="firstRow">
      <w:rPr>
        <w:b/>
        <w:bCs/>
        <w:color w:val="FFFFFF" w:themeColor="background1"/>
      </w:rPr>
      <w:tblPr/>
      <w:tcPr>
        <w:shd w:val="clear" w:color="auto" w:fill="E6643C" w:themeFill="accent6"/>
      </w:tcPr>
    </w:tblStylePr>
    <w:tblStylePr w:type="lastRow">
      <w:rPr>
        <w:b/>
        <w:bCs/>
      </w:rPr>
      <w:tblPr/>
      <w:tcPr>
        <w:tcBorders>
          <w:top w:val="double" w:sz="4" w:space="0" w:color="E6643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643C" w:themeColor="accent6"/>
          <w:right w:val="single" w:sz="4" w:space="0" w:color="E6643C" w:themeColor="accent6"/>
        </w:tcBorders>
      </w:tcPr>
    </w:tblStylePr>
    <w:tblStylePr w:type="band1Horz">
      <w:tblPr/>
      <w:tcPr>
        <w:tcBorders>
          <w:top w:val="single" w:sz="4" w:space="0" w:color="E6643C" w:themeColor="accent6"/>
          <w:bottom w:val="single" w:sz="4" w:space="0" w:color="E6643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643C" w:themeColor="accent6"/>
          <w:left w:val="nil"/>
        </w:tcBorders>
      </w:tcPr>
    </w:tblStylePr>
    <w:tblStylePr w:type="swCell">
      <w:tblPr/>
      <w:tcPr>
        <w:tcBorders>
          <w:top w:val="double" w:sz="4" w:space="0" w:color="E6643C"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tcBorders>
        <w:shd w:val="clear" w:color="auto" w:fill="1B242A" w:themeFill="accent1"/>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tcBorders>
        <w:shd w:val="clear" w:color="auto" w:fill="007586" w:themeFill="accent2"/>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tcBorders>
        <w:shd w:val="clear" w:color="auto" w:fill="5AB9EB" w:themeFill="accent3"/>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tcBorders>
        <w:shd w:val="clear" w:color="auto" w:fill="004C97" w:themeFill="accent4"/>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tcBorders>
        <w:shd w:val="clear" w:color="auto" w:fill="5AAA64" w:themeFill="accent5"/>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tcBorders>
        <w:shd w:val="clear" w:color="auto" w:fill="E6643C" w:themeFill="accent6"/>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1B242A" w:themeColor="accent1"/>
        <w:left w:val="single" w:sz="24" w:space="0" w:color="1B242A" w:themeColor="accent1"/>
        <w:bottom w:val="single" w:sz="24" w:space="0" w:color="1B242A" w:themeColor="accent1"/>
        <w:right w:val="single" w:sz="24" w:space="0" w:color="1B242A" w:themeColor="accent1"/>
      </w:tblBorders>
    </w:tblPr>
    <w:tcPr>
      <w:shd w:val="clear" w:color="auto" w:fill="1B242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7586" w:themeColor="accent2"/>
        <w:left w:val="single" w:sz="24" w:space="0" w:color="007586" w:themeColor="accent2"/>
        <w:bottom w:val="single" w:sz="24" w:space="0" w:color="007586" w:themeColor="accent2"/>
        <w:right w:val="single" w:sz="24" w:space="0" w:color="007586" w:themeColor="accent2"/>
      </w:tblBorders>
    </w:tblPr>
    <w:tcPr>
      <w:shd w:val="clear" w:color="auto" w:fill="00758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5AB9EB" w:themeColor="accent3"/>
        <w:left w:val="single" w:sz="24" w:space="0" w:color="5AB9EB" w:themeColor="accent3"/>
        <w:bottom w:val="single" w:sz="24" w:space="0" w:color="5AB9EB" w:themeColor="accent3"/>
        <w:right w:val="single" w:sz="24" w:space="0" w:color="5AB9EB" w:themeColor="accent3"/>
      </w:tblBorders>
    </w:tblPr>
    <w:tcPr>
      <w:shd w:val="clear" w:color="auto" w:fill="5AB9E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4C97" w:themeColor="accent4"/>
        <w:left w:val="single" w:sz="24" w:space="0" w:color="004C97" w:themeColor="accent4"/>
        <w:bottom w:val="single" w:sz="24" w:space="0" w:color="004C97" w:themeColor="accent4"/>
        <w:right w:val="single" w:sz="24" w:space="0" w:color="004C97" w:themeColor="accent4"/>
      </w:tblBorders>
    </w:tblPr>
    <w:tcPr>
      <w:shd w:val="clear" w:color="auto" w:fill="004C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5AAA64" w:themeColor="accent5"/>
        <w:left w:val="single" w:sz="24" w:space="0" w:color="5AAA64" w:themeColor="accent5"/>
        <w:bottom w:val="single" w:sz="24" w:space="0" w:color="5AAA64" w:themeColor="accent5"/>
        <w:right w:val="single" w:sz="24" w:space="0" w:color="5AAA64" w:themeColor="accent5"/>
      </w:tblBorders>
    </w:tblPr>
    <w:tcPr>
      <w:shd w:val="clear" w:color="auto" w:fill="5AAA6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E6643C" w:themeColor="accent6"/>
        <w:left w:val="single" w:sz="24" w:space="0" w:color="E6643C" w:themeColor="accent6"/>
        <w:bottom w:val="single" w:sz="24" w:space="0" w:color="E6643C" w:themeColor="accent6"/>
        <w:right w:val="single" w:sz="24" w:space="0" w:color="E6643C" w:themeColor="accent6"/>
      </w:tblBorders>
    </w:tblPr>
    <w:tcPr>
      <w:shd w:val="clear" w:color="auto" w:fill="E6643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sz="4" w:space="0" w:color="1B242A" w:themeColor="accent1"/>
        <w:bottom w:val="single" w:sz="4" w:space="0" w:color="1B242A" w:themeColor="accent1"/>
      </w:tblBorders>
    </w:tblPr>
    <w:tblStylePr w:type="firstRow">
      <w:rPr>
        <w:b/>
        <w:bCs/>
      </w:rPr>
      <w:tblPr/>
      <w:tcPr>
        <w:tcBorders>
          <w:bottom w:val="single" w:sz="4" w:space="0" w:color="1B242A" w:themeColor="accent1"/>
        </w:tcBorders>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sz="4" w:space="0" w:color="007586" w:themeColor="accent2"/>
        <w:bottom w:val="single" w:sz="4" w:space="0" w:color="007586" w:themeColor="accent2"/>
      </w:tblBorders>
    </w:tblPr>
    <w:tblStylePr w:type="firstRow">
      <w:rPr>
        <w:b/>
        <w:bCs/>
      </w:rPr>
      <w:tblPr/>
      <w:tcPr>
        <w:tcBorders>
          <w:bottom w:val="single" w:sz="4" w:space="0" w:color="007586" w:themeColor="accent2"/>
        </w:tcBorders>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sz="4" w:space="0" w:color="5AB9EB" w:themeColor="accent3"/>
        <w:bottom w:val="single" w:sz="4" w:space="0" w:color="5AB9EB" w:themeColor="accent3"/>
      </w:tblBorders>
    </w:tblPr>
    <w:tblStylePr w:type="firstRow">
      <w:rPr>
        <w:b/>
        <w:bCs/>
      </w:rPr>
      <w:tblPr/>
      <w:tcPr>
        <w:tcBorders>
          <w:bottom w:val="single" w:sz="4" w:space="0" w:color="5AB9EB" w:themeColor="accent3"/>
        </w:tcBorders>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sz="4" w:space="0" w:color="004C97" w:themeColor="accent4"/>
        <w:bottom w:val="single" w:sz="4" w:space="0" w:color="004C97" w:themeColor="accent4"/>
      </w:tblBorders>
    </w:tblPr>
    <w:tblStylePr w:type="firstRow">
      <w:rPr>
        <w:b/>
        <w:bCs/>
      </w:rPr>
      <w:tblPr/>
      <w:tcPr>
        <w:tcBorders>
          <w:bottom w:val="single" w:sz="4" w:space="0" w:color="004C97" w:themeColor="accent4"/>
        </w:tcBorders>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sz="4" w:space="0" w:color="5AAA64" w:themeColor="accent5"/>
        <w:bottom w:val="single" w:sz="4" w:space="0" w:color="5AAA64" w:themeColor="accent5"/>
      </w:tblBorders>
    </w:tblPr>
    <w:tblStylePr w:type="firstRow">
      <w:rPr>
        <w:b/>
        <w:bCs/>
      </w:rPr>
      <w:tblPr/>
      <w:tcPr>
        <w:tcBorders>
          <w:bottom w:val="single" w:sz="4" w:space="0" w:color="5AAA64" w:themeColor="accent5"/>
        </w:tcBorders>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sz="4" w:space="0" w:color="E6643C" w:themeColor="accent6"/>
        <w:bottom w:val="single" w:sz="4" w:space="0" w:color="E6643C" w:themeColor="accent6"/>
      </w:tblBorders>
    </w:tblPr>
    <w:tblStylePr w:type="firstRow">
      <w:rPr>
        <w:b/>
        <w:bCs/>
      </w:rPr>
      <w:tblPr/>
      <w:tcPr>
        <w:tcBorders>
          <w:bottom w:val="single" w:sz="4" w:space="0" w:color="E6643C" w:themeColor="accent6"/>
        </w:tcBorders>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141A1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242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242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242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242A" w:themeColor="accent1"/>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00576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8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8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8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86" w:themeColor="accent2"/>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1A97D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B9E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B9E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B9E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B9EB" w:themeColor="accent3"/>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00387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4"/>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42804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A6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A6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A6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A64" w:themeColor="accent5"/>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C0401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643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643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643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643C" w:themeColor="accent6"/>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insideV w:val="single" w:sz="8" w:space="0" w:color="465D6D" w:themeColor="accent1" w:themeTint="BF"/>
      </w:tblBorders>
    </w:tblPr>
    <w:tcPr>
      <w:shd w:val="clear" w:color="auto" w:fill="BCCAD4" w:themeFill="accent1" w:themeFillTint="3F"/>
    </w:tcPr>
    <w:tblStylePr w:type="firstRow">
      <w:rPr>
        <w:b/>
        <w:bCs/>
      </w:rPr>
    </w:tblStylePr>
    <w:tblStylePr w:type="lastRow">
      <w:rPr>
        <w:b/>
        <w:bCs/>
      </w:rPr>
      <w:tblPr/>
      <w:tcPr>
        <w:tcBorders>
          <w:top w:val="single" w:sz="18" w:space="0" w:color="465D6D" w:themeColor="accent1" w:themeTint="BF"/>
        </w:tcBorders>
      </w:tcPr>
    </w:tblStylePr>
    <w:tblStylePr w:type="firstCol">
      <w:rPr>
        <w:b/>
        <w:bCs/>
      </w:rPr>
    </w:tblStylePr>
    <w:tblStylePr w:type="lastCol">
      <w:rPr>
        <w:b/>
        <w:bCs/>
      </w:r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insideV w:val="single" w:sz="8" w:space="0" w:color="00C6E4" w:themeColor="accent2" w:themeTint="BF"/>
      </w:tblBorders>
    </w:tblPr>
    <w:tcPr>
      <w:shd w:val="clear" w:color="auto" w:fill="A2F2FF" w:themeFill="accent2" w:themeFillTint="3F"/>
    </w:tcPr>
    <w:tblStylePr w:type="firstRow">
      <w:rPr>
        <w:b/>
        <w:bCs/>
      </w:rPr>
    </w:tblStylePr>
    <w:tblStylePr w:type="lastRow">
      <w:rPr>
        <w:b/>
        <w:bCs/>
      </w:rPr>
      <w:tblPr/>
      <w:tcPr>
        <w:tcBorders>
          <w:top w:val="single" w:sz="18" w:space="0" w:color="00C6E4" w:themeColor="accent2" w:themeTint="BF"/>
        </w:tcBorders>
      </w:tcPr>
    </w:tblStylePr>
    <w:tblStylePr w:type="firstCol">
      <w:rPr>
        <w:b/>
        <w:bCs/>
      </w:rPr>
    </w:tblStylePr>
    <w:tblStylePr w:type="lastCol">
      <w:rPr>
        <w:b/>
        <w:bCs/>
      </w:r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insideV w:val="single" w:sz="8" w:space="0" w:color="83CAF0" w:themeColor="accent3" w:themeTint="BF"/>
      </w:tblBorders>
    </w:tblPr>
    <w:tcPr>
      <w:shd w:val="clear" w:color="auto" w:fill="D5EDFA" w:themeFill="accent3" w:themeFillTint="3F"/>
    </w:tcPr>
    <w:tblStylePr w:type="firstRow">
      <w:rPr>
        <w:b/>
        <w:bCs/>
      </w:rPr>
    </w:tblStylePr>
    <w:tblStylePr w:type="lastRow">
      <w:rPr>
        <w:b/>
        <w:bCs/>
      </w:rPr>
      <w:tblPr/>
      <w:tcPr>
        <w:tcBorders>
          <w:top w:val="single" w:sz="18" w:space="0" w:color="83CAF0" w:themeColor="accent3" w:themeTint="BF"/>
        </w:tcBorders>
      </w:tcPr>
    </w:tblStylePr>
    <w:tblStylePr w:type="firstCol">
      <w:rPr>
        <w:b/>
        <w:bCs/>
      </w:rPr>
    </w:tblStylePr>
    <w:tblStylePr w:type="lastCol">
      <w:rPr>
        <w:b/>
        <w:bCs/>
      </w:r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insideV w:val="single" w:sz="8" w:space="0" w:color="0078F1" w:themeColor="accent4" w:themeTint="BF"/>
      </w:tblBorders>
    </w:tblPr>
    <w:tcPr>
      <w:shd w:val="clear" w:color="auto" w:fill="A6D2FF" w:themeFill="accent4" w:themeFillTint="3F"/>
    </w:tcPr>
    <w:tblStylePr w:type="firstRow">
      <w:rPr>
        <w:b/>
        <w:bCs/>
      </w:rPr>
    </w:tblStylePr>
    <w:tblStylePr w:type="lastRow">
      <w:rPr>
        <w:b/>
        <w:bCs/>
      </w:rPr>
      <w:tblPr/>
      <w:tcPr>
        <w:tcBorders>
          <w:top w:val="single" w:sz="18" w:space="0" w:color="0078F1" w:themeColor="accent4" w:themeTint="BF"/>
        </w:tcBorders>
      </w:tcPr>
    </w:tblStylePr>
    <w:tblStylePr w:type="firstCol">
      <w:rPr>
        <w:b/>
        <w:bCs/>
      </w:rPr>
    </w:tblStylePr>
    <w:tblStylePr w:type="lastCol">
      <w:rPr>
        <w:b/>
        <w:bCs/>
      </w:r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insideV w:val="single" w:sz="8" w:space="0" w:color="83BF8A" w:themeColor="accent5" w:themeTint="BF"/>
      </w:tblBorders>
    </w:tblPr>
    <w:tcPr>
      <w:shd w:val="clear" w:color="auto" w:fill="D6EAD8" w:themeFill="accent5" w:themeFillTint="3F"/>
    </w:tcPr>
    <w:tblStylePr w:type="firstRow">
      <w:rPr>
        <w:b/>
        <w:bCs/>
      </w:rPr>
    </w:tblStylePr>
    <w:tblStylePr w:type="lastRow">
      <w:rPr>
        <w:b/>
        <w:bCs/>
      </w:rPr>
      <w:tblPr/>
      <w:tcPr>
        <w:tcBorders>
          <w:top w:val="single" w:sz="18" w:space="0" w:color="83BF8A" w:themeColor="accent5" w:themeTint="BF"/>
        </w:tcBorders>
      </w:tcPr>
    </w:tblStylePr>
    <w:tblStylePr w:type="firstCol">
      <w:rPr>
        <w:b/>
        <w:bCs/>
      </w:rPr>
    </w:tblStylePr>
    <w:tblStylePr w:type="lastCol">
      <w:rPr>
        <w:b/>
        <w:bCs/>
      </w:r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insideV w:val="single" w:sz="8" w:space="0" w:color="EC8A6C" w:themeColor="accent6" w:themeTint="BF"/>
      </w:tblBorders>
    </w:tblPr>
    <w:tcPr>
      <w:shd w:val="clear" w:color="auto" w:fill="F8D8CE" w:themeFill="accent6" w:themeFillTint="3F"/>
    </w:tcPr>
    <w:tblStylePr w:type="firstRow">
      <w:rPr>
        <w:b/>
        <w:bCs/>
      </w:rPr>
    </w:tblStylePr>
    <w:tblStylePr w:type="lastRow">
      <w:rPr>
        <w:b/>
        <w:bCs/>
      </w:rPr>
      <w:tblPr/>
      <w:tcPr>
        <w:tcBorders>
          <w:top w:val="single" w:sz="18" w:space="0" w:color="EC8A6C" w:themeColor="accent6" w:themeTint="BF"/>
        </w:tcBorders>
      </w:tcPr>
    </w:tblStylePr>
    <w:tblStylePr w:type="firstCol">
      <w:rPr>
        <w:b/>
        <w:bCs/>
      </w:rPr>
    </w:tblStylePr>
    <w:tblStylePr w:type="lastCol">
      <w:rPr>
        <w:b/>
        <w:bCs/>
      </w:r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cPr>
      <w:shd w:val="clear" w:color="auto" w:fill="BCCAD4" w:themeFill="accent1" w:themeFillTint="3F"/>
    </w:tcPr>
    <w:tblStylePr w:type="firstRow">
      <w:rPr>
        <w:b/>
        <w:bCs/>
        <w:color w:val="000000" w:themeColor="text1"/>
      </w:rPr>
      <w:tblPr/>
      <w:tcPr>
        <w:shd w:val="clear" w:color="auto" w:fill="E4EA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4DC" w:themeFill="accent1" w:themeFillTint="33"/>
      </w:tcPr>
    </w:tblStylePr>
    <w:tblStylePr w:type="band1Vert">
      <w:tblPr/>
      <w:tcPr>
        <w:shd w:val="clear" w:color="auto" w:fill="7995A9" w:themeFill="accent1" w:themeFillTint="7F"/>
      </w:tcPr>
    </w:tblStylePr>
    <w:tblStylePr w:type="band1Horz">
      <w:tblPr/>
      <w:tcPr>
        <w:tcBorders>
          <w:insideH w:val="single" w:sz="6" w:space="0" w:color="1B242A" w:themeColor="accent1"/>
          <w:insideV w:val="single" w:sz="6" w:space="0" w:color="1B242A" w:themeColor="accent1"/>
        </w:tcBorders>
        <w:shd w:val="clear" w:color="auto" w:fill="7995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cPr>
      <w:shd w:val="clear" w:color="auto" w:fill="A2F2FF" w:themeFill="accent2" w:themeFillTint="3F"/>
    </w:tcPr>
    <w:tblStylePr w:type="firstRow">
      <w:rPr>
        <w:b/>
        <w:bCs/>
        <w:color w:val="000000" w:themeColor="text1"/>
      </w:rPr>
      <w:tblPr/>
      <w:tcPr>
        <w:shd w:val="clear" w:color="auto" w:fill="DAFA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5FF" w:themeFill="accent2" w:themeFillTint="33"/>
      </w:tcPr>
    </w:tblStylePr>
    <w:tblStylePr w:type="band1Vert">
      <w:tblPr/>
      <w:tcPr>
        <w:shd w:val="clear" w:color="auto" w:fill="43E6FF" w:themeFill="accent2" w:themeFillTint="7F"/>
      </w:tcPr>
    </w:tblStylePr>
    <w:tblStylePr w:type="band1Horz">
      <w:tblPr/>
      <w:tcPr>
        <w:tcBorders>
          <w:insideH w:val="single" w:sz="6" w:space="0" w:color="007586" w:themeColor="accent2"/>
          <w:insideV w:val="single" w:sz="6" w:space="0" w:color="007586" w:themeColor="accent2"/>
        </w:tcBorders>
        <w:shd w:val="clear" w:color="auto" w:fill="43E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cPr>
      <w:shd w:val="clear" w:color="auto" w:fill="D5EDFA" w:themeFill="accent3" w:themeFillTint="3F"/>
    </w:tcPr>
    <w:tblStylePr w:type="firstRow">
      <w:rPr>
        <w:b/>
        <w:bCs/>
        <w:color w:val="000000" w:themeColor="text1"/>
      </w:rPr>
      <w:tblPr/>
      <w:tcPr>
        <w:shd w:val="clear" w:color="auto" w:fill="EEF8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B" w:themeFill="accent3" w:themeFillTint="33"/>
      </w:tcPr>
    </w:tblStylePr>
    <w:tblStylePr w:type="band1Vert">
      <w:tblPr/>
      <w:tcPr>
        <w:shd w:val="clear" w:color="auto" w:fill="ACDCF5" w:themeFill="accent3" w:themeFillTint="7F"/>
      </w:tcPr>
    </w:tblStylePr>
    <w:tblStylePr w:type="band1Horz">
      <w:tblPr/>
      <w:tcPr>
        <w:tcBorders>
          <w:insideH w:val="single" w:sz="6" w:space="0" w:color="5AB9EB" w:themeColor="accent3"/>
          <w:insideV w:val="single" w:sz="6" w:space="0" w:color="5AB9EB" w:themeColor="accent3"/>
        </w:tcBorders>
        <w:shd w:val="clear" w:color="auto" w:fill="ACDCF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cPr>
      <w:shd w:val="clear" w:color="auto" w:fill="A6D2FF" w:themeFill="accent4" w:themeFillTint="3F"/>
    </w:tcPr>
    <w:tblStylePr w:type="firstRow">
      <w:rPr>
        <w:b/>
        <w:bCs/>
        <w:color w:val="000000" w:themeColor="text1"/>
      </w:rPr>
      <w:tblPr/>
      <w:tcPr>
        <w:shd w:val="clear" w:color="auto" w:fill="DBE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4" w:themeFillTint="33"/>
      </w:tcPr>
    </w:tblStylePr>
    <w:tblStylePr w:type="band1Vert">
      <w:tblPr/>
      <w:tcPr>
        <w:shd w:val="clear" w:color="auto" w:fill="4CA5FF" w:themeFill="accent4" w:themeFillTint="7F"/>
      </w:tcPr>
    </w:tblStylePr>
    <w:tblStylePr w:type="band1Horz">
      <w:tblPr/>
      <w:tcPr>
        <w:tcBorders>
          <w:insideH w:val="single" w:sz="6" w:space="0" w:color="004C97" w:themeColor="accent4"/>
          <w:insideV w:val="single" w:sz="6" w:space="0" w:color="004C97" w:themeColor="accent4"/>
        </w:tcBorders>
        <w:shd w:val="clear" w:color="auto" w:fill="4CA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cPr>
      <w:shd w:val="clear" w:color="auto" w:fill="D6EAD8" w:themeFill="accent5" w:themeFillTint="3F"/>
    </w:tcPr>
    <w:tblStylePr w:type="firstRow">
      <w:rPr>
        <w:b/>
        <w:bCs/>
        <w:color w:val="000000" w:themeColor="text1"/>
      </w:rPr>
      <w:tblPr/>
      <w:tcPr>
        <w:shd w:val="clear" w:color="auto" w:fill="EEF6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EDF" w:themeFill="accent5" w:themeFillTint="33"/>
      </w:tcPr>
    </w:tblStylePr>
    <w:tblStylePr w:type="band1Vert">
      <w:tblPr/>
      <w:tcPr>
        <w:shd w:val="clear" w:color="auto" w:fill="ACD4B1" w:themeFill="accent5" w:themeFillTint="7F"/>
      </w:tcPr>
    </w:tblStylePr>
    <w:tblStylePr w:type="band1Horz">
      <w:tblPr/>
      <w:tcPr>
        <w:tcBorders>
          <w:insideH w:val="single" w:sz="6" w:space="0" w:color="5AAA64" w:themeColor="accent5"/>
          <w:insideV w:val="single" w:sz="6" w:space="0" w:color="5AAA64" w:themeColor="accent5"/>
        </w:tcBorders>
        <w:shd w:val="clear" w:color="auto" w:fill="ACD4B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cPr>
      <w:shd w:val="clear" w:color="auto" w:fill="F8D8CE" w:themeFill="accent6" w:themeFillTint="3F"/>
    </w:tcPr>
    <w:tblStylePr w:type="firstRow">
      <w:rPr>
        <w:b/>
        <w:bCs/>
        <w:color w:val="000000" w:themeColor="text1"/>
      </w:rPr>
      <w:tblPr/>
      <w:tcPr>
        <w:shd w:val="clear" w:color="auto" w:fill="FCEF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8" w:themeFill="accent6" w:themeFillTint="33"/>
      </w:tcPr>
    </w:tblStylePr>
    <w:tblStylePr w:type="band1Vert">
      <w:tblPr/>
      <w:tcPr>
        <w:shd w:val="clear" w:color="auto" w:fill="F2B19D" w:themeFill="accent6" w:themeFillTint="7F"/>
      </w:tcPr>
    </w:tblStylePr>
    <w:tblStylePr w:type="band1Horz">
      <w:tblPr/>
      <w:tcPr>
        <w:tcBorders>
          <w:insideH w:val="single" w:sz="6" w:space="0" w:color="E6643C" w:themeColor="accent6"/>
          <w:insideV w:val="single" w:sz="6" w:space="0" w:color="E6643C" w:themeColor="accent6"/>
        </w:tcBorders>
        <w:shd w:val="clear" w:color="auto" w:fill="F2B19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A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242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242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95A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95A9"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2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8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8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6FF"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B9E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B9E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F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F5"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A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A6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A6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4B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4B1"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8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643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643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B1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B19D"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1B242A" w:themeColor="accent1"/>
        <w:bottom w:val="single" w:sz="8" w:space="0" w:color="1B242A" w:themeColor="accent1"/>
      </w:tblBorders>
    </w:tblPr>
    <w:tblStylePr w:type="firstRow">
      <w:rPr>
        <w:rFonts w:asciiTheme="majorHAnsi" w:eastAsiaTheme="majorEastAsia" w:hAnsiTheme="majorHAnsi" w:cstheme="majorBidi"/>
      </w:rPr>
      <w:tblPr/>
      <w:tcPr>
        <w:tcBorders>
          <w:top w:val="nil"/>
          <w:bottom w:val="single" w:sz="8" w:space="0" w:color="1B242A" w:themeColor="accent1"/>
        </w:tcBorders>
      </w:tcPr>
    </w:tblStylePr>
    <w:tblStylePr w:type="lastRow">
      <w:rPr>
        <w:b/>
        <w:bCs/>
        <w:color w:val="007586" w:themeColor="text2"/>
      </w:rPr>
      <w:tblPr/>
      <w:tcPr>
        <w:tcBorders>
          <w:top w:val="single" w:sz="8" w:space="0" w:color="1B242A" w:themeColor="accent1"/>
          <w:bottom w:val="single" w:sz="8" w:space="0" w:color="1B242A" w:themeColor="accent1"/>
        </w:tcBorders>
      </w:tcPr>
    </w:tblStylePr>
    <w:tblStylePr w:type="firstCol">
      <w:rPr>
        <w:b/>
        <w:bCs/>
      </w:rPr>
    </w:tblStylePr>
    <w:tblStylePr w:type="lastCol">
      <w:rPr>
        <w:b/>
        <w:bCs/>
      </w:rPr>
      <w:tblPr/>
      <w:tcPr>
        <w:tcBorders>
          <w:top w:val="single" w:sz="8" w:space="0" w:color="1B242A" w:themeColor="accent1"/>
          <w:bottom w:val="single" w:sz="8" w:space="0" w:color="1B242A" w:themeColor="accent1"/>
        </w:tcBorders>
      </w:tcPr>
    </w:tblStylePr>
    <w:tblStylePr w:type="band1Vert">
      <w:tblPr/>
      <w:tcPr>
        <w:shd w:val="clear" w:color="auto" w:fill="BCCAD4" w:themeFill="accent1" w:themeFillTint="3F"/>
      </w:tcPr>
    </w:tblStylePr>
    <w:tblStylePr w:type="band1Horz">
      <w:tblPr/>
      <w:tcPr>
        <w:shd w:val="clear" w:color="auto" w:fill="BCCAD4"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7586" w:themeColor="accent2"/>
        <w:bottom w:val="single" w:sz="8" w:space="0" w:color="007586" w:themeColor="accent2"/>
      </w:tblBorders>
    </w:tblPr>
    <w:tblStylePr w:type="firstRow">
      <w:rPr>
        <w:rFonts w:asciiTheme="majorHAnsi" w:eastAsiaTheme="majorEastAsia" w:hAnsiTheme="majorHAnsi" w:cstheme="majorBidi"/>
      </w:rPr>
      <w:tblPr/>
      <w:tcPr>
        <w:tcBorders>
          <w:top w:val="nil"/>
          <w:bottom w:val="single" w:sz="8" w:space="0" w:color="007586" w:themeColor="accent2"/>
        </w:tcBorders>
      </w:tcPr>
    </w:tblStylePr>
    <w:tblStylePr w:type="lastRow">
      <w:rPr>
        <w:b/>
        <w:bCs/>
        <w:color w:val="007586" w:themeColor="text2"/>
      </w:rPr>
      <w:tblPr/>
      <w:tcPr>
        <w:tcBorders>
          <w:top w:val="single" w:sz="8" w:space="0" w:color="007586" w:themeColor="accent2"/>
          <w:bottom w:val="single" w:sz="8" w:space="0" w:color="007586" w:themeColor="accent2"/>
        </w:tcBorders>
      </w:tcPr>
    </w:tblStylePr>
    <w:tblStylePr w:type="firstCol">
      <w:rPr>
        <w:b/>
        <w:bCs/>
      </w:rPr>
    </w:tblStylePr>
    <w:tblStylePr w:type="lastCol">
      <w:rPr>
        <w:b/>
        <w:bCs/>
      </w:rPr>
      <w:tblPr/>
      <w:tcPr>
        <w:tcBorders>
          <w:top w:val="single" w:sz="8" w:space="0" w:color="007586" w:themeColor="accent2"/>
          <w:bottom w:val="single" w:sz="8" w:space="0" w:color="007586" w:themeColor="accent2"/>
        </w:tcBorders>
      </w:tcPr>
    </w:tblStylePr>
    <w:tblStylePr w:type="band1Vert">
      <w:tblPr/>
      <w:tcPr>
        <w:shd w:val="clear" w:color="auto" w:fill="A2F2FF" w:themeFill="accent2" w:themeFillTint="3F"/>
      </w:tcPr>
    </w:tblStylePr>
    <w:tblStylePr w:type="band1Horz">
      <w:tblPr/>
      <w:tcPr>
        <w:shd w:val="clear" w:color="auto" w:fill="A2F2FF"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5AB9EB" w:themeColor="accent3"/>
        <w:bottom w:val="single" w:sz="8" w:space="0" w:color="5AB9EB" w:themeColor="accent3"/>
      </w:tblBorders>
    </w:tblPr>
    <w:tblStylePr w:type="firstRow">
      <w:rPr>
        <w:rFonts w:asciiTheme="majorHAnsi" w:eastAsiaTheme="majorEastAsia" w:hAnsiTheme="majorHAnsi" w:cstheme="majorBidi"/>
      </w:rPr>
      <w:tblPr/>
      <w:tcPr>
        <w:tcBorders>
          <w:top w:val="nil"/>
          <w:bottom w:val="single" w:sz="8" w:space="0" w:color="5AB9EB" w:themeColor="accent3"/>
        </w:tcBorders>
      </w:tcPr>
    </w:tblStylePr>
    <w:tblStylePr w:type="lastRow">
      <w:rPr>
        <w:b/>
        <w:bCs/>
        <w:color w:val="007586" w:themeColor="text2"/>
      </w:rPr>
      <w:tblPr/>
      <w:tcPr>
        <w:tcBorders>
          <w:top w:val="single" w:sz="8" w:space="0" w:color="5AB9EB" w:themeColor="accent3"/>
          <w:bottom w:val="single" w:sz="8" w:space="0" w:color="5AB9EB" w:themeColor="accent3"/>
        </w:tcBorders>
      </w:tcPr>
    </w:tblStylePr>
    <w:tblStylePr w:type="firstCol">
      <w:rPr>
        <w:b/>
        <w:bCs/>
      </w:rPr>
    </w:tblStylePr>
    <w:tblStylePr w:type="lastCol">
      <w:rPr>
        <w:b/>
        <w:bCs/>
      </w:rPr>
      <w:tblPr/>
      <w:tcPr>
        <w:tcBorders>
          <w:top w:val="single" w:sz="8" w:space="0" w:color="5AB9EB" w:themeColor="accent3"/>
          <w:bottom w:val="single" w:sz="8" w:space="0" w:color="5AB9EB" w:themeColor="accent3"/>
        </w:tcBorders>
      </w:tcPr>
    </w:tblStylePr>
    <w:tblStylePr w:type="band1Vert">
      <w:tblPr/>
      <w:tcPr>
        <w:shd w:val="clear" w:color="auto" w:fill="D5EDFA" w:themeFill="accent3" w:themeFillTint="3F"/>
      </w:tcPr>
    </w:tblStylePr>
    <w:tblStylePr w:type="band1Horz">
      <w:tblPr/>
      <w:tcPr>
        <w:shd w:val="clear" w:color="auto" w:fill="D5EDFA"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4C97" w:themeColor="accent4"/>
        <w:bottom w:val="single" w:sz="8" w:space="0" w:color="004C97" w:themeColor="accent4"/>
      </w:tblBorders>
    </w:tblPr>
    <w:tblStylePr w:type="firstRow">
      <w:rPr>
        <w:rFonts w:asciiTheme="majorHAnsi" w:eastAsiaTheme="majorEastAsia" w:hAnsiTheme="majorHAnsi" w:cstheme="majorBidi"/>
      </w:rPr>
      <w:tblPr/>
      <w:tcPr>
        <w:tcBorders>
          <w:top w:val="nil"/>
          <w:bottom w:val="single" w:sz="8" w:space="0" w:color="004C97" w:themeColor="accent4"/>
        </w:tcBorders>
      </w:tcPr>
    </w:tblStylePr>
    <w:tblStylePr w:type="lastRow">
      <w:rPr>
        <w:b/>
        <w:bCs/>
        <w:color w:val="007586" w:themeColor="text2"/>
      </w:rPr>
      <w:tblPr/>
      <w:tcPr>
        <w:tcBorders>
          <w:top w:val="single" w:sz="8" w:space="0" w:color="004C97" w:themeColor="accent4"/>
          <w:bottom w:val="single" w:sz="8" w:space="0" w:color="004C97" w:themeColor="accent4"/>
        </w:tcBorders>
      </w:tcPr>
    </w:tblStylePr>
    <w:tblStylePr w:type="firstCol">
      <w:rPr>
        <w:b/>
        <w:bCs/>
      </w:rPr>
    </w:tblStylePr>
    <w:tblStylePr w:type="lastCol">
      <w:rPr>
        <w:b/>
        <w:bCs/>
      </w:rPr>
      <w:tblPr/>
      <w:tcPr>
        <w:tcBorders>
          <w:top w:val="single" w:sz="8" w:space="0" w:color="004C97" w:themeColor="accent4"/>
          <w:bottom w:val="single" w:sz="8" w:space="0" w:color="004C97" w:themeColor="accent4"/>
        </w:tcBorders>
      </w:tcPr>
    </w:tblStylePr>
    <w:tblStylePr w:type="band1Vert">
      <w:tblPr/>
      <w:tcPr>
        <w:shd w:val="clear" w:color="auto" w:fill="A6D2FF" w:themeFill="accent4" w:themeFillTint="3F"/>
      </w:tcPr>
    </w:tblStylePr>
    <w:tblStylePr w:type="band1Horz">
      <w:tblPr/>
      <w:tcPr>
        <w:shd w:val="clear" w:color="auto" w:fill="A6D2FF"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5AAA64" w:themeColor="accent5"/>
        <w:bottom w:val="single" w:sz="8" w:space="0" w:color="5AAA64" w:themeColor="accent5"/>
      </w:tblBorders>
    </w:tblPr>
    <w:tblStylePr w:type="firstRow">
      <w:rPr>
        <w:rFonts w:asciiTheme="majorHAnsi" w:eastAsiaTheme="majorEastAsia" w:hAnsiTheme="majorHAnsi" w:cstheme="majorBidi"/>
      </w:rPr>
      <w:tblPr/>
      <w:tcPr>
        <w:tcBorders>
          <w:top w:val="nil"/>
          <w:bottom w:val="single" w:sz="8" w:space="0" w:color="5AAA64" w:themeColor="accent5"/>
        </w:tcBorders>
      </w:tcPr>
    </w:tblStylePr>
    <w:tblStylePr w:type="lastRow">
      <w:rPr>
        <w:b/>
        <w:bCs/>
        <w:color w:val="007586" w:themeColor="text2"/>
      </w:rPr>
      <w:tblPr/>
      <w:tcPr>
        <w:tcBorders>
          <w:top w:val="single" w:sz="8" w:space="0" w:color="5AAA64" w:themeColor="accent5"/>
          <w:bottom w:val="single" w:sz="8" w:space="0" w:color="5AAA64" w:themeColor="accent5"/>
        </w:tcBorders>
      </w:tcPr>
    </w:tblStylePr>
    <w:tblStylePr w:type="firstCol">
      <w:rPr>
        <w:b/>
        <w:bCs/>
      </w:rPr>
    </w:tblStylePr>
    <w:tblStylePr w:type="lastCol">
      <w:rPr>
        <w:b/>
        <w:bCs/>
      </w:rPr>
      <w:tblPr/>
      <w:tcPr>
        <w:tcBorders>
          <w:top w:val="single" w:sz="8" w:space="0" w:color="5AAA64" w:themeColor="accent5"/>
          <w:bottom w:val="single" w:sz="8" w:space="0" w:color="5AAA64" w:themeColor="accent5"/>
        </w:tcBorders>
      </w:tcPr>
    </w:tblStylePr>
    <w:tblStylePr w:type="band1Vert">
      <w:tblPr/>
      <w:tcPr>
        <w:shd w:val="clear" w:color="auto" w:fill="D6EAD8" w:themeFill="accent5" w:themeFillTint="3F"/>
      </w:tcPr>
    </w:tblStylePr>
    <w:tblStylePr w:type="band1Horz">
      <w:tblPr/>
      <w:tcPr>
        <w:shd w:val="clear" w:color="auto" w:fill="D6EAD8"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E6643C" w:themeColor="accent6"/>
        <w:bottom w:val="single" w:sz="8" w:space="0" w:color="E6643C" w:themeColor="accent6"/>
      </w:tblBorders>
    </w:tblPr>
    <w:tblStylePr w:type="firstRow">
      <w:rPr>
        <w:rFonts w:asciiTheme="majorHAnsi" w:eastAsiaTheme="majorEastAsia" w:hAnsiTheme="majorHAnsi" w:cstheme="majorBidi"/>
      </w:rPr>
      <w:tblPr/>
      <w:tcPr>
        <w:tcBorders>
          <w:top w:val="nil"/>
          <w:bottom w:val="single" w:sz="8" w:space="0" w:color="E6643C" w:themeColor="accent6"/>
        </w:tcBorders>
      </w:tcPr>
    </w:tblStylePr>
    <w:tblStylePr w:type="lastRow">
      <w:rPr>
        <w:b/>
        <w:bCs/>
        <w:color w:val="007586" w:themeColor="text2"/>
      </w:rPr>
      <w:tblPr/>
      <w:tcPr>
        <w:tcBorders>
          <w:top w:val="single" w:sz="8" w:space="0" w:color="E6643C" w:themeColor="accent6"/>
          <w:bottom w:val="single" w:sz="8" w:space="0" w:color="E6643C" w:themeColor="accent6"/>
        </w:tcBorders>
      </w:tcPr>
    </w:tblStylePr>
    <w:tblStylePr w:type="firstCol">
      <w:rPr>
        <w:b/>
        <w:bCs/>
      </w:rPr>
    </w:tblStylePr>
    <w:tblStylePr w:type="lastCol">
      <w:rPr>
        <w:b/>
        <w:bCs/>
      </w:rPr>
      <w:tblPr/>
      <w:tcPr>
        <w:tcBorders>
          <w:top w:val="single" w:sz="8" w:space="0" w:color="E6643C" w:themeColor="accent6"/>
          <w:bottom w:val="single" w:sz="8" w:space="0" w:color="E6643C" w:themeColor="accent6"/>
        </w:tcBorders>
      </w:tcPr>
    </w:tblStylePr>
    <w:tblStylePr w:type="band1Vert">
      <w:tblPr/>
      <w:tcPr>
        <w:shd w:val="clear" w:color="auto" w:fill="F8D8CE" w:themeFill="accent6" w:themeFillTint="3F"/>
      </w:tcPr>
    </w:tblStylePr>
    <w:tblStylePr w:type="band1Horz">
      <w:tblPr/>
      <w:tcPr>
        <w:shd w:val="clear" w:color="auto" w:fill="F8D8CE"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rPr>
        <w:sz w:val="24"/>
        <w:szCs w:val="24"/>
      </w:rPr>
      <w:tblPr/>
      <w:tcPr>
        <w:tcBorders>
          <w:top w:val="nil"/>
          <w:left w:val="nil"/>
          <w:bottom w:val="single" w:sz="24" w:space="0" w:color="1B242A" w:themeColor="accent1"/>
          <w:right w:val="nil"/>
          <w:insideH w:val="nil"/>
          <w:insideV w:val="nil"/>
        </w:tcBorders>
        <w:shd w:val="clear" w:color="auto" w:fill="FFFFFF" w:themeFill="background1"/>
      </w:tcPr>
    </w:tblStylePr>
    <w:tblStylePr w:type="lastRow">
      <w:tblPr/>
      <w:tcPr>
        <w:tcBorders>
          <w:top w:val="single" w:sz="8" w:space="0" w:color="1B242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42A" w:themeColor="accent1"/>
          <w:insideH w:val="nil"/>
          <w:insideV w:val="nil"/>
        </w:tcBorders>
        <w:shd w:val="clear" w:color="auto" w:fill="FFFFFF" w:themeFill="background1"/>
      </w:tcPr>
    </w:tblStylePr>
    <w:tblStylePr w:type="lastCol">
      <w:tblPr/>
      <w:tcPr>
        <w:tcBorders>
          <w:top w:val="nil"/>
          <w:left w:val="single" w:sz="8" w:space="0" w:color="1B242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top w:val="nil"/>
          <w:bottom w:val="nil"/>
          <w:insideH w:val="nil"/>
          <w:insideV w:val="nil"/>
        </w:tcBorders>
        <w:shd w:val="clear" w:color="auto" w:fill="BCCA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rPr>
        <w:sz w:val="24"/>
        <w:szCs w:val="24"/>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tblPr/>
      <w:tcPr>
        <w:tcBorders>
          <w:top w:val="single" w:sz="8" w:space="0" w:color="0075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86" w:themeColor="accent2"/>
          <w:insideH w:val="nil"/>
          <w:insideV w:val="nil"/>
        </w:tcBorders>
        <w:shd w:val="clear" w:color="auto" w:fill="FFFFFF" w:themeFill="background1"/>
      </w:tcPr>
    </w:tblStylePr>
    <w:tblStylePr w:type="lastCol">
      <w:tblPr/>
      <w:tcPr>
        <w:tcBorders>
          <w:top w:val="nil"/>
          <w:left w:val="single" w:sz="8" w:space="0" w:color="0075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top w:val="nil"/>
          <w:bottom w:val="nil"/>
          <w:insideH w:val="nil"/>
          <w:insideV w:val="nil"/>
        </w:tcBorders>
        <w:shd w:val="clear" w:color="auto" w:fill="A2F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rPr>
        <w:sz w:val="24"/>
        <w:szCs w:val="24"/>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tblPr/>
      <w:tcPr>
        <w:tcBorders>
          <w:top w:val="single" w:sz="8" w:space="0" w:color="5AB9E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B9EB" w:themeColor="accent3"/>
          <w:insideH w:val="nil"/>
          <w:insideV w:val="nil"/>
        </w:tcBorders>
        <w:shd w:val="clear" w:color="auto" w:fill="FFFFFF" w:themeFill="background1"/>
      </w:tcPr>
    </w:tblStylePr>
    <w:tblStylePr w:type="lastCol">
      <w:tblPr/>
      <w:tcPr>
        <w:tcBorders>
          <w:top w:val="nil"/>
          <w:left w:val="single" w:sz="8" w:space="0" w:color="5AB9E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top w:val="nil"/>
          <w:bottom w:val="nil"/>
          <w:insideH w:val="nil"/>
          <w:insideV w:val="nil"/>
        </w:tcBorders>
        <w:shd w:val="clear" w:color="auto" w:fill="D5ED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rPr>
        <w:sz w:val="24"/>
        <w:szCs w:val="24"/>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tblPr/>
      <w:tcPr>
        <w:tcBorders>
          <w:top w:val="single" w:sz="8" w:space="0" w:color="004C9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4"/>
          <w:insideH w:val="nil"/>
          <w:insideV w:val="nil"/>
        </w:tcBorders>
        <w:shd w:val="clear" w:color="auto" w:fill="FFFFFF" w:themeFill="background1"/>
      </w:tcPr>
    </w:tblStylePr>
    <w:tblStylePr w:type="lastCol">
      <w:tblPr/>
      <w:tcPr>
        <w:tcBorders>
          <w:top w:val="nil"/>
          <w:left w:val="single" w:sz="8" w:space="0" w:color="004C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top w:val="nil"/>
          <w:bottom w:val="nil"/>
          <w:insideH w:val="nil"/>
          <w:insideV w:val="nil"/>
        </w:tcBorders>
        <w:shd w:val="clear" w:color="auto" w:fill="A6D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rPr>
        <w:sz w:val="24"/>
        <w:szCs w:val="24"/>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tblPr/>
      <w:tcPr>
        <w:tcBorders>
          <w:top w:val="single" w:sz="8" w:space="0" w:color="5AAA6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A64" w:themeColor="accent5"/>
          <w:insideH w:val="nil"/>
          <w:insideV w:val="nil"/>
        </w:tcBorders>
        <w:shd w:val="clear" w:color="auto" w:fill="FFFFFF" w:themeFill="background1"/>
      </w:tcPr>
    </w:tblStylePr>
    <w:tblStylePr w:type="lastCol">
      <w:tblPr/>
      <w:tcPr>
        <w:tcBorders>
          <w:top w:val="nil"/>
          <w:left w:val="single" w:sz="8" w:space="0" w:color="5AAA6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top w:val="nil"/>
          <w:bottom w:val="nil"/>
          <w:insideH w:val="nil"/>
          <w:insideV w:val="nil"/>
        </w:tcBorders>
        <w:shd w:val="clear" w:color="auto" w:fill="D6E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rPr>
        <w:sz w:val="24"/>
        <w:szCs w:val="24"/>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tblPr/>
      <w:tcPr>
        <w:tcBorders>
          <w:top w:val="single" w:sz="8" w:space="0" w:color="E6643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643C" w:themeColor="accent6"/>
          <w:insideH w:val="nil"/>
          <w:insideV w:val="nil"/>
        </w:tcBorders>
        <w:shd w:val="clear" w:color="auto" w:fill="FFFFFF" w:themeFill="background1"/>
      </w:tcPr>
    </w:tblStylePr>
    <w:tblStylePr w:type="lastCol">
      <w:tblPr/>
      <w:tcPr>
        <w:tcBorders>
          <w:top w:val="nil"/>
          <w:left w:val="single" w:sz="8" w:space="0" w:color="E6643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top w:val="nil"/>
          <w:bottom w:val="nil"/>
          <w:insideH w:val="nil"/>
          <w:insideV w:val="nil"/>
        </w:tcBorders>
        <w:shd w:val="clear" w:color="auto" w:fill="F8D8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tblBorders>
    </w:tblPr>
    <w:tblStylePr w:type="firstRow">
      <w:pPr>
        <w:spacing w:before="0" w:after="0" w:line="240" w:lineRule="auto"/>
      </w:pPr>
      <w:rPr>
        <w:b/>
        <w:bCs/>
        <w:color w:val="FFFFFF" w:themeColor="background1"/>
      </w:rPr>
      <w:tblPr/>
      <w:tcPr>
        <w:tc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shd w:val="clear" w:color="auto" w:fill="1B242A" w:themeFill="accent1"/>
      </w:tcPr>
    </w:tblStylePr>
    <w:tblStylePr w:type="lastRow">
      <w:pPr>
        <w:spacing w:before="0" w:after="0" w:line="240" w:lineRule="auto"/>
      </w:pPr>
      <w:rPr>
        <w:b/>
        <w:bCs/>
      </w:rPr>
      <w:tblPr/>
      <w:tcPr>
        <w:tcBorders>
          <w:top w:val="double" w:sz="6"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AD4" w:themeFill="accent1" w:themeFillTint="3F"/>
      </w:tcPr>
    </w:tblStylePr>
    <w:tblStylePr w:type="band1Horz">
      <w:tblPr/>
      <w:tcPr>
        <w:tcBorders>
          <w:insideH w:val="nil"/>
          <w:insideV w:val="nil"/>
        </w:tcBorders>
        <w:shd w:val="clear" w:color="auto" w:fill="BCCA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tblBorders>
    </w:tblPr>
    <w:tblStylePr w:type="firstRow">
      <w:pPr>
        <w:spacing w:before="0" w:after="0" w:line="240" w:lineRule="auto"/>
      </w:pPr>
      <w:rPr>
        <w:b/>
        <w:bCs/>
        <w:color w:val="FFFFFF" w:themeColor="background1"/>
      </w:rPr>
      <w:tblPr/>
      <w:tcPr>
        <w:tc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shd w:val="clear" w:color="auto" w:fill="007586" w:themeFill="accent2"/>
      </w:tcPr>
    </w:tblStylePr>
    <w:tblStylePr w:type="lastRow">
      <w:pPr>
        <w:spacing w:before="0" w:after="0" w:line="240" w:lineRule="auto"/>
      </w:pPr>
      <w:rPr>
        <w:b/>
        <w:bCs/>
      </w:rPr>
      <w:tblPr/>
      <w:tcPr>
        <w:tcBorders>
          <w:top w:val="double" w:sz="6"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tcPr>
    </w:tblStylePr>
    <w:tblStylePr w:type="firstCol">
      <w:rPr>
        <w:b/>
        <w:bCs/>
      </w:rPr>
    </w:tblStylePr>
    <w:tblStylePr w:type="lastCol">
      <w:rPr>
        <w:b/>
        <w:bCs/>
      </w:rPr>
    </w:tblStylePr>
    <w:tblStylePr w:type="band1Vert">
      <w:tblPr/>
      <w:tcPr>
        <w:shd w:val="clear" w:color="auto" w:fill="A2F2FF" w:themeFill="accent2" w:themeFillTint="3F"/>
      </w:tcPr>
    </w:tblStylePr>
    <w:tblStylePr w:type="band1Horz">
      <w:tblPr/>
      <w:tcPr>
        <w:tcBorders>
          <w:insideH w:val="nil"/>
          <w:insideV w:val="nil"/>
        </w:tcBorders>
        <w:shd w:val="clear" w:color="auto" w:fill="A2F2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tblBorders>
    </w:tblPr>
    <w:tblStylePr w:type="firstRow">
      <w:pPr>
        <w:spacing w:before="0" w:after="0" w:line="240" w:lineRule="auto"/>
      </w:pPr>
      <w:rPr>
        <w:b/>
        <w:bCs/>
        <w:color w:val="FFFFFF" w:themeColor="background1"/>
      </w:rPr>
      <w:tblPr/>
      <w:tcPr>
        <w:tc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shd w:val="clear" w:color="auto" w:fill="5AB9EB" w:themeFill="accent3"/>
      </w:tcPr>
    </w:tblStylePr>
    <w:tblStylePr w:type="lastRow">
      <w:pPr>
        <w:spacing w:before="0" w:after="0" w:line="240" w:lineRule="auto"/>
      </w:pPr>
      <w:rPr>
        <w:b/>
        <w:bCs/>
      </w:rPr>
      <w:tblPr/>
      <w:tcPr>
        <w:tcBorders>
          <w:top w:val="double" w:sz="6"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FA" w:themeFill="accent3" w:themeFillTint="3F"/>
      </w:tcPr>
    </w:tblStylePr>
    <w:tblStylePr w:type="band1Horz">
      <w:tblPr/>
      <w:tcPr>
        <w:tcBorders>
          <w:insideH w:val="nil"/>
          <w:insideV w:val="nil"/>
        </w:tcBorders>
        <w:shd w:val="clear" w:color="auto" w:fill="D5ED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tblBorders>
    </w:tblPr>
    <w:tblStylePr w:type="firstRow">
      <w:pPr>
        <w:spacing w:before="0" w:after="0" w:line="240" w:lineRule="auto"/>
      </w:pPr>
      <w:rPr>
        <w:b/>
        <w:bCs/>
        <w:color w:val="FFFFFF" w:themeColor="background1"/>
      </w:rPr>
      <w:tblPr/>
      <w:tcPr>
        <w:tc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shd w:val="clear" w:color="auto" w:fill="004C97" w:themeFill="accent4"/>
      </w:tcPr>
    </w:tblStylePr>
    <w:tblStylePr w:type="lastRow">
      <w:pPr>
        <w:spacing w:before="0" w:after="0" w:line="240" w:lineRule="auto"/>
      </w:pPr>
      <w:rPr>
        <w:b/>
        <w:bCs/>
      </w:rPr>
      <w:tblPr/>
      <w:tcPr>
        <w:tcBorders>
          <w:top w:val="double" w:sz="6"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4" w:themeFillTint="3F"/>
      </w:tcPr>
    </w:tblStylePr>
    <w:tblStylePr w:type="band1Horz">
      <w:tblPr/>
      <w:tcPr>
        <w:tcBorders>
          <w:insideH w:val="nil"/>
          <w:insideV w:val="nil"/>
        </w:tcBorders>
        <w:shd w:val="clear" w:color="auto" w:fill="A6D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tblBorders>
    </w:tblPr>
    <w:tblStylePr w:type="firstRow">
      <w:pPr>
        <w:spacing w:before="0" w:after="0" w:line="240" w:lineRule="auto"/>
      </w:pPr>
      <w:rPr>
        <w:b/>
        <w:bCs/>
        <w:color w:val="FFFFFF" w:themeColor="background1"/>
      </w:rPr>
      <w:tblPr/>
      <w:tcPr>
        <w:tc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shd w:val="clear" w:color="auto" w:fill="5AAA64" w:themeFill="accent5"/>
      </w:tcPr>
    </w:tblStylePr>
    <w:tblStylePr w:type="lastRow">
      <w:pPr>
        <w:spacing w:before="0" w:after="0" w:line="240" w:lineRule="auto"/>
      </w:pPr>
      <w:rPr>
        <w:b/>
        <w:bCs/>
      </w:rPr>
      <w:tblPr/>
      <w:tcPr>
        <w:tcBorders>
          <w:top w:val="double" w:sz="6"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AD8" w:themeFill="accent5" w:themeFillTint="3F"/>
      </w:tcPr>
    </w:tblStylePr>
    <w:tblStylePr w:type="band1Horz">
      <w:tblPr/>
      <w:tcPr>
        <w:tcBorders>
          <w:insideH w:val="nil"/>
          <w:insideV w:val="nil"/>
        </w:tcBorders>
        <w:shd w:val="clear" w:color="auto" w:fill="D6EA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tblBorders>
    </w:tblPr>
    <w:tblStylePr w:type="firstRow">
      <w:pPr>
        <w:spacing w:before="0" w:after="0" w:line="240" w:lineRule="auto"/>
      </w:pPr>
      <w:rPr>
        <w:b/>
        <w:bCs/>
        <w:color w:val="FFFFFF" w:themeColor="background1"/>
      </w:rPr>
      <w:tblPr/>
      <w:tcPr>
        <w:tc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shd w:val="clear" w:color="auto" w:fill="E6643C" w:themeFill="accent6"/>
      </w:tcPr>
    </w:tblStylePr>
    <w:tblStylePr w:type="lastRow">
      <w:pPr>
        <w:spacing w:before="0" w:after="0" w:line="240" w:lineRule="auto"/>
      </w:pPr>
      <w:rPr>
        <w:b/>
        <w:bCs/>
      </w:rPr>
      <w:tblPr/>
      <w:tcPr>
        <w:tcBorders>
          <w:top w:val="double" w:sz="6"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8CE" w:themeFill="accent6" w:themeFillTint="3F"/>
      </w:tcPr>
    </w:tblStylePr>
    <w:tblStylePr w:type="band1Horz">
      <w:tblPr/>
      <w:tcPr>
        <w:tcBorders>
          <w:insideH w:val="nil"/>
          <w:insideV w:val="nil"/>
        </w:tcBorders>
        <w:shd w:val="clear" w:color="auto" w:fill="F8D8C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242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B242A" w:themeFill="accent1"/>
      </w:tcPr>
    </w:tblStylePr>
    <w:tblStylePr w:type="lastCol">
      <w:rPr>
        <w:b/>
        <w:bCs/>
        <w:color w:val="FFFFFF" w:themeColor="background1"/>
      </w:rPr>
      <w:tblPr/>
      <w:tcPr>
        <w:tcBorders>
          <w:left w:val="nil"/>
          <w:right w:val="nil"/>
          <w:insideH w:val="nil"/>
          <w:insideV w:val="nil"/>
        </w:tcBorders>
        <w:shd w:val="clear" w:color="auto" w:fill="1B242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586" w:themeFill="accent2"/>
      </w:tcPr>
    </w:tblStylePr>
    <w:tblStylePr w:type="lastCol">
      <w:rPr>
        <w:b/>
        <w:bCs/>
        <w:color w:val="FFFFFF" w:themeColor="background1"/>
      </w:rPr>
      <w:tblPr/>
      <w:tcPr>
        <w:tcBorders>
          <w:left w:val="nil"/>
          <w:right w:val="nil"/>
          <w:insideH w:val="nil"/>
          <w:insideV w:val="nil"/>
        </w:tcBorders>
        <w:shd w:val="clear" w:color="auto" w:fill="0075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B9E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B9EB" w:themeFill="accent3"/>
      </w:tcPr>
    </w:tblStylePr>
    <w:tblStylePr w:type="lastCol">
      <w:rPr>
        <w:b/>
        <w:bCs/>
        <w:color w:val="FFFFFF" w:themeColor="background1"/>
      </w:rPr>
      <w:tblPr/>
      <w:tcPr>
        <w:tcBorders>
          <w:left w:val="nil"/>
          <w:right w:val="nil"/>
          <w:insideH w:val="nil"/>
          <w:insideV w:val="nil"/>
        </w:tcBorders>
        <w:shd w:val="clear" w:color="auto" w:fill="5AB9E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4"/>
      </w:tcPr>
    </w:tblStylePr>
    <w:tblStylePr w:type="lastCol">
      <w:rPr>
        <w:b/>
        <w:bCs/>
        <w:color w:val="FFFFFF" w:themeColor="background1"/>
      </w:rPr>
      <w:tblPr/>
      <w:tcPr>
        <w:tcBorders>
          <w:left w:val="nil"/>
          <w:right w:val="nil"/>
          <w:insideH w:val="nil"/>
          <w:insideV w:val="nil"/>
        </w:tcBorders>
        <w:shd w:val="clear" w:color="auto" w:fill="004C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A6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AA64" w:themeFill="accent5"/>
      </w:tcPr>
    </w:tblStylePr>
    <w:tblStylePr w:type="lastCol">
      <w:rPr>
        <w:b/>
        <w:bCs/>
        <w:color w:val="FFFFFF" w:themeColor="background1"/>
      </w:rPr>
      <w:tblPr/>
      <w:tcPr>
        <w:tcBorders>
          <w:left w:val="nil"/>
          <w:right w:val="nil"/>
          <w:insideH w:val="nil"/>
          <w:insideV w:val="nil"/>
        </w:tcBorders>
        <w:shd w:val="clear" w:color="auto" w:fill="5AAA6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643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643C" w:themeFill="accent6"/>
      </w:tcPr>
    </w:tblStylePr>
    <w:tblStylePr w:type="lastCol">
      <w:rPr>
        <w:b/>
        <w:bCs/>
        <w:color w:val="FFFFFF" w:themeColor="background1"/>
      </w:rPr>
      <w:tblPr/>
      <w:tcPr>
        <w:tcBorders>
          <w:left w:val="nil"/>
          <w:right w:val="nil"/>
          <w:insideH w:val="nil"/>
          <w:insideV w:val="nil"/>
        </w:tcBorders>
        <w:shd w:val="clear" w:color="auto" w:fill="E664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Vpullouttext">
    <w:name w:val="SCV pullout text"/>
    <w:basedOn w:val="SCVbody"/>
    <w:uiPriority w:val="13"/>
    <w:qFormat/>
    <w:rsid w:val="004D7778"/>
    <w:rPr>
      <w:color w:val="007586" w:themeColor="text2"/>
    </w:rPr>
  </w:style>
  <w:style w:type="paragraph" w:customStyle="1" w:styleId="SCVpulloutheading">
    <w:name w:val="SCV pullout heading"/>
    <w:basedOn w:val="SCVpullouttext"/>
    <w:next w:val="SCVpullouttext"/>
    <w:uiPriority w:val="13"/>
    <w:qFormat/>
    <w:rsid w:val="005C04F0"/>
    <w:pPr>
      <w:keepNext/>
      <w:keepLines/>
      <w:spacing w:line="240" w:lineRule="auto"/>
    </w:pPr>
    <w:rPr>
      <w:rFonts w:asciiTheme="majorHAnsi" w:hAnsiTheme="majorHAnsi"/>
      <w:b/>
      <w:sz w:val="24"/>
    </w:rPr>
  </w:style>
  <w:style w:type="table" w:customStyle="1" w:styleId="SCVInformationTable">
    <w:name w:val="SCV Information Table"/>
    <w:basedOn w:val="TableNormal"/>
    <w:uiPriority w:val="99"/>
    <w:rsid w:val="005C04F0"/>
    <w:pPr>
      <w:spacing w:before="0" w:line="288" w:lineRule="auto"/>
    </w:pPr>
    <w:tblPr>
      <w:tblCellMar>
        <w:top w:w="284" w:type="dxa"/>
        <w:left w:w="284" w:type="dxa"/>
        <w:bottom w:w="284" w:type="dxa"/>
        <w:right w:w="284" w:type="dxa"/>
      </w:tblCellMar>
    </w:tblPr>
    <w:tcPr>
      <w:shd w:val="clear" w:color="auto" w:fill="F2F2F2" w:themeFill="background1" w:themeFillShade="F2"/>
    </w:tcPr>
  </w:style>
  <w:style w:type="paragraph" w:styleId="NormalWeb">
    <w:name w:val="Normal (Web)"/>
    <w:basedOn w:val="Normal"/>
    <w:uiPriority w:val="99"/>
    <w:semiHidden/>
    <w:rsid w:val="00EA030C"/>
    <w:pPr>
      <w:spacing w:before="0" w:after="0" w:line="260" w:lineRule="atLeast"/>
    </w:pPr>
    <w:rPr>
      <w:rFonts w:eastAsia="Times New Roman" w:cs="Times New Roman"/>
      <w:color w:val="000000" w:themeColor="text1"/>
      <w:szCs w:val="24"/>
    </w:rPr>
  </w:style>
  <w:style w:type="character" w:customStyle="1" w:styleId="Heading5Char">
    <w:name w:val="Heading 5 Char"/>
    <w:basedOn w:val="DefaultParagraphFont"/>
    <w:link w:val="Heading5"/>
    <w:uiPriority w:val="1"/>
    <w:semiHidden/>
    <w:rsid w:val="00B15592"/>
    <w:rPr>
      <w:rFonts w:asciiTheme="majorHAnsi" w:eastAsiaTheme="majorEastAsia" w:hAnsiTheme="majorHAnsi" w:cstheme="majorBidi"/>
      <w:color w:val="141A1F" w:themeColor="accent1" w:themeShade="BF"/>
    </w:rPr>
  </w:style>
  <w:style w:type="paragraph" w:customStyle="1" w:styleId="SCVnumberloweralphaindent">
    <w:name w:val="SCV number lower alpha indent"/>
    <w:basedOn w:val="SCVbody"/>
    <w:uiPriority w:val="29"/>
    <w:rsid w:val="00AE5E04"/>
    <w:pPr>
      <w:numPr>
        <w:ilvl w:val="1"/>
        <w:numId w:val="2"/>
      </w:numPr>
      <w:spacing w:before="60" w:after="60"/>
    </w:pPr>
    <w:rPr>
      <w:rFonts w:eastAsia="Times New Roman" w:cstheme="minorHAnsi"/>
      <w:lang w:eastAsia="en-US"/>
    </w:rPr>
  </w:style>
  <w:style w:type="paragraph" w:customStyle="1" w:styleId="SCVtablebody">
    <w:name w:val="SCV table body"/>
    <w:uiPriority w:val="22"/>
    <w:qFormat/>
    <w:rsid w:val="000D1042"/>
    <w:pPr>
      <w:spacing w:before="80" w:after="60" w:line="240" w:lineRule="atLeast"/>
    </w:pPr>
    <w:rPr>
      <w:rFonts w:eastAsia="Times New Roman" w:cstheme="minorHAnsi"/>
      <w:sz w:val="18"/>
      <w:szCs w:val="21"/>
      <w:lang w:eastAsia="en-US"/>
    </w:rPr>
  </w:style>
  <w:style w:type="paragraph" w:customStyle="1" w:styleId="SCVnumberdigit">
    <w:name w:val="SCV number digit"/>
    <w:basedOn w:val="SCVbody"/>
    <w:uiPriority w:val="29"/>
    <w:rsid w:val="00AE5E04"/>
    <w:pPr>
      <w:numPr>
        <w:numId w:val="2"/>
      </w:numPr>
      <w:spacing w:before="60" w:after="60"/>
    </w:pPr>
    <w:rPr>
      <w:rFonts w:eastAsia="Times New Roman" w:cstheme="minorHAnsi"/>
      <w:lang w:eastAsia="en-US"/>
    </w:rPr>
  </w:style>
  <w:style w:type="paragraph" w:customStyle="1" w:styleId="SCVtablecolhead">
    <w:name w:val="SCV table col head"/>
    <w:uiPriority w:val="3"/>
    <w:qFormat/>
    <w:rsid w:val="002D6F3C"/>
    <w:pPr>
      <w:keepNext/>
      <w:keepLines/>
      <w:spacing w:before="80" w:after="60" w:line="240" w:lineRule="auto"/>
    </w:pPr>
    <w:rPr>
      <w:rFonts w:eastAsia="Times New Roman" w:cstheme="minorHAnsi"/>
      <w:b/>
      <w:color w:val="007586" w:themeColor="text2"/>
      <w:sz w:val="18"/>
      <w:szCs w:val="18"/>
      <w:lang w:eastAsia="en-US"/>
    </w:rPr>
  </w:style>
  <w:style w:type="paragraph" w:customStyle="1" w:styleId="SCVbodyaftertablefigure">
    <w:name w:val="SCV body after table/figure"/>
    <w:basedOn w:val="SCVbody"/>
    <w:next w:val="SCVbody"/>
    <w:uiPriority w:val="24"/>
    <w:rsid w:val="005C04F0"/>
    <w:rPr>
      <w:rFonts w:eastAsia="Times New Roman" w:cstheme="minorHAnsi"/>
      <w:lang w:eastAsia="en-US"/>
    </w:rPr>
  </w:style>
  <w:style w:type="paragraph" w:customStyle="1" w:styleId="SCVquote">
    <w:name w:val="SCV quote"/>
    <w:basedOn w:val="SCVbody"/>
    <w:uiPriority w:val="29"/>
    <w:rsid w:val="0078432C"/>
    <w:pPr>
      <w:ind w:left="397"/>
    </w:pPr>
    <w:rPr>
      <w:rFonts w:eastAsia="Times New Roman" w:cstheme="minorHAnsi"/>
      <w:color w:val="007586" w:themeColor="text2"/>
      <w:szCs w:val="18"/>
      <w:lang w:eastAsia="en-US"/>
    </w:rPr>
  </w:style>
  <w:style w:type="numbering" w:customStyle="1" w:styleId="ZZBulletsafternumbers">
    <w:name w:val="ZZ Bullets after numbers"/>
    <w:basedOn w:val="NoList"/>
    <w:uiPriority w:val="99"/>
    <w:rsid w:val="00FF411C"/>
    <w:pPr>
      <w:numPr>
        <w:numId w:val="6"/>
      </w:numPr>
    </w:pPr>
  </w:style>
  <w:style w:type="paragraph" w:customStyle="1" w:styleId="SCVbulletafternumbers">
    <w:name w:val="SCV bullet after numbers"/>
    <w:basedOn w:val="SCVbody"/>
    <w:uiPriority w:val="24"/>
    <w:rsid w:val="00AE5E04"/>
    <w:pPr>
      <w:numPr>
        <w:ilvl w:val="1"/>
        <w:numId w:val="6"/>
      </w:numPr>
      <w:spacing w:before="60" w:after="60"/>
    </w:pPr>
  </w:style>
  <w:style w:type="paragraph" w:customStyle="1" w:styleId="SCVquotebullet1">
    <w:name w:val="SCV quote bullet 1"/>
    <w:basedOn w:val="SCVquote"/>
    <w:uiPriority w:val="29"/>
    <w:rsid w:val="00994B72"/>
    <w:pPr>
      <w:numPr>
        <w:numId w:val="3"/>
      </w:numPr>
      <w:spacing w:before="60" w:after="60"/>
    </w:pPr>
  </w:style>
  <w:style w:type="paragraph" w:customStyle="1" w:styleId="SCVquotebullet2">
    <w:name w:val="SCV quote bullet 2"/>
    <w:basedOn w:val="SCVquote"/>
    <w:uiPriority w:val="29"/>
    <w:rsid w:val="00994B72"/>
    <w:pPr>
      <w:numPr>
        <w:ilvl w:val="1"/>
        <w:numId w:val="3"/>
      </w:numPr>
      <w:spacing w:before="60" w:after="60"/>
    </w:pPr>
  </w:style>
  <w:style w:type="paragraph" w:customStyle="1" w:styleId="SCVtablebullet1">
    <w:name w:val="SCV table bullet 1"/>
    <w:basedOn w:val="SCVtablebody"/>
    <w:uiPriority w:val="23"/>
    <w:qFormat/>
    <w:rsid w:val="002D6F3C"/>
    <w:pPr>
      <w:numPr>
        <w:numId w:val="4"/>
      </w:numPr>
    </w:pPr>
    <w:rPr>
      <w:szCs w:val="18"/>
    </w:rPr>
  </w:style>
  <w:style w:type="paragraph" w:customStyle="1" w:styleId="SCVtablebullet2">
    <w:name w:val="SCV table bullet 2"/>
    <w:basedOn w:val="SCVtablebody"/>
    <w:uiPriority w:val="23"/>
    <w:rsid w:val="002D6F3C"/>
    <w:pPr>
      <w:numPr>
        <w:ilvl w:val="1"/>
        <w:numId w:val="4"/>
      </w:numPr>
    </w:pPr>
    <w:rPr>
      <w:szCs w:val="18"/>
    </w:rPr>
  </w:style>
  <w:style w:type="character" w:customStyle="1" w:styleId="SCVbodyChar">
    <w:name w:val="SCV body Char"/>
    <w:basedOn w:val="DefaultParagraphFont"/>
    <w:link w:val="SCVbody"/>
    <w:locked/>
    <w:rsid w:val="00A05E49"/>
  </w:style>
  <w:style w:type="numbering" w:customStyle="1" w:styleId="ZZNumbersdigit">
    <w:name w:val="ZZ Numbers digit"/>
    <w:rsid w:val="00FF411C"/>
    <w:pPr>
      <w:numPr>
        <w:numId w:val="2"/>
      </w:numPr>
    </w:pPr>
  </w:style>
  <w:style w:type="numbering" w:customStyle="1" w:styleId="ZZTablebullets">
    <w:name w:val="ZZ Table bullets"/>
    <w:rsid w:val="0025578B"/>
    <w:pPr>
      <w:numPr>
        <w:numId w:val="4"/>
      </w:numPr>
    </w:pPr>
  </w:style>
  <w:style w:type="numbering" w:customStyle="1" w:styleId="ZZQuotebullets">
    <w:name w:val="ZZ Quote bullets"/>
    <w:rsid w:val="00994B72"/>
    <w:pPr>
      <w:numPr>
        <w:numId w:val="3"/>
      </w:numPr>
    </w:pPr>
  </w:style>
  <w:style w:type="paragraph" w:customStyle="1" w:styleId="SCVheader">
    <w:name w:val="SCV header"/>
    <w:basedOn w:val="Header"/>
    <w:uiPriority w:val="1"/>
    <w:rsid w:val="009905FA"/>
    <w:pPr>
      <w:pBdr>
        <w:bottom w:val="single" w:sz="24" w:space="1" w:color="CCCCD0"/>
      </w:pBdr>
    </w:pPr>
  </w:style>
  <w:style w:type="paragraph" w:customStyle="1" w:styleId="SCVtablerowhead">
    <w:name w:val="SCV table row head"/>
    <w:basedOn w:val="SCVtablecolhead"/>
    <w:uiPriority w:val="21"/>
    <w:qFormat/>
    <w:rsid w:val="00350441"/>
    <w:rPr>
      <w:rFonts w:cs="Times New Roman"/>
    </w:rPr>
  </w:style>
  <w:style w:type="paragraph" w:customStyle="1" w:styleId="SCVaccessibilitypara">
    <w:name w:val="SCV accessibility para"/>
    <w:basedOn w:val="SCVbody"/>
    <w:uiPriority w:val="29"/>
    <w:rsid w:val="00276717"/>
    <w:rPr>
      <w:sz w:val="24"/>
    </w:rPr>
  </w:style>
  <w:style w:type="character" w:styleId="UnresolvedMention">
    <w:name w:val="Unresolved Mention"/>
    <w:basedOn w:val="DefaultParagraphFont"/>
    <w:uiPriority w:val="99"/>
    <w:unhideWhenUsed/>
    <w:rsid w:val="00276717"/>
    <w:rPr>
      <w:color w:val="605E5C"/>
      <w:shd w:val="clear" w:color="auto" w:fill="E1DFDD"/>
    </w:rPr>
  </w:style>
  <w:style w:type="character" w:styleId="FollowedHyperlink">
    <w:name w:val="FollowedHyperlink"/>
    <w:basedOn w:val="DefaultParagraphFont"/>
    <w:uiPriority w:val="1"/>
    <w:rsid w:val="00AD1351"/>
    <w:rPr>
      <w:color w:val="007586" w:themeColor="text2"/>
      <w:u w:val="single"/>
    </w:rPr>
  </w:style>
  <w:style w:type="table" w:customStyle="1" w:styleId="SCVpulloutbox">
    <w:name w:val="SCV pullout box"/>
    <w:basedOn w:val="PlainTable1"/>
    <w:uiPriority w:val="99"/>
    <w:rsid w:val="00796484"/>
    <w:pPr>
      <w:spacing w:before="0" w:after="120" w:line="300" w:lineRule="auto"/>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113" w:type="dxa"/>
        <w:right w:w="284" w:type="dxa"/>
      </w:tblCellMar>
    </w:tblPr>
    <w:tcPr>
      <w:shd w:val="clear" w:color="auto" w:fill="EDF5F7"/>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Tablenumbers">
    <w:name w:val="ZZ Table numbers"/>
    <w:basedOn w:val="NoList"/>
    <w:uiPriority w:val="99"/>
    <w:rsid w:val="00BA5BEB"/>
    <w:pPr>
      <w:numPr>
        <w:numId w:val="5"/>
      </w:numPr>
    </w:pPr>
  </w:style>
  <w:style w:type="paragraph" w:customStyle="1" w:styleId="SCVtablenumber1">
    <w:name w:val="SCV table number 1"/>
    <w:basedOn w:val="SCVtablebody"/>
    <w:uiPriority w:val="29"/>
    <w:rsid w:val="00D863EB"/>
    <w:pPr>
      <w:numPr>
        <w:numId w:val="5"/>
      </w:numPr>
    </w:pPr>
  </w:style>
  <w:style w:type="paragraph" w:customStyle="1" w:styleId="SCVtablenumber2">
    <w:name w:val="SCV table number 2"/>
    <w:basedOn w:val="SCVtablebody"/>
    <w:uiPriority w:val="29"/>
    <w:rsid w:val="00D863EB"/>
    <w:pPr>
      <w:numPr>
        <w:ilvl w:val="1"/>
        <w:numId w:val="5"/>
      </w:numPr>
      <w:spacing w:before="60" w:line="192" w:lineRule="atLeast"/>
    </w:pPr>
    <w:rPr>
      <w:rFonts w:eastAsiaTheme="minorHAnsi"/>
    </w:rPr>
  </w:style>
  <w:style w:type="paragraph" w:customStyle="1" w:styleId="SCVprotectivemarkingbelowsubtitle">
    <w:name w:val="SCV protective marking below subtitle"/>
    <w:basedOn w:val="SCVbody"/>
    <w:uiPriority w:val="1"/>
    <w:rsid w:val="00F024AD"/>
    <w:pPr>
      <w:spacing w:before="400" w:after="400" w:line="240" w:lineRule="auto"/>
    </w:pPr>
    <w:rPr>
      <w:caps/>
      <w:sz w:val="24"/>
      <w:szCs w:val="24"/>
    </w:rPr>
  </w:style>
  <w:style w:type="character" w:styleId="CommentReference">
    <w:name w:val="annotation reference"/>
    <w:basedOn w:val="DefaultParagraphFont"/>
    <w:uiPriority w:val="1"/>
    <w:semiHidden/>
    <w:unhideWhenUsed/>
    <w:rsid w:val="005416D7"/>
    <w:rPr>
      <w:sz w:val="16"/>
      <w:szCs w:val="16"/>
    </w:rPr>
  </w:style>
  <w:style w:type="paragraph" w:styleId="CommentText">
    <w:name w:val="annotation text"/>
    <w:basedOn w:val="Normal"/>
    <w:link w:val="CommentTextChar"/>
    <w:uiPriority w:val="1"/>
    <w:semiHidden/>
    <w:unhideWhenUsed/>
    <w:rsid w:val="005416D7"/>
    <w:pPr>
      <w:spacing w:line="240" w:lineRule="auto"/>
    </w:pPr>
  </w:style>
  <w:style w:type="character" w:customStyle="1" w:styleId="CommentTextChar">
    <w:name w:val="Comment Text Char"/>
    <w:basedOn w:val="DefaultParagraphFont"/>
    <w:link w:val="CommentText"/>
    <w:uiPriority w:val="1"/>
    <w:semiHidden/>
    <w:rsid w:val="005416D7"/>
  </w:style>
  <w:style w:type="paragraph" w:styleId="CommentSubject">
    <w:name w:val="annotation subject"/>
    <w:basedOn w:val="CommentText"/>
    <w:next w:val="CommentText"/>
    <w:link w:val="CommentSubjectChar"/>
    <w:uiPriority w:val="1"/>
    <w:semiHidden/>
    <w:unhideWhenUsed/>
    <w:rsid w:val="005416D7"/>
    <w:rPr>
      <w:b/>
      <w:bCs/>
    </w:rPr>
  </w:style>
  <w:style w:type="character" w:customStyle="1" w:styleId="CommentSubjectChar">
    <w:name w:val="Comment Subject Char"/>
    <w:basedOn w:val="CommentTextChar"/>
    <w:link w:val="CommentSubject"/>
    <w:uiPriority w:val="1"/>
    <w:semiHidden/>
    <w:rsid w:val="005416D7"/>
    <w:rPr>
      <w:b/>
      <w:bCs/>
    </w:rPr>
  </w:style>
  <w:style w:type="paragraph" w:styleId="Revision">
    <w:name w:val="Revision"/>
    <w:hidden/>
    <w:uiPriority w:val="99"/>
    <w:semiHidden/>
    <w:rsid w:val="005416D7"/>
    <w:pPr>
      <w:spacing w:before="0" w:after="0" w:line="240" w:lineRule="auto"/>
    </w:pPr>
  </w:style>
  <w:style w:type="paragraph" w:customStyle="1" w:styleId="SCVimprint">
    <w:name w:val="SCV imprint"/>
    <w:basedOn w:val="SCVbody"/>
    <w:uiPriority w:val="1"/>
    <w:rsid w:val="00B37FF8"/>
    <w:pPr>
      <w:spacing w:before="0"/>
    </w:pPr>
    <w:rPr>
      <w:sz w:val="18"/>
      <w:szCs w:val="18"/>
    </w:rPr>
  </w:style>
  <w:style w:type="paragraph" w:customStyle="1" w:styleId="SCVpulloutbullet">
    <w:name w:val="SCV pullout bullet"/>
    <w:basedOn w:val="SCVpullouttext"/>
    <w:uiPriority w:val="1"/>
    <w:rsid w:val="002F4173"/>
    <w:pPr>
      <w:numPr>
        <w:numId w:val="7"/>
      </w:numPr>
      <w:spacing w:before="0"/>
    </w:pPr>
  </w:style>
  <w:style w:type="numbering" w:customStyle="1" w:styleId="ZZPulloutbullets">
    <w:name w:val="ZZ Pullout bullets"/>
    <w:basedOn w:val="NoList"/>
    <w:uiPriority w:val="99"/>
    <w:rsid w:val="002F4173"/>
    <w:pPr>
      <w:numPr>
        <w:numId w:val="7"/>
      </w:numPr>
    </w:pPr>
  </w:style>
  <w:style w:type="paragraph" w:customStyle="1" w:styleId="SCVdate">
    <w:name w:val="SCV date"/>
    <w:basedOn w:val="SCVbody"/>
    <w:uiPriority w:val="1"/>
    <w:rsid w:val="00D15955"/>
    <w:pPr>
      <w:spacing w:before="0" w:after="0"/>
    </w:pPr>
    <w:rPr>
      <w:b/>
      <w:bCs/>
      <w:sz w:val="28"/>
      <w:szCs w:val="28"/>
    </w:rPr>
  </w:style>
  <w:style w:type="paragraph" w:customStyle="1" w:styleId="SCVborderabovetitle">
    <w:name w:val="SCV border above title"/>
    <w:basedOn w:val="SCVbody"/>
    <w:uiPriority w:val="1"/>
    <w:rsid w:val="00521CA5"/>
    <w:pPr>
      <w:pBdr>
        <w:top w:val="single" w:sz="24" w:space="1" w:color="D9D9D9" w:themeColor="background1" w:themeShade="D9"/>
      </w:pBdr>
      <w:spacing w:before="0" w:after="0"/>
    </w:pPr>
    <w:rPr>
      <w:sz w:val="12"/>
    </w:rPr>
  </w:style>
  <w:style w:type="character" w:styleId="Mention">
    <w:name w:val="Mention"/>
    <w:basedOn w:val="DefaultParagraphFont"/>
    <w:uiPriority w:val="99"/>
    <w:unhideWhenUsed/>
    <w:rsid w:val="00111C8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20593">
      <w:bodyDiv w:val="1"/>
      <w:marLeft w:val="0"/>
      <w:marRight w:val="0"/>
      <w:marTop w:val="0"/>
      <w:marBottom w:val="0"/>
      <w:divBdr>
        <w:top w:val="none" w:sz="0" w:space="0" w:color="auto"/>
        <w:left w:val="none" w:sz="0" w:space="0" w:color="auto"/>
        <w:bottom w:val="none" w:sz="0" w:space="0" w:color="auto"/>
        <w:right w:val="none" w:sz="0" w:space="0" w:color="auto"/>
      </w:divBdr>
    </w:div>
    <w:div w:id="209846884">
      <w:bodyDiv w:val="1"/>
      <w:marLeft w:val="0"/>
      <w:marRight w:val="0"/>
      <w:marTop w:val="0"/>
      <w:marBottom w:val="0"/>
      <w:divBdr>
        <w:top w:val="none" w:sz="0" w:space="0" w:color="auto"/>
        <w:left w:val="none" w:sz="0" w:space="0" w:color="auto"/>
        <w:bottom w:val="none" w:sz="0" w:space="0" w:color="auto"/>
        <w:right w:val="none" w:sz="0" w:space="0" w:color="auto"/>
      </w:divBdr>
    </w:div>
    <w:div w:id="219707465">
      <w:bodyDiv w:val="1"/>
      <w:marLeft w:val="0"/>
      <w:marRight w:val="0"/>
      <w:marTop w:val="0"/>
      <w:marBottom w:val="0"/>
      <w:divBdr>
        <w:top w:val="none" w:sz="0" w:space="0" w:color="auto"/>
        <w:left w:val="none" w:sz="0" w:space="0" w:color="auto"/>
        <w:bottom w:val="none" w:sz="0" w:space="0" w:color="auto"/>
        <w:right w:val="none" w:sz="0" w:space="0" w:color="auto"/>
      </w:divBdr>
    </w:div>
    <w:div w:id="391854816">
      <w:bodyDiv w:val="1"/>
      <w:marLeft w:val="0"/>
      <w:marRight w:val="0"/>
      <w:marTop w:val="0"/>
      <w:marBottom w:val="0"/>
      <w:divBdr>
        <w:top w:val="none" w:sz="0" w:space="0" w:color="auto"/>
        <w:left w:val="none" w:sz="0" w:space="0" w:color="auto"/>
        <w:bottom w:val="none" w:sz="0" w:space="0" w:color="auto"/>
        <w:right w:val="none" w:sz="0" w:space="0" w:color="auto"/>
      </w:divBdr>
    </w:div>
    <w:div w:id="608271218">
      <w:bodyDiv w:val="1"/>
      <w:marLeft w:val="0"/>
      <w:marRight w:val="0"/>
      <w:marTop w:val="0"/>
      <w:marBottom w:val="0"/>
      <w:divBdr>
        <w:top w:val="none" w:sz="0" w:space="0" w:color="auto"/>
        <w:left w:val="none" w:sz="0" w:space="0" w:color="auto"/>
        <w:bottom w:val="none" w:sz="0" w:space="0" w:color="auto"/>
        <w:right w:val="none" w:sz="0" w:space="0" w:color="auto"/>
      </w:divBdr>
    </w:div>
    <w:div w:id="750584430">
      <w:bodyDiv w:val="1"/>
      <w:marLeft w:val="0"/>
      <w:marRight w:val="0"/>
      <w:marTop w:val="0"/>
      <w:marBottom w:val="0"/>
      <w:divBdr>
        <w:top w:val="none" w:sz="0" w:space="0" w:color="auto"/>
        <w:left w:val="none" w:sz="0" w:space="0" w:color="auto"/>
        <w:bottom w:val="none" w:sz="0" w:space="0" w:color="auto"/>
        <w:right w:val="none" w:sz="0" w:space="0" w:color="auto"/>
      </w:divBdr>
    </w:div>
    <w:div w:id="815031036">
      <w:bodyDiv w:val="1"/>
      <w:marLeft w:val="0"/>
      <w:marRight w:val="0"/>
      <w:marTop w:val="0"/>
      <w:marBottom w:val="0"/>
      <w:divBdr>
        <w:top w:val="none" w:sz="0" w:space="0" w:color="auto"/>
        <w:left w:val="none" w:sz="0" w:space="0" w:color="auto"/>
        <w:bottom w:val="none" w:sz="0" w:space="0" w:color="auto"/>
        <w:right w:val="none" w:sz="0" w:space="0" w:color="auto"/>
      </w:divBdr>
    </w:div>
    <w:div w:id="843667623">
      <w:bodyDiv w:val="1"/>
      <w:marLeft w:val="0"/>
      <w:marRight w:val="0"/>
      <w:marTop w:val="0"/>
      <w:marBottom w:val="0"/>
      <w:divBdr>
        <w:top w:val="none" w:sz="0" w:space="0" w:color="auto"/>
        <w:left w:val="none" w:sz="0" w:space="0" w:color="auto"/>
        <w:bottom w:val="none" w:sz="0" w:space="0" w:color="auto"/>
        <w:right w:val="none" w:sz="0" w:space="0" w:color="auto"/>
      </w:divBdr>
    </w:div>
    <w:div w:id="844511306">
      <w:bodyDiv w:val="1"/>
      <w:marLeft w:val="0"/>
      <w:marRight w:val="0"/>
      <w:marTop w:val="0"/>
      <w:marBottom w:val="0"/>
      <w:divBdr>
        <w:top w:val="none" w:sz="0" w:space="0" w:color="auto"/>
        <w:left w:val="none" w:sz="0" w:space="0" w:color="auto"/>
        <w:bottom w:val="none" w:sz="0" w:space="0" w:color="auto"/>
        <w:right w:val="none" w:sz="0" w:space="0" w:color="auto"/>
      </w:divBdr>
    </w:div>
    <w:div w:id="14970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9.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d2eww\OneDrive%20-%20DFFH,%20DH%20Victoria\SCV%20blank.dotx" TargetMode="External"/></Relationships>
</file>

<file path=word/theme/theme1.xml><?xml version="1.0" encoding="utf-8"?>
<a:theme xmlns:a="http://schemas.openxmlformats.org/drawingml/2006/main" name="Office Theme">
  <a:themeElements>
    <a:clrScheme name="Safer Care Victoria">
      <a:dk1>
        <a:srgbClr val="000000"/>
      </a:dk1>
      <a:lt1>
        <a:srgbClr val="FFFFFF"/>
      </a:lt1>
      <a:dk2>
        <a:srgbClr val="007586"/>
      </a:dk2>
      <a:lt2>
        <a:srgbClr val="EDF5F7"/>
      </a:lt2>
      <a:accent1>
        <a:srgbClr val="1B242A"/>
      </a:accent1>
      <a:accent2>
        <a:srgbClr val="007586"/>
      </a:accent2>
      <a:accent3>
        <a:srgbClr val="5AB9EB"/>
      </a:accent3>
      <a:accent4>
        <a:srgbClr val="004C97"/>
      </a:accent4>
      <a:accent5>
        <a:srgbClr val="5AAA64"/>
      </a:accent5>
      <a:accent6>
        <a:srgbClr val="E6643C"/>
      </a:accent6>
      <a:hlink>
        <a:srgbClr val="004C97"/>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2CBD3403E816419C87646E3C6EEB81" ma:contentTypeVersion="14" ma:contentTypeDescription="Create a new document." ma:contentTypeScope="" ma:versionID="e270d02d7ae0458dfe00206c5fdfbdf8">
  <xsd:schema xmlns:xsd="http://www.w3.org/2001/XMLSchema" xmlns:xs="http://www.w3.org/2001/XMLSchema" xmlns:p="http://schemas.microsoft.com/office/2006/metadata/properties" xmlns:ns2="d57d50af-0511-4abc-8473-7b8c08a937c3" xmlns:ns3="819afca8-9d5b-4e5f-a02d-e8160e861dbb" xmlns:ns4="5ce0f2b5-5be5-4508-bce9-d7011ece0659" targetNamespace="http://schemas.microsoft.com/office/2006/metadata/properties" ma:root="true" ma:fieldsID="4bc038c3081566f9a54f1717aff19cd9" ns2:_="" ns3:_="" ns4:_="">
    <xsd:import namespace="d57d50af-0511-4abc-8473-7b8c08a937c3"/>
    <xsd:import namespace="819afca8-9d5b-4e5f-a02d-e8160e861dbb"/>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d50af-0511-4abc-8473-7b8c08a937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9afca8-9d5b-4e5f-a02d-e8160e861d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bcbacec-8de2-4b31-a51a-08fc30afc0d0}" ma:internalName="TaxCatchAll" ma:showField="CatchAllData" ma:web="819afca8-9d5b-4e5f-a02d-e8160e861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d57d50af-0511-4abc-8473-7b8c08a937c3">
      <Terms xmlns="http://schemas.microsoft.com/office/infopath/2007/PartnerControls"/>
    </lcf76f155ced4ddcb4097134ff3c332f>
    <SharedWithUsers xmlns="819afca8-9d5b-4e5f-a02d-e8160e861dbb">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524A3F-470F-472D-8F16-D3E970F2D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d50af-0511-4abc-8473-7b8c08a937c3"/>
    <ds:schemaRef ds:uri="819afca8-9d5b-4e5f-a02d-e8160e861db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4EFDD-117F-4DF0-92BA-910F1DE92A1F}">
  <ds:schemaRef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819afca8-9d5b-4e5f-a02d-e8160e861dbb"/>
    <ds:schemaRef ds:uri="http://purl.org/dc/terms/"/>
    <ds:schemaRef ds:uri="d57d50af-0511-4abc-8473-7b8c08a937c3"/>
    <ds:schemaRef ds:uri="http://www.w3.org/XML/1998/namespace"/>
    <ds:schemaRef ds:uri="http://purl.org/dc/dcmitype/"/>
  </ds:schemaRefs>
</ds:datastoreItem>
</file>

<file path=customXml/itemProps3.xml><?xml version="1.0" encoding="utf-8"?>
<ds:datastoreItem xmlns:ds="http://schemas.openxmlformats.org/officeDocument/2006/customXml" ds:itemID="{6CA9501E-42E3-4B0D-BCE8-DBEB0361BBD6}">
  <ds:schemaRefs>
    <ds:schemaRef ds:uri="http://schemas.openxmlformats.org/officeDocument/2006/bibliography"/>
  </ds:schemaRefs>
</ds:datastoreItem>
</file>

<file path=customXml/itemProps4.xml><?xml version="1.0" encoding="utf-8"?>
<ds:datastoreItem xmlns:ds="http://schemas.openxmlformats.org/officeDocument/2006/customXml" ds:itemID="{A64D4134-9C89-4B1F-A4BE-82CE633517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SCV blank.dotx</Template>
  <TotalTime>2</TotalTime>
  <Pages>7</Pages>
  <Words>2568</Words>
  <Characters>14640</Characters>
  <Application>Microsoft Office Word</Application>
  <DocSecurity>0</DocSecurity>
  <Lines>122</Lines>
  <Paragraphs>34</Paragraphs>
  <ScaleCrop>false</ScaleCrop>
  <Manager/>
  <Company>Safer Care Victoria</Company>
  <LinksUpToDate>false</LinksUpToDate>
  <CharactersWithSpaces>17174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here</dc:title>
  <dc:subject/>
  <dc:creator>Nicole Youngs (DHHS)</dc:creator>
  <cp:keywords/>
  <cp:lastModifiedBy>Kate De Clercq (DHHS)</cp:lastModifiedBy>
  <cp:revision>2</cp:revision>
  <cp:lastPrinted>2020-08-14T14:56:00Z</cp:lastPrinted>
  <dcterms:created xsi:type="dcterms:W3CDTF">2022-09-13T00:19:00Z</dcterms:created>
  <dcterms:modified xsi:type="dcterms:W3CDTF">2022-09-13T00:19:00Z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0x010100F52CBD3403E816419C87646E3C6EEB81</vt:lpwstr>
  </property>
  <property fmtid="{D5CDD505-2E9C-101B-9397-08002B2CF9AE}" pid="4" name="MediaServiceImageTags">
    <vt:lpwstr/>
  </property>
  <property fmtid="{D5CDD505-2E9C-101B-9397-08002B2CF9AE}" pid="5" name="MSIP_Label_43e64453-338c-4f93-8a4d-0039a0a41f2a_Enabled">
    <vt:lpwstr>true</vt:lpwstr>
  </property>
  <property fmtid="{D5CDD505-2E9C-101B-9397-08002B2CF9AE}" pid="6" name="MSIP_Label_43e64453-338c-4f93-8a4d-0039a0a41f2a_SetDate">
    <vt:lpwstr>2022-09-13T00:17:55Z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c23067b4-dc40-429f-a8c2-827f99cc482f</vt:lpwstr>
  </property>
  <property fmtid="{D5CDD505-2E9C-101B-9397-08002B2CF9AE}" pid="11" name="MSIP_Label_43e64453-338c-4f93-8a4d-0039a0a41f2a_ContentBits">
    <vt:lpwstr>2</vt:lpwstr>
  </property>
</Properties>
</file>