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CE09" w14:textId="77777777" w:rsidR="00BE4092" w:rsidRPr="00BE60CF" w:rsidRDefault="00F16C4F" w:rsidP="00BE4092">
      <w:pPr>
        <w:pStyle w:val="SCVbody"/>
      </w:pPr>
      <w:r>
        <w:rPr>
          <w:noProof/>
        </w:rPr>
        <mc:AlternateContent>
          <mc:Choice Requires="wps">
            <w:drawing>
              <wp:anchor distT="0" distB="0" distL="114300" distR="114300" simplePos="0" relativeHeight="251658240" behindDoc="0" locked="0" layoutInCell="1" allowOverlap="1" wp14:anchorId="5D314F88" wp14:editId="4D996D01">
                <wp:simplePos x="0" y="0"/>
                <wp:positionH relativeFrom="column">
                  <wp:posOffset>-168245</wp:posOffset>
                </wp:positionH>
                <wp:positionV relativeFrom="paragraph">
                  <wp:posOffset>-1935111</wp:posOffset>
                </wp:positionV>
                <wp:extent cx="3115339" cy="924649"/>
                <wp:effectExtent l="0" t="0" r="8890" b="8890"/>
                <wp:wrapNone/>
                <wp:docPr id="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15339" cy="92464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DE3D1" id="Rectangle 1" o:spid="_x0000_s1026" alt="&quot;&quot;" style="position:absolute;margin-left:-13.25pt;margin-top:-152.35pt;width:245.3pt;height:72.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4Y9aAIAACsFAAAOAAAAZHJzL2Uyb0RvYy54bWysVFFP2zAQfp+0/2D5faQpha0VKapATJMQ&#10;IGDi2Tg2ieT4vLPbtPv1O9tpigDtYVoeHNt3993583c+O992hm0U+hZsxcujCWfKSqhb+1Lxn49X&#10;X75x5oOwtTBgVcV3yvPz5edPZ71bqCk0YGqFjECsX/Su4k0IblEUXjaqE/4InLJk1ICdCLTEl6JG&#10;0RN6Z4rpZHJa9IC1Q5DKe9q9zEa+TPhaKxlutfYqMFNxqi2kEdP4HMdieSYWLyhc08qhDPEPVXSi&#10;tZR0hLoUQbA1tu+gulYieNDhSEJXgNatVOkMdJpy8uY0D41wKp2FyPFupMn/P1h5s3lwd0g09M4v&#10;PE3jKbYau/in+tg2kbUbyVLbwCRtHpflyfHxnDNJtvl0djqbRzaLQ7RDH74r6FicVBzpMhJHYnPt&#10;Q3bdu8RkxsbRwlVrTLbGneJQV5qFnVHZ+15p1tZUyTShJsmoC4NsI+iyhZTKhjKbGlGrvH0yoW+o&#10;c4xIVRtLgBFZU/4RewCIcnyPnasc/GOoSoobgyd/KywHjxEpM9gwBnetBfwIwNCphszZf09Spiay&#10;9Az17g4ZQta7d/KqpTu4Fj7cCSSBUytQ04ZbGrSBvuIwzDhrAH9/tB/9SXdk5aynhqm4/7UWqDgz&#10;Pywpcl7OZrHD0mJ28nVKC3xteX5tsevuAuiaSnoenEzT6B/MfqoRuifq7VXMSiZhJeWuuAy4X1yE&#10;3Mj0Oki1WiU36ionwrV9cDKCR1ajxh63TwLdIMRAEr6BfXOJxRs9Zt8YaWG1DqDbJNYDrwPf1JFJ&#10;OMPrEVv+9Tp5Hd645R8AAAD//wMAUEsDBBQABgAIAAAAIQAAlXgJ4gAAAA0BAAAPAAAAZHJzL2Rv&#10;d25yZXYueG1sTI/LTsMwEEX3SPyDNUjsWiclCRDiVIBE17RUCHZu7MYR8diKnSbl6xlWsJvH0Z0z&#10;1Xq2PTvpIXQOBaTLBJjGxqkOWwH7t5fFHbAQJSrZO9QCzjrAur68qGSp3IRbfdrFllEIhlIKMDH6&#10;kvPQGG1lWDqvkXZHN1gZqR1argY5Ubjt+SpJCm5lh3TBSK+fjW6+dqMV4Df718+jefJTcX7PN3M7&#10;fnx3oxDXV/PjA7Co5/gHw68+qUNNTgc3ogqsF7BYFTmhVNwk2S0wQrIiS4EdaJTm9ynwuuL/v6h/&#10;AAAA//8DAFBLAQItABQABgAIAAAAIQC2gziS/gAAAOEBAAATAAAAAAAAAAAAAAAAAAAAAABbQ29u&#10;dGVudF9UeXBlc10ueG1sUEsBAi0AFAAGAAgAAAAhADj9If/WAAAAlAEAAAsAAAAAAAAAAAAAAAAA&#10;LwEAAF9yZWxzLy5yZWxzUEsBAi0AFAAGAAgAAAAhAHvbhj1oAgAAKwUAAA4AAAAAAAAAAAAAAAAA&#10;LgIAAGRycy9lMm9Eb2MueG1sUEsBAi0AFAAGAAgAAAAhAACVeAniAAAADQEAAA8AAAAAAAAAAAAA&#10;AAAAwgQAAGRycy9kb3ducmV2LnhtbFBLBQYAAAAABAAEAPMAAADRBQAAAAA=&#10;" fillcolor="#408abb [3204]" stroked="f" strokeweight="2pt"/>
            </w:pict>
          </mc:Fallback>
        </mc:AlternateContent>
      </w:r>
      <w:r>
        <w:rPr>
          <w:noProof/>
        </w:rPr>
        <w:drawing>
          <wp:anchor distT="0" distB="0" distL="114300" distR="114300" simplePos="0" relativeHeight="251658241" behindDoc="0" locked="0" layoutInCell="1" allowOverlap="1" wp14:anchorId="68EC18F2" wp14:editId="09218505">
            <wp:simplePos x="0" y="0"/>
            <wp:positionH relativeFrom="column">
              <wp:posOffset>-381000</wp:posOffset>
            </wp:positionH>
            <wp:positionV relativeFrom="paragraph">
              <wp:posOffset>-2263302</wp:posOffset>
            </wp:positionV>
            <wp:extent cx="3054001" cy="1605516"/>
            <wp:effectExtent l="0" t="0" r="0" b="0"/>
            <wp:wrapNone/>
            <wp:docPr id="2" name="Picture 1" descr="Voluntary Assisted Dying Review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oluntary Assisted Dying Review Board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4001" cy="1605516"/>
                    </a:xfrm>
                    <a:prstGeom prst="rect">
                      <a:avLst/>
                    </a:prstGeom>
                  </pic:spPr>
                </pic:pic>
              </a:graphicData>
            </a:graphic>
            <wp14:sizeRelH relativeFrom="page">
              <wp14:pctWidth>0</wp14:pctWidth>
            </wp14:sizeRelH>
            <wp14:sizeRelV relativeFrom="page">
              <wp14:pctHeight>0</wp14:pctHeight>
            </wp14:sizeRelV>
          </wp:anchor>
        </w:drawing>
      </w:r>
      <w:r w:rsidR="00BE4092" w:rsidRPr="00BE60CF">
        <w:rPr>
          <w:noProof/>
        </w:rPr>
        <w:drawing>
          <wp:anchor distT="0" distB="0" distL="114300" distR="114300" simplePos="0" relativeHeight="251658243" behindDoc="1" locked="1" layoutInCell="1" allowOverlap="1" wp14:anchorId="5F2F2A39" wp14:editId="2F73A307">
            <wp:simplePos x="538163" y="2800350"/>
            <wp:positionH relativeFrom="page">
              <wp:align>left</wp:align>
            </wp:positionH>
            <wp:positionV relativeFrom="page">
              <wp:posOffset>540385</wp:posOffset>
            </wp:positionV>
            <wp:extent cx="7560000" cy="9614160"/>
            <wp:effectExtent l="0" t="0" r="3175" b="6350"/>
            <wp:wrapNone/>
            <wp:docPr id="6" name="Picture 2" descr="Consultative Council on Obstetric and Paediatric Mortality and Morbidity - 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nsultative Council on Obstetric and Paediatric Mortality and Morbidity - Safer Care Victor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9614160"/>
                    </a:xfrm>
                    <a:prstGeom prst="rect">
                      <a:avLst/>
                    </a:prstGeom>
                  </pic:spPr>
                </pic:pic>
              </a:graphicData>
            </a:graphic>
            <wp14:sizeRelH relativeFrom="margin">
              <wp14:pctWidth>0</wp14:pctWidth>
            </wp14:sizeRelH>
            <wp14:sizeRelV relativeFrom="margin">
              <wp14:pctHeight>0</wp14:pctHeight>
            </wp14:sizeRelV>
          </wp:anchor>
        </w:drawing>
      </w:r>
    </w:p>
    <w:p w14:paraId="64B7F82C" w14:textId="77777777" w:rsidR="00C50A2B" w:rsidRPr="00BE60CF" w:rsidRDefault="00F16C4F" w:rsidP="00D15955">
      <w:pPr>
        <w:pStyle w:val="SCVreporttitle"/>
        <w:spacing w:before="160"/>
      </w:pPr>
      <w:r>
        <w:t>Report of operations</w:t>
      </w:r>
    </w:p>
    <w:p w14:paraId="00B8A613" w14:textId="77FF9BFD" w:rsidR="00C50A2B" w:rsidRPr="00BE60CF" w:rsidRDefault="00883A34" w:rsidP="00C50A2B">
      <w:pPr>
        <w:pStyle w:val="SCVreportsubtitle"/>
      </w:pPr>
      <w:r>
        <w:t xml:space="preserve">July 2021 </w:t>
      </w:r>
      <w:r w:rsidR="008F4EDA">
        <w:t xml:space="preserve">to </w:t>
      </w:r>
      <w:r w:rsidR="00A61F97">
        <w:t>June 2022</w:t>
      </w:r>
    </w:p>
    <w:p w14:paraId="46C7E491" w14:textId="77777777" w:rsidR="009A35AA" w:rsidRPr="00BE60CF" w:rsidRDefault="009A35AA" w:rsidP="00A46288">
      <w:pPr>
        <w:pStyle w:val="NoSpacing"/>
      </w:pPr>
    </w:p>
    <w:p w14:paraId="7D987B52" w14:textId="77777777" w:rsidR="00A46288" w:rsidRPr="00BE60CF" w:rsidRDefault="00A46288" w:rsidP="00A45CB0">
      <w:pPr>
        <w:pStyle w:val="SCVbody"/>
        <w:sectPr w:rsidR="00A46288" w:rsidRPr="00BE60CF" w:rsidSect="00BE4092">
          <w:headerReference w:type="even" r:id="rId13"/>
          <w:headerReference w:type="default" r:id="rId14"/>
          <w:footerReference w:type="even" r:id="rId15"/>
          <w:footerReference w:type="default" r:id="rId16"/>
          <w:headerReference w:type="first" r:id="rId17"/>
          <w:footerReference w:type="first" r:id="rId18"/>
          <w:pgSz w:w="11906" w:h="16838" w:code="9"/>
          <w:pgMar w:top="4253" w:right="2381" w:bottom="1361" w:left="851" w:header="454" w:footer="454" w:gutter="0"/>
          <w:cols w:space="284"/>
          <w:docGrid w:linePitch="360"/>
        </w:sectPr>
      </w:pPr>
    </w:p>
    <w:tbl>
      <w:tblPr>
        <w:tblStyle w:val="SCVInformationTable"/>
        <w:tblW w:w="10206" w:type="dxa"/>
        <w:tblLook w:val="0620" w:firstRow="1" w:lastRow="0" w:firstColumn="0" w:lastColumn="0" w:noHBand="1" w:noVBand="1"/>
      </w:tblPr>
      <w:tblGrid>
        <w:gridCol w:w="10206"/>
      </w:tblGrid>
      <w:tr w:rsidR="00B556E1" w:rsidRPr="00BE60CF" w14:paraId="50DAE5CE" w14:textId="77777777" w:rsidTr="00E22DEF">
        <w:trPr>
          <w:trHeight w:val="6387"/>
        </w:trPr>
        <w:tc>
          <w:tcPr>
            <w:tcW w:w="9070" w:type="dxa"/>
            <w:shd w:val="clear" w:color="auto" w:fill="auto"/>
          </w:tcPr>
          <w:p w14:paraId="5CB1DD5A" w14:textId="77777777" w:rsidR="00D832D4" w:rsidRPr="009B0FED" w:rsidRDefault="00D832D4" w:rsidP="00D832D4">
            <w:pPr>
              <w:pStyle w:val="SCVintroductorytext"/>
              <w:spacing w:after="120"/>
            </w:pPr>
            <w:r w:rsidRPr="00A61F97">
              <w:lastRenderedPageBreak/>
              <w:t xml:space="preserve">This is the first annual report from the independent Voluntary Assisted Dying Review Board. </w:t>
            </w:r>
            <w:r>
              <w:t>The previous five reports</w:t>
            </w:r>
            <w:r w:rsidRPr="00A61F97">
              <w:t xml:space="preserve"> were for periods of six months. </w:t>
            </w:r>
          </w:p>
          <w:p w14:paraId="2E85ACF3" w14:textId="77777777" w:rsidR="00D832D4" w:rsidRDefault="00D832D4" w:rsidP="00D832D4">
            <w:pPr>
              <w:pStyle w:val="SCVbodyafterheading"/>
              <w:rPr>
                <w:lang w:eastAsia="en-US"/>
              </w:rPr>
            </w:pPr>
            <w:r w:rsidRPr="009A06F5">
              <w:rPr>
                <w:lang w:eastAsia="en-US"/>
              </w:rPr>
              <w:t xml:space="preserve">It </w:t>
            </w:r>
            <w:r w:rsidRPr="002C65B8">
              <w:t>details</w:t>
            </w:r>
            <w:r w:rsidRPr="009A06F5">
              <w:rPr>
                <w:lang w:eastAsia="en-US"/>
              </w:rPr>
              <w:t xml:space="preserve">: </w:t>
            </w:r>
          </w:p>
          <w:p w14:paraId="5948A54A" w14:textId="77777777" w:rsidR="00D832D4" w:rsidRPr="00A61F97" w:rsidRDefault="00D832D4" w:rsidP="00D832D4">
            <w:pPr>
              <w:pStyle w:val="SCVbullet1"/>
            </w:pPr>
            <w:r w:rsidRPr="00A61F97">
              <w:t>activity from 1 July 2021 to 30 June 2022 as well as since the commencement of the Voluntary Assisted Dying Act 2017 (the Act) on 19 June 2019</w:t>
            </w:r>
          </w:p>
          <w:p w14:paraId="52F9FEDE" w14:textId="77777777" w:rsidR="00D832D4" w:rsidRPr="00A61F97" w:rsidRDefault="00D832D4" w:rsidP="00D832D4">
            <w:pPr>
              <w:pStyle w:val="SCVbullet1"/>
            </w:pPr>
            <w:r w:rsidRPr="00A61F97">
              <w:t>Board reflections drawn from case reviews and feedback.</w:t>
            </w:r>
          </w:p>
          <w:p w14:paraId="5BB37592" w14:textId="1550343C" w:rsidR="00D832D4" w:rsidRDefault="00D832D4" w:rsidP="00D832D4">
            <w:pPr>
              <w:pStyle w:val="SCVbody"/>
              <w:rPr>
                <w:lang w:eastAsia="en-US"/>
              </w:rPr>
            </w:pPr>
            <w:r w:rsidRPr="009A06F5">
              <w:rPr>
                <w:lang w:eastAsia="en-US"/>
              </w:rPr>
              <w:t xml:space="preserve">This report contains quotes and feedback from people who have chosen </w:t>
            </w:r>
            <w:r>
              <w:rPr>
                <w:lang w:eastAsia="en-US"/>
              </w:rPr>
              <w:t xml:space="preserve">to die from taking the voluntary assisted dying </w:t>
            </w:r>
            <w:r w:rsidR="001E6BD3">
              <w:rPr>
                <w:lang w:eastAsia="en-US"/>
              </w:rPr>
              <w:t>substance</w:t>
            </w:r>
            <w:r w:rsidRPr="009A06F5">
              <w:rPr>
                <w:lang w:eastAsia="en-US"/>
              </w:rPr>
              <w:t>, those who were with them when they died</w:t>
            </w:r>
            <w:r>
              <w:rPr>
                <w:lang w:eastAsia="en-US"/>
              </w:rPr>
              <w:t xml:space="preserve">, and trained medical practitioners involved in voluntary assisted dying cases. </w:t>
            </w:r>
            <w:r w:rsidRPr="009A06F5">
              <w:rPr>
                <w:lang w:eastAsia="en-US"/>
              </w:rPr>
              <w:t xml:space="preserve">These quotes have been de-identified to protect the privacy of individuals. This content may be upsetting to some. </w:t>
            </w:r>
            <w:r>
              <w:rPr>
                <w:lang w:eastAsia="en-US"/>
              </w:rPr>
              <w:t xml:space="preserve">Contact details for support organisations can be found on </w:t>
            </w:r>
            <w:r w:rsidRPr="008C7206">
              <w:rPr>
                <w:lang w:eastAsia="en-US"/>
              </w:rPr>
              <w:t xml:space="preserve">page </w:t>
            </w:r>
            <w:r w:rsidR="008C7206" w:rsidRPr="008C7206">
              <w:rPr>
                <w:lang w:eastAsia="en-US"/>
              </w:rPr>
              <w:t>3</w:t>
            </w:r>
            <w:r w:rsidR="00FF53C5">
              <w:rPr>
                <w:lang w:eastAsia="en-US"/>
              </w:rPr>
              <w:t>2</w:t>
            </w:r>
            <w:r w:rsidRPr="008C7206">
              <w:rPr>
                <w:lang w:eastAsia="en-US"/>
              </w:rPr>
              <w:t>.</w:t>
            </w:r>
          </w:p>
          <w:p w14:paraId="0EB24399" w14:textId="77777777" w:rsidR="00D832D4" w:rsidRDefault="00D832D4" w:rsidP="00D832D4">
            <w:pPr>
              <w:pStyle w:val="SCVbody"/>
              <w:rPr>
                <w:lang w:eastAsia="en-US"/>
              </w:rPr>
            </w:pPr>
            <w:r>
              <w:rPr>
                <w:lang w:eastAsia="en-US"/>
              </w:rPr>
              <w:t>By law, the Board is</w:t>
            </w:r>
            <w:r w:rsidRPr="009A06F5">
              <w:rPr>
                <w:lang w:eastAsia="en-US"/>
              </w:rPr>
              <w:t xml:space="preserve"> required to report </w:t>
            </w:r>
            <w:r w:rsidRPr="00A61F97">
              <w:rPr>
                <w:lang w:eastAsia="en-US"/>
              </w:rPr>
              <w:t xml:space="preserve">at the end of each </w:t>
            </w:r>
            <w:bookmarkStart w:id="0" w:name="_Int_J3v9V2qN"/>
            <w:r w:rsidRPr="00A61F97">
              <w:rPr>
                <w:lang w:eastAsia="en-US"/>
              </w:rPr>
              <w:t>financial year</w:t>
            </w:r>
            <w:bookmarkEnd w:id="0"/>
            <w:r w:rsidRPr="00A61F97">
              <w:rPr>
                <w:lang w:eastAsia="en-US"/>
              </w:rPr>
              <w:t>. The next report will be submitted by the end of September 2023 and will cover the reporting period 1 July 2022 to 30 June 2023.</w:t>
            </w:r>
          </w:p>
          <w:p w14:paraId="67D80B16" w14:textId="77777777" w:rsidR="00D832D4" w:rsidRDefault="00D832D4" w:rsidP="00D832D4">
            <w:pPr>
              <w:pStyle w:val="Heading2"/>
              <w:outlineLvl w:val="1"/>
              <w:rPr>
                <w:b/>
                <w:lang w:eastAsia="en-US"/>
              </w:rPr>
            </w:pPr>
            <w:r w:rsidRPr="009A06F5">
              <w:rPr>
                <w:rStyle w:val="Heading4Char"/>
              </w:rPr>
              <w:t>More information</w:t>
            </w:r>
          </w:p>
          <w:p w14:paraId="662E4845" w14:textId="77777777" w:rsidR="00D832D4" w:rsidRDefault="00EC2006" w:rsidP="00D832D4">
            <w:pPr>
              <w:spacing w:line="280" w:lineRule="atLeast"/>
              <w:rPr>
                <w:rFonts w:asciiTheme="majorHAnsi" w:eastAsiaTheme="majorEastAsia" w:hAnsiTheme="majorHAnsi" w:cstheme="majorBidi"/>
                <w:color w:val="0063A5" w:themeColor="text2"/>
                <w:sz w:val="44"/>
                <w:szCs w:val="44"/>
              </w:rPr>
            </w:pPr>
            <w:hyperlink r:id="rId19" w:history="1">
              <w:r w:rsidR="00D832D4" w:rsidRPr="00203FD8">
                <w:rPr>
                  <w:rStyle w:val="Hyperlink"/>
                  <w:lang w:eastAsia="en-US"/>
                </w:rPr>
                <w:t>www.safercare.vic.gov.au/about/vadrb</w:t>
              </w:r>
            </w:hyperlink>
            <w:r w:rsidR="00D832D4">
              <w:rPr>
                <w:lang w:eastAsia="en-US"/>
              </w:rPr>
              <w:t xml:space="preserve"> </w:t>
            </w:r>
            <w:r w:rsidR="00D832D4">
              <w:br w:type="page"/>
            </w:r>
          </w:p>
          <w:p w14:paraId="0E07808A" w14:textId="685DB39C" w:rsidR="00B556E1" w:rsidRPr="00BE60CF" w:rsidRDefault="00A61F97" w:rsidP="00F16C4F">
            <w:pPr>
              <w:pStyle w:val="SCVbody"/>
              <w:rPr>
                <w:lang w:eastAsia="en-US"/>
              </w:rPr>
            </w:pPr>
            <w:r>
              <w:rPr>
                <w:lang w:eastAsia="en-US"/>
              </w:rPr>
              <w:t xml:space="preserve"> </w:t>
            </w:r>
          </w:p>
        </w:tc>
      </w:tr>
      <w:tr w:rsidR="00C539DC" w:rsidRPr="00BE60CF" w14:paraId="6602CF1E" w14:textId="77777777" w:rsidTr="00E22DEF">
        <w:trPr>
          <w:cantSplit/>
          <w:trHeight w:val="3969"/>
        </w:trPr>
        <w:tc>
          <w:tcPr>
            <w:tcW w:w="9070" w:type="dxa"/>
          </w:tcPr>
          <w:p w14:paraId="78AEE819" w14:textId="3CB71D85" w:rsidR="00C539DC" w:rsidRPr="00BE60CF" w:rsidRDefault="00C539DC" w:rsidP="00A45CB0">
            <w:pPr>
              <w:pStyle w:val="SCVaccessibilitypara"/>
            </w:pPr>
            <w:r w:rsidRPr="00BE60CF">
              <w:t xml:space="preserve">To receive this publication in an accessible format phone </w:t>
            </w:r>
            <w:r w:rsidR="782DDF25" w:rsidRPr="782DDF25">
              <w:rPr>
                <w:color w:val="4A4A4A"/>
                <w:sz w:val="25"/>
                <w:szCs w:val="25"/>
              </w:rPr>
              <w:t>1300 758 551</w:t>
            </w:r>
            <w:r w:rsidRPr="00BE60CF">
              <w:t xml:space="preserve">, </w:t>
            </w:r>
            <w:r w:rsidR="00D662E0" w:rsidRPr="00BE60CF">
              <w:br/>
            </w:r>
            <w:r w:rsidRPr="00BE60CF">
              <w:t xml:space="preserve">using the National Relay Service 13 36 </w:t>
            </w:r>
            <w:r w:rsidRPr="00BE60CF">
              <w:rPr>
                <w:spacing w:val="-2"/>
              </w:rPr>
              <w:t xml:space="preserve">77 if required, or </w:t>
            </w:r>
            <w:hyperlink r:id="rId20" w:history="1">
              <w:r w:rsidRPr="002E4EB3">
                <w:rPr>
                  <w:rStyle w:val="Hyperlink"/>
                  <w:u w:val="none"/>
                </w:rPr>
                <w:t>email Safer Care Victoria</w:t>
              </w:r>
            </w:hyperlink>
            <w:r w:rsidRPr="00BE60CF">
              <w:t xml:space="preserve"> </w:t>
            </w:r>
            <w:r w:rsidR="00D662E0" w:rsidRPr="00BE60CF">
              <w:t>&lt;</w:t>
            </w:r>
            <w:r w:rsidR="00947A0F" w:rsidRPr="00BE60CF">
              <w:t>info@</w:t>
            </w:r>
            <w:hyperlink r:id="rId21" w:history="1">
              <w:r w:rsidRPr="00BE60CF">
                <w:t>safercare.vic</w:t>
              </w:r>
            </w:hyperlink>
            <w:bookmarkStart w:id="1" w:name="_Int_WI6vbDx6"/>
            <w:r w:rsidRPr="00BE60CF">
              <w:t>.gov.au</w:t>
            </w:r>
            <w:bookmarkEnd w:id="1"/>
            <w:r w:rsidR="00D662E0" w:rsidRPr="00BE60CF">
              <w:t>&gt;</w:t>
            </w:r>
          </w:p>
          <w:p w14:paraId="690B063C" w14:textId="77777777" w:rsidR="00C539DC" w:rsidRPr="00BE60CF" w:rsidRDefault="00C539DC" w:rsidP="00B37FF8">
            <w:pPr>
              <w:pStyle w:val="SCVimprint"/>
            </w:pPr>
            <w:r w:rsidRPr="00BE60CF">
              <w:t xml:space="preserve">Authorised and </w:t>
            </w:r>
            <w:r w:rsidRPr="00BE60CF">
              <w:rPr>
                <w:spacing w:val="-2"/>
              </w:rPr>
              <w:t>published by the Victorian</w:t>
            </w:r>
            <w:r w:rsidRPr="00BE60CF">
              <w:t xml:space="preserve"> Government, 1 Treasury Place, Melbourne.</w:t>
            </w:r>
          </w:p>
          <w:p w14:paraId="66FB0F13" w14:textId="67E2B1DC" w:rsidR="00C539DC" w:rsidRPr="00767064" w:rsidRDefault="00C539DC" w:rsidP="00B37FF8">
            <w:pPr>
              <w:pStyle w:val="SCVimprint"/>
            </w:pPr>
            <w:r w:rsidRPr="00BE60CF">
              <w:t xml:space="preserve">© State of Victoria, Australia, Safer </w:t>
            </w:r>
            <w:r w:rsidRPr="00767064">
              <w:t xml:space="preserve">Care Victoria, </w:t>
            </w:r>
            <w:r w:rsidR="00A61F97" w:rsidRPr="00767064">
              <w:t>June 2022</w:t>
            </w:r>
          </w:p>
          <w:p w14:paraId="487E3F97" w14:textId="77777777" w:rsidR="00F16C4F" w:rsidRPr="00767064" w:rsidRDefault="00F16C4F" w:rsidP="00F16C4F">
            <w:pPr>
              <w:pStyle w:val="SCVimprint"/>
            </w:pPr>
            <w:bookmarkStart w:id="2" w:name="_Int_7ZLIrWnC"/>
            <w:r w:rsidRPr="00767064">
              <w:t>ISSN</w:t>
            </w:r>
            <w:bookmarkEnd w:id="2"/>
            <w:r w:rsidRPr="00767064">
              <w:t xml:space="preserve"> 2652-1962 – Print</w:t>
            </w:r>
          </w:p>
          <w:p w14:paraId="2E5A6F14" w14:textId="77777777" w:rsidR="00F16C4F" w:rsidRDefault="00F16C4F" w:rsidP="00F16C4F">
            <w:pPr>
              <w:pStyle w:val="SCVimprint"/>
            </w:pPr>
            <w:r w:rsidRPr="00767064">
              <w:t>ISSN 2652-1970 – Online (pdf/word)</w:t>
            </w:r>
          </w:p>
          <w:p w14:paraId="5E642955" w14:textId="77777777" w:rsidR="00C539DC" w:rsidRPr="00BE60CF" w:rsidRDefault="00C539DC" w:rsidP="00F16C4F">
            <w:pPr>
              <w:pStyle w:val="SCVimprint"/>
            </w:pPr>
            <w:r>
              <w:t xml:space="preserve">Available at the </w:t>
            </w:r>
            <w:hyperlink r:id="rId22">
              <w:r w:rsidRPr="06617538">
                <w:rPr>
                  <w:rStyle w:val="Hyperlink"/>
                  <w:u w:val="none"/>
                </w:rPr>
                <w:t>Safer Care Victoria website</w:t>
              </w:r>
            </w:hyperlink>
            <w:r>
              <w:t xml:space="preserve"> </w:t>
            </w:r>
            <w:r w:rsidR="00D662E0">
              <w:t>&lt;</w:t>
            </w:r>
            <w:r>
              <w:t>https://</w:t>
            </w:r>
            <w:hyperlink r:id="rId23">
              <w:r>
                <w:t>www.safercare.vic</w:t>
              </w:r>
            </w:hyperlink>
            <w:bookmarkStart w:id="3" w:name="_Int_kA4sQzyW"/>
            <w:r>
              <w:t>.gov.au</w:t>
            </w:r>
            <w:bookmarkEnd w:id="3"/>
            <w:r w:rsidR="00D662E0">
              <w:t>&gt;</w:t>
            </w:r>
          </w:p>
          <w:p w14:paraId="43927E44" w14:textId="77777777" w:rsidR="00C539DC" w:rsidRPr="00BE60CF" w:rsidRDefault="00C539DC" w:rsidP="00205C68">
            <w:pPr>
              <w:pStyle w:val="SCVbody"/>
              <w:jc w:val="right"/>
            </w:pPr>
            <w:r w:rsidRPr="00BE60CF">
              <w:rPr>
                <w:noProof/>
              </w:rPr>
              <w:drawing>
                <wp:inline distT="0" distB="0" distL="0" distR="0" wp14:anchorId="0D1DCC6F" wp14:editId="4B387B8A">
                  <wp:extent cx="795600" cy="453600"/>
                  <wp:effectExtent l="0" t="0" r="5080" b="3810"/>
                  <wp:docPr id="16" name="Picture 3"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14D098A1" w14:textId="77777777" w:rsidR="0086277A" w:rsidRPr="00BE60CF" w:rsidRDefault="0086277A" w:rsidP="00A45CB0">
      <w:pPr>
        <w:pStyle w:val="SCVbody"/>
      </w:pPr>
    </w:p>
    <w:p w14:paraId="217C0D17" w14:textId="77777777" w:rsidR="0086277A" w:rsidRPr="00BE60CF" w:rsidRDefault="0086277A" w:rsidP="00A45CB0">
      <w:pPr>
        <w:pStyle w:val="SCVbody"/>
        <w:sectPr w:rsidR="0086277A" w:rsidRPr="00BE60CF" w:rsidSect="00616087">
          <w:headerReference w:type="even" r:id="rId25"/>
          <w:footerReference w:type="even" r:id="rId26"/>
          <w:footerReference w:type="default" r:id="rId27"/>
          <w:headerReference w:type="first" r:id="rId28"/>
          <w:footerReference w:type="first" r:id="rId29"/>
          <w:pgSz w:w="11906" w:h="16838" w:code="9"/>
          <w:pgMar w:top="3402" w:right="851" w:bottom="1361" w:left="851" w:header="851" w:footer="851" w:gutter="0"/>
          <w:pgNumType w:fmt="lowerRoman"/>
          <w:cols w:space="284"/>
          <w:docGrid w:linePitch="360"/>
        </w:sectPr>
      </w:pPr>
    </w:p>
    <w:p w14:paraId="2F0EF277" w14:textId="411F88CF" w:rsidR="00F16C4F" w:rsidRDefault="00F16C4F" w:rsidP="00F16C4F">
      <w:pPr>
        <w:pStyle w:val="Heading1"/>
      </w:pPr>
      <w:r>
        <w:lastRenderedPageBreak/>
        <w:t>Foreword</w:t>
      </w:r>
    </w:p>
    <w:p w14:paraId="09002278" w14:textId="1D2F4937" w:rsidR="00F16C4F" w:rsidRPr="00F16C4F" w:rsidRDefault="00A61F97" w:rsidP="00F16C4F">
      <w:pPr>
        <w:pStyle w:val="SCVbody"/>
        <w:rPr>
          <w:rFonts w:ascii="VIC Medium" w:hAnsi="VIC Medium"/>
        </w:rPr>
        <w:sectPr w:rsidR="00F16C4F" w:rsidRPr="00F16C4F" w:rsidSect="00A27B01">
          <w:headerReference w:type="even" r:id="rId30"/>
          <w:headerReference w:type="default" r:id="rId31"/>
          <w:footerReference w:type="even" r:id="rId32"/>
          <w:footerReference w:type="default" r:id="rId33"/>
          <w:pgSz w:w="11906" w:h="16838" w:code="9"/>
          <w:pgMar w:top="3402" w:right="851" w:bottom="1361" w:left="851" w:header="851" w:footer="851" w:gutter="0"/>
          <w:pgNumType w:start="1"/>
          <w:cols w:space="284"/>
          <w:docGrid w:linePitch="360"/>
        </w:sectPr>
      </w:pPr>
      <w:r w:rsidRPr="00A61F97">
        <w:rPr>
          <w:rFonts w:ascii="VIC Medium" w:hAnsi="VIC Medium"/>
          <w:bCs/>
          <w:color w:val="0063A5" w:themeColor="text2"/>
          <w:sz w:val="20"/>
          <w:szCs w:val="20"/>
        </w:rPr>
        <w:t>This year has been one of change and development for the Voluntary Assisted Dying Review Board as we consolidate the operation of voluntary assisted dying in Victoria. The Board continues to monitor the operation of the voluntary assisted dying system to ensure that a quality service is provided safely for those who wish to choose voluntary assisted dying as a</w:t>
      </w:r>
      <w:r w:rsidR="00E93BB6">
        <w:rPr>
          <w:rFonts w:ascii="VIC Medium" w:hAnsi="VIC Medium"/>
          <w:bCs/>
          <w:color w:val="0063A5" w:themeColor="text2"/>
          <w:sz w:val="20"/>
          <w:szCs w:val="20"/>
        </w:rPr>
        <w:t>n</w:t>
      </w:r>
      <w:r w:rsidRPr="00A61F97">
        <w:rPr>
          <w:rFonts w:ascii="VIC Medium" w:hAnsi="VIC Medium"/>
          <w:bCs/>
          <w:color w:val="0063A5" w:themeColor="text2"/>
          <w:sz w:val="20"/>
          <w:szCs w:val="20"/>
        </w:rPr>
        <w:t xml:space="preserve"> option at the end of their life. It is now able to reflect on the past three years of operation.</w:t>
      </w:r>
    </w:p>
    <w:p w14:paraId="0CD3464A" w14:textId="77777777" w:rsidR="00A61F97" w:rsidRPr="00A61F97" w:rsidRDefault="00A61F97" w:rsidP="00673245">
      <w:pPr>
        <w:pStyle w:val="SCVbody"/>
      </w:pPr>
      <w:r w:rsidRPr="00A61F97">
        <w:t xml:space="preserve">The report covers the period from 1 July 2021 to 30 June 2022 and is the first annual report provided by the Board. The annual report provides the opportunity to reflect on the previous year and provide information around how Victorians are accessing voluntary assisted dying and their experience of doing so. </w:t>
      </w:r>
    </w:p>
    <w:p w14:paraId="456880E8" w14:textId="2176B00C" w:rsidR="00A61F97" w:rsidRDefault="00A61F97" w:rsidP="00673245">
      <w:pPr>
        <w:pStyle w:val="SCVbody"/>
      </w:pPr>
      <w:r>
        <w:t>We</w:t>
      </w:r>
      <w:r w:rsidRPr="00A61F97">
        <w:t xml:space="preserve"> are fortunate to be able to hear directly from applicants who seek to access voluntary assisted dying, alongside their family and support networks, and from medical practitioners who support the application process. This feedback is invaluable </w:t>
      </w:r>
      <w:r>
        <w:t xml:space="preserve">in </w:t>
      </w:r>
      <w:r w:rsidRPr="00A61F97">
        <w:t xml:space="preserve">understanding how voluntary assisted dying is working in Victoria. We thank everyone who has provided their feedback throughout the year. </w:t>
      </w:r>
    </w:p>
    <w:p w14:paraId="72948669" w14:textId="77777777" w:rsidR="00A61F97" w:rsidRDefault="00A61F97" w:rsidP="00673245">
      <w:pPr>
        <w:pStyle w:val="Heading2"/>
      </w:pPr>
      <w:r w:rsidRPr="00A61F97">
        <w:t>Focus on quality and safety</w:t>
      </w:r>
    </w:p>
    <w:p w14:paraId="1ECE3723" w14:textId="7E88F0DD" w:rsidR="00A61F97" w:rsidRDefault="00A61F97" w:rsidP="00673245">
      <w:pPr>
        <w:pStyle w:val="SCVbody"/>
      </w:pPr>
      <w:r>
        <w:t>The most significant matter to report is that voluntary assisted dying in Victoria continues to operate safely and lawfully. The numerous safeguards in the Act and the integrity of those involved have ensured that those risks that were raised in debates about the Act have been safely avoided.</w:t>
      </w:r>
    </w:p>
    <w:p w14:paraId="4698E94D" w14:textId="116F482F" w:rsidR="00A61F97" w:rsidRDefault="00A61F97" w:rsidP="00673245">
      <w:pPr>
        <w:pStyle w:val="SCVbody"/>
      </w:pPr>
      <w:r>
        <w:t xml:space="preserve">The Board reviews cases of voluntary assisted dying in Victoria to monitor compliance with the Act. The feedback and information provided to the Board also contribute to improving the quality and safety of the operations of the Act across Victoria. Over this reporting period, four cases were identified as technically non-compliant with the legislation. In reviewing the details of these cases, the Board </w:t>
      </w:r>
      <w:r>
        <w:t>considered that the assessments were clinically appropriate and is confident the Act continues to operate in a safe manner.</w:t>
      </w:r>
    </w:p>
    <w:p w14:paraId="4C667F98" w14:textId="52A8FBED" w:rsidR="00A61F97" w:rsidRDefault="00A61F97" w:rsidP="00673245">
      <w:pPr>
        <w:pStyle w:val="Heading2"/>
      </w:pPr>
      <w:r w:rsidRPr="00A61F97">
        <w:t>Compassion and the relief of suffering</w:t>
      </w:r>
    </w:p>
    <w:p w14:paraId="4D19C8A4" w14:textId="63B166DB" w:rsidR="00A61F97" w:rsidRPr="00A61F97" w:rsidRDefault="00A61F97" w:rsidP="00673245">
      <w:pPr>
        <w:pStyle w:val="SCVbody"/>
      </w:pPr>
      <w:r w:rsidRPr="00A61F97">
        <w:t xml:space="preserve">The number of people seeking to access voluntary assisted dying continues to increase. This is a further indicator of the success of the system. The total </w:t>
      </w:r>
      <w:r w:rsidR="00DA43BA">
        <w:t>number of</w:t>
      </w:r>
      <w:r w:rsidRPr="00A61F97">
        <w:t xml:space="preserve"> </w:t>
      </w:r>
      <w:r w:rsidR="00973928">
        <w:t>applications</w:t>
      </w:r>
      <w:r w:rsidRPr="00A61F97">
        <w:t xml:space="preserve"> assessed by two </w:t>
      </w:r>
      <w:r>
        <w:t>qualified</w:t>
      </w:r>
      <w:r w:rsidRPr="00A61F97">
        <w:t xml:space="preserve"> and independent medical prac</w:t>
      </w:r>
      <w:r w:rsidR="00A30E5D">
        <w:t>tit</w:t>
      </w:r>
      <w:r w:rsidRPr="00A61F97">
        <w:t>ioners as eligible under the strict criteria rose by 22</w:t>
      </w:r>
      <w:r w:rsidR="006376B2">
        <w:t xml:space="preserve"> per cent</w:t>
      </w:r>
      <w:r w:rsidRPr="00A61F97">
        <w:t xml:space="preserve"> on the previous year. The number of deaths from administration of the </w:t>
      </w:r>
      <w:r w:rsidR="005829B2">
        <w:t>substance</w:t>
      </w:r>
      <w:r w:rsidR="005829B2" w:rsidRPr="00A61F97">
        <w:t xml:space="preserve"> </w:t>
      </w:r>
      <w:r w:rsidRPr="00A61F97">
        <w:t>rose by 29</w:t>
      </w:r>
      <w:r w:rsidR="006376B2">
        <w:t xml:space="preserve"> per cent</w:t>
      </w:r>
      <w:r w:rsidRPr="00A61F97">
        <w:t xml:space="preserve">. This </w:t>
      </w:r>
      <w:r w:rsidR="00B77E98">
        <w:t>represents</w:t>
      </w:r>
      <w:r w:rsidR="00B77E98" w:rsidRPr="00A61F97">
        <w:t xml:space="preserve"> </w:t>
      </w:r>
      <w:r w:rsidRPr="00A61F97">
        <w:t>0.</w:t>
      </w:r>
      <w:r w:rsidR="005C10AB">
        <w:t xml:space="preserve">58 </w:t>
      </w:r>
      <w:r w:rsidR="006376B2">
        <w:t>per cent</w:t>
      </w:r>
      <w:r w:rsidRPr="00A61F97">
        <w:t xml:space="preserve"> of deaths in Victoria. </w:t>
      </w:r>
    </w:p>
    <w:p w14:paraId="13EF32F8" w14:textId="6FA330B1" w:rsidR="00A61F97" w:rsidRDefault="00A61F97" w:rsidP="00673245">
      <w:pPr>
        <w:pStyle w:val="SCVbody"/>
      </w:pPr>
      <w:r>
        <w:t xml:space="preserve">These figures alone are not the measure of success </w:t>
      </w:r>
      <w:r w:rsidR="003117AA">
        <w:t xml:space="preserve">of the operation of the Act </w:t>
      </w:r>
      <w:r>
        <w:t xml:space="preserve">in providing relief from suffering. Feedback from applicants, families, loved ones and others involved shows the benefits accrue to a far wider group. They include those who obtain comfort from the knowledge that they have an option for </w:t>
      </w:r>
      <w:bookmarkStart w:id="4" w:name="_Int_c9wYqGVK"/>
      <w:r>
        <w:t>end of life</w:t>
      </w:r>
      <w:bookmarkEnd w:id="4"/>
      <w:r>
        <w:t xml:space="preserve"> treatment; or that they have the </w:t>
      </w:r>
      <w:r w:rsidR="005829B2">
        <w:t xml:space="preserve">substance </w:t>
      </w:r>
      <w:r>
        <w:t xml:space="preserve">but may not use it; and for families and loved ones who witness the person’s wishes </w:t>
      </w:r>
      <w:r w:rsidR="002629AE">
        <w:t>fulfilled</w:t>
      </w:r>
      <w:r>
        <w:t xml:space="preserve"> and autonomy respected.</w:t>
      </w:r>
    </w:p>
    <w:p w14:paraId="090049F8" w14:textId="69609181" w:rsidR="00A61F97" w:rsidRDefault="00A61F97" w:rsidP="00673245">
      <w:pPr>
        <w:pStyle w:val="Heading2"/>
      </w:pPr>
      <w:r w:rsidRPr="00A61F97">
        <w:t>Impact of coronavirus (Covid-19)</w:t>
      </w:r>
    </w:p>
    <w:p w14:paraId="078C1E6C" w14:textId="0535E824" w:rsidR="00A61F97" w:rsidRDefault="00A61F97" w:rsidP="00673245">
      <w:pPr>
        <w:pStyle w:val="SCVbody"/>
      </w:pPr>
      <w:r w:rsidRPr="00A61F97">
        <w:t>Covid-19 has continued to impact the lives of Victorians over the past year. We acknowledge the ongoing level of service and care provided by medical practitioners to those seeking to access voluntary assisted dying.</w:t>
      </w:r>
    </w:p>
    <w:p w14:paraId="72B9A3E9" w14:textId="25DCF204" w:rsidR="00A61F97" w:rsidRPr="00673245" w:rsidRDefault="00931672" w:rsidP="00673245">
      <w:pPr>
        <w:pStyle w:val="SCVbody"/>
      </w:pPr>
      <w:r>
        <w:lastRenderedPageBreak/>
        <w:t xml:space="preserve">There is insufficient evidence to understand the exact impact </w:t>
      </w:r>
      <w:r w:rsidR="005C1F05">
        <w:t xml:space="preserve">that </w:t>
      </w:r>
      <w:r>
        <w:t>Covid</w:t>
      </w:r>
      <w:r w:rsidR="005C1F05">
        <w:t>-19 has had on access.</w:t>
      </w:r>
      <w:r w:rsidR="00A61F97">
        <w:t xml:space="preserve"> The requirement to isolate did impact staff </w:t>
      </w:r>
      <w:r w:rsidR="00AA4EFD">
        <w:t>across the health system including those supporting the voluntary assisted dying program</w:t>
      </w:r>
      <w:r w:rsidR="00A61F97">
        <w:t xml:space="preserve">. This led to </w:t>
      </w:r>
      <w:r w:rsidR="00AA4EFD">
        <w:t xml:space="preserve">some isolated </w:t>
      </w:r>
      <w:r w:rsidR="00A61F97">
        <w:t>delays in delivering the voluntary assisted dying substance at the start of 2022.</w:t>
      </w:r>
      <w:r w:rsidR="0040446D">
        <w:t xml:space="preserve"> </w:t>
      </w:r>
      <w:r w:rsidR="00641B57">
        <w:t xml:space="preserve">This was temporary and resolved </w:t>
      </w:r>
      <w:r w:rsidR="00AA4EFD">
        <w:t xml:space="preserve">by the Statewide Pharmacy Service </w:t>
      </w:r>
      <w:r w:rsidR="00CD602D">
        <w:t xml:space="preserve">quickly </w:t>
      </w:r>
      <w:r w:rsidR="00AA4EFD">
        <w:t xml:space="preserve">with flexible rostering. </w:t>
      </w:r>
    </w:p>
    <w:p w14:paraId="684B24A3" w14:textId="77777777" w:rsidR="00A61F97" w:rsidRDefault="00A61F97" w:rsidP="00673245">
      <w:pPr>
        <w:pStyle w:val="Heading2"/>
      </w:pPr>
      <w:r w:rsidRPr="00A61F97">
        <w:t>The Voluntary Assisted Dying Portal</w:t>
      </w:r>
    </w:p>
    <w:p w14:paraId="3B2B4B9A" w14:textId="1BB5B6B7" w:rsidR="00A61F97" w:rsidRDefault="00A61F97" w:rsidP="00673245">
      <w:pPr>
        <w:pStyle w:val="SCVbody"/>
      </w:pPr>
      <w:r w:rsidRPr="00A61F97">
        <w:t xml:space="preserve">The Voluntary Assisted Dying Portal provides a secure online system </w:t>
      </w:r>
      <w:r w:rsidR="00C301C5">
        <w:t>for</w:t>
      </w:r>
      <w:r w:rsidRPr="00A61F97">
        <w:t xml:space="preserve"> medical practitioners </w:t>
      </w:r>
      <w:r w:rsidR="00C301C5">
        <w:t xml:space="preserve">to </w:t>
      </w:r>
      <w:r w:rsidRPr="00A61F97">
        <w:t>lodge the forms required under the Act. This year a significant upgrade took place</w:t>
      </w:r>
      <w:r w:rsidR="0057283B">
        <w:t>,</w:t>
      </w:r>
      <w:r w:rsidRPr="00A61F97">
        <w:t xml:space="preserve"> which has resulted in a streamlined administrative process for </w:t>
      </w:r>
      <w:r w:rsidR="00BD0690">
        <w:t xml:space="preserve">the </w:t>
      </w:r>
      <w:r w:rsidRPr="00A61F97">
        <w:t>submission of voluntary assisted dying applications. This project involved significant stakeholder input and the Board would like to thank all those who provided feedback about their experience over the past year.</w:t>
      </w:r>
    </w:p>
    <w:p w14:paraId="6027CE10" w14:textId="4F68DF60" w:rsidR="00A61F97" w:rsidRDefault="00A61F97" w:rsidP="00673245">
      <w:pPr>
        <w:pStyle w:val="Heading2"/>
      </w:pPr>
      <w:r w:rsidRPr="00A61F97">
        <w:t>Research strategy</w:t>
      </w:r>
    </w:p>
    <w:p w14:paraId="054E3E85" w14:textId="3E14FD3F" w:rsidR="00A61F97" w:rsidRDefault="00A61F97" w:rsidP="00673245">
      <w:pPr>
        <w:pStyle w:val="SCVbody"/>
      </w:pPr>
      <w:r w:rsidRPr="00A61F97">
        <w:t>The Research Working Group has progressed the research and data strategy. We look forward to facilitating research opportunities in the coming year as the volume of data increases providing better privacy protection to those involved, and a greater depth of analysis.</w:t>
      </w:r>
    </w:p>
    <w:p w14:paraId="70386E61" w14:textId="77777777" w:rsidR="00A61F97" w:rsidRPr="00A61F97" w:rsidRDefault="00A61F97" w:rsidP="00602EA7">
      <w:pPr>
        <w:pStyle w:val="Heading2"/>
      </w:pPr>
      <w:r w:rsidRPr="00A61F97">
        <w:t>More access for Australians</w:t>
      </w:r>
    </w:p>
    <w:p w14:paraId="77D9B0F9" w14:textId="0804D5BF" w:rsidR="00A61F97" w:rsidRDefault="00A61F97" w:rsidP="00A61F97">
      <w:pPr>
        <w:pStyle w:val="SCVbody"/>
      </w:pPr>
      <w:r>
        <w:t xml:space="preserve">The past year has seen the implementation of voluntary assisted dying legislation in Western Australia. It was also implemented in New Zealand. Furthermore, Tasmania, Queensland, South Australia, and New South Wales have now passed voluntary assisted dying into law. We have welcomed the opportunity to work with these jurisdictions and share our experience as they embark on </w:t>
      </w:r>
      <w:r w:rsidR="0040446D">
        <w:t xml:space="preserve">their </w:t>
      </w:r>
      <w:r>
        <w:t xml:space="preserve">implementation. We look forward to future sharing </w:t>
      </w:r>
      <w:r>
        <w:t>and collaboration as these programs are established so that Australians have greater choice in end-of-life care across the nation.</w:t>
      </w:r>
    </w:p>
    <w:p w14:paraId="2F4F301D" w14:textId="77777777" w:rsidR="00A61F97" w:rsidRPr="00A61F97" w:rsidRDefault="00A61F97" w:rsidP="00673245">
      <w:pPr>
        <w:pStyle w:val="Heading2"/>
      </w:pPr>
      <w:r w:rsidRPr="00A61F97">
        <w:t>Commonwealth Criminal Code</w:t>
      </w:r>
    </w:p>
    <w:p w14:paraId="0542B49E" w14:textId="75B1FC54" w:rsidR="00A61F97" w:rsidRPr="00673245" w:rsidRDefault="00CD602D" w:rsidP="00673245">
      <w:pPr>
        <w:pStyle w:val="SCVbody"/>
      </w:pPr>
      <w:r>
        <w:t>A</w:t>
      </w:r>
      <w:r w:rsidR="006307EE">
        <w:t>s</w:t>
      </w:r>
      <w:r>
        <w:t xml:space="preserve"> access to voluntary assisted dying becomes more widespread in Australia</w:t>
      </w:r>
      <w:r w:rsidR="00A61F97">
        <w:t>, the Board will continue to advocate for a change in the Commonwealth Criminal Code</w:t>
      </w:r>
      <w:r w:rsidR="009C38E7">
        <w:t>, which currently</w:t>
      </w:r>
      <w:r w:rsidR="00A61F97">
        <w:t xml:space="preserve"> impedes the use of telehealth in relation to voluntary assisted dying. The law as it exists creates barriers to access to care and, in some cases, imposes unreasonable travel demands on people suffering from life-ending medical conditions. A change to the law will </w:t>
      </w:r>
      <w:r>
        <w:t xml:space="preserve">enhance </w:t>
      </w:r>
      <w:r w:rsidR="00A61F97">
        <w:t>access for all Victorians, regardless of their location or mobility.</w:t>
      </w:r>
    </w:p>
    <w:p w14:paraId="77E6EE65" w14:textId="77777777" w:rsidR="00A61F97" w:rsidRPr="00A61F97" w:rsidRDefault="00A61F97" w:rsidP="00673245">
      <w:pPr>
        <w:pStyle w:val="Heading2"/>
      </w:pPr>
      <w:r w:rsidRPr="00A61F97">
        <w:t>Review of the operation of the Act</w:t>
      </w:r>
    </w:p>
    <w:p w14:paraId="715487BC" w14:textId="51AF9A81" w:rsidR="00A61F97" w:rsidRPr="00673245" w:rsidRDefault="00A61F97" w:rsidP="00673245">
      <w:pPr>
        <w:pStyle w:val="SCVbody"/>
      </w:pPr>
      <w:r w:rsidRPr="00673245">
        <w:t xml:space="preserve">The Act requires the Minister </w:t>
      </w:r>
      <w:r w:rsidR="00CD602D">
        <w:t xml:space="preserve">for Health </w:t>
      </w:r>
      <w:r w:rsidRPr="00673245">
        <w:t xml:space="preserve">to </w:t>
      </w:r>
      <w:r w:rsidR="00CD602D">
        <w:t xml:space="preserve">cause </w:t>
      </w:r>
      <w:r w:rsidRPr="00673245">
        <w:t xml:space="preserve">a review of the operation of the </w:t>
      </w:r>
      <w:r w:rsidR="00CD602D">
        <w:t xml:space="preserve">first four years of the </w:t>
      </w:r>
      <w:r w:rsidRPr="00837505">
        <w:rPr>
          <w:i/>
          <w:iCs/>
        </w:rPr>
        <w:t>Voluntary Assisted Dying Act</w:t>
      </w:r>
      <w:r w:rsidR="00837505" w:rsidRPr="00837505">
        <w:rPr>
          <w:i/>
          <w:iCs/>
        </w:rPr>
        <w:t xml:space="preserve"> 2017</w:t>
      </w:r>
      <w:r w:rsidRPr="00673245">
        <w:t xml:space="preserve"> in Victoria in its fifth year of operation. The Board continuously reviews feedback provided by appointed contact people, medical practitioners and interested stakeholders. Some themes are emerging from this feedback</w:t>
      </w:r>
      <w:r w:rsidR="009072F1">
        <w:t>,</w:t>
      </w:r>
      <w:r w:rsidRPr="00673245">
        <w:t xml:space="preserve"> which have been presented in this report. It is important to acknowledge the themes presented in this report do not reflect the views of the Board per se, however </w:t>
      </w:r>
      <w:r w:rsidR="006F64ED">
        <w:t xml:space="preserve">they </w:t>
      </w:r>
      <w:r w:rsidRPr="00673245">
        <w:t xml:space="preserve">represent important reflections that merit consideration as part of this review process. Further opportunities to engage in this review will be available once underway. </w:t>
      </w:r>
    </w:p>
    <w:p w14:paraId="4528ADFD" w14:textId="5738F3CA" w:rsidR="00A61F97" w:rsidRPr="00673245" w:rsidRDefault="00A61F97" w:rsidP="00673245">
      <w:pPr>
        <w:pStyle w:val="SCVbody"/>
      </w:pPr>
      <w:r w:rsidRPr="00673245">
        <w:t>We are confident the risks identified through the initial public debate on the legislation have not eventuated, and the system overall continues to operate safely.</w:t>
      </w:r>
    </w:p>
    <w:p w14:paraId="18D8C7EC" w14:textId="77777777" w:rsidR="00673245" w:rsidRPr="00673245" w:rsidRDefault="00673245" w:rsidP="00673245">
      <w:pPr>
        <w:pStyle w:val="Heading2"/>
      </w:pPr>
      <w:r w:rsidRPr="00673245">
        <w:lastRenderedPageBreak/>
        <w:t>Appointment as Chairperson</w:t>
      </w:r>
    </w:p>
    <w:p w14:paraId="4F7A6414" w14:textId="32A30C50" w:rsidR="00673245" w:rsidRDefault="00673245" w:rsidP="00673245">
      <w:pPr>
        <w:pStyle w:val="SCVbody"/>
      </w:pPr>
      <w:r>
        <w:t xml:space="preserve">I would like to extend my thanks to Charlie Corke for stewarding the Board as Acting Chair in 2021 before my appointment as Board Chair. </w:t>
      </w:r>
    </w:p>
    <w:p w14:paraId="255E27B6" w14:textId="5564BDC5" w:rsidR="00673245" w:rsidRDefault="00673245" w:rsidP="00673245">
      <w:pPr>
        <w:pStyle w:val="SCVbody"/>
      </w:pPr>
      <w:r>
        <w:t xml:space="preserve">I would also like to extend thanks to Melissa Yang and Danielle Ko (who resigned during the year) for their contribution as Board members over the initial years of the Board’s development. </w:t>
      </w:r>
    </w:p>
    <w:p w14:paraId="28263FCB" w14:textId="73BED612" w:rsidR="00673245" w:rsidRDefault="00673245" w:rsidP="00673245">
      <w:pPr>
        <w:pStyle w:val="SCVbody"/>
      </w:pPr>
      <w:r>
        <w:t xml:space="preserve">Thank you as always to the health practitioners, statewide services, contact persons and family members for the support and care provided to those who wish to access voluntary assisted dying. </w:t>
      </w:r>
    </w:p>
    <w:p w14:paraId="3EED66D2" w14:textId="3723F18B" w:rsidR="00673245" w:rsidRDefault="00673245" w:rsidP="00673245">
      <w:pPr>
        <w:pStyle w:val="SCVbody"/>
      </w:pPr>
      <w:r>
        <w:t xml:space="preserve">I look forward to the coming year as we continue to grow and support the voluntary assisted dying program for Victorians alongside our other Australian </w:t>
      </w:r>
      <w:r w:rsidR="00970695">
        <w:t xml:space="preserve">jurisdictions </w:t>
      </w:r>
      <w:r>
        <w:t>and New Zealand.</w:t>
      </w:r>
    </w:p>
    <w:p w14:paraId="7E1D442B" w14:textId="17D08A33" w:rsidR="00451065" w:rsidRDefault="00451065" w:rsidP="00673245">
      <w:pPr>
        <w:pStyle w:val="SCVbody"/>
        <w:rPr>
          <w:b/>
          <w:bCs/>
        </w:rPr>
      </w:pPr>
    </w:p>
    <w:p w14:paraId="6DAA2A21" w14:textId="365290C8" w:rsidR="00451065" w:rsidRDefault="00EC2006" w:rsidP="00673245">
      <w:pPr>
        <w:pStyle w:val="SCVbody"/>
        <w:rPr>
          <w:b/>
          <w:bCs/>
        </w:rPr>
      </w:pPr>
      <w:r>
        <w:rPr>
          <w:rFonts w:ascii="Times New Roman" w:hAnsi="Times New Roman" w:cs="Times New Roman"/>
          <w:sz w:val="24"/>
          <w:szCs w:val="24"/>
        </w:rPr>
        <w:object w:dxaOrig="1440" w:dyaOrig="1440" w14:anchorId="482C9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Signature of Julian Gardner, Member of the Order of Australia, and Chairperson of the Voluntary Assisted Dying Review Board" style="position:absolute;margin-left:1.7pt;margin-top:.5pt;width:115.9pt;height:45.65pt;z-index:251658242;mso-wrap-edited:f;mso-width-percent:0;mso-height-percent:0;mso-width-percent:0;mso-height-percent:0" wrapcoords="-36 0 -36 21509 21600 21509 21600 0 -36 0">
            <v:imagedata r:id="rId34" o:title=""/>
            <w10:wrap type="through"/>
          </v:shape>
          <o:OLEObject Type="Embed" ProgID="MSPhotoEd.3" ShapeID="_x0000_s2050" DrawAspect="Content" ObjectID="_1724227037" r:id="rId35"/>
        </w:object>
      </w:r>
    </w:p>
    <w:p w14:paraId="1982A386" w14:textId="77777777" w:rsidR="00451065" w:rsidRDefault="00451065" w:rsidP="00673245">
      <w:pPr>
        <w:pStyle w:val="SCVbody"/>
        <w:rPr>
          <w:b/>
          <w:bCs/>
        </w:rPr>
      </w:pPr>
    </w:p>
    <w:p w14:paraId="5FD6D73A" w14:textId="77777777" w:rsidR="00F07AC9" w:rsidRDefault="00F07AC9" w:rsidP="00673245">
      <w:pPr>
        <w:pStyle w:val="SCVbody"/>
        <w:rPr>
          <w:b/>
          <w:bCs/>
        </w:rPr>
      </w:pPr>
    </w:p>
    <w:p w14:paraId="3E7E6E6F" w14:textId="34814F95" w:rsidR="00F16C4F" w:rsidRDefault="00673245" w:rsidP="00673245">
      <w:pPr>
        <w:pStyle w:val="SCVbody"/>
        <w:sectPr w:rsidR="00F16C4F" w:rsidSect="00F16C4F">
          <w:type w:val="continuous"/>
          <w:pgSz w:w="11906" w:h="16838" w:code="9"/>
          <w:pgMar w:top="3402" w:right="851" w:bottom="1361" w:left="851" w:header="851" w:footer="851" w:gutter="0"/>
          <w:pgNumType w:start="1"/>
          <w:cols w:num="2" w:space="284"/>
          <w:docGrid w:linePitch="360"/>
        </w:sectPr>
      </w:pPr>
      <w:r w:rsidRPr="00673245">
        <w:rPr>
          <w:b/>
          <w:bCs/>
        </w:rPr>
        <w:t>Julian Gardner AM</w:t>
      </w:r>
      <w:r w:rsidR="00F16C4F">
        <w:rPr>
          <w:b/>
          <w:bCs/>
        </w:rPr>
        <w:br/>
      </w:r>
      <w:r w:rsidR="00F16C4F">
        <w:t>Chairperson</w:t>
      </w:r>
      <w:r w:rsidR="00F16C4F">
        <w:br/>
        <w:t>Voluntary Assisted Dying Review Board</w:t>
      </w:r>
    </w:p>
    <w:p w14:paraId="135F7E4E" w14:textId="11FFFE7A" w:rsidR="00C50A2B" w:rsidRPr="00BE60CF" w:rsidRDefault="00C50A2B" w:rsidP="00F16C4F">
      <w:pPr>
        <w:pStyle w:val="SCVbodyafterheading"/>
      </w:pPr>
    </w:p>
    <w:p w14:paraId="517D31FA" w14:textId="77777777" w:rsidR="00F16C4F" w:rsidRDefault="00F16C4F" w:rsidP="00F16C4F">
      <w:pPr>
        <w:pStyle w:val="Heading1"/>
        <w:rPr>
          <w:lang w:eastAsia="en-US"/>
        </w:rPr>
      </w:pPr>
      <w:r>
        <w:rPr>
          <w:lang w:eastAsia="en-US"/>
        </w:rPr>
        <w:lastRenderedPageBreak/>
        <w:t>Snapshot</w:t>
      </w:r>
    </w:p>
    <w:p w14:paraId="4AF33423" w14:textId="3F3EB6F3" w:rsidR="00F16C4F" w:rsidRDefault="00F16C4F" w:rsidP="00F16C4F">
      <w:pPr>
        <w:pStyle w:val="SCVtablecaption"/>
        <w:spacing w:before="120"/>
        <w:rPr>
          <w:lang w:eastAsia="en-US"/>
        </w:rPr>
      </w:pPr>
      <w:r>
        <w:rPr>
          <w:lang w:eastAsia="en-US"/>
        </w:rPr>
        <w:t xml:space="preserve">Table 1: </w:t>
      </w:r>
      <w:r w:rsidR="00544B3E" w:rsidRPr="00544B3E">
        <w:rPr>
          <w:lang w:eastAsia="en-US"/>
        </w:rPr>
        <w:t xml:space="preserve">Outcomes of </w:t>
      </w:r>
      <w:r w:rsidR="00DB7961">
        <w:rPr>
          <w:lang w:eastAsia="en-US"/>
        </w:rPr>
        <w:t>each application stage</w:t>
      </w:r>
      <w:r w:rsidR="00544B3E" w:rsidRPr="00544B3E">
        <w:rPr>
          <w:lang w:eastAsia="en-US"/>
        </w:rPr>
        <w:t xml:space="preserve"> for voluntary assisted dying</w:t>
      </w:r>
      <w:r w:rsidR="00DB7961">
        <w:rPr>
          <w:lang w:eastAsia="en-US"/>
        </w:rPr>
        <w:t>*</w:t>
      </w:r>
    </w:p>
    <w:tbl>
      <w:tblPr>
        <w:tblStyle w:val="TableGrid1"/>
        <w:tblW w:w="10211" w:type="dxa"/>
        <w:tblLayout w:type="fixed"/>
        <w:tblLook w:val="0620" w:firstRow="1" w:lastRow="0" w:firstColumn="0" w:lastColumn="0" w:noHBand="1" w:noVBand="1"/>
      </w:tblPr>
      <w:tblGrid>
        <w:gridCol w:w="3120"/>
        <w:gridCol w:w="1419"/>
        <w:gridCol w:w="1418"/>
        <w:gridCol w:w="1418"/>
        <w:gridCol w:w="1418"/>
        <w:gridCol w:w="1418"/>
      </w:tblGrid>
      <w:tr w:rsidR="00544B3E" w:rsidRPr="0068380D" w14:paraId="4B97E04B" w14:textId="77777777" w:rsidTr="00BE434C">
        <w:trPr>
          <w:cnfStyle w:val="100000000000" w:firstRow="1" w:lastRow="0" w:firstColumn="0" w:lastColumn="0" w:oddVBand="0" w:evenVBand="0" w:oddHBand="0" w:evenHBand="0" w:firstRowFirstColumn="0" w:firstRowLastColumn="0" w:lastRowFirstColumn="0" w:lastRowLastColumn="0"/>
          <w:trHeight w:val="300"/>
        </w:trPr>
        <w:tc>
          <w:tcPr>
            <w:tcW w:w="3119" w:type="dxa"/>
            <w:hideMark/>
          </w:tcPr>
          <w:p w14:paraId="39430986" w14:textId="77777777" w:rsidR="00544B3E" w:rsidRPr="0068380D" w:rsidRDefault="00544B3E" w:rsidP="0068380D">
            <w:pPr>
              <w:pStyle w:val="SCVtablecolhead"/>
              <w:rPr>
                <w:rFonts w:asciiTheme="majorHAnsi" w:eastAsia="VIC SemiBold" w:hAnsiTheme="majorHAnsi"/>
              </w:rPr>
            </w:pPr>
            <w:r w:rsidRPr="0068380D">
              <w:rPr>
                <w:rFonts w:asciiTheme="majorHAnsi" w:hAnsiTheme="majorHAnsi"/>
              </w:rPr>
              <w:t>Stage</w:t>
            </w:r>
          </w:p>
        </w:tc>
        <w:tc>
          <w:tcPr>
            <w:tcW w:w="1419" w:type="dxa"/>
            <w:hideMark/>
          </w:tcPr>
          <w:p w14:paraId="5BD11B8A" w14:textId="6BB7C2ED" w:rsidR="00544B3E" w:rsidRPr="0068380D" w:rsidRDefault="00544B3E" w:rsidP="00E50743">
            <w:pPr>
              <w:pStyle w:val="SCVtablecolhead"/>
              <w:jc w:val="center"/>
              <w:rPr>
                <w:rFonts w:asciiTheme="majorHAnsi" w:hAnsiTheme="majorHAnsi"/>
              </w:rPr>
            </w:pPr>
            <w:r w:rsidRPr="0068380D">
              <w:rPr>
                <w:rFonts w:asciiTheme="majorHAnsi" w:hAnsiTheme="majorHAnsi"/>
              </w:rPr>
              <w:t>2019-20*</w:t>
            </w:r>
            <w:r w:rsidR="00DB7961">
              <w:rPr>
                <w:rFonts w:asciiTheme="majorHAnsi" w:hAnsiTheme="majorHAnsi"/>
              </w:rPr>
              <w:t>*</w:t>
            </w:r>
          </w:p>
        </w:tc>
        <w:tc>
          <w:tcPr>
            <w:tcW w:w="1418" w:type="dxa"/>
            <w:hideMark/>
          </w:tcPr>
          <w:p w14:paraId="001A7060" w14:textId="77777777" w:rsidR="00544B3E" w:rsidRPr="0068380D" w:rsidRDefault="00544B3E" w:rsidP="00E50743">
            <w:pPr>
              <w:pStyle w:val="SCVtablecolhead"/>
              <w:jc w:val="center"/>
              <w:rPr>
                <w:rFonts w:asciiTheme="majorHAnsi" w:eastAsia="VIC SemiBold" w:hAnsiTheme="majorHAnsi"/>
              </w:rPr>
            </w:pPr>
            <w:r w:rsidRPr="0068380D">
              <w:rPr>
                <w:rFonts w:asciiTheme="majorHAnsi" w:hAnsiTheme="majorHAnsi"/>
              </w:rPr>
              <w:t>2020-21</w:t>
            </w:r>
          </w:p>
        </w:tc>
        <w:tc>
          <w:tcPr>
            <w:tcW w:w="1418" w:type="dxa"/>
            <w:hideMark/>
          </w:tcPr>
          <w:p w14:paraId="1155D44A" w14:textId="77777777" w:rsidR="00544B3E" w:rsidRPr="0068380D" w:rsidRDefault="00544B3E" w:rsidP="00E50743">
            <w:pPr>
              <w:pStyle w:val="SCVtablecolhead"/>
              <w:jc w:val="center"/>
              <w:rPr>
                <w:rFonts w:asciiTheme="majorHAnsi" w:eastAsia="VIC SemiBold" w:hAnsiTheme="majorHAnsi"/>
              </w:rPr>
            </w:pPr>
            <w:r w:rsidRPr="0068380D">
              <w:rPr>
                <w:rFonts w:asciiTheme="majorHAnsi" w:hAnsiTheme="majorHAnsi"/>
              </w:rPr>
              <w:t>2021-22</w:t>
            </w:r>
          </w:p>
        </w:tc>
        <w:tc>
          <w:tcPr>
            <w:tcW w:w="1418" w:type="dxa"/>
            <w:hideMark/>
          </w:tcPr>
          <w:p w14:paraId="24BDE451" w14:textId="77777777" w:rsidR="00544B3E" w:rsidRPr="0068380D" w:rsidRDefault="00544B3E" w:rsidP="00E50743">
            <w:pPr>
              <w:pStyle w:val="SCVtablecolhead"/>
              <w:jc w:val="center"/>
              <w:rPr>
                <w:rFonts w:asciiTheme="majorHAnsi" w:hAnsiTheme="majorHAnsi"/>
              </w:rPr>
            </w:pPr>
            <w:r w:rsidRPr="0068380D">
              <w:rPr>
                <w:rFonts w:asciiTheme="majorHAnsi" w:hAnsiTheme="majorHAnsi"/>
              </w:rPr>
              <w:t>Total to date #</w:t>
            </w:r>
          </w:p>
        </w:tc>
        <w:tc>
          <w:tcPr>
            <w:tcW w:w="1418" w:type="dxa"/>
            <w:hideMark/>
          </w:tcPr>
          <w:p w14:paraId="23ECB992" w14:textId="77777777" w:rsidR="00544B3E" w:rsidRPr="0068380D" w:rsidRDefault="00544B3E" w:rsidP="00E50743">
            <w:pPr>
              <w:pStyle w:val="SCVtablecolhead"/>
              <w:jc w:val="center"/>
              <w:rPr>
                <w:rFonts w:asciiTheme="majorHAnsi" w:eastAsia="VIC SemiBold" w:hAnsiTheme="majorHAnsi"/>
              </w:rPr>
            </w:pPr>
            <w:r w:rsidRPr="0068380D">
              <w:rPr>
                <w:rFonts w:asciiTheme="majorHAnsi" w:hAnsiTheme="majorHAnsi"/>
              </w:rPr>
              <w:t>Change from previous year</w:t>
            </w:r>
          </w:p>
        </w:tc>
      </w:tr>
      <w:tr w:rsidR="00544B3E" w:rsidRPr="00544B3E" w14:paraId="6D30C9DB" w14:textId="77777777" w:rsidTr="00BE434C">
        <w:trPr>
          <w:trHeight w:val="300"/>
        </w:trPr>
        <w:tc>
          <w:tcPr>
            <w:tcW w:w="3119" w:type="dxa"/>
            <w:hideMark/>
          </w:tcPr>
          <w:p w14:paraId="1C847750" w14:textId="77777777" w:rsidR="00544B3E" w:rsidRPr="00544B3E" w:rsidRDefault="00544B3E" w:rsidP="00544B3E">
            <w:pPr>
              <w:pStyle w:val="SCVtablebody"/>
              <w:rPr>
                <w:rFonts w:ascii="VIC Medium" w:eastAsia="VIC" w:hAnsi="VIC Medium"/>
                <w:bCs/>
              </w:rPr>
            </w:pPr>
            <w:r w:rsidRPr="00544B3E">
              <w:rPr>
                <w:rFonts w:ascii="VIC Medium" w:eastAsia="VIC" w:hAnsi="VIC Medium"/>
                <w:bCs/>
              </w:rPr>
              <w:t>First assessment completed</w:t>
            </w:r>
          </w:p>
        </w:tc>
        <w:tc>
          <w:tcPr>
            <w:tcW w:w="1419" w:type="dxa"/>
            <w:hideMark/>
          </w:tcPr>
          <w:p w14:paraId="20E1F847"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355</w:t>
            </w:r>
          </w:p>
        </w:tc>
        <w:tc>
          <w:tcPr>
            <w:tcW w:w="1418" w:type="dxa"/>
            <w:hideMark/>
          </w:tcPr>
          <w:p w14:paraId="17FE88D2"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489</w:t>
            </w:r>
          </w:p>
        </w:tc>
        <w:tc>
          <w:tcPr>
            <w:tcW w:w="1418" w:type="dxa"/>
            <w:hideMark/>
          </w:tcPr>
          <w:p w14:paraId="1AD3AFA4"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581</w:t>
            </w:r>
          </w:p>
        </w:tc>
        <w:tc>
          <w:tcPr>
            <w:tcW w:w="1418" w:type="dxa"/>
            <w:hideMark/>
          </w:tcPr>
          <w:p w14:paraId="4605E7C4"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1,425</w:t>
            </w:r>
          </w:p>
        </w:tc>
        <w:tc>
          <w:tcPr>
            <w:tcW w:w="1418" w:type="dxa"/>
            <w:hideMark/>
          </w:tcPr>
          <w:p w14:paraId="6B992517"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+19%</w:t>
            </w:r>
          </w:p>
        </w:tc>
      </w:tr>
      <w:tr w:rsidR="00544B3E" w:rsidRPr="00544B3E" w14:paraId="52636802" w14:textId="77777777" w:rsidTr="00BE434C">
        <w:trPr>
          <w:trHeight w:val="300"/>
        </w:trPr>
        <w:tc>
          <w:tcPr>
            <w:tcW w:w="3119" w:type="dxa"/>
            <w:hideMark/>
          </w:tcPr>
          <w:p w14:paraId="03BCC2FC" w14:textId="4EE6C763" w:rsidR="00544B3E" w:rsidRPr="00544B3E" w:rsidRDefault="00544B3E" w:rsidP="00544B3E">
            <w:pPr>
              <w:pStyle w:val="SCVtablebody"/>
              <w:rPr>
                <w:rFonts w:eastAsia="VIC"/>
              </w:rPr>
            </w:pPr>
            <w:r w:rsidRPr="00544B3E">
              <w:rPr>
                <w:rFonts w:eastAsia="VIC"/>
              </w:rPr>
              <w:tab/>
              <w:t>Eligible</w:t>
            </w:r>
          </w:p>
        </w:tc>
        <w:tc>
          <w:tcPr>
            <w:tcW w:w="1419" w:type="dxa"/>
            <w:hideMark/>
          </w:tcPr>
          <w:p w14:paraId="7B90EABA" w14:textId="77777777" w:rsidR="00544B3E" w:rsidRPr="00544B3E" w:rsidRDefault="00544B3E" w:rsidP="00CA1AE6">
            <w:pPr>
              <w:pStyle w:val="SCVtablebody"/>
              <w:jc w:val="center"/>
              <w:rPr>
                <w:rFonts w:eastAsia="VIC"/>
              </w:rPr>
            </w:pPr>
            <w:r w:rsidRPr="00544B3E">
              <w:rPr>
                <w:rFonts w:eastAsia="VIC"/>
              </w:rPr>
              <w:t>348</w:t>
            </w:r>
          </w:p>
        </w:tc>
        <w:tc>
          <w:tcPr>
            <w:tcW w:w="1418" w:type="dxa"/>
            <w:hideMark/>
          </w:tcPr>
          <w:p w14:paraId="0189CFB8" w14:textId="77777777" w:rsidR="00544B3E" w:rsidRPr="00544B3E" w:rsidRDefault="00544B3E" w:rsidP="00CA1AE6">
            <w:pPr>
              <w:pStyle w:val="SCVtablebody"/>
              <w:jc w:val="center"/>
              <w:rPr>
                <w:rFonts w:eastAsia="VIC"/>
              </w:rPr>
            </w:pPr>
            <w:r w:rsidRPr="00544B3E">
              <w:rPr>
                <w:rFonts w:eastAsia="VIC"/>
              </w:rPr>
              <w:t>467</w:t>
            </w:r>
          </w:p>
        </w:tc>
        <w:tc>
          <w:tcPr>
            <w:tcW w:w="1418" w:type="dxa"/>
            <w:hideMark/>
          </w:tcPr>
          <w:p w14:paraId="1EF279EC" w14:textId="77777777" w:rsidR="00544B3E" w:rsidRPr="00544B3E" w:rsidRDefault="00544B3E" w:rsidP="00CA1AE6">
            <w:pPr>
              <w:pStyle w:val="SCVtablebody"/>
              <w:jc w:val="center"/>
              <w:rPr>
                <w:rFonts w:eastAsia="VIC"/>
              </w:rPr>
            </w:pPr>
            <w:r w:rsidRPr="00544B3E">
              <w:rPr>
                <w:rFonts w:eastAsia="VIC"/>
              </w:rPr>
              <w:t>548</w:t>
            </w:r>
          </w:p>
        </w:tc>
        <w:tc>
          <w:tcPr>
            <w:tcW w:w="1418" w:type="dxa"/>
            <w:hideMark/>
          </w:tcPr>
          <w:p w14:paraId="573C0F6D" w14:textId="77777777" w:rsidR="00544B3E" w:rsidRPr="00544B3E" w:rsidRDefault="00544B3E" w:rsidP="00CA1AE6">
            <w:pPr>
              <w:pStyle w:val="SCVtablebody"/>
              <w:jc w:val="center"/>
              <w:rPr>
                <w:rFonts w:eastAsia="VIC"/>
              </w:rPr>
            </w:pPr>
            <w:r w:rsidRPr="00544B3E">
              <w:rPr>
                <w:rFonts w:eastAsia="VIC"/>
              </w:rPr>
              <w:t>1,363</w:t>
            </w:r>
          </w:p>
        </w:tc>
        <w:tc>
          <w:tcPr>
            <w:tcW w:w="1418" w:type="dxa"/>
            <w:hideMark/>
          </w:tcPr>
          <w:p w14:paraId="3628B2E2" w14:textId="77777777" w:rsidR="00544B3E" w:rsidRPr="00544B3E" w:rsidRDefault="00544B3E" w:rsidP="00CA1AE6">
            <w:pPr>
              <w:pStyle w:val="SCVtablebody"/>
              <w:jc w:val="center"/>
              <w:rPr>
                <w:rFonts w:eastAsia="VIC"/>
              </w:rPr>
            </w:pPr>
            <w:r w:rsidRPr="00544B3E">
              <w:rPr>
                <w:rFonts w:eastAsia="VIC"/>
              </w:rPr>
              <w:t>+17%</w:t>
            </w:r>
          </w:p>
        </w:tc>
      </w:tr>
      <w:tr w:rsidR="00544B3E" w:rsidRPr="00544B3E" w14:paraId="18C64BF3" w14:textId="77777777" w:rsidTr="00BE434C">
        <w:trPr>
          <w:trHeight w:val="300"/>
        </w:trPr>
        <w:tc>
          <w:tcPr>
            <w:tcW w:w="3119" w:type="dxa"/>
            <w:hideMark/>
          </w:tcPr>
          <w:p w14:paraId="4A9A01BF" w14:textId="06CC82EA" w:rsidR="00544B3E" w:rsidRPr="00544B3E" w:rsidRDefault="00544B3E" w:rsidP="00544B3E">
            <w:pPr>
              <w:pStyle w:val="SCVtablebody"/>
              <w:rPr>
                <w:rFonts w:eastAsia="VIC"/>
              </w:rPr>
            </w:pPr>
            <w:r w:rsidRPr="00544B3E">
              <w:rPr>
                <w:rFonts w:eastAsia="VIC"/>
              </w:rPr>
              <w:tab/>
              <w:t>Ineligible</w:t>
            </w:r>
          </w:p>
        </w:tc>
        <w:tc>
          <w:tcPr>
            <w:tcW w:w="1419" w:type="dxa"/>
            <w:hideMark/>
          </w:tcPr>
          <w:p w14:paraId="1141E13E" w14:textId="77777777" w:rsidR="00544B3E" w:rsidRPr="00544B3E" w:rsidRDefault="00544B3E" w:rsidP="00CA1AE6">
            <w:pPr>
              <w:pStyle w:val="SCVtablebody"/>
              <w:jc w:val="center"/>
              <w:rPr>
                <w:rFonts w:eastAsia="VIC"/>
              </w:rPr>
            </w:pPr>
            <w:r w:rsidRPr="00544B3E">
              <w:rPr>
                <w:rFonts w:eastAsia="VIC"/>
              </w:rPr>
              <w:t>7</w:t>
            </w:r>
          </w:p>
        </w:tc>
        <w:tc>
          <w:tcPr>
            <w:tcW w:w="1418" w:type="dxa"/>
            <w:hideMark/>
          </w:tcPr>
          <w:p w14:paraId="276ACDBC" w14:textId="77777777" w:rsidR="00544B3E" w:rsidRPr="00544B3E" w:rsidRDefault="00544B3E" w:rsidP="00CA1AE6">
            <w:pPr>
              <w:pStyle w:val="SCVtablebody"/>
              <w:jc w:val="center"/>
              <w:rPr>
                <w:rFonts w:eastAsia="VIC"/>
              </w:rPr>
            </w:pPr>
            <w:r w:rsidRPr="00544B3E">
              <w:rPr>
                <w:rFonts w:eastAsia="VIC"/>
              </w:rPr>
              <w:t>22</w:t>
            </w:r>
          </w:p>
        </w:tc>
        <w:tc>
          <w:tcPr>
            <w:tcW w:w="1418" w:type="dxa"/>
            <w:hideMark/>
          </w:tcPr>
          <w:p w14:paraId="47636057" w14:textId="77777777" w:rsidR="00544B3E" w:rsidRPr="00544B3E" w:rsidRDefault="00544B3E" w:rsidP="00CA1AE6">
            <w:pPr>
              <w:pStyle w:val="SCVtablebody"/>
              <w:jc w:val="center"/>
              <w:rPr>
                <w:rFonts w:eastAsia="VIC"/>
              </w:rPr>
            </w:pPr>
            <w:r w:rsidRPr="00544B3E">
              <w:rPr>
                <w:rFonts w:eastAsia="VIC"/>
              </w:rPr>
              <w:t>33</w:t>
            </w:r>
          </w:p>
        </w:tc>
        <w:tc>
          <w:tcPr>
            <w:tcW w:w="1418" w:type="dxa"/>
            <w:hideMark/>
          </w:tcPr>
          <w:p w14:paraId="4A73C88A" w14:textId="77777777" w:rsidR="00544B3E" w:rsidRPr="00544B3E" w:rsidRDefault="00544B3E" w:rsidP="00CA1AE6">
            <w:pPr>
              <w:pStyle w:val="SCVtablebody"/>
              <w:jc w:val="center"/>
              <w:rPr>
                <w:rFonts w:eastAsia="VIC"/>
              </w:rPr>
            </w:pPr>
            <w:r w:rsidRPr="00544B3E">
              <w:rPr>
                <w:rFonts w:eastAsia="VIC"/>
              </w:rPr>
              <w:t>62</w:t>
            </w:r>
          </w:p>
        </w:tc>
        <w:tc>
          <w:tcPr>
            <w:tcW w:w="1418" w:type="dxa"/>
            <w:hideMark/>
          </w:tcPr>
          <w:p w14:paraId="56E1354A" w14:textId="77777777" w:rsidR="00544B3E" w:rsidRPr="00544B3E" w:rsidRDefault="00544B3E" w:rsidP="00CA1AE6">
            <w:pPr>
              <w:pStyle w:val="SCVtablebody"/>
              <w:jc w:val="center"/>
              <w:rPr>
                <w:rFonts w:eastAsia="VIC"/>
              </w:rPr>
            </w:pPr>
            <w:r w:rsidRPr="00544B3E">
              <w:rPr>
                <w:rFonts w:eastAsia="VIC"/>
              </w:rPr>
              <w:t>+50%</w:t>
            </w:r>
          </w:p>
        </w:tc>
      </w:tr>
      <w:tr w:rsidR="00CA1AE6" w:rsidRPr="00544B3E" w14:paraId="2878C3AB" w14:textId="77777777" w:rsidTr="00BE434C">
        <w:trPr>
          <w:trHeight w:val="300"/>
        </w:trPr>
        <w:tc>
          <w:tcPr>
            <w:tcW w:w="3119" w:type="dxa"/>
            <w:hideMark/>
          </w:tcPr>
          <w:p w14:paraId="0A5C6A9E" w14:textId="77777777" w:rsidR="00544B3E" w:rsidRPr="00544B3E" w:rsidRDefault="00544B3E" w:rsidP="00544B3E">
            <w:pPr>
              <w:pStyle w:val="SCVtablebody"/>
              <w:rPr>
                <w:rFonts w:ascii="VIC Medium" w:eastAsia="VIC" w:hAnsi="VIC Medium"/>
                <w:bCs/>
              </w:rPr>
            </w:pPr>
            <w:r w:rsidRPr="00544B3E">
              <w:rPr>
                <w:rFonts w:ascii="VIC Medium" w:eastAsia="VIC" w:hAnsi="VIC Medium"/>
                <w:bCs/>
              </w:rPr>
              <w:t>Consulting assessment completed</w:t>
            </w:r>
          </w:p>
        </w:tc>
        <w:tc>
          <w:tcPr>
            <w:tcW w:w="1419" w:type="dxa"/>
            <w:hideMark/>
          </w:tcPr>
          <w:p w14:paraId="1672F1DD"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300</w:t>
            </w:r>
          </w:p>
        </w:tc>
        <w:tc>
          <w:tcPr>
            <w:tcW w:w="1418" w:type="dxa"/>
            <w:hideMark/>
          </w:tcPr>
          <w:p w14:paraId="52B5632E"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408</w:t>
            </w:r>
          </w:p>
        </w:tc>
        <w:tc>
          <w:tcPr>
            <w:tcW w:w="1418" w:type="dxa"/>
            <w:hideMark/>
          </w:tcPr>
          <w:p w14:paraId="13AAC8E2"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492</w:t>
            </w:r>
          </w:p>
        </w:tc>
        <w:tc>
          <w:tcPr>
            <w:tcW w:w="1418" w:type="dxa"/>
            <w:hideMark/>
          </w:tcPr>
          <w:p w14:paraId="19E95288"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1,200</w:t>
            </w:r>
          </w:p>
        </w:tc>
        <w:tc>
          <w:tcPr>
            <w:tcW w:w="1418" w:type="dxa"/>
            <w:hideMark/>
          </w:tcPr>
          <w:p w14:paraId="270FE960"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+21%</w:t>
            </w:r>
          </w:p>
        </w:tc>
      </w:tr>
      <w:tr w:rsidR="00763424" w:rsidRPr="00544B3E" w14:paraId="10744C42" w14:textId="77777777" w:rsidTr="00BE434C">
        <w:trPr>
          <w:trHeight w:val="300"/>
        </w:trPr>
        <w:tc>
          <w:tcPr>
            <w:tcW w:w="3119" w:type="dxa"/>
            <w:hideMark/>
          </w:tcPr>
          <w:p w14:paraId="3BF74F03" w14:textId="19BF9D42" w:rsidR="00544B3E" w:rsidRPr="00544B3E" w:rsidRDefault="00544B3E" w:rsidP="00544B3E">
            <w:pPr>
              <w:pStyle w:val="SCVtablebody"/>
              <w:rPr>
                <w:rFonts w:eastAsia="VIC"/>
                <w:b/>
              </w:rPr>
            </w:pPr>
            <w:r w:rsidRPr="00544B3E">
              <w:rPr>
                <w:rFonts w:eastAsia="VIC"/>
              </w:rPr>
              <w:tab/>
              <w:t>Eligible</w:t>
            </w:r>
          </w:p>
        </w:tc>
        <w:tc>
          <w:tcPr>
            <w:tcW w:w="1419" w:type="dxa"/>
            <w:hideMark/>
          </w:tcPr>
          <w:p w14:paraId="199F0267" w14:textId="77777777" w:rsidR="00544B3E" w:rsidRPr="00544B3E" w:rsidRDefault="00544B3E" w:rsidP="00CA1AE6">
            <w:pPr>
              <w:pStyle w:val="SCVtablebody"/>
              <w:jc w:val="center"/>
              <w:rPr>
                <w:rFonts w:eastAsia="VIC"/>
              </w:rPr>
            </w:pPr>
            <w:r w:rsidRPr="00544B3E">
              <w:rPr>
                <w:rFonts w:eastAsia="VIC"/>
              </w:rPr>
              <w:t>296</w:t>
            </w:r>
          </w:p>
        </w:tc>
        <w:tc>
          <w:tcPr>
            <w:tcW w:w="1418" w:type="dxa"/>
            <w:hideMark/>
          </w:tcPr>
          <w:p w14:paraId="042BFADE" w14:textId="77777777" w:rsidR="00544B3E" w:rsidRPr="00544B3E" w:rsidRDefault="00544B3E" w:rsidP="00CA1AE6">
            <w:pPr>
              <w:pStyle w:val="SCVtablebody"/>
              <w:jc w:val="center"/>
              <w:rPr>
                <w:rFonts w:eastAsia="VIC"/>
              </w:rPr>
            </w:pPr>
            <w:r w:rsidRPr="00544B3E">
              <w:rPr>
                <w:rFonts w:eastAsia="VIC"/>
              </w:rPr>
              <w:t>400</w:t>
            </w:r>
          </w:p>
        </w:tc>
        <w:tc>
          <w:tcPr>
            <w:tcW w:w="1418" w:type="dxa"/>
            <w:hideMark/>
          </w:tcPr>
          <w:p w14:paraId="2643DB23" w14:textId="77777777" w:rsidR="00544B3E" w:rsidRPr="00544B3E" w:rsidRDefault="00544B3E" w:rsidP="00CA1AE6">
            <w:pPr>
              <w:pStyle w:val="SCVtablebody"/>
              <w:jc w:val="center"/>
              <w:rPr>
                <w:rFonts w:eastAsia="VIC"/>
              </w:rPr>
            </w:pPr>
            <w:r w:rsidRPr="00544B3E">
              <w:rPr>
                <w:rFonts w:eastAsia="VIC"/>
              </w:rPr>
              <w:t>486</w:t>
            </w:r>
          </w:p>
        </w:tc>
        <w:tc>
          <w:tcPr>
            <w:tcW w:w="1418" w:type="dxa"/>
            <w:hideMark/>
          </w:tcPr>
          <w:p w14:paraId="143A81F1" w14:textId="77777777" w:rsidR="00544B3E" w:rsidRPr="00544B3E" w:rsidRDefault="00544B3E" w:rsidP="00CA1AE6">
            <w:pPr>
              <w:pStyle w:val="SCVtablebody"/>
              <w:jc w:val="center"/>
              <w:rPr>
                <w:rFonts w:eastAsia="VIC"/>
              </w:rPr>
            </w:pPr>
            <w:r w:rsidRPr="00544B3E">
              <w:rPr>
                <w:rFonts w:eastAsia="VIC"/>
              </w:rPr>
              <w:t>1,182</w:t>
            </w:r>
          </w:p>
        </w:tc>
        <w:tc>
          <w:tcPr>
            <w:tcW w:w="1418" w:type="dxa"/>
            <w:hideMark/>
          </w:tcPr>
          <w:p w14:paraId="2397C52E" w14:textId="77777777" w:rsidR="00544B3E" w:rsidRPr="00544B3E" w:rsidRDefault="00544B3E" w:rsidP="00CA1AE6">
            <w:pPr>
              <w:pStyle w:val="SCVtablebody"/>
              <w:jc w:val="center"/>
              <w:rPr>
                <w:rFonts w:eastAsia="VIC"/>
              </w:rPr>
            </w:pPr>
            <w:r w:rsidRPr="00544B3E">
              <w:rPr>
                <w:rFonts w:eastAsia="VIC"/>
              </w:rPr>
              <w:t>+22%</w:t>
            </w:r>
          </w:p>
        </w:tc>
      </w:tr>
      <w:tr w:rsidR="00763424" w:rsidRPr="00544B3E" w14:paraId="0CD57E6F" w14:textId="77777777" w:rsidTr="00BE434C">
        <w:trPr>
          <w:trHeight w:val="300"/>
        </w:trPr>
        <w:tc>
          <w:tcPr>
            <w:tcW w:w="3119" w:type="dxa"/>
            <w:hideMark/>
          </w:tcPr>
          <w:p w14:paraId="589E2B95" w14:textId="1F15486F" w:rsidR="00544B3E" w:rsidRPr="00544B3E" w:rsidRDefault="00544B3E" w:rsidP="00544B3E">
            <w:pPr>
              <w:pStyle w:val="SCVtablebody"/>
              <w:rPr>
                <w:rFonts w:eastAsia="VIC"/>
                <w:b/>
              </w:rPr>
            </w:pPr>
            <w:r w:rsidRPr="00544B3E">
              <w:rPr>
                <w:rFonts w:eastAsia="VIC"/>
              </w:rPr>
              <w:tab/>
              <w:t>Ineligible</w:t>
            </w:r>
          </w:p>
        </w:tc>
        <w:tc>
          <w:tcPr>
            <w:tcW w:w="1419" w:type="dxa"/>
            <w:hideMark/>
          </w:tcPr>
          <w:p w14:paraId="46FAE864" w14:textId="77777777" w:rsidR="00544B3E" w:rsidRPr="00544B3E" w:rsidRDefault="00544B3E" w:rsidP="00CA1AE6">
            <w:pPr>
              <w:pStyle w:val="SCVtablebody"/>
              <w:jc w:val="center"/>
              <w:rPr>
                <w:rFonts w:eastAsia="VIC"/>
              </w:rPr>
            </w:pPr>
            <w:r w:rsidRPr="00544B3E">
              <w:rPr>
                <w:rFonts w:eastAsia="VIC"/>
              </w:rPr>
              <w:t>4</w:t>
            </w:r>
          </w:p>
        </w:tc>
        <w:tc>
          <w:tcPr>
            <w:tcW w:w="1418" w:type="dxa"/>
            <w:hideMark/>
          </w:tcPr>
          <w:p w14:paraId="22B2286F" w14:textId="77777777" w:rsidR="00544B3E" w:rsidRPr="00544B3E" w:rsidRDefault="00544B3E" w:rsidP="00CA1AE6">
            <w:pPr>
              <w:pStyle w:val="SCVtablebody"/>
              <w:jc w:val="center"/>
              <w:rPr>
                <w:rFonts w:eastAsia="VIC"/>
              </w:rPr>
            </w:pPr>
            <w:r w:rsidRPr="00544B3E">
              <w:rPr>
                <w:rFonts w:eastAsia="VIC"/>
              </w:rPr>
              <w:t>8</w:t>
            </w:r>
          </w:p>
        </w:tc>
        <w:tc>
          <w:tcPr>
            <w:tcW w:w="1418" w:type="dxa"/>
            <w:hideMark/>
          </w:tcPr>
          <w:p w14:paraId="27C5F794" w14:textId="77777777" w:rsidR="00544B3E" w:rsidRPr="00544B3E" w:rsidRDefault="00544B3E" w:rsidP="00CA1AE6">
            <w:pPr>
              <w:pStyle w:val="SCVtablebody"/>
              <w:jc w:val="center"/>
              <w:rPr>
                <w:rFonts w:eastAsia="VIC"/>
              </w:rPr>
            </w:pPr>
            <w:r w:rsidRPr="00544B3E">
              <w:rPr>
                <w:rFonts w:eastAsia="VIC"/>
              </w:rPr>
              <w:t>6</w:t>
            </w:r>
          </w:p>
        </w:tc>
        <w:tc>
          <w:tcPr>
            <w:tcW w:w="1418" w:type="dxa"/>
            <w:hideMark/>
          </w:tcPr>
          <w:p w14:paraId="70B7A6A7" w14:textId="77777777" w:rsidR="00544B3E" w:rsidRPr="00544B3E" w:rsidRDefault="00544B3E" w:rsidP="00CA1AE6">
            <w:pPr>
              <w:pStyle w:val="SCVtablebody"/>
              <w:jc w:val="center"/>
              <w:rPr>
                <w:rFonts w:eastAsia="VIC"/>
              </w:rPr>
            </w:pPr>
            <w:r w:rsidRPr="00544B3E">
              <w:rPr>
                <w:rFonts w:eastAsia="VIC"/>
              </w:rPr>
              <w:t>18</w:t>
            </w:r>
          </w:p>
        </w:tc>
        <w:tc>
          <w:tcPr>
            <w:tcW w:w="1418" w:type="dxa"/>
            <w:hideMark/>
          </w:tcPr>
          <w:p w14:paraId="50815638" w14:textId="77777777" w:rsidR="00544B3E" w:rsidRPr="00544B3E" w:rsidRDefault="00544B3E" w:rsidP="00CA1AE6">
            <w:pPr>
              <w:pStyle w:val="SCVtablebody"/>
              <w:jc w:val="center"/>
              <w:rPr>
                <w:rFonts w:eastAsia="VIC"/>
              </w:rPr>
            </w:pPr>
            <w:r w:rsidRPr="00544B3E">
              <w:rPr>
                <w:rFonts w:eastAsia="VIC"/>
              </w:rPr>
              <w:t>-25%</w:t>
            </w:r>
          </w:p>
        </w:tc>
      </w:tr>
      <w:tr w:rsidR="00CA1AE6" w:rsidRPr="00544B3E" w14:paraId="39BCF953" w14:textId="77777777" w:rsidTr="00BE434C">
        <w:trPr>
          <w:trHeight w:val="300"/>
        </w:trPr>
        <w:tc>
          <w:tcPr>
            <w:tcW w:w="3119" w:type="dxa"/>
            <w:hideMark/>
          </w:tcPr>
          <w:p w14:paraId="756024DD" w14:textId="77777777" w:rsidR="00544B3E" w:rsidRPr="00544B3E" w:rsidRDefault="00544B3E" w:rsidP="00544B3E">
            <w:pPr>
              <w:pStyle w:val="SCVtablebody"/>
              <w:rPr>
                <w:rFonts w:ascii="VIC Medium" w:eastAsia="VIC" w:hAnsi="VIC Medium"/>
                <w:bCs/>
              </w:rPr>
            </w:pPr>
            <w:r w:rsidRPr="00544B3E">
              <w:rPr>
                <w:rFonts w:ascii="VIC Medium" w:eastAsia="VIC" w:hAnsi="VIC Medium"/>
                <w:bCs/>
              </w:rPr>
              <w:t>Self-administration permit processed</w:t>
            </w:r>
          </w:p>
        </w:tc>
        <w:tc>
          <w:tcPr>
            <w:tcW w:w="1419" w:type="dxa"/>
            <w:hideMark/>
          </w:tcPr>
          <w:p w14:paraId="04732980"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236</w:t>
            </w:r>
          </w:p>
        </w:tc>
        <w:tc>
          <w:tcPr>
            <w:tcW w:w="1418" w:type="dxa"/>
            <w:hideMark/>
          </w:tcPr>
          <w:p w14:paraId="510BC6AD"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349</w:t>
            </w:r>
          </w:p>
        </w:tc>
        <w:tc>
          <w:tcPr>
            <w:tcW w:w="1418" w:type="dxa"/>
            <w:hideMark/>
          </w:tcPr>
          <w:p w14:paraId="4BD1B702"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384</w:t>
            </w:r>
          </w:p>
        </w:tc>
        <w:tc>
          <w:tcPr>
            <w:tcW w:w="1418" w:type="dxa"/>
            <w:hideMark/>
          </w:tcPr>
          <w:p w14:paraId="4766B19A"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969</w:t>
            </w:r>
          </w:p>
        </w:tc>
        <w:tc>
          <w:tcPr>
            <w:tcW w:w="1418" w:type="dxa"/>
            <w:hideMark/>
          </w:tcPr>
          <w:p w14:paraId="49B82DAC"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+10%</w:t>
            </w:r>
          </w:p>
        </w:tc>
      </w:tr>
      <w:tr w:rsidR="00763424" w:rsidRPr="00544B3E" w14:paraId="4A27A81B" w14:textId="77777777" w:rsidTr="00BE434C">
        <w:trPr>
          <w:trHeight w:val="300"/>
        </w:trPr>
        <w:tc>
          <w:tcPr>
            <w:tcW w:w="3119" w:type="dxa"/>
            <w:hideMark/>
          </w:tcPr>
          <w:p w14:paraId="21B5B6D4" w14:textId="10EDEE37" w:rsidR="00544B3E" w:rsidRPr="00544B3E" w:rsidRDefault="00544B3E" w:rsidP="00544B3E">
            <w:pPr>
              <w:pStyle w:val="SCVtablebody"/>
              <w:rPr>
                <w:rFonts w:eastAsia="VIC"/>
              </w:rPr>
            </w:pPr>
            <w:r>
              <w:rPr>
                <w:rFonts w:eastAsia="VIC"/>
              </w:rPr>
              <w:tab/>
            </w:r>
            <w:r w:rsidRPr="00544B3E">
              <w:rPr>
                <w:rFonts w:eastAsia="VIC"/>
              </w:rPr>
              <w:t>Permit Issued</w:t>
            </w:r>
            <w:r w:rsidR="00510824">
              <w:rPr>
                <w:rFonts w:eastAsia="VIC"/>
              </w:rPr>
              <w:t>^</w:t>
            </w:r>
          </w:p>
        </w:tc>
        <w:tc>
          <w:tcPr>
            <w:tcW w:w="1419" w:type="dxa"/>
            <w:hideMark/>
          </w:tcPr>
          <w:p w14:paraId="5333960A" w14:textId="77777777" w:rsidR="00544B3E" w:rsidRPr="00544B3E" w:rsidRDefault="00544B3E" w:rsidP="00CA1AE6">
            <w:pPr>
              <w:pStyle w:val="SCVtablebody"/>
              <w:jc w:val="center"/>
              <w:rPr>
                <w:rFonts w:eastAsia="VIC"/>
              </w:rPr>
            </w:pPr>
            <w:r w:rsidRPr="00544B3E">
              <w:rPr>
                <w:rFonts w:eastAsia="VIC"/>
              </w:rPr>
              <w:t>206</w:t>
            </w:r>
          </w:p>
        </w:tc>
        <w:tc>
          <w:tcPr>
            <w:tcW w:w="1418" w:type="dxa"/>
            <w:hideMark/>
          </w:tcPr>
          <w:p w14:paraId="7D0FF238" w14:textId="77777777" w:rsidR="00544B3E" w:rsidRPr="00544B3E" w:rsidRDefault="00544B3E" w:rsidP="00CA1AE6">
            <w:pPr>
              <w:pStyle w:val="SCVtablebody"/>
              <w:jc w:val="center"/>
              <w:rPr>
                <w:rFonts w:eastAsia="VIC"/>
              </w:rPr>
            </w:pPr>
            <w:r w:rsidRPr="00544B3E">
              <w:rPr>
                <w:rFonts w:eastAsia="VIC"/>
              </w:rPr>
              <w:t>323</w:t>
            </w:r>
          </w:p>
        </w:tc>
        <w:tc>
          <w:tcPr>
            <w:tcW w:w="1418" w:type="dxa"/>
            <w:hideMark/>
          </w:tcPr>
          <w:p w14:paraId="67CC4075" w14:textId="77777777" w:rsidR="00544B3E" w:rsidRPr="00544B3E" w:rsidRDefault="00544B3E" w:rsidP="00CA1AE6">
            <w:pPr>
              <w:pStyle w:val="SCVtablebody"/>
              <w:jc w:val="center"/>
              <w:rPr>
                <w:rFonts w:eastAsia="VIC"/>
              </w:rPr>
            </w:pPr>
            <w:r w:rsidRPr="00544B3E">
              <w:rPr>
                <w:rFonts w:eastAsia="VIC"/>
              </w:rPr>
              <w:t>373</w:t>
            </w:r>
          </w:p>
        </w:tc>
        <w:tc>
          <w:tcPr>
            <w:tcW w:w="1418" w:type="dxa"/>
            <w:hideMark/>
          </w:tcPr>
          <w:p w14:paraId="21D1BAEC" w14:textId="77777777" w:rsidR="00544B3E" w:rsidRPr="00544B3E" w:rsidRDefault="00544B3E" w:rsidP="00CA1AE6">
            <w:pPr>
              <w:pStyle w:val="SCVtablebody"/>
              <w:jc w:val="center"/>
              <w:rPr>
                <w:rFonts w:eastAsia="VIC"/>
              </w:rPr>
            </w:pPr>
            <w:r w:rsidRPr="00544B3E">
              <w:rPr>
                <w:rFonts w:eastAsia="VIC"/>
              </w:rPr>
              <w:t>902</w:t>
            </w:r>
          </w:p>
        </w:tc>
        <w:tc>
          <w:tcPr>
            <w:tcW w:w="1418" w:type="dxa"/>
            <w:hideMark/>
          </w:tcPr>
          <w:p w14:paraId="05FCB13A" w14:textId="77777777" w:rsidR="00544B3E" w:rsidRPr="00544B3E" w:rsidRDefault="00544B3E" w:rsidP="00CA1AE6">
            <w:pPr>
              <w:pStyle w:val="SCVtablebody"/>
              <w:jc w:val="center"/>
              <w:rPr>
                <w:rFonts w:eastAsia="VIC"/>
              </w:rPr>
            </w:pPr>
            <w:r w:rsidRPr="00544B3E">
              <w:rPr>
                <w:rFonts w:eastAsia="VIC"/>
              </w:rPr>
              <w:t>+15%</w:t>
            </w:r>
          </w:p>
        </w:tc>
      </w:tr>
      <w:tr w:rsidR="00763424" w:rsidRPr="00544B3E" w14:paraId="75E88CD1" w14:textId="77777777" w:rsidTr="00BE434C">
        <w:trPr>
          <w:trHeight w:val="300"/>
        </w:trPr>
        <w:tc>
          <w:tcPr>
            <w:tcW w:w="3119" w:type="dxa"/>
            <w:hideMark/>
          </w:tcPr>
          <w:p w14:paraId="6E68E9D3" w14:textId="00B2765E" w:rsidR="00544B3E" w:rsidRPr="00544B3E" w:rsidRDefault="00544B3E" w:rsidP="00544B3E">
            <w:pPr>
              <w:pStyle w:val="SCVtablebody"/>
              <w:rPr>
                <w:rFonts w:eastAsia="VIC"/>
              </w:rPr>
            </w:pPr>
            <w:r>
              <w:rPr>
                <w:rFonts w:eastAsia="VIC"/>
              </w:rPr>
              <w:tab/>
            </w:r>
            <w:r w:rsidRPr="00544B3E">
              <w:rPr>
                <w:rFonts w:eastAsia="VIC"/>
              </w:rPr>
              <w:t>Permit Not Issued</w:t>
            </w:r>
          </w:p>
        </w:tc>
        <w:tc>
          <w:tcPr>
            <w:tcW w:w="1419" w:type="dxa"/>
            <w:hideMark/>
          </w:tcPr>
          <w:p w14:paraId="49DF3192" w14:textId="77777777" w:rsidR="00544B3E" w:rsidRPr="00544B3E" w:rsidRDefault="00544B3E" w:rsidP="00CA1AE6">
            <w:pPr>
              <w:pStyle w:val="SCVtablebody"/>
              <w:jc w:val="center"/>
              <w:rPr>
                <w:rFonts w:eastAsia="VIC"/>
              </w:rPr>
            </w:pPr>
            <w:r w:rsidRPr="00544B3E">
              <w:rPr>
                <w:rFonts w:eastAsia="VIC"/>
              </w:rPr>
              <w:t>30</w:t>
            </w:r>
          </w:p>
        </w:tc>
        <w:tc>
          <w:tcPr>
            <w:tcW w:w="1418" w:type="dxa"/>
            <w:hideMark/>
          </w:tcPr>
          <w:p w14:paraId="127D99DD" w14:textId="77777777" w:rsidR="00544B3E" w:rsidRPr="00544B3E" w:rsidRDefault="00544B3E" w:rsidP="00CA1AE6">
            <w:pPr>
              <w:pStyle w:val="SCVtablebody"/>
              <w:jc w:val="center"/>
              <w:rPr>
                <w:rFonts w:eastAsia="VIC"/>
              </w:rPr>
            </w:pPr>
            <w:r w:rsidRPr="00544B3E">
              <w:rPr>
                <w:rFonts w:eastAsia="VIC"/>
              </w:rPr>
              <w:t>26</w:t>
            </w:r>
          </w:p>
        </w:tc>
        <w:tc>
          <w:tcPr>
            <w:tcW w:w="1418" w:type="dxa"/>
            <w:hideMark/>
          </w:tcPr>
          <w:p w14:paraId="7784755E" w14:textId="77777777" w:rsidR="00544B3E" w:rsidRPr="00544B3E" w:rsidRDefault="00544B3E" w:rsidP="00CA1AE6">
            <w:pPr>
              <w:pStyle w:val="SCVtablebody"/>
              <w:jc w:val="center"/>
              <w:rPr>
                <w:rFonts w:eastAsia="VIC"/>
              </w:rPr>
            </w:pPr>
            <w:r w:rsidRPr="00544B3E">
              <w:rPr>
                <w:rFonts w:eastAsia="VIC"/>
              </w:rPr>
              <w:t>11</w:t>
            </w:r>
          </w:p>
        </w:tc>
        <w:tc>
          <w:tcPr>
            <w:tcW w:w="1418" w:type="dxa"/>
            <w:hideMark/>
          </w:tcPr>
          <w:p w14:paraId="2F979F4B" w14:textId="77777777" w:rsidR="00544B3E" w:rsidRPr="00544B3E" w:rsidRDefault="00544B3E" w:rsidP="00CA1AE6">
            <w:pPr>
              <w:pStyle w:val="SCVtablebody"/>
              <w:jc w:val="center"/>
              <w:rPr>
                <w:rFonts w:eastAsia="VIC"/>
              </w:rPr>
            </w:pPr>
            <w:r w:rsidRPr="00544B3E">
              <w:rPr>
                <w:rFonts w:eastAsia="VIC"/>
              </w:rPr>
              <w:t>67</w:t>
            </w:r>
          </w:p>
        </w:tc>
        <w:tc>
          <w:tcPr>
            <w:tcW w:w="1418" w:type="dxa"/>
            <w:hideMark/>
          </w:tcPr>
          <w:p w14:paraId="66C6DBBB" w14:textId="77777777" w:rsidR="00544B3E" w:rsidRPr="00544B3E" w:rsidRDefault="00544B3E" w:rsidP="00CA1AE6">
            <w:pPr>
              <w:pStyle w:val="SCVtablebody"/>
              <w:jc w:val="center"/>
              <w:rPr>
                <w:rFonts w:eastAsia="VIC"/>
              </w:rPr>
            </w:pPr>
            <w:r w:rsidRPr="00544B3E">
              <w:rPr>
                <w:rFonts w:eastAsia="VIC"/>
              </w:rPr>
              <w:t>-58%</w:t>
            </w:r>
          </w:p>
        </w:tc>
      </w:tr>
      <w:tr w:rsidR="00CA1AE6" w:rsidRPr="00544B3E" w14:paraId="185229DF" w14:textId="77777777" w:rsidTr="00BE434C">
        <w:trPr>
          <w:trHeight w:val="300"/>
        </w:trPr>
        <w:tc>
          <w:tcPr>
            <w:tcW w:w="3119" w:type="dxa"/>
            <w:hideMark/>
          </w:tcPr>
          <w:p w14:paraId="756F1FBD" w14:textId="77777777" w:rsidR="00544B3E" w:rsidRPr="00544B3E" w:rsidRDefault="00544B3E" w:rsidP="00544B3E">
            <w:pPr>
              <w:pStyle w:val="SCVtablebody"/>
              <w:rPr>
                <w:rFonts w:ascii="VIC Medium" w:hAnsi="VIC Medium"/>
                <w:bCs/>
              </w:rPr>
            </w:pPr>
            <w:r w:rsidRPr="00544B3E">
              <w:rPr>
                <w:rFonts w:ascii="VIC Medium" w:eastAsia="VIC" w:hAnsi="VIC Medium"/>
                <w:bCs/>
              </w:rPr>
              <w:t>Substance dispensed for self-administration</w:t>
            </w:r>
          </w:p>
        </w:tc>
        <w:tc>
          <w:tcPr>
            <w:tcW w:w="1419" w:type="dxa"/>
            <w:hideMark/>
          </w:tcPr>
          <w:p w14:paraId="43219291"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154</w:t>
            </w:r>
          </w:p>
        </w:tc>
        <w:tc>
          <w:tcPr>
            <w:tcW w:w="1418" w:type="dxa"/>
            <w:hideMark/>
          </w:tcPr>
          <w:p w14:paraId="7A0096B8"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259</w:t>
            </w:r>
          </w:p>
        </w:tc>
        <w:tc>
          <w:tcPr>
            <w:tcW w:w="1418" w:type="dxa"/>
            <w:hideMark/>
          </w:tcPr>
          <w:p w14:paraId="03A30D14"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349</w:t>
            </w:r>
          </w:p>
        </w:tc>
        <w:tc>
          <w:tcPr>
            <w:tcW w:w="1418" w:type="dxa"/>
            <w:hideMark/>
          </w:tcPr>
          <w:p w14:paraId="2139720A"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762</w:t>
            </w:r>
          </w:p>
        </w:tc>
        <w:tc>
          <w:tcPr>
            <w:tcW w:w="1418" w:type="dxa"/>
            <w:hideMark/>
          </w:tcPr>
          <w:p w14:paraId="33D89ED5" w14:textId="77777777" w:rsidR="00544B3E" w:rsidRPr="00544B3E" w:rsidRDefault="00544B3E" w:rsidP="00CA1AE6">
            <w:pPr>
              <w:pStyle w:val="SCVtablebody"/>
              <w:jc w:val="center"/>
              <w:rPr>
                <w:rFonts w:ascii="VIC Medium" w:eastAsia="VIC" w:hAnsi="VIC Medium"/>
                <w:bCs/>
              </w:rPr>
            </w:pPr>
            <w:r w:rsidRPr="00544B3E">
              <w:rPr>
                <w:rFonts w:ascii="VIC Medium" w:eastAsia="VIC" w:hAnsi="VIC Medium"/>
                <w:bCs/>
              </w:rPr>
              <w:t>+35%</w:t>
            </w:r>
          </w:p>
        </w:tc>
      </w:tr>
      <w:tr w:rsidR="00CA1AE6" w:rsidRPr="00CA1AE6" w14:paraId="00E9D863" w14:textId="77777777" w:rsidTr="00BE434C">
        <w:trPr>
          <w:trHeight w:val="300"/>
        </w:trPr>
        <w:tc>
          <w:tcPr>
            <w:tcW w:w="3119" w:type="dxa"/>
            <w:hideMark/>
          </w:tcPr>
          <w:p w14:paraId="231D1758" w14:textId="77777777" w:rsidR="00544B3E" w:rsidRPr="00CA1AE6" w:rsidRDefault="00544B3E" w:rsidP="00544B3E">
            <w:pPr>
              <w:pStyle w:val="SCVtablebody"/>
              <w:rPr>
                <w:rFonts w:ascii="VIC Medium" w:eastAsia="VIC" w:hAnsi="VIC Medium"/>
                <w:bCs/>
              </w:rPr>
            </w:pPr>
            <w:r w:rsidRPr="00CA1AE6">
              <w:rPr>
                <w:rFonts w:ascii="VIC Medium" w:eastAsia="VIC" w:hAnsi="VIC Medium"/>
                <w:bCs/>
              </w:rPr>
              <w:t>Practitioner administration permit processed</w:t>
            </w:r>
          </w:p>
        </w:tc>
        <w:tc>
          <w:tcPr>
            <w:tcW w:w="1419" w:type="dxa"/>
            <w:hideMark/>
          </w:tcPr>
          <w:p w14:paraId="2E1561D0" w14:textId="77777777" w:rsidR="00544B3E" w:rsidRPr="00CA1AE6" w:rsidRDefault="00544B3E" w:rsidP="00CA1AE6">
            <w:pPr>
              <w:pStyle w:val="SCVtablebody"/>
              <w:jc w:val="center"/>
              <w:rPr>
                <w:rFonts w:ascii="VIC Medium" w:eastAsia="VIC" w:hAnsi="VIC Medium"/>
                <w:bCs/>
              </w:rPr>
            </w:pPr>
            <w:r w:rsidRPr="00CA1AE6">
              <w:rPr>
                <w:rFonts w:ascii="VIC Medium" w:eastAsia="VIC" w:hAnsi="VIC Medium"/>
                <w:bCs/>
              </w:rPr>
              <w:t>40</w:t>
            </w:r>
          </w:p>
        </w:tc>
        <w:tc>
          <w:tcPr>
            <w:tcW w:w="1418" w:type="dxa"/>
            <w:hideMark/>
          </w:tcPr>
          <w:p w14:paraId="0556300C" w14:textId="77777777" w:rsidR="00544B3E" w:rsidRPr="00CA1AE6" w:rsidRDefault="00544B3E" w:rsidP="00CA1AE6">
            <w:pPr>
              <w:pStyle w:val="SCVtablebody"/>
              <w:jc w:val="center"/>
              <w:rPr>
                <w:rFonts w:ascii="VIC Medium" w:eastAsia="VIC" w:hAnsi="VIC Medium"/>
                <w:bCs/>
              </w:rPr>
            </w:pPr>
            <w:r w:rsidRPr="00CA1AE6">
              <w:rPr>
                <w:rFonts w:ascii="VIC Medium" w:eastAsia="VIC" w:hAnsi="VIC Medium"/>
                <w:bCs/>
              </w:rPr>
              <w:t>50</w:t>
            </w:r>
          </w:p>
        </w:tc>
        <w:tc>
          <w:tcPr>
            <w:tcW w:w="1418" w:type="dxa"/>
            <w:hideMark/>
          </w:tcPr>
          <w:p w14:paraId="567DFAC6" w14:textId="77777777" w:rsidR="00544B3E" w:rsidRPr="00CA1AE6" w:rsidRDefault="00544B3E" w:rsidP="00CA1AE6">
            <w:pPr>
              <w:pStyle w:val="SCVtablebody"/>
              <w:jc w:val="center"/>
              <w:rPr>
                <w:rFonts w:ascii="VIC Medium" w:eastAsia="VIC" w:hAnsi="VIC Medium"/>
                <w:bCs/>
              </w:rPr>
            </w:pPr>
            <w:r w:rsidRPr="00CA1AE6">
              <w:rPr>
                <w:rFonts w:ascii="VIC Medium" w:eastAsia="VIC" w:hAnsi="VIC Medium"/>
                <w:bCs/>
              </w:rPr>
              <w:t>64</w:t>
            </w:r>
          </w:p>
        </w:tc>
        <w:tc>
          <w:tcPr>
            <w:tcW w:w="1418" w:type="dxa"/>
            <w:hideMark/>
          </w:tcPr>
          <w:p w14:paraId="3A0A6388" w14:textId="77777777" w:rsidR="00544B3E" w:rsidRPr="00CA1AE6" w:rsidRDefault="00544B3E" w:rsidP="00CA1AE6">
            <w:pPr>
              <w:pStyle w:val="SCVtablebody"/>
              <w:jc w:val="center"/>
              <w:rPr>
                <w:rFonts w:ascii="VIC Medium" w:eastAsia="VIC" w:hAnsi="VIC Medium"/>
                <w:bCs/>
              </w:rPr>
            </w:pPr>
            <w:r w:rsidRPr="00CA1AE6">
              <w:rPr>
                <w:rFonts w:ascii="VIC Medium" w:eastAsia="VIC" w:hAnsi="VIC Medium"/>
                <w:bCs/>
              </w:rPr>
              <w:t>154</w:t>
            </w:r>
          </w:p>
        </w:tc>
        <w:tc>
          <w:tcPr>
            <w:tcW w:w="1418" w:type="dxa"/>
            <w:hideMark/>
          </w:tcPr>
          <w:p w14:paraId="3B993DEF" w14:textId="77777777" w:rsidR="00544B3E" w:rsidRPr="00CA1AE6" w:rsidRDefault="00544B3E" w:rsidP="00CA1AE6">
            <w:pPr>
              <w:pStyle w:val="SCVtablebody"/>
              <w:jc w:val="center"/>
              <w:rPr>
                <w:rFonts w:ascii="VIC Medium" w:eastAsia="VIC" w:hAnsi="VIC Medium"/>
                <w:bCs/>
              </w:rPr>
            </w:pPr>
            <w:r w:rsidRPr="00CA1AE6">
              <w:rPr>
                <w:rFonts w:ascii="VIC Medium" w:eastAsia="VIC" w:hAnsi="VIC Medium"/>
                <w:bCs/>
              </w:rPr>
              <w:t>+28%</w:t>
            </w:r>
          </w:p>
        </w:tc>
      </w:tr>
      <w:tr w:rsidR="00763424" w:rsidRPr="00544B3E" w14:paraId="5F997CB3" w14:textId="77777777" w:rsidTr="00BE434C">
        <w:trPr>
          <w:trHeight w:val="300"/>
        </w:trPr>
        <w:tc>
          <w:tcPr>
            <w:tcW w:w="3119" w:type="dxa"/>
            <w:hideMark/>
          </w:tcPr>
          <w:p w14:paraId="261F0A49" w14:textId="64FCE8BD" w:rsidR="00544B3E" w:rsidRPr="00544B3E" w:rsidRDefault="00544B3E" w:rsidP="00544B3E">
            <w:pPr>
              <w:pStyle w:val="SCVtablebody"/>
              <w:rPr>
                <w:rFonts w:eastAsia="VIC"/>
                <w:bCs/>
              </w:rPr>
            </w:pPr>
            <w:r>
              <w:rPr>
                <w:rFonts w:eastAsia="VIC"/>
                <w:bCs/>
              </w:rPr>
              <w:tab/>
            </w:r>
            <w:r w:rsidRPr="00544B3E">
              <w:rPr>
                <w:rFonts w:eastAsia="VIC"/>
                <w:bCs/>
              </w:rPr>
              <w:t>Permit Issued</w:t>
            </w:r>
            <w:r w:rsidR="00510824">
              <w:rPr>
                <w:rFonts w:eastAsia="VIC"/>
                <w:bCs/>
              </w:rPr>
              <w:t>^</w:t>
            </w:r>
          </w:p>
        </w:tc>
        <w:tc>
          <w:tcPr>
            <w:tcW w:w="1419" w:type="dxa"/>
            <w:hideMark/>
          </w:tcPr>
          <w:p w14:paraId="0FDA4E77" w14:textId="77777777" w:rsidR="00544B3E" w:rsidRPr="00544B3E" w:rsidRDefault="00544B3E" w:rsidP="00CA1AE6">
            <w:pPr>
              <w:pStyle w:val="SCVtablebody"/>
              <w:jc w:val="center"/>
              <w:rPr>
                <w:rFonts w:eastAsia="VIC"/>
              </w:rPr>
            </w:pPr>
            <w:r w:rsidRPr="00544B3E">
              <w:rPr>
                <w:rFonts w:eastAsia="VIC"/>
              </w:rPr>
              <w:t>31</w:t>
            </w:r>
          </w:p>
        </w:tc>
        <w:tc>
          <w:tcPr>
            <w:tcW w:w="1418" w:type="dxa"/>
            <w:hideMark/>
          </w:tcPr>
          <w:p w14:paraId="4500F632" w14:textId="77777777" w:rsidR="00544B3E" w:rsidRPr="00544B3E" w:rsidRDefault="00544B3E" w:rsidP="00CA1AE6">
            <w:pPr>
              <w:pStyle w:val="SCVtablebody"/>
              <w:jc w:val="center"/>
              <w:rPr>
                <w:rFonts w:eastAsia="VIC"/>
              </w:rPr>
            </w:pPr>
            <w:r w:rsidRPr="00544B3E">
              <w:rPr>
                <w:rFonts w:eastAsia="VIC"/>
              </w:rPr>
              <w:t>42</w:t>
            </w:r>
          </w:p>
        </w:tc>
        <w:tc>
          <w:tcPr>
            <w:tcW w:w="1418" w:type="dxa"/>
            <w:hideMark/>
          </w:tcPr>
          <w:p w14:paraId="50F1BEE2" w14:textId="77777777" w:rsidR="00544B3E" w:rsidRPr="00544B3E" w:rsidRDefault="00544B3E" w:rsidP="00CA1AE6">
            <w:pPr>
              <w:pStyle w:val="SCVtablebody"/>
              <w:jc w:val="center"/>
              <w:rPr>
                <w:rFonts w:eastAsia="VIC"/>
              </w:rPr>
            </w:pPr>
            <w:r w:rsidRPr="00544B3E">
              <w:rPr>
                <w:rFonts w:eastAsia="VIC"/>
              </w:rPr>
              <w:t>60</w:t>
            </w:r>
          </w:p>
        </w:tc>
        <w:tc>
          <w:tcPr>
            <w:tcW w:w="1418" w:type="dxa"/>
            <w:hideMark/>
          </w:tcPr>
          <w:p w14:paraId="6534B6AC" w14:textId="77777777" w:rsidR="00544B3E" w:rsidRPr="00544B3E" w:rsidRDefault="00544B3E" w:rsidP="00CA1AE6">
            <w:pPr>
              <w:pStyle w:val="SCVtablebody"/>
              <w:jc w:val="center"/>
              <w:rPr>
                <w:rFonts w:eastAsia="VIC"/>
              </w:rPr>
            </w:pPr>
            <w:r w:rsidRPr="00544B3E">
              <w:rPr>
                <w:rFonts w:eastAsia="VIC"/>
              </w:rPr>
              <w:t>133</w:t>
            </w:r>
          </w:p>
        </w:tc>
        <w:tc>
          <w:tcPr>
            <w:tcW w:w="1418" w:type="dxa"/>
            <w:hideMark/>
          </w:tcPr>
          <w:p w14:paraId="3250C4C5" w14:textId="77777777" w:rsidR="00544B3E" w:rsidRPr="00544B3E" w:rsidRDefault="00544B3E" w:rsidP="00CA1AE6">
            <w:pPr>
              <w:pStyle w:val="SCVtablebody"/>
              <w:jc w:val="center"/>
              <w:rPr>
                <w:rFonts w:eastAsia="VIC"/>
              </w:rPr>
            </w:pPr>
            <w:r w:rsidRPr="00544B3E">
              <w:rPr>
                <w:rFonts w:eastAsia="VIC"/>
              </w:rPr>
              <w:t>+43%</w:t>
            </w:r>
          </w:p>
        </w:tc>
      </w:tr>
      <w:tr w:rsidR="00763424" w:rsidRPr="00544B3E" w14:paraId="1A7B911C" w14:textId="77777777" w:rsidTr="00BE434C">
        <w:trPr>
          <w:trHeight w:val="300"/>
        </w:trPr>
        <w:tc>
          <w:tcPr>
            <w:tcW w:w="3119" w:type="dxa"/>
            <w:hideMark/>
          </w:tcPr>
          <w:p w14:paraId="1E51D5A4" w14:textId="50B84F4A" w:rsidR="00544B3E" w:rsidRPr="00544B3E" w:rsidRDefault="00544B3E" w:rsidP="00544B3E">
            <w:pPr>
              <w:pStyle w:val="SCVtablebody"/>
              <w:rPr>
                <w:rFonts w:eastAsia="VIC"/>
                <w:bCs/>
              </w:rPr>
            </w:pPr>
            <w:r>
              <w:rPr>
                <w:rFonts w:eastAsia="VIC"/>
                <w:bCs/>
              </w:rPr>
              <w:tab/>
            </w:r>
            <w:r w:rsidRPr="00544B3E">
              <w:rPr>
                <w:rFonts w:eastAsia="VIC"/>
                <w:bCs/>
              </w:rPr>
              <w:t>Permit Not Issued</w:t>
            </w:r>
          </w:p>
        </w:tc>
        <w:tc>
          <w:tcPr>
            <w:tcW w:w="1419" w:type="dxa"/>
            <w:hideMark/>
          </w:tcPr>
          <w:p w14:paraId="447DBCA9" w14:textId="77777777" w:rsidR="00544B3E" w:rsidRPr="00544B3E" w:rsidRDefault="00544B3E" w:rsidP="00CA1AE6">
            <w:pPr>
              <w:pStyle w:val="SCVtablebody"/>
              <w:jc w:val="center"/>
              <w:rPr>
                <w:rFonts w:eastAsia="VIC"/>
              </w:rPr>
            </w:pPr>
            <w:r w:rsidRPr="00544B3E">
              <w:rPr>
                <w:rFonts w:eastAsia="VIC"/>
              </w:rPr>
              <w:t>9</w:t>
            </w:r>
          </w:p>
        </w:tc>
        <w:tc>
          <w:tcPr>
            <w:tcW w:w="1418" w:type="dxa"/>
            <w:hideMark/>
          </w:tcPr>
          <w:p w14:paraId="26BB6F32" w14:textId="77777777" w:rsidR="00544B3E" w:rsidRPr="00544B3E" w:rsidRDefault="00544B3E" w:rsidP="00CA1AE6">
            <w:pPr>
              <w:pStyle w:val="SCVtablebody"/>
              <w:jc w:val="center"/>
              <w:rPr>
                <w:rFonts w:eastAsia="VIC"/>
              </w:rPr>
            </w:pPr>
            <w:r w:rsidRPr="00544B3E">
              <w:rPr>
                <w:rFonts w:eastAsia="VIC"/>
              </w:rPr>
              <w:t>8</w:t>
            </w:r>
          </w:p>
        </w:tc>
        <w:tc>
          <w:tcPr>
            <w:tcW w:w="1418" w:type="dxa"/>
            <w:hideMark/>
          </w:tcPr>
          <w:p w14:paraId="7FA595CB" w14:textId="77777777" w:rsidR="00544B3E" w:rsidRPr="00544B3E" w:rsidRDefault="00544B3E" w:rsidP="00CA1AE6">
            <w:pPr>
              <w:pStyle w:val="SCVtablebody"/>
              <w:jc w:val="center"/>
              <w:rPr>
                <w:rFonts w:eastAsia="VIC"/>
              </w:rPr>
            </w:pPr>
            <w:r w:rsidRPr="00544B3E">
              <w:rPr>
                <w:rFonts w:eastAsia="VIC"/>
              </w:rPr>
              <w:t>4</w:t>
            </w:r>
          </w:p>
        </w:tc>
        <w:tc>
          <w:tcPr>
            <w:tcW w:w="1418" w:type="dxa"/>
            <w:hideMark/>
          </w:tcPr>
          <w:p w14:paraId="0E709BA3" w14:textId="77777777" w:rsidR="00544B3E" w:rsidRPr="00544B3E" w:rsidRDefault="00544B3E" w:rsidP="00CA1AE6">
            <w:pPr>
              <w:pStyle w:val="SCVtablebody"/>
              <w:jc w:val="center"/>
              <w:rPr>
                <w:rFonts w:eastAsia="VIC"/>
              </w:rPr>
            </w:pPr>
            <w:r w:rsidRPr="00544B3E">
              <w:rPr>
                <w:rFonts w:eastAsia="VIC"/>
              </w:rPr>
              <w:t>21</w:t>
            </w:r>
          </w:p>
        </w:tc>
        <w:tc>
          <w:tcPr>
            <w:tcW w:w="1418" w:type="dxa"/>
            <w:hideMark/>
          </w:tcPr>
          <w:p w14:paraId="110F7EAE" w14:textId="77777777" w:rsidR="00544B3E" w:rsidRPr="00544B3E" w:rsidRDefault="00544B3E" w:rsidP="00CA1AE6">
            <w:pPr>
              <w:pStyle w:val="SCVtablebody"/>
              <w:jc w:val="center"/>
              <w:rPr>
                <w:rFonts w:eastAsia="VIC"/>
              </w:rPr>
            </w:pPr>
            <w:r w:rsidRPr="00544B3E">
              <w:rPr>
                <w:rFonts w:eastAsia="VIC"/>
              </w:rPr>
              <w:t>-50%</w:t>
            </w:r>
          </w:p>
        </w:tc>
      </w:tr>
      <w:tr w:rsidR="00CA1AE6" w:rsidRPr="00CA1AE6" w14:paraId="7B19E24E" w14:textId="77777777" w:rsidTr="00BE434C">
        <w:trPr>
          <w:trHeight w:val="300"/>
        </w:trPr>
        <w:tc>
          <w:tcPr>
            <w:tcW w:w="3119" w:type="dxa"/>
            <w:hideMark/>
          </w:tcPr>
          <w:p w14:paraId="117AA5FB" w14:textId="77777777" w:rsidR="00544B3E" w:rsidRPr="00CA1AE6" w:rsidRDefault="00544B3E" w:rsidP="00544B3E">
            <w:pPr>
              <w:pStyle w:val="SCVtablebody"/>
              <w:rPr>
                <w:rFonts w:ascii="VIC Medium" w:hAnsi="VIC Medium"/>
                <w:bCs/>
              </w:rPr>
            </w:pPr>
            <w:r w:rsidRPr="00CA1AE6">
              <w:rPr>
                <w:rFonts w:ascii="VIC Medium" w:eastAsia="VIC" w:hAnsi="VIC Medium"/>
                <w:bCs/>
              </w:rPr>
              <w:t>Substance dispensed for practitioner administration</w:t>
            </w:r>
          </w:p>
        </w:tc>
        <w:tc>
          <w:tcPr>
            <w:tcW w:w="1419" w:type="dxa"/>
            <w:hideMark/>
          </w:tcPr>
          <w:p w14:paraId="293E5A9D" w14:textId="77777777" w:rsidR="00544B3E" w:rsidRPr="00CA1AE6" w:rsidRDefault="00544B3E" w:rsidP="00CA1AE6">
            <w:pPr>
              <w:pStyle w:val="SCVtablebody"/>
              <w:jc w:val="center"/>
              <w:rPr>
                <w:rFonts w:ascii="VIC Medium" w:eastAsia="VIC" w:hAnsi="VIC Medium"/>
                <w:bCs/>
              </w:rPr>
            </w:pPr>
            <w:r w:rsidRPr="00CA1AE6">
              <w:rPr>
                <w:rFonts w:ascii="VIC Medium" w:eastAsia="VIC" w:hAnsi="VIC Medium"/>
                <w:bCs/>
              </w:rPr>
              <w:t>20</w:t>
            </w:r>
          </w:p>
        </w:tc>
        <w:tc>
          <w:tcPr>
            <w:tcW w:w="1418" w:type="dxa"/>
            <w:hideMark/>
          </w:tcPr>
          <w:p w14:paraId="5826F700" w14:textId="77777777" w:rsidR="00544B3E" w:rsidRPr="00CA1AE6" w:rsidRDefault="00544B3E" w:rsidP="00CA1AE6">
            <w:pPr>
              <w:pStyle w:val="SCVtablebody"/>
              <w:jc w:val="center"/>
              <w:rPr>
                <w:rFonts w:ascii="VIC Medium" w:eastAsia="VIC" w:hAnsi="VIC Medium"/>
                <w:bCs/>
              </w:rPr>
            </w:pPr>
            <w:r w:rsidRPr="00CA1AE6">
              <w:rPr>
                <w:rFonts w:ascii="VIC Medium" w:eastAsia="VIC" w:hAnsi="VIC Medium"/>
                <w:bCs/>
              </w:rPr>
              <w:t>29</w:t>
            </w:r>
          </w:p>
        </w:tc>
        <w:tc>
          <w:tcPr>
            <w:tcW w:w="1418" w:type="dxa"/>
            <w:hideMark/>
          </w:tcPr>
          <w:p w14:paraId="69DE9D27" w14:textId="77777777" w:rsidR="00544B3E" w:rsidRPr="00CA1AE6" w:rsidRDefault="00544B3E" w:rsidP="00CA1AE6">
            <w:pPr>
              <w:pStyle w:val="SCVtablebody"/>
              <w:jc w:val="center"/>
              <w:rPr>
                <w:rFonts w:ascii="VIC Medium" w:eastAsia="VIC" w:hAnsi="VIC Medium"/>
                <w:bCs/>
              </w:rPr>
            </w:pPr>
            <w:r w:rsidRPr="00CA1AE6">
              <w:rPr>
                <w:rFonts w:ascii="VIC Medium" w:eastAsia="VIC" w:hAnsi="VIC Medium"/>
                <w:bCs/>
              </w:rPr>
              <w:t>38</w:t>
            </w:r>
          </w:p>
        </w:tc>
        <w:tc>
          <w:tcPr>
            <w:tcW w:w="1418" w:type="dxa"/>
            <w:hideMark/>
          </w:tcPr>
          <w:p w14:paraId="1C3FDF6D" w14:textId="77777777" w:rsidR="00544B3E" w:rsidRPr="00CA1AE6" w:rsidRDefault="00544B3E" w:rsidP="00CA1AE6">
            <w:pPr>
              <w:pStyle w:val="SCVtablebody"/>
              <w:jc w:val="center"/>
              <w:rPr>
                <w:rFonts w:ascii="VIC Medium" w:eastAsia="VIC" w:hAnsi="VIC Medium"/>
                <w:bCs/>
              </w:rPr>
            </w:pPr>
            <w:r w:rsidRPr="00CA1AE6">
              <w:rPr>
                <w:rFonts w:ascii="VIC Medium" w:eastAsia="VIC" w:hAnsi="VIC Medium"/>
                <w:bCs/>
              </w:rPr>
              <w:t>87</w:t>
            </w:r>
          </w:p>
        </w:tc>
        <w:tc>
          <w:tcPr>
            <w:tcW w:w="1418" w:type="dxa"/>
            <w:hideMark/>
          </w:tcPr>
          <w:p w14:paraId="596B0E8B" w14:textId="77777777" w:rsidR="00544B3E" w:rsidRPr="00CA1AE6" w:rsidRDefault="00544B3E" w:rsidP="00CA1AE6">
            <w:pPr>
              <w:pStyle w:val="SCVtablebody"/>
              <w:jc w:val="center"/>
              <w:rPr>
                <w:rFonts w:ascii="VIC Medium" w:eastAsia="VIC" w:hAnsi="VIC Medium"/>
                <w:bCs/>
              </w:rPr>
            </w:pPr>
            <w:r w:rsidRPr="00CA1AE6">
              <w:rPr>
                <w:rFonts w:ascii="VIC Medium" w:eastAsia="VIC" w:hAnsi="VIC Medium"/>
                <w:bCs/>
              </w:rPr>
              <w:t>+31%</w:t>
            </w:r>
          </w:p>
        </w:tc>
      </w:tr>
    </w:tbl>
    <w:p w14:paraId="19165078" w14:textId="44CCC830" w:rsidR="00DB7961" w:rsidRDefault="00CA1AE6" w:rsidP="00CA1AE6">
      <w:pPr>
        <w:pStyle w:val="SCVtablefigurenote"/>
        <w:rPr>
          <w:lang w:eastAsia="en-US"/>
        </w:rPr>
      </w:pPr>
      <w:r>
        <w:rPr>
          <w:lang w:eastAsia="en-US"/>
        </w:rPr>
        <w:t>*</w:t>
      </w:r>
      <w:r w:rsidR="00DB7961" w:rsidRPr="00DB7961">
        <w:rPr>
          <w:lang w:eastAsia="en-US"/>
        </w:rPr>
        <w:t>This table counts unique applications. A single individual may be linked to more than one application, and some applications may have the same form submitted multiple times.</w:t>
      </w:r>
    </w:p>
    <w:p w14:paraId="04031812" w14:textId="020D89DE" w:rsidR="00CA1AE6" w:rsidRDefault="00DB7961" w:rsidP="00CA1AE6">
      <w:pPr>
        <w:pStyle w:val="SCVtablefigurenote"/>
        <w:rPr>
          <w:lang w:eastAsia="en-US"/>
        </w:rPr>
      </w:pPr>
      <w:r>
        <w:rPr>
          <w:lang w:eastAsia="en-US"/>
        </w:rPr>
        <w:t>**</w:t>
      </w:r>
      <w:r w:rsidR="00CA1AE6">
        <w:rPr>
          <w:lang w:eastAsia="en-US"/>
        </w:rPr>
        <w:t xml:space="preserve">This column includes 12 days of 2018-19 </w:t>
      </w:r>
      <w:bookmarkStart w:id="5" w:name="_Int_FLgvvWpj"/>
      <w:r w:rsidR="00CA1AE6">
        <w:rPr>
          <w:lang w:eastAsia="en-US"/>
        </w:rPr>
        <w:t>financial year</w:t>
      </w:r>
      <w:bookmarkEnd w:id="5"/>
      <w:r w:rsidR="00CA1AE6">
        <w:rPr>
          <w:lang w:eastAsia="en-US"/>
        </w:rPr>
        <w:t xml:space="preserve"> as the program commenced on 19 June 2019. </w:t>
      </w:r>
    </w:p>
    <w:p w14:paraId="1AC02EB3" w14:textId="409E536F" w:rsidR="00544B3E" w:rsidRDefault="00CA1AE6" w:rsidP="00CA1AE6">
      <w:pPr>
        <w:pStyle w:val="SCVtablefigurenote"/>
        <w:rPr>
          <w:lang w:eastAsia="en-US"/>
        </w:rPr>
      </w:pPr>
      <w:r>
        <w:rPr>
          <w:lang w:eastAsia="en-US"/>
        </w:rPr>
        <w:t>#Total figures are since the commencement of the Act in June 2019.</w:t>
      </w:r>
    </w:p>
    <w:p w14:paraId="17FBB80E" w14:textId="77777777" w:rsidR="00510824" w:rsidRDefault="00916BA8" w:rsidP="00510824">
      <w:pPr>
        <w:pStyle w:val="SCVtablefigurenote"/>
        <w:rPr>
          <w:lang w:eastAsia="en-US"/>
        </w:rPr>
      </w:pPr>
      <w:r>
        <w:rPr>
          <w:lang w:eastAsia="en-US"/>
        </w:rPr>
        <w:t>##</w:t>
      </w:r>
      <w:r w:rsidR="00E20329">
        <w:rPr>
          <w:lang w:eastAsia="en-US"/>
        </w:rPr>
        <w:t>There is no requirement in the Ac</w:t>
      </w:r>
      <w:r w:rsidR="00FD759C">
        <w:rPr>
          <w:lang w:eastAsia="en-US"/>
        </w:rPr>
        <w:t>t</w:t>
      </w:r>
      <w:r w:rsidR="00E20329">
        <w:rPr>
          <w:lang w:eastAsia="en-US"/>
        </w:rPr>
        <w:t xml:space="preserve"> for a medical practitioner to record a case </w:t>
      </w:r>
      <w:r w:rsidR="007B5454">
        <w:rPr>
          <w:lang w:eastAsia="en-US"/>
        </w:rPr>
        <w:t xml:space="preserve">that </w:t>
      </w:r>
      <w:r w:rsidR="00E20329">
        <w:rPr>
          <w:lang w:eastAsia="en-US"/>
        </w:rPr>
        <w:t>is considered ineligible</w:t>
      </w:r>
      <w:r w:rsidR="007B5454">
        <w:rPr>
          <w:lang w:eastAsia="en-US"/>
        </w:rPr>
        <w:t>. T</w:t>
      </w:r>
      <w:r w:rsidR="001F25DF">
        <w:rPr>
          <w:lang w:eastAsia="en-US"/>
        </w:rPr>
        <w:t>herefore</w:t>
      </w:r>
      <w:r w:rsidR="00B77E98">
        <w:rPr>
          <w:lang w:eastAsia="en-US"/>
        </w:rPr>
        <w:t>,</w:t>
      </w:r>
      <w:r w:rsidR="001F25DF">
        <w:rPr>
          <w:lang w:eastAsia="en-US"/>
        </w:rPr>
        <w:t xml:space="preserve"> this number is not considered an accurate reflection of true ineligible </w:t>
      </w:r>
      <w:r w:rsidR="00B2035D">
        <w:rPr>
          <w:lang w:eastAsia="en-US"/>
        </w:rPr>
        <w:t>assessments</w:t>
      </w:r>
      <w:r w:rsidR="001F25DF">
        <w:rPr>
          <w:lang w:eastAsia="en-US"/>
        </w:rPr>
        <w:t xml:space="preserve"> </w:t>
      </w:r>
      <w:r w:rsidR="00116F8C">
        <w:rPr>
          <w:lang w:eastAsia="en-US"/>
        </w:rPr>
        <w:t>conducted</w:t>
      </w:r>
      <w:r w:rsidR="00587FFE">
        <w:rPr>
          <w:lang w:eastAsia="en-US"/>
        </w:rPr>
        <w:t xml:space="preserve"> over this reporting period. </w:t>
      </w:r>
    </w:p>
    <w:p w14:paraId="18C9CAB6" w14:textId="4E7D65D2" w:rsidR="00CA1AE6" w:rsidRDefault="00510824" w:rsidP="00510824">
      <w:pPr>
        <w:pStyle w:val="SCVtablefigurenote"/>
        <w:rPr>
          <w:rFonts w:asciiTheme="majorHAnsi" w:hAnsiTheme="majorHAnsi"/>
          <w:color w:val="0063A5" w:themeColor="text2"/>
          <w:spacing w:val="2"/>
          <w:szCs w:val="18"/>
          <w:lang w:eastAsia="en-US"/>
        </w:rPr>
      </w:pPr>
      <w:r>
        <w:rPr>
          <w:lang w:eastAsia="en-US"/>
        </w:rPr>
        <w:t>^There are circumstances where one applicant is issued with two permits; firstly, for self-administration and subsequently if there is a change to practitioner administration.</w:t>
      </w:r>
      <w:bookmarkStart w:id="6" w:name="_Toc43470670"/>
      <w:r w:rsidR="00CA1AE6">
        <w:rPr>
          <w:lang w:eastAsia="en-US"/>
        </w:rPr>
        <w:br w:type="page"/>
      </w:r>
    </w:p>
    <w:p w14:paraId="4EB7C55D" w14:textId="4E5472ED" w:rsidR="00CA1AE6" w:rsidRDefault="00CA1AE6" w:rsidP="00CA1AE6">
      <w:pPr>
        <w:pStyle w:val="SCVtablecaption"/>
        <w:rPr>
          <w:lang w:eastAsia="en-US"/>
        </w:rPr>
      </w:pPr>
      <w:r w:rsidRPr="00CA1AE6">
        <w:rPr>
          <w:lang w:eastAsia="en-US"/>
        </w:rPr>
        <w:lastRenderedPageBreak/>
        <w:t>Table 2</w:t>
      </w:r>
      <w:r>
        <w:rPr>
          <w:lang w:eastAsia="en-US"/>
        </w:rPr>
        <w:t>:</w:t>
      </w:r>
      <w:r w:rsidRPr="00CA1AE6">
        <w:rPr>
          <w:lang w:eastAsia="en-US"/>
        </w:rPr>
        <w:t xml:space="preserve"> Deaths in applicants issued with permits</w:t>
      </w:r>
    </w:p>
    <w:tbl>
      <w:tblPr>
        <w:tblStyle w:val="TableGrid"/>
        <w:tblW w:w="10207" w:type="dxa"/>
        <w:tblLayout w:type="fixed"/>
        <w:tblLook w:val="0620" w:firstRow="1" w:lastRow="0" w:firstColumn="0" w:lastColumn="0" w:noHBand="1" w:noVBand="1"/>
      </w:tblPr>
      <w:tblGrid>
        <w:gridCol w:w="3118"/>
        <w:gridCol w:w="1418"/>
        <w:gridCol w:w="1417"/>
        <w:gridCol w:w="1418"/>
        <w:gridCol w:w="1418"/>
        <w:gridCol w:w="1418"/>
      </w:tblGrid>
      <w:tr w:rsidR="00CA1AE6" w:rsidRPr="00CA1AE6" w14:paraId="37427B83" w14:textId="77777777" w:rsidTr="000B1F3B">
        <w:trPr>
          <w:cnfStyle w:val="100000000000" w:firstRow="1" w:lastRow="0" w:firstColumn="0" w:lastColumn="0" w:oddVBand="0" w:evenVBand="0" w:oddHBand="0" w:evenHBand="0" w:firstRowFirstColumn="0" w:firstRowLastColumn="0" w:lastRowFirstColumn="0" w:lastRowLastColumn="0"/>
          <w:cantSplit/>
        </w:trPr>
        <w:tc>
          <w:tcPr>
            <w:tcW w:w="3119" w:type="dxa"/>
            <w:hideMark/>
          </w:tcPr>
          <w:p w14:paraId="7FBDF5CA" w14:textId="77777777" w:rsidR="00CA1AE6" w:rsidRPr="00CA1AE6" w:rsidRDefault="00CA1AE6" w:rsidP="00CA1AE6">
            <w:pPr>
              <w:pStyle w:val="SCVtablecolhead"/>
              <w:rPr>
                <w:rFonts w:asciiTheme="majorHAnsi" w:hAnsiTheme="majorHAnsi"/>
                <w:b w:val="0"/>
                <w:bCs/>
              </w:rPr>
            </w:pPr>
            <w:r w:rsidRPr="00CA1AE6">
              <w:rPr>
                <w:rFonts w:asciiTheme="majorHAnsi" w:hAnsiTheme="majorHAnsi"/>
                <w:b w:val="0"/>
                <w:bCs/>
              </w:rPr>
              <w:t>Manner of death</w:t>
            </w:r>
          </w:p>
        </w:tc>
        <w:tc>
          <w:tcPr>
            <w:tcW w:w="1418" w:type="dxa"/>
            <w:hideMark/>
          </w:tcPr>
          <w:p w14:paraId="358B4E61" w14:textId="77777777" w:rsidR="00CA1AE6" w:rsidRPr="00CA1AE6" w:rsidRDefault="00CA1AE6" w:rsidP="00CA1AE6">
            <w:pPr>
              <w:pStyle w:val="SCVtablecolhead"/>
              <w:jc w:val="center"/>
              <w:rPr>
                <w:rFonts w:asciiTheme="majorHAnsi" w:hAnsiTheme="majorHAnsi"/>
                <w:b w:val="0"/>
                <w:bCs/>
              </w:rPr>
            </w:pPr>
            <w:r w:rsidRPr="00CA1AE6">
              <w:rPr>
                <w:rFonts w:asciiTheme="majorHAnsi" w:hAnsiTheme="majorHAnsi"/>
                <w:b w:val="0"/>
                <w:bCs/>
              </w:rPr>
              <w:t>2019-20*</w:t>
            </w:r>
          </w:p>
        </w:tc>
        <w:tc>
          <w:tcPr>
            <w:tcW w:w="1417" w:type="dxa"/>
            <w:hideMark/>
          </w:tcPr>
          <w:p w14:paraId="3C4AACCA" w14:textId="77777777" w:rsidR="00CA1AE6" w:rsidRPr="00CA1AE6" w:rsidRDefault="00CA1AE6" w:rsidP="00CA1AE6">
            <w:pPr>
              <w:pStyle w:val="SCVtablecolhead"/>
              <w:jc w:val="center"/>
              <w:rPr>
                <w:rFonts w:asciiTheme="majorHAnsi" w:hAnsiTheme="majorHAnsi"/>
                <w:b w:val="0"/>
                <w:bCs/>
              </w:rPr>
            </w:pPr>
            <w:r w:rsidRPr="00CA1AE6">
              <w:rPr>
                <w:rFonts w:asciiTheme="majorHAnsi" w:hAnsiTheme="majorHAnsi"/>
                <w:b w:val="0"/>
                <w:bCs/>
              </w:rPr>
              <w:t>2020-21</w:t>
            </w:r>
          </w:p>
        </w:tc>
        <w:tc>
          <w:tcPr>
            <w:tcW w:w="1418" w:type="dxa"/>
            <w:hideMark/>
          </w:tcPr>
          <w:p w14:paraId="17D39B26" w14:textId="77777777" w:rsidR="00CA1AE6" w:rsidRPr="00CA1AE6" w:rsidRDefault="00CA1AE6" w:rsidP="00CA1AE6">
            <w:pPr>
              <w:pStyle w:val="SCVtablecolhead"/>
              <w:jc w:val="center"/>
              <w:rPr>
                <w:rFonts w:asciiTheme="majorHAnsi" w:hAnsiTheme="majorHAnsi"/>
                <w:b w:val="0"/>
                <w:bCs/>
              </w:rPr>
            </w:pPr>
            <w:r w:rsidRPr="00CA1AE6">
              <w:rPr>
                <w:rFonts w:asciiTheme="majorHAnsi" w:hAnsiTheme="majorHAnsi"/>
                <w:b w:val="0"/>
                <w:bCs/>
              </w:rPr>
              <w:t>2021-22</w:t>
            </w:r>
          </w:p>
        </w:tc>
        <w:tc>
          <w:tcPr>
            <w:tcW w:w="1418" w:type="dxa"/>
            <w:hideMark/>
          </w:tcPr>
          <w:p w14:paraId="2BF3CB82" w14:textId="77777777" w:rsidR="00CA1AE6" w:rsidRPr="00CA1AE6" w:rsidRDefault="00CA1AE6" w:rsidP="00CA1AE6">
            <w:pPr>
              <w:pStyle w:val="SCVtablecolhead"/>
              <w:jc w:val="center"/>
              <w:rPr>
                <w:rFonts w:asciiTheme="majorHAnsi" w:hAnsiTheme="majorHAnsi"/>
                <w:b w:val="0"/>
                <w:bCs/>
              </w:rPr>
            </w:pPr>
            <w:r w:rsidRPr="00CA1AE6">
              <w:rPr>
                <w:rFonts w:asciiTheme="majorHAnsi" w:hAnsiTheme="majorHAnsi"/>
                <w:b w:val="0"/>
                <w:bCs/>
              </w:rPr>
              <w:t>Total to date</w:t>
            </w:r>
          </w:p>
        </w:tc>
        <w:tc>
          <w:tcPr>
            <w:tcW w:w="1418" w:type="dxa"/>
            <w:hideMark/>
          </w:tcPr>
          <w:p w14:paraId="42D317BD" w14:textId="77777777" w:rsidR="00CA1AE6" w:rsidRPr="00CA1AE6" w:rsidRDefault="00CA1AE6" w:rsidP="00CA1AE6">
            <w:pPr>
              <w:pStyle w:val="SCVtablecolhead"/>
              <w:jc w:val="center"/>
              <w:rPr>
                <w:rFonts w:asciiTheme="majorHAnsi" w:hAnsiTheme="majorHAnsi"/>
                <w:b w:val="0"/>
                <w:bCs/>
              </w:rPr>
            </w:pPr>
            <w:r w:rsidRPr="00CA1AE6">
              <w:rPr>
                <w:rFonts w:asciiTheme="majorHAnsi" w:hAnsiTheme="majorHAnsi"/>
                <w:b w:val="0"/>
                <w:bCs/>
              </w:rPr>
              <w:t>Change from previous year</w:t>
            </w:r>
          </w:p>
        </w:tc>
      </w:tr>
      <w:tr w:rsidR="00763424" w:rsidRPr="00CA1AE6" w14:paraId="43DC2F82" w14:textId="77777777" w:rsidTr="000B1F3B">
        <w:trPr>
          <w:cantSplit/>
        </w:trPr>
        <w:tc>
          <w:tcPr>
            <w:tcW w:w="3119" w:type="dxa"/>
            <w:hideMark/>
          </w:tcPr>
          <w:p w14:paraId="0C891FDE" w14:textId="77777777" w:rsidR="00CA1AE6" w:rsidRPr="001A0D9B" w:rsidRDefault="00CA1AE6" w:rsidP="00CA1AE6">
            <w:pPr>
              <w:pStyle w:val="SCVtablebody"/>
              <w:rPr>
                <w:rFonts w:ascii="VIC Medium" w:eastAsia="VIC" w:hAnsi="VIC Medium"/>
              </w:rPr>
            </w:pPr>
            <w:r w:rsidRPr="001A0D9B">
              <w:rPr>
                <w:rFonts w:ascii="VIC Medium" w:eastAsia="VIC" w:hAnsi="VIC Medium"/>
              </w:rPr>
              <w:t>Total deaths</w:t>
            </w:r>
          </w:p>
        </w:tc>
        <w:tc>
          <w:tcPr>
            <w:tcW w:w="1418" w:type="dxa"/>
            <w:shd w:val="clear" w:color="auto" w:fill="F2F2F2" w:themeFill="background1" w:themeFillShade="F2"/>
            <w:hideMark/>
          </w:tcPr>
          <w:p w14:paraId="039841DF" w14:textId="77777777" w:rsidR="00CA1AE6" w:rsidRPr="001A0D9B" w:rsidRDefault="00CA1AE6" w:rsidP="00CA1AE6">
            <w:pPr>
              <w:pStyle w:val="SCVtablebody"/>
              <w:jc w:val="center"/>
              <w:rPr>
                <w:rFonts w:ascii="VIC Medium" w:eastAsia="VIC" w:hAnsi="VIC Medium"/>
              </w:rPr>
            </w:pPr>
            <w:r w:rsidRPr="001A0D9B">
              <w:rPr>
                <w:rFonts w:ascii="VIC Medium" w:eastAsia="VIC" w:hAnsi="VIC Medium"/>
              </w:rPr>
              <w:t>190</w:t>
            </w:r>
          </w:p>
        </w:tc>
        <w:tc>
          <w:tcPr>
            <w:tcW w:w="1417" w:type="dxa"/>
            <w:hideMark/>
          </w:tcPr>
          <w:p w14:paraId="0323C0A9" w14:textId="77777777" w:rsidR="00CA1AE6" w:rsidRPr="001A0D9B" w:rsidRDefault="00CA1AE6" w:rsidP="00CA1AE6">
            <w:pPr>
              <w:pStyle w:val="SCVtablebody"/>
              <w:jc w:val="center"/>
              <w:rPr>
                <w:rFonts w:ascii="VIC Medium" w:eastAsia="VIC" w:hAnsi="VIC Medium"/>
              </w:rPr>
            </w:pPr>
            <w:r w:rsidRPr="001A0D9B">
              <w:rPr>
                <w:rFonts w:ascii="VIC Medium" w:eastAsia="VIC" w:hAnsi="VIC Medium"/>
              </w:rPr>
              <w:t>310</w:t>
            </w:r>
          </w:p>
        </w:tc>
        <w:tc>
          <w:tcPr>
            <w:tcW w:w="1418" w:type="dxa"/>
            <w:shd w:val="clear" w:color="auto" w:fill="F2F2F2" w:themeFill="background1" w:themeFillShade="F2"/>
            <w:hideMark/>
          </w:tcPr>
          <w:p w14:paraId="0DA2D329" w14:textId="77777777" w:rsidR="00CA1AE6" w:rsidRPr="001A0D9B" w:rsidRDefault="00CA1AE6" w:rsidP="00CA1AE6">
            <w:pPr>
              <w:pStyle w:val="SCVtablebody"/>
              <w:jc w:val="center"/>
              <w:rPr>
                <w:rFonts w:ascii="VIC Medium" w:eastAsia="VIC" w:hAnsi="VIC Medium"/>
              </w:rPr>
            </w:pPr>
            <w:r w:rsidRPr="001A0D9B">
              <w:rPr>
                <w:rFonts w:ascii="VIC Medium" w:eastAsia="VIC" w:hAnsi="VIC Medium"/>
              </w:rPr>
              <w:t>401</w:t>
            </w:r>
          </w:p>
        </w:tc>
        <w:tc>
          <w:tcPr>
            <w:tcW w:w="1418" w:type="dxa"/>
            <w:hideMark/>
          </w:tcPr>
          <w:p w14:paraId="3A8B957A" w14:textId="77777777" w:rsidR="00CA1AE6" w:rsidRPr="001A0D9B" w:rsidRDefault="00CA1AE6" w:rsidP="00CA1AE6">
            <w:pPr>
              <w:pStyle w:val="SCVtablebody"/>
              <w:jc w:val="center"/>
              <w:rPr>
                <w:rFonts w:ascii="VIC Medium" w:eastAsia="VIC" w:hAnsi="VIC Medium"/>
              </w:rPr>
            </w:pPr>
            <w:r w:rsidRPr="001A0D9B">
              <w:rPr>
                <w:rFonts w:ascii="VIC Medium" w:eastAsia="VIC" w:hAnsi="VIC Medium"/>
              </w:rPr>
              <w:t>901**</w:t>
            </w:r>
          </w:p>
        </w:tc>
        <w:tc>
          <w:tcPr>
            <w:tcW w:w="1418" w:type="dxa"/>
            <w:hideMark/>
          </w:tcPr>
          <w:p w14:paraId="17F2420A" w14:textId="77777777" w:rsidR="00CA1AE6" w:rsidRPr="001A0D9B" w:rsidRDefault="00CA1AE6" w:rsidP="00CA1AE6">
            <w:pPr>
              <w:pStyle w:val="SCVtablebody"/>
              <w:jc w:val="center"/>
              <w:rPr>
                <w:rFonts w:ascii="VIC Medium" w:eastAsia="VIC" w:hAnsi="VIC Medium"/>
              </w:rPr>
            </w:pPr>
            <w:r w:rsidRPr="001A0D9B">
              <w:rPr>
                <w:rFonts w:ascii="VIC Medium" w:eastAsia="VIC" w:hAnsi="VIC Medium"/>
              </w:rPr>
              <w:t>+29%</w:t>
            </w:r>
          </w:p>
        </w:tc>
      </w:tr>
      <w:tr w:rsidR="00763424" w:rsidRPr="00CA1AE6" w14:paraId="4F81F99C" w14:textId="77777777" w:rsidTr="000B1F3B">
        <w:trPr>
          <w:cantSplit/>
        </w:trPr>
        <w:tc>
          <w:tcPr>
            <w:tcW w:w="3119" w:type="dxa"/>
            <w:hideMark/>
          </w:tcPr>
          <w:p w14:paraId="711758B4" w14:textId="77777777" w:rsidR="00CA1AE6" w:rsidRPr="00CA1AE6" w:rsidRDefault="00CA1AE6" w:rsidP="00CA1AE6">
            <w:pPr>
              <w:pStyle w:val="SCVtablebody"/>
              <w:rPr>
                <w:rFonts w:eastAsia="VIC"/>
                <w:bCs/>
              </w:rPr>
            </w:pPr>
            <w:r w:rsidRPr="00CA1AE6">
              <w:rPr>
                <w:rFonts w:eastAsia="VIC"/>
                <w:bCs/>
              </w:rPr>
              <w:t>Voluntary assisted dying substance not administered</w:t>
            </w:r>
          </w:p>
        </w:tc>
        <w:tc>
          <w:tcPr>
            <w:tcW w:w="1418" w:type="dxa"/>
            <w:shd w:val="clear" w:color="auto" w:fill="F2F2F2" w:themeFill="background1" w:themeFillShade="F2"/>
            <w:hideMark/>
          </w:tcPr>
          <w:p w14:paraId="27B2E05C" w14:textId="77777777" w:rsidR="00CA1AE6" w:rsidRPr="00CA1AE6" w:rsidRDefault="00CA1AE6" w:rsidP="00CA1AE6">
            <w:pPr>
              <w:pStyle w:val="SCVtablebody"/>
              <w:jc w:val="center"/>
              <w:rPr>
                <w:rFonts w:eastAsia="VIC"/>
                <w:bCs/>
              </w:rPr>
            </w:pPr>
            <w:r w:rsidRPr="00CA1AE6">
              <w:rPr>
                <w:rFonts w:eastAsia="VIC"/>
                <w:bCs/>
              </w:rPr>
              <w:t>59</w:t>
            </w:r>
          </w:p>
        </w:tc>
        <w:tc>
          <w:tcPr>
            <w:tcW w:w="1417" w:type="dxa"/>
            <w:hideMark/>
          </w:tcPr>
          <w:p w14:paraId="145603B7" w14:textId="77777777" w:rsidR="00CA1AE6" w:rsidRPr="00CA1AE6" w:rsidRDefault="00CA1AE6" w:rsidP="00CA1AE6">
            <w:pPr>
              <w:pStyle w:val="SCVtablebody"/>
              <w:jc w:val="center"/>
              <w:rPr>
                <w:rFonts w:eastAsia="VIC"/>
                <w:bCs/>
              </w:rPr>
            </w:pPr>
            <w:r w:rsidRPr="00CA1AE6">
              <w:rPr>
                <w:rFonts w:eastAsia="VIC"/>
                <w:bCs/>
              </w:rPr>
              <w:t>105</w:t>
            </w:r>
          </w:p>
        </w:tc>
        <w:tc>
          <w:tcPr>
            <w:tcW w:w="1418" w:type="dxa"/>
            <w:shd w:val="clear" w:color="auto" w:fill="F2F2F2" w:themeFill="background1" w:themeFillShade="F2"/>
            <w:hideMark/>
          </w:tcPr>
          <w:p w14:paraId="42D9323C" w14:textId="77777777" w:rsidR="00CA1AE6" w:rsidRPr="00CA1AE6" w:rsidRDefault="00CA1AE6" w:rsidP="00CA1AE6">
            <w:pPr>
              <w:pStyle w:val="SCVtablebody"/>
              <w:jc w:val="center"/>
              <w:rPr>
                <w:rFonts w:eastAsia="VIC"/>
                <w:bCs/>
              </w:rPr>
            </w:pPr>
            <w:r w:rsidRPr="00CA1AE6">
              <w:rPr>
                <w:rFonts w:eastAsia="VIC"/>
                <w:bCs/>
              </w:rPr>
              <w:t>127</w:t>
            </w:r>
          </w:p>
        </w:tc>
        <w:tc>
          <w:tcPr>
            <w:tcW w:w="1418" w:type="dxa"/>
            <w:hideMark/>
          </w:tcPr>
          <w:p w14:paraId="21690ED3" w14:textId="77777777" w:rsidR="00CA1AE6" w:rsidRPr="00CA1AE6" w:rsidRDefault="00CA1AE6" w:rsidP="00CA1AE6">
            <w:pPr>
              <w:pStyle w:val="SCVtablebody"/>
              <w:jc w:val="center"/>
              <w:rPr>
                <w:rFonts w:eastAsia="VIC"/>
                <w:bCs/>
              </w:rPr>
            </w:pPr>
            <w:r w:rsidRPr="00CA1AE6">
              <w:rPr>
                <w:rFonts w:eastAsia="VIC"/>
                <w:bCs/>
              </w:rPr>
              <w:t>291</w:t>
            </w:r>
          </w:p>
        </w:tc>
        <w:tc>
          <w:tcPr>
            <w:tcW w:w="1418" w:type="dxa"/>
            <w:hideMark/>
          </w:tcPr>
          <w:p w14:paraId="566A8520" w14:textId="77777777" w:rsidR="00CA1AE6" w:rsidRPr="00CA1AE6" w:rsidRDefault="00CA1AE6" w:rsidP="00CA1AE6">
            <w:pPr>
              <w:pStyle w:val="SCVtablebody"/>
              <w:jc w:val="center"/>
              <w:rPr>
                <w:rFonts w:eastAsia="VIC"/>
                <w:bCs/>
              </w:rPr>
            </w:pPr>
            <w:r w:rsidRPr="00CA1AE6">
              <w:rPr>
                <w:rFonts w:eastAsia="VIC"/>
                <w:bCs/>
              </w:rPr>
              <w:t>+21%</w:t>
            </w:r>
          </w:p>
        </w:tc>
      </w:tr>
      <w:tr w:rsidR="00763424" w:rsidRPr="00CA1AE6" w14:paraId="542B795F" w14:textId="77777777" w:rsidTr="000B1F3B">
        <w:trPr>
          <w:cantSplit/>
        </w:trPr>
        <w:tc>
          <w:tcPr>
            <w:tcW w:w="3119" w:type="dxa"/>
            <w:hideMark/>
          </w:tcPr>
          <w:p w14:paraId="4851BF78" w14:textId="77777777" w:rsidR="00CA1AE6" w:rsidRPr="00CA1AE6" w:rsidRDefault="00CA1AE6" w:rsidP="00CA1AE6">
            <w:pPr>
              <w:pStyle w:val="SCVtablebody"/>
              <w:rPr>
                <w:bCs/>
              </w:rPr>
            </w:pPr>
            <w:r w:rsidRPr="00CA1AE6">
              <w:rPr>
                <w:rFonts w:eastAsia="VIC"/>
                <w:bCs/>
              </w:rPr>
              <w:t>Self-administration of the voluntary assisted dying substance</w:t>
            </w:r>
          </w:p>
        </w:tc>
        <w:tc>
          <w:tcPr>
            <w:tcW w:w="1418" w:type="dxa"/>
            <w:shd w:val="clear" w:color="auto" w:fill="F2F2F2" w:themeFill="background1" w:themeFillShade="F2"/>
            <w:hideMark/>
          </w:tcPr>
          <w:p w14:paraId="032B4AB8" w14:textId="77777777" w:rsidR="00CA1AE6" w:rsidRPr="00CA1AE6" w:rsidRDefault="00CA1AE6" w:rsidP="00CA1AE6">
            <w:pPr>
              <w:pStyle w:val="SCVtablebody"/>
              <w:jc w:val="center"/>
              <w:rPr>
                <w:rFonts w:eastAsia="VIC"/>
                <w:bCs/>
              </w:rPr>
            </w:pPr>
            <w:r w:rsidRPr="00CA1AE6">
              <w:rPr>
                <w:rFonts w:eastAsia="VIC"/>
                <w:bCs/>
              </w:rPr>
              <w:t>110</w:t>
            </w:r>
          </w:p>
        </w:tc>
        <w:tc>
          <w:tcPr>
            <w:tcW w:w="1417" w:type="dxa"/>
            <w:hideMark/>
          </w:tcPr>
          <w:p w14:paraId="2EDE2C71" w14:textId="77777777" w:rsidR="00CA1AE6" w:rsidRPr="00CA1AE6" w:rsidRDefault="00CA1AE6" w:rsidP="00CA1AE6">
            <w:pPr>
              <w:pStyle w:val="SCVtablebody"/>
              <w:jc w:val="center"/>
              <w:rPr>
                <w:rFonts w:eastAsia="VIC"/>
                <w:bCs/>
              </w:rPr>
            </w:pPr>
            <w:r w:rsidRPr="00CA1AE6">
              <w:rPr>
                <w:rFonts w:eastAsia="VIC"/>
                <w:bCs/>
              </w:rPr>
              <w:t>176</w:t>
            </w:r>
          </w:p>
        </w:tc>
        <w:tc>
          <w:tcPr>
            <w:tcW w:w="1418" w:type="dxa"/>
            <w:shd w:val="clear" w:color="auto" w:fill="F2F2F2" w:themeFill="background1" w:themeFillShade="F2"/>
            <w:hideMark/>
          </w:tcPr>
          <w:p w14:paraId="1C5BBC5A" w14:textId="77777777" w:rsidR="00CA1AE6" w:rsidRPr="00CA1AE6" w:rsidRDefault="00CA1AE6" w:rsidP="00CA1AE6">
            <w:pPr>
              <w:pStyle w:val="SCVtablebody"/>
              <w:jc w:val="center"/>
              <w:rPr>
                <w:rFonts w:eastAsia="VIC"/>
                <w:bCs/>
              </w:rPr>
            </w:pPr>
            <w:r w:rsidRPr="00CA1AE6">
              <w:rPr>
                <w:rFonts w:eastAsia="VIC"/>
                <w:bCs/>
              </w:rPr>
              <w:t>231</w:t>
            </w:r>
          </w:p>
        </w:tc>
        <w:tc>
          <w:tcPr>
            <w:tcW w:w="1418" w:type="dxa"/>
            <w:hideMark/>
          </w:tcPr>
          <w:p w14:paraId="06559640" w14:textId="77777777" w:rsidR="00CA1AE6" w:rsidRPr="00CA1AE6" w:rsidRDefault="00CA1AE6" w:rsidP="00CA1AE6">
            <w:pPr>
              <w:pStyle w:val="SCVtablebody"/>
              <w:jc w:val="center"/>
              <w:rPr>
                <w:rFonts w:eastAsia="VIC"/>
                <w:bCs/>
              </w:rPr>
            </w:pPr>
            <w:r w:rsidRPr="00CA1AE6">
              <w:rPr>
                <w:rFonts w:eastAsia="VIC"/>
                <w:bCs/>
              </w:rPr>
              <w:t>517</w:t>
            </w:r>
          </w:p>
        </w:tc>
        <w:tc>
          <w:tcPr>
            <w:tcW w:w="1418" w:type="dxa"/>
            <w:hideMark/>
          </w:tcPr>
          <w:p w14:paraId="1C71C8A7" w14:textId="77777777" w:rsidR="00CA1AE6" w:rsidRPr="00CA1AE6" w:rsidRDefault="00CA1AE6" w:rsidP="00CA1AE6">
            <w:pPr>
              <w:pStyle w:val="SCVtablebody"/>
              <w:jc w:val="center"/>
              <w:rPr>
                <w:rFonts w:eastAsia="VIC"/>
                <w:bCs/>
              </w:rPr>
            </w:pPr>
            <w:r w:rsidRPr="00CA1AE6">
              <w:rPr>
                <w:rFonts w:eastAsia="VIC"/>
                <w:bCs/>
              </w:rPr>
              <w:t>+31%</w:t>
            </w:r>
          </w:p>
        </w:tc>
      </w:tr>
      <w:tr w:rsidR="00763424" w:rsidRPr="00CA1AE6" w14:paraId="7E23160C" w14:textId="77777777" w:rsidTr="000B1F3B">
        <w:trPr>
          <w:cantSplit/>
        </w:trPr>
        <w:tc>
          <w:tcPr>
            <w:tcW w:w="3119" w:type="dxa"/>
            <w:hideMark/>
          </w:tcPr>
          <w:p w14:paraId="22DC0F06" w14:textId="77777777" w:rsidR="00CA1AE6" w:rsidRPr="00CA1AE6" w:rsidRDefault="00CA1AE6" w:rsidP="00CA1AE6">
            <w:pPr>
              <w:pStyle w:val="SCVtablebody"/>
              <w:rPr>
                <w:bCs/>
              </w:rPr>
            </w:pPr>
            <w:r w:rsidRPr="00CA1AE6">
              <w:rPr>
                <w:rFonts w:eastAsia="VIC"/>
                <w:bCs/>
              </w:rPr>
              <w:t>Practitioner administration of the voluntary assisted dying substance</w:t>
            </w:r>
          </w:p>
        </w:tc>
        <w:tc>
          <w:tcPr>
            <w:tcW w:w="1418" w:type="dxa"/>
            <w:shd w:val="clear" w:color="auto" w:fill="F2F2F2" w:themeFill="background1" w:themeFillShade="F2"/>
            <w:hideMark/>
          </w:tcPr>
          <w:p w14:paraId="6F392707" w14:textId="77777777" w:rsidR="00CA1AE6" w:rsidRPr="00CA1AE6" w:rsidRDefault="00CA1AE6" w:rsidP="00CA1AE6">
            <w:pPr>
              <w:pStyle w:val="SCVtablebody"/>
              <w:jc w:val="center"/>
              <w:rPr>
                <w:rFonts w:eastAsia="VIC"/>
                <w:bCs/>
              </w:rPr>
            </w:pPr>
            <w:r w:rsidRPr="00CA1AE6">
              <w:rPr>
                <w:rFonts w:eastAsia="VIC"/>
                <w:bCs/>
              </w:rPr>
              <w:t>21</w:t>
            </w:r>
          </w:p>
        </w:tc>
        <w:tc>
          <w:tcPr>
            <w:tcW w:w="1417" w:type="dxa"/>
            <w:hideMark/>
          </w:tcPr>
          <w:p w14:paraId="7E9B2D2D" w14:textId="77777777" w:rsidR="00CA1AE6" w:rsidRPr="00CA1AE6" w:rsidRDefault="00CA1AE6" w:rsidP="00CA1AE6">
            <w:pPr>
              <w:pStyle w:val="SCVtablebody"/>
              <w:jc w:val="center"/>
              <w:rPr>
                <w:rFonts w:eastAsia="VIC"/>
                <w:bCs/>
              </w:rPr>
            </w:pPr>
            <w:r w:rsidRPr="00CA1AE6">
              <w:rPr>
                <w:rFonts w:eastAsia="VIC"/>
                <w:bCs/>
              </w:rPr>
              <w:t>28</w:t>
            </w:r>
          </w:p>
        </w:tc>
        <w:tc>
          <w:tcPr>
            <w:tcW w:w="1418" w:type="dxa"/>
            <w:shd w:val="clear" w:color="auto" w:fill="F2F2F2" w:themeFill="background1" w:themeFillShade="F2"/>
            <w:hideMark/>
          </w:tcPr>
          <w:p w14:paraId="22211E72" w14:textId="77777777" w:rsidR="00CA1AE6" w:rsidRPr="00CA1AE6" w:rsidRDefault="00CA1AE6" w:rsidP="00CA1AE6">
            <w:pPr>
              <w:pStyle w:val="SCVtablebody"/>
              <w:jc w:val="center"/>
              <w:rPr>
                <w:rFonts w:eastAsia="VIC"/>
                <w:bCs/>
              </w:rPr>
            </w:pPr>
            <w:r w:rsidRPr="00CA1AE6">
              <w:rPr>
                <w:rFonts w:eastAsia="VIC"/>
                <w:bCs/>
              </w:rPr>
              <w:t>38</w:t>
            </w:r>
          </w:p>
        </w:tc>
        <w:tc>
          <w:tcPr>
            <w:tcW w:w="1418" w:type="dxa"/>
            <w:hideMark/>
          </w:tcPr>
          <w:p w14:paraId="6B99C212" w14:textId="77777777" w:rsidR="00CA1AE6" w:rsidRPr="00CA1AE6" w:rsidRDefault="00CA1AE6" w:rsidP="00CA1AE6">
            <w:pPr>
              <w:pStyle w:val="SCVtablebody"/>
              <w:jc w:val="center"/>
              <w:rPr>
                <w:rFonts w:eastAsia="VIC"/>
                <w:bCs/>
              </w:rPr>
            </w:pPr>
            <w:r w:rsidRPr="00CA1AE6">
              <w:rPr>
                <w:rFonts w:eastAsia="VIC"/>
                <w:bCs/>
              </w:rPr>
              <w:t>87</w:t>
            </w:r>
          </w:p>
        </w:tc>
        <w:tc>
          <w:tcPr>
            <w:tcW w:w="1418" w:type="dxa"/>
            <w:hideMark/>
          </w:tcPr>
          <w:p w14:paraId="04B71166" w14:textId="77777777" w:rsidR="00CA1AE6" w:rsidRPr="00CA1AE6" w:rsidRDefault="00CA1AE6" w:rsidP="00CA1AE6">
            <w:pPr>
              <w:pStyle w:val="SCVtablebody"/>
              <w:jc w:val="center"/>
              <w:rPr>
                <w:rFonts w:eastAsia="VIC"/>
                <w:bCs/>
              </w:rPr>
            </w:pPr>
            <w:r w:rsidRPr="00CA1AE6">
              <w:rPr>
                <w:rFonts w:eastAsia="VIC"/>
                <w:bCs/>
              </w:rPr>
              <w:t>+36%</w:t>
            </w:r>
          </w:p>
        </w:tc>
      </w:tr>
    </w:tbl>
    <w:p w14:paraId="424D30D4" w14:textId="5E074747" w:rsidR="00CA1AE6" w:rsidRDefault="00CA1AE6" w:rsidP="00CA1AE6">
      <w:pPr>
        <w:pStyle w:val="SCVtablefigurenote"/>
        <w:rPr>
          <w:lang w:eastAsia="en-US"/>
        </w:rPr>
      </w:pPr>
      <w:r>
        <w:rPr>
          <w:lang w:eastAsia="en-US"/>
        </w:rPr>
        <w:t xml:space="preserve">* This column includes 12 days of 2018-19 </w:t>
      </w:r>
      <w:bookmarkStart w:id="7" w:name="_Int_IxVFNfXY"/>
      <w:r>
        <w:rPr>
          <w:lang w:eastAsia="en-US"/>
        </w:rPr>
        <w:t>financial year</w:t>
      </w:r>
      <w:bookmarkEnd w:id="7"/>
      <w:r>
        <w:rPr>
          <w:lang w:eastAsia="en-US"/>
        </w:rPr>
        <w:t xml:space="preserve"> as the program commenced on 19 June 2019.</w:t>
      </w:r>
      <w:r>
        <w:br/>
      </w:r>
      <w:r>
        <w:rPr>
          <w:lang w:eastAsia="en-US"/>
        </w:rPr>
        <w:t xml:space="preserve">** Six applicants who died </w:t>
      </w:r>
      <w:r w:rsidR="00CE4EC1">
        <w:rPr>
          <w:lang w:eastAsia="en-US"/>
        </w:rPr>
        <w:t>near the 30 June 2022</w:t>
      </w:r>
      <w:r>
        <w:rPr>
          <w:lang w:eastAsia="en-US"/>
        </w:rPr>
        <w:t xml:space="preserve"> </w:t>
      </w:r>
      <w:r w:rsidR="00A22A5F">
        <w:rPr>
          <w:lang w:eastAsia="en-US"/>
        </w:rPr>
        <w:t xml:space="preserve">did not </w:t>
      </w:r>
      <w:r>
        <w:rPr>
          <w:lang w:eastAsia="en-US"/>
        </w:rPr>
        <w:t>have their manner of death reported to the Board</w:t>
      </w:r>
      <w:r w:rsidR="00A22A5F">
        <w:rPr>
          <w:lang w:eastAsia="en-US"/>
        </w:rPr>
        <w:t xml:space="preserve"> at the time of analysis</w:t>
      </w:r>
      <w:r>
        <w:rPr>
          <w:lang w:eastAsia="en-US"/>
        </w:rPr>
        <w:t>.</w:t>
      </w:r>
    </w:p>
    <w:p w14:paraId="7598C27C" w14:textId="77777777" w:rsidR="00CA1AE6" w:rsidRPr="00CA1AE6" w:rsidRDefault="00CA1AE6" w:rsidP="00CA1AE6">
      <w:pPr>
        <w:pStyle w:val="SCVtablefigurenote"/>
        <w:rPr>
          <w:lang w:eastAsia="en-US"/>
        </w:rPr>
      </w:pPr>
    </w:p>
    <w:p w14:paraId="116A6CA3" w14:textId="2AFD33C5" w:rsidR="00F16C4F" w:rsidRDefault="00F16C4F" w:rsidP="00F16C4F">
      <w:pPr>
        <w:pStyle w:val="Heading1"/>
      </w:pPr>
      <w:r>
        <w:lastRenderedPageBreak/>
        <w:t>Medical practitioner involvement</w:t>
      </w:r>
    </w:p>
    <w:p w14:paraId="4E3B7220" w14:textId="643E4B8F" w:rsidR="00E833AF" w:rsidRDefault="00763424" w:rsidP="00EF2D3C">
      <w:pPr>
        <w:pStyle w:val="SCVbody"/>
        <w:rPr>
          <w:rFonts w:ascii="VIC Medium" w:hAnsi="VIC Medium"/>
          <w:color w:val="0063A5" w:themeColor="text2"/>
          <w:sz w:val="20"/>
          <w:szCs w:val="20"/>
        </w:rPr>
        <w:sectPr w:rsidR="00E833AF" w:rsidSect="00EB29C3">
          <w:headerReference w:type="even" r:id="rId36"/>
          <w:headerReference w:type="default" r:id="rId37"/>
          <w:type w:val="continuous"/>
          <w:pgSz w:w="11906" w:h="16838" w:code="9"/>
          <w:pgMar w:top="3402" w:right="851" w:bottom="1361" w:left="851" w:header="851" w:footer="851" w:gutter="0"/>
          <w:cols w:space="284"/>
          <w:docGrid w:linePitch="360"/>
        </w:sectPr>
      </w:pPr>
      <w:r w:rsidRPr="00763424">
        <w:rPr>
          <w:rFonts w:ascii="VIC Medium" w:hAnsi="VIC Medium"/>
          <w:bCs/>
          <w:color w:val="0063A5" w:themeColor="text2"/>
          <w:sz w:val="20"/>
          <w:szCs w:val="20"/>
        </w:rPr>
        <w:t xml:space="preserve">Compassionate and dedicated medical practitioners continue to provide care and support to Victorians seeking access to voluntary assisted dying. Service delivery has been strengthened, and system wide improvements have been informed by the generosity of the medical practitioners who willingly provide feedback to the Board, the Department of Health’s End of Life Care </w:t>
      </w:r>
      <w:r w:rsidR="00970695">
        <w:rPr>
          <w:rFonts w:ascii="VIC Medium" w:hAnsi="VIC Medium"/>
          <w:bCs/>
          <w:color w:val="0063A5" w:themeColor="text2"/>
          <w:sz w:val="20"/>
          <w:szCs w:val="20"/>
        </w:rPr>
        <w:t xml:space="preserve">and Palliative Services </w:t>
      </w:r>
      <w:r w:rsidRPr="00763424">
        <w:rPr>
          <w:rFonts w:ascii="VIC Medium" w:hAnsi="VIC Medium"/>
          <w:bCs/>
          <w:color w:val="0063A5" w:themeColor="text2"/>
          <w:sz w:val="20"/>
          <w:szCs w:val="20"/>
        </w:rPr>
        <w:t>team and through the Community of Practice.</w:t>
      </w:r>
    </w:p>
    <w:p w14:paraId="54BB44C5" w14:textId="61ECE9C0" w:rsidR="00763424" w:rsidRDefault="00763424" w:rsidP="00763424">
      <w:pPr>
        <w:pStyle w:val="SCVbody"/>
      </w:pPr>
      <w:r>
        <w:t xml:space="preserve">Medical practitioners are required to complete the online training program prior to conducting eligibility assessments for voluntary assisted dying. Over the three years since voluntary assisted dying became available in Victoria, there has been continued growth in the number of medical practitioners who have completed the training. </w:t>
      </w:r>
    </w:p>
    <w:p w14:paraId="1FFEA3AE" w14:textId="518AB921" w:rsidR="00763424" w:rsidRDefault="00763424" w:rsidP="00763424">
      <w:pPr>
        <w:pStyle w:val="SCVbody"/>
      </w:pPr>
      <w:r>
        <w:t>The Board recognise</w:t>
      </w:r>
      <w:r w:rsidR="0084054D">
        <w:t>s</w:t>
      </w:r>
      <w:r>
        <w:t xml:space="preserve"> the skills and experience of those who choose to be involved in voluntary assisted dying assessments and permit applications.</w:t>
      </w:r>
    </w:p>
    <w:p w14:paraId="3E1EEF0C" w14:textId="571A54AB" w:rsidR="0010465F" w:rsidRDefault="00763424" w:rsidP="0090538D">
      <w:pPr>
        <w:pStyle w:val="SCVbody"/>
      </w:pPr>
      <w:r>
        <w:t>We thank registered</w:t>
      </w:r>
      <w:r w:rsidR="0083748E">
        <w:t xml:space="preserve"> medical</w:t>
      </w:r>
      <w:r>
        <w:t xml:space="preserve"> practitioners for their care and expertise throughout the sometimes-challenging process</w:t>
      </w:r>
      <w:r w:rsidR="00F16C4F">
        <w:t>.</w:t>
      </w:r>
    </w:p>
    <w:p w14:paraId="33FA3CDA" w14:textId="5D9DE9BC" w:rsidR="00763424" w:rsidRPr="00763424" w:rsidRDefault="00E43476" w:rsidP="00DB243D">
      <w:pPr>
        <w:pStyle w:val="SCVquote"/>
        <w:rPr>
          <w:rFonts w:asciiTheme="majorHAnsi" w:hAnsiTheme="majorHAnsi"/>
        </w:rPr>
      </w:pPr>
      <w:r>
        <w:t>‘</w:t>
      </w:r>
      <w:r w:rsidR="00763424">
        <w:t xml:space="preserve">I have found the process to be </w:t>
      </w:r>
      <w:bookmarkStart w:id="8" w:name="_Int_OtuvPopF"/>
      <w:r w:rsidR="00763424">
        <w:t>well managed</w:t>
      </w:r>
      <w:bookmarkEnd w:id="8"/>
      <w:r w:rsidR="00763424">
        <w:t xml:space="preserve"> and efficient and have been kept well informed </w:t>
      </w:r>
      <w:r w:rsidR="00763424">
        <w:t xml:space="preserve">throughout. My interactions [with the medical </w:t>
      </w:r>
      <w:r w:rsidR="003F4197">
        <w:t>p</w:t>
      </w:r>
      <w:r w:rsidR="00763424">
        <w:t xml:space="preserve">ractitioner] have been very professional, </w:t>
      </w:r>
      <w:bookmarkStart w:id="9" w:name="_Int_fvSfCRy0"/>
      <w:r w:rsidR="00763424">
        <w:t>thorough</w:t>
      </w:r>
      <w:bookmarkEnd w:id="9"/>
      <w:r w:rsidR="00763424">
        <w:t xml:space="preserve"> and compassionate.</w:t>
      </w:r>
      <w:r>
        <w:t>’</w:t>
      </w:r>
      <w:r w:rsidR="00DB243D">
        <w:t xml:space="preserve"> </w:t>
      </w:r>
      <w:r w:rsidR="00763424" w:rsidRPr="00763424">
        <w:rPr>
          <w:rFonts w:asciiTheme="majorHAnsi" w:hAnsiTheme="majorHAnsi"/>
        </w:rPr>
        <w:t>Applicant</w:t>
      </w:r>
    </w:p>
    <w:p w14:paraId="311FD98C" w14:textId="422F9D16" w:rsidR="007A0C86" w:rsidRDefault="00E43476" w:rsidP="00DB243D">
      <w:pPr>
        <w:pStyle w:val="SCVquote"/>
        <w:rPr>
          <w:rFonts w:asciiTheme="majorHAnsi" w:hAnsiTheme="majorHAnsi"/>
        </w:rPr>
        <w:sectPr w:rsidR="007A0C86" w:rsidSect="00EB29C3">
          <w:type w:val="continuous"/>
          <w:pgSz w:w="11906" w:h="16838" w:code="9"/>
          <w:pgMar w:top="3402" w:right="851" w:bottom="1361" w:left="851" w:header="851" w:footer="851" w:gutter="0"/>
          <w:cols w:num="2" w:space="284"/>
          <w:docGrid w:linePitch="360"/>
        </w:sectPr>
      </w:pPr>
      <w:r>
        <w:t>‘</w:t>
      </w:r>
      <w:r w:rsidR="00763424" w:rsidRPr="00763424">
        <w:t xml:space="preserve">[The applicant] </w:t>
      </w:r>
      <w:bookmarkStart w:id="10" w:name="_Int_I6TGrmww"/>
      <w:r w:rsidR="00763424" w:rsidRPr="00763424">
        <w:t>would’ve</w:t>
      </w:r>
      <w:bookmarkEnd w:id="10"/>
      <w:r w:rsidR="00763424" w:rsidRPr="00763424">
        <w:t xml:space="preserve"> liked to click her fingers and have had the </w:t>
      </w:r>
      <w:r w:rsidR="005829B2">
        <w:t>substance</w:t>
      </w:r>
      <w:r w:rsidR="005829B2" w:rsidRPr="00763424">
        <w:t xml:space="preserve"> </w:t>
      </w:r>
      <w:r w:rsidR="00763424" w:rsidRPr="00763424">
        <w:t xml:space="preserve">the same day she decided to take it. We were all very understanding that there was a specific process that had to be followed and both the Care Navigator and the GP talked us through each of the steps and the anticipated timeframes so that was reassuring. We were all so appreciative and thankful that she was able to access voluntary assisted dying, she was ready. And the GP, he just did everything he absolutely could to make the process easy for </w:t>
      </w:r>
      <w:proofErr w:type="gramStart"/>
      <w:r w:rsidR="00763424" w:rsidRPr="00763424">
        <w:t>us..</w:t>
      </w:r>
      <w:proofErr w:type="gramEnd"/>
      <w:r>
        <w:t>’</w:t>
      </w:r>
      <w:r w:rsidR="00DB243D">
        <w:t xml:space="preserve"> </w:t>
      </w:r>
      <w:r w:rsidR="00763424" w:rsidRPr="00763424">
        <w:rPr>
          <w:rFonts w:asciiTheme="majorHAnsi" w:hAnsiTheme="majorHAnsi"/>
        </w:rPr>
        <w:t>Contact person</w:t>
      </w:r>
    </w:p>
    <w:p w14:paraId="58A1597E" w14:textId="77777777" w:rsidR="002615B7" w:rsidRDefault="002615B7" w:rsidP="00F16C4F">
      <w:pPr>
        <w:pStyle w:val="SCVtablecaption"/>
        <w:sectPr w:rsidR="002615B7" w:rsidSect="00EB29C3">
          <w:type w:val="continuous"/>
          <w:pgSz w:w="11906" w:h="16838" w:code="9"/>
          <w:pgMar w:top="3402" w:right="851" w:bottom="1361" w:left="851" w:header="851" w:footer="851" w:gutter="0"/>
          <w:cols w:space="284"/>
          <w:docGrid w:linePitch="360"/>
        </w:sectPr>
      </w:pPr>
    </w:p>
    <w:p w14:paraId="6A5A1F34" w14:textId="13BC60D5" w:rsidR="00F16C4F" w:rsidRDefault="00763424" w:rsidP="00F16C4F">
      <w:pPr>
        <w:pStyle w:val="SCVtablecaption"/>
      </w:pPr>
      <w:r w:rsidRPr="00763424">
        <w:t>Table 3: Medical practitioner training and involvement since commencement of training availability</w:t>
      </w:r>
    </w:p>
    <w:tbl>
      <w:tblPr>
        <w:tblStyle w:val="TableGrid11"/>
        <w:tblW w:w="10206" w:type="dxa"/>
        <w:tblInd w:w="0" w:type="dxa"/>
        <w:tblLayout w:type="fixed"/>
        <w:tblLook w:val="04A0" w:firstRow="1" w:lastRow="0" w:firstColumn="1" w:lastColumn="0" w:noHBand="0" w:noVBand="1"/>
      </w:tblPr>
      <w:tblGrid>
        <w:gridCol w:w="1701"/>
        <w:gridCol w:w="3686"/>
        <w:gridCol w:w="1559"/>
        <w:gridCol w:w="1559"/>
        <w:gridCol w:w="1701"/>
      </w:tblGrid>
      <w:tr w:rsidR="00DB243D" w:rsidRPr="00573384" w14:paraId="60FEC8A8" w14:textId="77777777" w:rsidTr="00BE5A4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hideMark/>
          </w:tcPr>
          <w:p w14:paraId="648468AA" w14:textId="77777777" w:rsidR="00DB243D" w:rsidRPr="00BF06DD" w:rsidRDefault="00DB243D" w:rsidP="00DB243D">
            <w:pPr>
              <w:pStyle w:val="SCVtablecolhead"/>
              <w:rPr>
                <w:rFonts w:ascii="VIC SemiBold" w:eastAsia="Yu Gothic Light" w:hAnsi="VIC SemiBold"/>
              </w:rPr>
            </w:pPr>
            <w:r w:rsidRPr="00BF06DD">
              <w:rPr>
                <w:rFonts w:ascii="VIC SemiBold" w:eastAsia="Yu Gothic Light" w:hAnsi="VIC SemiBold"/>
              </w:rPr>
              <w:t>Stage</w:t>
            </w:r>
          </w:p>
        </w:tc>
        <w:tc>
          <w:tcPr>
            <w:tcW w:w="3686" w:type="dxa"/>
            <w:hideMark/>
          </w:tcPr>
          <w:p w14:paraId="46B03021" w14:textId="77777777" w:rsidR="00DB243D" w:rsidRPr="00C8136D" w:rsidRDefault="00DB243D" w:rsidP="00DB243D">
            <w:pPr>
              <w:pStyle w:val="SCVtablecolhead"/>
              <w:cnfStyle w:val="100000000000" w:firstRow="1" w:lastRow="0" w:firstColumn="0" w:lastColumn="0" w:oddVBand="0" w:evenVBand="0" w:oddHBand="0" w:evenHBand="0" w:firstRowFirstColumn="0" w:firstRowLastColumn="0" w:lastRowFirstColumn="0" w:lastRowLastColumn="0"/>
              <w:rPr>
                <w:rFonts w:ascii="VIC SemiBold" w:eastAsia="Yu Gothic Light" w:hAnsi="VIC SemiBold"/>
              </w:rPr>
            </w:pPr>
            <w:r w:rsidRPr="00C8136D">
              <w:rPr>
                <w:rFonts w:ascii="VIC SemiBold" w:eastAsia="Yu Gothic Light" w:hAnsi="VIC SemiBold"/>
              </w:rPr>
              <w:t>Description</w:t>
            </w:r>
          </w:p>
        </w:tc>
        <w:tc>
          <w:tcPr>
            <w:tcW w:w="1559" w:type="dxa"/>
            <w:hideMark/>
          </w:tcPr>
          <w:p w14:paraId="70332AD1" w14:textId="77777777" w:rsidR="00DB243D" w:rsidRPr="00C8136D" w:rsidRDefault="00DB243D" w:rsidP="00573384">
            <w:pPr>
              <w:pStyle w:val="SCVtablecolhead"/>
              <w:jc w:val="center"/>
              <w:cnfStyle w:val="100000000000" w:firstRow="1" w:lastRow="0" w:firstColumn="0" w:lastColumn="0" w:oddVBand="0" w:evenVBand="0" w:oddHBand="0" w:evenHBand="0" w:firstRowFirstColumn="0" w:firstRowLastColumn="0" w:lastRowFirstColumn="0" w:lastRowLastColumn="0"/>
              <w:rPr>
                <w:rFonts w:ascii="VIC SemiBold" w:eastAsia="Yu Gothic Light" w:hAnsi="VIC SemiBold"/>
              </w:rPr>
            </w:pPr>
            <w:r w:rsidRPr="00C8136D">
              <w:rPr>
                <w:rFonts w:ascii="VIC SemiBold" w:eastAsia="Yu Gothic Light" w:hAnsi="VIC SemiBold"/>
              </w:rPr>
              <w:t>Total as of 30 June 2021</w:t>
            </w:r>
          </w:p>
        </w:tc>
        <w:tc>
          <w:tcPr>
            <w:tcW w:w="1559" w:type="dxa"/>
            <w:hideMark/>
          </w:tcPr>
          <w:p w14:paraId="75FE830B" w14:textId="0CDDFA0B" w:rsidR="00DB243D" w:rsidRPr="00C8136D" w:rsidRDefault="00DB243D" w:rsidP="00573384">
            <w:pPr>
              <w:pStyle w:val="SCVtablecolhead"/>
              <w:jc w:val="center"/>
              <w:cnfStyle w:val="100000000000" w:firstRow="1" w:lastRow="0" w:firstColumn="0" w:lastColumn="0" w:oddVBand="0" w:evenVBand="0" w:oddHBand="0" w:evenHBand="0" w:firstRowFirstColumn="0" w:firstRowLastColumn="0" w:lastRowFirstColumn="0" w:lastRowLastColumn="0"/>
              <w:rPr>
                <w:rFonts w:ascii="VIC SemiBold" w:eastAsia="Yu Gothic Light" w:hAnsi="VIC SemiBold"/>
              </w:rPr>
            </w:pPr>
            <w:r w:rsidRPr="00C8136D">
              <w:rPr>
                <w:rFonts w:ascii="VIC SemiBold" w:eastAsia="Yu Gothic Light" w:hAnsi="VIC SemiBold"/>
              </w:rPr>
              <w:t>Total as of 30 June 2022</w:t>
            </w:r>
          </w:p>
        </w:tc>
        <w:tc>
          <w:tcPr>
            <w:tcW w:w="1701" w:type="dxa"/>
            <w:hideMark/>
          </w:tcPr>
          <w:p w14:paraId="3FF62539" w14:textId="4D161203" w:rsidR="00DB243D" w:rsidRPr="00BF06DD" w:rsidRDefault="00DB243D" w:rsidP="00573384">
            <w:pPr>
              <w:pStyle w:val="SCVtablecolhead"/>
              <w:jc w:val="center"/>
              <w:cnfStyle w:val="100000000000" w:firstRow="1" w:lastRow="0" w:firstColumn="0" w:lastColumn="0" w:oddVBand="0" w:evenVBand="0" w:oddHBand="0" w:evenHBand="0" w:firstRowFirstColumn="0" w:firstRowLastColumn="0" w:lastRowFirstColumn="0" w:lastRowLastColumn="0"/>
              <w:rPr>
                <w:rFonts w:ascii="VIC SemiBold" w:eastAsia="Yu Gothic Light" w:hAnsi="VIC SemiBold"/>
              </w:rPr>
            </w:pPr>
            <w:r w:rsidRPr="00BF06DD">
              <w:rPr>
                <w:rFonts w:ascii="VIC SemiBold" w:eastAsia="Yu Gothic Light" w:hAnsi="VIC SemiBold"/>
              </w:rPr>
              <w:t>Change (%)</w:t>
            </w:r>
          </w:p>
        </w:tc>
      </w:tr>
      <w:tr w:rsidR="00DB243D" w:rsidRPr="00DB243D" w14:paraId="02028881" w14:textId="77777777" w:rsidTr="00BE5A4D">
        <w:trPr>
          <w:cantSplit/>
        </w:trPr>
        <w:tc>
          <w:tcPr>
            <w:cnfStyle w:val="001000000000" w:firstRow="0" w:lastRow="0" w:firstColumn="1" w:lastColumn="0" w:oddVBand="0" w:evenVBand="0" w:oddHBand="0" w:evenHBand="0" w:firstRowFirstColumn="0" w:firstRowLastColumn="0" w:lastRowFirstColumn="0" w:lastRowLastColumn="0"/>
            <w:tcW w:w="1701" w:type="dxa"/>
            <w:hideMark/>
          </w:tcPr>
          <w:p w14:paraId="2964C3C7" w14:textId="77777777" w:rsidR="00DB243D" w:rsidRPr="002946C4" w:rsidRDefault="00DB243D" w:rsidP="00BE5A4D">
            <w:pPr>
              <w:pStyle w:val="SCVtablerowhead"/>
              <w:spacing w:before="100"/>
              <w:rPr>
                <w:rFonts w:ascii="VIC Medium" w:eastAsia="VIC" w:hAnsi="VIC Medium"/>
                <w:b/>
              </w:rPr>
            </w:pPr>
            <w:r w:rsidRPr="002946C4">
              <w:rPr>
                <w:rFonts w:eastAsia="VIC"/>
              </w:rPr>
              <w:t>Online training</w:t>
            </w:r>
          </w:p>
        </w:tc>
        <w:tc>
          <w:tcPr>
            <w:tcW w:w="3686" w:type="dxa"/>
            <w:hideMark/>
          </w:tcPr>
          <w:p w14:paraId="19B76E9B" w14:textId="77777777" w:rsidR="00DB243D" w:rsidRPr="00DB243D" w:rsidRDefault="00DB243D" w:rsidP="00573384">
            <w:pPr>
              <w:pStyle w:val="SCVtablebody"/>
              <w:cnfStyle w:val="000000000000" w:firstRow="0" w:lastRow="0" w:firstColumn="0" w:lastColumn="0" w:oddVBand="0" w:evenVBand="0" w:oddHBand="0" w:evenHBand="0" w:firstRowFirstColumn="0" w:firstRowLastColumn="0" w:lastRowFirstColumn="0" w:lastRowLastColumn="0"/>
              <w:rPr>
                <w:rFonts w:eastAsia="VIC"/>
              </w:rPr>
            </w:pPr>
            <w:r w:rsidRPr="00DB243D">
              <w:rPr>
                <w:rFonts w:eastAsia="VIC"/>
              </w:rPr>
              <w:t>Successful completion of the online training program</w:t>
            </w:r>
          </w:p>
        </w:tc>
        <w:tc>
          <w:tcPr>
            <w:tcW w:w="1559" w:type="dxa"/>
            <w:hideMark/>
          </w:tcPr>
          <w:p w14:paraId="2D1AE476" w14:textId="77777777" w:rsidR="00DB243D" w:rsidRPr="00DB243D" w:rsidRDefault="00DB243D" w:rsidP="00573384">
            <w:pPr>
              <w:pStyle w:val="SCVtablebody"/>
              <w:jc w:val="center"/>
              <w:cnfStyle w:val="000000000000" w:firstRow="0" w:lastRow="0" w:firstColumn="0" w:lastColumn="0" w:oddVBand="0" w:evenVBand="0" w:oddHBand="0" w:evenHBand="0" w:firstRowFirstColumn="0" w:firstRowLastColumn="0" w:lastRowFirstColumn="0" w:lastRowLastColumn="0"/>
              <w:rPr>
                <w:rFonts w:eastAsia="VIC"/>
                <w:highlight w:val="yellow"/>
              </w:rPr>
            </w:pPr>
            <w:r w:rsidRPr="00DB243D">
              <w:rPr>
                <w:rFonts w:eastAsia="Arial"/>
              </w:rPr>
              <w:t>511</w:t>
            </w:r>
          </w:p>
        </w:tc>
        <w:tc>
          <w:tcPr>
            <w:tcW w:w="1559" w:type="dxa"/>
            <w:hideMark/>
          </w:tcPr>
          <w:p w14:paraId="7BBB4686" w14:textId="0B464FF7" w:rsidR="00DB243D" w:rsidRPr="00DB243D" w:rsidRDefault="00DB243D" w:rsidP="00573384">
            <w:pPr>
              <w:pStyle w:val="SCVtablebody"/>
              <w:jc w:val="center"/>
              <w:cnfStyle w:val="000000000000" w:firstRow="0" w:lastRow="0" w:firstColumn="0" w:lastColumn="0" w:oddVBand="0" w:evenVBand="0" w:oddHBand="0" w:evenHBand="0" w:firstRowFirstColumn="0" w:firstRowLastColumn="0" w:lastRowFirstColumn="0" w:lastRowLastColumn="0"/>
              <w:rPr>
                <w:rFonts w:eastAsia="VIC"/>
                <w:highlight w:val="yellow"/>
              </w:rPr>
            </w:pPr>
            <w:r w:rsidRPr="00DB243D">
              <w:rPr>
                <w:rFonts w:eastAsia="Arial"/>
              </w:rPr>
              <w:t>6</w:t>
            </w:r>
            <w:r w:rsidR="003B2A46">
              <w:rPr>
                <w:rFonts w:eastAsia="Arial"/>
              </w:rPr>
              <w:t>1</w:t>
            </w:r>
            <w:r w:rsidRPr="00DB243D">
              <w:rPr>
                <w:rFonts w:eastAsia="Arial"/>
              </w:rPr>
              <w:t>8</w:t>
            </w:r>
          </w:p>
        </w:tc>
        <w:tc>
          <w:tcPr>
            <w:tcW w:w="1701" w:type="dxa"/>
            <w:hideMark/>
          </w:tcPr>
          <w:p w14:paraId="5A8D83B4" w14:textId="23766381" w:rsidR="00DB243D" w:rsidRPr="00DB243D" w:rsidRDefault="00DB243D" w:rsidP="00573384">
            <w:pPr>
              <w:pStyle w:val="SCVtablebody"/>
              <w:jc w:val="center"/>
              <w:cnfStyle w:val="000000000000" w:firstRow="0" w:lastRow="0" w:firstColumn="0" w:lastColumn="0" w:oddVBand="0" w:evenVBand="0" w:oddHBand="0" w:evenHBand="0" w:firstRowFirstColumn="0" w:firstRowLastColumn="0" w:lastRowFirstColumn="0" w:lastRowLastColumn="0"/>
              <w:rPr>
                <w:rFonts w:eastAsia="VIC"/>
                <w:highlight w:val="yellow"/>
              </w:rPr>
            </w:pPr>
            <w:r w:rsidRPr="00DB243D">
              <w:rPr>
                <w:rFonts w:eastAsia="Arial"/>
              </w:rPr>
              <w:t>+</w:t>
            </w:r>
            <w:r w:rsidR="003B2A46">
              <w:rPr>
                <w:rFonts w:eastAsia="Arial"/>
              </w:rPr>
              <w:t>17</w:t>
            </w:r>
            <w:r w:rsidRPr="00DB243D">
              <w:rPr>
                <w:rFonts w:eastAsia="Arial"/>
              </w:rPr>
              <w:t>%</w:t>
            </w:r>
          </w:p>
        </w:tc>
      </w:tr>
      <w:tr w:rsidR="00DB243D" w:rsidRPr="00DB243D" w14:paraId="3A49C4A8" w14:textId="77777777" w:rsidTr="00BE5A4D">
        <w:trPr>
          <w:cantSplit/>
        </w:trPr>
        <w:tc>
          <w:tcPr>
            <w:cnfStyle w:val="001000000000" w:firstRow="0" w:lastRow="0" w:firstColumn="1" w:lastColumn="0" w:oddVBand="0" w:evenVBand="0" w:oddHBand="0" w:evenHBand="0" w:firstRowFirstColumn="0" w:firstRowLastColumn="0" w:lastRowFirstColumn="0" w:lastRowLastColumn="0"/>
            <w:tcW w:w="1701" w:type="dxa"/>
            <w:hideMark/>
          </w:tcPr>
          <w:p w14:paraId="363B76DC" w14:textId="77777777" w:rsidR="00DB243D" w:rsidRPr="002946C4" w:rsidRDefault="00DB243D" w:rsidP="00AC3A77">
            <w:pPr>
              <w:pStyle w:val="SCVtablerowhead"/>
              <w:rPr>
                <w:rFonts w:ascii="VIC Medium" w:eastAsia="VIC" w:hAnsi="VIC Medium"/>
                <w:b/>
              </w:rPr>
            </w:pPr>
            <w:r w:rsidRPr="002946C4">
              <w:rPr>
                <w:rFonts w:eastAsia="VIC"/>
              </w:rPr>
              <w:t xml:space="preserve">Portal </w:t>
            </w:r>
            <w:r w:rsidRPr="002946C4">
              <w:rPr>
                <w:rFonts w:ascii="VIC Medium" w:eastAsia="VIC" w:hAnsi="VIC Medium"/>
                <w:b/>
              </w:rPr>
              <w:t>registration</w:t>
            </w:r>
          </w:p>
        </w:tc>
        <w:tc>
          <w:tcPr>
            <w:tcW w:w="3686" w:type="dxa"/>
            <w:hideMark/>
          </w:tcPr>
          <w:p w14:paraId="224BA008" w14:textId="77777777" w:rsidR="00DB243D" w:rsidRPr="00DB243D" w:rsidRDefault="00DB243D" w:rsidP="00573384">
            <w:pPr>
              <w:pStyle w:val="SCVtablebody"/>
              <w:cnfStyle w:val="000000000000" w:firstRow="0" w:lastRow="0" w:firstColumn="0" w:lastColumn="0" w:oddVBand="0" w:evenVBand="0" w:oddHBand="0" w:evenHBand="0" w:firstRowFirstColumn="0" w:firstRowLastColumn="0" w:lastRowFirstColumn="0" w:lastRowLastColumn="0"/>
              <w:rPr>
                <w:rFonts w:eastAsia="VIC"/>
              </w:rPr>
            </w:pPr>
            <w:r w:rsidRPr="00DB243D">
              <w:rPr>
                <w:rFonts w:eastAsia="VIC"/>
              </w:rPr>
              <w:t>Medical practitioner registration within the Voluntary Assisted Dying portal</w:t>
            </w:r>
          </w:p>
        </w:tc>
        <w:tc>
          <w:tcPr>
            <w:tcW w:w="1559" w:type="dxa"/>
            <w:hideMark/>
          </w:tcPr>
          <w:p w14:paraId="4A470FAC" w14:textId="77777777" w:rsidR="00DB243D" w:rsidRPr="00DB243D" w:rsidRDefault="00DB243D" w:rsidP="00573384">
            <w:pPr>
              <w:pStyle w:val="SCVtablebody"/>
              <w:jc w:val="center"/>
              <w:cnfStyle w:val="000000000000" w:firstRow="0" w:lastRow="0" w:firstColumn="0" w:lastColumn="0" w:oddVBand="0" w:evenVBand="0" w:oddHBand="0" w:evenHBand="0" w:firstRowFirstColumn="0" w:firstRowLastColumn="0" w:lastRowFirstColumn="0" w:lastRowLastColumn="0"/>
              <w:rPr>
                <w:rFonts w:eastAsia="VIC"/>
              </w:rPr>
            </w:pPr>
            <w:r w:rsidRPr="00DB243D">
              <w:rPr>
                <w:rFonts w:eastAsia="VIC"/>
              </w:rPr>
              <w:t>234</w:t>
            </w:r>
          </w:p>
        </w:tc>
        <w:tc>
          <w:tcPr>
            <w:tcW w:w="1559" w:type="dxa"/>
            <w:hideMark/>
          </w:tcPr>
          <w:p w14:paraId="23311F3D" w14:textId="77777777" w:rsidR="00DB243D" w:rsidRPr="00DB243D" w:rsidRDefault="00DB243D" w:rsidP="00573384">
            <w:pPr>
              <w:pStyle w:val="SCVtablebody"/>
              <w:jc w:val="center"/>
              <w:cnfStyle w:val="000000000000" w:firstRow="0" w:lastRow="0" w:firstColumn="0" w:lastColumn="0" w:oddVBand="0" w:evenVBand="0" w:oddHBand="0" w:evenHBand="0" w:firstRowFirstColumn="0" w:firstRowLastColumn="0" w:lastRowFirstColumn="0" w:lastRowLastColumn="0"/>
              <w:rPr>
                <w:rFonts w:eastAsia="VIC"/>
              </w:rPr>
            </w:pPr>
            <w:r w:rsidRPr="00DB243D">
              <w:rPr>
                <w:rFonts w:eastAsia="VIC"/>
              </w:rPr>
              <w:t>326</w:t>
            </w:r>
          </w:p>
        </w:tc>
        <w:tc>
          <w:tcPr>
            <w:tcW w:w="1701" w:type="dxa"/>
            <w:hideMark/>
          </w:tcPr>
          <w:p w14:paraId="2E883443" w14:textId="77777777" w:rsidR="00DB243D" w:rsidRPr="00DB243D" w:rsidRDefault="00DB243D" w:rsidP="00573384">
            <w:pPr>
              <w:pStyle w:val="SCVtablebody"/>
              <w:jc w:val="center"/>
              <w:cnfStyle w:val="000000000000" w:firstRow="0" w:lastRow="0" w:firstColumn="0" w:lastColumn="0" w:oddVBand="0" w:evenVBand="0" w:oddHBand="0" w:evenHBand="0" w:firstRowFirstColumn="0" w:firstRowLastColumn="0" w:lastRowFirstColumn="0" w:lastRowLastColumn="0"/>
              <w:rPr>
                <w:rFonts w:eastAsia="VIC"/>
              </w:rPr>
            </w:pPr>
            <w:r w:rsidRPr="00DB243D">
              <w:rPr>
                <w:rFonts w:eastAsia="VIC"/>
              </w:rPr>
              <w:t>+39%</w:t>
            </w:r>
          </w:p>
        </w:tc>
      </w:tr>
      <w:tr w:rsidR="00DB243D" w:rsidRPr="00DB243D" w14:paraId="5EC3AD7A" w14:textId="77777777" w:rsidTr="00BE5A4D">
        <w:trPr>
          <w:cantSplit/>
        </w:trPr>
        <w:tc>
          <w:tcPr>
            <w:cnfStyle w:val="001000000000" w:firstRow="0" w:lastRow="0" w:firstColumn="1" w:lastColumn="0" w:oddVBand="0" w:evenVBand="0" w:oddHBand="0" w:evenHBand="0" w:firstRowFirstColumn="0" w:firstRowLastColumn="0" w:lastRowFirstColumn="0" w:lastRowLastColumn="0"/>
            <w:tcW w:w="1701" w:type="dxa"/>
            <w:hideMark/>
          </w:tcPr>
          <w:p w14:paraId="3B0A4476" w14:textId="3B519516" w:rsidR="00DB243D" w:rsidRPr="002946C4" w:rsidRDefault="00DB243D" w:rsidP="00BE5A4D">
            <w:pPr>
              <w:pStyle w:val="SCVtablerowhead"/>
              <w:spacing w:before="100"/>
              <w:rPr>
                <w:rFonts w:ascii="VIC Medium" w:eastAsia="VIC" w:hAnsi="VIC Medium"/>
                <w:b/>
              </w:rPr>
            </w:pPr>
            <w:r w:rsidRPr="002946C4">
              <w:rPr>
                <w:rFonts w:eastAsia="VIC"/>
              </w:rPr>
              <w:t xml:space="preserve">Case </w:t>
            </w:r>
            <w:r w:rsidRPr="002946C4">
              <w:rPr>
                <w:rFonts w:ascii="VIC Medium" w:eastAsia="VIC" w:hAnsi="VIC Medium"/>
                <w:b/>
              </w:rPr>
              <w:t>involvement</w:t>
            </w:r>
            <w:r w:rsidR="00BE5A4D">
              <w:rPr>
                <w:rFonts w:ascii="VIC Medium" w:eastAsia="VIC" w:hAnsi="VIC Medium"/>
                <w:b/>
              </w:rPr>
              <w:t>*</w:t>
            </w:r>
          </w:p>
        </w:tc>
        <w:tc>
          <w:tcPr>
            <w:tcW w:w="3686" w:type="dxa"/>
            <w:hideMark/>
          </w:tcPr>
          <w:p w14:paraId="13F13E22" w14:textId="77777777" w:rsidR="00DB243D" w:rsidRPr="00DB243D" w:rsidRDefault="00DB243D" w:rsidP="00573384">
            <w:pPr>
              <w:pStyle w:val="SCVtablebody"/>
              <w:cnfStyle w:val="000000000000" w:firstRow="0" w:lastRow="0" w:firstColumn="0" w:lastColumn="0" w:oddVBand="0" w:evenVBand="0" w:oddHBand="0" w:evenHBand="0" w:firstRowFirstColumn="0" w:firstRowLastColumn="0" w:lastRowFirstColumn="0" w:lastRowLastColumn="0"/>
              <w:rPr>
                <w:rFonts w:eastAsia="VIC"/>
              </w:rPr>
            </w:pPr>
            <w:r w:rsidRPr="00DB243D">
              <w:rPr>
                <w:rFonts w:eastAsia="VIC"/>
              </w:rPr>
              <w:t xml:space="preserve">Participation by the medical practitioner in one or more cases in the portal as either the coordinating or consulting medical practitioner </w:t>
            </w:r>
          </w:p>
        </w:tc>
        <w:tc>
          <w:tcPr>
            <w:tcW w:w="1559" w:type="dxa"/>
            <w:hideMark/>
          </w:tcPr>
          <w:p w14:paraId="28E95AF8" w14:textId="77777777" w:rsidR="00DB243D" w:rsidRPr="00DB243D" w:rsidRDefault="00DB243D" w:rsidP="00573384">
            <w:pPr>
              <w:pStyle w:val="SCVtablebody"/>
              <w:jc w:val="center"/>
              <w:cnfStyle w:val="000000000000" w:firstRow="0" w:lastRow="0" w:firstColumn="0" w:lastColumn="0" w:oddVBand="0" w:evenVBand="0" w:oddHBand="0" w:evenHBand="0" w:firstRowFirstColumn="0" w:firstRowLastColumn="0" w:lastRowFirstColumn="0" w:lastRowLastColumn="0"/>
              <w:rPr>
                <w:rFonts w:eastAsia="VIC"/>
              </w:rPr>
            </w:pPr>
            <w:r w:rsidRPr="00DB243D">
              <w:rPr>
                <w:rFonts w:eastAsia="VIC"/>
              </w:rPr>
              <w:t>154</w:t>
            </w:r>
          </w:p>
        </w:tc>
        <w:tc>
          <w:tcPr>
            <w:tcW w:w="1559" w:type="dxa"/>
            <w:hideMark/>
          </w:tcPr>
          <w:p w14:paraId="1B53B3EA" w14:textId="77777777" w:rsidR="00DB243D" w:rsidRPr="00DB243D" w:rsidRDefault="00DB243D" w:rsidP="00573384">
            <w:pPr>
              <w:pStyle w:val="SCVtablebody"/>
              <w:jc w:val="center"/>
              <w:cnfStyle w:val="000000000000" w:firstRow="0" w:lastRow="0" w:firstColumn="0" w:lastColumn="0" w:oddVBand="0" w:evenVBand="0" w:oddHBand="0" w:evenHBand="0" w:firstRowFirstColumn="0" w:firstRowLastColumn="0" w:lastRowFirstColumn="0" w:lastRowLastColumn="0"/>
              <w:rPr>
                <w:rFonts w:eastAsia="VIC"/>
              </w:rPr>
            </w:pPr>
            <w:r w:rsidRPr="00DB243D">
              <w:rPr>
                <w:rFonts w:eastAsia="VIC"/>
              </w:rPr>
              <w:t>185</w:t>
            </w:r>
          </w:p>
        </w:tc>
        <w:tc>
          <w:tcPr>
            <w:tcW w:w="1701" w:type="dxa"/>
            <w:hideMark/>
          </w:tcPr>
          <w:p w14:paraId="7529C6FC" w14:textId="77777777" w:rsidR="00DB243D" w:rsidRPr="00DB243D" w:rsidRDefault="00DB243D" w:rsidP="00573384">
            <w:pPr>
              <w:pStyle w:val="SCVtablebody"/>
              <w:jc w:val="center"/>
              <w:cnfStyle w:val="000000000000" w:firstRow="0" w:lastRow="0" w:firstColumn="0" w:lastColumn="0" w:oddVBand="0" w:evenVBand="0" w:oddHBand="0" w:evenHBand="0" w:firstRowFirstColumn="0" w:firstRowLastColumn="0" w:lastRowFirstColumn="0" w:lastRowLastColumn="0"/>
              <w:rPr>
                <w:rFonts w:eastAsia="VIC"/>
              </w:rPr>
            </w:pPr>
            <w:r w:rsidRPr="00DB243D">
              <w:rPr>
                <w:rFonts w:eastAsia="VIC"/>
              </w:rPr>
              <w:t>+20%</w:t>
            </w:r>
          </w:p>
        </w:tc>
      </w:tr>
    </w:tbl>
    <w:p w14:paraId="60D72219" w14:textId="41A4B265" w:rsidR="00573384" w:rsidRPr="00CE0E17" w:rsidRDefault="00CE0E17" w:rsidP="00CE0E17">
      <w:pPr>
        <w:rPr>
          <w:sz w:val="17"/>
          <w:szCs w:val="17"/>
          <w:lang w:eastAsia="en-US"/>
        </w:rPr>
      </w:pPr>
      <w:r w:rsidRPr="00CE0E17">
        <w:rPr>
          <w:sz w:val="17"/>
          <w:szCs w:val="17"/>
          <w:lang w:eastAsia="en-US"/>
        </w:rPr>
        <w:t>*</w:t>
      </w:r>
      <w:r>
        <w:rPr>
          <w:sz w:val="17"/>
          <w:szCs w:val="17"/>
          <w:lang w:eastAsia="en-US"/>
        </w:rPr>
        <w:t xml:space="preserve"> </w:t>
      </w:r>
      <w:r w:rsidRPr="00CE0E17">
        <w:rPr>
          <w:sz w:val="17"/>
          <w:szCs w:val="17"/>
          <w:lang w:eastAsia="en-US"/>
        </w:rPr>
        <w:t xml:space="preserve">Figures presented in previous reports have provided total numbers to date. This report provides trends over time and provides numbers per reporting year. </w:t>
      </w:r>
      <w:r w:rsidRPr="00CE0E17">
        <w:rPr>
          <w:rFonts w:ascii="Cambria" w:hAnsi="Cambria" w:cs="Cambria"/>
          <w:sz w:val="17"/>
          <w:szCs w:val="17"/>
          <w:lang w:eastAsia="en-US"/>
        </w:rPr>
        <w:t> </w:t>
      </w:r>
    </w:p>
    <w:p w14:paraId="1D8FEB67" w14:textId="74D4D507" w:rsidR="00BE5A4D" w:rsidRPr="00BE5A4D" w:rsidRDefault="00BE5A4D" w:rsidP="00BE5A4D">
      <w:pPr>
        <w:tabs>
          <w:tab w:val="left" w:pos="2910"/>
        </w:tabs>
        <w:sectPr w:rsidR="00BE5A4D" w:rsidRPr="00BE5A4D" w:rsidSect="00EB29C3">
          <w:type w:val="continuous"/>
          <w:pgSz w:w="11906" w:h="16838" w:code="9"/>
          <w:pgMar w:top="3402" w:right="851" w:bottom="1361" w:left="851" w:header="851" w:footer="851" w:gutter="0"/>
          <w:cols w:space="284"/>
          <w:docGrid w:linePitch="360"/>
        </w:sectPr>
      </w:pPr>
    </w:p>
    <w:p w14:paraId="70281AE0" w14:textId="77777777" w:rsidR="00573384" w:rsidRDefault="00573384" w:rsidP="00DB243D">
      <w:pPr>
        <w:pStyle w:val="SCVfigurecaption"/>
        <w:sectPr w:rsidR="00573384" w:rsidSect="00EB29C3">
          <w:type w:val="continuous"/>
          <w:pgSz w:w="11906" w:h="16838" w:code="9"/>
          <w:pgMar w:top="3402" w:right="851" w:bottom="1361" w:left="851" w:header="851" w:footer="851" w:gutter="0"/>
          <w:cols w:num="2" w:space="284"/>
          <w:docGrid w:linePitch="360"/>
        </w:sectPr>
      </w:pPr>
    </w:p>
    <w:p w14:paraId="685E792E" w14:textId="15E1D975" w:rsidR="00DB46FE" w:rsidRDefault="00DB46FE" w:rsidP="00DB46FE">
      <w:pPr>
        <w:pStyle w:val="SCVbody"/>
      </w:pPr>
      <w:r>
        <w:lastRenderedPageBreak/>
        <w:t>There were 302 medical practitioners with active profiles in the portal as of 30 June 2022.</w:t>
      </w:r>
      <w:r w:rsidR="00D22E9A" w:rsidRPr="00D22E9A">
        <w:t xml:space="preserve"> </w:t>
      </w:r>
      <w:r w:rsidR="00D22E9A" w:rsidRPr="00673F0E">
        <w:t xml:space="preserve">Practitioner profiles may become inactive after registration if a practitioner retires or ceases to be involved in </w:t>
      </w:r>
      <w:r w:rsidR="00D22E9A">
        <w:t>v</w:t>
      </w:r>
      <w:r w:rsidR="00D22E9A" w:rsidRPr="00673F0E">
        <w:t xml:space="preserve">oluntary </w:t>
      </w:r>
      <w:r w:rsidR="00D22E9A">
        <w:t>a</w:t>
      </w:r>
      <w:r w:rsidR="00D22E9A" w:rsidRPr="00673F0E">
        <w:t xml:space="preserve">ssisted </w:t>
      </w:r>
      <w:r w:rsidR="00D22E9A">
        <w:t>d</w:t>
      </w:r>
      <w:r w:rsidR="00D22E9A" w:rsidRPr="00673F0E">
        <w:t>ying.</w:t>
      </w:r>
    </w:p>
    <w:p w14:paraId="0B5BC83C" w14:textId="77777777" w:rsidR="00DB46FE" w:rsidRDefault="00DB46FE" w:rsidP="00DB46FE">
      <w:pPr>
        <w:pStyle w:val="SCVbody"/>
      </w:pPr>
      <w:r>
        <w:t>General practitioners make up 60 per cent of all practitioners and 70 per cent of the registered practitioners trained to provide voluntary assisted dying in regional Victoria.</w:t>
      </w:r>
    </w:p>
    <w:p w14:paraId="7BCF60B6" w14:textId="77777777" w:rsidR="00D22E9A" w:rsidRDefault="00D22E9A" w:rsidP="00673F0E">
      <w:pPr>
        <w:pStyle w:val="SCVtablefigurenote"/>
        <w:sectPr w:rsidR="00D22E9A" w:rsidSect="00D22E9A">
          <w:type w:val="continuous"/>
          <w:pgSz w:w="11906" w:h="16838" w:code="9"/>
          <w:pgMar w:top="3402" w:right="851" w:bottom="1361" w:left="851" w:header="851" w:footer="851" w:gutter="0"/>
          <w:cols w:num="2" w:space="284"/>
          <w:docGrid w:linePitch="360"/>
        </w:sectPr>
      </w:pPr>
    </w:p>
    <w:p w14:paraId="0A238494" w14:textId="0DCBD531" w:rsidR="00D22E9A" w:rsidRDefault="00D22E9A" w:rsidP="00673F0E">
      <w:pPr>
        <w:pStyle w:val="SCVtablefigurenote"/>
        <w:sectPr w:rsidR="00D22E9A" w:rsidSect="00DB46FE">
          <w:type w:val="continuous"/>
          <w:pgSz w:w="11906" w:h="16838" w:code="9"/>
          <w:pgMar w:top="3402" w:right="851" w:bottom="1361" w:left="851" w:header="851" w:footer="851" w:gutter="0"/>
          <w:cols w:num="2" w:space="284"/>
          <w:docGrid w:linePitch="360"/>
        </w:sectPr>
      </w:pPr>
    </w:p>
    <w:p w14:paraId="76CCEC4A" w14:textId="6539412B" w:rsidR="00DB243D" w:rsidRDefault="00DB243D" w:rsidP="005C0209">
      <w:pPr>
        <w:pStyle w:val="SCVfigurecaption"/>
      </w:pPr>
      <w:r>
        <w:t>Figure 1: Clinical specialties of medical practitioners by primary location of practice*</w:t>
      </w:r>
    </w:p>
    <w:p w14:paraId="5B0587F9" w14:textId="4C6DBFBD" w:rsidR="00D71D6F" w:rsidRDefault="00D71D6F" w:rsidP="00DB243D">
      <w:pPr>
        <w:pStyle w:val="SCVbody"/>
      </w:pPr>
      <w:r>
        <w:rPr>
          <w:noProof/>
        </w:rPr>
        <w:drawing>
          <wp:inline distT="0" distB="0" distL="0" distR="0" wp14:anchorId="29618DDA" wp14:editId="57F50E76">
            <wp:extent cx="6504709" cy="3200400"/>
            <wp:effectExtent l="0" t="0" r="0" b="0"/>
            <wp:docPr id="19" name="Chart 19" descr="This graphs displays there is a high number of medical practitioners working in general practice compared with those working in areas such as medical oncology, neurology and general medicine. Across all specialties there is a higher number of practitioners working in metro region compared with rural areas. "/>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FEE67E1" w14:textId="37575CE7" w:rsidR="00DB243D" w:rsidRDefault="00DB243D" w:rsidP="00DB243D">
      <w:pPr>
        <w:pStyle w:val="SCVtablefigurenote"/>
      </w:pPr>
    </w:p>
    <w:p w14:paraId="68C27577" w14:textId="3D201833" w:rsidR="00DB243D" w:rsidRDefault="00DB243D" w:rsidP="00DB243D">
      <w:pPr>
        <w:pStyle w:val="SCVtablefigurenote"/>
      </w:pPr>
      <w:r>
        <w:t xml:space="preserve"># Other specialty areas include anaesthesia, general surgery, neurosurgery, psychiatry, urology, or do not have a specialty area(s) listed </w:t>
      </w:r>
      <w:r w:rsidR="00D876CC">
        <w:t>by</w:t>
      </w:r>
      <w:r>
        <w:t xml:space="preserve"> </w:t>
      </w:r>
      <w:r w:rsidR="00280603" w:rsidRPr="00280603">
        <w:t>Australian Health Practitioner Regulation Authority</w:t>
      </w:r>
      <w:r>
        <w:t xml:space="preserve">. </w:t>
      </w:r>
      <w:r w:rsidR="00C8588B">
        <w:t>‘</w:t>
      </w:r>
      <w:r>
        <w:t>General medicine</w:t>
      </w:r>
      <w:r w:rsidR="00E41DCD">
        <w:t>’</w:t>
      </w:r>
      <w:r>
        <w:t xml:space="preserve"> includes associated subspecialties including cardiology, gastroenterology and hepatology, geriatric medicine, infectious diseases, intensive care medicine, and nephrology.</w:t>
      </w:r>
    </w:p>
    <w:p w14:paraId="15EAAAD2" w14:textId="77777777" w:rsidR="00673F0E" w:rsidRDefault="00673F0E">
      <w:pPr>
        <w:spacing w:line="280" w:lineRule="atLeast"/>
        <w:rPr>
          <w:sz w:val="17"/>
          <w:szCs w:val="17"/>
        </w:rPr>
      </w:pPr>
      <w:r>
        <w:br w:type="page"/>
      </w:r>
    </w:p>
    <w:p w14:paraId="05E671AF" w14:textId="6E7687D0" w:rsidR="00673F0E" w:rsidRDefault="00673F0E" w:rsidP="00673F0E">
      <w:pPr>
        <w:pStyle w:val="SCVfigurecaption"/>
      </w:pPr>
      <w:r>
        <w:lastRenderedPageBreak/>
        <w:t>Figure 2: Number of</w:t>
      </w:r>
      <w:r w:rsidRPr="004D328C">
        <w:t xml:space="preserve"> practitioners </w:t>
      </w:r>
      <w:r w:rsidRPr="0037108A">
        <w:t>newly</w:t>
      </w:r>
      <w:r>
        <w:t xml:space="preserve"> registered in the VAD portal</w:t>
      </w:r>
    </w:p>
    <w:p w14:paraId="77A4958B" w14:textId="5BB8DA73" w:rsidR="00DB243D" w:rsidRDefault="00673F0E" w:rsidP="00DB243D">
      <w:pPr>
        <w:pStyle w:val="SCVtablefigurenote"/>
      </w:pPr>
      <w:r>
        <w:rPr>
          <w:noProof/>
        </w:rPr>
        <w:drawing>
          <wp:inline distT="0" distB="0" distL="0" distR="0" wp14:anchorId="5DA161EA" wp14:editId="584CA957">
            <wp:extent cx="6479540" cy="2770606"/>
            <wp:effectExtent l="0" t="0" r="16510" b="10795"/>
            <wp:docPr id="14" name="Chart 14" descr="Line graph indicating the number of practitioners newly registered in the VAD portal in metro and rural areas. From April to August 2019, registrations were high at around 30 to 50 a month, tapering off to around five new registrations a month for metro and rural areas today."/>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D6CA623" w14:textId="77777777" w:rsidR="00673F0E" w:rsidRDefault="00673F0E" w:rsidP="00DB243D">
      <w:pPr>
        <w:pStyle w:val="SCVtablefigurenote"/>
      </w:pPr>
    </w:p>
    <w:p w14:paraId="68B88A22" w14:textId="77777777" w:rsidR="00573384" w:rsidRDefault="00573384" w:rsidP="00DB243D">
      <w:pPr>
        <w:pStyle w:val="SCVbody"/>
        <w:sectPr w:rsidR="00573384" w:rsidSect="00EB29C3">
          <w:type w:val="continuous"/>
          <w:pgSz w:w="11906" w:h="16838" w:code="9"/>
          <w:pgMar w:top="3402" w:right="851" w:bottom="1361" w:left="851" w:header="851" w:footer="851" w:gutter="0"/>
          <w:cols w:space="284"/>
          <w:docGrid w:linePitch="360"/>
        </w:sectPr>
      </w:pPr>
    </w:p>
    <w:p w14:paraId="38C0E0DA" w14:textId="2BD75FAE" w:rsidR="00DB243D" w:rsidRDefault="00DB243D" w:rsidP="00DB243D">
      <w:pPr>
        <w:pStyle w:val="SCVbody"/>
      </w:pPr>
      <w:r>
        <w:t>In total, approximately two thirds (65 per cent) of active</w:t>
      </w:r>
      <w:r w:rsidR="006307EE">
        <w:t xml:space="preserve"> medical</w:t>
      </w:r>
      <w:r>
        <w:t xml:space="preserve"> practitioners are in metropolitan Melbourne, and one third (35 per cent) practice in regional Victoria. Practitioners in regional Victoria are concentrated around the larger towns in central Victoria, Geelong and the Bellarine peninsula, and the Hume region. There are very few practitioners in Western Victoria, with only 10 practitioners serving the entire region west of Ballarat.</w:t>
      </w:r>
    </w:p>
    <w:p w14:paraId="11F921BE" w14:textId="66CB77D6" w:rsidR="0068380D" w:rsidRDefault="00DB243D" w:rsidP="0068380D">
      <w:pPr>
        <w:pStyle w:val="SCVbody"/>
      </w:pPr>
      <w:r>
        <w:t xml:space="preserve">The distribution of practitioners is broadly consistent with the distribution of the population in Victoria. Nonetheless, this results in large geographic areas with few, if any, </w:t>
      </w:r>
      <w:r w:rsidR="006A3057">
        <w:t xml:space="preserve">medical </w:t>
      </w:r>
      <w:r>
        <w:t xml:space="preserve">practitioners, meaning </w:t>
      </w:r>
      <w:r>
        <w:t>regional patients</w:t>
      </w:r>
      <w:r w:rsidR="006307EE">
        <w:t xml:space="preserve"> and medical practitioners</w:t>
      </w:r>
      <w:r>
        <w:t xml:space="preserve"> may have to travel significant distances during the assessment process, given assessments and discussions about voluntary assisted dying need to </w:t>
      </w:r>
      <w:r w:rsidR="009B6698">
        <w:t>occur</w:t>
      </w:r>
      <w:r w:rsidR="00A26730">
        <w:t xml:space="preserve"> in person</w:t>
      </w:r>
      <w:r>
        <w:t>.</w:t>
      </w:r>
    </w:p>
    <w:p w14:paraId="71181244" w14:textId="316B5D39" w:rsidR="00DB243D" w:rsidRPr="00530D7D" w:rsidRDefault="00E43476" w:rsidP="00530D7D">
      <w:pPr>
        <w:pStyle w:val="SCVquote"/>
        <w:rPr>
          <w:rFonts w:asciiTheme="majorHAnsi" w:hAnsiTheme="majorHAnsi"/>
        </w:rPr>
      </w:pPr>
      <w:r>
        <w:t>‘</w:t>
      </w:r>
      <w:r w:rsidR="0068380D" w:rsidRPr="00DB243D">
        <w:t xml:space="preserve">We were lucky that we had a doctor in town because it really got to the point that dad </w:t>
      </w:r>
      <w:bookmarkStart w:id="11" w:name="_Int_iPUVa42T"/>
      <w:r w:rsidR="0068380D" w:rsidRPr="00DB243D">
        <w:t>couldn’t</w:t>
      </w:r>
      <w:bookmarkEnd w:id="11"/>
      <w:r w:rsidR="0068380D" w:rsidRPr="00DB243D">
        <w:t xml:space="preserve"> have travelled…</w:t>
      </w:r>
      <w:r w:rsidR="0068380D">
        <w:t xml:space="preserve"> </w:t>
      </w:r>
      <w:r w:rsidR="0068380D" w:rsidRPr="00DB243D">
        <w:t>if we needed to do that for appointments. The doctor had trained specifically for one of her long-term patients and we got in touch, and she agreed to do it for us too. She came to see us on her day off. She was wonderful.</w:t>
      </w:r>
      <w:r>
        <w:t>’</w:t>
      </w:r>
      <w:r w:rsidR="0068380D">
        <w:t xml:space="preserve"> </w:t>
      </w:r>
      <w:r w:rsidR="0068380D" w:rsidRPr="00DB243D">
        <w:rPr>
          <w:rFonts w:asciiTheme="majorHAnsi" w:hAnsiTheme="majorHAnsi"/>
        </w:rPr>
        <w:t>Contact person</w:t>
      </w:r>
    </w:p>
    <w:p w14:paraId="08BB5CEC" w14:textId="77777777" w:rsidR="00573384" w:rsidRDefault="00573384" w:rsidP="00DB243D">
      <w:pPr>
        <w:pStyle w:val="SCVquote"/>
        <w:sectPr w:rsidR="00573384" w:rsidSect="00EB29C3">
          <w:type w:val="continuous"/>
          <w:pgSz w:w="11906" w:h="16838" w:code="9"/>
          <w:pgMar w:top="3402" w:right="851" w:bottom="1361" w:left="851" w:header="851" w:footer="851" w:gutter="0"/>
          <w:cols w:num="2" w:space="284"/>
          <w:docGrid w:linePitch="360"/>
        </w:sectPr>
      </w:pPr>
    </w:p>
    <w:p w14:paraId="14598BCB" w14:textId="5827FCEB" w:rsidR="00317070" w:rsidRDefault="00DB243D" w:rsidP="00DB243D">
      <w:pPr>
        <w:pStyle w:val="SCVfigurecaption"/>
      </w:pPr>
      <w:r w:rsidRPr="00DB243D">
        <w:lastRenderedPageBreak/>
        <w:t xml:space="preserve">Figure </w:t>
      </w:r>
      <w:r w:rsidR="00673F0E">
        <w:t>3</w:t>
      </w:r>
      <w:r>
        <w:t>:</w:t>
      </w:r>
      <w:r w:rsidRPr="00DB243D">
        <w:t xml:space="preserve"> Geographic distribution of medical practitioners*</w:t>
      </w:r>
    </w:p>
    <w:p w14:paraId="3CC3F0DF" w14:textId="73E9B84B" w:rsidR="00DB243D" w:rsidRDefault="00CA1D71" w:rsidP="00DB243D">
      <w:pPr>
        <w:pStyle w:val="SCVbody"/>
        <w:rPr>
          <w:rFonts w:eastAsia="Times New Roman"/>
          <w:lang w:eastAsia="en-US"/>
        </w:rPr>
      </w:pPr>
      <w:r>
        <w:rPr>
          <w:rFonts w:eastAsia="Times New Roman"/>
          <w:noProof/>
          <w:lang w:eastAsia="en-US"/>
        </w:rPr>
        <w:drawing>
          <wp:inline distT="0" distB="0" distL="0" distR="0" wp14:anchorId="6850154C" wp14:editId="4F1D92DD">
            <wp:extent cx="6479540" cy="4726940"/>
            <wp:effectExtent l="0" t="0" r="0" b="0"/>
            <wp:docPr id="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479540" cy="4726940"/>
                    </a:xfrm>
                    <a:prstGeom prst="rect">
                      <a:avLst/>
                    </a:prstGeom>
                  </pic:spPr>
                </pic:pic>
              </a:graphicData>
            </a:graphic>
          </wp:inline>
        </w:drawing>
      </w:r>
    </w:p>
    <w:p w14:paraId="213A3E3B" w14:textId="0358ABDF" w:rsidR="00DB243D" w:rsidRDefault="00DB243D" w:rsidP="00DB243D">
      <w:pPr>
        <w:pStyle w:val="SCVtablefigurenote"/>
        <w:rPr>
          <w:rFonts w:eastAsia="Times New Roman"/>
          <w:lang w:eastAsia="en-US"/>
        </w:rPr>
      </w:pPr>
      <w:r w:rsidRPr="00DB243D">
        <w:rPr>
          <w:rFonts w:eastAsia="Times New Roman"/>
          <w:lang w:eastAsia="en-US"/>
        </w:rPr>
        <w:t>*</w:t>
      </w:r>
      <w:r>
        <w:rPr>
          <w:rFonts w:eastAsia="Times New Roman"/>
          <w:lang w:eastAsia="en-US"/>
        </w:rPr>
        <w:t xml:space="preserve"> </w:t>
      </w:r>
      <w:r w:rsidRPr="00DB243D">
        <w:rPr>
          <w:rFonts w:eastAsia="Times New Roman"/>
          <w:lang w:eastAsia="en-US"/>
        </w:rPr>
        <w:t xml:space="preserve">Locations are approximate, based on the centroid of postcodes. Locations with only one active practitioner in the postcode are not shown. </w:t>
      </w:r>
    </w:p>
    <w:p w14:paraId="5CF4C74E" w14:textId="77777777" w:rsidR="00053B75" w:rsidRDefault="00053B75">
      <w:pPr>
        <w:spacing w:line="280" w:lineRule="atLeast"/>
        <w:rPr>
          <w:rFonts w:asciiTheme="majorHAnsi" w:eastAsia="Times New Roman" w:hAnsiTheme="majorHAnsi" w:cstheme="majorBidi"/>
          <w:sz w:val="24"/>
          <w:szCs w:val="24"/>
          <w:lang w:eastAsia="en-US"/>
        </w:rPr>
      </w:pPr>
      <w:r>
        <w:rPr>
          <w:rFonts w:eastAsia="Times New Roman"/>
          <w:lang w:eastAsia="en-US"/>
        </w:rPr>
        <w:br w:type="page"/>
      </w:r>
    </w:p>
    <w:p w14:paraId="033530D7" w14:textId="2A857561" w:rsidR="00DB243D" w:rsidRPr="00DB243D" w:rsidRDefault="00DB243D" w:rsidP="00DB243D">
      <w:pPr>
        <w:pStyle w:val="Heading2"/>
        <w:rPr>
          <w:rFonts w:eastAsia="Times New Roman"/>
          <w:lang w:eastAsia="en-US"/>
        </w:rPr>
      </w:pPr>
      <w:r w:rsidRPr="00DB243D">
        <w:rPr>
          <w:rFonts w:eastAsia="Times New Roman"/>
          <w:lang w:eastAsia="en-US"/>
        </w:rPr>
        <w:lastRenderedPageBreak/>
        <w:t xml:space="preserve">Community of practice </w:t>
      </w:r>
    </w:p>
    <w:p w14:paraId="2705618C" w14:textId="77777777" w:rsidR="00573384" w:rsidRDefault="00573384" w:rsidP="00DB243D">
      <w:pPr>
        <w:pStyle w:val="SCVbody"/>
        <w:rPr>
          <w:rFonts w:eastAsia="Times New Roman"/>
          <w:lang w:eastAsia="en-US"/>
        </w:rPr>
        <w:sectPr w:rsidR="00573384" w:rsidSect="00EB29C3">
          <w:type w:val="continuous"/>
          <w:pgSz w:w="11906" w:h="16838" w:code="9"/>
          <w:pgMar w:top="3402" w:right="851" w:bottom="1361" w:left="851" w:header="851" w:footer="851" w:gutter="0"/>
          <w:cols w:space="284"/>
          <w:docGrid w:linePitch="360"/>
        </w:sectPr>
      </w:pPr>
    </w:p>
    <w:p w14:paraId="3F720A54" w14:textId="514D8C1F" w:rsidR="00DB243D" w:rsidRPr="00DB243D" w:rsidRDefault="00DB243D" w:rsidP="00DB243D">
      <w:pPr>
        <w:pStyle w:val="SCVbody"/>
        <w:rPr>
          <w:rFonts w:eastAsia="Times New Roman"/>
          <w:lang w:eastAsia="en-US"/>
        </w:rPr>
      </w:pPr>
      <w:r w:rsidRPr="00DB243D">
        <w:rPr>
          <w:rFonts w:eastAsia="Times New Roman"/>
          <w:lang w:eastAsia="en-US"/>
        </w:rPr>
        <w:t xml:space="preserve">Medical practitioners who have completed voluntary assisted dying training are able to join the community of practice, which is an online peer support network with 48 members. The community of practice provides support to medical practitioners who are involved in providing services related to voluntary assisted dying. </w:t>
      </w:r>
    </w:p>
    <w:p w14:paraId="313D463C" w14:textId="3E62A199" w:rsidR="00DB243D" w:rsidRPr="00DB243D" w:rsidRDefault="00DB243D" w:rsidP="00DB243D">
      <w:pPr>
        <w:pStyle w:val="SCVbody"/>
        <w:rPr>
          <w:rFonts w:eastAsia="Times New Roman"/>
          <w:lang w:eastAsia="en-US"/>
        </w:rPr>
      </w:pPr>
      <w:r w:rsidRPr="00DB243D">
        <w:rPr>
          <w:rFonts w:eastAsia="Times New Roman"/>
          <w:lang w:eastAsia="en-US"/>
        </w:rPr>
        <w:t>The community of practice is an invaluable resource for medical practitioners and current membership includes specialists in the fields of oncology, palliative care, geriatrics, anaesthetics, and general practice.</w:t>
      </w:r>
    </w:p>
    <w:p w14:paraId="4B4A839E" w14:textId="1CCB0828" w:rsidR="00DB243D" w:rsidRPr="00DB243D" w:rsidRDefault="00DB243D" w:rsidP="00DB243D">
      <w:pPr>
        <w:pStyle w:val="SCVbody"/>
        <w:rPr>
          <w:rFonts w:eastAsia="Times New Roman"/>
          <w:lang w:eastAsia="en-US"/>
        </w:rPr>
      </w:pPr>
      <w:r w:rsidRPr="00DB243D">
        <w:rPr>
          <w:rFonts w:eastAsia="Times New Roman"/>
          <w:lang w:eastAsia="en-US"/>
        </w:rPr>
        <w:t xml:space="preserve">Medical practitioners can join the community of practice after successful completion of the voluntary assisted dying training. Those wishing to join should contact </w:t>
      </w:r>
      <w:hyperlink r:id="rId41" w:history="1">
        <w:r w:rsidRPr="000645E3">
          <w:rPr>
            <w:rStyle w:val="Hyperlink"/>
            <w:rFonts w:eastAsia="Times New Roman"/>
            <w:lang w:eastAsia="en-US"/>
          </w:rPr>
          <w:t>vadcommunity@westvicphn.com.au</w:t>
        </w:r>
      </w:hyperlink>
      <w:r>
        <w:rPr>
          <w:rFonts w:eastAsia="Times New Roman"/>
          <w:lang w:eastAsia="en-US"/>
        </w:rPr>
        <w:t xml:space="preserve">. </w:t>
      </w:r>
    </w:p>
    <w:p w14:paraId="12370921" w14:textId="4C408920" w:rsidR="00EF2D3C" w:rsidRDefault="00DB243D" w:rsidP="00573384">
      <w:pPr>
        <w:pStyle w:val="SCVbody"/>
      </w:pPr>
      <w:r w:rsidRPr="00DB243D">
        <w:rPr>
          <w:rFonts w:eastAsia="Times New Roman"/>
          <w:lang w:eastAsia="en-US"/>
        </w:rPr>
        <w:t xml:space="preserve">Medical </w:t>
      </w:r>
      <w:r w:rsidR="00A26730">
        <w:rPr>
          <w:rFonts w:eastAsia="Times New Roman"/>
          <w:lang w:eastAsia="en-US"/>
        </w:rPr>
        <w:t>practitioners</w:t>
      </w:r>
      <w:r w:rsidR="006307EE">
        <w:rPr>
          <w:rFonts w:eastAsia="Times New Roman"/>
          <w:lang w:eastAsia="en-US"/>
        </w:rPr>
        <w:t xml:space="preserve"> and other professionals</w:t>
      </w:r>
      <w:r w:rsidR="00A26730">
        <w:rPr>
          <w:rFonts w:eastAsia="Times New Roman"/>
          <w:lang w:eastAsia="en-US"/>
        </w:rPr>
        <w:t xml:space="preserve"> </w:t>
      </w:r>
      <w:r w:rsidRPr="00DB243D">
        <w:rPr>
          <w:rFonts w:eastAsia="Times New Roman"/>
          <w:lang w:eastAsia="en-US"/>
        </w:rPr>
        <w:t xml:space="preserve">actively involved in the program and those involved in the community of practice have provided a range of </w:t>
      </w:r>
      <w:r w:rsidR="006307EE" w:rsidRPr="00DB243D">
        <w:rPr>
          <w:rFonts w:eastAsia="Times New Roman"/>
          <w:lang w:eastAsia="en-US"/>
        </w:rPr>
        <w:t>insights since</w:t>
      </w:r>
      <w:r w:rsidR="00A26730">
        <w:rPr>
          <w:rFonts w:eastAsia="Times New Roman"/>
          <w:lang w:eastAsia="en-US"/>
        </w:rPr>
        <w:t xml:space="preserve"> the Act came into effect</w:t>
      </w:r>
      <w:r w:rsidRPr="00DB243D">
        <w:rPr>
          <w:rFonts w:eastAsia="Times New Roman"/>
          <w:lang w:eastAsia="en-US"/>
        </w:rPr>
        <w:t xml:space="preserve">. </w:t>
      </w:r>
      <w:r w:rsidR="00A26730">
        <w:rPr>
          <w:rFonts w:eastAsia="Times New Roman"/>
          <w:lang w:eastAsia="en-US"/>
        </w:rPr>
        <w:t>Their f</w:t>
      </w:r>
      <w:r w:rsidRPr="00DB243D">
        <w:rPr>
          <w:rFonts w:eastAsia="Times New Roman"/>
          <w:lang w:eastAsia="en-US"/>
        </w:rPr>
        <w:t>eedback has been incorporated into this report alongside that of contact people</w:t>
      </w:r>
      <w:bookmarkEnd w:id="6"/>
      <w:r w:rsidR="00573384">
        <w:rPr>
          <w:rFonts w:eastAsia="Times New Roman"/>
          <w:lang w:eastAsia="en-US"/>
        </w:rPr>
        <w:t>.</w:t>
      </w:r>
    </w:p>
    <w:p w14:paraId="12496994" w14:textId="77777777" w:rsidR="00DD6A16" w:rsidRDefault="00DD6A16" w:rsidP="00EF2D3C">
      <w:pPr>
        <w:pStyle w:val="Heading1"/>
        <w:sectPr w:rsidR="00DD6A16" w:rsidSect="00EB29C3">
          <w:type w:val="continuous"/>
          <w:pgSz w:w="11906" w:h="16838" w:code="9"/>
          <w:pgMar w:top="3402" w:right="851" w:bottom="1361" w:left="851" w:header="851" w:footer="851" w:gutter="0"/>
          <w:cols w:num="2" w:space="284"/>
          <w:docGrid w:linePitch="360"/>
        </w:sectPr>
      </w:pPr>
    </w:p>
    <w:p w14:paraId="6465E810" w14:textId="4E78AB9D" w:rsidR="00EF2D3C" w:rsidRDefault="00573384" w:rsidP="00EF2D3C">
      <w:pPr>
        <w:pStyle w:val="Heading1"/>
      </w:pPr>
      <w:r>
        <w:lastRenderedPageBreak/>
        <w:t>Applicants and assessments</w:t>
      </w:r>
    </w:p>
    <w:p w14:paraId="60EF42CE" w14:textId="0681DFFE" w:rsidR="00A40DFD" w:rsidRDefault="00573384" w:rsidP="008401CA">
      <w:pPr>
        <w:pStyle w:val="SCVintroductorytext"/>
        <w:sectPr w:rsidR="00A40DFD" w:rsidSect="00EB29C3">
          <w:type w:val="continuous"/>
          <w:pgSz w:w="11906" w:h="16838" w:code="9"/>
          <w:pgMar w:top="3402" w:right="851" w:bottom="1361" w:left="851" w:header="851" w:footer="851" w:gutter="0"/>
          <w:cols w:space="284"/>
          <w:docGrid w:linePitch="360"/>
        </w:sectPr>
      </w:pPr>
      <w:r w:rsidRPr="00573384">
        <w:t>An applicant is a person seeking to access voluntary assisted dying. They must meet all eligibility criteria, as assessed by their coordinating and consulting medical practitioners. The Statewide Care Navigator Service and the Statewide Pharmacy Service provide support to people, medical practitioners</w:t>
      </w:r>
      <w:r w:rsidR="00C685FA" w:rsidRPr="36286C03">
        <w:t>,</w:t>
      </w:r>
      <w:r w:rsidRPr="00573384">
        <w:t xml:space="preserve"> and health services throughout the application process of voluntary assisted dying. The Services are commissioned by the </w:t>
      </w:r>
      <w:bookmarkStart w:id="12" w:name="_Int_0ekAgdqo"/>
      <w:r w:rsidRPr="00573384">
        <w:t>End of Life</w:t>
      </w:r>
      <w:bookmarkEnd w:id="12"/>
      <w:r w:rsidRPr="00573384">
        <w:t xml:space="preserve"> </w:t>
      </w:r>
      <w:r w:rsidR="00A26730">
        <w:t xml:space="preserve">and Palliative Services </w:t>
      </w:r>
      <w:r w:rsidRPr="00573384">
        <w:t>Team in the Department of Health.</w:t>
      </w:r>
    </w:p>
    <w:p w14:paraId="76BCC845" w14:textId="4B865EE3" w:rsidR="00573384" w:rsidRDefault="00573384" w:rsidP="003668FB">
      <w:pPr>
        <w:pStyle w:val="SCVbody"/>
      </w:pPr>
      <w:r>
        <w:t xml:space="preserve">As more Victorians become aware of this </w:t>
      </w:r>
      <w:bookmarkStart w:id="13" w:name="_Int_ZTYo9aNZ"/>
      <w:r>
        <w:t>end of life</w:t>
      </w:r>
      <w:bookmarkEnd w:id="13"/>
      <w:r>
        <w:t xml:space="preserve"> choice, there is a continued need for statewide services. Additional resourcing for statewide services has been dedicated through the Department of Health to ensure the needs of all Victorians can be met at this crucial time in their lives.</w:t>
      </w:r>
    </w:p>
    <w:p w14:paraId="2BDD1F74" w14:textId="58425F9E" w:rsidR="00573384" w:rsidRDefault="00573384" w:rsidP="00573384">
      <w:pPr>
        <w:pStyle w:val="SCVbodyafterheading"/>
      </w:pPr>
      <w:r>
        <w:t>The Board receive</w:t>
      </w:r>
      <w:r w:rsidR="007F68E6">
        <w:t>s</w:t>
      </w:r>
      <w:r>
        <w:t xml:space="preserve"> positive feedback about the Statewide Pharmacy services. </w:t>
      </w:r>
      <w:r w:rsidR="00B978D5">
        <w:t>O</w:t>
      </w:r>
      <w:r>
        <w:t>ver the past year</w:t>
      </w:r>
      <w:r w:rsidR="008A3C44">
        <w:t>,</w:t>
      </w:r>
      <w:r>
        <w:t xml:space="preserve"> Covid-19 and other resourcing issues have impacted </w:t>
      </w:r>
      <w:r w:rsidR="004535EA">
        <w:t xml:space="preserve">the broader healthcare delivery system – including those directly related to voluntary assisted dying. </w:t>
      </w:r>
      <w:r w:rsidR="00E7708A">
        <w:t xml:space="preserve">The Board recognises that </w:t>
      </w:r>
      <w:r w:rsidR="004535EA">
        <w:t xml:space="preserve">additional resourcing to the voluntary assisted dying statewide services </w:t>
      </w:r>
      <w:r w:rsidR="009A4EF1">
        <w:t xml:space="preserve">have </w:t>
      </w:r>
      <w:r w:rsidR="00106D5B">
        <w:t xml:space="preserve">had a positive impact. </w:t>
      </w:r>
    </w:p>
    <w:p w14:paraId="02B2D5D3" w14:textId="58B164D1" w:rsidR="00573384" w:rsidRDefault="00573384" w:rsidP="00573384">
      <w:pPr>
        <w:pStyle w:val="Heading2"/>
      </w:pPr>
      <w:r w:rsidRPr="00573384">
        <w:t>Seeking information about voluntary assisted dying</w:t>
      </w:r>
    </w:p>
    <w:p w14:paraId="228023D4" w14:textId="77777777" w:rsidR="00573384" w:rsidRDefault="00573384" w:rsidP="00573384">
      <w:pPr>
        <w:pStyle w:val="SCVbodyafterheading"/>
      </w:pPr>
      <w:r>
        <w:t xml:space="preserve">The Statewide Care Navigator Service has provided important advice and support to Victorians, medical practitioners, and health care teams consistently across Victoria over the last three years. </w:t>
      </w:r>
    </w:p>
    <w:p w14:paraId="28EB41B3" w14:textId="0ED602FC" w:rsidR="00573384" w:rsidRDefault="00573384" w:rsidP="00573384">
      <w:pPr>
        <w:pStyle w:val="SCVbodyafterheading"/>
      </w:pPr>
      <w:r>
        <w:t xml:space="preserve">The care navigator service continues to grow to meet the needs of Victorians. As of 30 June 2022, there are nine care navigators located across Victoria, and a manager who oversees the service. These skilled and compassionate nurses, and social workers provide advice and support to Victorians who may be considering voluntary assisted dying as an </w:t>
      </w:r>
      <w:bookmarkStart w:id="14" w:name="_Int_ipP19jB4"/>
      <w:r>
        <w:t>end of life</w:t>
      </w:r>
      <w:bookmarkEnd w:id="14"/>
      <w:r>
        <w:t xml:space="preserve"> choice. If necessary, the service also connects people with medical practitioners who have completed the training. </w:t>
      </w:r>
    </w:p>
    <w:p w14:paraId="6D5246D1" w14:textId="45513695" w:rsidR="00573384" w:rsidRDefault="00573384" w:rsidP="00573384">
      <w:pPr>
        <w:pStyle w:val="SCVbodyafterheading"/>
      </w:pPr>
      <w:r>
        <w:t xml:space="preserve">From 1 July 2021 to 30 June 2022, there were 1,062 contacts made to the </w:t>
      </w:r>
      <w:r w:rsidR="004B5A49">
        <w:t>C</w:t>
      </w:r>
      <w:r>
        <w:t xml:space="preserve">are </w:t>
      </w:r>
      <w:r w:rsidR="004B5A49">
        <w:t>N</w:t>
      </w:r>
      <w:r>
        <w:t xml:space="preserve">avigator </w:t>
      </w:r>
      <w:r w:rsidR="004B5A49">
        <w:t>S</w:t>
      </w:r>
      <w:r>
        <w:t>ervice seeking information or support.</w:t>
      </w:r>
      <w:r w:rsidRPr="00573384">
        <w:t xml:space="preserve"> This is an increase of 8</w:t>
      </w:r>
      <w:r w:rsidR="00CD28D6">
        <w:t xml:space="preserve"> per cent</w:t>
      </w:r>
      <w:r w:rsidRPr="00573384">
        <w:t xml:space="preserve"> compared to 985 contacts made </w:t>
      </w:r>
      <w:r w:rsidR="00672DDD">
        <w:t>in</w:t>
      </w:r>
      <w:r w:rsidRPr="00573384">
        <w:t xml:space="preserve"> the previous year.</w:t>
      </w:r>
    </w:p>
    <w:p w14:paraId="5E2E69E2" w14:textId="77777777" w:rsidR="00573384" w:rsidRDefault="00573384" w:rsidP="00573384">
      <w:pPr>
        <w:pStyle w:val="SCVbodyafterheading"/>
      </w:pPr>
      <w:r>
        <w:t xml:space="preserve">Of these: </w:t>
      </w:r>
    </w:p>
    <w:p w14:paraId="10CE5ABF" w14:textId="62D07559" w:rsidR="00573384" w:rsidRDefault="00573384" w:rsidP="00573384">
      <w:pPr>
        <w:pStyle w:val="SCVbullet1"/>
      </w:pPr>
      <w:r>
        <w:t>32 per cent were from applicants</w:t>
      </w:r>
    </w:p>
    <w:p w14:paraId="577C17BE" w14:textId="66DE9987" w:rsidR="00573384" w:rsidRDefault="00573384" w:rsidP="00573384">
      <w:pPr>
        <w:pStyle w:val="SCVbullet1"/>
      </w:pPr>
      <w:r>
        <w:t>28 per cent were from family members or friends</w:t>
      </w:r>
    </w:p>
    <w:p w14:paraId="4EA7C35E" w14:textId="5D1F9AB2" w:rsidR="00573384" w:rsidRDefault="00573384" w:rsidP="00573384">
      <w:pPr>
        <w:pStyle w:val="SCVbullet1"/>
      </w:pPr>
      <w:r>
        <w:t>26 per cent were from the usual treating team</w:t>
      </w:r>
    </w:p>
    <w:p w14:paraId="14FEC3D8" w14:textId="22B33A1D" w:rsidR="00573384" w:rsidRDefault="00573384" w:rsidP="00573384">
      <w:pPr>
        <w:pStyle w:val="SCVbullet1"/>
      </w:pPr>
      <w:r>
        <w:t>13 per cent were from a voluntary assisted dying clinician (medical practitioner or coordinator)</w:t>
      </w:r>
    </w:p>
    <w:p w14:paraId="3C101D99" w14:textId="50B183B3" w:rsidR="00573384" w:rsidRDefault="00573384" w:rsidP="00573384">
      <w:pPr>
        <w:pStyle w:val="SCVbullet1"/>
      </w:pPr>
      <w:r>
        <w:t>1 per cent w</w:t>
      </w:r>
      <w:r w:rsidR="004A61FE">
        <w:t>as</w:t>
      </w:r>
      <w:r>
        <w:t xml:space="preserve"> from other sources.</w:t>
      </w:r>
    </w:p>
    <w:p w14:paraId="00D9C0D4" w14:textId="01C6DF1E" w:rsidR="00573384" w:rsidRDefault="003413D7" w:rsidP="00573384">
      <w:pPr>
        <w:pStyle w:val="SCVbullet1"/>
        <w:numPr>
          <w:ilvl w:val="0"/>
          <w:numId w:val="0"/>
        </w:numPr>
      </w:pPr>
      <w:r>
        <w:rPr>
          <w:noProof/>
        </w:rPr>
        <w:drawing>
          <wp:inline distT="0" distB="0" distL="0" distR="0" wp14:anchorId="456A3D04" wp14:editId="360FFD00">
            <wp:extent cx="3262579" cy="3460089"/>
            <wp:effectExtent l="0" t="0" r="0" b="7620"/>
            <wp:docPr id="12" name="Chart 12" descr="This pie graph is a visual demonstration of the figures included before the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6706989" w14:textId="77777777" w:rsidR="00D351D2" w:rsidRDefault="00D351D2" w:rsidP="00D351D2">
      <w:pPr>
        <w:pStyle w:val="SCVbody"/>
        <w:sectPr w:rsidR="00D351D2" w:rsidSect="00EB29C3">
          <w:type w:val="continuous"/>
          <w:pgSz w:w="11906" w:h="16838" w:code="9"/>
          <w:pgMar w:top="3402" w:right="851" w:bottom="1361" w:left="851" w:header="851" w:footer="851" w:gutter="0"/>
          <w:cols w:num="2" w:space="284"/>
          <w:docGrid w:linePitch="360"/>
        </w:sectPr>
      </w:pPr>
    </w:p>
    <w:p w14:paraId="346E2525" w14:textId="17CC5F4A" w:rsidR="00D351D2" w:rsidRDefault="00A40DFD" w:rsidP="00D351D2">
      <w:pPr>
        <w:pStyle w:val="SCVbody"/>
      </w:pPr>
      <w:r>
        <w:br w:type="column"/>
      </w:r>
      <w:r w:rsidR="00D351D2">
        <w:lastRenderedPageBreak/>
        <w:t xml:space="preserve">30 per cent of contacts to the care navigator service were from regional or rural Victoria. </w:t>
      </w:r>
    </w:p>
    <w:p w14:paraId="6EA8AAD1" w14:textId="77777777" w:rsidR="00D351D2" w:rsidRDefault="00D351D2" w:rsidP="00D351D2">
      <w:pPr>
        <w:pStyle w:val="SCVbody"/>
      </w:pPr>
      <w:r>
        <w:t>Of the contacts made from 1 July 2021 – 30 June 2022:</w:t>
      </w:r>
    </w:p>
    <w:p w14:paraId="55587029" w14:textId="77777777" w:rsidR="00D351D2" w:rsidRDefault="00D351D2" w:rsidP="00D351D2">
      <w:pPr>
        <w:pStyle w:val="SCVbullet1"/>
      </w:pPr>
      <w:r>
        <w:t>48 per cent were for support for applicants who were planning or were in the process of applying for voluntary assisted dying</w:t>
      </w:r>
    </w:p>
    <w:p w14:paraId="028B9A22" w14:textId="77777777" w:rsidR="00D351D2" w:rsidRDefault="00D351D2" w:rsidP="00D351D2">
      <w:pPr>
        <w:pStyle w:val="SCVbullet1"/>
      </w:pPr>
      <w:r>
        <w:t>38 per cent were requests for information from those who were considering voluntary assisted dying</w:t>
      </w:r>
    </w:p>
    <w:p w14:paraId="14D4BD6D" w14:textId="77777777" w:rsidR="00D351D2" w:rsidRDefault="00D351D2" w:rsidP="00D351D2">
      <w:pPr>
        <w:pStyle w:val="SCVbullet1"/>
      </w:pPr>
      <w:r>
        <w:t>7 per cent were for assistance in finding a second trained medical practitioner to complete the applicant’s eligibility assessment</w:t>
      </w:r>
    </w:p>
    <w:p w14:paraId="5FBD1630" w14:textId="46250244" w:rsidR="00D351D2" w:rsidRDefault="00D351D2" w:rsidP="00D351D2">
      <w:pPr>
        <w:pStyle w:val="SCVbullet1"/>
      </w:pPr>
      <w:r>
        <w:t>7 per cent were for other reasons.</w:t>
      </w:r>
    </w:p>
    <w:p w14:paraId="1CDB3E38" w14:textId="0B60E055" w:rsidR="00EF2D3C" w:rsidRDefault="00D351D2" w:rsidP="00D351D2">
      <w:pPr>
        <w:pStyle w:val="SCVbody"/>
      </w:pPr>
      <w:r>
        <w:t>Contact people and medical p</w:t>
      </w:r>
      <w:r w:rsidR="009F3D6D">
        <w:t>ractitioners</w:t>
      </w:r>
      <w:r>
        <w:t xml:space="preserve"> continue to provide positive feedback about the service.</w:t>
      </w:r>
    </w:p>
    <w:p w14:paraId="69C49F62" w14:textId="72AAA47F" w:rsidR="00D351D2" w:rsidRDefault="00E43476" w:rsidP="00D351D2">
      <w:pPr>
        <w:pStyle w:val="SCVquote"/>
        <w:rPr>
          <w:rFonts w:asciiTheme="majorHAnsi" w:hAnsiTheme="majorHAnsi"/>
        </w:rPr>
      </w:pPr>
      <w:r>
        <w:t>‘</w:t>
      </w:r>
      <w:r w:rsidR="00D351D2">
        <w:t xml:space="preserve">I wish to express my thankfulness to the way in which you enabled (my dad) to begin the process for his wish to die peacefully at home surrounded by his family. From my first phone call to you, the steps were put in place by you for </w:t>
      </w:r>
      <w:r w:rsidR="00D351D2">
        <w:t xml:space="preserve">his </w:t>
      </w:r>
      <w:bookmarkStart w:id="15" w:name="_Int_9VqEz0Mt"/>
      <w:r w:rsidR="00D351D2">
        <w:t>end of life</w:t>
      </w:r>
      <w:bookmarkEnd w:id="15"/>
      <w:r w:rsidR="00D351D2">
        <w:t xml:space="preserve"> care to be as he wished. You were so caring and professionally skilled in the way you immediately helped us.</w:t>
      </w:r>
      <w:r>
        <w:t>’</w:t>
      </w:r>
      <w:r w:rsidR="00D351D2">
        <w:t xml:space="preserve"> </w:t>
      </w:r>
      <w:r w:rsidR="00D351D2" w:rsidRPr="00D351D2">
        <w:rPr>
          <w:rFonts w:asciiTheme="majorHAnsi" w:hAnsiTheme="majorHAnsi"/>
        </w:rPr>
        <w:t>Family member</w:t>
      </w:r>
    </w:p>
    <w:p w14:paraId="62EA3DAF" w14:textId="0BDDEE54" w:rsidR="00D351D2" w:rsidRDefault="00E43476" w:rsidP="00D351D2">
      <w:pPr>
        <w:pStyle w:val="SCVquote"/>
      </w:pPr>
      <w:r>
        <w:t>‘</w:t>
      </w:r>
      <w:r w:rsidR="00D351D2">
        <w:t>I so greatly appreciate your help with this case, both before and on the day. You should be proud of the job you do.</w:t>
      </w:r>
      <w:r>
        <w:t>’</w:t>
      </w:r>
      <w:r w:rsidR="00D351D2">
        <w:t xml:space="preserve"> </w:t>
      </w:r>
      <w:r w:rsidR="00D351D2" w:rsidRPr="00D351D2">
        <w:rPr>
          <w:rFonts w:asciiTheme="majorHAnsi" w:hAnsiTheme="majorHAnsi"/>
        </w:rPr>
        <w:t>Medical practitioner</w:t>
      </w:r>
      <w:r w:rsidR="00D351D2">
        <w:t xml:space="preserve"> </w:t>
      </w:r>
    </w:p>
    <w:p w14:paraId="09263304" w14:textId="3F87B1DC" w:rsidR="00D351D2" w:rsidRDefault="00E43476" w:rsidP="00D351D2">
      <w:pPr>
        <w:pStyle w:val="SCVquote"/>
        <w:rPr>
          <w:rFonts w:asciiTheme="majorHAnsi" w:hAnsiTheme="majorHAnsi"/>
        </w:rPr>
      </w:pPr>
      <w:r>
        <w:t>‘</w:t>
      </w:r>
      <w:r w:rsidR="00D351D2">
        <w:t xml:space="preserve">The Care Navigator… was amazing, she just organised everything to happen. She was always up there seeing [the applicant] and </w:t>
      </w:r>
      <w:bookmarkStart w:id="16" w:name="_Int_ajwgfUui"/>
      <w:r w:rsidR="00D351D2">
        <w:t>I think he</w:t>
      </w:r>
      <w:bookmarkEnd w:id="16"/>
      <w:r w:rsidR="00D351D2">
        <w:t xml:space="preserve"> felt very reassured by her presence.</w:t>
      </w:r>
      <w:r>
        <w:t>’</w:t>
      </w:r>
      <w:r w:rsidR="00D351D2">
        <w:t xml:space="preserve"> </w:t>
      </w:r>
      <w:r w:rsidR="00D351D2" w:rsidRPr="00D351D2">
        <w:rPr>
          <w:rFonts w:asciiTheme="majorHAnsi" w:hAnsiTheme="majorHAnsi"/>
        </w:rPr>
        <w:t>Contact person</w:t>
      </w:r>
    </w:p>
    <w:p w14:paraId="26FC9485" w14:textId="363904CA" w:rsidR="00A40DFD" w:rsidRDefault="00D351D2" w:rsidP="00D351D2">
      <w:pPr>
        <w:pStyle w:val="Heading2"/>
      </w:pPr>
      <w:r>
        <w:t>Voluntary assisted dying applications</w:t>
      </w:r>
    </w:p>
    <w:p w14:paraId="44798BA7" w14:textId="3FFC3FBF" w:rsidR="00D351D2" w:rsidRPr="00D351D2" w:rsidRDefault="00D351D2" w:rsidP="00D351D2">
      <w:pPr>
        <w:pStyle w:val="SCVbody"/>
      </w:pPr>
      <w:r w:rsidRPr="00D351D2">
        <w:t xml:space="preserve">The Board continues to see an increase in voluntary assisted dying applications, including those that progress to permit application stage. This is despite the Covid-19 pandemic. There has been some evidence that </w:t>
      </w:r>
      <w:r w:rsidR="006307EE">
        <w:t xml:space="preserve">pandemic </w:t>
      </w:r>
      <w:r w:rsidRPr="00D351D2">
        <w:t>orders</w:t>
      </w:r>
      <w:r w:rsidR="004535EA">
        <w:t xml:space="preserve"> affected</w:t>
      </w:r>
      <w:r>
        <w:t xml:space="preserve"> </w:t>
      </w:r>
      <w:r w:rsidRPr="00D351D2">
        <w:t>the accessibili</w:t>
      </w:r>
      <w:r>
        <w:t>t</w:t>
      </w:r>
      <w:r w:rsidRPr="00D351D2">
        <w:t xml:space="preserve">y of appointments. Feedback received from contact people has indicated that </w:t>
      </w:r>
      <w:r w:rsidR="00D80365">
        <w:t>these orders</w:t>
      </w:r>
      <w:r w:rsidRPr="00D351D2">
        <w:t xml:space="preserve"> did impact on the experience of grief for some family and support people.</w:t>
      </w:r>
    </w:p>
    <w:p w14:paraId="537341F0" w14:textId="77777777" w:rsidR="00D351D2" w:rsidRDefault="00D351D2" w:rsidP="00D351D2">
      <w:pPr>
        <w:pStyle w:val="SCVbody"/>
        <w:sectPr w:rsidR="00D351D2" w:rsidSect="00EB29C3">
          <w:type w:val="continuous"/>
          <w:pgSz w:w="11906" w:h="16838" w:code="9"/>
          <w:pgMar w:top="3402" w:right="851" w:bottom="1361" w:left="851" w:header="851" w:footer="851" w:gutter="0"/>
          <w:cols w:num="2" w:space="284"/>
          <w:docGrid w:linePitch="360"/>
        </w:sectPr>
      </w:pPr>
    </w:p>
    <w:p w14:paraId="642B7C04" w14:textId="27FF14C6" w:rsidR="00D351D2" w:rsidRDefault="00D351D2" w:rsidP="00D351D2">
      <w:pPr>
        <w:pStyle w:val="SCVfigurecaption"/>
      </w:pPr>
      <w:r w:rsidRPr="00D351D2">
        <w:lastRenderedPageBreak/>
        <w:t xml:space="preserve">Figure </w:t>
      </w:r>
      <w:r w:rsidR="00673F0E">
        <w:t>4</w:t>
      </w:r>
      <w:r w:rsidRPr="00D351D2">
        <w:t>: Applications over time (forms submitted by quarter)</w:t>
      </w:r>
    </w:p>
    <w:p w14:paraId="24F9FB6F" w14:textId="087CDAC5" w:rsidR="00D351D2" w:rsidRDefault="00C54124" w:rsidP="00D351D2">
      <w:pPr>
        <w:pStyle w:val="SCVbody"/>
      </w:pPr>
      <w:r>
        <w:rPr>
          <w:noProof/>
        </w:rPr>
        <w:drawing>
          <wp:inline distT="0" distB="0" distL="0" distR="0" wp14:anchorId="38E1741C" wp14:editId="1C4A0AE3">
            <wp:extent cx="6480000" cy="3600000"/>
            <wp:effectExtent l="0" t="0" r="0" b="635"/>
            <wp:docPr id="9" name="Chart 9" descr="This graph shows the number of application forms submitted since Q1 2019-20. The number increased in 2019-20 and 2020-21 but has stablised in 2021-22. "/>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A9914A5" w14:textId="5FFB69F8" w:rsidR="009C14CC" w:rsidRDefault="009C14CC" w:rsidP="00D351D2">
      <w:pPr>
        <w:pStyle w:val="SCVbody"/>
        <w:sectPr w:rsidR="009C14CC" w:rsidSect="00EB29C3">
          <w:type w:val="continuous"/>
          <w:pgSz w:w="11906" w:h="16838" w:code="9"/>
          <w:pgMar w:top="3402" w:right="851" w:bottom="1361" w:left="851" w:header="851" w:footer="851" w:gutter="0"/>
          <w:cols w:space="284"/>
          <w:docGrid w:linePitch="360"/>
        </w:sectPr>
      </w:pPr>
    </w:p>
    <w:p w14:paraId="0D29E5B8" w14:textId="3A76B068" w:rsidR="00D351D2" w:rsidRDefault="00D351D2" w:rsidP="00D351D2">
      <w:pPr>
        <w:pStyle w:val="SCVbody"/>
      </w:pPr>
      <w:r w:rsidRPr="00D351D2">
        <w:t xml:space="preserve">The Act requires that a final request </w:t>
      </w:r>
      <w:bookmarkStart w:id="17" w:name="_Int_vASW2KgS"/>
      <w:r w:rsidRPr="00D351D2">
        <w:t>is</w:t>
      </w:r>
      <w:bookmarkEnd w:id="17"/>
      <w:r w:rsidRPr="00D351D2">
        <w:t xml:space="preserve"> made at least </w:t>
      </w:r>
      <w:r w:rsidR="00233CD2">
        <w:t>nine</w:t>
      </w:r>
      <w:r w:rsidRPr="00D351D2">
        <w:t xml:space="preserve"> days after the first request unless both assessing medical practitioners consider that the </w:t>
      </w:r>
      <w:r w:rsidRPr="00D351D2">
        <w:t xml:space="preserve">applicant’s death is likely to occur within the </w:t>
      </w:r>
      <w:r w:rsidR="007C319F">
        <w:t>nine</w:t>
      </w:r>
      <w:r w:rsidRPr="00D351D2">
        <w:t xml:space="preserve">-day </w:t>
      </w:r>
      <w:r w:rsidR="0920311D">
        <w:t>timeframe.</w:t>
      </w:r>
      <w:r w:rsidRPr="00D351D2">
        <w:t xml:space="preserve"> The median timeframe from first to last request is 16 days.</w:t>
      </w:r>
    </w:p>
    <w:p w14:paraId="5B0B62AF" w14:textId="77777777" w:rsidR="009C14CC" w:rsidRDefault="009C14CC" w:rsidP="009C14CC">
      <w:pPr>
        <w:pStyle w:val="SCVtablecaption"/>
        <w:sectPr w:rsidR="009C14CC" w:rsidSect="00EB29C3">
          <w:type w:val="continuous"/>
          <w:pgSz w:w="11906" w:h="16838" w:code="9"/>
          <w:pgMar w:top="3402" w:right="851" w:bottom="1361" w:left="851" w:header="851" w:footer="851" w:gutter="0"/>
          <w:cols w:num="2" w:space="284"/>
          <w:docGrid w:linePitch="360"/>
        </w:sectPr>
      </w:pPr>
    </w:p>
    <w:p w14:paraId="33F3BAC7" w14:textId="7992EF72" w:rsidR="00D351D2" w:rsidRDefault="00D351D2" w:rsidP="009C14CC">
      <w:pPr>
        <w:pStyle w:val="SCVtablecaption"/>
      </w:pPr>
      <w:r>
        <w:t xml:space="preserve">Table 4: </w:t>
      </w:r>
      <w:r w:rsidRPr="00D351D2">
        <w:t>Timeframes – first to final request</w:t>
      </w:r>
    </w:p>
    <w:tbl>
      <w:tblPr>
        <w:tblStyle w:val="TableGrid1"/>
        <w:tblW w:w="9765" w:type="dxa"/>
        <w:tblLayout w:type="fixed"/>
        <w:tblLook w:val="04A0" w:firstRow="1" w:lastRow="0" w:firstColumn="1" w:lastColumn="0" w:noHBand="0" w:noVBand="1"/>
        <w:tblDescription w:val="Table 4 shows the timeframe from first request to final request. There is a median timeframe of 16 days and an interquartile range of 11 to 33 days. "/>
      </w:tblPr>
      <w:tblGrid>
        <w:gridCol w:w="4883"/>
        <w:gridCol w:w="4882"/>
      </w:tblGrid>
      <w:tr w:rsidR="009C14CC" w:rsidRPr="009C14CC" w14:paraId="467444A6" w14:textId="77777777" w:rsidTr="001301E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03" w:type="dxa"/>
            <w:tcMar>
              <w:left w:w="108" w:type="dxa"/>
              <w:right w:w="108" w:type="dxa"/>
            </w:tcMar>
            <w:hideMark/>
          </w:tcPr>
          <w:p w14:paraId="1A4B18DD" w14:textId="77777777" w:rsidR="009C14CC" w:rsidRPr="001301E4" w:rsidRDefault="009C14CC" w:rsidP="009C14CC">
            <w:pPr>
              <w:pStyle w:val="SCVtablecolhead"/>
              <w:rPr>
                <w:rFonts w:asciiTheme="majorHAnsi" w:eastAsia="VIC SemiBold" w:hAnsiTheme="majorHAnsi"/>
              </w:rPr>
            </w:pPr>
            <w:r w:rsidRPr="001301E4">
              <w:rPr>
                <w:rFonts w:asciiTheme="majorHAnsi" w:eastAsia="VIC SemiBold" w:hAnsiTheme="majorHAnsi"/>
              </w:rPr>
              <w:t>Timeframes – first to final request</w:t>
            </w:r>
          </w:p>
        </w:tc>
        <w:tc>
          <w:tcPr>
            <w:tcW w:w="5103" w:type="dxa"/>
            <w:tcMar>
              <w:left w:w="108" w:type="dxa"/>
              <w:right w:w="108" w:type="dxa"/>
            </w:tcMar>
            <w:hideMark/>
          </w:tcPr>
          <w:p w14:paraId="4E05900E" w14:textId="77777777" w:rsidR="009C14CC" w:rsidRPr="001301E4" w:rsidRDefault="009C14CC" w:rsidP="009C14CC">
            <w:pPr>
              <w:pStyle w:val="SCVtablecolhead"/>
              <w:jc w:val="center"/>
              <w:cnfStyle w:val="100000000000" w:firstRow="1" w:lastRow="0" w:firstColumn="0" w:lastColumn="0" w:oddVBand="0" w:evenVBand="0" w:oddHBand="0" w:evenHBand="0" w:firstRowFirstColumn="0" w:firstRowLastColumn="0" w:lastRowFirstColumn="0" w:lastRowLastColumn="0"/>
              <w:rPr>
                <w:rFonts w:asciiTheme="majorHAnsi" w:eastAsia="VIC SemiBold" w:hAnsiTheme="majorHAnsi"/>
              </w:rPr>
            </w:pPr>
            <w:r w:rsidRPr="001301E4">
              <w:rPr>
                <w:rFonts w:asciiTheme="majorHAnsi" w:eastAsia="VIC SemiBold" w:hAnsiTheme="majorHAnsi"/>
              </w:rPr>
              <w:t>Days elapsed</w:t>
            </w:r>
          </w:p>
        </w:tc>
      </w:tr>
      <w:tr w:rsidR="009C14CC" w:rsidRPr="009C14CC" w14:paraId="1BEDE6E5" w14:textId="77777777" w:rsidTr="001301E4">
        <w:trPr>
          <w:cantSplit/>
        </w:trPr>
        <w:tc>
          <w:tcPr>
            <w:cnfStyle w:val="001000000000" w:firstRow="0" w:lastRow="0" w:firstColumn="1" w:lastColumn="0" w:oddVBand="0" w:evenVBand="0" w:oddHBand="0" w:evenHBand="0" w:firstRowFirstColumn="0" w:firstRowLastColumn="0" w:lastRowFirstColumn="0" w:lastRowLastColumn="0"/>
            <w:tcW w:w="5103" w:type="dxa"/>
            <w:tcMar>
              <w:left w:w="108" w:type="dxa"/>
              <w:right w:w="108" w:type="dxa"/>
            </w:tcMar>
            <w:hideMark/>
          </w:tcPr>
          <w:p w14:paraId="757A6CCB" w14:textId="77777777" w:rsidR="009C14CC" w:rsidRPr="007C268F" w:rsidRDefault="009C14CC" w:rsidP="009C14CC">
            <w:pPr>
              <w:pStyle w:val="SCVtablerowhead"/>
              <w:rPr>
                <w:rFonts w:ascii="VIC Medium" w:eastAsia="VIC SemiBold" w:hAnsi="VIC Medium"/>
                <w:b w:val="0"/>
                <w:color w:val="auto"/>
              </w:rPr>
            </w:pPr>
            <w:r w:rsidRPr="007C268F">
              <w:rPr>
                <w:rFonts w:ascii="VIC Medium" w:eastAsia="VIC SemiBold" w:hAnsi="VIC Medium"/>
                <w:b w:val="0"/>
                <w:color w:val="auto"/>
              </w:rPr>
              <w:t>Median</w:t>
            </w:r>
          </w:p>
        </w:tc>
        <w:tc>
          <w:tcPr>
            <w:tcW w:w="5103" w:type="dxa"/>
            <w:tcMar>
              <w:left w:w="108" w:type="dxa"/>
              <w:right w:w="108" w:type="dxa"/>
            </w:tcMar>
            <w:hideMark/>
          </w:tcPr>
          <w:p w14:paraId="74AC9570" w14:textId="77777777" w:rsidR="009C14CC" w:rsidRPr="009C14CC" w:rsidRDefault="009C14CC" w:rsidP="009C14CC">
            <w:pPr>
              <w:pStyle w:val="SCVtablebody"/>
              <w:jc w:val="center"/>
              <w:cnfStyle w:val="000000000000" w:firstRow="0" w:lastRow="0" w:firstColumn="0" w:lastColumn="0" w:oddVBand="0" w:evenVBand="0" w:oddHBand="0" w:evenHBand="0" w:firstRowFirstColumn="0" w:firstRowLastColumn="0" w:lastRowFirstColumn="0" w:lastRowLastColumn="0"/>
              <w:rPr>
                <w:rFonts w:eastAsia="VIC SemiBold"/>
              </w:rPr>
            </w:pPr>
            <w:r w:rsidRPr="009C14CC">
              <w:rPr>
                <w:rFonts w:eastAsia="VIC SemiBold"/>
              </w:rPr>
              <w:t>16</w:t>
            </w:r>
          </w:p>
        </w:tc>
      </w:tr>
      <w:tr w:rsidR="009C14CC" w:rsidRPr="009C14CC" w14:paraId="21D2CED6" w14:textId="77777777" w:rsidTr="001301E4">
        <w:trPr>
          <w:cantSplit/>
        </w:trPr>
        <w:tc>
          <w:tcPr>
            <w:cnfStyle w:val="001000000000" w:firstRow="0" w:lastRow="0" w:firstColumn="1" w:lastColumn="0" w:oddVBand="0" w:evenVBand="0" w:oddHBand="0" w:evenHBand="0" w:firstRowFirstColumn="0" w:firstRowLastColumn="0" w:lastRowFirstColumn="0" w:lastRowLastColumn="0"/>
            <w:tcW w:w="5103" w:type="dxa"/>
            <w:tcMar>
              <w:left w:w="108" w:type="dxa"/>
              <w:right w:w="108" w:type="dxa"/>
            </w:tcMar>
            <w:hideMark/>
          </w:tcPr>
          <w:p w14:paraId="10BFA6C0" w14:textId="77777777" w:rsidR="009C14CC" w:rsidRPr="007C268F" w:rsidRDefault="009C14CC" w:rsidP="009C14CC">
            <w:pPr>
              <w:pStyle w:val="SCVtablerowhead"/>
              <w:rPr>
                <w:rFonts w:ascii="VIC Medium" w:eastAsia="VIC SemiBold" w:hAnsi="VIC Medium"/>
                <w:b w:val="0"/>
                <w:color w:val="auto"/>
              </w:rPr>
            </w:pPr>
            <w:r w:rsidRPr="007C268F">
              <w:rPr>
                <w:rFonts w:ascii="VIC Medium" w:eastAsia="VIC SemiBold" w:hAnsi="VIC Medium"/>
                <w:b w:val="0"/>
                <w:color w:val="auto"/>
              </w:rPr>
              <w:t>Interquartile range</w:t>
            </w:r>
          </w:p>
        </w:tc>
        <w:tc>
          <w:tcPr>
            <w:tcW w:w="5103" w:type="dxa"/>
            <w:tcMar>
              <w:left w:w="108" w:type="dxa"/>
              <w:right w:w="108" w:type="dxa"/>
            </w:tcMar>
            <w:hideMark/>
          </w:tcPr>
          <w:p w14:paraId="236CD923" w14:textId="77777777" w:rsidR="009C14CC" w:rsidRPr="009C14CC" w:rsidRDefault="009C14CC" w:rsidP="009C14CC">
            <w:pPr>
              <w:pStyle w:val="SCVtablebody"/>
              <w:jc w:val="center"/>
              <w:cnfStyle w:val="000000000000" w:firstRow="0" w:lastRow="0" w:firstColumn="0" w:lastColumn="0" w:oddVBand="0" w:evenVBand="0" w:oddHBand="0" w:evenHBand="0" w:firstRowFirstColumn="0" w:firstRowLastColumn="0" w:lastRowFirstColumn="0" w:lastRowLastColumn="0"/>
              <w:rPr>
                <w:rFonts w:eastAsia="VIC SemiBold"/>
              </w:rPr>
            </w:pPr>
            <w:r w:rsidRPr="009C14CC">
              <w:rPr>
                <w:rFonts w:eastAsia="VIC SemiBold"/>
              </w:rPr>
              <w:t>11-33</w:t>
            </w:r>
          </w:p>
        </w:tc>
      </w:tr>
    </w:tbl>
    <w:p w14:paraId="087C21FE" w14:textId="1A18F0CE" w:rsidR="009C14CC" w:rsidRDefault="009C14CC" w:rsidP="009C14CC">
      <w:pPr>
        <w:pStyle w:val="Heading2"/>
      </w:pPr>
      <w:r>
        <w:t xml:space="preserve">People who applied for voluntary assisted dying </w:t>
      </w:r>
    </w:p>
    <w:p w14:paraId="1E140C09" w14:textId="77777777" w:rsidR="0008515F" w:rsidRDefault="0008515F" w:rsidP="009C14CC">
      <w:pPr>
        <w:pStyle w:val="SCVbody"/>
        <w:sectPr w:rsidR="0008515F" w:rsidSect="00EB29C3">
          <w:type w:val="continuous"/>
          <w:pgSz w:w="11906" w:h="16838" w:code="9"/>
          <w:pgMar w:top="3402" w:right="851" w:bottom="1361" w:left="851" w:header="851" w:footer="851" w:gutter="0"/>
          <w:cols w:space="284"/>
          <w:docGrid w:linePitch="360"/>
        </w:sectPr>
      </w:pPr>
    </w:p>
    <w:p w14:paraId="1D30C10D" w14:textId="01D883C7" w:rsidR="009C14CC" w:rsidRDefault="009C14CC" w:rsidP="009C14CC">
      <w:pPr>
        <w:pStyle w:val="SCVbody"/>
      </w:pPr>
      <w:r>
        <w:t>Since the commencement of the Act, 1,545 people have applied for access to voluntary assisted dying. The median age of applicants was 73 years, and half of all applicants were aged 65-81 years. Just over half of the applicants were male (54</w:t>
      </w:r>
      <w:r w:rsidR="00C37F9B">
        <w:t xml:space="preserve"> per cent</w:t>
      </w:r>
      <w:r>
        <w:t xml:space="preserve"> male, 46</w:t>
      </w:r>
      <w:r w:rsidR="00C37F9B">
        <w:t xml:space="preserve"> per cent</w:t>
      </w:r>
      <w:r>
        <w:t xml:space="preserve"> female). </w:t>
      </w:r>
    </w:p>
    <w:p w14:paraId="5825B8DB" w14:textId="77777777" w:rsidR="0008515F" w:rsidRDefault="009C14CC" w:rsidP="00D351D2">
      <w:pPr>
        <w:pStyle w:val="SCVbody"/>
      </w:pPr>
      <w:r>
        <w:t>Over one third (37</w:t>
      </w:r>
      <w:r w:rsidR="00C37F9B">
        <w:t xml:space="preserve"> per cent</w:t>
      </w:r>
      <w:r>
        <w:t>) of applicants lived in regional Victoria, despite only 22</w:t>
      </w:r>
      <w:r w:rsidR="00C37F9B">
        <w:t xml:space="preserve"> per cent</w:t>
      </w:r>
      <w:r>
        <w:t xml:space="preserve"> of the Victorian population living in regional areas</w:t>
      </w:r>
      <w:r w:rsidR="001430D7">
        <w:t>.</w:t>
      </w:r>
    </w:p>
    <w:p w14:paraId="5C71B9A7" w14:textId="77777777" w:rsidR="00AF6CA4" w:rsidRDefault="00AF6CA4" w:rsidP="00D351D2">
      <w:pPr>
        <w:pStyle w:val="SCVbody"/>
      </w:pPr>
    </w:p>
    <w:p w14:paraId="063DDA6D" w14:textId="77777777" w:rsidR="00AF6CA4" w:rsidRDefault="00AF6CA4" w:rsidP="00D351D2">
      <w:pPr>
        <w:pStyle w:val="SCVbody"/>
      </w:pPr>
    </w:p>
    <w:p w14:paraId="686C5FDA" w14:textId="4E7CA849" w:rsidR="0008515F" w:rsidRDefault="00AF6CA4" w:rsidP="00D351D2">
      <w:pPr>
        <w:pStyle w:val="SCVbody"/>
        <w:rPr>
          <w:rFonts w:ascii="Cambria" w:hAnsi="Cambria" w:cs="Cambria"/>
        </w:rPr>
        <w:sectPr w:rsidR="0008515F" w:rsidSect="00EB29C3">
          <w:type w:val="continuous"/>
          <w:pgSz w:w="11906" w:h="16838" w:code="9"/>
          <w:pgMar w:top="3402" w:right="851" w:bottom="1361" w:left="851" w:header="851" w:footer="851" w:gutter="0"/>
          <w:cols w:num="2" w:space="284"/>
          <w:docGrid w:linePitch="360"/>
        </w:sectPr>
      </w:pPr>
      <w:r w:rsidRPr="1E5B0944">
        <w:lastRenderedPageBreak/>
        <w:t xml:space="preserve">Voluntary assisted dying applicants are </w:t>
      </w:r>
      <w:proofErr w:type="gramStart"/>
      <w:r w:rsidRPr="1E5B0944">
        <w:t>considerably more</w:t>
      </w:r>
      <w:proofErr w:type="gramEnd"/>
      <w:r w:rsidRPr="1E5B0944">
        <w:t xml:space="preserve"> highly educated than the general public of the same age. According to the 2021 census, 39% of </w:t>
      </w:r>
      <w:r w:rsidR="42DAEBF3" w:rsidRPr="1E5B0944">
        <w:t xml:space="preserve">people aged 55 years and older have completed year twelve or equivalent, compared to 59% of </w:t>
      </w:r>
      <w:r w:rsidR="0279EF2E" w:rsidRPr="1E5B0944">
        <w:t>voluntary assisted dying</w:t>
      </w:r>
      <w:r w:rsidR="42DAEBF3" w:rsidRPr="1E5B0944">
        <w:t xml:space="preserve"> applicants</w:t>
      </w:r>
      <w:r w:rsidR="00DB7961">
        <w:t>.</w:t>
      </w:r>
    </w:p>
    <w:p w14:paraId="67E4E269" w14:textId="7066EB4E" w:rsidR="0008515F" w:rsidRDefault="0008515F" w:rsidP="00D351D2">
      <w:pPr>
        <w:pStyle w:val="SCVbody"/>
        <w:sectPr w:rsidR="0008515F" w:rsidSect="00EB29C3">
          <w:type w:val="continuous"/>
          <w:pgSz w:w="11906" w:h="16838" w:code="9"/>
          <w:pgMar w:top="3402" w:right="851" w:bottom="1361" w:left="851" w:header="851" w:footer="851" w:gutter="0"/>
          <w:cols w:space="284"/>
          <w:docGrid w:linePitch="360"/>
        </w:sectPr>
      </w:pPr>
    </w:p>
    <w:p w14:paraId="0DD525D5" w14:textId="69855782" w:rsidR="009C14CC" w:rsidRDefault="009C14CC" w:rsidP="009C14CC">
      <w:pPr>
        <w:pStyle w:val="SCVtablecaption"/>
      </w:pPr>
      <w:r w:rsidRPr="009C14CC">
        <w:t>Table 5: Applicant demographics 19 June 2019 – 30 June 2022 (n=1545)</w:t>
      </w:r>
    </w:p>
    <w:tbl>
      <w:tblPr>
        <w:tblStyle w:val="TableGrid"/>
        <w:tblW w:w="9930" w:type="dxa"/>
        <w:tblLayout w:type="fixed"/>
        <w:tblLook w:val="04A0" w:firstRow="1" w:lastRow="0" w:firstColumn="1" w:lastColumn="0" w:noHBand="0" w:noVBand="1"/>
        <w:tblDescription w:val="This table outlines the applicant demographics from 19 June 2019 to 30 June 2022. There were 1545 applicants, with slightly more male applicants. The median age of applicants was 73 with nearly 70 per cent born in Australiaand over 90 per cent of applicants spoke English at home. Six applicants identified as Aboriginal or Torres Strait Islander."/>
      </w:tblPr>
      <w:tblGrid>
        <w:gridCol w:w="7162"/>
        <w:gridCol w:w="1384"/>
        <w:gridCol w:w="1384"/>
      </w:tblGrid>
      <w:tr w:rsidR="009C14CC" w:rsidRPr="009C14CC" w14:paraId="26682D0D" w14:textId="77777777" w:rsidTr="099D5712">
        <w:trPr>
          <w:cnfStyle w:val="100000000000" w:firstRow="1" w:lastRow="0" w:firstColumn="0" w:lastColumn="0" w:oddVBand="0" w:evenVBand="0" w:oddHBand="0" w:evenHBand="0" w:firstRowFirstColumn="0" w:firstRowLastColumn="0" w:lastRowFirstColumn="0" w:lastRowLastColumn="0"/>
          <w:cantSplit/>
          <w:tblHeader/>
        </w:trPr>
        <w:tc>
          <w:tcPr>
            <w:tcW w:w="7162" w:type="dxa"/>
            <w:hideMark/>
          </w:tcPr>
          <w:p w14:paraId="1379705B" w14:textId="77777777" w:rsidR="009C14CC" w:rsidRPr="00A30402" w:rsidRDefault="009C14CC" w:rsidP="009C14CC">
            <w:pPr>
              <w:pStyle w:val="SCVtablecolhead"/>
              <w:rPr>
                <w:rFonts w:asciiTheme="majorHAnsi" w:hAnsiTheme="majorHAnsi"/>
                <w:b w:val="0"/>
              </w:rPr>
            </w:pPr>
            <w:r w:rsidRPr="00A30402">
              <w:rPr>
                <w:rFonts w:asciiTheme="majorHAnsi" w:eastAsia="VIC" w:hAnsiTheme="majorHAnsi"/>
                <w:b w:val="0"/>
              </w:rPr>
              <w:t>Characteristics</w:t>
            </w:r>
          </w:p>
        </w:tc>
        <w:tc>
          <w:tcPr>
            <w:tcW w:w="1384" w:type="dxa"/>
            <w:hideMark/>
          </w:tcPr>
          <w:p w14:paraId="34D80410" w14:textId="266932B9" w:rsidR="009C14CC" w:rsidRPr="00A30402" w:rsidRDefault="009C14CC" w:rsidP="009C14CC">
            <w:pPr>
              <w:pStyle w:val="SCVtablecolhead"/>
              <w:jc w:val="center"/>
              <w:rPr>
                <w:rFonts w:asciiTheme="majorHAnsi" w:eastAsia="VIC" w:hAnsiTheme="majorHAnsi"/>
                <w:b w:val="0"/>
              </w:rPr>
            </w:pPr>
            <w:r w:rsidRPr="00A30402">
              <w:rPr>
                <w:rFonts w:asciiTheme="majorHAnsi" w:eastAsia="VIC" w:hAnsiTheme="majorHAnsi"/>
                <w:b w:val="0"/>
              </w:rPr>
              <w:t>N</w:t>
            </w:r>
          </w:p>
        </w:tc>
        <w:tc>
          <w:tcPr>
            <w:tcW w:w="1384" w:type="dxa"/>
            <w:hideMark/>
          </w:tcPr>
          <w:p w14:paraId="5E20ABB5" w14:textId="77777777" w:rsidR="009C14CC" w:rsidRPr="00A30402" w:rsidRDefault="009C14CC" w:rsidP="009C14CC">
            <w:pPr>
              <w:pStyle w:val="SCVtablecolhead"/>
              <w:jc w:val="center"/>
              <w:rPr>
                <w:rFonts w:asciiTheme="majorHAnsi" w:eastAsia="VIC" w:hAnsiTheme="majorHAnsi"/>
                <w:b w:val="0"/>
              </w:rPr>
            </w:pPr>
            <w:r w:rsidRPr="00A30402">
              <w:rPr>
                <w:rFonts w:asciiTheme="majorHAnsi" w:eastAsia="VIC" w:hAnsiTheme="majorHAnsi"/>
                <w:b w:val="0"/>
              </w:rPr>
              <w:t>%</w:t>
            </w:r>
          </w:p>
        </w:tc>
      </w:tr>
      <w:tr w:rsidR="009C14CC" w:rsidRPr="009C14CC" w14:paraId="5315FDEC" w14:textId="77777777" w:rsidTr="099D5712">
        <w:trPr>
          <w:cantSplit/>
        </w:trPr>
        <w:tc>
          <w:tcPr>
            <w:tcW w:w="7162" w:type="dxa"/>
            <w:hideMark/>
          </w:tcPr>
          <w:p w14:paraId="05950D97" w14:textId="77777777" w:rsidR="009C14CC" w:rsidRPr="009C14CC" w:rsidRDefault="009C14CC" w:rsidP="009C14CC">
            <w:pPr>
              <w:pStyle w:val="SCVtablerowhead"/>
              <w:rPr>
                <w:rFonts w:eastAsia="VIC"/>
              </w:rPr>
            </w:pPr>
            <w:r w:rsidRPr="009C14CC">
              <w:rPr>
                <w:rFonts w:eastAsia="VIC"/>
              </w:rPr>
              <w:t>Sex</w:t>
            </w:r>
          </w:p>
        </w:tc>
        <w:tc>
          <w:tcPr>
            <w:tcW w:w="1384" w:type="dxa"/>
          </w:tcPr>
          <w:p w14:paraId="678D7299" w14:textId="77777777" w:rsidR="000770A5" w:rsidRPr="00DC4AF4" w:rsidRDefault="000770A5" w:rsidP="00DC4AF4">
            <w:pPr>
              <w:pStyle w:val="SCVtablerowhead"/>
              <w:rPr>
                <w:rFonts w:eastAsia="VIC"/>
                <w:b/>
              </w:rPr>
            </w:pPr>
          </w:p>
        </w:tc>
        <w:tc>
          <w:tcPr>
            <w:tcW w:w="1384" w:type="dxa"/>
          </w:tcPr>
          <w:p w14:paraId="4237005E" w14:textId="0A39D42D" w:rsidR="009C14CC" w:rsidRPr="009C14CC" w:rsidRDefault="009C14CC" w:rsidP="00DC4AF4">
            <w:pPr>
              <w:pStyle w:val="SCVtablerowhead"/>
              <w:rPr>
                <w:rFonts w:eastAsia="VIC"/>
              </w:rPr>
            </w:pPr>
          </w:p>
        </w:tc>
      </w:tr>
      <w:tr w:rsidR="009C14CC" w:rsidRPr="009C14CC" w14:paraId="4FC881E2" w14:textId="77777777" w:rsidTr="099D5712">
        <w:trPr>
          <w:cantSplit/>
        </w:trPr>
        <w:tc>
          <w:tcPr>
            <w:tcW w:w="7162" w:type="dxa"/>
            <w:hideMark/>
          </w:tcPr>
          <w:p w14:paraId="0DBB3688" w14:textId="77777777" w:rsidR="009C14CC" w:rsidRPr="009C14CC" w:rsidRDefault="009C14CC" w:rsidP="009C14CC">
            <w:pPr>
              <w:pStyle w:val="SCVtablebody"/>
              <w:rPr>
                <w:rFonts w:eastAsia="VIC"/>
              </w:rPr>
            </w:pPr>
            <w:r w:rsidRPr="009C14CC">
              <w:rPr>
                <w:rFonts w:eastAsia="VIC"/>
              </w:rPr>
              <w:t>Male</w:t>
            </w:r>
          </w:p>
        </w:tc>
        <w:tc>
          <w:tcPr>
            <w:tcW w:w="1384" w:type="dxa"/>
            <w:hideMark/>
          </w:tcPr>
          <w:p w14:paraId="6227B32E" w14:textId="77777777" w:rsidR="009C14CC" w:rsidRPr="009C14CC" w:rsidRDefault="009C14CC" w:rsidP="009C14CC">
            <w:pPr>
              <w:pStyle w:val="SCVtablebody"/>
              <w:jc w:val="center"/>
              <w:rPr>
                <w:rFonts w:eastAsia="VIC"/>
              </w:rPr>
            </w:pPr>
            <w:r w:rsidRPr="009C14CC">
              <w:rPr>
                <w:rFonts w:eastAsia="VIC"/>
              </w:rPr>
              <w:t>835</w:t>
            </w:r>
          </w:p>
        </w:tc>
        <w:tc>
          <w:tcPr>
            <w:tcW w:w="1384" w:type="dxa"/>
            <w:hideMark/>
          </w:tcPr>
          <w:p w14:paraId="2811D942" w14:textId="77777777" w:rsidR="009C14CC" w:rsidRPr="009C14CC" w:rsidRDefault="009C14CC" w:rsidP="009C14CC">
            <w:pPr>
              <w:pStyle w:val="SCVtablebody"/>
              <w:jc w:val="center"/>
              <w:rPr>
                <w:rFonts w:eastAsia="VIC"/>
              </w:rPr>
            </w:pPr>
            <w:r w:rsidRPr="009C14CC">
              <w:rPr>
                <w:rFonts w:eastAsia="VIC"/>
              </w:rPr>
              <w:t>54.0%</w:t>
            </w:r>
          </w:p>
        </w:tc>
      </w:tr>
      <w:tr w:rsidR="009C14CC" w:rsidRPr="009C14CC" w14:paraId="76C820EE" w14:textId="77777777" w:rsidTr="099D5712">
        <w:trPr>
          <w:cantSplit/>
        </w:trPr>
        <w:tc>
          <w:tcPr>
            <w:tcW w:w="7162" w:type="dxa"/>
            <w:hideMark/>
          </w:tcPr>
          <w:p w14:paraId="5A2B8AD3" w14:textId="77777777" w:rsidR="009C14CC" w:rsidRPr="009C14CC" w:rsidRDefault="009C14CC" w:rsidP="009C14CC">
            <w:pPr>
              <w:pStyle w:val="SCVtablebody"/>
              <w:rPr>
                <w:rFonts w:eastAsia="VIC"/>
              </w:rPr>
            </w:pPr>
            <w:r w:rsidRPr="009C14CC">
              <w:rPr>
                <w:rFonts w:eastAsia="VIC"/>
              </w:rPr>
              <w:t>Female</w:t>
            </w:r>
          </w:p>
        </w:tc>
        <w:tc>
          <w:tcPr>
            <w:tcW w:w="1384" w:type="dxa"/>
            <w:hideMark/>
          </w:tcPr>
          <w:p w14:paraId="5379A4AE" w14:textId="77777777" w:rsidR="009C14CC" w:rsidRPr="009C14CC" w:rsidRDefault="009C14CC" w:rsidP="009C14CC">
            <w:pPr>
              <w:pStyle w:val="SCVtablebody"/>
              <w:jc w:val="center"/>
              <w:rPr>
                <w:rFonts w:eastAsia="VIC"/>
              </w:rPr>
            </w:pPr>
            <w:r w:rsidRPr="009C14CC">
              <w:rPr>
                <w:rFonts w:eastAsia="VIC"/>
              </w:rPr>
              <w:t>709</w:t>
            </w:r>
          </w:p>
        </w:tc>
        <w:tc>
          <w:tcPr>
            <w:tcW w:w="1384" w:type="dxa"/>
            <w:hideMark/>
          </w:tcPr>
          <w:p w14:paraId="7CAF93DB" w14:textId="77777777" w:rsidR="009C14CC" w:rsidRPr="009C14CC" w:rsidRDefault="009C14CC" w:rsidP="009C14CC">
            <w:pPr>
              <w:pStyle w:val="SCVtablebody"/>
              <w:jc w:val="center"/>
              <w:rPr>
                <w:rFonts w:eastAsia="VIC"/>
              </w:rPr>
            </w:pPr>
            <w:r w:rsidRPr="009C14CC">
              <w:rPr>
                <w:rFonts w:eastAsia="VIC"/>
              </w:rPr>
              <w:t>45.9%</w:t>
            </w:r>
          </w:p>
        </w:tc>
      </w:tr>
      <w:tr w:rsidR="009C14CC" w:rsidRPr="009C14CC" w14:paraId="204B2D86" w14:textId="77777777" w:rsidTr="099D5712">
        <w:trPr>
          <w:cantSplit/>
        </w:trPr>
        <w:tc>
          <w:tcPr>
            <w:tcW w:w="7162" w:type="dxa"/>
            <w:hideMark/>
          </w:tcPr>
          <w:p w14:paraId="76A44BB6" w14:textId="77777777" w:rsidR="009C14CC" w:rsidRPr="009C14CC" w:rsidRDefault="009C14CC" w:rsidP="009C14CC">
            <w:pPr>
              <w:pStyle w:val="SCVtablebody"/>
              <w:rPr>
                <w:rFonts w:eastAsia="VIC"/>
              </w:rPr>
            </w:pPr>
            <w:r w:rsidRPr="009C14CC">
              <w:rPr>
                <w:rFonts w:eastAsia="VIC"/>
              </w:rPr>
              <w:t>Self-described</w:t>
            </w:r>
          </w:p>
        </w:tc>
        <w:tc>
          <w:tcPr>
            <w:tcW w:w="1384" w:type="dxa"/>
            <w:hideMark/>
          </w:tcPr>
          <w:p w14:paraId="17F96BB2" w14:textId="77777777" w:rsidR="009C14CC" w:rsidRPr="009C14CC" w:rsidRDefault="009C14CC" w:rsidP="009C14CC">
            <w:pPr>
              <w:pStyle w:val="SCVtablebody"/>
              <w:jc w:val="center"/>
              <w:rPr>
                <w:rFonts w:eastAsia="VIC"/>
              </w:rPr>
            </w:pPr>
            <w:r w:rsidRPr="009C14CC">
              <w:rPr>
                <w:rFonts w:eastAsia="VIC"/>
              </w:rPr>
              <w:t>1</w:t>
            </w:r>
          </w:p>
        </w:tc>
        <w:tc>
          <w:tcPr>
            <w:tcW w:w="1384" w:type="dxa"/>
            <w:hideMark/>
          </w:tcPr>
          <w:p w14:paraId="56A558C4" w14:textId="77777777" w:rsidR="009C14CC" w:rsidRPr="009C14CC" w:rsidRDefault="009C14CC" w:rsidP="009C14CC">
            <w:pPr>
              <w:pStyle w:val="SCVtablebody"/>
              <w:jc w:val="center"/>
              <w:rPr>
                <w:rFonts w:eastAsia="VIC"/>
              </w:rPr>
            </w:pPr>
            <w:r w:rsidRPr="009C14CC">
              <w:rPr>
                <w:rFonts w:eastAsia="VIC"/>
              </w:rPr>
              <w:t>0.1%</w:t>
            </w:r>
          </w:p>
        </w:tc>
      </w:tr>
      <w:tr w:rsidR="009C14CC" w:rsidRPr="009C14CC" w14:paraId="0B040F70" w14:textId="77777777" w:rsidTr="099D5712">
        <w:trPr>
          <w:cantSplit/>
        </w:trPr>
        <w:tc>
          <w:tcPr>
            <w:tcW w:w="7162" w:type="dxa"/>
            <w:hideMark/>
          </w:tcPr>
          <w:p w14:paraId="7F1E2ABE" w14:textId="77777777" w:rsidR="009C14CC" w:rsidRPr="009C14CC" w:rsidRDefault="009C14CC" w:rsidP="009C14CC">
            <w:pPr>
              <w:pStyle w:val="SCVtablerowhead"/>
              <w:rPr>
                <w:rFonts w:eastAsia="VIC"/>
              </w:rPr>
            </w:pPr>
            <w:r w:rsidRPr="009C14CC">
              <w:rPr>
                <w:rFonts w:eastAsia="VIC"/>
              </w:rPr>
              <w:t>Age</w:t>
            </w:r>
          </w:p>
        </w:tc>
        <w:tc>
          <w:tcPr>
            <w:tcW w:w="1384" w:type="dxa"/>
            <w:hideMark/>
          </w:tcPr>
          <w:p w14:paraId="2062C549" w14:textId="77777777" w:rsidR="000770A5" w:rsidRPr="009C14CC" w:rsidRDefault="000770A5" w:rsidP="009C14CC">
            <w:pPr>
              <w:pStyle w:val="SCVtablerowhead"/>
              <w:rPr>
                <w:rFonts w:eastAsia="VIC"/>
                <w:b/>
              </w:rPr>
            </w:pPr>
          </w:p>
        </w:tc>
        <w:tc>
          <w:tcPr>
            <w:tcW w:w="1384" w:type="dxa"/>
          </w:tcPr>
          <w:p w14:paraId="435ABCA6" w14:textId="06E52901" w:rsidR="009C14CC" w:rsidRPr="009C14CC" w:rsidRDefault="009C14CC" w:rsidP="009C14CC">
            <w:pPr>
              <w:pStyle w:val="SCVtablerowhead"/>
              <w:rPr>
                <w:rFonts w:eastAsia="VIC"/>
              </w:rPr>
            </w:pPr>
          </w:p>
        </w:tc>
      </w:tr>
      <w:tr w:rsidR="009C14CC" w:rsidRPr="009C14CC" w14:paraId="421E87A9" w14:textId="77777777" w:rsidTr="099D5712">
        <w:trPr>
          <w:cantSplit/>
        </w:trPr>
        <w:tc>
          <w:tcPr>
            <w:tcW w:w="7162" w:type="dxa"/>
            <w:hideMark/>
          </w:tcPr>
          <w:p w14:paraId="35D0FB14" w14:textId="77777777" w:rsidR="009C14CC" w:rsidRPr="009C14CC" w:rsidRDefault="009C14CC" w:rsidP="009C14CC">
            <w:pPr>
              <w:pStyle w:val="SCVtablebody"/>
              <w:rPr>
                <w:rFonts w:eastAsia="VIC"/>
              </w:rPr>
            </w:pPr>
            <w:r w:rsidRPr="009C14CC">
              <w:rPr>
                <w:rFonts w:eastAsia="VIC"/>
              </w:rPr>
              <w:t>18-54</w:t>
            </w:r>
          </w:p>
        </w:tc>
        <w:tc>
          <w:tcPr>
            <w:tcW w:w="1384" w:type="dxa"/>
            <w:hideMark/>
          </w:tcPr>
          <w:p w14:paraId="2D3CFB5E" w14:textId="77777777" w:rsidR="009C14CC" w:rsidRPr="009C14CC" w:rsidRDefault="009C14CC" w:rsidP="009C14CC">
            <w:pPr>
              <w:pStyle w:val="SCVtablebody"/>
              <w:jc w:val="center"/>
              <w:rPr>
                <w:rFonts w:eastAsia="VIC"/>
              </w:rPr>
            </w:pPr>
            <w:r w:rsidRPr="009C14CC">
              <w:rPr>
                <w:rFonts w:eastAsia="VIC"/>
              </w:rPr>
              <w:t>127</w:t>
            </w:r>
          </w:p>
        </w:tc>
        <w:tc>
          <w:tcPr>
            <w:tcW w:w="1384" w:type="dxa"/>
            <w:hideMark/>
          </w:tcPr>
          <w:p w14:paraId="17841B78" w14:textId="77777777" w:rsidR="009C14CC" w:rsidRPr="009C14CC" w:rsidRDefault="009C14CC" w:rsidP="009C14CC">
            <w:pPr>
              <w:pStyle w:val="SCVtablebody"/>
              <w:jc w:val="center"/>
              <w:rPr>
                <w:rFonts w:eastAsia="VIC"/>
              </w:rPr>
            </w:pPr>
            <w:r w:rsidRPr="009C14CC">
              <w:rPr>
                <w:rFonts w:eastAsia="VIC"/>
              </w:rPr>
              <w:t>8.2%</w:t>
            </w:r>
          </w:p>
        </w:tc>
      </w:tr>
      <w:tr w:rsidR="009C14CC" w:rsidRPr="009C14CC" w14:paraId="2B9E28A0" w14:textId="77777777" w:rsidTr="099D5712">
        <w:trPr>
          <w:cantSplit/>
        </w:trPr>
        <w:tc>
          <w:tcPr>
            <w:tcW w:w="7162" w:type="dxa"/>
            <w:hideMark/>
          </w:tcPr>
          <w:p w14:paraId="284739A9" w14:textId="77777777" w:rsidR="009C14CC" w:rsidRPr="009C14CC" w:rsidRDefault="009C14CC" w:rsidP="009C14CC">
            <w:pPr>
              <w:pStyle w:val="SCVtablebody"/>
              <w:rPr>
                <w:rFonts w:eastAsia="VIC"/>
              </w:rPr>
            </w:pPr>
            <w:r w:rsidRPr="009C14CC">
              <w:rPr>
                <w:rFonts w:eastAsia="VIC"/>
              </w:rPr>
              <w:t>55-64</w:t>
            </w:r>
          </w:p>
        </w:tc>
        <w:tc>
          <w:tcPr>
            <w:tcW w:w="1384" w:type="dxa"/>
            <w:hideMark/>
          </w:tcPr>
          <w:p w14:paraId="4F7BC503" w14:textId="77777777" w:rsidR="009C14CC" w:rsidRPr="009C14CC" w:rsidRDefault="009C14CC" w:rsidP="009C14CC">
            <w:pPr>
              <w:pStyle w:val="SCVtablebody"/>
              <w:jc w:val="center"/>
              <w:rPr>
                <w:rFonts w:eastAsia="VIC"/>
              </w:rPr>
            </w:pPr>
            <w:r w:rsidRPr="009C14CC">
              <w:rPr>
                <w:rFonts w:eastAsia="VIC"/>
              </w:rPr>
              <w:t>252</w:t>
            </w:r>
          </w:p>
        </w:tc>
        <w:tc>
          <w:tcPr>
            <w:tcW w:w="1384" w:type="dxa"/>
            <w:hideMark/>
          </w:tcPr>
          <w:p w14:paraId="5A41DBE8" w14:textId="77777777" w:rsidR="009C14CC" w:rsidRPr="009C14CC" w:rsidRDefault="009C14CC" w:rsidP="009C14CC">
            <w:pPr>
              <w:pStyle w:val="SCVtablebody"/>
              <w:jc w:val="center"/>
              <w:rPr>
                <w:rFonts w:eastAsia="VIC"/>
              </w:rPr>
            </w:pPr>
            <w:r w:rsidRPr="009C14CC">
              <w:rPr>
                <w:rFonts w:eastAsia="VIC"/>
              </w:rPr>
              <w:t>16.3%</w:t>
            </w:r>
          </w:p>
        </w:tc>
      </w:tr>
      <w:tr w:rsidR="009C14CC" w:rsidRPr="009C14CC" w14:paraId="6E4F03BC" w14:textId="77777777" w:rsidTr="099D5712">
        <w:trPr>
          <w:cantSplit/>
        </w:trPr>
        <w:tc>
          <w:tcPr>
            <w:tcW w:w="7162" w:type="dxa"/>
            <w:hideMark/>
          </w:tcPr>
          <w:p w14:paraId="6D8957B1" w14:textId="77777777" w:rsidR="009C14CC" w:rsidRPr="009C14CC" w:rsidRDefault="009C14CC" w:rsidP="009C14CC">
            <w:pPr>
              <w:pStyle w:val="SCVtablebody"/>
              <w:rPr>
                <w:rFonts w:eastAsia="VIC"/>
              </w:rPr>
            </w:pPr>
            <w:r w:rsidRPr="009C14CC">
              <w:rPr>
                <w:rFonts w:eastAsia="VIC"/>
              </w:rPr>
              <w:t>65-74</w:t>
            </w:r>
          </w:p>
        </w:tc>
        <w:tc>
          <w:tcPr>
            <w:tcW w:w="1384" w:type="dxa"/>
            <w:hideMark/>
          </w:tcPr>
          <w:p w14:paraId="48F60BC6" w14:textId="77777777" w:rsidR="009C14CC" w:rsidRPr="009C14CC" w:rsidRDefault="009C14CC" w:rsidP="009C14CC">
            <w:pPr>
              <w:pStyle w:val="SCVtablebody"/>
              <w:jc w:val="center"/>
              <w:rPr>
                <w:rFonts w:eastAsia="VIC"/>
              </w:rPr>
            </w:pPr>
            <w:r w:rsidRPr="009C14CC">
              <w:rPr>
                <w:rFonts w:eastAsia="VIC"/>
              </w:rPr>
              <w:t>449</w:t>
            </w:r>
          </w:p>
        </w:tc>
        <w:tc>
          <w:tcPr>
            <w:tcW w:w="1384" w:type="dxa"/>
            <w:hideMark/>
          </w:tcPr>
          <w:p w14:paraId="222E891E" w14:textId="77777777" w:rsidR="009C14CC" w:rsidRPr="009C14CC" w:rsidRDefault="009C14CC" w:rsidP="009C14CC">
            <w:pPr>
              <w:pStyle w:val="SCVtablebody"/>
              <w:jc w:val="center"/>
              <w:rPr>
                <w:rFonts w:eastAsia="VIC"/>
              </w:rPr>
            </w:pPr>
            <w:r w:rsidRPr="009C14CC">
              <w:rPr>
                <w:rFonts w:eastAsia="VIC"/>
              </w:rPr>
              <w:t>29.1%</w:t>
            </w:r>
          </w:p>
        </w:tc>
      </w:tr>
      <w:tr w:rsidR="009C14CC" w:rsidRPr="009C14CC" w14:paraId="44451DD9" w14:textId="77777777" w:rsidTr="099D5712">
        <w:trPr>
          <w:cantSplit/>
        </w:trPr>
        <w:tc>
          <w:tcPr>
            <w:tcW w:w="7162" w:type="dxa"/>
            <w:hideMark/>
          </w:tcPr>
          <w:p w14:paraId="684F3A35" w14:textId="77777777" w:rsidR="009C14CC" w:rsidRPr="009C14CC" w:rsidRDefault="009C14CC" w:rsidP="009C14CC">
            <w:pPr>
              <w:pStyle w:val="SCVtablebody"/>
              <w:rPr>
                <w:rFonts w:eastAsia="VIC"/>
              </w:rPr>
            </w:pPr>
            <w:r w:rsidRPr="009C14CC">
              <w:rPr>
                <w:rFonts w:eastAsia="VIC"/>
              </w:rPr>
              <w:t>75-84</w:t>
            </w:r>
          </w:p>
        </w:tc>
        <w:tc>
          <w:tcPr>
            <w:tcW w:w="1384" w:type="dxa"/>
            <w:hideMark/>
          </w:tcPr>
          <w:p w14:paraId="4278E749" w14:textId="77777777" w:rsidR="009C14CC" w:rsidRPr="009C14CC" w:rsidRDefault="009C14CC" w:rsidP="009C14CC">
            <w:pPr>
              <w:pStyle w:val="SCVtablebody"/>
              <w:jc w:val="center"/>
              <w:rPr>
                <w:rFonts w:eastAsia="VIC"/>
              </w:rPr>
            </w:pPr>
            <w:r w:rsidRPr="009C14CC">
              <w:rPr>
                <w:rFonts w:eastAsia="VIC"/>
              </w:rPr>
              <w:t>454</w:t>
            </w:r>
          </w:p>
        </w:tc>
        <w:tc>
          <w:tcPr>
            <w:tcW w:w="1384" w:type="dxa"/>
            <w:hideMark/>
          </w:tcPr>
          <w:p w14:paraId="334DA1CE" w14:textId="77777777" w:rsidR="009C14CC" w:rsidRPr="009C14CC" w:rsidRDefault="009C14CC" w:rsidP="009C14CC">
            <w:pPr>
              <w:pStyle w:val="SCVtablebody"/>
              <w:jc w:val="center"/>
              <w:rPr>
                <w:rFonts w:eastAsia="VIC"/>
              </w:rPr>
            </w:pPr>
            <w:r w:rsidRPr="009C14CC">
              <w:rPr>
                <w:rFonts w:eastAsia="VIC"/>
              </w:rPr>
              <w:t>29.4%</w:t>
            </w:r>
          </w:p>
        </w:tc>
      </w:tr>
      <w:tr w:rsidR="009C14CC" w:rsidRPr="009C14CC" w14:paraId="3DC234BF" w14:textId="77777777" w:rsidTr="099D5712">
        <w:trPr>
          <w:cantSplit/>
        </w:trPr>
        <w:tc>
          <w:tcPr>
            <w:tcW w:w="7162" w:type="dxa"/>
            <w:hideMark/>
          </w:tcPr>
          <w:p w14:paraId="2A96E8A6" w14:textId="77777777" w:rsidR="009C14CC" w:rsidRPr="009C14CC" w:rsidRDefault="009C14CC" w:rsidP="009C14CC">
            <w:pPr>
              <w:pStyle w:val="SCVtablebody"/>
              <w:rPr>
                <w:rFonts w:eastAsia="VIC"/>
              </w:rPr>
            </w:pPr>
            <w:r w:rsidRPr="009C14CC">
              <w:rPr>
                <w:rFonts w:eastAsia="VIC"/>
              </w:rPr>
              <w:t>85+</w:t>
            </w:r>
          </w:p>
        </w:tc>
        <w:tc>
          <w:tcPr>
            <w:tcW w:w="1384" w:type="dxa"/>
            <w:hideMark/>
          </w:tcPr>
          <w:p w14:paraId="7A67E179" w14:textId="77777777" w:rsidR="009C14CC" w:rsidRPr="009C14CC" w:rsidRDefault="009C14CC" w:rsidP="009C14CC">
            <w:pPr>
              <w:pStyle w:val="SCVtablebody"/>
              <w:jc w:val="center"/>
              <w:rPr>
                <w:rFonts w:eastAsia="VIC"/>
              </w:rPr>
            </w:pPr>
            <w:r w:rsidRPr="009C14CC">
              <w:rPr>
                <w:rFonts w:eastAsia="VIC"/>
              </w:rPr>
              <w:t>263</w:t>
            </w:r>
          </w:p>
        </w:tc>
        <w:tc>
          <w:tcPr>
            <w:tcW w:w="1384" w:type="dxa"/>
            <w:hideMark/>
          </w:tcPr>
          <w:p w14:paraId="7E41CF7F" w14:textId="77777777" w:rsidR="009C14CC" w:rsidRPr="009C14CC" w:rsidRDefault="009C14CC" w:rsidP="009C14CC">
            <w:pPr>
              <w:pStyle w:val="SCVtablebody"/>
              <w:jc w:val="center"/>
              <w:rPr>
                <w:rFonts w:eastAsia="VIC"/>
              </w:rPr>
            </w:pPr>
            <w:r w:rsidRPr="009C14CC">
              <w:rPr>
                <w:rFonts w:eastAsia="VIC"/>
              </w:rPr>
              <w:t>17.0%</w:t>
            </w:r>
          </w:p>
        </w:tc>
      </w:tr>
      <w:tr w:rsidR="009C14CC" w:rsidRPr="009C14CC" w14:paraId="2C290975" w14:textId="77777777" w:rsidTr="099D5712">
        <w:trPr>
          <w:cantSplit/>
        </w:trPr>
        <w:tc>
          <w:tcPr>
            <w:tcW w:w="7162" w:type="dxa"/>
            <w:hideMark/>
          </w:tcPr>
          <w:p w14:paraId="5E6E55BB" w14:textId="77777777" w:rsidR="009C14CC" w:rsidRPr="009C14CC" w:rsidRDefault="009C14CC" w:rsidP="009C14CC">
            <w:pPr>
              <w:pStyle w:val="SCVtablebody"/>
              <w:rPr>
                <w:rFonts w:eastAsia="VIC"/>
              </w:rPr>
            </w:pPr>
            <w:r w:rsidRPr="009C14CC">
              <w:rPr>
                <w:rFonts w:eastAsia="VIC"/>
              </w:rPr>
              <w:t>Median age (IQR)</w:t>
            </w:r>
          </w:p>
        </w:tc>
        <w:tc>
          <w:tcPr>
            <w:tcW w:w="1384" w:type="dxa"/>
            <w:hideMark/>
          </w:tcPr>
          <w:p w14:paraId="49DBD8AD" w14:textId="77777777" w:rsidR="009C14CC" w:rsidRPr="009C14CC" w:rsidRDefault="009C14CC" w:rsidP="009C14CC">
            <w:pPr>
              <w:pStyle w:val="SCVtablebody"/>
              <w:jc w:val="center"/>
              <w:rPr>
                <w:rFonts w:eastAsia="VIC"/>
              </w:rPr>
            </w:pPr>
            <w:r w:rsidRPr="009C14CC">
              <w:rPr>
                <w:rFonts w:eastAsia="VIC"/>
              </w:rPr>
              <w:t>73</w:t>
            </w:r>
          </w:p>
        </w:tc>
        <w:tc>
          <w:tcPr>
            <w:tcW w:w="1384" w:type="dxa"/>
            <w:hideMark/>
          </w:tcPr>
          <w:p w14:paraId="1214345A" w14:textId="77777777" w:rsidR="009C14CC" w:rsidRPr="009C14CC" w:rsidRDefault="009C14CC" w:rsidP="009C14CC">
            <w:pPr>
              <w:pStyle w:val="SCVtablebody"/>
              <w:jc w:val="center"/>
              <w:rPr>
                <w:rFonts w:eastAsia="VIC"/>
              </w:rPr>
            </w:pPr>
            <w:r w:rsidRPr="009C14CC">
              <w:rPr>
                <w:rFonts w:eastAsia="VIC"/>
              </w:rPr>
              <w:t>(65-81)</w:t>
            </w:r>
          </w:p>
        </w:tc>
      </w:tr>
      <w:tr w:rsidR="009C14CC" w:rsidRPr="009C14CC" w14:paraId="23603377" w14:textId="77777777" w:rsidTr="099D5712">
        <w:trPr>
          <w:cantSplit/>
        </w:trPr>
        <w:tc>
          <w:tcPr>
            <w:tcW w:w="7162" w:type="dxa"/>
            <w:hideMark/>
          </w:tcPr>
          <w:p w14:paraId="3D5CA026" w14:textId="77777777" w:rsidR="009C14CC" w:rsidRPr="009C14CC" w:rsidRDefault="009C14CC" w:rsidP="009C14CC">
            <w:pPr>
              <w:pStyle w:val="SCVtablerowhead"/>
              <w:rPr>
                <w:rFonts w:eastAsia="VIC"/>
              </w:rPr>
            </w:pPr>
            <w:r w:rsidRPr="009C14CC">
              <w:rPr>
                <w:rFonts w:eastAsia="VIC"/>
              </w:rPr>
              <w:t>Country of birth</w:t>
            </w:r>
          </w:p>
        </w:tc>
        <w:tc>
          <w:tcPr>
            <w:tcW w:w="1384" w:type="dxa"/>
            <w:hideMark/>
          </w:tcPr>
          <w:p w14:paraId="0F7DDCC1" w14:textId="77777777" w:rsidR="000770A5" w:rsidRPr="009C14CC" w:rsidRDefault="000770A5" w:rsidP="009C14CC">
            <w:pPr>
              <w:pStyle w:val="SCVtablerowhead"/>
              <w:rPr>
                <w:rFonts w:eastAsia="VIC"/>
                <w:b/>
              </w:rPr>
            </w:pPr>
          </w:p>
        </w:tc>
        <w:tc>
          <w:tcPr>
            <w:tcW w:w="1384" w:type="dxa"/>
          </w:tcPr>
          <w:p w14:paraId="2578B90F" w14:textId="4D3F466F" w:rsidR="009C14CC" w:rsidRPr="009C14CC" w:rsidRDefault="009C14CC" w:rsidP="009C14CC">
            <w:pPr>
              <w:pStyle w:val="SCVtablerowhead"/>
              <w:rPr>
                <w:rFonts w:eastAsia="VIC"/>
              </w:rPr>
            </w:pPr>
          </w:p>
        </w:tc>
      </w:tr>
      <w:tr w:rsidR="009C14CC" w:rsidRPr="009C14CC" w14:paraId="5AC6D103" w14:textId="77777777" w:rsidTr="099D5712">
        <w:trPr>
          <w:cantSplit/>
        </w:trPr>
        <w:tc>
          <w:tcPr>
            <w:tcW w:w="7162" w:type="dxa"/>
            <w:hideMark/>
          </w:tcPr>
          <w:p w14:paraId="3CA32CDB" w14:textId="77777777" w:rsidR="009C14CC" w:rsidRPr="009C14CC" w:rsidRDefault="009C14CC" w:rsidP="009C14CC">
            <w:pPr>
              <w:pStyle w:val="SCVtablebody"/>
              <w:rPr>
                <w:rFonts w:eastAsia="VIC"/>
              </w:rPr>
            </w:pPr>
            <w:r w:rsidRPr="009C14CC">
              <w:rPr>
                <w:rFonts w:eastAsia="VIC"/>
              </w:rPr>
              <w:t>Australia</w:t>
            </w:r>
          </w:p>
        </w:tc>
        <w:tc>
          <w:tcPr>
            <w:tcW w:w="1384" w:type="dxa"/>
            <w:hideMark/>
          </w:tcPr>
          <w:p w14:paraId="5AFC921E" w14:textId="77777777" w:rsidR="009C14CC" w:rsidRPr="009C14CC" w:rsidRDefault="009C14CC" w:rsidP="009C14CC">
            <w:pPr>
              <w:pStyle w:val="SCVtablebody"/>
              <w:jc w:val="center"/>
              <w:rPr>
                <w:rFonts w:eastAsia="VIC"/>
              </w:rPr>
            </w:pPr>
            <w:r w:rsidRPr="009C14CC">
              <w:rPr>
                <w:rFonts w:eastAsia="VIC"/>
              </w:rPr>
              <w:t>1060</w:t>
            </w:r>
          </w:p>
        </w:tc>
        <w:tc>
          <w:tcPr>
            <w:tcW w:w="1384" w:type="dxa"/>
            <w:hideMark/>
          </w:tcPr>
          <w:p w14:paraId="267E6A75" w14:textId="77777777" w:rsidR="009C14CC" w:rsidRPr="009C14CC" w:rsidRDefault="009C14CC" w:rsidP="009C14CC">
            <w:pPr>
              <w:pStyle w:val="SCVtablebody"/>
              <w:jc w:val="center"/>
              <w:rPr>
                <w:rFonts w:eastAsia="VIC"/>
              </w:rPr>
            </w:pPr>
            <w:r w:rsidRPr="009C14CC">
              <w:rPr>
                <w:rFonts w:eastAsia="VIC"/>
              </w:rPr>
              <w:t>68.6%</w:t>
            </w:r>
          </w:p>
        </w:tc>
      </w:tr>
      <w:tr w:rsidR="009C14CC" w:rsidRPr="009C14CC" w14:paraId="0B7B1558" w14:textId="77777777" w:rsidTr="099D5712">
        <w:trPr>
          <w:cantSplit/>
        </w:trPr>
        <w:tc>
          <w:tcPr>
            <w:tcW w:w="7162" w:type="dxa"/>
            <w:hideMark/>
          </w:tcPr>
          <w:p w14:paraId="184D3702" w14:textId="77777777" w:rsidR="009C14CC" w:rsidRPr="009C14CC" w:rsidRDefault="009C14CC" w:rsidP="009C14CC">
            <w:pPr>
              <w:pStyle w:val="SCVtablebody"/>
              <w:rPr>
                <w:rFonts w:eastAsia="VIC"/>
              </w:rPr>
            </w:pPr>
            <w:r w:rsidRPr="009C14CC">
              <w:rPr>
                <w:rFonts w:eastAsia="VIC"/>
              </w:rPr>
              <w:t>Other</w:t>
            </w:r>
          </w:p>
        </w:tc>
        <w:tc>
          <w:tcPr>
            <w:tcW w:w="1384" w:type="dxa"/>
            <w:hideMark/>
          </w:tcPr>
          <w:p w14:paraId="6544162D" w14:textId="77777777" w:rsidR="009C14CC" w:rsidRPr="009C14CC" w:rsidRDefault="009C14CC" w:rsidP="009C14CC">
            <w:pPr>
              <w:pStyle w:val="SCVtablebody"/>
              <w:jc w:val="center"/>
              <w:rPr>
                <w:rFonts w:eastAsia="VIC"/>
              </w:rPr>
            </w:pPr>
            <w:r w:rsidRPr="009C14CC">
              <w:rPr>
                <w:rFonts w:eastAsia="VIC"/>
              </w:rPr>
              <w:t>422</w:t>
            </w:r>
          </w:p>
        </w:tc>
        <w:tc>
          <w:tcPr>
            <w:tcW w:w="1384" w:type="dxa"/>
            <w:hideMark/>
          </w:tcPr>
          <w:p w14:paraId="00139D02" w14:textId="77777777" w:rsidR="009C14CC" w:rsidRPr="009C14CC" w:rsidRDefault="009C14CC" w:rsidP="009C14CC">
            <w:pPr>
              <w:pStyle w:val="SCVtablebody"/>
              <w:jc w:val="center"/>
              <w:rPr>
                <w:rFonts w:eastAsia="VIC"/>
              </w:rPr>
            </w:pPr>
            <w:r w:rsidRPr="009C14CC">
              <w:rPr>
                <w:rFonts w:eastAsia="VIC"/>
              </w:rPr>
              <w:t>27.3%</w:t>
            </w:r>
          </w:p>
        </w:tc>
      </w:tr>
      <w:tr w:rsidR="009C14CC" w:rsidRPr="009C14CC" w14:paraId="5463EA7B" w14:textId="77777777" w:rsidTr="099D5712">
        <w:trPr>
          <w:cantSplit/>
        </w:trPr>
        <w:tc>
          <w:tcPr>
            <w:tcW w:w="7162" w:type="dxa"/>
            <w:hideMark/>
          </w:tcPr>
          <w:p w14:paraId="0BEE8C9E" w14:textId="77777777" w:rsidR="009C14CC" w:rsidRPr="009C14CC" w:rsidRDefault="009C14CC" w:rsidP="009C14CC">
            <w:pPr>
              <w:pStyle w:val="SCVtablebody"/>
              <w:rPr>
                <w:rFonts w:eastAsia="VIC"/>
              </w:rPr>
            </w:pPr>
            <w:r w:rsidRPr="009C14CC">
              <w:rPr>
                <w:rFonts w:eastAsia="VIC"/>
              </w:rPr>
              <w:t>Not provided</w:t>
            </w:r>
          </w:p>
        </w:tc>
        <w:tc>
          <w:tcPr>
            <w:tcW w:w="1384" w:type="dxa"/>
            <w:hideMark/>
          </w:tcPr>
          <w:p w14:paraId="59953AA5" w14:textId="77777777" w:rsidR="009C14CC" w:rsidRPr="009C14CC" w:rsidRDefault="009C14CC" w:rsidP="009C14CC">
            <w:pPr>
              <w:pStyle w:val="SCVtablebody"/>
              <w:jc w:val="center"/>
              <w:rPr>
                <w:rFonts w:eastAsia="VIC"/>
              </w:rPr>
            </w:pPr>
            <w:r w:rsidRPr="009C14CC">
              <w:rPr>
                <w:rFonts w:eastAsia="VIC"/>
              </w:rPr>
              <w:t>63</w:t>
            </w:r>
          </w:p>
        </w:tc>
        <w:tc>
          <w:tcPr>
            <w:tcW w:w="1384" w:type="dxa"/>
            <w:hideMark/>
          </w:tcPr>
          <w:p w14:paraId="4CF7AAE5" w14:textId="77777777" w:rsidR="009C14CC" w:rsidRPr="009C14CC" w:rsidRDefault="009C14CC" w:rsidP="009C14CC">
            <w:pPr>
              <w:pStyle w:val="SCVtablebody"/>
              <w:jc w:val="center"/>
              <w:rPr>
                <w:rFonts w:eastAsia="VIC"/>
              </w:rPr>
            </w:pPr>
            <w:r w:rsidRPr="009C14CC">
              <w:rPr>
                <w:rFonts w:eastAsia="VIC"/>
              </w:rPr>
              <w:t>4.1%</w:t>
            </w:r>
          </w:p>
        </w:tc>
      </w:tr>
      <w:tr w:rsidR="009C14CC" w:rsidRPr="009C14CC" w14:paraId="5AC475DC" w14:textId="77777777" w:rsidTr="099D5712">
        <w:trPr>
          <w:cantSplit/>
        </w:trPr>
        <w:tc>
          <w:tcPr>
            <w:tcW w:w="7162" w:type="dxa"/>
            <w:hideMark/>
          </w:tcPr>
          <w:p w14:paraId="182761FA" w14:textId="77777777" w:rsidR="009C14CC" w:rsidRPr="009C14CC" w:rsidRDefault="009C14CC" w:rsidP="009C14CC">
            <w:pPr>
              <w:pStyle w:val="SCVtablerowhead"/>
              <w:rPr>
                <w:rFonts w:eastAsia="VIC"/>
              </w:rPr>
            </w:pPr>
            <w:r w:rsidRPr="009C14CC">
              <w:rPr>
                <w:rFonts w:eastAsia="VIC"/>
              </w:rPr>
              <w:t>Aboriginal or Torres Strait Islander identification</w:t>
            </w:r>
          </w:p>
        </w:tc>
        <w:tc>
          <w:tcPr>
            <w:tcW w:w="1384" w:type="dxa"/>
            <w:hideMark/>
          </w:tcPr>
          <w:p w14:paraId="31C855CA" w14:textId="77777777" w:rsidR="000770A5" w:rsidRPr="009C14CC" w:rsidRDefault="000770A5" w:rsidP="009C14CC">
            <w:pPr>
              <w:pStyle w:val="SCVtablerowhead"/>
              <w:rPr>
                <w:rFonts w:eastAsia="VIC"/>
                <w:b/>
              </w:rPr>
            </w:pPr>
          </w:p>
        </w:tc>
        <w:tc>
          <w:tcPr>
            <w:tcW w:w="1384" w:type="dxa"/>
          </w:tcPr>
          <w:p w14:paraId="39E67FE0" w14:textId="1CC7A316" w:rsidR="009C14CC" w:rsidRPr="009C14CC" w:rsidRDefault="009C14CC" w:rsidP="009C14CC">
            <w:pPr>
              <w:pStyle w:val="SCVtablerowhead"/>
              <w:rPr>
                <w:rFonts w:eastAsia="VIC"/>
              </w:rPr>
            </w:pPr>
          </w:p>
        </w:tc>
      </w:tr>
      <w:tr w:rsidR="009C14CC" w:rsidRPr="009C14CC" w14:paraId="70331FAD" w14:textId="77777777" w:rsidTr="099D5712">
        <w:trPr>
          <w:cantSplit/>
        </w:trPr>
        <w:tc>
          <w:tcPr>
            <w:tcW w:w="7162" w:type="dxa"/>
            <w:hideMark/>
          </w:tcPr>
          <w:p w14:paraId="3DEA6FAF" w14:textId="77777777" w:rsidR="009C14CC" w:rsidRPr="009C14CC" w:rsidRDefault="009C14CC" w:rsidP="009C14CC">
            <w:pPr>
              <w:pStyle w:val="SCVtablebody"/>
              <w:rPr>
                <w:rFonts w:eastAsia="VIC"/>
              </w:rPr>
            </w:pPr>
            <w:r w:rsidRPr="009C14CC">
              <w:rPr>
                <w:rFonts w:eastAsia="VIC"/>
              </w:rPr>
              <w:t>Yes</w:t>
            </w:r>
          </w:p>
        </w:tc>
        <w:tc>
          <w:tcPr>
            <w:tcW w:w="1384" w:type="dxa"/>
            <w:hideMark/>
          </w:tcPr>
          <w:p w14:paraId="65CB6297" w14:textId="77777777" w:rsidR="009C14CC" w:rsidRPr="009C14CC" w:rsidRDefault="009C14CC" w:rsidP="009C14CC">
            <w:pPr>
              <w:pStyle w:val="SCVtablebody"/>
              <w:jc w:val="center"/>
              <w:rPr>
                <w:rFonts w:eastAsia="VIC"/>
              </w:rPr>
            </w:pPr>
            <w:r w:rsidRPr="009C14CC">
              <w:rPr>
                <w:rFonts w:eastAsia="VIC"/>
              </w:rPr>
              <w:t>6</w:t>
            </w:r>
          </w:p>
        </w:tc>
        <w:tc>
          <w:tcPr>
            <w:tcW w:w="1384" w:type="dxa"/>
            <w:hideMark/>
          </w:tcPr>
          <w:p w14:paraId="469228C6" w14:textId="77777777" w:rsidR="009C14CC" w:rsidRPr="009C14CC" w:rsidRDefault="009C14CC" w:rsidP="009C14CC">
            <w:pPr>
              <w:pStyle w:val="SCVtablebody"/>
              <w:jc w:val="center"/>
              <w:rPr>
                <w:rFonts w:eastAsia="VIC"/>
              </w:rPr>
            </w:pPr>
            <w:r w:rsidRPr="009C14CC">
              <w:rPr>
                <w:rFonts w:eastAsia="VIC"/>
              </w:rPr>
              <w:t>0.4%</w:t>
            </w:r>
          </w:p>
        </w:tc>
      </w:tr>
      <w:tr w:rsidR="009C14CC" w:rsidRPr="009C14CC" w14:paraId="761F2A7A" w14:textId="77777777" w:rsidTr="099D5712">
        <w:trPr>
          <w:cantSplit/>
        </w:trPr>
        <w:tc>
          <w:tcPr>
            <w:tcW w:w="7162" w:type="dxa"/>
            <w:hideMark/>
          </w:tcPr>
          <w:p w14:paraId="74531154" w14:textId="77777777" w:rsidR="009C14CC" w:rsidRPr="009C14CC" w:rsidRDefault="009C14CC" w:rsidP="009C14CC">
            <w:pPr>
              <w:pStyle w:val="SCVtablebody"/>
              <w:rPr>
                <w:rFonts w:eastAsia="VIC"/>
              </w:rPr>
            </w:pPr>
            <w:r w:rsidRPr="009C14CC">
              <w:rPr>
                <w:rFonts w:eastAsia="VIC"/>
              </w:rPr>
              <w:t>No</w:t>
            </w:r>
          </w:p>
        </w:tc>
        <w:tc>
          <w:tcPr>
            <w:tcW w:w="1384" w:type="dxa"/>
            <w:hideMark/>
          </w:tcPr>
          <w:p w14:paraId="31CCA97F" w14:textId="77777777" w:rsidR="009C14CC" w:rsidRPr="009C14CC" w:rsidRDefault="009C14CC" w:rsidP="009C14CC">
            <w:pPr>
              <w:pStyle w:val="SCVtablebody"/>
              <w:jc w:val="center"/>
              <w:rPr>
                <w:rFonts w:eastAsia="VIC"/>
              </w:rPr>
            </w:pPr>
            <w:r w:rsidRPr="009C14CC">
              <w:rPr>
                <w:rFonts w:eastAsia="VIC"/>
              </w:rPr>
              <w:t>1478</w:t>
            </w:r>
          </w:p>
        </w:tc>
        <w:tc>
          <w:tcPr>
            <w:tcW w:w="1384" w:type="dxa"/>
            <w:hideMark/>
          </w:tcPr>
          <w:p w14:paraId="138F28DC" w14:textId="77777777" w:rsidR="009C14CC" w:rsidRPr="009C14CC" w:rsidRDefault="009C14CC" w:rsidP="009C14CC">
            <w:pPr>
              <w:pStyle w:val="SCVtablebody"/>
              <w:jc w:val="center"/>
              <w:rPr>
                <w:rFonts w:eastAsia="VIC"/>
              </w:rPr>
            </w:pPr>
            <w:r w:rsidRPr="009C14CC">
              <w:rPr>
                <w:rFonts w:eastAsia="VIC"/>
              </w:rPr>
              <w:t>95.7%</w:t>
            </w:r>
          </w:p>
        </w:tc>
      </w:tr>
      <w:tr w:rsidR="009C14CC" w:rsidRPr="009C14CC" w14:paraId="26BD9BF4" w14:textId="77777777" w:rsidTr="099D5712">
        <w:trPr>
          <w:cantSplit/>
        </w:trPr>
        <w:tc>
          <w:tcPr>
            <w:tcW w:w="7162" w:type="dxa"/>
            <w:hideMark/>
          </w:tcPr>
          <w:p w14:paraId="24AD911E" w14:textId="77777777" w:rsidR="009C14CC" w:rsidRPr="009C14CC" w:rsidRDefault="009C14CC" w:rsidP="009C14CC">
            <w:pPr>
              <w:pStyle w:val="SCVtablebody"/>
              <w:rPr>
                <w:rFonts w:eastAsia="VIC"/>
              </w:rPr>
            </w:pPr>
            <w:r w:rsidRPr="009C14CC">
              <w:rPr>
                <w:rFonts w:eastAsia="VIC"/>
              </w:rPr>
              <w:t>Unknown</w:t>
            </w:r>
          </w:p>
        </w:tc>
        <w:tc>
          <w:tcPr>
            <w:tcW w:w="1384" w:type="dxa"/>
            <w:hideMark/>
          </w:tcPr>
          <w:p w14:paraId="31A4FD0C" w14:textId="77777777" w:rsidR="009C14CC" w:rsidRPr="009C14CC" w:rsidRDefault="009C14CC" w:rsidP="009C14CC">
            <w:pPr>
              <w:pStyle w:val="SCVtablebody"/>
              <w:jc w:val="center"/>
              <w:rPr>
                <w:rFonts w:eastAsia="VIC"/>
              </w:rPr>
            </w:pPr>
            <w:r w:rsidRPr="009C14CC">
              <w:rPr>
                <w:rFonts w:eastAsia="VIC"/>
              </w:rPr>
              <w:t>61</w:t>
            </w:r>
          </w:p>
        </w:tc>
        <w:tc>
          <w:tcPr>
            <w:tcW w:w="1384" w:type="dxa"/>
            <w:hideMark/>
          </w:tcPr>
          <w:p w14:paraId="218C8456" w14:textId="77777777" w:rsidR="009C14CC" w:rsidRPr="009C14CC" w:rsidRDefault="009C14CC" w:rsidP="009C14CC">
            <w:pPr>
              <w:pStyle w:val="SCVtablebody"/>
              <w:jc w:val="center"/>
              <w:rPr>
                <w:rFonts w:eastAsia="VIC"/>
              </w:rPr>
            </w:pPr>
            <w:r w:rsidRPr="009C14CC">
              <w:rPr>
                <w:rFonts w:eastAsia="VIC"/>
              </w:rPr>
              <w:t>4.0%</w:t>
            </w:r>
          </w:p>
        </w:tc>
      </w:tr>
      <w:tr w:rsidR="009C14CC" w:rsidRPr="009C14CC" w14:paraId="6B6415C9" w14:textId="77777777" w:rsidTr="099D5712">
        <w:trPr>
          <w:cantSplit/>
        </w:trPr>
        <w:tc>
          <w:tcPr>
            <w:tcW w:w="7162" w:type="dxa"/>
            <w:hideMark/>
          </w:tcPr>
          <w:p w14:paraId="5314A8C5" w14:textId="77777777" w:rsidR="009C14CC" w:rsidRPr="009C14CC" w:rsidRDefault="009C14CC" w:rsidP="009C14CC">
            <w:pPr>
              <w:pStyle w:val="SCVtablerowhead"/>
              <w:rPr>
                <w:rFonts w:eastAsia="VIC"/>
              </w:rPr>
            </w:pPr>
            <w:r w:rsidRPr="009C14CC">
              <w:rPr>
                <w:rFonts w:eastAsia="VIC"/>
              </w:rPr>
              <w:t>Language spoken at home</w:t>
            </w:r>
          </w:p>
        </w:tc>
        <w:tc>
          <w:tcPr>
            <w:tcW w:w="1384" w:type="dxa"/>
            <w:hideMark/>
          </w:tcPr>
          <w:p w14:paraId="5A9B7232" w14:textId="2D12C3E5" w:rsidR="009C14CC" w:rsidRPr="009C14CC" w:rsidRDefault="009C14CC" w:rsidP="009C14CC">
            <w:pPr>
              <w:pStyle w:val="SCVtablerowhead"/>
              <w:rPr>
                <w:rFonts w:eastAsia="VIC"/>
              </w:rPr>
            </w:pPr>
          </w:p>
        </w:tc>
        <w:tc>
          <w:tcPr>
            <w:tcW w:w="1384" w:type="dxa"/>
            <w:hideMark/>
          </w:tcPr>
          <w:p w14:paraId="1878BFD5" w14:textId="43F1FF1C" w:rsidR="009C14CC" w:rsidRPr="009C14CC" w:rsidRDefault="009C14CC" w:rsidP="009C14CC">
            <w:pPr>
              <w:pStyle w:val="SCVtablerowhead"/>
              <w:rPr>
                <w:rFonts w:eastAsia="VIC"/>
              </w:rPr>
            </w:pPr>
          </w:p>
        </w:tc>
      </w:tr>
      <w:tr w:rsidR="009C14CC" w:rsidRPr="009C14CC" w14:paraId="1DBB9784" w14:textId="77777777" w:rsidTr="099D5712">
        <w:trPr>
          <w:cantSplit/>
        </w:trPr>
        <w:tc>
          <w:tcPr>
            <w:tcW w:w="7162" w:type="dxa"/>
            <w:hideMark/>
          </w:tcPr>
          <w:p w14:paraId="79A49DD4" w14:textId="77777777" w:rsidR="009C14CC" w:rsidRPr="009C14CC" w:rsidRDefault="009C14CC" w:rsidP="009C14CC">
            <w:pPr>
              <w:pStyle w:val="SCVtablebody"/>
              <w:rPr>
                <w:rFonts w:eastAsia="VIC"/>
              </w:rPr>
            </w:pPr>
            <w:r w:rsidRPr="009C14CC">
              <w:rPr>
                <w:rFonts w:eastAsia="VIC"/>
              </w:rPr>
              <w:t>English</w:t>
            </w:r>
          </w:p>
        </w:tc>
        <w:tc>
          <w:tcPr>
            <w:tcW w:w="1384" w:type="dxa"/>
            <w:hideMark/>
          </w:tcPr>
          <w:p w14:paraId="3B47B7BD" w14:textId="77777777" w:rsidR="009C14CC" w:rsidRPr="009C14CC" w:rsidRDefault="009C14CC" w:rsidP="009C14CC">
            <w:pPr>
              <w:pStyle w:val="SCVtablebody"/>
              <w:jc w:val="center"/>
              <w:rPr>
                <w:rFonts w:eastAsia="VIC"/>
              </w:rPr>
            </w:pPr>
            <w:r w:rsidRPr="009C14CC">
              <w:rPr>
                <w:rFonts w:eastAsia="VIC"/>
              </w:rPr>
              <w:t>1437</w:t>
            </w:r>
          </w:p>
        </w:tc>
        <w:tc>
          <w:tcPr>
            <w:tcW w:w="1384" w:type="dxa"/>
            <w:hideMark/>
          </w:tcPr>
          <w:p w14:paraId="4960B2E3" w14:textId="77777777" w:rsidR="009C14CC" w:rsidRPr="009C14CC" w:rsidRDefault="009C14CC" w:rsidP="009C14CC">
            <w:pPr>
              <w:pStyle w:val="SCVtablebody"/>
              <w:jc w:val="center"/>
              <w:rPr>
                <w:rFonts w:eastAsia="VIC"/>
              </w:rPr>
            </w:pPr>
            <w:r w:rsidRPr="009C14CC">
              <w:rPr>
                <w:rFonts w:eastAsia="VIC"/>
              </w:rPr>
              <w:t>93.0%</w:t>
            </w:r>
          </w:p>
        </w:tc>
      </w:tr>
      <w:tr w:rsidR="009C14CC" w:rsidRPr="009C14CC" w14:paraId="1C90C049" w14:textId="77777777" w:rsidTr="099D5712">
        <w:trPr>
          <w:cantSplit/>
        </w:trPr>
        <w:tc>
          <w:tcPr>
            <w:tcW w:w="7162" w:type="dxa"/>
            <w:hideMark/>
          </w:tcPr>
          <w:p w14:paraId="40B06FC1" w14:textId="77777777" w:rsidR="009C14CC" w:rsidRPr="009C14CC" w:rsidRDefault="009C14CC" w:rsidP="009C14CC">
            <w:pPr>
              <w:pStyle w:val="SCVtablebody"/>
              <w:rPr>
                <w:rFonts w:eastAsia="VIC"/>
              </w:rPr>
            </w:pPr>
            <w:r w:rsidRPr="009C14CC">
              <w:rPr>
                <w:rFonts w:eastAsia="VIC"/>
              </w:rPr>
              <w:t>Other</w:t>
            </w:r>
          </w:p>
        </w:tc>
        <w:tc>
          <w:tcPr>
            <w:tcW w:w="1384" w:type="dxa"/>
            <w:hideMark/>
          </w:tcPr>
          <w:p w14:paraId="4BBC1FEC" w14:textId="77777777" w:rsidR="009C14CC" w:rsidRPr="009C14CC" w:rsidRDefault="009C14CC" w:rsidP="009C14CC">
            <w:pPr>
              <w:pStyle w:val="SCVtablebody"/>
              <w:jc w:val="center"/>
              <w:rPr>
                <w:rFonts w:eastAsia="VIC"/>
              </w:rPr>
            </w:pPr>
            <w:r w:rsidRPr="009C14CC">
              <w:rPr>
                <w:rFonts w:eastAsia="VIC"/>
              </w:rPr>
              <w:t>58</w:t>
            </w:r>
          </w:p>
        </w:tc>
        <w:tc>
          <w:tcPr>
            <w:tcW w:w="1384" w:type="dxa"/>
            <w:hideMark/>
          </w:tcPr>
          <w:p w14:paraId="0B216E4A" w14:textId="77777777" w:rsidR="009C14CC" w:rsidRPr="009C14CC" w:rsidRDefault="009C14CC" w:rsidP="009C14CC">
            <w:pPr>
              <w:pStyle w:val="SCVtablebody"/>
              <w:jc w:val="center"/>
              <w:rPr>
                <w:rFonts w:eastAsia="VIC"/>
              </w:rPr>
            </w:pPr>
            <w:r w:rsidRPr="009C14CC">
              <w:rPr>
                <w:rFonts w:eastAsia="VIC"/>
              </w:rPr>
              <w:t>3.8%</w:t>
            </w:r>
          </w:p>
        </w:tc>
      </w:tr>
      <w:tr w:rsidR="009C14CC" w:rsidRPr="009C14CC" w14:paraId="02C58671" w14:textId="77777777" w:rsidTr="099D5712">
        <w:trPr>
          <w:cantSplit/>
        </w:trPr>
        <w:tc>
          <w:tcPr>
            <w:tcW w:w="7162" w:type="dxa"/>
            <w:hideMark/>
          </w:tcPr>
          <w:p w14:paraId="782D7B38" w14:textId="77777777" w:rsidR="009C14CC" w:rsidRPr="009C14CC" w:rsidRDefault="009C14CC" w:rsidP="009C14CC">
            <w:pPr>
              <w:pStyle w:val="SCVtablebody"/>
              <w:rPr>
                <w:rFonts w:eastAsia="VIC"/>
              </w:rPr>
            </w:pPr>
            <w:r w:rsidRPr="009C14CC">
              <w:rPr>
                <w:rFonts w:eastAsia="VIC"/>
              </w:rPr>
              <w:t>Unknown</w:t>
            </w:r>
          </w:p>
        </w:tc>
        <w:tc>
          <w:tcPr>
            <w:tcW w:w="1384" w:type="dxa"/>
            <w:hideMark/>
          </w:tcPr>
          <w:p w14:paraId="03DD1739" w14:textId="77777777" w:rsidR="009C14CC" w:rsidRPr="009C14CC" w:rsidRDefault="009C14CC" w:rsidP="009C14CC">
            <w:pPr>
              <w:pStyle w:val="SCVtablebody"/>
              <w:jc w:val="center"/>
              <w:rPr>
                <w:rFonts w:eastAsia="VIC"/>
              </w:rPr>
            </w:pPr>
            <w:r w:rsidRPr="009C14CC">
              <w:rPr>
                <w:rFonts w:eastAsia="VIC"/>
              </w:rPr>
              <w:t>50</w:t>
            </w:r>
          </w:p>
        </w:tc>
        <w:tc>
          <w:tcPr>
            <w:tcW w:w="1384" w:type="dxa"/>
            <w:hideMark/>
          </w:tcPr>
          <w:p w14:paraId="53D08D32" w14:textId="77777777" w:rsidR="009C14CC" w:rsidRPr="009C14CC" w:rsidRDefault="009C14CC" w:rsidP="009C14CC">
            <w:pPr>
              <w:pStyle w:val="SCVtablebody"/>
              <w:jc w:val="center"/>
              <w:rPr>
                <w:rFonts w:eastAsia="VIC"/>
              </w:rPr>
            </w:pPr>
            <w:r w:rsidRPr="009C14CC">
              <w:rPr>
                <w:rFonts w:eastAsia="VIC"/>
              </w:rPr>
              <w:t>3.2%</w:t>
            </w:r>
          </w:p>
        </w:tc>
      </w:tr>
      <w:tr w:rsidR="009C14CC" w:rsidRPr="009C14CC" w14:paraId="7C1CC31B" w14:textId="77777777" w:rsidTr="099D5712">
        <w:trPr>
          <w:cantSplit/>
        </w:trPr>
        <w:tc>
          <w:tcPr>
            <w:tcW w:w="7162" w:type="dxa"/>
            <w:hideMark/>
          </w:tcPr>
          <w:p w14:paraId="6EC35744" w14:textId="77777777" w:rsidR="009C14CC" w:rsidRPr="009C14CC" w:rsidRDefault="009C14CC" w:rsidP="009C14CC">
            <w:pPr>
              <w:pStyle w:val="SCVtablerowhead"/>
              <w:rPr>
                <w:rFonts w:eastAsia="VIC"/>
              </w:rPr>
            </w:pPr>
            <w:r w:rsidRPr="009C14CC">
              <w:rPr>
                <w:rFonts w:eastAsia="VIC"/>
              </w:rPr>
              <w:lastRenderedPageBreak/>
              <w:t>Interpreter required</w:t>
            </w:r>
          </w:p>
        </w:tc>
        <w:tc>
          <w:tcPr>
            <w:tcW w:w="1384" w:type="dxa"/>
            <w:hideMark/>
          </w:tcPr>
          <w:p w14:paraId="3CF39E6B" w14:textId="77777777" w:rsidR="00FA0412" w:rsidRPr="009C14CC" w:rsidRDefault="00FA0412" w:rsidP="009C14CC">
            <w:pPr>
              <w:pStyle w:val="SCVtablerowhead"/>
              <w:jc w:val="center"/>
              <w:rPr>
                <w:rFonts w:eastAsia="VIC"/>
                <w:b/>
              </w:rPr>
            </w:pPr>
          </w:p>
        </w:tc>
        <w:tc>
          <w:tcPr>
            <w:tcW w:w="1384" w:type="dxa"/>
          </w:tcPr>
          <w:p w14:paraId="56F7D114" w14:textId="7C895E4D" w:rsidR="009C14CC" w:rsidRPr="009C14CC" w:rsidRDefault="009C14CC" w:rsidP="009C14CC">
            <w:pPr>
              <w:pStyle w:val="SCVtablerowhead"/>
              <w:jc w:val="center"/>
              <w:rPr>
                <w:rFonts w:eastAsia="VIC"/>
              </w:rPr>
            </w:pPr>
          </w:p>
        </w:tc>
      </w:tr>
      <w:tr w:rsidR="009C14CC" w:rsidRPr="009C14CC" w14:paraId="33D4F4A2" w14:textId="77777777" w:rsidTr="099D5712">
        <w:trPr>
          <w:cantSplit/>
        </w:trPr>
        <w:tc>
          <w:tcPr>
            <w:tcW w:w="7162" w:type="dxa"/>
            <w:hideMark/>
          </w:tcPr>
          <w:p w14:paraId="7675D0A7" w14:textId="77777777" w:rsidR="009C14CC" w:rsidRPr="009C14CC" w:rsidRDefault="009C14CC" w:rsidP="009C14CC">
            <w:pPr>
              <w:pStyle w:val="SCVtablebody"/>
              <w:rPr>
                <w:rFonts w:eastAsia="VIC"/>
              </w:rPr>
            </w:pPr>
            <w:r w:rsidRPr="009C14CC">
              <w:rPr>
                <w:rFonts w:eastAsia="VIC"/>
              </w:rPr>
              <w:t>Yes</w:t>
            </w:r>
          </w:p>
        </w:tc>
        <w:tc>
          <w:tcPr>
            <w:tcW w:w="1384" w:type="dxa"/>
            <w:hideMark/>
          </w:tcPr>
          <w:p w14:paraId="20D27B99" w14:textId="3995EB6C" w:rsidR="009C14CC" w:rsidRPr="009C14CC" w:rsidRDefault="009C14CC" w:rsidP="009C14CC">
            <w:pPr>
              <w:pStyle w:val="SCVtablebody"/>
              <w:jc w:val="center"/>
              <w:rPr>
                <w:rFonts w:eastAsia="VIC"/>
              </w:rPr>
            </w:pPr>
            <w:r w:rsidRPr="009C14CC">
              <w:rPr>
                <w:rFonts w:eastAsia="VIC"/>
              </w:rPr>
              <w:t>34</w:t>
            </w:r>
          </w:p>
        </w:tc>
        <w:tc>
          <w:tcPr>
            <w:tcW w:w="1384" w:type="dxa"/>
            <w:hideMark/>
          </w:tcPr>
          <w:p w14:paraId="45DC69D5" w14:textId="47754DD9" w:rsidR="009C14CC" w:rsidRPr="009C14CC" w:rsidRDefault="009C14CC" w:rsidP="009C14CC">
            <w:pPr>
              <w:pStyle w:val="SCVtablebody"/>
              <w:jc w:val="center"/>
              <w:rPr>
                <w:rFonts w:eastAsia="VIC"/>
              </w:rPr>
            </w:pPr>
            <w:r w:rsidRPr="009C14CC">
              <w:rPr>
                <w:rFonts w:eastAsia="VIC"/>
              </w:rPr>
              <w:t>2.2%</w:t>
            </w:r>
          </w:p>
        </w:tc>
      </w:tr>
      <w:tr w:rsidR="009C14CC" w:rsidRPr="009C14CC" w14:paraId="57B8FEC8" w14:textId="77777777" w:rsidTr="099D5712">
        <w:trPr>
          <w:cantSplit/>
        </w:trPr>
        <w:tc>
          <w:tcPr>
            <w:tcW w:w="7162" w:type="dxa"/>
            <w:hideMark/>
          </w:tcPr>
          <w:p w14:paraId="0BB9C60B" w14:textId="77777777" w:rsidR="009C14CC" w:rsidRPr="009C14CC" w:rsidRDefault="009C14CC" w:rsidP="009C14CC">
            <w:pPr>
              <w:pStyle w:val="SCVtablebody"/>
              <w:rPr>
                <w:rFonts w:eastAsia="VIC"/>
              </w:rPr>
            </w:pPr>
            <w:r w:rsidRPr="009C14CC">
              <w:rPr>
                <w:rFonts w:eastAsia="VIC"/>
              </w:rPr>
              <w:t>No</w:t>
            </w:r>
          </w:p>
        </w:tc>
        <w:tc>
          <w:tcPr>
            <w:tcW w:w="1384" w:type="dxa"/>
            <w:hideMark/>
          </w:tcPr>
          <w:p w14:paraId="70EF49A4" w14:textId="77777777" w:rsidR="009C14CC" w:rsidRPr="009C14CC" w:rsidRDefault="009C14CC" w:rsidP="009C14CC">
            <w:pPr>
              <w:pStyle w:val="SCVtablebody"/>
              <w:jc w:val="center"/>
              <w:rPr>
                <w:rFonts w:eastAsia="VIC"/>
              </w:rPr>
            </w:pPr>
            <w:r w:rsidRPr="009C14CC">
              <w:rPr>
                <w:rFonts w:eastAsia="VIC"/>
              </w:rPr>
              <w:t>1487</w:t>
            </w:r>
          </w:p>
        </w:tc>
        <w:tc>
          <w:tcPr>
            <w:tcW w:w="1384" w:type="dxa"/>
            <w:hideMark/>
          </w:tcPr>
          <w:p w14:paraId="26E91AE1" w14:textId="77777777" w:rsidR="009C14CC" w:rsidRPr="009C14CC" w:rsidRDefault="009C14CC" w:rsidP="009C14CC">
            <w:pPr>
              <w:pStyle w:val="SCVtablebody"/>
              <w:jc w:val="center"/>
              <w:rPr>
                <w:rFonts w:eastAsia="VIC"/>
              </w:rPr>
            </w:pPr>
            <w:r w:rsidRPr="009C14CC">
              <w:rPr>
                <w:rFonts w:eastAsia="VIC"/>
              </w:rPr>
              <w:t>96.2%</w:t>
            </w:r>
          </w:p>
        </w:tc>
      </w:tr>
      <w:tr w:rsidR="009C14CC" w:rsidRPr="009C14CC" w14:paraId="231DCEC8" w14:textId="77777777" w:rsidTr="099D5712">
        <w:trPr>
          <w:cantSplit/>
        </w:trPr>
        <w:tc>
          <w:tcPr>
            <w:tcW w:w="7162" w:type="dxa"/>
            <w:hideMark/>
          </w:tcPr>
          <w:p w14:paraId="6F131EB6" w14:textId="77777777" w:rsidR="009C14CC" w:rsidRPr="009C14CC" w:rsidRDefault="009C14CC" w:rsidP="009C14CC">
            <w:pPr>
              <w:pStyle w:val="SCVtablebody"/>
              <w:rPr>
                <w:rFonts w:eastAsia="VIC"/>
              </w:rPr>
            </w:pPr>
            <w:r w:rsidRPr="009C14CC">
              <w:rPr>
                <w:rFonts w:eastAsia="VIC"/>
              </w:rPr>
              <w:t>Unknown</w:t>
            </w:r>
          </w:p>
        </w:tc>
        <w:tc>
          <w:tcPr>
            <w:tcW w:w="1384" w:type="dxa"/>
            <w:hideMark/>
          </w:tcPr>
          <w:p w14:paraId="4B8E2713" w14:textId="77777777" w:rsidR="009C14CC" w:rsidRPr="009C14CC" w:rsidRDefault="009C14CC" w:rsidP="009C14CC">
            <w:pPr>
              <w:pStyle w:val="SCVtablebody"/>
              <w:jc w:val="center"/>
              <w:rPr>
                <w:rFonts w:eastAsia="VIC"/>
              </w:rPr>
            </w:pPr>
            <w:r w:rsidRPr="009C14CC">
              <w:rPr>
                <w:rFonts w:eastAsia="VIC"/>
              </w:rPr>
              <w:t>24</w:t>
            </w:r>
          </w:p>
        </w:tc>
        <w:tc>
          <w:tcPr>
            <w:tcW w:w="1384" w:type="dxa"/>
            <w:hideMark/>
          </w:tcPr>
          <w:p w14:paraId="277DE097" w14:textId="77777777" w:rsidR="009C14CC" w:rsidRPr="009C14CC" w:rsidRDefault="009C14CC" w:rsidP="009C14CC">
            <w:pPr>
              <w:pStyle w:val="SCVtablebody"/>
              <w:jc w:val="center"/>
              <w:rPr>
                <w:rFonts w:eastAsia="VIC"/>
              </w:rPr>
            </w:pPr>
            <w:r w:rsidRPr="009C14CC">
              <w:rPr>
                <w:rFonts w:eastAsia="VIC"/>
              </w:rPr>
              <w:t>1.6%</w:t>
            </w:r>
          </w:p>
        </w:tc>
      </w:tr>
      <w:tr w:rsidR="009C14CC" w:rsidRPr="009C14CC" w14:paraId="64EDC0D6" w14:textId="77777777" w:rsidTr="099D5712">
        <w:trPr>
          <w:cantSplit/>
        </w:trPr>
        <w:tc>
          <w:tcPr>
            <w:tcW w:w="7162" w:type="dxa"/>
            <w:hideMark/>
          </w:tcPr>
          <w:p w14:paraId="4992A4E6" w14:textId="52C578E5" w:rsidR="009C14CC" w:rsidRPr="009C14CC" w:rsidRDefault="009C14CC" w:rsidP="009C14CC">
            <w:pPr>
              <w:pStyle w:val="SCVtablerowhead"/>
              <w:rPr>
                <w:rFonts w:eastAsia="VIC"/>
              </w:rPr>
            </w:pPr>
            <w:r w:rsidRPr="099D5712">
              <w:rPr>
                <w:rFonts w:eastAsia="VIC"/>
              </w:rPr>
              <w:t>Highest level of education completed</w:t>
            </w:r>
            <w:r w:rsidR="00276B96">
              <w:rPr>
                <w:rFonts w:eastAsia="VIC"/>
              </w:rPr>
              <w:t>*</w:t>
            </w:r>
          </w:p>
        </w:tc>
        <w:tc>
          <w:tcPr>
            <w:tcW w:w="1384" w:type="dxa"/>
            <w:hideMark/>
          </w:tcPr>
          <w:p w14:paraId="76501731" w14:textId="77777777" w:rsidR="00FA0412" w:rsidRPr="009C14CC" w:rsidRDefault="00FA0412" w:rsidP="009C14CC">
            <w:pPr>
              <w:pStyle w:val="SCVtablerowhead"/>
              <w:rPr>
                <w:rFonts w:eastAsia="VIC"/>
                <w:b/>
              </w:rPr>
            </w:pPr>
          </w:p>
        </w:tc>
        <w:tc>
          <w:tcPr>
            <w:tcW w:w="1384" w:type="dxa"/>
          </w:tcPr>
          <w:p w14:paraId="19CCE805" w14:textId="352F655B" w:rsidR="009C14CC" w:rsidRPr="009C14CC" w:rsidRDefault="009C14CC" w:rsidP="009C14CC">
            <w:pPr>
              <w:pStyle w:val="SCVtablerowhead"/>
              <w:rPr>
                <w:rFonts w:eastAsia="VIC"/>
              </w:rPr>
            </w:pPr>
          </w:p>
        </w:tc>
      </w:tr>
      <w:tr w:rsidR="009C14CC" w:rsidRPr="009C14CC" w14:paraId="2E23A53C" w14:textId="77777777" w:rsidTr="099D5712">
        <w:trPr>
          <w:cantSplit/>
        </w:trPr>
        <w:tc>
          <w:tcPr>
            <w:tcW w:w="7162" w:type="dxa"/>
            <w:hideMark/>
          </w:tcPr>
          <w:p w14:paraId="100BB45A" w14:textId="77777777" w:rsidR="009C14CC" w:rsidRPr="009C14CC" w:rsidRDefault="009C14CC" w:rsidP="009C14CC">
            <w:pPr>
              <w:pStyle w:val="SCVtablebody"/>
              <w:rPr>
                <w:rFonts w:eastAsia="VIC"/>
              </w:rPr>
            </w:pPr>
            <w:r w:rsidRPr="009C14CC">
              <w:rPr>
                <w:rFonts w:eastAsia="VIC"/>
              </w:rPr>
              <w:t>No education</w:t>
            </w:r>
          </w:p>
        </w:tc>
        <w:tc>
          <w:tcPr>
            <w:tcW w:w="1384" w:type="dxa"/>
            <w:hideMark/>
          </w:tcPr>
          <w:p w14:paraId="2C1295AC" w14:textId="77777777" w:rsidR="009C14CC" w:rsidRPr="009C14CC" w:rsidRDefault="009C14CC" w:rsidP="009C14CC">
            <w:pPr>
              <w:pStyle w:val="SCVtablebody"/>
              <w:jc w:val="center"/>
              <w:rPr>
                <w:rFonts w:eastAsia="VIC"/>
              </w:rPr>
            </w:pPr>
            <w:r w:rsidRPr="009C14CC">
              <w:rPr>
                <w:rFonts w:eastAsia="VIC"/>
              </w:rPr>
              <w:t>1</w:t>
            </w:r>
          </w:p>
        </w:tc>
        <w:tc>
          <w:tcPr>
            <w:tcW w:w="1384" w:type="dxa"/>
            <w:hideMark/>
          </w:tcPr>
          <w:p w14:paraId="6004AB11" w14:textId="77777777" w:rsidR="009C14CC" w:rsidRPr="009C14CC" w:rsidRDefault="009C14CC" w:rsidP="009C14CC">
            <w:pPr>
              <w:pStyle w:val="SCVtablebody"/>
              <w:jc w:val="center"/>
              <w:rPr>
                <w:rFonts w:eastAsia="VIC"/>
              </w:rPr>
            </w:pPr>
            <w:r w:rsidRPr="009C14CC">
              <w:rPr>
                <w:rFonts w:eastAsia="VIC"/>
              </w:rPr>
              <w:t>0.1%</w:t>
            </w:r>
          </w:p>
        </w:tc>
      </w:tr>
      <w:tr w:rsidR="009C14CC" w:rsidRPr="009C14CC" w14:paraId="3A8243A2" w14:textId="77777777" w:rsidTr="099D5712">
        <w:trPr>
          <w:cantSplit/>
        </w:trPr>
        <w:tc>
          <w:tcPr>
            <w:tcW w:w="7162" w:type="dxa"/>
            <w:hideMark/>
          </w:tcPr>
          <w:p w14:paraId="2886C484" w14:textId="77777777" w:rsidR="009C14CC" w:rsidRPr="009C14CC" w:rsidRDefault="009C14CC" w:rsidP="009C14CC">
            <w:pPr>
              <w:pStyle w:val="SCVtablebody"/>
              <w:rPr>
                <w:rFonts w:eastAsia="VIC"/>
              </w:rPr>
            </w:pPr>
            <w:r w:rsidRPr="009C14CC">
              <w:rPr>
                <w:rFonts w:eastAsia="VIC"/>
              </w:rPr>
              <w:t>Other education</w:t>
            </w:r>
          </w:p>
        </w:tc>
        <w:tc>
          <w:tcPr>
            <w:tcW w:w="1384" w:type="dxa"/>
            <w:hideMark/>
          </w:tcPr>
          <w:p w14:paraId="552DCE00" w14:textId="77777777" w:rsidR="009C14CC" w:rsidRPr="009C14CC" w:rsidRDefault="009C14CC" w:rsidP="009C14CC">
            <w:pPr>
              <w:pStyle w:val="SCVtablebody"/>
              <w:jc w:val="center"/>
              <w:rPr>
                <w:rFonts w:eastAsia="VIC"/>
              </w:rPr>
            </w:pPr>
            <w:r w:rsidRPr="009C14CC">
              <w:rPr>
                <w:rFonts w:eastAsia="VIC"/>
              </w:rPr>
              <w:t>18</w:t>
            </w:r>
          </w:p>
        </w:tc>
        <w:tc>
          <w:tcPr>
            <w:tcW w:w="1384" w:type="dxa"/>
            <w:hideMark/>
          </w:tcPr>
          <w:p w14:paraId="5944ABDE" w14:textId="77777777" w:rsidR="009C14CC" w:rsidRPr="009C14CC" w:rsidRDefault="009C14CC" w:rsidP="009C14CC">
            <w:pPr>
              <w:pStyle w:val="SCVtablebody"/>
              <w:jc w:val="center"/>
              <w:rPr>
                <w:rFonts w:eastAsia="VIC"/>
              </w:rPr>
            </w:pPr>
            <w:r w:rsidRPr="009C14CC">
              <w:rPr>
                <w:rFonts w:eastAsia="VIC"/>
              </w:rPr>
              <w:t>1.2%</w:t>
            </w:r>
          </w:p>
        </w:tc>
      </w:tr>
      <w:tr w:rsidR="009C14CC" w:rsidRPr="009C14CC" w14:paraId="110AC902" w14:textId="77777777" w:rsidTr="099D5712">
        <w:trPr>
          <w:cantSplit/>
        </w:trPr>
        <w:tc>
          <w:tcPr>
            <w:tcW w:w="7162" w:type="dxa"/>
            <w:hideMark/>
          </w:tcPr>
          <w:p w14:paraId="32696B7A" w14:textId="77777777" w:rsidR="009C14CC" w:rsidRPr="009C14CC" w:rsidRDefault="009C14CC" w:rsidP="009C14CC">
            <w:pPr>
              <w:pStyle w:val="SCVtablebody"/>
              <w:rPr>
                <w:rFonts w:eastAsia="VIC"/>
              </w:rPr>
            </w:pPr>
            <w:r w:rsidRPr="009C14CC">
              <w:rPr>
                <w:rFonts w:eastAsia="VIC"/>
              </w:rPr>
              <w:t>Pre-primary education</w:t>
            </w:r>
          </w:p>
        </w:tc>
        <w:tc>
          <w:tcPr>
            <w:tcW w:w="1384" w:type="dxa"/>
            <w:hideMark/>
          </w:tcPr>
          <w:p w14:paraId="114D080E" w14:textId="77777777" w:rsidR="009C14CC" w:rsidRPr="009C14CC" w:rsidRDefault="009C14CC" w:rsidP="009C14CC">
            <w:pPr>
              <w:pStyle w:val="SCVtablebody"/>
              <w:jc w:val="center"/>
              <w:rPr>
                <w:rFonts w:eastAsia="VIC"/>
              </w:rPr>
            </w:pPr>
            <w:r w:rsidRPr="009C14CC">
              <w:rPr>
                <w:rFonts w:eastAsia="VIC"/>
              </w:rPr>
              <w:t>0</w:t>
            </w:r>
          </w:p>
        </w:tc>
        <w:tc>
          <w:tcPr>
            <w:tcW w:w="1384" w:type="dxa"/>
            <w:hideMark/>
          </w:tcPr>
          <w:p w14:paraId="533AC7AB" w14:textId="77777777" w:rsidR="009C14CC" w:rsidRPr="009C14CC" w:rsidRDefault="009C14CC" w:rsidP="009C14CC">
            <w:pPr>
              <w:pStyle w:val="SCVtablebody"/>
              <w:jc w:val="center"/>
              <w:rPr>
                <w:rFonts w:eastAsia="VIC"/>
              </w:rPr>
            </w:pPr>
            <w:r w:rsidRPr="009C14CC">
              <w:rPr>
                <w:rFonts w:eastAsia="VIC"/>
              </w:rPr>
              <w:t>0.0%</w:t>
            </w:r>
          </w:p>
        </w:tc>
      </w:tr>
      <w:tr w:rsidR="009C14CC" w:rsidRPr="009C14CC" w14:paraId="6F0B8375" w14:textId="77777777" w:rsidTr="099D5712">
        <w:trPr>
          <w:cantSplit/>
        </w:trPr>
        <w:tc>
          <w:tcPr>
            <w:tcW w:w="7162" w:type="dxa"/>
            <w:hideMark/>
          </w:tcPr>
          <w:p w14:paraId="65CE1C0E" w14:textId="77777777" w:rsidR="009C14CC" w:rsidRPr="009C14CC" w:rsidRDefault="009C14CC" w:rsidP="009C14CC">
            <w:pPr>
              <w:pStyle w:val="SCVtablebody"/>
              <w:rPr>
                <w:rFonts w:eastAsia="VIC"/>
              </w:rPr>
            </w:pPr>
            <w:r w:rsidRPr="009C14CC">
              <w:rPr>
                <w:rFonts w:eastAsia="VIC"/>
              </w:rPr>
              <w:t>Primary education</w:t>
            </w:r>
          </w:p>
        </w:tc>
        <w:tc>
          <w:tcPr>
            <w:tcW w:w="1384" w:type="dxa"/>
            <w:hideMark/>
          </w:tcPr>
          <w:p w14:paraId="2F17261F" w14:textId="77777777" w:rsidR="009C14CC" w:rsidRPr="009C14CC" w:rsidRDefault="009C14CC" w:rsidP="009C14CC">
            <w:pPr>
              <w:pStyle w:val="SCVtablebody"/>
              <w:jc w:val="center"/>
              <w:rPr>
                <w:rFonts w:eastAsia="VIC"/>
              </w:rPr>
            </w:pPr>
            <w:r w:rsidRPr="009C14CC">
              <w:rPr>
                <w:rFonts w:eastAsia="VIC"/>
              </w:rPr>
              <w:t>61</w:t>
            </w:r>
          </w:p>
        </w:tc>
        <w:tc>
          <w:tcPr>
            <w:tcW w:w="1384" w:type="dxa"/>
            <w:hideMark/>
          </w:tcPr>
          <w:p w14:paraId="261E2F5B" w14:textId="77777777" w:rsidR="009C14CC" w:rsidRPr="009C14CC" w:rsidRDefault="009C14CC" w:rsidP="009C14CC">
            <w:pPr>
              <w:pStyle w:val="SCVtablebody"/>
              <w:jc w:val="center"/>
              <w:rPr>
                <w:rFonts w:eastAsia="VIC"/>
              </w:rPr>
            </w:pPr>
            <w:r w:rsidRPr="009C14CC">
              <w:rPr>
                <w:rFonts w:eastAsia="VIC"/>
              </w:rPr>
              <w:t>4.0%</w:t>
            </w:r>
          </w:p>
        </w:tc>
      </w:tr>
      <w:tr w:rsidR="009C14CC" w:rsidRPr="009C14CC" w14:paraId="231EAC38" w14:textId="77777777" w:rsidTr="099D5712">
        <w:trPr>
          <w:cantSplit/>
        </w:trPr>
        <w:tc>
          <w:tcPr>
            <w:tcW w:w="7162" w:type="dxa"/>
            <w:hideMark/>
          </w:tcPr>
          <w:p w14:paraId="27BF11B2" w14:textId="77777777" w:rsidR="009C14CC" w:rsidRPr="009C14CC" w:rsidRDefault="009C14CC" w:rsidP="009C14CC">
            <w:pPr>
              <w:pStyle w:val="SCVtablebody"/>
              <w:rPr>
                <w:rFonts w:eastAsia="VIC"/>
              </w:rPr>
            </w:pPr>
            <w:r w:rsidRPr="009C14CC">
              <w:rPr>
                <w:rFonts w:eastAsia="VIC"/>
              </w:rPr>
              <w:t xml:space="preserve">Junior secondary education </w:t>
            </w:r>
          </w:p>
        </w:tc>
        <w:tc>
          <w:tcPr>
            <w:tcW w:w="1384" w:type="dxa"/>
            <w:hideMark/>
          </w:tcPr>
          <w:p w14:paraId="6816AC9C" w14:textId="77777777" w:rsidR="009C14CC" w:rsidRPr="009C14CC" w:rsidRDefault="009C14CC" w:rsidP="009C14CC">
            <w:pPr>
              <w:pStyle w:val="SCVtablebody"/>
              <w:jc w:val="center"/>
              <w:rPr>
                <w:rFonts w:eastAsia="VIC"/>
              </w:rPr>
            </w:pPr>
            <w:r w:rsidRPr="009C14CC">
              <w:rPr>
                <w:rFonts w:eastAsia="VIC"/>
              </w:rPr>
              <w:t>357</w:t>
            </w:r>
          </w:p>
        </w:tc>
        <w:tc>
          <w:tcPr>
            <w:tcW w:w="1384" w:type="dxa"/>
            <w:hideMark/>
          </w:tcPr>
          <w:p w14:paraId="48E8B96F" w14:textId="77777777" w:rsidR="009C14CC" w:rsidRPr="009C14CC" w:rsidRDefault="009C14CC" w:rsidP="009C14CC">
            <w:pPr>
              <w:pStyle w:val="SCVtablebody"/>
              <w:jc w:val="center"/>
              <w:rPr>
                <w:rFonts w:eastAsia="VIC"/>
              </w:rPr>
            </w:pPr>
            <w:r w:rsidRPr="009C14CC">
              <w:rPr>
                <w:rFonts w:eastAsia="VIC"/>
              </w:rPr>
              <w:t>23.1%</w:t>
            </w:r>
          </w:p>
        </w:tc>
      </w:tr>
      <w:tr w:rsidR="009C14CC" w:rsidRPr="009C14CC" w14:paraId="1A7351A3" w14:textId="77777777" w:rsidTr="099D5712">
        <w:trPr>
          <w:cantSplit/>
        </w:trPr>
        <w:tc>
          <w:tcPr>
            <w:tcW w:w="7162" w:type="dxa"/>
            <w:hideMark/>
          </w:tcPr>
          <w:p w14:paraId="6AC1B276" w14:textId="77777777" w:rsidR="009C14CC" w:rsidRPr="009C14CC" w:rsidRDefault="009C14CC" w:rsidP="009C14CC">
            <w:pPr>
              <w:pStyle w:val="SCVtablebody"/>
              <w:rPr>
                <w:rFonts w:eastAsia="VIC"/>
              </w:rPr>
            </w:pPr>
            <w:r w:rsidRPr="009C14CC">
              <w:rPr>
                <w:rFonts w:eastAsia="VIC"/>
              </w:rPr>
              <w:t>Senior secondary education</w:t>
            </w:r>
          </w:p>
        </w:tc>
        <w:tc>
          <w:tcPr>
            <w:tcW w:w="1384" w:type="dxa"/>
            <w:hideMark/>
          </w:tcPr>
          <w:p w14:paraId="23E85C12" w14:textId="77777777" w:rsidR="009C14CC" w:rsidRPr="009C14CC" w:rsidRDefault="009C14CC" w:rsidP="009C14CC">
            <w:pPr>
              <w:pStyle w:val="SCVtablebody"/>
              <w:jc w:val="center"/>
              <w:rPr>
                <w:rFonts w:eastAsia="VIC"/>
              </w:rPr>
            </w:pPr>
            <w:r w:rsidRPr="009C14CC">
              <w:rPr>
                <w:rFonts w:eastAsia="VIC"/>
              </w:rPr>
              <w:t>360</w:t>
            </w:r>
          </w:p>
        </w:tc>
        <w:tc>
          <w:tcPr>
            <w:tcW w:w="1384" w:type="dxa"/>
            <w:hideMark/>
          </w:tcPr>
          <w:p w14:paraId="2420D40A" w14:textId="77777777" w:rsidR="009C14CC" w:rsidRPr="009C14CC" w:rsidRDefault="009C14CC" w:rsidP="009C14CC">
            <w:pPr>
              <w:pStyle w:val="SCVtablebody"/>
              <w:jc w:val="center"/>
              <w:rPr>
                <w:rFonts w:eastAsia="VIC"/>
              </w:rPr>
            </w:pPr>
            <w:r w:rsidRPr="009C14CC">
              <w:rPr>
                <w:rFonts w:eastAsia="VIC"/>
              </w:rPr>
              <w:t>23.3%</w:t>
            </w:r>
          </w:p>
        </w:tc>
      </w:tr>
      <w:tr w:rsidR="009C14CC" w:rsidRPr="009C14CC" w14:paraId="4F7A612E" w14:textId="77777777" w:rsidTr="099D5712">
        <w:trPr>
          <w:cantSplit/>
        </w:trPr>
        <w:tc>
          <w:tcPr>
            <w:tcW w:w="7162" w:type="dxa"/>
            <w:hideMark/>
          </w:tcPr>
          <w:p w14:paraId="550F9110" w14:textId="77777777" w:rsidR="009C14CC" w:rsidRPr="009C14CC" w:rsidRDefault="009C14CC" w:rsidP="009C14CC">
            <w:pPr>
              <w:pStyle w:val="SCVtablebody"/>
              <w:rPr>
                <w:rFonts w:eastAsia="VIC"/>
              </w:rPr>
            </w:pPr>
            <w:r w:rsidRPr="009C14CC">
              <w:rPr>
                <w:rFonts w:eastAsia="VIC"/>
              </w:rPr>
              <w:t>Certificate level</w:t>
            </w:r>
          </w:p>
        </w:tc>
        <w:tc>
          <w:tcPr>
            <w:tcW w:w="1384" w:type="dxa"/>
            <w:hideMark/>
          </w:tcPr>
          <w:p w14:paraId="513CEB27" w14:textId="77777777" w:rsidR="009C14CC" w:rsidRPr="009C14CC" w:rsidRDefault="009C14CC" w:rsidP="009C14CC">
            <w:pPr>
              <w:pStyle w:val="SCVtablebody"/>
              <w:jc w:val="center"/>
              <w:rPr>
                <w:rFonts w:eastAsia="VIC"/>
              </w:rPr>
            </w:pPr>
            <w:r w:rsidRPr="009C14CC">
              <w:rPr>
                <w:rFonts w:eastAsia="VIC"/>
              </w:rPr>
              <w:t>84</w:t>
            </w:r>
          </w:p>
        </w:tc>
        <w:tc>
          <w:tcPr>
            <w:tcW w:w="1384" w:type="dxa"/>
            <w:hideMark/>
          </w:tcPr>
          <w:p w14:paraId="291616EE" w14:textId="77777777" w:rsidR="009C14CC" w:rsidRPr="009C14CC" w:rsidRDefault="009C14CC" w:rsidP="009C14CC">
            <w:pPr>
              <w:pStyle w:val="SCVtablebody"/>
              <w:jc w:val="center"/>
              <w:rPr>
                <w:rFonts w:eastAsia="VIC"/>
              </w:rPr>
            </w:pPr>
            <w:r w:rsidRPr="009C14CC">
              <w:rPr>
                <w:rFonts w:eastAsia="VIC"/>
              </w:rPr>
              <w:t>5.4%</w:t>
            </w:r>
          </w:p>
        </w:tc>
      </w:tr>
      <w:tr w:rsidR="009C14CC" w:rsidRPr="009C14CC" w14:paraId="0431D179" w14:textId="77777777" w:rsidTr="099D5712">
        <w:trPr>
          <w:cantSplit/>
        </w:trPr>
        <w:tc>
          <w:tcPr>
            <w:tcW w:w="7162" w:type="dxa"/>
            <w:hideMark/>
          </w:tcPr>
          <w:p w14:paraId="24EF0ECF" w14:textId="77777777" w:rsidR="009C14CC" w:rsidRPr="009C14CC" w:rsidRDefault="009C14CC" w:rsidP="009C14CC">
            <w:pPr>
              <w:pStyle w:val="SCVtablebody"/>
              <w:rPr>
                <w:rFonts w:eastAsia="VIC"/>
              </w:rPr>
            </w:pPr>
            <w:r w:rsidRPr="009C14CC">
              <w:rPr>
                <w:rFonts w:eastAsia="VIC"/>
              </w:rPr>
              <w:t>Advanced diploma and diploma level</w:t>
            </w:r>
          </w:p>
        </w:tc>
        <w:tc>
          <w:tcPr>
            <w:tcW w:w="1384" w:type="dxa"/>
            <w:hideMark/>
          </w:tcPr>
          <w:p w14:paraId="0217E0A9" w14:textId="77777777" w:rsidR="009C14CC" w:rsidRPr="009C14CC" w:rsidRDefault="009C14CC" w:rsidP="009C14CC">
            <w:pPr>
              <w:pStyle w:val="SCVtablebody"/>
              <w:jc w:val="center"/>
              <w:rPr>
                <w:rFonts w:eastAsia="VIC"/>
              </w:rPr>
            </w:pPr>
            <w:r w:rsidRPr="009C14CC">
              <w:rPr>
                <w:rFonts w:eastAsia="VIC"/>
              </w:rPr>
              <w:t>103</w:t>
            </w:r>
          </w:p>
        </w:tc>
        <w:tc>
          <w:tcPr>
            <w:tcW w:w="1384" w:type="dxa"/>
            <w:hideMark/>
          </w:tcPr>
          <w:p w14:paraId="6912757B" w14:textId="77777777" w:rsidR="009C14CC" w:rsidRPr="009C14CC" w:rsidRDefault="009C14CC" w:rsidP="009C14CC">
            <w:pPr>
              <w:pStyle w:val="SCVtablebody"/>
              <w:jc w:val="center"/>
              <w:rPr>
                <w:rFonts w:eastAsia="VIC"/>
              </w:rPr>
            </w:pPr>
            <w:r w:rsidRPr="009C14CC">
              <w:rPr>
                <w:rFonts w:eastAsia="VIC"/>
              </w:rPr>
              <w:t>6.7%</w:t>
            </w:r>
          </w:p>
        </w:tc>
      </w:tr>
      <w:tr w:rsidR="009C14CC" w:rsidRPr="009C14CC" w14:paraId="4BEC1A75" w14:textId="77777777" w:rsidTr="099D5712">
        <w:trPr>
          <w:cantSplit/>
        </w:trPr>
        <w:tc>
          <w:tcPr>
            <w:tcW w:w="7162" w:type="dxa"/>
            <w:hideMark/>
          </w:tcPr>
          <w:p w14:paraId="063DB4A6" w14:textId="77777777" w:rsidR="009C14CC" w:rsidRPr="009C14CC" w:rsidRDefault="009C14CC" w:rsidP="009C14CC">
            <w:pPr>
              <w:pStyle w:val="SCVtablebody"/>
              <w:rPr>
                <w:rFonts w:eastAsia="VIC"/>
              </w:rPr>
            </w:pPr>
            <w:r w:rsidRPr="009C14CC">
              <w:rPr>
                <w:rFonts w:eastAsia="VIC"/>
              </w:rPr>
              <w:t>Bachelor’s degree level</w:t>
            </w:r>
          </w:p>
        </w:tc>
        <w:tc>
          <w:tcPr>
            <w:tcW w:w="1384" w:type="dxa"/>
            <w:hideMark/>
          </w:tcPr>
          <w:p w14:paraId="084805CC" w14:textId="77777777" w:rsidR="009C14CC" w:rsidRPr="009C14CC" w:rsidRDefault="009C14CC" w:rsidP="009C14CC">
            <w:pPr>
              <w:pStyle w:val="SCVtablebody"/>
              <w:jc w:val="center"/>
              <w:rPr>
                <w:rFonts w:eastAsia="VIC"/>
              </w:rPr>
            </w:pPr>
            <w:r w:rsidRPr="009C14CC">
              <w:rPr>
                <w:rFonts w:eastAsia="VIC"/>
              </w:rPr>
              <w:t>239</w:t>
            </w:r>
          </w:p>
        </w:tc>
        <w:tc>
          <w:tcPr>
            <w:tcW w:w="1384" w:type="dxa"/>
            <w:hideMark/>
          </w:tcPr>
          <w:p w14:paraId="4E130D25" w14:textId="77777777" w:rsidR="009C14CC" w:rsidRPr="009C14CC" w:rsidRDefault="009C14CC" w:rsidP="009C14CC">
            <w:pPr>
              <w:pStyle w:val="SCVtablebody"/>
              <w:jc w:val="center"/>
              <w:rPr>
                <w:rFonts w:eastAsia="VIC"/>
              </w:rPr>
            </w:pPr>
            <w:r w:rsidRPr="009C14CC">
              <w:rPr>
                <w:rFonts w:eastAsia="VIC"/>
              </w:rPr>
              <w:t>15.5%</w:t>
            </w:r>
          </w:p>
        </w:tc>
      </w:tr>
      <w:tr w:rsidR="009C14CC" w:rsidRPr="009C14CC" w14:paraId="773D17A8" w14:textId="77777777" w:rsidTr="099D5712">
        <w:trPr>
          <w:cantSplit/>
        </w:trPr>
        <w:tc>
          <w:tcPr>
            <w:tcW w:w="7162" w:type="dxa"/>
            <w:hideMark/>
          </w:tcPr>
          <w:p w14:paraId="3BBFE86D" w14:textId="77777777" w:rsidR="009C14CC" w:rsidRPr="009C14CC" w:rsidRDefault="009C14CC" w:rsidP="009C14CC">
            <w:pPr>
              <w:pStyle w:val="SCVtablebody"/>
              <w:rPr>
                <w:rFonts w:eastAsia="VIC"/>
              </w:rPr>
            </w:pPr>
            <w:r w:rsidRPr="009C14CC">
              <w:rPr>
                <w:rFonts w:eastAsia="VIC"/>
              </w:rPr>
              <w:t>Graduate diploma and graduate certificate level</w:t>
            </w:r>
          </w:p>
        </w:tc>
        <w:tc>
          <w:tcPr>
            <w:tcW w:w="1384" w:type="dxa"/>
            <w:hideMark/>
          </w:tcPr>
          <w:p w14:paraId="4C4462FB" w14:textId="77777777" w:rsidR="009C14CC" w:rsidRPr="009C14CC" w:rsidRDefault="009C14CC" w:rsidP="009C14CC">
            <w:pPr>
              <w:pStyle w:val="SCVtablebody"/>
              <w:jc w:val="center"/>
              <w:rPr>
                <w:rFonts w:eastAsia="VIC"/>
              </w:rPr>
            </w:pPr>
            <w:r w:rsidRPr="009C14CC">
              <w:rPr>
                <w:rFonts w:eastAsia="VIC"/>
              </w:rPr>
              <w:t>33</w:t>
            </w:r>
          </w:p>
        </w:tc>
        <w:tc>
          <w:tcPr>
            <w:tcW w:w="1384" w:type="dxa"/>
            <w:hideMark/>
          </w:tcPr>
          <w:p w14:paraId="769618AA" w14:textId="77777777" w:rsidR="009C14CC" w:rsidRPr="009C14CC" w:rsidRDefault="009C14CC" w:rsidP="009C14CC">
            <w:pPr>
              <w:pStyle w:val="SCVtablebody"/>
              <w:jc w:val="center"/>
              <w:rPr>
                <w:rFonts w:eastAsia="VIC"/>
              </w:rPr>
            </w:pPr>
            <w:r w:rsidRPr="009C14CC">
              <w:rPr>
                <w:rFonts w:eastAsia="VIC"/>
              </w:rPr>
              <w:t>2.1%</w:t>
            </w:r>
          </w:p>
        </w:tc>
      </w:tr>
      <w:tr w:rsidR="009C14CC" w:rsidRPr="009C14CC" w14:paraId="39E611C7" w14:textId="77777777" w:rsidTr="099D5712">
        <w:trPr>
          <w:cantSplit/>
        </w:trPr>
        <w:tc>
          <w:tcPr>
            <w:tcW w:w="7162" w:type="dxa"/>
            <w:hideMark/>
          </w:tcPr>
          <w:p w14:paraId="7DC1896E" w14:textId="77777777" w:rsidR="009C14CC" w:rsidRPr="009C14CC" w:rsidRDefault="009C14CC" w:rsidP="009C14CC">
            <w:pPr>
              <w:pStyle w:val="SCVtablebody"/>
              <w:rPr>
                <w:rFonts w:eastAsia="VIC"/>
              </w:rPr>
            </w:pPr>
            <w:r w:rsidRPr="009C14CC">
              <w:rPr>
                <w:rFonts w:eastAsia="VIC"/>
              </w:rPr>
              <w:t>Post graduate level</w:t>
            </w:r>
          </w:p>
        </w:tc>
        <w:tc>
          <w:tcPr>
            <w:tcW w:w="1384" w:type="dxa"/>
            <w:hideMark/>
          </w:tcPr>
          <w:p w14:paraId="04C2357A" w14:textId="77777777" w:rsidR="009C14CC" w:rsidRPr="009C14CC" w:rsidRDefault="009C14CC" w:rsidP="009C14CC">
            <w:pPr>
              <w:pStyle w:val="SCVtablebody"/>
              <w:jc w:val="center"/>
              <w:rPr>
                <w:rFonts w:eastAsia="VIC"/>
              </w:rPr>
            </w:pPr>
            <w:r w:rsidRPr="009C14CC">
              <w:rPr>
                <w:rFonts w:eastAsia="VIC"/>
              </w:rPr>
              <w:t>94</w:t>
            </w:r>
          </w:p>
        </w:tc>
        <w:tc>
          <w:tcPr>
            <w:tcW w:w="1384" w:type="dxa"/>
            <w:hideMark/>
          </w:tcPr>
          <w:p w14:paraId="298A4E2E" w14:textId="77777777" w:rsidR="009C14CC" w:rsidRPr="009C14CC" w:rsidRDefault="009C14CC" w:rsidP="009C14CC">
            <w:pPr>
              <w:pStyle w:val="SCVtablebody"/>
              <w:jc w:val="center"/>
              <w:rPr>
                <w:rFonts w:eastAsia="VIC"/>
              </w:rPr>
            </w:pPr>
            <w:r w:rsidRPr="009C14CC">
              <w:rPr>
                <w:rFonts w:eastAsia="VIC"/>
              </w:rPr>
              <w:t>6.1%</w:t>
            </w:r>
          </w:p>
        </w:tc>
      </w:tr>
      <w:tr w:rsidR="009C14CC" w:rsidRPr="009C14CC" w14:paraId="1250B029" w14:textId="77777777" w:rsidTr="099D5712">
        <w:trPr>
          <w:cantSplit/>
        </w:trPr>
        <w:tc>
          <w:tcPr>
            <w:tcW w:w="7162" w:type="dxa"/>
            <w:hideMark/>
          </w:tcPr>
          <w:p w14:paraId="4A44DBAE" w14:textId="77777777" w:rsidR="009C14CC" w:rsidRPr="009C14CC" w:rsidRDefault="009C14CC" w:rsidP="009C14CC">
            <w:pPr>
              <w:pStyle w:val="SCVtablebody"/>
              <w:rPr>
                <w:rFonts w:eastAsia="VIC"/>
              </w:rPr>
            </w:pPr>
            <w:r w:rsidRPr="009C14CC">
              <w:rPr>
                <w:rFonts w:eastAsia="VIC"/>
              </w:rPr>
              <w:t>Unknown</w:t>
            </w:r>
          </w:p>
        </w:tc>
        <w:tc>
          <w:tcPr>
            <w:tcW w:w="1384" w:type="dxa"/>
            <w:hideMark/>
          </w:tcPr>
          <w:p w14:paraId="4EAC7AA0" w14:textId="77777777" w:rsidR="009C14CC" w:rsidRPr="009C14CC" w:rsidRDefault="009C14CC" w:rsidP="009C14CC">
            <w:pPr>
              <w:pStyle w:val="SCVtablebody"/>
              <w:jc w:val="center"/>
              <w:rPr>
                <w:rFonts w:eastAsia="VIC"/>
              </w:rPr>
            </w:pPr>
            <w:r w:rsidRPr="009C14CC">
              <w:rPr>
                <w:rFonts w:eastAsia="VIC"/>
              </w:rPr>
              <w:t>195</w:t>
            </w:r>
          </w:p>
        </w:tc>
        <w:tc>
          <w:tcPr>
            <w:tcW w:w="1384" w:type="dxa"/>
            <w:hideMark/>
          </w:tcPr>
          <w:p w14:paraId="49E932DA" w14:textId="77777777" w:rsidR="009C14CC" w:rsidRPr="009C14CC" w:rsidRDefault="009C14CC" w:rsidP="009C14CC">
            <w:pPr>
              <w:pStyle w:val="SCVtablebody"/>
              <w:jc w:val="center"/>
              <w:rPr>
                <w:rFonts w:eastAsia="VIC"/>
              </w:rPr>
            </w:pPr>
            <w:r w:rsidRPr="009C14CC">
              <w:rPr>
                <w:rFonts w:eastAsia="VIC"/>
              </w:rPr>
              <w:t>12.6%</w:t>
            </w:r>
          </w:p>
        </w:tc>
      </w:tr>
      <w:tr w:rsidR="009C14CC" w:rsidRPr="009C14CC" w14:paraId="1C6361D2" w14:textId="77777777" w:rsidTr="099D5712">
        <w:trPr>
          <w:cantSplit/>
        </w:trPr>
        <w:tc>
          <w:tcPr>
            <w:tcW w:w="7162" w:type="dxa"/>
            <w:hideMark/>
          </w:tcPr>
          <w:p w14:paraId="3C82DC01" w14:textId="77777777" w:rsidR="009C14CC" w:rsidRPr="009C14CC" w:rsidRDefault="009C14CC" w:rsidP="009C14CC">
            <w:pPr>
              <w:pStyle w:val="SCVtablerowhead"/>
              <w:rPr>
                <w:rFonts w:eastAsia="VIC"/>
              </w:rPr>
            </w:pPr>
            <w:r w:rsidRPr="009C14CC">
              <w:rPr>
                <w:rFonts w:eastAsia="VIC"/>
              </w:rPr>
              <w:t>Area of residence</w:t>
            </w:r>
          </w:p>
        </w:tc>
        <w:tc>
          <w:tcPr>
            <w:tcW w:w="1384" w:type="dxa"/>
            <w:hideMark/>
          </w:tcPr>
          <w:p w14:paraId="25738C37" w14:textId="77777777" w:rsidR="00FA0412" w:rsidRPr="009C14CC" w:rsidRDefault="00FA0412" w:rsidP="009C14CC">
            <w:pPr>
              <w:pStyle w:val="SCVtablerowhead"/>
              <w:rPr>
                <w:rFonts w:eastAsia="VIC"/>
                <w:b/>
              </w:rPr>
            </w:pPr>
          </w:p>
        </w:tc>
        <w:tc>
          <w:tcPr>
            <w:tcW w:w="1384" w:type="dxa"/>
          </w:tcPr>
          <w:p w14:paraId="033ED44E" w14:textId="5FAA5B0B" w:rsidR="009C14CC" w:rsidRPr="009C14CC" w:rsidRDefault="009C14CC" w:rsidP="009C14CC">
            <w:pPr>
              <w:pStyle w:val="SCVtablerowhead"/>
              <w:rPr>
                <w:rFonts w:eastAsia="VIC"/>
              </w:rPr>
            </w:pPr>
          </w:p>
        </w:tc>
      </w:tr>
      <w:tr w:rsidR="009C14CC" w:rsidRPr="009C14CC" w14:paraId="5A6E6E6C" w14:textId="77777777" w:rsidTr="099D5712">
        <w:trPr>
          <w:cantSplit/>
        </w:trPr>
        <w:tc>
          <w:tcPr>
            <w:tcW w:w="7162" w:type="dxa"/>
            <w:hideMark/>
          </w:tcPr>
          <w:p w14:paraId="2BAC7296" w14:textId="77777777" w:rsidR="009C14CC" w:rsidRPr="009C14CC" w:rsidRDefault="009C14CC" w:rsidP="009C14CC">
            <w:pPr>
              <w:pStyle w:val="SCVtablebody"/>
              <w:rPr>
                <w:rFonts w:eastAsia="VIC"/>
              </w:rPr>
            </w:pPr>
            <w:r w:rsidRPr="009C14CC">
              <w:rPr>
                <w:rFonts w:eastAsia="VIC"/>
              </w:rPr>
              <w:t>Metropolitan Melbourne</w:t>
            </w:r>
          </w:p>
        </w:tc>
        <w:tc>
          <w:tcPr>
            <w:tcW w:w="1384" w:type="dxa"/>
            <w:hideMark/>
          </w:tcPr>
          <w:p w14:paraId="11B49EF0" w14:textId="77777777" w:rsidR="009C14CC" w:rsidRPr="009C14CC" w:rsidRDefault="009C14CC" w:rsidP="009C14CC">
            <w:pPr>
              <w:pStyle w:val="SCVtablebody"/>
              <w:jc w:val="center"/>
              <w:rPr>
                <w:rFonts w:eastAsia="VIC"/>
              </w:rPr>
            </w:pPr>
            <w:r w:rsidRPr="009C14CC">
              <w:rPr>
                <w:rFonts w:eastAsia="VIC"/>
              </w:rPr>
              <w:t>981</w:t>
            </w:r>
          </w:p>
        </w:tc>
        <w:tc>
          <w:tcPr>
            <w:tcW w:w="1384" w:type="dxa"/>
            <w:hideMark/>
          </w:tcPr>
          <w:p w14:paraId="59422ABD" w14:textId="77777777" w:rsidR="009C14CC" w:rsidRPr="009C14CC" w:rsidRDefault="009C14CC" w:rsidP="009C14CC">
            <w:pPr>
              <w:pStyle w:val="SCVtablebody"/>
              <w:jc w:val="center"/>
              <w:rPr>
                <w:rFonts w:eastAsia="VIC"/>
              </w:rPr>
            </w:pPr>
            <w:r w:rsidRPr="009C14CC">
              <w:rPr>
                <w:rFonts w:eastAsia="VIC"/>
              </w:rPr>
              <w:t>63.5%</w:t>
            </w:r>
          </w:p>
        </w:tc>
      </w:tr>
      <w:tr w:rsidR="009C14CC" w:rsidRPr="009C14CC" w14:paraId="6C512DD4" w14:textId="77777777" w:rsidTr="099D5712">
        <w:trPr>
          <w:cantSplit/>
        </w:trPr>
        <w:tc>
          <w:tcPr>
            <w:tcW w:w="7162" w:type="dxa"/>
            <w:hideMark/>
          </w:tcPr>
          <w:p w14:paraId="598F164D" w14:textId="77777777" w:rsidR="009C14CC" w:rsidRPr="009C14CC" w:rsidRDefault="009C14CC" w:rsidP="009C14CC">
            <w:pPr>
              <w:pStyle w:val="SCVtablebody"/>
              <w:rPr>
                <w:rFonts w:eastAsia="VIC"/>
              </w:rPr>
            </w:pPr>
            <w:r w:rsidRPr="009C14CC">
              <w:rPr>
                <w:rFonts w:eastAsia="VIC"/>
              </w:rPr>
              <w:t>Regional Victoria</w:t>
            </w:r>
          </w:p>
        </w:tc>
        <w:tc>
          <w:tcPr>
            <w:tcW w:w="1384" w:type="dxa"/>
            <w:hideMark/>
          </w:tcPr>
          <w:p w14:paraId="6157657B" w14:textId="77777777" w:rsidR="009C14CC" w:rsidRPr="009C14CC" w:rsidRDefault="009C14CC" w:rsidP="009C14CC">
            <w:pPr>
              <w:pStyle w:val="SCVtablebody"/>
              <w:jc w:val="center"/>
              <w:rPr>
                <w:rFonts w:eastAsia="VIC"/>
              </w:rPr>
            </w:pPr>
            <w:r w:rsidRPr="009C14CC">
              <w:rPr>
                <w:rFonts w:eastAsia="VIC"/>
              </w:rPr>
              <w:t>564</w:t>
            </w:r>
          </w:p>
        </w:tc>
        <w:tc>
          <w:tcPr>
            <w:tcW w:w="1384" w:type="dxa"/>
            <w:hideMark/>
          </w:tcPr>
          <w:p w14:paraId="70DD13E5" w14:textId="77777777" w:rsidR="009C14CC" w:rsidRPr="009C14CC" w:rsidRDefault="009C14CC" w:rsidP="009C14CC">
            <w:pPr>
              <w:pStyle w:val="SCVtablebody"/>
              <w:jc w:val="center"/>
              <w:rPr>
                <w:rFonts w:eastAsia="VIC"/>
              </w:rPr>
            </w:pPr>
            <w:r w:rsidRPr="009C14CC">
              <w:rPr>
                <w:rFonts w:eastAsia="VIC"/>
              </w:rPr>
              <w:t>36.5%</w:t>
            </w:r>
          </w:p>
        </w:tc>
      </w:tr>
      <w:tr w:rsidR="009C14CC" w:rsidRPr="009C14CC" w14:paraId="2A98C4A3" w14:textId="77777777" w:rsidTr="099D5712">
        <w:trPr>
          <w:cantSplit/>
        </w:trPr>
        <w:tc>
          <w:tcPr>
            <w:tcW w:w="7162" w:type="dxa"/>
            <w:hideMark/>
          </w:tcPr>
          <w:p w14:paraId="0157FEC1" w14:textId="77777777" w:rsidR="009C14CC" w:rsidRPr="009C14CC" w:rsidRDefault="009C14CC" w:rsidP="009C14CC">
            <w:pPr>
              <w:pStyle w:val="SCVtablerowhead"/>
              <w:rPr>
                <w:rFonts w:eastAsia="VIC"/>
              </w:rPr>
            </w:pPr>
            <w:r w:rsidRPr="009C14CC">
              <w:rPr>
                <w:rFonts w:eastAsia="VIC"/>
              </w:rPr>
              <w:t>Living situation</w:t>
            </w:r>
          </w:p>
        </w:tc>
        <w:tc>
          <w:tcPr>
            <w:tcW w:w="1384" w:type="dxa"/>
            <w:hideMark/>
          </w:tcPr>
          <w:p w14:paraId="477E4BDF" w14:textId="77777777" w:rsidR="00FA0412" w:rsidRPr="009C14CC" w:rsidRDefault="00FA0412" w:rsidP="009C14CC">
            <w:pPr>
              <w:pStyle w:val="SCVtablerowhead"/>
              <w:jc w:val="center"/>
              <w:rPr>
                <w:rFonts w:eastAsia="VIC"/>
                <w:b/>
              </w:rPr>
            </w:pPr>
          </w:p>
        </w:tc>
        <w:tc>
          <w:tcPr>
            <w:tcW w:w="1384" w:type="dxa"/>
          </w:tcPr>
          <w:p w14:paraId="27D4D269" w14:textId="339DCAEA" w:rsidR="009C14CC" w:rsidRPr="009C14CC" w:rsidRDefault="009C14CC" w:rsidP="009C14CC">
            <w:pPr>
              <w:pStyle w:val="SCVtablerowhead"/>
              <w:jc w:val="center"/>
              <w:rPr>
                <w:rFonts w:eastAsia="VIC"/>
              </w:rPr>
            </w:pPr>
          </w:p>
        </w:tc>
      </w:tr>
      <w:tr w:rsidR="009C14CC" w:rsidRPr="009C14CC" w14:paraId="4DAF24F0" w14:textId="77777777" w:rsidTr="099D5712">
        <w:trPr>
          <w:cantSplit/>
        </w:trPr>
        <w:tc>
          <w:tcPr>
            <w:tcW w:w="7162" w:type="dxa"/>
            <w:hideMark/>
          </w:tcPr>
          <w:p w14:paraId="41BC72ED" w14:textId="77777777" w:rsidR="009C14CC" w:rsidRPr="009C14CC" w:rsidRDefault="009C14CC" w:rsidP="009C14CC">
            <w:pPr>
              <w:pStyle w:val="SCVtablebody"/>
              <w:rPr>
                <w:rFonts w:eastAsia="VIC"/>
              </w:rPr>
            </w:pPr>
            <w:r w:rsidRPr="009C14CC">
              <w:rPr>
                <w:rFonts w:eastAsia="VIC"/>
              </w:rPr>
              <w:t>Private household</w:t>
            </w:r>
          </w:p>
        </w:tc>
        <w:tc>
          <w:tcPr>
            <w:tcW w:w="1384" w:type="dxa"/>
            <w:hideMark/>
          </w:tcPr>
          <w:p w14:paraId="7591B7C9" w14:textId="77777777" w:rsidR="009C14CC" w:rsidRPr="009C14CC" w:rsidRDefault="009C14CC" w:rsidP="009C14CC">
            <w:pPr>
              <w:pStyle w:val="SCVtablebody"/>
              <w:jc w:val="center"/>
              <w:rPr>
                <w:rFonts w:eastAsia="VIC"/>
              </w:rPr>
            </w:pPr>
            <w:r w:rsidRPr="009C14CC">
              <w:rPr>
                <w:rFonts w:eastAsia="VIC"/>
              </w:rPr>
              <w:t>1327</w:t>
            </w:r>
          </w:p>
        </w:tc>
        <w:tc>
          <w:tcPr>
            <w:tcW w:w="1384" w:type="dxa"/>
            <w:hideMark/>
          </w:tcPr>
          <w:p w14:paraId="72449FB0" w14:textId="77777777" w:rsidR="009C14CC" w:rsidRPr="009C14CC" w:rsidRDefault="009C14CC" w:rsidP="009C14CC">
            <w:pPr>
              <w:pStyle w:val="SCVtablebody"/>
              <w:jc w:val="center"/>
              <w:rPr>
                <w:rFonts w:eastAsia="VIC"/>
              </w:rPr>
            </w:pPr>
            <w:r w:rsidRPr="009C14CC">
              <w:rPr>
                <w:rFonts w:eastAsia="VIC"/>
              </w:rPr>
              <w:t>81.2%</w:t>
            </w:r>
          </w:p>
        </w:tc>
      </w:tr>
      <w:tr w:rsidR="009C14CC" w:rsidRPr="009C14CC" w14:paraId="7C53FC25" w14:textId="77777777" w:rsidTr="099D5712">
        <w:trPr>
          <w:cantSplit/>
        </w:trPr>
        <w:tc>
          <w:tcPr>
            <w:tcW w:w="7162" w:type="dxa"/>
            <w:hideMark/>
          </w:tcPr>
          <w:p w14:paraId="5328EAB8" w14:textId="77777777" w:rsidR="009C14CC" w:rsidRPr="009C14CC" w:rsidRDefault="009C14CC" w:rsidP="009C14CC">
            <w:pPr>
              <w:pStyle w:val="SCVtablebody"/>
              <w:rPr>
                <w:rFonts w:eastAsia="VIC"/>
              </w:rPr>
            </w:pPr>
            <w:r w:rsidRPr="009C14CC">
              <w:rPr>
                <w:rFonts w:eastAsia="VIC"/>
              </w:rPr>
              <w:t>Long term care or assisted living facility</w:t>
            </w:r>
          </w:p>
        </w:tc>
        <w:tc>
          <w:tcPr>
            <w:tcW w:w="1384" w:type="dxa"/>
            <w:hideMark/>
          </w:tcPr>
          <w:p w14:paraId="63C18562" w14:textId="77777777" w:rsidR="009C14CC" w:rsidRPr="009C14CC" w:rsidRDefault="009C14CC" w:rsidP="009C14CC">
            <w:pPr>
              <w:pStyle w:val="SCVtablebody"/>
              <w:jc w:val="center"/>
              <w:rPr>
                <w:rFonts w:eastAsia="VIC"/>
              </w:rPr>
            </w:pPr>
            <w:r w:rsidRPr="009C14CC">
              <w:rPr>
                <w:rFonts w:eastAsia="VIC"/>
              </w:rPr>
              <w:t>128</w:t>
            </w:r>
          </w:p>
        </w:tc>
        <w:tc>
          <w:tcPr>
            <w:tcW w:w="1384" w:type="dxa"/>
            <w:hideMark/>
          </w:tcPr>
          <w:p w14:paraId="1226FA10" w14:textId="77777777" w:rsidR="009C14CC" w:rsidRPr="009C14CC" w:rsidRDefault="009C14CC" w:rsidP="009C14CC">
            <w:pPr>
              <w:pStyle w:val="SCVtablebody"/>
              <w:jc w:val="center"/>
              <w:rPr>
                <w:rFonts w:eastAsia="VIC"/>
              </w:rPr>
            </w:pPr>
            <w:r w:rsidRPr="009C14CC">
              <w:rPr>
                <w:rFonts w:eastAsia="VIC"/>
              </w:rPr>
              <w:t>8.3%</w:t>
            </w:r>
          </w:p>
        </w:tc>
      </w:tr>
      <w:tr w:rsidR="009C14CC" w:rsidRPr="009C14CC" w14:paraId="2465E007" w14:textId="77777777" w:rsidTr="099D5712">
        <w:trPr>
          <w:cantSplit/>
        </w:trPr>
        <w:tc>
          <w:tcPr>
            <w:tcW w:w="7162" w:type="dxa"/>
            <w:hideMark/>
          </w:tcPr>
          <w:p w14:paraId="3CFD0A75" w14:textId="77777777" w:rsidR="009C14CC" w:rsidRPr="009C14CC" w:rsidRDefault="009C14CC" w:rsidP="009C14CC">
            <w:pPr>
              <w:pStyle w:val="SCVtablebody"/>
              <w:rPr>
                <w:rFonts w:eastAsia="VIC"/>
              </w:rPr>
            </w:pPr>
            <w:r w:rsidRPr="009C14CC">
              <w:rPr>
                <w:rFonts w:eastAsia="VIC"/>
              </w:rPr>
              <w:t>Health service</w:t>
            </w:r>
          </w:p>
        </w:tc>
        <w:tc>
          <w:tcPr>
            <w:tcW w:w="1384" w:type="dxa"/>
            <w:hideMark/>
          </w:tcPr>
          <w:p w14:paraId="5286FD73" w14:textId="77777777" w:rsidR="009C14CC" w:rsidRPr="009C14CC" w:rsidRDefault="009C14CC" w:rsidP="009C14CC">
            <w:pPr>
              <w:pStyle w:val="SCVtablebody"/>
              <w:jc w:val="center"/>
              <w:rPr>
                <w:rFonts w:eastAsia="VIC"/>
              </w:rPr>
            </w:pPr>
            <w:r w:rsidRPr="009C14CC">
              <w:rPr>
                <w:rFonts w:eastAsia="VIC"/>
              </w:rPr>
              <w:t>69</w:t>
            </w:r>
          </w:p>
        </w:tc>
        <w:tc>
          <w:tcPr>
            <w:tcW w:w="1384" w:type="dxa"/>
            <w:hideMark/>
          </w:tcPr>
          <w:p w14:paraId="1FB6018A" w14:textId="77777777" w:rsidR="009C14CC" w:rsidRPr="009C14CC" w:rsidRDefault="009C14CC" w:rsidP="009C14CC">
            <w:pPr>
              <w:pStyle w:val="SCVtablebody"/>
              <w:jc w:val="center"/>
              <w:rPr>
                <w:rFonts w:eastAsia="VIC"/>
              </w:rPr>
            </w:pPr>
            <w:r w:rsidRPr="009C14CC">
              <w:rPr>
                <w:rFonts w:eastAsia="VIC"/>
              </w:rPr>
              <w:t>4.5%</w:t>
            </w:r>
          </w:p>
        </w:tc>
      </w:tr>
      <w:tr w:rsidR="009C14CC" w:rsidRPr="009C14CC" w14:paraId="14CFC681" w14:textId="77777777" w:rsidTr="099D5712">
        <w:trPr>
          <w:cantSplit/>
        </w:trPr>
        <w:tc>
          <w:tcPr>
            <w:tcW w:w="7162" w:type="dxa"/>
            <w:hideMark/>
          </w:tcPr>
          <w:p w14:paraId="73503EA9" w14:textId="77777777" w:rsidR="009C14CC" w:rsidRPr="009C14CC" w:rsidRDefault="009C14CC" w:rsidP="009C14CC">
            <w:pPr>
              <w:pStyle w:val="SCVtablebody"/>
              <w:rPr>
                <w:rFonts w:eastAsia="VIC"/>
              </w:rPr>
            </w:pPr>
            <w:r w:rsidRPr="009C14CC">
              <w:rPr>
                <w:rFonts w:eastAsia="VIC"/>
              </w:rPr>
              <w:t>Unknown</w:t>
            </w:r>
          </w:p>
        </w:tc>
        <w:tc>
          <w:tcPr>
            <w:tcW w:w="1384" w:type="dxa"/>
            <w:hideMark/>
          </w:tcPr>
          <w:p w14:paraId="6880DC98" w14:textId="77777777" w:rsidR="009C14CC" w:rsidRPr="009C14CC" w:rsidRDefault="009C14CC" w:rsidP="009C14CC">
            <w:pPr>
              <w:pStyle w:val="SCVtablebody"/>
              <w:jc w:val="center"/>
              <w:rPr>
                <w:rFonts w:eastAsia="VIC"/>
              </w:rPr>
            </w:pPr>
            <w:r w:rsidRPr="009C14CC">
              <w:rPr>
                <w:rFonts w:eastAsia="VIC"/>
              </w:rPr>
              <w:t>21</w:t>
            </w:r>
          </w:p>
        </w:tc>
        <w:tc>
          <w:tcPr>
            <w:tcW w:w="1384" w:type="dxa"/>
            <w:hideMark/>
          </w:tcPr>
          <w:p w14:paraId="329B8F28" w14:textId="77777777" w:rsidR="009C14CC" w:rsidRPr="009C14CC" w:rsidRDefault="009C14CC" w:rsidP="009C14CC">
            <w:pPr>
              <w:pStyle w:val="SCVtablebody"/>
              <w:jc w:val="center"/>
              <w:rPr>
                <w:rFonts w:eastAsia="VIC"/>
              </w:rPr>
            </w:pPr>
            <w:r w:rsidRPr="009C14CC">
              <w:rPr>
                <w:rFonts w:eastAsia="VIC"/>
              </w:rPr>
              <w:t>1.4%</w:t>
            </w:r>
          </w:p>
        </w:tc>
      </w:tr>
    </w:tbl>
    <w:p w14:paraId="39C65BAD" w14:textId="6C9D583C" w:rsidR="1E5B0944" w:rsidRDefault="1E5B0944" w:rsidP="00CF34AB"/>
    <w:p w14:paraId="3B7B0DD1" w14:textId="15450111" w:rsidR="009C14CC" w:rsidRDefault="0008515F" w:rsidP="0008515F">
      <w:pPr>
        <w:pStyle w:val="SCVfigurecaption"/>
      </w:pPr>
      <w:r w:rsidRPr="0008515F">
        <w:lastRenderedPageBreak/>
        <w:t xml:space="preserve">Figure </w:t>
      </w:r>
      <w:r w:rsidR="00673F0E">
        <w:t>5</w:t>
      </w:r>
      <w:r>
        <w:t xml:space="preserve">: </w:t>
      </w:r>
      <w:r w:rsidRPr="0008515F">
        <w:t>Geographic distribution of applicants*</w:t>
      </w:r>
    </w:p>
    <w:p w14:paraId="66A3E10D" w14:textId="054430C2" w:rsidR="0008515F" w:rsidRDefault="00683D1A" w:rsidP="0008515F">
      <w:pPr>
        <w:pStyle w:val="SCVbody"/>
      </w:pPr>
      <w:r>
        <w:rPr>
          <w:noProof/>
        </w:rPr>
        <w:drawing>
          <wp:inline distT="0" distB="0" distL="0" distR="0" wp14:anchorId="240F22FF" wp14:editId="705C029A">
            <wp:extent cx="6479540" cy="4730115"/>
            <wp:effectExtent l="0" t="0" r="0" b="0"/>
            <wp:docPr id="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44">
                      <a:extLst>
                        <a:ext uri="{28A0092B-C50C-407E-A947-70E740481C1C}">
                          <a14:useLocalDpi xmlns:a14="http://schemas.microsoft.com/office/drawing/2010/main" val="0"/>
                        </a:ext>
                      </a:extLst>
                    </a:blip>
                    <a:stretch>
                      <a:fillRect/>
                    </a:stretch>
                  </pic:blipFill>
                  <pic:spPr>
                    <a:xfrm>
                      <a:off x="0" y="0"/>
                      <a:ext cx="6479540" cy="4730115"/>
                    </a:xfrm>
                    <a:prstGeom prst="rect">
                      <a:avLst/>
                    </a:prstGeom>
                  </pic:spPr>
                </pic:pic>
              </a:graphicData>
            </a:graphic>
          </wp:inline>
        </w:drawing>
      </w:r>
    </w:p>
    <w:p w14:paraId="009659CE" w14:textId="15467E7A" w:rsidR="0008515F" w:rsidRDefault="0008515F" w:rsidP="0008515F">
      <w:pPr>
        <w:pStyle w:val="SCVtablefigurenote"/>
      </w:pPr>
      <w:r w:rsidRPr="0008515F">
        <w:rPr>
          <w:sz w:val="19"/>
          <w:szCs w:val="19"/>
        </w:rPr>
        <w:t>*</w:t>
      </w:r>
      <w:r>
        <w:t xml:space="preserve"> </w:t>
      </w:r>
      <w:r w:rsidRPr="0008515F">
        <w:t>Locations are approximate, based on the centroid of postcodes. Locations with less than five applicants in the postcode are not shown.</w:t>
      </w:r>
    </w:p>
    <w:p w14:paraId="531119C9" w14:textId="426810EA" w:rsidR="0008515F" w:rsidRDefault="0008515F" w:rsidP="0008515F">
      <w:pPr>
        <w:pStyle w:val="Heading2"/>
      </w:pPr>
      <w:r>
        <w:t xml:space="preserve">Palliative </w:t>
      </w:r>
      <w:r w:rsidR="000E69D5">
        <w:t>care</w:t>
      </w:r>
    </w:p>
    <w:p w14:paraId="5D15FDF8" w14:textId="77777777" w:rsidR="0008515F" w:rsidRDefault="0008515F" w:rsidP="0008515F">
      <w:pPr>
        <w:pStyle w:val="SCVbody"/>
        <w:sectPr w:rsidR="0008515F" w:rsidSect="00EB29C3">
          <w:type w:val="continuous"/>
          <w:pgSz w:w="11906" w:h="16838" w:code="9"/>
          <w:pgMar w:top="3402" w:right="851" w:bottom="1361" w:left="851" w:header="851" w:footer="851" w:gutter="0"/>
          <w:cols w:space="284"/>
          <w:docGrid w:linePitch="360"/>
        </w:sectPr>
      </w:pPr>
    </w:p>
    <w:p w14:paraId="4C6ED6A0" w14:textId="16BDC623" w:rsidR="0008515F" w:rsidRDefault="0008515F" w:rsidP="0008515F">
      <w:pPr>
        <w:pStyle w:val="SCVbody"/>
      </w:pPr>
      <w:r>
        <w:t>Palliative care services are available to all Victorians, with care available dependent on individual need. This may include hospital-based care or care delivered in a person’s home or residential facility. It is important to recognise that voluntary assisted dying is not an alternative to palliative care. This is underscored by the fact that 81</w:t>
      </w:r>
      <w:r w:rsidR="00C37F9B">
        <w:t xml:space="preserve"> per cent</w:t>
      </w:r>
      <w:r>
        <w:t xml:space="preserve"> of applicants applying for </w:t>
      </w:r>
      <w:r w:rsidR="003C714F">
        <w:t>voluntary</w:t>
      </w:r>
      <w:r>
        <w:t xml:space="preserve"> assisted dying have accessed or are being cared for by a palliative </w:t>
      </w:r>
      <w:r>
        <w:t xml:space="preserve">care service. Palliative care is an essential </w:t>
      </w:r>
      <w:bookmarkStart w:id="18" w:name="_Int_Jl7Coj79"/>
      <w:r>
        <w:t>service</w:t>
      </w:r>
      <w:bookmarkEnd w:id="18"/>
      <w:r w:rsidR="005D7F39">
        <w:t>,</w:t>
      </w:r>
      <w:r>
        <w:t xml:space="preserve"> and the integration of palliative care options remains an important aspect of the </w:t>
      </w:r>
      <w:bookmarkStart w:id="19" w:name="_Int_rvbfbL6u"/>
      <w:r>
        <w:t>end of life</w:t>
      </w:r>
      <w:bookmarkEnd w:id="19"/>
      <w:r>
        <w:t xml:space="preserve"> care delivery model.</w:t>
      </w:r>
    </w:p>
    <w:p w14:paraId="7C3D422F" w14:textId="0BD91012" w:rsidR="0008515F" w:rsidRDefault="000514D1" w:rsidP="0008515F">
      <w:pPr>
        <w:pStyle w:val="SCVquote"/>
      </w:pPr>
      <w:r>
        <w:t>‘</w:t>
      </w:r>
      <w:r w:rsidR="0008515F">
        <w:t>The patient had long held a desire for voluntary assisted dying but as her death approached, she seemed more reluctant to call for the delivery of the [substance]. She died at home with family and good palliative care.</w:t>
      </w:r>
      <w:r>
        <w:t>’</w:t>
      </w:r>
      <w:r w:rsidR="0008515F">
        <w:t xml:space="preserve"> </w:t>
      </w:r>
      <w:r w:rsidR="0008515F" w:rsidRPr="0008515F">
        <w:rPr>
          <w:rFonts w:asciiTheme="majorHAnsi" w:hAnsiTheme="majorHAnsi"/>
        </w:rPr>
        <w:t>Medical practitioner</w:t>
      </w:r>
    </w:p>
    <w:p w14:paraId="5520EDD3" w14:textId="1B3C84AB" w:rsidR="0008515F" w:rsidRDefault="00A532BD" w:rsidP="0008515F">
      <w:pPr>
        <w:pStyle w:val="SCVquote"/>
      </w:pPr>
      <w:r>
        <w:lastRenderedPageBreak/>
        <w:t>‘</w:t>
      </w:r>
      <w:r w:rsidR="0008515F">
        <w:t>The palliative care doctor was amazing. He spent so much time with us. He checked in with me and all the family that we were ok, really supported us too. He made sure that on the day she wanted to take the substance her favourite nurses were working, and we made the choice to do it at the double shift time to ensure that it was the best for the unit too.</w:t>
      </w:r>
      <w:r>
        <w:t>’</w:t>
      </w:r>
      <w:r w:rsidR="0008515F">
        <w:t xml:space="preserve"> </w:t>
      </w:r>
      <w:r w:rsidR="0008515F" w:rsidRPr="0008515F">
        <w:rPr>
          <w:rFonts w:asciiTheme="majorHAnsi" w:hAnsiTheme="majorHAnsi"/>
        </w:rPr>
        <w:t>Contact person</w:t>
      </w:r>
    </w:p>
    <w:p w14:paraId="7EC8F3C2" w14:textId="48924DAD" w:rsidR="0008515F" w:rsidRDefault="0008515F" w:rsidP="0008515F">
      <w:pPr>
        <w:pStyle w:val="SCVbody"/>
        <w:rPr>
          <w:highlight w:val="yellow"/>
        </w:rPr>
        <w:sectPr w:rsidR="0008515F" w:rsidSect="00EB29C3">
          <w:type w:val="continuous"/>
          <w:pgSz w:w="11906" w:h="16838" w:code="9"/>
          <w:pgMar w:top="3402" w:right="851" w:bottom="1361" w:left="851" w:header="851" w:footer="851" w:gutter="0"/>
          <w:cols w:num="2" w:space="284"/>
          <w:docGrid w:linePitch="360"/>
        </w:sectPr>
      </w:pPr>
      <w:r>
        <w:t>Palliative care services provide bereavement services for</w:t>
      </w:r>
      <w:r w:rsidR="006307EE">
        <w:t xml:space="preserve"> their registered</w:t>
      </w:r>
      <w:r>
        <w:t xml:space="preserve"> family and carers. Other bereavement services are available including the Australian Centre for Grief and Bereavement</w:t>
      </w:r>
      <w:r w:rsidR="006307EE">
        <w:t>.</w:t>
      </w:r>
      <w:r>
        <w:t xml:space="preserve"> Further contact details for bereavement support are available on </w:t>
      </w:r>
      <w:r w:rsidRPr="00906EDC">
        <w:t xml:space="preserve">page </w:t>
      </w:r>
      <w:r w:rsidR="008C7206" w:rsidRPr="00906EDC">
        <w:t>3</w:t>
      </w:r>
      <w:r w:rsidR="007025C7">
        <w:t>2</w:t>
      </w:r>
      <w:r w:rsidRPr="00906EDC">
        <w:t>.</w:t>
      </w:r>
    </w:p>
    <w:p w14:paraId="5538A93B" w14:textId="0101C9CF" w:rsidR="0008515F" w:rsidRDefault="0008515F" w:rsidP="0008515F">
      <w:pPr>
        <w:pStyle w:val="SCVtablecaption"/>
      </w:pPr>
      <w:r w:rsidRPr="0008515F">
        <w:t>Table 6: Use of palliative care by applicants 19 June 2019 – 30 June 2022 (n=1545)</w:t>
      </w:r>
    </w:p>
    <w:tbl>
      <w:tblPr>
        <w:tblStyle w:val="TableGrid1"/>
        <w:tblW w:w="10207" w:type="dxa"/>
        <w:tblLayout w:type="fixed"/>
        <w:tblLook w:val="04A0" w:firstRow="1" w:lastRow="0" w:firstColumn="1" w:lastColumn="0" w:noHBand="0" w:noVBand="1"/>
        <w:tblDescription w:val="This table shows the use of palliative care by applicants between 19 June 2019 and 30 June 2022. There were 1545 applicants and 81 per cent were assessed by palliative care with 76 per cent of those having been engaged with palliative care for less than 12 months. The median duration of engagement with palliative care was 3 months."/>
      </w:tblPr>
      <w:tblGrid>
        <w:gridCol w:w="7371"/>
        <w:gridCol w:w="1418"/>
        <w:gridCol w:w="1418"/>
      </w:tblGrid>
      <w:tr w:rsidR="0008515F" w:rsidRPr="0008515F" w14:paraId="02679260" w14:textId="77777777" w:rsidTr="004B70D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71" w:type="dxa"/>
            <w:hideMark/>
          </w:tcPr>
          <w:p w14:paraId="036587AB" w14:textId="22EAA7F9" w:rsidR="0008515F" w:rsidRPr="004B70D1" w:rsidRDefault="0008515F" w:rsidP="0008515F">
            <w:pPr>
              <w:pStyle w:val="SCVtablecolhead"/>
              <w:rPr>
                <w:rFonts w:asciiTheme="majorHAnsi" w:eastAsia="VIC" w:hAnsiTheme="majorHAnsi"/>
              </w:rPr>
            </w:pPr>
            <w:r w:rsidRPr="004B70D1">
              <w:rPr>
                <w:rFonts w:asciiTheme="majorHAnsi" w:eastAsia="VIC" w:hAnsiTheme="majorHAnsi"/>
              </w:rPr>
              <w:t xml:space="preserve">Palliative </w:t>
            </w:r>
            <w:r w:rsidR="000E69D5">
              <w:rPr>
                <w:rFonts w:asciiTheme="majorHAnsi" w:eastAsia="VIC" w:hAnsiTheme="majorHAnsi"/>
              </w:rPr>
              <w:t>c</w:t>
            </w:r>
            <w:r w:rsidRPr="004B70D1">
              <w:rPr>
                <w:rFonts w:asciiTheme="majorHAnsi" w:eastAsia="VIC" w:hAnsiTheme="majorHAnsi"/>
              </w:rPr>
              <w:t xml:space="preserve">are </w:t>
            </w:r>
            <w:r w:rsidR="000E69D5">
              <w:rPr>
                <w:rFonts w:asciiTheme="majorHAnsi" w:eastAsia="VIC" w:hAnsiTheme="majorHAnsi"/>
              </w:rPr>
              <w:t>s</w:t>
            </w:r>
            <w:r w:rsidRPr="004B70D1">
              <w:rPr>
                <w:rFonts w:asciiTheme="majorHAnsi" w:eastAsia="VIC" w:hAnsiTheme="majorHAnsi"/>
              </w:rPr>
              <w:t>ervices</w:t>
            </w:r>
          </w:p>
        </w:tc>
        <w:tc>
          <w:tcPr>
            <w:tcW w:w="1418" w:type="dxa"/>
            <w:hideMark/>
          </w:tcPr>
          <w:p w14:paraId="440A9855" w14:textId="77777777" w:rsidR="004B70D1" w:rsidRPr="004B70D1" w:rsidRDefault="004B70D1" w:rsidP="0008515F">
            <w:pPr>
              <w:pStyle w:val="SCVtablecolhead"/>
              <w:cnfStyle w:val="100000000000" w:firstRow="1" w:lastRow="0" w:firstColumn="0" w:lastColumn="0" w:oddVBand="0" w:evenVBand="0" w:oddHBand="0" w:evenHBand="0" w:firstRowFirstColumn="0" w:firstRowLastColumn="0" w:lastRowFirstColumn="0" w:lastRowLastColumn="0"/>
              <w:rPr>
                <w:rFonts w:asciiTheme="majorHAnsi" w:eastAsia="VIC" w:hAnsiTheme="majorHAnsi"/>
              </w:rPr>
            </w:pPr>
            <w:r w:rsidRPr="004B70D1">
              <w:rPr>
                <w:rFonts w:asciiTheme="majorHAnsi" w:eastAsia="VIC" w:hAnsiTheme="majorHAnsi"/>
              </w:rPr>
              <w:t xml:space="preserve"> </w:t>
            </w:r>
          </w:p>
        </w:tc>
        <w:tc>
          <w:tcPr>
            <w:tcW w:w="1418" w:type="dxa"/>
          </w:tcPr>
          <w:p w14:paraId="69126989" w14:textId="3786A8E8" w:rsidR="0008515F" w:rsidRPr="004B70D1" w:rsidRDefault="0008515F" w:rsidP="0008515F">
            <w:pPr>
              <w:pStyle w:val="SCVtablecolhead"/>
              <w:cnfStyle w:val="100000000000" w:firstRow="1" w:lastRow="0" w:firstColumn="0" w:lastColumn="0" w:oddVBand="0" w:evenVBand="0" w:oddHBand="0" w:evenHBand="0" w:firstRowFirstColumn="0" w:firstRowLastColumn="0" w:lastRowFirstColumn="0" w:lastRowLastColumn="0"/>
              <w:rPr>
                <w:rFonts w:asciiTheme="majorHAnsi" w:eastAsia="VIC" w:hAnsiTheme="majorHAnsi"/>
              </w:rPr>
            </w:pPr>
          </w:p>
        </w:tc>
      </w:tr>
      <w:tr w:rsidR="0008515F" w:rsidRPr="00D92E37" w14:paraId="0BBE037D" w14:textId="77777777" w:rsidTr="0008013D">
        <w:trPr>
          <w:cantSplit/>
        </w:trPr>
        <w:tc>
          <w:tcPr>
            <w:cnfStyle w:val="001000000000" w:firstRow="0" w:lastRow="0" w:firstColumn="1" w:lastColumn="0" w:oddVBand="0" w:evenVBand="0" w:oddHBand="0" w:evenHBand="0" w:firstRowFirstColumn="0" w:firstRowLastColumn="0" w:lastRowFirstColumn="0" w:lastRowLastColumn="0"/>
            <w:tcW w:w="7371" w:type="dxa"/>
            <w:hideMark/>
          </w:tcPr>
          <w:p w14:paraId="5A672C0A" w14:textId="77777777" w:rsidR="0008515F" w:rsidRPr="004B70D1" w:rsidRDefault="0008515F" w:rsidP="0008515F">
            <w:pPr>
              <w:pStyle w:val="SCVtablerowhead"/>
              <w:rPr>
                <w:rFonts w:eastAsia="VIC"/>
                <w:b w:val="0"/>
              </w:rPr>
            </w:pPr>
            <w:r w:rsidRPr="004B70D1">
              <w:rPr>
                <w:rFonts w:eastAsia="VIC"/>
                <w:b w:val="0"/>
              </w:rPr>
              <w:t>Accessed</w:t>
            </w:r>
          </w:p>
        </w:tc>
        <w:tc>
          <w:tcPr>
            <w:tcW w:w="1418" w:type="dxa"/>
            <w:hideMark/>
          </w:tcPr>
          <w:p w14:paraId="34F74FEE" w14:textId="77777777" w:rsidR="004B70D1" w:rsidRPr="004B70D1" w:rsidRDefault="004B70D1" w:rsidP="004B70D1">
            <w:pPr>
              <w:pStyle w:val="SCVtablerowhead"/>
              <w:cnfStyle w:val="000000000000" w:firstRow="0" w:lastRow="0" w:firstColumn="0" w:lastColumn="0" w:oddVBand="0" w:evenVBand="0" w:oddHBand="0" w:evenHBand="0" w:firstRowFirstColumn="0" w:firstRowLastColumn="0" w:lastRowFirstColumn="0" w:lastRowLastColumn="0"/>
              <w:rPr>
                <w:rFonts w:eastAsia="VIC"/>
                <w:b/>
              </w:rPr>
            </w:pPr>
            <w:r w:rsidRPr="004B70D1">
              <w:rPr>
                <w:rFonts w:eastAsia="VIC"/>
              </w:rPr>
              <w:t xml:space="preserve"> </w:t>
            </w:r>
          </w:p>
        </w:tc>
        <w:tc>
          <w:tcPr>
            <w:tcW w:w="1418" w:type="dxa"/>
          </w:tcPr>
          <w:p w14:paraId="43115A32" w14:textId="1D67DF89" w:rsidR="0008515F" w:rsidRPr="00D92E37" w:rsidRDefault="0008515F" w:rsidP="0008515F">
            <w:pPr>
              <w:pStyle w:val="SCVtablerowhead"/>
              <w:cnfStyle w:val="000000000000" w:firstRow="0" w:lastRow="0" w:firstColumn="0" w:lastColumn="0" w:oddVBand="0" w:evenVBand="0" w:oddHBand="0" w:evenHBand="0" w:firstRowFirstColumn="0" w:firstRowLastColumn="0" w:lastRowFirstColumn="0" w:lastRowLastColumn="0"/>
              <w:rPr>
                <w:rFonts w:eastAsia="VIC"/>
              </w:rPr>
            </w:pPr>
          </w:p>
        </w:tc>
      </w:tr>
      <w:tr w:rsidR="0008515F" w:rsidRPr="00D92E37" w14:paraId="4477AF69" w14:textId="77777777" w:rsidTr="004B70D1">
        <w:trPr>
          <w:cantSplit/>
        </w:trPr>
        <w:tc>
          <w:tcPr>
            <w:cnfStyle w:val="001000000000" w:firstRow="0" w:lastRow="0" w:firstColumn="1" w:lastColumn="0" w:oddVBand="0" w:evenVBand="0" w:oddHBand="0" w:evenHBand="0" w:firstRowFirstColumn="0" w:firstRowLastColumn="0" w:lastRowFirstColumn="0" w:lastRowLastColumn="0"/>
            <w:tcW w:w="7371" w:type="dxa"/>
            <w:hideMark/>
          </w:tcPr>
          <w:p w14:paraId="1398854A" w14:textId="77777777" w:rsidR="0008515F" w:rsidRPr="004B70D1" w:rsidRDefault="0008515F" w:rsidP="0008515F">
            <w:pPr>
              <w:pStyle w:val="SCVtablebody"/>
              <w:rPr>
                <w:rFonts w:eastAsia="VIC"/>
                <w:b w:val="0"/>
                <w:color w:val="auto"/>
              </w:rPr>
            </w:pPr>
            <w:r w:rsidRPr="004B70D1">
              <w:rPr>
                <w:rFonts w:eastAsia="VIC"/>
                <w:b w:val="0"/>
                <w:color w:val="auto"/>
              </w:rPr>
              <w:t>Yes, currently</w:t>
            </w:r>
          </w:p>
        </w:tc>
        <w:tc>
          <w:tcPr>
            <w:tcW w:w="1418" w:type="dxa"/>
            <w:hideMark/>
          </w:tcPr>
          <w:p w14:paraId="5D3E282B"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rPr>
            </w:pPr>
            <w:r w:rsidRPr="00D92E37">
              <w:rPr>
                <w:rFonts w:eastAsia="VIC"/>
                <w:szCs w:val="16"/>
              </w:rPr>
              <w:t>1255</w:t>
            </w:r>
          </w:p>
        </w:tc>
        <w:tc>
          <w:tcPr>
            <w:tcW w:w="1418" w:type="dxa"/>
            <w:hideMark/>
          </w:tcPr>
          <w:p w14:paraId="3497F3FB"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rPr>
            </w:pPr>
            <w:r w:rsidRPr="00D92E37">
              <w:rPr>
                <w:rFonts w:eastAsia="VIC"/>
                <w:szCs w:val="16"/>
              </w:rPr>
              <w:t>81.2%</w:t>
            </w:r>
          </w:p>
        </w:tc>
      </w:tr>
      <w:tr w:rsidR="0008515F" w:rsidRPr="00D92E37" w14:paraId="7AC6CEA4" w14:textId="77777777" w:rsidTr="004B70D1">
        <w:trPr>
          <w:cantSplit/>
        </w:trPr>
        <w:tc>
          <w:tcPr>
            <w:cnfStyle w:val="001000000000" w:firstRow="0" w:lastRow="0" w:firstColumn="1" w:lastColumn="0" w:oddVBand="0" w:evenVBand="0" w:oddHBand="0" w:evenHBand="0" w:firstRowFirstColumn="0" w:firstRowLastColumn="0" w:lastRowFirstColumn="0" w:lastRowLastColumn="0"/>
            <w:tcW w:w="7371" w:type="dxa"/>
            <w:hideMark/>
          </w:tcPr>
          <w:p w14:paraId="3E913712" w14:textId="77777777" w:rsidR="0008515F" w:rsidRPr="004B70D1" w:rsidRDefault="0008515F" w:rsidP="0008515F">
            <w:pPr>
              <w:pStyle w:val="SCVtablebody"/>
              <w:rPr>
                <w:rFonts w:eastAsia="VIC"/>
                <w:b w:val="0"/>
                <w:color w:val="auto"/>
              </w:rPr>
            </w:pPr>
            <w:r w:rsidRPr="004B70D1">
              <w:rPr>
                <w:rFonts w:eastAsia="VIC"/>
                <w:b w:val="0"/>
                <w:color w:val="auto"/>
              </w:rPr>
              <w:t>Yes, previously</w:t>
            </w:r>
          </w:p>
        </w:tc>
        <w:tc>
          <w:tcPr>
            <w:tcW w:w="1418" w:type="dxa"/>
            <w:hideMark/>
          </w:tcPr>
          <w:p w14:paraId="63FA84E7"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rPr>
            </w:pPr>
            <w:r w:rsidRPr="00D92E37">
              <w:rPr>
                <w:rFonts w:eastAsia="VIC"/>
                <w:szCs w:val="16"/>
              </w:rPr>
              <w:t>21</w:t>
            </w:r>
          </w:p>
        </w:tc>
        <w:tc>
          <w:tcPr>
            <w:tcW w:w="1418" w:type="dxa"/>
            <w:hideMark/>
          </w:tcPr>
          <w:p w14:paraId="1CC98A2E"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rPr>
            </w:pPr>
            <w:r w:rsidRPr="00D92E37">
              <w:rPr>
                <w:rFonts w:eastAsia="VIC"/>
                <w:szCs w:val="16"/>
              </w:rPr>
              <w:t>1.4%</w:t>
            </w:r>
          </w:p>
        </w:tc>
      </w:tr>
      <w:tr w:rsidR="0008515F" w:rsidRPr="00D92E37" w14:paraId="2F47B583" w14:textId="77777777" w:rsidTr="004B70D1">
        <w:trPr>
          <w:cantSplit/>
        </w:trPr>
        <w:tc>
          <w:tcPr>
            <w:cnfStyle w:val="001000000000" w:firstRow="0" w:lastRow="0" w:firstColumn="1" w:lastColumn="0" w:oddVBand="0" w:evenVBand="0" w:oddHBand="0" w:evenHBand="0" w:firstRowFirstColumn="0" w:firstRowLastColumn="0" w:lastRowFirstColumn="0" w:lastRowLastColumn="0"/>
            <w:tcW w:w="7371" w:type="dxa"/>
            <w:hideMark/>
          </w:tcPr>
          <w:p w14:paraId="37F251CE" w14:textId="77777777" w:rsidR="0008515F" w:rsidRPr="004B70D1" w:rsidRDefault="0008515F" w:rsidP="0008515F">
            <w:pPr>
              <w:pStyle w:val="SCVtablebody"/>
              <w:rPr>
                <w:rFonts w:eastAsia="VIC"/>
                <w:b w:val="0"/>
                <w:color w:val="auto"/>
              </w:rPr>
            </w:pPr>
            <w:r w:rsidRPr="004B70D1">
              <w:rPr>
                <w:rFonts w:eastAsia="VIC"/>
                <w:b w:val="0"/>
                <w:color w:val="auto"/>
              </w:rPr>
              <w:t>No</w:t>
            </w:r>
          </w:p>
        </w:tc>
        <w:tc>
          <w:tcPr>
            <w:tcW w:w="1418" w:type="dxa"/>
            <w:hideMark/>
          </w:tcPr>
          <w:p w14:paraId="663918C9"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rPr>
            </w:pPr>
            <w:r w:rsidRPr="00D92E37">
              <w:rPr>
                <w:rFonts w:eastAsia="VIC"/>
                <w:szCs w:val="16"/>
              </w:rPr>
              <w:t>213</w:t>
            </w:r>
          </w:p>
        </w:tc>
        <w:tc>
          <w:tcPr>
            <w:tcW w:w="1418" w:type="dxa"/>
            <w:hideMark/>
          </w:tcPr>
          <w:p w14:paraId="3778C5C4"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rPr>
            </w:pPr>
            <w:r w:rsidRPr="00D92E37">
              <w:rPr>
                <w:rFonts w:eastAsia="VIC"/>
                <w:szCs w:val="16"/>
              </w:rPr>
              <w:t>13.8%</w:t>
            </w:r>
          </w:p>
        </w:tc>
      </w:tr>
      <w:tr w:rsidR="0008515F" w:rsidRPr="00D92E37" w14:paraId="52F70B71" w14:textId="77777777" w:rsidTr="004B70D1">
        <w:trPr>
          <w:cantSplit/>
        </w:trPr>
        <w:tc>
          <w:tcPr>
            <w:cnfStyle w:val="001000000000" w:firstRow="0" w:lastRow="0" w:firstColumn="1" w:lastColumn="0" w:oddVBand="0" w:evenVBand="0" w:oddHBand="0" w:evenHBand="0" w:firstRowFirstColumn="0" w:firstRowLastColumn="0" w:lastRowFirstColumn="0" w:lastRowLastColumn="0"/>
            <w:tcW w:w="7371" w:type="dxa"/>
            <w:hideMark/>
          </w:tcPr>
          <w:p w14:paraId="6D0B3D1A" w14:textId="77777777" w:rsidR="0008515F" w:rsidRPr="004B70D1" w:rsidRDefault="0008515F" w:rsidP="0008515F">
            <w:pPr>
              <w:pStyle w:val="SCVtablebody"/>
              <w:rPr>
                <w:rFonts w:eastAsia="VIC"/>
                <w:b w:val="0"/>
                <w:color w:val="auto"/>
              </w:rPr>
            </w:pPr>
            <w:r w:rsidRPr="004B70D1">
              <w:rPr>
                <w:rFonts w:eastAsia="VIC"/>
                <w:b w:val="0"/>
                <w:color w:val="auto"/>
              </w:rPr>
              <w:t>Not reported</w:t>
            </w:r>
          </w:p>
        </w:tc>
        <w:tc>
          <w:tcPr>
            <w:tcW w:w="1418" w:type="dxa"/>
            <w:hideMark/>
          </w:tcPr>
          <w:p w14:paraId="6333F878"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rPr>
            </w:pPr>
            <w:r w:rsidRPr="00D92E37">
              <w:rPr>
                <w:rFonts w:eastAsia="VIC"/>
                <w:szCs w:val="16"/>
              </w:rPr>
              <w:t>56</w:t>
            </w:r>
          </w:p>
        </w:tc>
        <w:tc>
          <w:tcPr>
            <w:tcW w:w="1418" w:type="dxa"/>
            <w:hideMark/>
          </w:tcPr>
          <w:p w14:paraId="5BCFEE55"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rPr>
            </w:pPr>
            <w:r w:rsidRPr="00D92E37">
              <w:rPr>
                <w:rFonts w:eastAsia="VIC"/>
                <w:szCs w:val="16"/>
              </w:rPr>
              <w:t>3.6%</w:t>
            </w:r>
          </w:p>
        </w:tc>
      </w:tr>
      <w:tr w:rsidR="0008515F" w:rsidRPr="00D92E37" w14:paraId="5A86E7BF" w14:textId="77777777" w:rsidTr="0008013D">
        <w:trPr>
          <w:cantSplit/>
        </w:trPr>
        <w:tc>
          <w:tcPr>
            <w:cnfStyle w:val="001000000000" w:firstRow="0" w:lastRow="0" w:firstColumn="1" w:lastColumn="0" w:oddVBand="0" w:evenVBand="0" w:oddHBand="0" w:evenHBand="0" w:firstRowFirstColumn="0" w:firstRowLastColumn="0" w:lastRowFirstColumn="0" w:lastRowLastColumn="0"/>
            <w:tcW w:w="7371" w:type="dxa"/>
            <w:hideMark/>
          </w:tcPr>
          <w:p w14:paraId="6A7EE2B6" w14:textId="2898723D" w:rsidR="0008515F" w:rsidRPr="0008515F" w:rsidRDefault="0008515F" w:rsidP="0008515F">
            <w:pPr>
              <w:pStyle w:val="SCVtablerowhead"/>
              <w:rPr>
                <w:rFonts w:eastAsia="VIC"/>
              </w:rPr>
            </w:pPr>
            <w:r>
              <w:rPr>
                <w:rFonts w:eastAsia="VIC"/>
                <w:b w:val="0"/>
              </w:rPr>
              <w:t>Du</w:t>
            </w:r>
            <w:r w:rsidRPr="004B70D1">
              <w:rPr>
                <w:rFonts w:eastAsia="VIC"/>
                <w:b w:val="0"/>
              </w:rPr>
              <w:t>ration of engagement with palliative care (n = 1276)</w:t>
            </w:r>
          </w:p>
        </w:tc>
        <w:tc>
          <w:tcPr>
            <w:tcW w:w="1418" w:type="dxa"/>
            <w:hideMark/>
          </w:tcPr>
          <w:p w14:paraId="49F753CF" w14:textId="77777777" w:rsidR="004B70D1" w:rsidRPr="00D92E37" w:rsidRDefault="004B70D1" w:rsidP="0008515F">
            <w:pPr>
              <w:pStyle w:val="SCVtablerowhead"/>
              <w:jc w:val="center"/>
              <w:cnfStyle w:val="000000000000" w:firstRow="0" w:lastRow="0" w:firstColumn="0" w:lastColumn="0" w:oddVBand="0" w:evenVBand="0" w:oddHBand="0" w:evenHBand="0" w:firstRowFirstColumn="0" w:firstRowLastColumn="0" w:lastRowFirstColumn="0" w:lastRowLastColumn="0"/>
              <w:rPr>
                <w:rFonts w:eastAsia="VIC"/>
                <w:b/>
              </w:rPr>
            </w:pPr>
          </w:p>
        </w:tc>
        <w:tc>
          <w:tcPr>
            <w:tcW w:w="1418" w:type="dxa"/>
          </w:tcPr>
          <w:p w14:paraId="20CC5934" w14:textId="54A5BF79" w:rsidR="0008515F" w:rsidRPr="00D92E37" w:rsidRDefault="0008515F" w:rsidP="0008515F">
            <w:pPr>
              <w:pStyle w:val="SCVtablerowhead"/>
              <w:jc w:val="center"/>
              <w:cnfStyle w:val="000000000000" w:firstRow="0" w:lastRow="0" w:firstColumn="0" w:lastColumn="0" w:oddVBand="0" w:evenVBand="0" w:oddHBand="0" w:evenHBand="0" w:firstRowFirstColumn="0" w:firstRowLastColumn="0" w:lastRowFirstColumn="0" w:lastRowLastColumn="0"/>
              <w:rPr>
                <w:rFonts w:eastAsia="VIC"/>
              </w:rPr>
            </w:pPr>
          </w:p>
        </w:tc>
      </w:tr>
      <w:tr w:rsidR="0008515F" w:rsidRPr="00D92E37" w14:paraId="3D1684CF" w14:textId="77777777" w:rsidTr="004B70D1">
        <w:trPr>
          <w:cantSplit/>
        </w:trPr>
        <w:tc>
          <w:tcPr>
            <w:cnfStyle w:val="001000000000" w:firstRow="0" w:lastRow="0" w:firstColumn="1" w:lastColumn="0" w:oddVBand="0" w:evenVBand="0" w:oddHBand="0" w:evenHBand="0" w:firstRowFirstColumn="0" w:firstRowLastColumn="0" w:lastRowFirstColumn="0" w:lastRowLastColumn="0"/>
            <w:tcW w:w="7371" w:type="dxa"/>
            <w:hideMark/>
          </w:tcPr>
          <w:p w14:paraId="04756BA6" w14:textId="77777777" w:rsidR="0008515F" w:rsidRPr="002B1BB9" w:rsidRDefault="0008515F" w:rsidP="0008515F">
            <w:pPr>
              <w:pStyle w:val="SCVtablebody"/>
              <w:rPr>
                <w:rFonts w:eastAsia="VIC"/>
                <w:b w:val="0"/>
                <w:color w:val="auto"/>
              </w:rPr>
            </w:pPr>
            <w:r w:rsidRPr="002B1BB9">
              <w:rPr>
                <w:rFonts w:eastAsia="VIC"/>
                <w:b w:val="0"/>
                <w:color w:val="auto"/>
              </w:rPr>
              <w:t>Less than 12 months</w:t>
            </w:r>
          </w:p>
        </w:tc>
        <w:tc>
          <w:tcPr>
            <w:tcW w:w="1418" w:type="dxa"/>
            <w:hideMark/>
          </w:tcPr>
          <w:p w14:paraId="27AF69F1"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highlight w:val="yellow"/>
              </w:rPr>
            </w:pPr>
            <w:r w:rsidRPr="00D92E37">
              <w:rPr>
                <w:rFonts w:eastAsia="VIC"/>
                <w:szCs w:val="16"/>
              </w:rPr>
              <w:t>973</w:t>
            </w:r>
          </w:p>
        </w:tc>
        <w:tc>
          <w:tcPr>
            <w:tcW w:w="1418" w:type="dxa"/>
            <w:hideMark/>
          </w:tcPr>
          <w:p w14:paraId="0F800398"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rPr>
            </w:pPr>
            <w:r w:rsidRPr="00D92E37">
              <w:rPr>
                <w:rFonts w:eastAsia="VIC"/>
                <w:szCs w:val="16"/>
              </w:rPr>
              <w:t>76.3%</w:t>
            </w:r>
          </w:p>
        </w:tc>
      </w:tr>
      <w:tr w:rsidR="0008515F" w:rsidRPr="00D92E37" w14:paraId="5F8F2B8D" w14:textId="77777777" w:rsidTr="004B70D1">
        <w:trPr>
          <w:cantSplit/>
        </w:trPr>
        <w:tc>
          <w:tcPr>
            <w:cnfStyle w:val="001000000000" w:firstRow="0" w:lastRow="0" w:firstColumn="1" w:lastColumn="0" w:oddVBand="0" w:evenVBand="0" w:oddHBand="0" w:evenHBand="0" w:firstRowFirstColumn="0" w:firstRowLastColumn="0" w:lastRowFirstColumn="0" w:lastRowLastColumn="0"/>
            <w:tcW w:w="7371" w:type="dxa"/>
            <w:hideMark/>
          </w:tcPr>
          <w:p w14:paraId="23F1C195" w14:textId="77777777" w:rsidR="0008515F" w:rsidRPr="002B1BB9" w:rsidRDefault="0008515F" w:rsidP="0008515F">
            <w:pPr>
              <w:pStyle w:val="SCVtablebody"/>
              <w:rPr>
                <w:rFonts w:eastAsia="VIC"/>
                <w:b w:val="0"/>
                <w:color w:val="auto"/>
              </w:rPr>
            </w:pPr>
            <w:r w:rsidRPr="002B1BB9">
              <w:rPr>
                <w:rFonts w:eastAsia="VIC"/>
                <w:b w:val="0"/>
                <w:color w:val="auto"/>
              </w:rPr>
              <w:t>Greater than 12 months</w:t>
            </w:r>
          </w:p>
        </w:tc>
        <w:tc>
          <w:tcPr>
            <w:tcW w:w="1418" w:type="dxa"/>
            <w:hideMark/>
          </w:tcPr>
          <w:p w14:paraId="0C9C3671"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highlight w:val="yellow"/>
              </w:rPr>
            </w:pPr>
            <w:r w:rsidRPr="00D92E37">
              <w:rPr>
                <w:rFonts w:eastAsia="VIC"/>
                <w:szCs w:val="16"/>
              </w:rPr>
              <w:t>209</w:t>
            </w:r>
          </w:p>
        </w:tc>
        <w:tc>
          <w:tcPr>
            <w:tcW w:w="1418" w:type="dxa"/>
            <w:hideMark/>
          </w:tcPr>
          <w:p w14:paraId="5FE14133"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rPr>
            </w:pPr>
            <w:r w:rsidRPr="00D92E37">
              <w:rPr>
                <w:rFonts w:eastAsia="VIC"/>
                <w:szCs w:val="16"/>
              </w:rPr>
              <w:t>16.4%</w:t>
            </w:r>
          </w:p>
        </w:tc>
      </w:tr>
      <w:tr w:rsidR="0008515F" w:rsidRPr="00D92E37" w14:paraId="3AA23025" w14:textId="77777777" w:rsidTr="004B70D1">
        <w:trPr>
          <w:cantSplit/>
        </w:trPr>
        <w:tc>
          <w:tcPr>
            <w:cnfStyle w:val="001000000000" w:firstRow="0" w:lastRow="0" w:firstColumn="1" w:lastColumn="0" w:oddVBand="0" w:evenVBand="0" w:oddHBand="0" w:evenHBand="0" w:firstRowFirstColumn="0" w:firstRowLastColumn="0" w:lastRowFirstColumn="0" w:lastRowLastColumn="0"/>
            <w:tcW w:w="7371" w:type="dxa"/>
            <w:hideMark/>
          </w:tcPr>
          <w:p w14:paraId="12869AE4" w14:textId="77777777" w:rsidR="0008515F" w:rsidRPr="002B1BB9" w:rsidRDefault="0008515F" w:rsidP="0008515F">
            <w:pPr>
              <w:pStyle w:val="SCVtablebody"/>
              <w:rPr>
                <w:rFonts w:eastAsia="VIC"/>
                <w:b w:val="0"/>
                <w:color w:val="auto"/>
              </w:rPr>
            </w:pPr>
            <w:r w:rsidRPr="002B1BB9">
              <w:rPr>
                <w:rFonts w:eastAsia="VIC"/>
                <w:b w:val="0"/>
                <w:color w:val="auto"/>
              </w:rPr>
              <w:t>Duration of engagement not reported</w:t>
            </w:r>
          </w:p>
        </w:tc>
        <w:tc>
          <w:tcPr>
            <w:tcW w:w="1418" w:type="dxa"/>
            <w:hideMark/>
          </w:tcPr>
          <w:p w14:paraId="50F0C810"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highlight w:val="yellow"/>
              </w:rPr>
            </w:pPr>
            <w:r w:rsidRPr="00D92E37">
              <w:rPr>
                <w:rFonts w:eastAsia="VIC"/>
                <w:szCs w:val="16"/>
              </w:rPr>
              <w:t>94</w:t>
            </w:r>
          </w:p>
        </w:tc>
        <w:tc>
          <w:tcPr>
            <w:tcW w:w="1418" w:type="dxa"/>
            <w:hideMark/>
          </w:tcPr>
          <w:p w14:paraId="4037E03C" w14:textId="77777777"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rPr>
            </w:pPr>
            <w:r w:rsidRPr="00D92E37">
              <w:rPr>
                <w:rFonts w:eastAsia="VIC"/>
                <w:szCs w:val="16"/>
              </w:rPr>
              <w:t>7.4%</w:t>
            </w:r>
          </w:p>
        </w:tc>
      </w:tr>
      <w:tr w:rsidR="0008515F" w:rsidRPr="00D92E37" w14:paraId="3A350EBE" w14:textId="77777777" w:rsidTr="004B70D1">
        <w:trPr>
          <w:cantSplit/>
        </w:trPr>
        <w:tc>
          <w:tcPr>
            <w:cnfStyle w:val="001000000000" w:firstRow="0" w:lastRow="0" w:firstColumn="1" w:lastColumn="0" w:oddVBand="0" w:evenVBand="0" w:oddHBand="0" w:evenHBand="0" w:firstRowFirstColumn="0" w:firstRowLastColumn="0" w:lastRowFirstColumn="0" w:lastRowLastColumn="0"/>
            <w:tcW w:w="7371" w:type="dxa"/>
            <w:hideMark/>
          </w:tcPr>
          <w:p w14:paraId="7B1DC6D1" w14:textId="77777777" w:rsidR="0008515F" w:rsidRPr="002B1BB9" w:rsidRDefault="0008515F" w:rsidP="0008515F">
            <w:pPr>
              <w:pStyle w:val="SCVtablebody"/>
              <w:rPr>
                <w:rFonts w:eastAsia="VIC"/>
                <w:b w:val="0"/>
                <w:color w:val="auto"/>
              </w:rPr>
            </w:pPr>
            <w:r w:rsidRPr="002B1BB9">
              <w:rPr>
                <w:rFonts w:eastAsia="VIC"/>
                <w:b w:val="0"/>
                <w:color w:val="auto"/>
              </w:rPr>
              <w:t>Median months (range)</w:t>
            </w:r>
          </w:p>
        </w:tc>
        <w:tc>
          <w:tcPr>
            <w:tcW w:w="1418" w:type="dxa"/>
            <w:hideMark/>
          </w:tcPr>
          <w:p w14:paraId="406135CA" w14:textId="75AF616A" w:rsidR="0008515F" w:rsidRPr="00D92E37"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Fonts w:eastAsia="VIC"/>
                <w:szCs w:val="16"/>
              </w:rPr>
            </w:pPr>
            <w:r w:rsidRPr="00D92E37">
              <w:rPr>
                <w:rFonts w:eastAsia="VIC"/>
                <w:szCs w:val="16"/>
              </w:rPr>
              <w:t>3 months</w:t>
            </w:r>
          </w:p>
        </w:tc>
        <w:tc>
          <w:tcPr>
            <w:tcW w:w="1418" w:type="dxa"/>
            <w:hideMark/>
          </w:tcPr>
          <w:p w14:paraId="6C595594" w14:textId="64392541" w:rsidR="0008515F" w:rsidRPr="004B70D1" w:rsidRDefault="0008515F" w:rsidP="0008515F">
            <w:pPr>
              <w:pStyle w:val="SCVtablebody"/>
              <w:jc w:val="center"/>
              <w:cnfStyle w:val="000000000000" w:firstRow="0" w:lastRow="0" w:firstColumn="0" w:lastColumn="0" w:oddVBand="0" w:evenVBand="0" w:oddHBand="0" w:evenHBand="0" w:firstRowFirstColumn="0" w:firstRowLastColumn="0" w:lastRowFirstColumn="0" w:lastRowLastColumn="0"/>
              <w:rPr>
                <w:rStyle w:val="FootnoteReference"/>
                <w:rFonts w:eastAsiaTheme="majorEastAsia"/>
                <w:vertAlign w:val="baseline"/>
              </w:rPr>
            </w:pPr>
            <w:r w:rsidRPr="00D92E37">
              <w:rPr>
                <w:rFonts w:eastAsia="VIC"/>
                <w:szCs w:val="16"/>
              </w:rPr>
              <w:t>(0-120 months)</w:t>
            </w:r>
          </w:p>
        </w:tc>
      </w:tr>
    </w:tbl>
    <w:p w14:paraId="2C7AC9E8" w14:textId="7C1B40FB" w:rsidR="0008515F" w:rsidRDefault="0008515F" w:rsidP="0008515F">
      <w:pPr>
        <w:pStyle w:val="Heading2"/>
        <w:sectPr w:rsidR="0008515F" w:rsidSect="00EB29C3">
          <w:type w:val="continuous"/>
          <w:pgSz w:w="11906" w:h="16838" w:code="9"/>
          <w:pgMar w:top="3402" w:right="851" w:bottom="1361" w:left="851" w:header="851" w:footer="851" w:gutter="0"/>
          <w:cols w:space="284"/>
          <w:docGrid w:linePitch="360"/>
        </w:sectPr>
      </w:pPr>
      <w:r>
        <w:t>Additional assessments</w:t>
      </w:r>
    </w:p>
    <w:p w14:paraId="3E7B4A99" w14:textId="2D087C71" w:rsidR="0008515F" w:rsidRDefault="0008515F" w:rsidP="0008515F">
      <w:pPr>
        <w:pStyle w:val="SCVbody"/>
      </w:pPr>
      <w:r>
        <w:t>Additional specialist opinion may be sought by a coordinating or consulting medical practitioner as part of the assessment process to determine whether a person has decision making capacity.</w:t>
      </w:r>
    </w:p>
    <w:p w14:paraId="3656023D" w14:textId="2896DBCF" w:rsidR="0008515F" w:rsidRDefault="0008515F" w:rsidP="0008515F">
      <w:pPr>
        <w:pStyle w:val="SCVbody"/>
      </w:pPr>
      <w:r>
        <w:t>Specialist opinion may also be sought by either medical practitioner to confirm a diagnosis or prognosis as part of the assessment process.</w:t>
      </w:r>
    </w:p>
    <w:p w14:paraId="507C9CEC" w14:textId="4C1F8DC2" w:rsidR="0008515F" w:rsidRDefault="0008515F" w:rsidP="0008515F">
      <w:pPr>
        <w:pStyle w:val="SCVbody"/>
      </w:pPr>
      <w:r>
        <w:t xml:space="preserve">It is a requirement for </w:t>
      </w:r>
      <w:r w:rsidR="00BB1E83">
        <w:t xml:space="preserve">applicants with neurodegenerative conditions </w:t>
      </w:r>
      <w:r>
        <w:t>with a prognosis of 6-12 months to seek a further specialist opinion at the coordinating assessment stage.</w:t>
      </w:r>
    </w:p>
    <w:p w14:paraId="685567B3" w14:textId="77777777" w:rsidR="0008515F" w:rsidRDefault="0008515F" w:rsidP="0008515F">
      <w:pPr>
        <w:pStyle w:val="SCVbody"/>
        <w:sectPr w:rsidR="0008515F" w:rsidSect="00EB29C3">
          <w:type w:val="continuous"/>
          <w:pgSz w:w="11906" w:h="16838" w:code="9"/>
          <w:pgMar w:top="3402" w:right="851" w:bottom="1361" w:left="851" w:header="851" w:footer="851" w:gutter="0"/>
          <w:cols w:num="2" w:space="284"/>
          <w:docGrid w:linePitch="360"/>
        </w:sectPr>
      </w:pPr>
    </w:p>
    <w:p w14:paraId="6B5342BE" w14:textId="30C7683A" w:rsidR="0008515F" w:rsidRDefault="0008515F" w:rsidP="0008515F">
      <w:pPr>
        <w:pStyle w:val="SCVtablecaption"/>
      </w:pPr>
      <w:r w:rsidRPr="0008515F">
        <w:lastRenderedPageBreak/>
        <w:t>Table 7</w:t>
      </w:r>
      <w:r>
        <w:t>:</w:t>
      </w:r>
      <w:r w:rsidRPr="0008515F">
        <w:t xml:space="preserve"> Referrals for additional assessments 19 June 2019 – 30 June 2022</w:t>
      </w:r>
    </w:p>
    <w:tbl>
      <w:tblPr>
        <w:tblStyle w:val="TableGrid1"/>
        <w:tblW w:w="9765" w:type="dxa"/>
        <w:tblLayout w:type="fixed"/>
        <w:tblLook w:val="0620" w:firstRow="1" w:lastRow="0" w:firstColumn="0" w:lastColumn="0" w:noHBand="1" w:noVBand="1"/>
        <w:tblDescription w:val="This table shows the number of applicants who were referred for additional assessments. Of those referred, 31 were for decision making capacity and 85 were for a neurodegenrative assessment if their prognosis was 6 to 12 months. "/>
      </w:tblPr>
      <w:tblGrid>
        <w:gridCol w:w="6506"/>
        <w:gridCol w:w="3259"/>
      </w:tblGrid>
      <w:tr w:rsidR="0008515F" w:rsidRPr="0008515F" w14:paraId="5B82100D" w14:textId="77777777" w:rsidTr="00573EF6">
        <w:trPr>
          <w:cnfStyle w:val="100000000000" w:firstRow="1" w:lastRow="0" w:firstColumn="0" w:lastColumn="0" w:oddVBand="0" w:evenVBand="0" w:oddHBand="0" w:evenHBand="0" w:firstRowFirstColumn="0" w:firstRowLastColumn="0" w:lastRowFirstColumn="0" w:lastRowLastColumn="0"/>
          <w:cantSplit/>
        </w:trPr>
        <w:tc>
          <w:tcPr>
            <w:tcW w:w="6804" w:type="dxa"/>
            <w:tcMar>
              <w:left w:w="108" w:type="dxa"/>
              <w:right w:w="108" w:type="dxa"/>
            </w:tcMar>
            <w:hideMark/>
          </w:tcPr>
          <w:p w14:paraId="2039DB48" w14:textId="77777777" w:rsidR="0008515F" w:rsidRPr="00573EF6" w:rsidRDefault="0008515F" w:rsidP="0008515F">
            <w:pPr>
              <w:pStyle w:val="SCVtablecolhead"/>
              <w:rPr>
                <w:rFonts w:asciiTheme="majorHAnsi" w:eastAsia="VIC SemiBold" w:hAnsiTheme="majorHAnsi"/>
              </w:rPr>
            </w:pPr>
            <w:r w:rsidRPr="00573EF6">
              <w:rPr>
                <w:rFonts w:asciiTheme="majorHAnsi" w:eastAsia="VIC SemiBold" w:hAnsiTheme="majorHAnsi"/>
              </w:rPr>
              <w:t>Referrals for additional assessments</w:t>
            </w:r>
          </w:p>
        </w:tc>
        <w:tc>
          <w:tcPr>
            <w:tcW w:w="3402" w:type="dxa"/>
            <w:hideMark/>
          </w:tcPr>
          <w:p w14:paraId="669E21C2" w14:textId="77777777" w:rsidR="0008515F" w:rsidRPr="00573EF6" w:rsidRDefault="0008515F" w:rsidP="0008515F">
            <w:pPr>
              <w:pStyle w:val="SCVtablecolhead"/>
              <w:jc w:val="center"/>
              <w:rPr>
                <w:rFonts w:asciiTheme="majorHAnsi" w:eastAsia="VIC SemiBold" w:hAnsiTheme="majorHAnsi"/>
              </w:rPr>
            </w:pPr>
            <w:r w:rsidRPr="00573EF6">
              <w:rPr>
                <w:rFonts w:asciiTheme="majorHAnsi" w:eastAsia="VIC SemiBold" w:hAnsiTheme="majorHAnsi"/>
              </w:rPr>
              <w:t>N applicants</w:t>
            </w:r>
          </w:p>
        </w:tc>
      </w:tr>
      <w:tr w:rsidR="0008515F" w:rsidRPr="0008515F" w14:paraId="60DF0B03" w14:textId="77777777" w:rsidTr="00573EF6">
        <w:trPr>
          <w:cantSplit/>
        </w:trPr>
        <w:tc>
          <w:tcPr>
            <w:tcW w:w="6804" w:type="dxa"/>
            <w:tcMar>
              <w:left w:w="108" w:type="dxa"/>
              <w:right w:w="108" w:type="dxa"/>
            </w:tcMar>
            <w:hideMark/>
          </w:tcPr>
          <w:p w14:paraId="27AEB73D" w14:textId="77777777" w:rsidR="0008515F" w:rsidRPr="0008515F" w:rsidRDefault="0008515F" w:rsidP="0008515F">
            <w:pPr>
              <w:pStyle w:val="SCVtablebody"/>
              <w:rPr>
                <w:rFonts w:eastAsia="VIC"/>
                <w:bCs/>
                <w:szCs w:val="16"/>
              </w:rPr>
            </w:pPr>
            <w:r w:rsidRPr="0008515F">
              <w:rPr>
                <w:rFonts w:eastAsia="VIC"/>
                <w:bCs/>
                <w:szCs w:val="16"/>
              </w:rPr>
              <w:t>Decision making capacity</w:t>
            </w:r>
          </w:p>
        </w:tc>
        <w:tc>
          <w:tcPr>
            <w:tcW w:w="3402" w:type="dxa"/>
            <w:hideMark/>
          </w:tcPr>
          <w:p w14:paraId="74B863F1" w14:textId="77777777" w:rsidR="0008515F" w:rsidRPr="0008515F" w:rsidRDefault="0008515F" w:rsidP="0008515F">
            <w:pPr>
              <w:pStyle w:val="SCVtablebody"/>
              <w:jc w:val="center"/>
              <w:rPr>
                <w:rFonts w:eastAsia="VIC"/>
                <w:bCs/>
                <w:szCs w:val="16"/>
              </w:rPr>
            </w:pPr>
            <w:r w:rsidRPr="0008515F">
              <w:rPr>
                <w:rFonts w:eastAsia="VIC"/>
                <w:bCs/>
                <w:szCs w:val="16"/>
              </w:rPr>
              <w:t>31</w:t>
            </w:r>
          </w:p>
        </w:tc>
      </w:tr>
      <w:tr w:rsidR="0008515F" w:rsidRPr="0008515F" w14:paraId="6B581AE6" w14:textId="77777777" w:rsidTr="00573EF6">
        <w:trPr>
          <w:cantSplit/>
        </w:trPr>
        <w:tc>
          <w:tcPr>
            <w:tcW w:w="6804" w:type="dxa"/>
            <w:tcMar>
              <w:left w:w="108" w:type="dxa"/>
              <w:right w:w="108" w:type="dxa"/>
            </w:tcMar>
            <w:hideMark/>
          </w:tcPr>
          <w:p w14:paraId="67B652AC" w14:textId="77777777" w:rsidR="0008515F" w:rsidRPr="0008515F" w:rsidRDefault="0008515F" w:rsidP="0008515F">
            <w:pPr>
              <w:pStyle w:val="SCVtablebody"/>
              <w:rPr>
                <w:rFonts w:eastAsia="VIC"/>
                <w:bCs/>
                <w:szCs w:val="16"/>
              </w:rPr>
            </w:pPr>
            <w:r w:rsidRPr="0008515F">
              <w:rPr>
                <w:rFonts w:eastAsia="VIC"/>
                <w:bCs/>
                <w:szCs w:val="16"/>
              </w:rPr>
              <w:t>Neurodegenerative assessment if prognosis 6-12 months</w:t>
            </w:r>
          </w:p>
        </w:tc>
        <w:tc>
          <w:tcPr>
            <w:tcW w:w="3402" w:type="dxa"/>
            <w:hideMark/>
          </w:tcPr>
          <w:p w14:paraId="588E6F7E" w14:textId="77777777" w:rsidR="0008515F" w:rsidRPr="0008515F" w:rsidRDefault="0008515F" w:rsidP="0008515F">
            <w:pPr>
              <w:pStyle w:val="SCVtablebody"/>
              <w:jc w:val="center"/>
              <w:rPr>
                <w:rFonts w:eastAsia="VIC"/>
                <w:bCs/>
                <w:szCs w:val="16"/>
              </w:rPr>
            </w:pPr>
            <w:r w:rsidRPr="0008515F">
              <w:rPr>
                <w:rFonts w:eastAsia="VIC"/>
                <w:bCs/>
                <w:szCs w:val="16"/>
              </w:rPr>
              <w:t>85</w:t>
            </w:r>
          </w:p>
        </w:tc>
      </w:tr>
    </w:tbl>
    <w:p w14:paraId="33928EE3" w14:textId="77777777" w:rsidR="0008515F" w:rsidRPr="0008515F" w:rsidRDefault="0008515F" w:rsidP="0008515F">
      <w:pPr>
        <w:pStyle w:val="SCVbodyafterheading"/>
      </w:pPr>
    </w:p>
    <w:p w14:paraId="30D77FFF" w14:textId="77777777" w:rsidR="0008515F" w:rsidRDefault="0008515F" w:rsidP="0008515F">
      <w:pPr>
        <w:pStyle w:val="Heading2"/>
        <w:sectPr w:rsidR="0008515F" w:rsidSect="00EB29C3">
          <w:type w:val="continuous"/>
          <w:pgSz w:w="11906" w:h="16838" w:code="9"/>
          <w:pgMar w:top="3402" w:right="851" w:bottom="1361" w:left="851" w:header="851" w:footer="851" w:gutter="0"/>
          <w:cols w:space="284"/>
          <w:docGrid w:linePitch="360"/>
        </w:sectPr>
      </w:pPr>
    </w:p>
    <w:p w14:paraId="11116883" w14:textId="77777777" w:rsidR="001353EE" w:rsidRDefault="0008515F" w:rsidP="0008515F">
      <w:pPr>
        <w:pStyle w:val="Heading2"/>
      </w:pPr>
      <w:r>
        <w:t>Appointment of a contact person</w:t>
      </w:r>
    </w:p>
    <w:p w14:paraId="71CE6563" w14:textId="77777777" w:rsidR="0008515F" w:rsidRDefault="0008515F" w:rsidP="0008515F">
      <w:pPr>
        <w:pStyle w:val="SCVbody"/>
      </w:pPr>
      <w:r>
        <w:t xml:space="preserve">The Act requires that a contact person </w:t>
      </w:r>
      <w:bookmarkStart w:id="20" w:name="_Int_IdLa3EGn"/>
      <w:r>
        <w:t>is</w:t>
      </w:r>
      <w:bookmarkEnd w:id="20"/>
      <w:r>
        <w:t xml:space="preserve"> appointed once a final request is made. A contact person has a duty under the Act to return any unused or remaining voluntary assisted dying substance within 15 days after the date of death of the applicant, or if the applicant decides to request a practitioner administration permit. </w:t>
      </w:r>
    </w:p>
    <w:p w14:paraId="43EFF060" w14:textId="7DCE28F0" w:rsidR="001353EE" w:rsidRDefault="0008515F" w:rsidP="0008515F">
      <w:pPr>
        <w:pStyle w:val="SCVbody"/>
      </w:pPr>
      <w:r>
        <w:t xml:space="preserve">The Act requires the Board to provide information on the requirement to return </w:t>
      </w:r>
      <w:r w:rsidR="00B97330">
        <w:t xml:space="preserve">the </w:t>
      </w:r>
      <w:r>
        <w:t xml:space="preserve">substance and outline support information available to assist the contact person within </w:t>
      </w:r>
      <w:r w:rsidR="002B5DE9">
        <w:t>seven</w:t>
      </w:r>
      <w:r>
        <w:t xml:space="preserve"> days of being notified of the death of an applicant. As part of this </w:t>
      </w:r>
      <w:r w:rsidR="00177208">
        <w:t>contact</w:t>
      </w:r>
      <w:r>
        <w:t xml:space="preserve">, the Board requests feedback on the experience of the process. The Board </w:t>
      </w:r>
      <w:bookmarkStart w:id="21" w:name="_Int_JuHzGZGz"/>
      <w:r>
        <w:t>wishes to thank</w:t>
      </w:r>
      <w:bookmarkEnd w:id="21"/>
      <w:r>
        <w:t xml:space="preserve"> all those who provided valuable insights on their experience accessing voluntary assisted dying. Feedback has been incorporated through this report and informs </w:t>
      </w:r>
      <w:r>
        <w:t>the quality and safety reviews conducted by the Board.</w:t>
      </w:r>
    </w:p>
    <w:p w14:paraId="3CCF64AD" w14:textId="77777777" w:rsidR="0068380D" w:rsidRDefault="001353EE" w:rsidP="0068380D">
      <w:pPr>
        <w:pStyle w:val="Heading2"/>
      </w:pPr>
      <w:r>
        <w:t>Withdrawal of cases</w:t>
      </w:r>
    </w:p>
    <w:p w14:paraId="344235DA" w14:textId="77777777" w:rsidR="0023382A" w:rsidRDefault="001353EE" w:rsidP="0068380D">
      <w:pPr>
        <w:pStyle w:val="SCVbody"/>
      </w:pPr>
      <w:r>
        <w:t>Since the commencement of the Act, a total of 576 applications have been withdrawn. Reasons for withdrawal include</w:t>
      </w:r>
      <w:r w:rsidR="0023382A">
        <w:t>:</w:t>
      </w:r>
    </w:p>
    <w:p w14:paraId="67B22A14" w14:textId="77777777" w:rsidR="00B03012" w:rsidRDefault="001353EE" w:rsidP="00914DE4">
      <w:pPr>
        <w:pStyle w:val="SCVbullet1"/>
      </w:pPr>
      <w:r>
        <w:t>the death of applicant prior to the voluntary assisted dying substance being dispensed</w:t>
      </w:r>
    </w:p>
    <w:p w14:paraId="671F513A" w14:textId="77777777" w:rsidR="006C1B36" w:rsidRDefault="001353EE" w:rsidP="00914DE4">
      <w:pPr>
        <w:pStyle w:val="SCVbullet1"/>
      </w:pPr>
      <w:r>
        <w:t>deterioration or improvement in condition and thus no longer meeting eligibility criteria</w:t>
      </w:r>
    </w:p>
    <w:p w14:paraId="6D4F2115" w14:textId="77777777" w:rsidR="00914DE4" w:rsidRDefault="001353EE" w:rsidP="00914DE4">
      <w:pPr>
        <w:pStyle w:val="SCVbullet1"/>
      </w:pPr>
      <w:r>
        <w:t>transfer of care to a different medical practitioner or health service</w:t>
      </w:r>
    </w:p>
    <w:p w14:paraId="6AECE340" w14:textId="77777777" w:rsidR="00914DE4" w:rsidRDefault="001353EE" w:rsidP="00914DE4">
      <w:pPr>
        <w:pStyle w:val="SCVbullet1"/>
      </w:pPr>
      <w:r>
        <w:t xml:space="preserve">duplicate applications created in error for a single applicant. </w:t>
      </w:r>
    </w:p>
    <w:p w14:paraId="35EE1B8C" w14:textId="02717054" w:rsidR="009C14CC" w:rsidRDefault="001353EE" w:rsidP="0068380D">
      <w:pPr>
        <w:pStyle w:val="SCVbody"/>
      </w:pPr>
      <w:r>
        <w:t>A detailed retrospective review of the reasons for the withdrawal of applications is currently being undertaken.</w:t>
      </w:r>
    </w:p>
    <w:p w14:paraId="3D20FE1D" w14:textId="77777777" w:rsidR="001353EE" w:rsidRDefault="001353EE" w:rsidP="00D351D2">
      <w:pPr>
        <w:pStyle w:val="SCVbody"/>
        <w:sectPr w:rsidR="001353EE" w:rsidSect="00EB29C3">
          <w:type w:val="continuous"/>
          <w:pgSz w:w="11906" w:h="16838" w:code="9"/>
          <w:pgMar w:top="3402" w:right="851" w:bottom="1361" w:left="851" w:header="851" w:footer="851" w:gutter="0"/>
          <w:cols w:num="2" w:space="284"/>
          <w:docGrid w:linePitch="360"/>
        </w:sectPr>
      </w:pPr>
    </w:p>
    <w:p w14:paraId="388DBB58" w14:textId="156F07FE" w:rsidR="0008515F" w:rsidRDefault="001353EE" w:rsidP="001353EE">
      <w:pPr>
        <w:pStyle w:val="SCVtablecaption"/>
      </w:pPr>
      <w:r w:rsidRPr="001353EE">
        <w:t>Table 8: Reason for withdrawal 19 June 2019 – 30 June 2022 (n = 576)</w:t>
      </w:r>
    </w:p>
    <w:tbl>
      <w:tblPr>
        <w:tblStyle w:val="TableGrid1"/>
        <w:tblW w:w="10210" w:type="dxa"/>
        <w:tblLook w:val="0620" w:firstRow="1" w:lastRow="0" w:firstColumn="0" w:lastColumn="0" w:noHBand="1" w:noVBand="1"/>
        <w:tblDescription w:val="This table shows the reasons why application were withdrawn. In 66.7 per cent of cases, the applicant died and 33.3 per cent of cases were withdrawn for other reasons. "/>
      </w:tblPr>
      <w:tblGrid>
        <w:gridCol w:w="5672"/>
        <w:gridCol w:w="2269"/>
        <w:gridCol w:w="2269"/>
      </w:tblGrid>
      <w:tr w:rsidR="001353EE" w14:paraId="1664B79D" w14:textId="77777777" w:rsidTr="00573EF6">
        <w:trPr>
          <w:cnfStyle w:val="100000000000" w:firstRow="1" w:lastRow="0" w:firstColumn="0" w:lastColumn="0" w:oddVBand="0" w:evenVBand="0" w:oddHBand="0" w:evenHBand="0" w:firstRowFirstColumn="0" w:firstRowLastColumn="0" w:lastRowFirstColumn="0" w:lastRowLastColumn="0"/>
          <w:cantSplit/>
        </w:trPr>
        <w:tc>
          <w:tcPr>
            <w:tcW w:w="5670" w:type="dxa"/>
          </w:tcPr>
          <w:p w14:paraId="52E1EA52" w14:textId="7F136A69" w:rsidR="001353EE" w:rsidRPr="00573EF6" w:rsidRDefault="001353EE" w:rsidP="00573EF6">
            <w:pPr>
              <w:pStyle w:val="SCVtablecolhead"/>
              <w:rPr>
                <w:rFonts w:asciiTheme="majorHAnsi" w:hAnsiTheme="majorHAnsi"/>
              </w:rPr>
            </w:pPr>
            <w:r w:rsidRPr="00573EF6">
              <w:rPr>
                <w:rFonts w:asciiTheme="majorHAnsi" w:hAnsiTheme="majorHAnsi"/>
              </w:rPr>
              <w:t>Reason for withdrawal</w:t>
            </w:r>
          </w:p>
        </w:tc>
        <w:tc>
          <w:tcPr>
            <w:tcW w:w="2268" w:type="dxa"/>
          </w:tcPr>
          <w:p w14:paraId="3FE72567" w14:textId="71DCF55B" w:rsidR="001353EE" w:rsidRPr="00573EF6" w:rsidRDefault="001353EE" w:rsidP="00573EF6">
            <w:pPr>
              <w:pStyle w:val="SCVtablecolhead"/>
              <w:jc w:val="center"/>
              <w:rPr>
                <w:rFonts w:asciiTheme="majorHAnsi" w:hAnsiTheme="majorHAnsi"/>
              </w:rPr>
            </w:pPr>
            <w:r w:rsidRPr="00573EF6">
              <w:rPr>
                <w:rFonts w:asciiTheme="majorHAnsi" w:hAnsiTheme="majorHAnsi"/>
              </w:rPr>
              <w:t>Number</w:t>
            </w:r>
          </w:p>
        </w:tc>
        <w:tc>
          <w:tcPr>
            <w:tcW w:w="2268" w:type="dxa"/>
          </w:tcPr>
          <w:p w14:paraId="2192C38D" w14:textId="148B98E2" w:rsidR="001353EE" w:rsidRPr="00573EF6" w:rsidRDefault="001353EE" w:rsidP="00573EF6">
            <w:pPr>
              <w:pStyle w:val="SCVtablecolhead"/>
              <w:jc w:val="center"/>
              <w:rPr>
                <w:rFonts w:asciiTheme="majorHAnsi" w:hAnsiTheme="majorHAnsi"/>
              </w:rPr>
            </w:pPr>
            <w:r w:rsidRPr="00573EF6">
              <w:rPr>
                <w:rFonts w:asciiTheme="majorHAnsi" w:hAnsiTheme="majorHAnsi"/>
              </w:rPr>
              <w:t>%</w:t>
            </w:r>
          </w:p>
        </w:tc>
      </w:tr>
      <w:tr w:rsidR="001353EE" w14:paraId="1F5F4482" w14:textId="77777777" w:rsidTr="00573EF6">
        <w:trPr>
          <w:cantSplit/>
        </w:trPr>
        <w:tc>
          <w:tcPr>
            <w:tcW w:w="5670" w:type="dxa"/>
          </w:tcPr>
          <w:p w14:paraId="30E4CF23" w14:textId="234F7ECD" w:rsidR="001353EE" w:rsidRPr="00763C91" w:rsidRDefault="001353EE" w:rsidP="001353EE">
            <w:pPr>
              <w:pStyle w:val="SCVtablebody"/>
              <w:rPr>
                <w:rFonts w:ascii="VIC Medium" w:hAnsi="VIC Medium"/>
              </w:rPr>
            </w:pPr>
            <w:r w:rsidRPr="00763C91">
              <w:rPr>
                <w:rFonts w:ascii="VIC Medium" w:hAnsi="VIC Medium"/>
              </w:rPr>
              <w:t>Applicant died</w:t>
            </w:r>
          </w:p>
        </w:tc>
        <w:tc>
          <w:tcPr>
            <w:tcW w:w="2268" w:type="dxa"/>
          </w:tcPr>
          <w:p w14:paraId="54EB4808" w14:textId="614561F7" w:rsidR="001353EE" w:rsidRPr="00763C91" w:rsidRDefault="001353EE" w:rsidP="001353EE">
            <w:pPr>
              <w:pStyle w:val="SCVtablebody"/>
              <w:jc w:val="center"/>
              <w:rPr>
                <w:rFonts w:ascii="VIC Medium" w:hAnsi="VIC Medium"/>
              </w:rPr>
            </w:pPr>
            <w:r w:rsidRPr="00763C91">
              <w:rPr>
                <w:rFonts w:ascii="VIC Medium" w:hAnsi="VIC Medium"/>
              </w:rPr>
              <w:t>384</w:t>
            </w:r>
          </w:p>
        </w:tc>
        <w:tc>
          <w:tcPr>
            <w:tcW w:w="2268" w:type="dxa"/>
          </w:tcPr>
          <w:p w14:paraId="61373E56" w14:textId="019A3AC8" w:rsidR="001353EE" w:rsidRPr="00763C91" w:rsidRDefault="001353EE" w:rsidP="001353EE">
            <w:pPr>
              <w:pStyle w:val="SCVtablebody"/>
              <w:jc w:val="center"/>
              <w:rPr>
                <w:rFonts w:ascii="VIC Medium" w:hAnsi="VIC Medium"/>
              </w:rPr>
            </w:pPr>
            <w:r w:rsidRPr="00763C91">
              <w:rPr>
                <w:rFonts w:ascii="VIC Medium" w:hAnsi="VIC Medium"/>
              </w:rPr>
              <w:t>66.7%</w:t>
            </w:r>
          </w:p>
        </w:tc>
      </w:tr>
      <w:tr w:rsidR="001353EE" w14:paraId="742781ED" w14:textId="77777777" w:rsidTr="00573EF6">
        <w:trPr>
          <w:cantSplit/>
        </w:trPr>
        <w:tc>
          <w:tcPr>
            <w:tcW w:w="5670" w:type="dxa"/>
          </w:tcPr>
          <w:p w14:paraId="24D3EBD8" w14:textId="4D77D30A" w:rsidR="001353EE" w:rsidRDefault="001353EE" w:rsidP="001353EE">
            <w:pPr>
              <w:pStyle w:val="SCVtablebody"/>
            </w:pPr>
            <w:r>
              <w:tab/>
            </w:r>
            <w:r w:rsidRPr="001353EE">
              <w:t>Coordinating medical practitioner notified of death</w:t>
            </w:r>
          </w:p>
        </w:tc>
        <w:tc>
          <w:tcPr>
            <w:tcW w:w="2268" w:type="dxa"/>
          </w:tcPr>
          <w:p w14:paraId="710B9548" w14:textId="46C8B7AA" w:rsidR="001353EE" w:rsidRDefault="001353EE" w:rsidP="001353EE">
            <w:pPr>
              <w:pStyle w:val="SCVtablebody"/>
              <w:jc w:val="center"/>
            </w:pPr>
            <w:r>
              <w:t>205</w:t>
            </w:r>
          </w:p>
        </w:tc>
        <w:tc>
          <w:tcPr>
            <w:tcW w:w="2268" w:type="dxa"/>
          </w:tcPr>
          <w:p w14:paraId="646AE6DC" w14:textId="79930BAE" w:rsidR="001353EE" w:rsidRDefault="001353EE" w:rsidP="001353EE">
            <w:pPr>
              <w:pStyle w:val="SCVtablebody"/>
              <w:jc w:val="center"/>
            </w:pPr>
            <w:r>
              <w:t>35.6%</w:t>
            </w:r>
          </w:p>
        </w:tc>
      </w:tr>
      <w:tr w:rsidR="001353EE" w14:paraId="2219681E" w14:textId="77777777" w:rsidTr="00573EF6">
        <w:trPr>
          <w:cantSplit/>
        </w:trPr>
        <w:tc>
          <w:tcPr>
            <w:tcW w:w="5670" w:type="dxa"/>
          </w:tcPr>
          <w:p w14:paraId="7F5B6E97" w14:textId="0730FA5A" w:rsidR="001353EE" w:rsidRDefault="001353EE" w:rsidP="001353EE">
            <w:pPr>
              <w:pStyle w:val="SCVtablebody"/>
            </w:pPr>
            <w:r>
              <w:tab/>
              <w:t>Secretariat notified of death*</w:t>
            </w:r>
          </w:p>
        </w:tc>
        <w:tc>
          <w:tcPr>
            <w:tcW w:w="2268" w:type="dxa"/>
          </w:tcPr>
          <w:p w14:paraId="71AE94BB" w14:textId="31D752E4" w:rsidR="001353EE" w:rsidRDefault="001353EE" w:rsidP="001353EE">
            <w:pPr>
              <w:pStyle w:val="SCVtablebody"/>
              <w:jc w:val="center"/>
            </w:pPr>
            <w:r>
              <w:t>179</w:t>
            </w:r>
          </w:p>
        </w:tc>
        <w:tc>
          <w:tcPr>
            <w:tcW w:w="2268" w:type="dxa"/>
          </w:tcPr>
          <w:p w14:paraId="518CD021" w14:textId="7BBB458D" w:rsidR="001353EE" w:rsidRDefault="001353EE" w:rsidP="001353EE">
            <w:pPr>
              <w:pStyle w:val="SCVtablebody"/>
              <w:jc w:val="center"/>
            </w:pPr>
            <w:r>
              <w:t>31.1%</w:t>
            </w:r>
          </w:p>
        </w:tc>
      </w:tr>
      <w:tr w:rsidR="001353EE" w14:paraId="416615A5" w14:textId="77777777" w:rsidTr="00573EF6">
        <w:trPr>
          <w:cantSplit/>
        </w:trPr>
        <w:tc>
          <w:tcPr>
            <w:tcW w:w="5670" w:type="dxa"/>
          </w:tcPr>
          <w:p w14:paraId="5367C1A5" w14:textId="7B4A1D06" w:rsidR="001353EE" w:rsidRPr="00763C91" w:rsidRDefault="001353EE" w:rsidP="001353EE">
            <w:pPr>
              <w:pStyle w:val="SCVtablebody"/>
              <w:rPr>
                <w:rFonts w:ascii="VIC Medium" w:hAnsi="VIC Medium"/>
              </w:rPr>
            </w:pPr>
            <w:r w:rsidRPr="00763C91">
              <w:rPr>
                <w:rFonts w:ascii="VIC Medium" w:hAnsi="VIC Medium"/>
              </w:rPr>
              <w:t>Other</w:t>
            </w:r>
          </w:p>
        </w:tc>
        <w:tc>
          <w:tcPr>
            <w:tcW w:w="2268" w:type="dxa"/>
          </w:tcPr>
          <w:p w14:paraId="4E7CBD4B" w14:textId="1E85E182" w:rsidR="001353EE" w:rsidRPr="00763C91" w:rsidRDefault="001353EE" w:rsidP="001353EE">
            <w:pPr>
              <w:pStyle w:val="SCVtablebody"/>
              <w:jc w:val="center"/>
              <w:rPr>
                <w:rFonts w:ascii="VIC Medium" w:hAnsi="VIC Medium"/>
              </w:rPr>
            </w:pPr>
            <w:r w:rsidRPr="00763C91">
              <w:rPr>
                <w:rFonts w:ascii="VIC Medium" w:hAnsi="VIC Medium"/>
              </w:rPr>
              <w:t>192</w:t>
            </w:r>
          </w:p>
        </w:tc>
        <w:tc>
          <w:tcPr>
            <w:tcW w:w="2268" w:type="dxa"/>
          </w:tcPr>
          <w:p w14:paraId="2276C4BC" w14:textId="015B0037" w:rsidR="001353EE" w:rsidRPr="00763C91" w:rsidRDefault="001353EE" w:rsidP="001353EE">
            <w:pPr>
              <w:pStyle w:val="SCVtablebody"/>
              <w:jc w:val="center"/>
              <w:rPr>
                <w:rFonts w:ascii="VIC Medium" w:hAnsi="VIC Medium"/>
              </w:rPr>
            </w:pPr>
            <w:r w:rsidRPr="00763C91">
              <w:rPr>
                <w:rFonts w:ascii="VIC Medium" w:hAnsi="VIC Medium"/>
              </w:rPr>
              <w:t>33.3%</w:t>
            </w:r>
          </w:p>
        </w:tc>
      </w:tr>
    </w:tbl>
    <w:p w14:paraId="726C305E" w14:textId="0634E42E" w:rsidR="001353EE" w:rsidRDefault="001353EE" w:rsidP="001353EE">
      <w:pPr>
        <w:pStyle w:val="SCVtablefigurenote"/>
        <w:sectPr w:rsidR="001353EE" w:rsidSect="00EB29C3">
          <w:type w:val="continuous"/>
          <w:pgSz w:w="11906" w:h="16838" w:code="9"/>
          <w:pgMar w:top="3402" w:right="851" w:bottom="1361" w:left="851" w:header="851" w:footer="851" w:gutter="0"/>
          <w:cols w:space="284"/>
          <w:docGrid w:linePitch="360"/>
        </w:sectPr>
      </w:pPr>
      <w:r>
        <w:t>*</w:t>
      </w:r>
      <w:r w:rsidRPr="001353EE">
        <w:t xml:space="preserve"> The Secretariat may be informed of a death through a</w:t>
      </w:r>
      <w:r w:rsidR="00DB7961">
        <w:t xml:space="preserve"> health service appointed</w:t>
      </w:r>
      <w:r w:rsidRPr="001353EE">
        <w:t xml:space="preserve"> voluntary assisted dying coordinator, </w:t>
      </w:r>
      <w:r w:rsidR="00DB7961">
        <w:t xml:space="preserve">Care Navigator, </w:t>
      </w:r>
      <w:r w:rsidRPr="001353EE">
        <w:t xml:space="preserve">medical practitioner or through </w:t>
      </w:r>
      <w:r>
        <w:t xml:space="preserve">Medical Certificate of Cause of Death </w:t>
      </w:r>
      <w:r w:rsidRPr="001353EE">
        <w:t>or Death Certification.</w:t>
      </w:r>
    </w:p>
    <w:p w14:paraId="5F926560" w14:textId="740156CF" w:rsidR="001353EE" w:rsidRDefault="001353EE" w:rsidP="001353EE">
      <w:pPr>
        <w:pStyle w:val="SCVtablefigurenote"/>
      </w:pPr>
    </w:p>
    <w:p w14:paraId="22859167" w14:textId="77777777" w:rsidR="001353EE" w:rsidRDefault="001353EE" w:rsidP="009F5DA7">
      <w:pPr>
        <w:pStyle w:val="SCVquote"/>
        <w:ind w:left="0"/>
        <w:sectPr w:rsidR="001353EE" w:rsidSect="00EB29C3">
          <w:type w:val="continuous"/>
          <w:pgSz w:w="11906" w:h="16838" w:code="9"/>
          <w:pgMar w:top="3402" w:right="851" w:bottom="1361" w:left="851" w:header="851" w:footer="851" w:gutter="0"/>
          <w:cols w:space="284"/>
          <w:docGrid w:linePitch="360"/>
        </w:sectPr>
      </w:pPr>
    </w:p>
    <w:p w14:paraId="1FAF9AB0" w14:textId="18DC172B" w:rsidR="001353EE" w:rsidRDefault="0018500C" w:rsidP="001353EE">
      <w:pPr>
        <w:pStyle w:val="SCVquote"/>
      </w:pPr>
      <w:r>
        <w:lastRenderedPageBreak/>
        <w:t>‘</w:t>
      </w:r>
      <w:r w:rsidR="001353EE">
        <w:t>We were pleased that once we agreed to voluntary assisted dying that we did not have to proceed. We are indebted to the team who have supported us during this difficult decision time.</w:t>
      </w:r>
      <w:r w:rsidR="0020163B">
        <w:t>’</w:t>
      </w:r>
      <w:r w:rsidR="001353EE">
        <w:t xml:space="preserve"> </w:t>
      </w:r>
      <w:r w:rsidR="001353EE" w:rsidRPr="001353EE">
        <w:rPr>
          <w:rFonts w:asciiTheme="majorHAnsi" w:hAnsiTheme="majorHAnsi"/>
        </w:rPr>
        <w:t>Applicant and contact person</w:t>
      </w:r>
    </w:p>
    <w:p w14:paraId="2ECE185F" w14:textId="1380EDB2" w:rsidR="001353EE" w:rsidRDefault="002164EB" w:rsidP="001353EE">
      <w:pPr>
        <w:pStyle w:val="SCVquote"/>
      </w:pPr>
      <w:r>
        <w:t>‘</w:t>
      </w:r>
      <w:r w:rsidR="001353EE">
        <w:t>Patient was thankful; however, she did report she felt it was exhausting and emotionally draining and was pleased once she had received [the substance]. She told me her plan was just to forget about [the substance] for a while and try to enjoy life the best she could but that it was reassuring to have the substance there.</w:t>
      </w:r>
      <w:r>
        <w:t xml:space="preserve">’ </w:t>
      </w:r>
      <w:r w:rsidR="001353EE">
        <w:t xml:space="preserve"> </w:t>
      </w:r>
      <w:r w:rsidR="001353EE" w:rsidRPr="001353EE">
        <w:rPr>
          <w:rFonts w:asciiTheme="majorHAnsi" w:hAnsiTheme="majorHAnsi"/>
        </w:rPr>
        <w:t>Medical practitioner</w:t>
      </w:r>
      <w:r w:rsidR="001353EE">
        <w:t xml:space="preserve"> </w:t>
      </w:r>
    </w:p>
    <w:p w14:paraId="3389C476" w14:textId="7BBF584D" w:rsidR="001353EE" w:rsidRDefault="002164EB" w:rsidP="001353EE">
      <w:pPr>
        <w:pStyle w:val="SCVquote"/>
        <w:rPr>
          <w:rFonts w:asciiTheme="majorHAnsi" w:hAnsiTheme="majorHAnsi"/>
        </w:rPr>
      </w:pPr>
      <w:r>
        <w:t>‘</w:t>
      </w:r>
      <w:r w:rsidR="001353EE">
        <w:t xml:space="preserve">We all were happy with the decision that he made and supported him. It gave him great comfort to know that the substance was there if he ever needed it, but he </w:t>
      </w:r>
      <w:bookmarkStart w:id="22" w:name="_Int_6E1oOK8U"/>
      <w:r w:rsidR="001353EE">
        <w:t>didn’t</w:t>
      </w:r>
      <w:bookmarkEnd w:id="22"/>
      <w:r w:rsidR="001353EE">
        <w:t>, he just naturally declined.</w:t>
      </w:r>
      <w:r>
        <w:t>’</w:t>
      </w:r>
      <w:r w:rsidR="001353EE">
        <w:t xml:space="preserve"> </w:t>
      </w:r>
      <w:r w:rsidR="001353EE" w:rsidRPr="001353EE">
        <w:rPr>
          <w:rFonts w:asciiTheme="majorHAnsi" w:hAnsiTheme="majorHAnsi"/>
        </w:rPr>
        <w:t>Contact person</w:t>
      </w:r>
    </w:p>
    <w:p w14:paraId="79D6A18A" w14:textId="2F78F481" w:rsidR="001353EE" w:rsidRPr="001353EE" w:rsidRDefault="002164EB" w:rsidP="001353EE">
      <w:pPr>
        <w:pStyle w:val="SCVquote"/>
      </w:pPr>
      <w:r>
        <w:t>‘</w:t>
      </w:r>
      <w:r w:rsidR="001353EE">
        <w:t>The applicant went through the process but when it got to the end, he had a change of mind and didn’t want to take it.</w:t>
      </w:r>
      <w:r>
        <w:t>’</w:t>
      </w:r>
      <w:r w:rsidR="001353EE">
        <w:t xml:space="preserve"> </w:t>
      </w:r>
      <w:r w:rsidR="001353EE" w:rsidRPr="001353EE">
        <w:rPr>
          <w:rFonts w:asciiTheme="majorHAnsi" w:hAnsiTheme="majorHAnsi"/>
        </w:rPr>
        <w:t>Contact person</w:t>
      </w:r>
    </w:p>
    <w:p w14:paraId="7690174A" w14:textId="77777777" w:rsidR="001353EE" w:rsidRDefault="001353EE" w:rsidP="00D351D2">
      <w:pPr>
        <w:pStyle w:val="SCVbody"/>
      </w:pPr>
    </w:p>
    <w:p w14:paraId="27E91641" w14:textId="77777777" w:rsidR="001353EE" w:rsidRDefault="001353EE" w:rsidP="00D351D2">
      <w:pPr>
        <w:pStyle w:val="SCVbody"/>
      </w:pPr>
    </w:p>
    <w:p w14:paraId="09679E75" w14:textId="68E4ADB6" w:rsidR="001353EE" w:rsidRDefault="001353EE" w:rsidP="00D351D2">
      <w:pPr>
        <w:pStyle w:val="SCVbody"/>
        <w:sectPr w:rsidR="001353EE" w:rsidSect="00EB29C3">
          <w:type w:val="continuous"/>
          <w:pgSz w:w="11906" w:h="16838" w:code="9"/>
          <w:pgMar w:top="3402" w:right="851" w:bottom="1361" w:left="851" w:header="851" w:footer="851" w:gutter="0"/>
          <w:cols w:num="2" w:space="284"/>
          <w:docGrid w:linePitch="360"/>
        </w:sectPr>
      </w:pPr>
    </w:p>
    <w:p w14:paraId="1A233328" w14:textId="77777777" w:rsidR="001353EE" w:rsidRDefault="001353EE" w:rsidP="00D351D2">
      <w:pPr>
        <w:pStyle w:val="SCVbody"/>
      </w:pPr>
    </w:p>
    <w:p w14:paraId="21EEB666" w14:textId="27D10E6D" w:rsidR="001353EE" w:rsidRPr="00D351D2" w:rsidRDefault="001353EE" w:rsidP="00D351D2">
      <w:pPr>
        <w:pStyle w:val="SCVbody"/>
        <w:sectPr w:rsidR="001353EE" w:rsidRPr="00D351D2" w:rsidSect="00EB29C3">
          <w:type w:val="continuous"/>
          <w:pgSz w:w="11906" w:h="16838" w:code="9"/>
          <w:pgMar w:top="3402" w:right="851" w:bottom="1361" w:left="851" w:header="851" w:footer="851" w:gutter="0"/>
          <w:cols w:space="284"/>
          <w:docGrid w:linePitch="360"/>
        </w:sectPr>
      </w:pPr>
    </w:p>
    <w:p w14:paraId="48ED2F06" w14:textId="77777777" w:rsidR="00D63431" w:rsidRPr="00546112" w:rsidRDefault="00D63431" w:rsidP="00D63431">
      <w:pPr>
        <w:pStyle w:val="Heading1"/>
      </w:pPr>
      <w:bookmarkStart w:id="23" w:name="_Toc108447875"/>
      <w:r w:rsidRPr="00546112">
        <w:lastRenderedPageBreak/>
        <w:t xml:space="preserve">Permit approvals and </w:t>
      </w:r>
      <w:r>
        <w:t>substance</w:t>
      </w:r>
      <w:r w:rsidRPr="00546112">
        <w:t xml:space="preserve"> dispensing</w:t>
      </w:r>
      <w:bookmarkEnd w:id="23"/>
    </w:p>
    <w:p w14:paraId="0FC9A746" w14:textId="04D4BBC6" w:rsidR="00D63431" w:rsidRPr="00D63431" w:rsidRDefault="00D63431" w:rsidP="00D63431">
      <w:pPr>
        <w:pStyle w:val="IntroductoryText"/>
      </w:pPr>
      <w:r w:rsidRPr="00D63431">
        <w:t xml:space="preserve">Once the assessment process has been finalised and the applicant </w:t>
      </w:r>
      <w:r w:rsidR="002164EB">
        <w:t xml:space="preserve">is </w:t>
      </w:r>
      <w:r w:rsidRPr="00D63431">
        <w:t>found to be eligible, the coordinating medical prac</w:t>
      </w:r>
      <w:r w:rsidR="00C84AB9">
        <w:t>t</w:t>
      </w:r>
      <w:r w:rsidRPr="00D63431">
        <w:t>itioner must apply for a permit to dispense the substance.</w:t>
      </w:r>
      <w:r>
        <w:t xml:space="preserve"> </w:t>
      </w:r>
      <w:r w:rsidRPr="00D63431">
        <w:t>The Secretary, Department of Health</w:t>
      </w:r>
      <w:r w:rsidR="0BBCCA14">
        <w:t>,</w:t>
      </w:r>
      <w:r w:rsidRPr="00D63431">
        <w:t xml:space="preserve"> or their delegate, reviews and considers all voluntary assisted dying permit applications. It is the applicant’s choice to decide </w:t>
      </w:r>
      <w:bookmarkStart w:id="24" w:name="_Int_b6mwVKaU"/>
      <w:r w:rsidRPr="00D63431">
        <w:t>if and when</w:t>
      </w:r>
      <w:bookmarkEnd w:id="24"/>
      <w:r w:rsidRPr="00D63431">
        <w:t xml:space="preserve"> they want to access the voluntary assisted dying substance. The Statewide Pharmacy Service </w:t>
      </w:r>
      <w:r>
        <w:t>visit</w:t>
      </w:r>
      <w:r w:rsidRPr="00D63431">
        <w:t xml:space="preserve"> applicants anywhere in Victoria to dispense the substance.</w:t>
      </w:r>
    </w:p>
    <w:p w14:paraId="757E3769" w14:textId="77777777" w:rsidR="00D63431" w:rsidRDefault="00D63431" w:rsidP="00D63431">
      <w:pPr>
        <w:pStyle w:val="SCVbody"/>
        <w:sectPr w:rsidR="00D63431" w:rsidSect="00EB29C3">
          <w:type w:val="continuous"/>
          <w:pgSz w:w="11906" w:h="16838" w:code="9"/>
          <w:pgMar w:top="3402" w:right="851" w:bottom="1361" w:left="851" w:header="851" w:footer="851" w:gutter="0"/>
          <w:cols w:space="284"/>
          <w:docGrid w:linePitch="360"/>
        </w:sectPr>
      </w:pPr>
    </w:p>
    <w:p w14:paraId="2165E553" w14:textId="2B0D29BD" w:rsidR="00D63431" w:rsidRPr="00D63431" w:rsidRDefault="00D63431" w:rsidP="00D63431">
      <w:pPr>
        <w:pStyle w:val="SCVbody"/>
      </w:pPr>
      <w:r w:rsidRPr="00D63431">
        <w:t xml:space="preserve">Between 1 July 2021 and 30 June 2022, the Secretary, Department of Health issued </w:t>
      </w:r>
      <w:r w:rsidR="00177208">
        <w:t>433</w:t>
      </w:r>
      <w:r w:rsidR="00177208" w:rsidRPr="00D63431">
        <w:t xml:space="preserve"> </w:t>
      </w:r>
      <w:r w:rsidRPr="00D63431">
        <w:t xml:space="preserve">self-administration or practitioner administration permits. </w:t>
      </w:r>
    </w:p>
    <w:p w14:paraId="60F5E778" w14:textId="26789164" w:rsidR="00D63431" w:rsidRDefault="00D63431" w:rsidP="00D63431">
      <w:pPr>
        <w:pStyle w:val="SCVbody"/>
      </w:pPr>
      <w:r w:rsidRPr="00D63431">
        <w:t>This reporting cycle has seen a significant reduction in the number of permits not issued due to administrative reasons. This is a result of the growing experience of medical practitioners in completing these forms as well as the Voluntary Assisted Dying Portal Enhancements Project. The ability to review and correct administrative errors related to substances, dosages or formulations was a key piece of stakeholder feedback during the development of this project.</w:t>
      </w:r>
    </w:p>
    <w:p w14:paraId="7A6E7B12" w14:textId="24D62A12" w:rsidR="00D63431" w:rsidRDefault="00D63431" w:rsidP="00D63431">
      <w:pPr>
        <w:pStyle w:val="Heading2"/>
      </w:pPr>
      <w:r w:rsidRPr="00D63431">
        <w:t>Timeliness</w:t>
      </w:r>
    </w:p>
    <w:p w14:paraId="58CC80A3" w14:textId="6EC726FC" w:rsidR="00D63431" w:rsidRDefault="00D63431" w:rsidP="00D63431">
      <w:pPr>
        <w:pStyle w:val="SCVbody"/>
      </w:pPr>
      <w:r>
        <w:t xml:space="preserve">The </w:t>
      </w:r>
      <w:r w:rsidRPr="005C10AB">
        <w:rPr>
          <w:i/>
          <w:iCs/>
        </w:rPr>
        <w:t>Voluntary Assisted Dying Regulations 2018</w:t>
      </w:r>
      <w:r>
        <w:t xml:space="preserve"> state </w:t>
      </w:r>
      <w:r w:rsidR="00FA7296">
        <w:t xml:space="preserve">that </w:t>
      </w:r>
      <w:r>
        <w:t xml:space="preserve">the Secretary, Department of Health has three business days to determine the outcome of a permit application. </w:t>
      </w:r>
      <w:r w:rsidRPr="005C10AB">
        <w:t xml:space="preserve">Outcomes for </w:t>
      </w:r>
      <w:r w:rsidR="005C10AB" w:rsidRPr="005C10AB">
        <w:t>9</w:t>
      </w:r>
      <w:r w:rsidR="005C10AB">
        <w:t>9</w:t>
      </w:r>
      <w:r w:rsidR="005C10AB" w:rsidRPr="005C10AB">
        <w:t xml:space="preserve"> </w:t>
      </w:r>
      <w:r w:rsidR="009D7017" w:rsidRPr="005C10AB">
        <w:t>per cent</w:t>
      </w:r>
      <w:r w:rsidRPr="005C10AB">
        <w:t xml:space="preserve"> of permit applications were determined within this timeframe, </w:t>
      </w:r>
      <w:r w:rsidR="00BB1E83" w:rsidRPr="005C10AB">
        <w:t xml:space="preserve">with </w:t>
      </w:r>
      <w:r w:rsidR="005C10AB">
        <w:t>96</w:t>
      </w:r>
      <w:r w:rsidR="005C10AB" w:rsidRPr="005C10AB">
        <w:t xml:space="preserve"> </w:t>
      </w:r>
      <w:r w:rsidR="009D7017" w:rsidRPr="005C10AB">
        <w:t>per cent</w:t>
      </w:r>
      <w:r w:rsidRPr="005C10AB">
        <w:t xml:space="preserve"> approved within two business days</w:t>
      </w:r>
      <w:r>
        <w:t xml:space="preserve">. </w:t>
      </w:r>
    </w:p>
    <w:p w14:paraId="334B34B9" w14:textId="54912D3B" w:rsidR="00D63431" w:rsidRDefault="00D63431" w:rsidP="00D63431">
      <w:pPr>
        <w:pStyle w:val="SCVbody"/>
      </w:pPr>
      <w:r>
        <w:t xml:space="preserve">Delays to a permit application may occur when incomplete paperwork is provided as part of the assessment process, or the Secretary seeks further information to assess the application. </w:t>
      </w:r>
    </w:p>
    <w:p w14:paraId="16CB9080" w14:textId="48067145" w:rsidR="00D63431" w:rsidRDefault="00D63431" w:rsidP="00D63431">
      <w:pPr>
        <w:pStyle w:val="SCVbody"/>
      </w:pPr>
      <w:r>
        <w:t xml:space="preserve">The Secretariat for the Board conducts an administrative check on all assessment forms as they are lodged. If necessary, it provides feedback to medical practitioners to promote compliance with the Act. It is entirely a matter for the medical </w:t>
      </w:r>
      <w:r>
        <w:t>practitioners to act on this feedbac</w:t>
      </w:r>
      <w:r w:rsidR="006307EE">
        <w:t>k. H</w:t>
      </w:r>
      <w:r>
        <w:t>owever, the Secretary in making the final determination to grant or not grant the permit considers the application as soon as it is complete</w:t>
      </w:r>
      <w:r w:rsidR="001E6BD3">
        <w:t>. This is when</w:t>
      </w:r>
      <w:r>
        <w:t xml:space="preserve"> all relevant information has been </w:t>
      </w:r>
      <w:r w:rsidDel="00892E40">
        <w:t>provided</w:t>
      </w:r>
      <w:r w:rsidR="00892E40">
        <w:t xml:space="preserve"> and</w:t>
      </w:r>
      <w:r>
        <w:t xml:space="preserve"> checks </w:t>
      </w:r>
      <w:r w:rsidR="001E6BD3">
        <w:t xml:space="preserve">are completed on </w:t>
      </w:r>
      <w:r>
        <w:t xml:space="preserve">whether all forms are compliant with the Act. </w:t>
      </w:r>
    </w:p>
    <w:p w14:paraId="7EE190FC" w14:textId="0076F25E" w:rsidR="00D63431" w:rsidRDefault="00D63431" w:rsidP="00D63431">
      <w:pPr>
        <w:pStyle w:val="SCVbody"/>
      </w:pPr>
      <w:r>
        <w:t xml:space="preserve">Once all required application steps have been completed, the Secretary of the Department of Health grants a voluntary assisted dying permit. </w:t>
      </w:r>
      <w:r w:rsidR="00C12D51">
        <w:t>Then</w:t>
      </w:r>
      <w:r w:rsidR="004653C1">
        <w:t xml:space="preserve"> </w:t>
      </w:r>
      <w:r>
        <w:t>the applicant decide</w:t>
      </w:r>
      <w:r w:rsidR="004653C1">
        <w:t>s</w:t>
      </w:r>
      <w:r>
        <w:t xml:space="preserve"> if, and when, they want to access the voluntary assisted dying substance.</w:t>
      </w:r>
    </w:p>
    <w:p w14:paraId="18318AEF" w14:textId="77777777" w:rsidR="00D63431" w:rsidRDefault="00D63431" w:rsidP="00D63431">
      <w:pPr>
        <w:pStyle w:val="Heading2"/>
      </w:pPr>
      <w:r>
        <w:t xml:space="preserve">Statewide Pharmacy Service </w:t>
      </w:r>
    </w:p>
    <w:p w14:paraId="3FABBFC7" w14:textId="6EAC4114" w:rsidR="00D63431" w:rsidRDefault="00D63431" w:rsidP="00D63431">
      <w:pPr>
        <w:pStyle w:val="SCVbody"/>
      </w:pPr>
      <w:r>
        <w:t xml:space="preserve">The </w:t>
      </w:r>
      <w:r w:rsidR="00840388">
        <w:t>P</w:t>
      </w:r>
      <w:r>
        <w:t xml:space="preserve">harmacy </w:t>
      </w:r>
      <w:r w:rsidR="00840388">
        <w:t>S</w:t>
      </w:r>
      <w:r>
        <w:t>ervice, based at Alfred Health, continues to develop and respond to the needs of Victorians, and during 2021-22 expanded capabilities to increase trained pharmacists and administration support. This expansion</w:t>
      </w:r>
      <w:r w:rsidR="00746DBB">
        <w:t xml:space="preserve"> </w:t>
      </w:r>
      <w:r w:rsidR="00DB7961">
        <w:t>ensured the Pharmacy Service</w:t>
      </w:r>
      <w:r>
        <w:t xml:space="preserve"> continued to provide a sustainable, timely, patient-directed service. </w:t>
      </w:r>
    </w:p>
    <w:p w14:paraId="3AE8FDAD" w14:textId="4DF12DC4" w:rsidR="00D63431" w:rsidRDefault="00D63431" w:rsidP="00D63431">
      <w:pPr>
        <w:pStyle w:val="SCVbody"/>
      </w:pPr>
      <w:r>
        <w:t xml:space="preserve">The pharmacy service dispenses the voluntary assisted dying substance to each applicant at a time and location of their choosing. To do this, pharmacists travel throughout the </w:t>
      </w:r>
      <w:r w:rsidR="00746DBB">
        <w:t>s</w:t>
      </w:r>
      <w:r>
        <w:t>tate to provide education and support to applicants, their families</w:t>
      </w:r>
      <w:r w:rsidR="0BBCCA14">
        <w:t>,</w:t>
      </w:r>
      <w:r>
        <w:t xml:space="preserve"> and medical practitioners. They also dispose of any unused substance returned by the contact person or medical practitioner. </w:t>
      </w:r>
    </w:p>
    <w:p w14:paraId="3875A500" w14:textId="77777777" w:rsidR="001E682C" w:rsidRDefault="001E682C" w:rsidP="00D63431">
      <w:pPr>
        <w:pStyle w:val="SCVbody"/>
      </w:pPr>
    </w:p>
    <w:p w14:paraId="17589B29" w14:textId="3CA09EFA" w:rsidR="00D63431" w:rsidRDefault="00D63431" w:rsidP="00D63431">
      <w:pPr>
        <w:pStyle w:val="SCVbody"/>
      </w:pPr>
      <w:r>
        <w:lastRenderedPageBreak/>
        <w:t>During 2021</w:t>
      </w:r>
      <w:r w:rsidR="00CB5F39">
        <w:t>–</w:t>
      </w:r>
      <w:r>
        <w:t xml:space="preserve">22: </w:t>
      </w:r>
    </w:p>
    <w:p w14:paraId="3D45280C" w14:textId="4C657656" w:rsidR="00D63431" w:rsidRPr="005C10AB" w:rsidRDefault="00D63431" w:rsidP="00D63431">
      <w:pPr>
        <w:pStyle w:val="SCVbullet1"/>
      </w:pPr>
      <w:r w:rsidRPr="005C10AB">
        <w:t xml:space="preserve">76 per cent of applicants had the substance provided on </w:t>
      </w:r>
      <w:r w:rsidR="005C10AB" w:rsidRPr="005C10AB">
        <w:t>their preferred delivery day</w:t>
      </w:r>
    </w:p>
    <w:p w14:paraId="211E1806" w14:textId="1208C536" w:rsidR="00D63431" w:rsidRDefault="00D63431" w:rsidP="00D63431">
      <w:pPr>
        <w:pStyle w:val="SCVbullet1"/>
      </w:pPr>
      <w:r>
        <w:t>92 per cent of applicants had the substance provided within two business days of their preferred delivery day</w:t>
      </w:r>
    </w:p>
    <w:p w14:paraId="1A8C527B" w14:textId="75C44E8F" w:rsidR="00D63431" w:rsidRDefault="00D63431" w:rsidP="00D63431">
      <w:pPr>
        <w:pStyle w:val="SCVbullet1"/>
      </w:pPr>
      <w:r>
        <w:t xml:space="preserve">58 per cent of </w:t>
      </w:r>
      <w:r w:rsidR="00BB2C6A">
        <w:t>visits were</w:t>
      </w:r>
      <w:r>
        <w:t xml:space="preserve"> to metropolitan applicants</w:t>
      </w:r>
    </w:p>
    <w:p w14:paraId="14450A49" w14:textId="5E13CDA1" w:rsidR="00D63431" w:rsidRDefault="00D63431" w:rsidP="00D63431">
      <w:pPr>
        <w:pStyle w:val="SCVbullet1"/>
      </w:pPr>
      <w:r>
        <w:t xml:space="preserve">42 per cent of </w:t>
      </w:r>
      <w:r w:rsidR="00BB2C6A">
        <w:t>visits were</w:t>
      </w:r>
      <w:r>
        <w:t xml:space="preserve"> to regional applicants</w:t>
      </w:r>
      <w:r w:rsidR="00DB7961">
        <w:t>*</w:t>
      </w:r>
      <w:r w:rsidR="00D24E10">
        <w:t>.</w:t>
      </w:r>
      <w:r>
        <w:t xml:space="preserve"> </w:t>
      </w:r>
    </w:p>
    <w:p w14:paraId="3E0BA7E5" w14:textId="3B49EBF5" w:rsidR="00DB7961" w:rsidRPr="00DB7961" w:rsidRDefault="00DB7961" w:rsidP="00DB7961">
      <w:pPr>
        <w:pStyle w:val="SCVbullet1"/>
        <w:numPr>
          <w:ilvl w:val="0"/>
          <w:numId w:val="0"/>
        </w:numPr>
        <w:rPr>
          <w:sz w:val="16"/>
          <w:szCs w:val="16"/>
        </w:rPr>
      </w:pPr>
      <w:r w:rsidRPr="00DB7961">
        <w:rPr>
          <w:sz w:val="16"/>
          <w:szCs w:val="16"/>
        </w:rPr>
        <w:t>*</w:t>
      </w:r>
      <w:r>
        <w:rPr>
          <w:sz w:val="16"/>
          <w:szCs w:val="16"/>
        </w:rPr>
        <w:t xml:space="preserve"> </w:t>
      </w:r>
      <w:r w:rsidRPr="00DB7961">
        <w:rPr>
          <w:sz w:val="16"/>
          <w:szCs w:val="16"/>
        </w:rPr>
        <w:t>These figures represent all pharmacy visits to applicants and medical practitioners with a permit who have requested to receive the substance. It may not result in the dispensing of the substance due to patient choice or deterioration. The total number of dispensed substances in 2021-22 indicates that 37% are dispensed to applicants in a regional area.</w:t>
      </w:r>
    </w:p>
    <w:p w14:paraId="14769260" w14:textId="51C3FBFB" w:rsidR="00DB7961" w:rsidRDefault="00DB7961" w:rsidP="00DB7961">
      <w:pPr>
        <w:pStyle w:val="SCVbullet1"/>
        <w:numPr>
          <w:ilvl w:val="0"/>
          <w:numId w:val="0"/>
        </w:numPr>
        <w:ind w:left="284" w:hanging="284"/>
      </w:pPr>
    </w:p>
    <w:p w14:paraId="66A69F94" w14:textId="5B688906" w:rsidR="00DB7961" w:rsidRDefault="00DB7961" w:rsidP="00DB7961">
      <w:pPr>
        <w:pStyle w:val="SCVbullet1"/>
        <w:numPr>
          <w:ilvl w:val="0"/>
          <w:numId w:val="0"/>
        </w:numPr>
        <w:ind w:left="284" w:hanging="284"/>
      </w:pPr>
    </w:p>
    <w:p w14:paraId="545D9A13" w14:textId="5806B58D" w:rsidR="00DB7961" w:rsidRDefault="00DB7961" w:rsidP="00DB7961">
      <w:pPr>
        <w:pStyle w:val="SCVbullet1"/>
        <w:numPr>
          <w:ilvl w:val="0"/>
          <w:numId w:val="0"/>
        </w:numPr>
        <w:ind w:left="284" w:hanging="284"/>
      </w:pPr>
    </w:p>
    <w:p w14:paraId="146FBB51" w14:textId="76EB72B1" w:rsidR="00DB7961" w:rsidRDefault="00DB7961" w:rsidP="00DB7961">
      <w:pPr>
        <w:pStyle w:val="SCVbullet1"/>
        <w:numPr>
          <w:ilvl w:val="0"/>
          <w:numId w:val="0"/>
        </w:numPr>
        <w:ind w:left="284" w:hanging="284"/>
      </w:pPr>
    </w:p>
    <w:p w14:paraId="419BE69D" w14:textId="146D7A2F" w:rsidR="00DB7961" w:rsidRDefault="00DB7961" w:rsidP="00DB7961">
      <w:pPr>
        <w:pStyle w:val="SCVbullet1"/>
        <w:numPr>
          <w:ilvl w:val="0"/>
          <w:numId w:val="0"/>
        </w:numPr>
        <w:ind w:left="284" w:hanging="284"/>
      </w:pPr>
    </w:p>
    <w:p w14:paraId="46F51CC3" w14:textId="2347FAE7" w:rsidR="00DB7961" w:rsidRDefault="00DB7961" w:rsidP="00DB7961">
      <w:pPr>
        <w:pStyle w:val="SCVbullet1"/>
        <w:numPr>
          <w:ilvl w:val="0"/>
          <w:numId w:val="0"/>
        </w:numPr>
        <w:ind w:left="284" w:hanging="284"/>
      </w:pPr>
    </w:p>
    <w:p w14:paraId="1B71275E" w14:textId="49273938" w:rsidR="00DB7961" w:rsidRDefault="00DB7961" w:rsidP="00DB7961">
      <w:pPr>
        <w:pStyle w:val="SCVbullet1"/>
        <w:numPr>
          <w:ilvl w:val="0"/>
          <w:numId w:val="0"/>
        </w:numPr>
        <w:ind w:left="284" w:hanging="284"/>
      </w:pPr>
    </w:p>
    <w:p w14:paraId="00CAF62F" w14:textId="77777777" w:rsidR="00DB7961" w:rsidRDefault="00DB7961" w:rsidP="00DB7961">
      <w:pPr>
        <w:pStyle w:val="SCVbullet1"/>
        <w:numPr>
          <w:ilvl w:val="0"/>
          <w:numId w:val="0"/>
        </w:numPr>
        <w:ind w:left="284" w:hanging="284"/>
      </w:pPr>
    </w:p>
    <w:p w14:paraId="6B429676" w14:textId="77777777" w:rsidR="00561839" w:rsidRDefault="00561839" w:rsidP="00DB7961">
      <w:pPr>
        <w:pStyle w:val="SCVbullet1"/>
        <w:numPr>
          <w:ilvl w:val="0"/>
          <w:numId w:val="0"/>
        </w:numPr>
        <w:ind w:left="284" w:hanging="284"/>
      </w:pPr>
    </w:p>
    <w:p w14:paraId="18A7920A" w14:textId="77777777" w:rsidR="00DB7961" w:rsidRDefault="00DB7961" w:rsidP="00DB7961">
      <w:pPr>
        <w:pStyle w:val="SCVbullet1"/>
        <w:numPr>
          <w:ilvl w:val="0"/>
          <w:numId w:val="0"/>
        </w:numPr>
        <w:ind w:left="284" w:hanging="284"/>
      </w:pPr>
    </w:p>
    <w:p w14:paraId="37A83E94" w14:textId="53392969" w:rsidR="00D63431" w:rsidRDefault="00D63431" w:rsidP="00D63431">
      <w:pPr>
        <w:pStyle w:val="SCVbody"/>
      </w:pPr>
      <w:r>
        <w:t>Feedback provided by contact people and applicants about the pharmacy service enables continuous performance monitoring and evaluation. Feedback from those who provided a response showed:</w:t>
      </w:r>
    </w:p>
    <w:p w14:paraId="4C75861D" w14:textId="519BDAC1" w:rsidR="00D63431" w:rsidRDefault="00D63431" w:rsidP="00D63431">
      <w:pPr>
        <w:pStyle w:val="SCVbullet1"/>
      </w:pPr>
      <w:r>
        <w:t>92 per cent reported excellent service from the pharmacist(s)</w:t>
      </w:r>
    </w:p>
    <w:p w14:paraId="6F3C1DB2" w14:textId="77777777" w:rsidR="00D63431" w:rsidRDefault="00D63431" w:rsidP="00D63431">
      <w:pPr>
        <w:pStyle w:val="SCVbullet1"/>
      </w:pPr>
      <w:r>
        <w:t xml:space="preserve">98 per cent said the pharmacist visited at a time that suited them. </w:t>
      </w:r>
    </w:p>
    <w:p w14:paraId="3040AC0B" w14:textId="04446299" w:rsidR="00D63431" w:rsidRDefault="00006196" w:rsidP="00D63431">
      <w:pPr>
        <w:pStyle w:val="SCVquote"/>
        <w:rPr>
          <w:rFonts w:asciiTheme="majorHAnsi" w:hAnsiTheme="majorHAnsi"/>
        </w:rPr>
      </w:pPr>
      <w:r>
        <w:t>‘</w:t>
      </w:r>
      <w:r w:rsidR="00D63431">
        <w:t xml:space="preserve">The two pharmacists who came to the facility were amazing, the one who took the lead had the most impeccable bedside manner. I really </w:t>
      </w:r>
      <w:bookmarkStart w:id="25" w:name="_Int_S6ewFump"/>
      <w:r w:rsidR="00D63431">
        <w:t>couldn’t</w:t>
      </w:r>
      <w:bookmarkEnd w:id="25"/>
      <w:r w:rsidR="00D63431">
        <w:t xml:space="preserve"> have wished for anything better.</w:t>
      </w:r>
      <w:r>
        <w:t>’</w:t>
      </w:r>
      <w:r w:rsidR="00D63431">
        <w:t xml:space="preserve"> </w:t>
      </w:r>
      <w:r w:rsidR="00D63431" w:rsidRPr="00D63431">
        <w:rPr>
          <w:rFonts w:asciiTheme="majorHAnsi" w:hAnsiTheme="majorHAnsi"/>
        </w:rPr>
        <w:t>Contact person</w:t>
      </w:r>
    </w:p>
    <w:p w14:paraId="3C14FAB6" w14:textId="2B7BB53D" w:rsidR="00D63431" w:rsidRDefault="00006196" w:rsidP="00D63431">
      <w:pPr>
        <w:pStyle w:val="SCVquote"/>
        <w:rPr>
          <w:rFonts w:asciiTheme="majorHAnsi" w:hAnsiTheme="majorHAnsi"/>
        </w:rPr>
      </w:pPr>
      <w:r>
        <w:t>‘</w:t>
      </w:r>
      <w:r w:rsidR="00D63431">
        <w:t xml:space="preserve">The pharmacy came out to </w:t>
      </w:r>
      <w:bookmarkStart w:id="26" w:name="_Int_lbZoxcwE"/>
      <w:proofErr w:type="gramStart"/>
      <w:r w:rsidR="00D63431">
        <w:t>us,</w:t>
      </w:r>
      <w:bookmarkEnd w:id="26"/>
      <w:proofErr w:type="gramEnd"/>
      <w:r w:rsidR="00D63431">
        <w:t xml:space="preserve"> the palliative care team came along too as they had not dealt with a voluntary assisted dying case before. My sister, myself and dad had a round table discussion with everyone. It was explained very clearly, and it was </w:t>
      </w:r>
      <w:bookmarkStart w:id="27" w:name="_Int_xSZYgFlE"/>
      <w:r w:rsidR="00D63431">
        <w:t>very easy</w:t>
      </w:r>
      <w:bookmarkEnd w:id="27"/>
      <w:r w:rsidR="00D63431">
        <w:t xml:space="preserve"> to understand.</w:t>
      </w:r>
      <w:r>
        <w:t>’</w:t>
      </w:r>
      <w:r w:rsidR="00D63431">
        <w:t xml:space="preserve"> </w:t>
      </w:r>
      <w:r w:rsidR="00D63431" w:rsidRPr="00D63431">
        <w:rPr>
          <w:rFonts w:asciiTheme="majorHAnsi" w:hAnsiTheme="majorHAnsi"/>
        </w:rPr>
        <w:t>Contact person</w:t>
      </w:r>
    </w:p>
    <w:p w14:paraId="701ED786" w14:textId="1B385368" w:rsidR="00D63431" w:rsidRPr="00947DA4" w:rsidRDefault="00006196" w:rsidP="00947DA4">
      <w:pPr>
        <w:pStyle w:val="SCVquote"/>
        <w:rPr>
          <w:rFonts w:asciiTheme="majorHAnsi" w:hAnsiTheme="majorHAnsi"/>
        </w:rPr>
        <w:sectPr w:rsidR="00D63431" w:rsidRPr="00947DA4" w:rsidSect="00EB29C3">
          <w:type w:val="continuous"/>
          <w:pgSz w:w="11906" w:h="16838" w:code="9"/>
          <w:pgMar w:top="3402" w:right="851" w:bottom="1361" w:left="851" w:header="851" w:footer="851" w:gutter="0"/>
          <w:cols w:num="2" w:space="284"/>
          <w:docGrid w:linePitch="360"/>
        </w:sectPr>
      </w:pPr>
      <w:r>
        <w:t>‘</w:t>
      </w:r>
      <w:r w:rsidR="00D63431">
        <w:t xml:space="preserve">The information [provided by the Pharmacists] was </w:t>
      </w:r>
      <w:bookmarkStart w:id="28" w:name="_Int_vD9R60qP"/>
      <w:r w:rsidR="00D63431">
        <w:t>very informative</w:t>
      </w:r>
      <w:bookmarkEnd w:id="28"/>
      <w:r w:rsidR="00D63431">
        <w:t xml:space="preserve"> and thorough. They were very patient as we went through practising the process. The instructions were </w:t>
      </w:r>
      <w:bookmarkStart w:id="29" w:name="_Int_MVwY9cs5"/>
      <w:r w:rsidR="00D63431">
        <w:t>very clear</w:t>
      </w:r>
      <w:bookmarkEnd w:id="29"/>
      <w:r w:rsidR="00D63431">
        <w:t>, and they were sensitive when handing over the substance to us.</w:t>
      </w:r>
      <w:r>
        <w:t>’</w:t>
      </w:r>
      <w:r w:rsidR="00D63431">
        <w:t xml:space="preserve"> </w:t>
      </w:r>
      <w:r w:rsidR="00D63431" w:rsidRPr="00D63431">
        <w:rPr>
          <w:rFonts w:asciiTheme="majorHAnsi" w:hAnsiTheme="majorHAnsi"/>
        </w:rPr>
        <w:t>Contact person</w:t>
      </w:r>
    </w:p>
    <w:p w14:paraId="607C6F76" w14:textId="1E793487" w:rsidR="00D63431" w:rsidRDefault="00D63431" w:rsidP="00D63431">
      <w:pPr>
        <w:pStyle w:val="Heading1"/>
      </w:pPr>
      <w:r>
        <w:lastRenderedPageBreak/>
        <w:t>Deaths</w:t>
      </w:r>
    </w:p>
    <w:p w14:paraId="19D012A9" w14:textId="77777777" w:rsidR="00D63431" w:rsidRDefault="00D63431" w:rsidP="00D63431">
      <w:pPr>
        <w:pStyle w:val="SCVbody"/>
        <w:rPr>
          <w:lang w:eastAsia="en-US"/>
        </w:rPr>
        <w:sectPr w:rsidR="00D63431" w:rsidSect="00EB29C3">
          <w:type w:val="continuous"/>
          <w:pgSz w:w="11906" w:h="16838" w:code="9"/>
          <w:pgMar w:top="3402" w:right="851" w:bottom="1361" w:left="851" w:header="851" w:footer="851" w:gutter="0"/>
          <w:cols w:space="284"/>
          <w:docGrid w:linePitch="360"/>
        </w:sectPr>
      </w:pPr>
    </w:p>
    <w:p w14:paraId="5990FA81" w14:textId="77777777" w:rsidR="00250860" w:rsidRDefault="00D63431" w:rsidP="00250860">
      <w:pPr>
        <w:pStyle w:val="SCVbody"/>
        <w:rPr>
          <w:lang w:eastAsia="en-US"/>
        </w:rPr>
      </w:pPr>
      <w:r w:rsidRPr="00D63431">
        <w:rPr>
          <w:lang w:eastAsia="en-US"/>
        </w:rPr>
        <w:t xml:space="preserve">Since the commencement of the Act, 1,292 applicants have died following their first assessment. </w:t>
      </w:r>
      <w:r w:rsidR="00250860" w:rsidRPr="58CC804F">
        <w:rPr>
          <w:lang w:eastAsia="en-US"/>
        </w:rPr>
        <w:t>Of</w:t>
      </w:r>
      <w:r w:rsidR="00250860" w:rsidRPr="00D63431">
        <w:rPr>
          <w:lang w:eastAsia="en-US"/>
        </w:rPr>
        <w:t xml:space="preserve"> these</w:t>
      </w:r>
      <w:r w:rsidR="00250860" w:rsidRPr="5331B243">
        <w:rPr>
          <w:lang w:eastAsia="en-US"/>
        </w:rPr>
        <w:t xml:space="preserve">, </w:t>
      </w:r>
      <w:r w:rsidR="00250860" w:rsidRPr="2EC760C5">
        <w:rPr>
          <w:lang w:eastAsia="en-US"/>
        </w:rPr>
        <w:t>901</w:t>
      </w:r>
      <w:r w:rsidR="00250860" w:rsidRPr="00D63431">
        <w:rPr>
          <w:lang w:eastAsia="en-US"/>
        </w:rPr>
        <w:t xml:space="preserve"> were issued with a permit</w:t>
      </w:r>
      <w:r w:rsidR="00250860">
        <w:rPr>
          <w:lang w:eastAsia="en-US"/>
        </w:rPr>
        <w:t xml:space="preserve"> and 604 permit holder deaths were </w:t>
      </w:r>
      <w:proofErr w:type="gramStart"/>
      <w:r w:rsidR="00250860">
        <w:rPr>
          <w:lang w:eastAsia="en-US"/>
        </w:rPr>
        <w:t>as a result of</w:t>
      </w:r>
      <w:proofErr w:type="gramEnd"/>
      <w:r w:rsidR="00250860">
        <w:rPr>
          <w:lang w:eastAsia="en-US"/>
        </w:rPr>
        <w:t xml:space="preserve"> using the substance. </w:t>
      </w:r>
    </w:p>
    <w:p w14:paraId="5D7923FA" w14:textId="29E71C0E" w:rsidR="00D63431" w:rsidRDefault="00D63431" w:rsidP="00D63431">
      <w:pPr>
        <w:pStyle w:val="SCVbody"/>
        <w:rPr>
          <w:lang w:eastAsia="en-US"/>
        </w:rPr>
      </w:pPr>
      <w:r w:rsidRPr="00D63431">
        <w:rPr>
          <w:lang w:eastAsia="en-US"/>
        </w:rPr>
        <w:t>Cause of death data from Medical Certificates of Cause of Death was available for 1,243 of deceased applicants. Applicants who have died recently do not yet have an underlying cause of death reported.</w:t>
      </w:r>
    </w:p>
    <w:p w14:paraId="6E7BD64F" w14:textId="77777777" w:rsidR="00D63431" w:rsidRDefault="00D63431" w:rsidP="00D63431">
      <w:pPr>
        <w:pStyle w:val="SCVtablecaption"/>
        <w:rPr>
          <w:lang w:eastAsia="en-US"/>
        </w:rPr>
        <w:sectPr w:rsidR="00D63431" w:rsidSect="00EB29C3">
          <w:type w:val="continuous"/>
          <w:pgSz w:w="11906" w:h="16838" w:code="9"/>
          <w:pgMar w:top="3402" w:right="851" w:bottom="1361" w:left="851" w:header="851" w:footer="851" w:gutter="0"/>
          <w:cols w:num="2" w:space="284"/>
          <w:docGrid w:linePitch="360"/>
        </w:sectPr>
      </w:pPr>
    </w:p>
    <w:p w14:paraId="6A9A239D" w14:textId="678DCC85" w:rsidR="00D63431" w:rsidRDefault="00D63431" w:rsidP="00D63431">
      <w:pPr>
        <w:pStyle w:val="SCVtablecaption"/>
        <w:rPr>
          <w:lang w:eastAsia="en-US"/>
        </w:rPr>
      </w:pPr>
      <w:r w:rsidRPr="00D63431">
        <w:rPr>
          <w:lang w:eastAsia="en-US"/>
        </w:rPr>
        <w:t xml:space="preserve">Table </w:t>
      </w:r>
      <w:r>
        <w:rPr>
          <w:lang w:eastAsia="en-US"/>
        </w:rPr>
        <w:t>9:</w:t>
      </w:r>
      <w:r w:rsidRPr="00D63431">
        <w:rPr>
          <w:lang w:eastAsia="en-US"/>
        </w:rPr>
        <w:t xml:space="preserve"> Underlying cause of death in applicants </w:t>
      </w:r>
      <w:r w:rsidR="001E6BD3" w:rsidRPr="001353EE">
        <w:t xml:space="preserve">19 June 2019 – 30 June 2022 </w:t>
      </w:r>
      <w:r w:rsidRPr="00D63431">
        <w:rPr>
          <w:lang w:eastAsia="en-US"/>
        </w:rPr>
        <w:t>(n = 1243)</w:t>
      </w:r>
    </w:p>
    <w:tbl>
      <w:tblPr>
        <w:tblStyle w:val="TableGrid"/>
        <w:tblW w:w="10206" w:type="dxa"/>
        <w:tblLayout w:type="fixed"/>
        <w:tblLook w:val="04A0" w:firstRow="1" w:lastRow="0" w:firstColumn="1" w:lastColumn="0" w:noHBand="0" w:noVBand="1"/>
        <w:tblDescription w:val="This table outlines the underlying cause of death in applicants, The majority of applicants have a malignancy or neurodegenerative disease. "/>
      </w:tblPr>
      <w:tblGrid>
        <w:gridCol w:w="5670"/>
        <w:gridCol w:w="2268"/>
        <w:gridCol w:w="2268"/>
      </w:tblGrid>
      <w:tr w:rsidR="00D63431" w:rsidRPr="00D63431" w14:paraId="7D4B7038" w14:textId="77777777" w:rsidTr="00573EF6">
        <w:trPr>
          <w:cnfStyle w:val="100000000000" w:firstRow="1" w:lastRow="0" w:firstColumn="0" w:lastColumn="0" w:oddVBand="0" w:evenVBand="0" w:oddHBand="0" w:evenHBand="0" w:firstRowFirstColumn="0" w:firstRowLastColumn="0" w:lastRowFirstColumn="0" w:lastRowLastColumn="0"/>
          <w:cantSplit/>
        </w:trPr>
        <w:tc>
          <w:tcPr>
            <w:tcW w:w="5670" w:type="dxa"/>
            <w:hideMark/>
          </w:tcPr>
          <w:p w14:paraId="78A4AFE4" w14:textId="77777777" w:rsidR="00D63431" w:rsidRPr="00790698" w:rsidRDefault="00D63431" w:rsidP="00D63431">
            <w:pPr>
              <w:pStyle w:val="SCVtablecolhead"/>
              <w:rPr>
                <w:rFonts w:asciiTheme="majorHAnsi" w:hAnsiTheme="majorHAnsi"/>
                <w:b w:val="0"/>
              </w:rPr>
            </w:pPr>
            <w:r w:rsidRPr="00790698">
              <w:rPr>
                <w:rFonts w:asciiTheme="majorHAnsi" w:hAnsiTheme="majorHAnsi"/>
                <w:b w:val="0"/>
              </w:rPr>
              <w:t>Underlying cause of death</w:t>
            </w:r>
          </w:p>
        </w:tc>
        <w:tc>
          <w:tcPr>
            <w:tcW w:w="2268" w:type="dxa"/>
            <w:hideMark/>
          </w:tcPr>
          <w:p w14:paraId="60FCA4A1" w14:textId="77777777" w:rsidR="00D63431" w:rsidRPr="00790698" w:rsidRDefault="00D63431" w:rsidP="00D63431">
            <w:pPr>
              <w:pStyle w:val="SCVtablecolhead"/>
              <w:jc w:val="center"/>
              <w:rPr>
                <w:rFonts w:asciiTheme="majorHAnsi" w:hAnsiTheme="majorHAnsi"/>
                <w:b w:val="0"/>
              </w:rPr>
            </w:pPr>
            <w:r w:rsidRPr="00790698">
              <w:rPr>
                <w:rFonts w:asciiTheme="majorHAnsi" w:hAnsiTheme="majorHAnsi"/>
                <w:b w:val="0"/>
              </w:rPr>
              <w:t>N</w:t>
            </w:r>
          </w:p>
        </w:tc>
        <w:tc>
          <w:tcPr>
            <w:tcW w:w="2268" w:type="dxa"/>
            <w:hideMark/>
          </w:tcPr>
          <w:p w14:paraId="5744966B" w14:textId="77777777" w:rsidR="00D63431" w:rsidRPr="00790698" w:rsidRDefault="00D63431" w:rsidP="00D63431">
            <w:pPr>
              <w:pStyle w:val="SCVtablecolhead"/>
              <w:jc w:val="center"/>
              <w:rPr>
                <w:rFonts w:asciiTheme="majorHAnsi" w:hAnsiTheme="majorHAnsi"/>
                <w:b w:val="0"/>
              </w:rPr>
            </w:pPr>
            <w:r w:rsidRPr="00790698">
              <w:rPr>
                <w:rFonts w:asciiTheme="majorHAnsi" w:hAnsiTheme="majorHAnsi"/>
                <w:b w:val="0"/>
              </w:rPr>
              <w:t>%</w:t>
            </w:r>
          </w:p>
        </w:tc>
      </w:tr>
      <w:tr w:rsidR="00D63431" w:rsidRPr="00D63431" w14:paraId="0ADC0C8F" w14:textId="77777777" w:rsidTr="00573EF6">
        <w:trPr>
          <w:cantSplit/>
        </w:trPr>
        <w:tc>
          <w:tcPr>
            <w:tcW w:w="5670" w:type="dxa"/>
            <w:hideMark/>
          </w:tcPr>
          <w:p w14:paraId="521CFD05" w14:textId="77777777" w:rsidR="00D63431" w:rsidRPr="00D63431" w:rsidRDefault="00D63431" w:rsidP="003E47C8">
            <w:pPr>
              <w:pStyle w:val="SCVtablebody"/>
            </w:pPr>
            <w:r w:rsidRPr="00D63431">
              <w:t>Malignancy (primary site)</w:t>
            </w:r>
          </w:p>
        </w:tc>
        <w:tc>
          <w:tcPr>
            <w:tcW w:w="2268" w:type="dxa"/>
            <w:hideMark/>
          </w:tcPr>
          <w:p w14:paraId="3D237937" w14:textId="77777777" w:rsidR="00D63431" w:rsidRPr="00D63431" w:rsidRDefault="00D63431" w:rsidP="003E47C8">
            <w:pPr>
              <w:pStyle w:val="SCVtablebody"/>
              <w:jc w:val="center"/>
            </w:pPr>
            <w:r w:rsidRPr="00D63431">
              <w:rPr>
                <w:bCs/>
              </w:rPr>
              <w:t>1,014</w:t>
            </w:r>
          </w:p>
        </w:tc>
        <w:tc>
          <w:tcPr>
            <w:tcW w:w="2268" w:type="dxa"/>
            <w:hideMark/>
          </w:tcPr>
          <w:p w14:paraId="14EE0900" w14:textId="77777777" w:rsidR="00D63431" w:rsidRPr="00D63431" w:rsidRDefault="00D63431" w:rsidP="003E47C8">
            <w:pPr>
              <w:pStyle w:val="SCVtablebody"/>
              <w:jc w:val="center"/>
            </w:pPr>
            <w:r w:rsidRPr="00D63431">
              <w:t>81.58%</w:t>
            </w:r>
          </w:p>
        </w:tc>
      </w:tr>
      <w:tr w:rsidR="00D63431" w:rsidRPr="00D63431" w14:paraId="2B84B731" w14:textId="77777777" w:rsidTr="00573EF6">
        <w:trPr>
          <w:cantSplit/>
        </w:trPr>
        <w:tc>
          <w:tcPr>
            <w:tcW w:w="5670" w:type="dxa"/>
            <w:hideMark/>
          </w:tcPr>
          <w:p w14:paraId="36DA8F55" w14:textId="77777777" w:rsidR="00D63431" w:rsidRPr="00D63431" w:rsidRDefault="00D63431" w:rsidP="00D63431">
            <w:pPr>
              <w:pStyle w:val="SCVtablebody"/>
            </w:pPr>
            <w:r w:rsidRPr="00D63431">
              <w:t>Lung malignancy</w:t>
            </w:r>
          </w:p>
        </w:tc>
        <w:tc>
          <w:tcPr>
            <w:tcW w:w="2268" w:type="dxa"/>
            <w:hideMark/>
          </w:tcPr>
          <w:p w14:paraId="79B9915B" w14:textId="77777777" w:rsidR="00D63431" w:rsidRPr="00D63431" w:rsidRDefault="00D63431" w:rsidP="00D63431">
            <w:pPr>
              <w:pStyle w:val="SCVtablebody"/>
              <w:jc w:val="center"/>
            </w:pPr>
            <w:r w:rsidRPr="00D63431">
              <w:t>208</w:t>
            </w:r>
          </w:p>
        </w:tc>
        <w:tc>
          <w:tcPr>
            <w:tcW w:w="2268" w:type="dxa"/>
            <w:hideMark/>
          </w:tcPr>
          <w:p w14:paraId="5F0A5C53" w14:textId="77777777" w:rsidR="00D63431" w:rsidRPr="00D63431" w:rsidRDefault="00D63431" w:rsidP="00D63431">
            <w:pPr>
              <w:pStyle w:val="SCVtablebody"/>
              <w:jc w:val="center"/>
            </w:pPr>
            <w:r w:rsidRPr="00D63431">
              <w:t>16.73%</w:t>
            </w:r>
          </w:p>
        </w:tc>
      </w:tr>
      <w:tr w:rsidR="00D63431" w:rsidRPr="00D63431" w14:paraId="05B38AF9" w14:textId="77777777" w:rsidTr="00573EF6">
        <w:trPr>
          <w:cantSplit/>
        </w:trPr>
        <w:tc>
          <w:tcPr>
            <w:tcW w:w="5670" w:type="dxa"/>
            <w:hideMark/>
          </w:tcPr>
          <w:p w14:paraId="1D74A0E1" w14:textId="77777777" w:rsidR="00D63431" w:rsidRPr="00D63431" w:rsidRDefault="00D63431" w:rsidP="00D63431">
            <w:pPr>
              <w:pStyle w:val="SCVtablebody"/>
            </w:pPr>
            <w:r w:rsidRPr="00D63431">
              <w:t>Colorectal malignancy</w:t>
            </w:r>
          </w:p>
        </w:tc>
        <w:tc>
          <w:tcPr>
            <w:tcW w:w="2268" w:type="dxa"/>
            <w:hideMark/>
          </w:tcPr>
          <w:p w14:paraId="1E4C958E" w14:textId="77777777" w:rsidR="00D63431" w:rsidRPr="00D63431" w:rsidRDefault="00D63431" w:rsidP="00D63431">
            <w:pPr>
              <w:pStyle w:val="SCVtablebody"/>
              <w:jc w:val="center"/>
            </w:pPr>
            <w:r w:rsidRPr="00D63431">
              <w:t>124</w:t>
            </w:r>
          </w:p>
        </w:tc>
        <w:tc>
          <w:tcPr>
            <w:tcW w:w="2268" w:type="dxa"/>
            <w:hideMark/>
          </w:tcPr>
          <w:p w14:paraId="7B123CCD" w14:textId="77777777" w:rsidR="00D63431" w:rsidRPr="00D63431" w:rsidRDefault="00D63431" w:rsidP="00D63431">
            <w:pPr>
              <w:pStyle w:val="SCVtablebody"/>
              <w:jc w:val="center"/>
            </w:pPr>
            <w:r w:rsidRPr="00D63431">
              <w:t>9.98%</w:t>
            </w:r>
          </w:p>
        </w:tc>
      </w:tr>
      <w:tr w:rsidR="00D63431" w:rsidRPr="00D63431" w14:paraId="56783622" w14:textId="77777777" w:rsidTr="00573EF6">
        <w:trPr>
          <w:cantSplit/>
        </w:trPr>
        <w:tc>
          <w:tcPr>
            <w:tcW w:w="5670" w:type="dxa"/>
            <w:hideMark/>
          </w:tcPr>
          <w:p w14:paraId="53E727BB" w14:textId="77777777" w:rsidR="00D63431" w:rsidRPr="00D63431" w:rsidRDefault="00D63431" w:rsidP="00D63431">
            <w:pPr>
              <w:pStyle w:val="SCVtablebody"/>
            </w:pPr>
            <w:r w:rsidRPr="00D63431">
              <w:t>Other gastrointestinal malignancy</w:t>
            </w:r>
          </w:p>
        </w:tc>
        <w:tc>
          <w:tcPr>
            <w:tcW w:w="2268" w:type="dxa"/>
            <w:hideMark/>
          </w:tcPr>
          <w:p w14:paraId="65EC1064" w14:textId="77777777" w:rsidR="00D63431" w:rsidRPr="00D63431" w:rsidRDefault="00D63431" w:rsidP="00D63431">
            <w:pPr>
              <w:pStyle w:val="SCVtablebody"/>
              <w:jc w:val="center"/>
            </w:pPr>
            <w:r w:rsidRPr="00D63431">
              <w:t>123</w:t>
            </w:r>
          </w:p>
        </w:tc>
        <w:tc>
          <w:tcPr>
            <w:tcW w:w="2268" w:type="dxa"/>
            <w:hideMark/>
          </w:tcPr>
          <w:p w14:paraId="2C3DB5E7" w14:textId="77777777" w:rsidR="00D63431" w:rsidRPr="00D63431" w:rsidRDefault="00D63431" w:rsidP="00D63431">
            <w:pPr>
              <w:pStyle w:val="SCVtablebody"/>
              <w:jc w:val="center"/>
            </w:pPr>
            <w:r w:rsidRPr="00D63431">
              <w:t>9.90%</w:t>
            </w:r>
          </w:p>
        </w:tc>
      </w:tr>
      <w:tr w:rsidR="00D63431" w:rsidRPr="00D63431" w14:paraId="5893412A" w14:textId="77777777" w:rsidTr="00573EF6">
        <w:trPr>
          <w:cantSplit/>
        </w:trPr>
        <w:tc>
          <w:tcPr>
            <w:tcW w:w="5670" w:type="dxa"/>
            <w:hideMark/>
          </w:tcPr>
          <w:p w14:paraId="5CC1A0AC" w14:textId="77777777" w:rsidR="00D63431" w:rsidRPr="00D63431" w:rsidRDefault="00D63431" w:rsidP="00D63431">
            <w:pPr>
              <w:pStyle w:val="SCVtablebody"/>
            </w:pPr>
            <w:r w:rsidRPr="00D63431">
              <w:t>Pancreas malignancy</w:t>
            </w:r>
          </w:p>
        </w:tc>
        <w:tc>
          <w:tcPr>
            <w:tcW w:w="2268" w:type="dxa"/>
            <w:hideMark/>
          </w:tcPr>
          <w:p w14:paraId="0B3DDD06" w14:textId="77777777" w:rsidR="00D63431" w:rsidRPr="00D63431" w:rsidRDefault="00D63431" w:rsidP="00D63431">
            <w:pPr>
              <w:pStyle w:val="SCVtablebody"/>
              <w:jc w:val="center"/>
            </w:pPr>
            <w:r w:rsidRPr="00D63431">
              <w:t>89</w:t>
            </w:r>
          </w:p>
        </w:tc>
        <w:tc>
          <w:tcPr>
            <w:tcW w:w="2268" w:type="dxa"/>
            <w:hideMark/>
          </w:tcPr>
          <w:p w14:paraId="5F54F04A" w14:textId="77777777" w:rsidR="00D63431" w:rsidRPr="00D63431" w:rsidRDefault="00D63431" w:rsidP="00D63431">
            <w:pPr>
              <w:pStyle w:val="SCVtablebody"/>
              <w:jc w:val="center"/>
            </w:pPr>
            <w:r w:rsidRPr="00D63431">
              <w:t>7.16%</w:t>
            </w:r>
          </w:p>
        </w:tc>
      </w:tr>
      <w:tr w:rsidR="00D63431" w:rsidRPr="00D63431" w14:paraId="2448BB83" w14:textId="77777777" w:rsidTr="00573EF6">
        <w:trPr>
          <w:cantSplit/>
        </w:trPr>
        <w:tc>
          <w:tcPr>
            <w:tcW w:w="5670" w:type="dxa"/>
            <w:hideMark/>
          </w:tcPr>
          <w:p w14:paraId="2437D2E2" w14:textId="77777777" w:rsidR="00D63431" w:rsidRPr="00D63431" w:rsidRDefault="00D63431" w:rsidP="00D63431">
            <w:pPr>
              <w:pStyle w:val="SCVtablebody"/>
            </w:pPr>
            <w:r w:rsidRPr="00D63431">
              <w:t>Breast malignancy</w:t>
            </w:r>
          </w:p>
        </w:tc>
        <w:tc>
          <w:tcPr>
            <w:tcW w:w="2268" w:type="dxa"/>
            <w:hideMark/>
          </w:tcPr>
          <w:p w14:paraId="0CA1EDCA" w14:textId="77777777" w:rsidR="00D63431" w:rsidRPr="00D63431" w:rsidRDefault="00D63431" w:rsidP="00D63431">
            <w:pPr>
              <w:pStyle w:val="SCVtablebody"/>
              <w:jc w:val="center"/>
            </w:pPr>
            <w:r w:rsidRPr="00D63431">
              <w:t>84</w:t>
            </w:r>
          </w:p>
        </w:tc>
        <w:tc>
          <w:tcPr>
            <w:tcW w:w="2268" w:type="dxa"/>
            <w:hideMark/>
          </w:tcPr>
          <w:p w14:paraId="3B2C0F03" w14:textId="77777777" w:rsidR="00D63431" w:rsidRPr="00D63431" w:rsidRDefault="00D63431" w:rsidP="00D63431">
            <w:pPr>
              <w:pStyle w:val="SCVtablebody"/>
              <w:jc w:val="center"/>
            </w:pPr>
            <w:r w:rsidRPr="00D63431">
              <w:t>6.76%</w:t>
            </w:r>
          </w:p>
        </w:tc>
      </w:tr>
      <w:tr w:rsidR="00D63431" w:rsidRPr="00D63431" w14:paraId="42A01F4F" w14:textId="77777777" w:rsidTr="00573EF6">
        <w:trPr>
          <w:cantSplit/>
        </w:trPr>
        <w:tc>
          <w:tcPr>
            <w:tcW w:w="5670" w:type="dxa"/>
            <w:hideMark/>
          </w:tcPr>
          <w:p w14:paraId="154E46C4" w14:textId="77777777" w:rsidR="00D63431" w:rsidRPr="00D63431" w:rsidRDefault="00D63431" w:rsidP="00D63431">
            <w:pPr>
              <w:pStyle w:val="SCVtablebody"/>
            </w:pPr>
            <w:r w:rsidRPr="00D63431">
              <w:t>Prostate malignancy</w:t>
            </w:r>
          </w:p>
        </w:tc>
        <w:tc>
          <w:tcPr>
            <w:tcW w:w="2268" w:type="dxa"/>
            <w:hideMark/>
          </w:tcPr>
          <w:p w14:paraId="76FD8D30" w14:textId="77777777" w:rsidR="00D63431" w:rsidRPr="00D63431" w:rsidRDefault="00D63431" w:rsidP="00D63431">
            <w:pPr>
              <w:pStyle w:val="SCVtablebody"/>
              <w:jc w:val="center"/>
            </w:pPr>
            <w:r w:rsidRPr="00D63431">
              <w:t>71</w:t>
            </w:r>
          </w:p>
        </w:tc>
        <w:tc>
          <w:tcPr>
            <w:tcW w:w="2268" w:type="dxa"/>
            <w:hideMark/>
          </w:tcPr>
          <w:p w14:paraId="781E6F48" w14:textId="77777777" w:rsidR="00D63431" w:rsidRPr="00D63431" w:rsidRDefault="00D63431" w:rsidP="00D63431">
            <w:pPr>
              <w:pStyle w:val="SCVtablebody"/>
              <w:jc w:val="center"/>
            </w:pPr>
            <w:r w:rsidRPr="00D63431">
              <w:t>5.71%</w:t>
            </w:r>
          </w:p>
        </w:tc>
      </w:tr>
      <w:tr w:rsidR="00D63431" w:rsidRPr="00D63431" w14:paraId="19FE7A9B" w14:textId="77777777" w:rsidTr="00573EF6">
        <w:trPr>
          <w:cantSplit/>
        </w:trPr>
        <w:tc>
          <w:tcPr>
            <w:tcW w:w="5670" w:type="dxa"/>
            <w:hideMark/>
          </w:tcPr>
          <w:p w14:paraId="13DDE0CF" w14:textId="77777777" w:rsidR="00D63431" w:rsidRPr="00D63431" w:rsidRDefault="00D63431" w:rsidP="00D63431">
            <w:pPr>
              <w:pStyle w:val="SCVtablebody"/>
            </w:pPr>
            <w:r w:rsidRPr="00D63431">
              <w:t>Gynaecological malignancy</w:t>
            </w:r>
          </w:p>
        </w:tc>
        <w:tc>
          <w:tcPr>
            <w:tcW w:w="2268" w:type="dxa"/>
            <w:hideMark/>
          </w:tcPr>
          <w:p w14:paraId="42062723" w14:textId="77777777" w:rsidR="00D63431" w:rsidRPr="00D63431" w:rsidRDefault="00D63431" w:rsidP="00D63431">
            <w:pPr>
              <w:pStyle w:val="SCVtablebody"/>
              <w:jc w:val="center"/>
            </w:pPr>
            <w:r w:rsidRPr="00D63431">
              <w:t>60</w:t>
            </w:r>
          </w:p>
        </w:tc>
        <w:tc>
          <w:tcPr>
            <w:tcW w:w="2268" w:type="dxa"/>
            <w:hideMark/>
          </w:tcPr>
          <w:p w14:paraId="01183D90" w14:textId="77777777" w:rsidR="00D63431" w:rsidRPr="00D63431" w:rsidRDefault="00D63431" w:rsidP="00D63431">
            <w:pPr>
              <w:pStyle w:val="SCVtablebody"/>
              <w:jc w:val="center"/>
            </w:pPr>
            <w:r w:rsidRPr="00D63431">
              <w:t>4.83%</w:t>
            </w:r>
          </w:p>
        </w:tc>
      </w:tr>
      <w:tr w:rsidR="00D63431" w:rsidRPr="00D63431" w14:paraId="2A34ED3C" w14:textId="77777777" w:rsidTr="00573EF6">
        <w:trPr>
          <w:cantSplit/>
        </w:trPr>
        <w:tc>
          <w:tcPr>
            <w:tcW w:w="5670" w:type="dxa"/>
            <w:hideMark/>
          </w:tcPr>
          <w:p w14:paraId="52B2561D" w14:textId="77777777" w:rsidR="00D63431" w:rsidRPr="00D63431" w:rsidRDefault="00D63431" w:rsidP="00D63431">
            <w:pPr>
              <w:pStyle w:val="SCVtablebody"/>
            </w:pPr>
            <w:r w:rsidRPr="00D63431">
              <w:t>CNS malignancy</w:t>
            </w:r>
          </w:p>
        </w:tc>
        <w:tc>
          <w:tcPr>
            <w:tcW w:w="2268" w:type="dxa"/>
            <w:hideMark/>
          </w:tcPr>
          <w:p w14:paraId="1E9E78A8" w14:textId="77777777" w:rsidR="00D63431" w:rsidRPr="00D63431" w:rsidRDefault="00D63431" w:rsidP="00D63431">
            <w:pPr>
              <w:pStyle w:val="SCVtablebody"/>
              <w:jc w:val="center"/>
            </w:pPr>
            <w:r w:rsidRPr="00D63431">
              <w:t>51</w:t>
            </w:r>
          </w:p>
        </w:tc>
        <w:tc>
          <w:tcPr>
            <w:tcW w:w="2268" w:type="dxa"/>
            <w:hideMark/>
          </w:tcPr>
          <w:p w14:paraId="40878638" w14:textId="77777777" w:rsidR="00D63431" w:rsidRPr="00D63431" w:rsidRDefault="00D63431" w:rsidP="00D63431">
            <w:pPr>
              <w:pStyle w:val="SCVtablebody"/>
              <w:jc w:val="center"/>
            </w:pPr>
            <w:r w:rsidRPr="00D63431">
              <w:t>4.10%</w:t>
            </w:r>
          </w:p>
        </w:tc>
      </w:tr>
      <w:tr w:rsidR="00D63431" w:rsidRPr="00D63431" w14:paraId="42BBD13C" w14:textId="77777777" w:rsidTr="00573EF6">
        <w:trPr>
          <w:cantSplit/>
        </w:trPr>
        <w:tc>
          <w:tcPr>
            <w:tcW w:w="5670" w:type="dxa"/>
            <w:hideMark/>
          </w:tcPr>
          <w:p w14:paraId="4B7DD6EF" w14:textId="77777777" w:rsidR="00D63431" w:rsidRPr="00D63431" w:rsidRDefault="00D63431" w:rsidP="00D63431">
            <w:pPr>
              <w:pStyle w:val="SCVtablebody"/>
            </w:pPr>
            <w:r w:rsidRPr="00D63431">
              <w:t>Haematological malignancy</w:t>
            </w:r>
          </w:p>
        </w:tc>
        <w:tc>
          <w:tcPr>
            <w:tcW w:w="2268" w:type="dxa"/>
            <w:hideMark/>
          </w:tcPr>
          <w:p w14:paraId="35AB7B3F" w14:textId="77777777" w:rsidR="00D63431" w:rsidRPr="00D63431" w:rsidRDefault="00D63431" w:rsidP="00D63431">
            <w:pPr>
              <w:pStyle w:val="SCVtablebody"/>
              <w:jc w:val="center"/>
            </w:pPr>
            <w:r w:rsidRPr="00D63431">
              <w:t>40</w:t>
            </w:r>
          </w:p>
        </w:tc>
        <w:tc>
          <w:tcPr>
            <w:tcW w:w="2268" w:type="dxa"/>
            <w:hideMark/>
          </w:tcPr>
          <w:p w14:paraId="0EA3F35C" w14:textId="77777777" w:rsidR="00D63431" w:rsidRPr="00D63431" w:rsidRDefault="00D63431" w:rsidP="00D63431">
            <w:pPr>
              <w:pStyle w:val="SCVtablebody"/>
              <w:jc w:val="center"/>
            </w:pPr>
            <w:r w:rsidRPr="00D63431">
              <w:t>3.22%</w:t>
            </w:r>
          </w:p>
        </w:tc>
      </w:tr>
      <w:tr w:rsidR="00D63431" w:rsidRPr="00D63431" w14:paraId="43068727" w14:textId="77777777" w:rsidTr="00573EF6">
        <w:trPr>
          <w:cantSplit/>
        </w:trPr>
        <w:tc>
          <w:tcPr>
            <w:tcW w:w="5670" w:type="dxa"/>
            <w:hideMark/>
          </w:tcPr>
          <w:p w14:paraId="3A56C935" w14:textId="77777777" w:rsidR="00D63431" w:rsidRPr="00D63431" w:rsidRDefault="00D63431" w:rsidP="00D63431">
            <w:pPr>
              <w:pStyle w:val="SCVtablebody"/>
            </w:pPr>
            <w:r w:rsidRPr="00D63431">
              <w:t>Melanoma</w:t>
            </w:r>
          </w:p>
        </w:tc>
        <w:tc>
          <w:tcPr>
            <w:tcW w:w="2268" w:type="dxa"/>
            <w:hideMark/>
          </w:tcPr>
          <w:p w14:paraId="2E71CB00" w14:textId="77777777" w:rsidR="00D63431" w:rsidRPr="00D63431" w:rsidRDefault="00D63431" w:rsidP="00D63431">
            <w:pPr>
              <w:pStyle w:val="SCVtablebody"/>
              <w:jc w:val="center"/>
            </w:pPr>
            <w:r w:rsidRPr="00D63431">
              <w:t>24</w:t>
            </w:r>
          </w:p>
        </w:tc>
        <w:tc>
          <w:tcPr>
            <w:tcW w:w="2268" w:type="dxa"/>
            <w:hideMark/>
          </w:tcPr>
          <w:p w14:paraId="5E85832F" w14:textId="77777777" w:rsidR="00D63431" w:rsidRPr="00D63431" w:rsidRDefault="00D63431" w:rsidP="00D63431">
            <w:pPr>
              <w:pStyle w:val="SCVtablebody"/>
              <w:jc w:val="center"/>
            </w:pPr>
            <w:r w:rsidRPr="00D63431">
              <w:t>1.9%</w:t>
            </w:r>
          </w:p>
        </w:tc>
      </w:tr>
      <w:tr w:rsidR="00D63431" w:rsidRPr="00D63431" w14:paraId="38FBAFF5" w14:textId="77777777" w:rsidTr="00573EF6">
        <w:trPr>
          <w:cantSplit/>
        </w:trPr>
        <w:tc>
          <w:tcPr>
            <w:tcW w:w="5670" w:type="dxa"/>
            <w:hideMark/>
          </w:tcPr>
          <w:p w14:paraId="6C7BBE47" w14:textId="77777777" w:rsidR="00D63431" w:rsidRPr="00D63431" w:rsidRDefault="00D63431" w:rsidP="00D63431">
            <w:pPr>
              <w:pStyle w:val="SCVtablebody"/>
            </w:pPr>
            <w:r w:rsidRPr="00D63431">
              <w:t>Other malignancy*</w:t>
            </w:r>
          </w:p>
        </w:tc>
        <w:tc>
          <w:tcPr>
            <w:tcW w:w="2268" w:type="dxa"/>
            <w:hideMark/>
          </w:tcPr>
          <w:p w14:paraId="623FA533" w14:textId="77777777" w:rsidR="00D63431" w:rsidRPr="00D63431" w:rsidRDefault="00D63431" w:rsidP="00D63431">
            <w:pPr>
              <w:pStyle w:val="SCVtablebody"/>
              <w:jc w:val="center"/>
            </w:pPr>
            <w:r w:rsidRPr="00D63431">
              <w:t>140</w:t>
            </w:r>
          </w:p>
        </w:tc>
        <w:tc>
          <w:tcPr>
            <w:tcW w:w="2268" w:type="dxa"/>
            <w:hideMark/>
          </w:tcPr>
          <w:p w14:paraId="3EB175A9" w14:textId="77777777" w:rsidR="00D63431" w:rsidRPr="00D63431" w:rsidRDefault="00D63431" w:rsidP="00D63431">
            <w:pPr>
              <w:pStyle w:val="SCVtablebody"/>
              <w:jc w:val="center"/>
            </w:pPr>
            <w:r w:rsidRPr="00D63431">
              <w:t>11.3%</w:t>
            </w:r>
          </w:p>
        </w:tc>
      </w:tr>
      <w:tr w:rsidR="00D63431" w:rsidRPr="00D63431" w14:paraId="06DB0B3F" w14:textId="77777777" w:rsidTr="00573EF6">
        <w:trPr>
          <w:cantSplit/>
        </w:trPr>
        <w:tc>
          <w:tcPr>
            <w:tcW w:w="5670" w:type="dxa"/>
            <w:hideMark/>
          </w:tcPr>
          <w:p w14:paraId="2A9A227F" w14:textId="77777777" w:rsidR="00D63431" w:rsidRPr="00D63431" w:rsidRDefault="00D63431" w:rsidP="003E47C8">
            <w:pPr>
              <w:pStyle w:val="SCVtablebody"/>
            </w:pPr>
            <w:r w:rsidRPr="00D63431">
              <w:t>Neurodegenerative disease</w:t>
            </w:r>
          </w:p>
        </w:tc>
        <w:tc>
          <w:tcPr>
            <w:tcW w:w="2268" w:type="dxa"/>
            <w:hideMark/>
          </w:tcPr>
          <w:p w14:paraId="762A2977" w14:textId="77777777" w:rsidR="00D63431" w:rsidRPr="00D63431" w:rsidRDefault="00D63431" w:rsidP="003E47C8">
            <w:pPr>
              <w:pStyle w:val="SCVtablebody"/>
              <w:jc w:val="center"/>
            </w:pPr>
            <w:r w:rsidRPr="00D63431">
              <w:t>120</w:t>
            </w:r>
          </w:p>
        </w:tc>
        <w:tc>
          <w:tcPr>
            <w:tcW w:w="2268" w:type="dxa"/>
            <w:hideMark/>
          </w:tcPr>
          <w:p w14:paraId="4A85B76F" w14:textId="77777777" w:rsidR="00D63431" w:rsidRPr="00D63431" w:rsidRDefault="00D63431" w:rsidP="003E47C8">
            <w:pPr>
              <w:pStyle w:val="SCVtablebody"/>
              <w:jc w:val="center"/>
            </w:pPr>
            <w:r w:rsidRPr="00D63431">
              <w:t>9.65%</w:t>
            </w:r>
          </w:p>
        </w:tc>
      </w:tr>
      <w:tr w:rsidR="00D63431" w:rsidRPr="00D63431" w14:paraId="2D2B74E1" w14:textId="77777777" w:rsidTr="00573EF6">
        <w:trPr>
          <w:cantSplit/>
        </w:trPr>
        <w:tc>
          <w:tcPr>
            <w:tcW w:w="5670" w:type="dxa"/>
            <w:hideMark/>
          </w:tcPr>
          <w:p w14:paraId="1C4B3546" w14:textId="77777777" w:rsidR="00D63431" w:rsidRPr="00D63431" w:rsidRDefault="00D63431" w:rsidP="00D63431">
            <w:pPr>
              <w:pStyle w:val="SCVtablebody"/>
            </w:pPr>
            <w:r w:rsidRPr="00D63431">
              <w:t>Motor neurone disease</w:t>
            </w:r>
          </w:p>
        </w:tc>
        <w:tc>
          <w:tcPr>
            <w:tcW w:w="2268" w:type="dxa"/>
            <w:hideMark/>
          </w:tcPr>
          <w:p w14:paraId="0C47798D" w14:textId="77777777" w:rsidR="00D63431" w:rsidRPr="00D63431" w:rsidRDefault="00D63431" w:rsidP="00D63431">
            <w:pPr>
              <w:pStyle w:val="SCVtablebody"/>
              <w:jc w:val="center"/>
            </w:pPr>
            <w:r w:rsidRPr="00D63431">
              <w:t>95</w:t>
            </w:r>
          </w:p>
        </w:tc>
        <w:tc>
          <w:tcPr>
            <w:tcW w:w="2268" w:type="dxa"/>
            <w:hideMark/>
          </w:tcPr>
          <w:p w14:paraId="2D0ED5C3" w14:textId="77777777" w:rsidR="00D63431" w:rsidRPr="00D63431" w:rsidRDefault="00D63431" w:rsidP="00D63431">
            <w:pPr>
              <w:pStyle w:val="SCVtablebody"/>
              <w:jc w:val="center"/>
            </w:pPr>
            <w:r w:rsidRPr="00D63431">
              <w:t>7.64%</w:t>
            </w:r>
          </w:p>
        </w:tc>
      </w:tr>
      <w:tr w:rsidR="00D63431" w:rsidRPr="00D63431" w14:paraId="0329179B" w14:textId="77777777" w:rsidTr="00573EF6">
        <w:trPr>
          <w:cantSplit/>
        </w:trPr>
        <w:tc>
          <w:tcPr>
            <w:tcW w:w="5670" w:type="dxa"/>
            <w:hideMark/>
          </w:tcPr>
          <w:p w14:paraId="772FA9CF" w14:textId="77777777" w:rsidR="00D63431" w:rsidRPr="00D63431" w:rsidRDefault="00D63431" w:rsidP="00D63431">
            <w:pPr>
              <w:pStyle w:val="SCVtablebody"/>
            </w:pPr>
            <w:r w:rsidRPr="00D63431">
              <w:t>Other neurodegenerative diseases**</w:t>
            </w:r>
          </w:p>
        </w:tc>
        <w:tc>
          <w:tcPr>
            <w:tcW w:w="2268" w:type="dxa"/>
            <w:hideMark/>
          </w:tcPr>
          <w:p w14:paraId="7A9274BD" w14:textId="77777777" w:rsidR="00D63431" w:rsidRPr="00D63431" w:rsidRDefault="00D63431" w:rsidP="00D63431">
            <w:pPr>
              <w:pStyle w:val="SCVtablebody"/>
              <w:jc w:val="center"/>
            </w:pPr>
            <w:r w:rsidRPr="00D63431">
              <w:t>25</w:t>
            </w:r>
          </w:p>
        </w:tc>
        <w:tc>
          <w:tcPr>
            <w:tcW w:w="2268" w:type="dxa"/>
            <w:hideMark/>
          </w:tcPr>
          <w:p w14:paraId="5F957151" w14:textId="77777777" w:rsidR="00D63431" w:rsidRPr="00D63431" w:rsidRDefault="00D63431" w:rsidP="00D63431">
            <w:pPr>
              <w:pStyle w:val="SCVtablebody"/>
              <w:jc w:val="center"/>
            </w:pPr>
            <w:r w:rsidRPr="00D63431">
              <w:t>2.01%</w:t>
            </w:r>
          </w:p>
        </w:tc>
      </w:tr>
      <w:tr w:rsidR="00D63431" w:rsidRPr="00D63431" w14:paraId="21BF4432" w14:textId="77777777" w:rsidTr="00573EF6">
        <w:trPr>
          <w:cantSplit/>
        </w:trPr>
        <w:tc>
          <w:tcPr>
            <w:tcW w:w="5670" w:type="dxa"/>
            <w:hideMark/>
          </w:tcPr>
          <w:p w14:paraId="5A7B4D5B" w14:textId="77777777" w:rsidR="00D63431" w:rsidRPr="00D63431" w:rsidRDefault="00D63431" w:rsidP="003E47C8">
            <w:pPr>
              <w:pStyle w:val="SCVtablebody"/>
            </w:pPr>
            <w:r w:rsidRPr="00D63431">
              <w:t>Other conditions</w:t>
            </w:r>
          </w:p>
        </w:tc>
        <w:tc>
          <w:tcPr>
            <w:tcW w:w="2268" w:type="dxa"/>
            <w:hideMark/>
          </w:tcPr>
          <w:p w14:paraId="475370CE" w14:textId="77777777" w:rsidR="00D63431" w:rsidRPr="00D63431" w:rsidRDefault="00D63431" w:rsidP="003E47C8">
            <w:pPr>
              <w:pStyle w:val="SCVtablebody"/>
              <w:jc w:val="center"/>
            </w:pPr>
            <w:r w:rsidRPr="00D63431">
              <w:t>109</w:t>
            </w:r>
          </w:p>
        </w:tc>
        <w:tc>
          <w:tcPr>
            <w:tcW w:w="2268" w:type="dxa"/>
            <w:hideMark/>
          </w:tcPr>
          <w:p w14:paraId="671B6A06" w14:textId="77777777" w:rsidR="00D63431" w:rsidRPr="00D63431" w:rsidRDefault="00D63431" w:rsidP="003E47C8">
            <w:pPr>
              <w:pStyle w:val="SCVtablebody"/>
              <w:jc w:val="center"/>
            </w:pPr>
            <w:r w:rsidRPr="00D63431">
              <w:t>8.77%</w:t>
            </w:r>
          </w:p>
        </w:tc>
      </w:tr>
      <w:tr w:rsidR="00D63431" w:rsidRPr="00D63431" w14:paraId="1C619D7C" w14:textId="77777777" w:rsidTr="00573EF6">
        <w:trPr>
          <w:cantSplit/>
        </w:trPr>
        <w:tc>
          <w:tcPr>
            <w:tcW w:w="5670" w:type="dxa"/>
            <w:hideMark/>
          </w:tcPr>
          <w:p w14:paraId="41A7E7BD" w14:textId="77777777" w:rsidR="00D63431" w:rsidRPr="00D63431" w:rsidRDefault="00D63431" w:rsidP="00D63431">
            <w:pPr>
              <w:pStyle w:val="SCVtablebody"/>
            </w:pPr>
            <w:r w:rsidRPr="00D63431">
              <w:t>Cardiovascular disease</w:t>
            </w:r>
          </w:p>
        </w:tc>
        <w:tc>
          <w:tcPr>
            <w:tcW w:w="2268" w:type="dxa"/>
            <w:hideMark/>
          </w:tcPr>
          <w:p w14:paraId="617212A1" w14:textId="77777777" w:rsidR="00D63431" w:rsidRPr="00D63431" w:rsidRDefault="00D63431" w:rsidP="00D63431">
            <w:pPr>
              <w:pStyle w:val="SCVtablebody"/>
              <w:jc w:val="center"/>
            </w:pPr>
            <w:r w:rsidRPr="00D63431">
              <w:t>23</w:t>
            </w:r>
          </w:p>
        </w:tc>
        <w:tc>
          <w:tcPr>
            <w:tcW w:w="2268" w:type="dxa"/>
            <w:hideMark/>
          </w:tcPr>
          <w:p w14:paraId="70418393" w14:textId="77777777" w:rsidR="00D63431" w:rsidRPr="00D63431" w:rsidRDefault="00D63431" w:rsidP="00D63431">
            <w:pPr>
              <w:pStyle w:val="SCVtablebody"/>
              <w:jc w:val="center"/>
            </w:pPr>
            <w:r w:rsidRPr="00D63431">
              <w:t>1.85%</w:t>
            </w:r>
          </w:p>
        </w:tc>
      </w:tr>
      <w:tr w:rsidR="00D63431" w:rsidRPr="00D63431" w14:paraId="584A89B4" w14:textId="77777777" w:rsidTr="00573EF6">
        <w:trPr>
          <w:cantSplit/>
        </w:trPr>
        <w:tc>
          <w:tcPr>
            <w:tcW w:w="5670" w:type="dxa"/>
            <w:hideMark/>
          </w:tcPr>
          <w:p w14:paraId="67E353EB" w14:textId="77777777" w:rsidR="00D63431" w:rsidRPr="00D63431" w:rsidRDefault="00D63431" w:rsidP="00D63431">
            <w:pPr>
              <w:pStyle w:val="SCVtablebody"/>
            </w:pPr>
            <w:r w:rsidRPr="00D63431">
              <w:t>Respiratory failure</w:t>
            </w:r>
          </w:p>
        </w:tc>
        <w:tc>
          <w:tcPr>
            <w:tcW w:w="2268" w:type="dxa"/>
            <w:hideMark/>
          </w:tcPr>
          <w:p w14:paraId="17174F37" w14:textId="77777777" w:rsidR="00D63431" w:rsidRPr="00D63431" w:rsidRDefault="00D63431" w:rsidP="00D63431">
            <w:pPr>
              <w:pStyle w:val="SCVtablebody"/>
              <w:jc w:val="center"/>
            </w:pPr>
            <w:r w:rsidRPr="00D63431">
              <w:t>52</w:t>
            </w:r>
          </w:p>
        </w:tc>
        <w:tc>
          <w:tcPr>
            <w:tcW w:w="2268" w:type="dxa"/>
            <w:hideMark/>
          </w:tcPr>
          <w:p w14:paraId="7446B995" w14:textId="77777777" w:rsidR="00D63431" w:rsidRPr="00D63431" w:rsidRDefault="00D63431" w:rsidP="00D63431">
            <w:pPr>
              <w:pStyle w:val="SCVtablebody"/>
              <w:jc w:val="center"/>
            </w:pPr>
            <w:r w:rsidRPr="00D63431">
              <w:t>4.18%</w:t>
            </w:r>
          </w:p>
        </w:tc>
      </w:tr>
      <w:tr w:rsidR="00D63431" w:rsidRPr="00D63431" w14:paraId="20B3D504" w14:textId="77777777" w:rsidTr="00573EF6">
        <w:trPr>
          <w:cantSplit/>
        </w:trPr>
        <w:tc>
          <w:tcPr>
            <w:tcW w:w="5670" w:type="dxa"/>
            <w:hideMark/>
          </w:tcPr>
          <w:p w14:paraId="3E91B2E8" w14:textId="77777777" w:rsidR="00D63431" w:rsidRPr="00D63431" w:rsidRDefault="00D63431" w:rsidP="00D63431">
            <w:pPr>
              <w:pStyle w:val="SCVtablebody"/>
            </w:pPr>
            <w:r w:rsidRPr="00D63431">
              <w:t>Other</w:t>
            </w:r>
            <w:r w:rsidRPr="003E47C8">
              <w:t>#</w:t>
            </w:r>
          </w:p>
        </w:tc>
        <w:tc>
          <w:tcPr>
            <w:tcW w:w="2268" w:type="dxa"/>
            <w:hideMark/>
          </w:tcPr>
          <w:p w14:paraId="76893310" w14:textId="77777777" w:rsidR="00D63431" w:rsidRPr="00D63431" w:rsidRDefault="00D63431" w:rsidP="00D63431">
            <w:pPr>
              <w:pStyle w:val="SCVtablebody"/>
              <w:jc w:val="center"/>
            </w:pPr>
            <w:r w:rsidRPr="00D63431">
              <w:t>34</w:t>
            </w:r>
          </w:p>
        </w:tc>
        <w:tc>
          <w:tcPr>
            <w:tcW w:w="2268" w:type="dxa"/>
            <w:hideMark/>
          </w:tcPr>
          <w:p w14:paraId="0878E347" w14:textId="77777777" w:rsidR="00D63431" w:rsidRPr="00D63431" w:rsidRDefault="00D63431" w:rsidP="00D63431">
            <w:pPr>
              <w:pStyle w:val="SCVtablebody"/>
              <w:jc w:val="center"/>
            </w:pPr>
            <w:r w:rsidRPr="00D63431">
              <w:t>2.74%</w:t>
            </w:r>
          </w:p>
        </w:tc>
      </w:tr>
    </w:tbl>
    <w:p w14:paraId="38C8C1D7" w14:textId="4270BE79" w:rsidR="00D63431" w:rsidRDefault="00D63431" w:rsidP="00D63431">
      <w:pPr>
        <w:pStyle w:val="SCVtablefigurenote"/>
        <w:rPr>
          <w:lang w:eastAsia="en-US"/>
        </w:rPr>
      </w:pPr>
      <w:r w:rsidRPr="00D63431">
        <w:rPr>
          <w:lang w:eastAsia="en-US"/>
        </w:rPr>
        <w:t>*</w:t>
      </w:r>
      <w:r>
        <w:rPr>
          <w:lang w:eastAsia="en-US"/>
        </w:rPr>
        <w:t xml:space="preserve"> Other malignancies include sarcomas, renal cancer</w:t>
      </w:r>
      <w:r w:rsidRPr="3A05EF24">
        <w:rPr>
          <w:lang w:eastAsia="en-US"/>
        </w:rPr>
        <w:t>,</w:t>
      </w:r>
      <w:r>
        <w:rPr>
          <w:lang w:eastAsia="en-US"/>
        </w:rPr>
        <w:t xml:space="preserve"> and metastatic cancers of unknown primary site</w:t>
      </w:r>
    </w:p>
    <w:p w14:paraId="08C13A56" w14:textId="23E39F69" w:rsidR="00D63431" w:rsidRDefault="00D63431" w:rsidP="00D63431">
      <w:pPr>
        <w:pStyle w:val="SCVtablefigurenote"/>
        <w:rPr>
          <w:lang w:eastAsia="en-US"/>
        </w:rPr>
      </w:pPr>
      <w:r>
        <w:rPr>
          <w:lang w:eastAsia="en-US"/>
        </w:rPr>
        <w:t xml:space="preserve">** Other neurodegenerative diseases include Parkinson’s disease and rare neurodegenerative disorders </w:t>
      </w:r>
    </w:p>
    <w:p w14:paraId="1BB7BD07" w14:textId="514E47D3" w:rsidR="00D63431" w:rsidRDefault="00D63431" w:rsidP="00D63431">
      <w:pPr>
        <w:pStyle w:val="SCVtablefigurenote"/>
        <w:rPr>
          <w:lang w:eastAsia="en-US"/>
        </w:rPr>
      </w:pPr>
      <w:r>
        <w:rPr>
          <w:lang w:eastAsia="en-US"/>
        </w:rPr>
        <w:t xml:space="preserve"># Other conditions </w:t>
      </w:r>
      <w:r w:rsidRPr="7DFCFFC6">
        <w:rPr>
          <w:lang w:eastAsia="en-US"/>
        </w:rPr>
        <w:t>include</w:t>
      </w:r>
      <w:r>
        <w:rPr>
          <w:lang w:eastAsia="en-US"/>
        </w:rPr>
        <w:t xml:space="preserve"> conditions such as renal failure, and cases where only an immediate cause of death was recorded</w:t>
      </w:r>
      <w:r w:rsidR="00B46F15">
        <w:rPr>
          <w:lang w:eastAsia="en-US"/>
        </w:rPr>
        <w:t>,</w:t>
      </w:r>
      <w:r>
        <w:rPr>
          <w:lang w:eastAsia="en-US"/>
        </w:rPr>
        <w:t xml:space="preserve"> </w:t>
      </w:r>
      <w:bookmarkStart w:id="30" w:name="_Int_gvB2crsq"/>
      <w:r>
        <w:rPr>
          <w:lang w:eastAsia="en-US"/>
        </w:rPr>
        <w:t>e.g.</w:t>
      </w:r>
      <w:bookmarkEnd w:id="30"/>
      <w:r>
        <w:rPr>
          <w:lang w:eastAsia="en-US"/>
        </w:rPr>
        <w:t xml:space="preserve"> respiratory arrest or pneumonia.</w:t>
      </w:r>
    </w:p>
    <w:p w14:paraId="4F7CEC75" w14:textId="3089C4B5" w:rsidR="00D63431" w:rsidRDefault="00D63431" w:rsidP="00D63431">
      <w:pPr>
        <w:pStyle w:val="Heading2"/>
        <w:rPr>
          <w:lang w:eastAsia="en-US"/>
        </w:rPr>
      </w:pPr>
      <w:r>
        <w:rPr>
          <w:lang w:eastAsia="en-US"/>
        </w:rPr>
        <w:lastRenderedPageBreak/>
        <w:t xml:space="preserve">Manner of </w:t>
      </w:r>
      <w:r w:rsidR="00746DBB">
        <w:rPr>
          <w:lang w:eastAsia="en-US"/>
        </w:rPr>
        <w:t>d</w:t>
      </w:r>
      <w:r>
        <w:rPr>
          <w:lang w:eastAsia="en-US"/>
        </w:rPr>
        <w:t xml:space="preserve">eath </w:t>
      </w:r>
    </w:p>
    <w:p w14:paraId="375656EB" w14:textId="77777777" w:rsidR="00D63431" w:rsidRDefault="00D63431" w:rsidP="00D63431">
      <w:pPr>
        <w:pStyle w:val="SCVbody"/>
        <w:rPr>
          <w:lang w:eastAsia="en-US"/>
        </w:rPr>
        <w:sectPr w:rsidR="00D63431" w:rsidSect="00EB29C3">
          <w:type w:val="continuous"/>
          <w:pgSz w:w="11906" w:h="16838" w:code="9"/>
          <w:pgMar w:top="3402" w:right="851" w:bottom="1361" w:left="851" w:header="851" w:footer="851" w:gutter="0"/>
          <w:cols w:space="284"/>
          <w:docGrid w:linePitch="360"/>
        </w:sectPr>
      </w:pPr>
    </w:p>
    <w:p w14:paraId="06881907" w14:textId="7D9398C4" w:rsidR="00D63431" w:rsidRDefault="00D63431" w:rsidP="00D63431">
      <w:pPr>
        <w:pStyle w:val="SCVbody"/>
        <w:rPr>
          <w:lang w:eastAsia="en-US"/>
        </w:rPr>
      </w:pPr>
      <w:r>
        <w:rPr>
          <w:lang w:eastAsia="en-US"/>
        </w:rPr>
        <w:t>In total</w:t>
      </w:r>
      <w:r w:rsidR="00B46F15">
        <w:rPr>
          <w:lang w:eastAsia="en-US"/>
        </w:rPr>
        <w:t>,</w:t>
      </w:r>
      <w:r>
        <w:rPr>
          <w:lang w:eastAsia="en-US"/>
        </w:rPr>
        <w:t xml:space="preserve"> 901 applicants who were issued with a permit for self-administration or practitioner administration of a voluntary assisted dying substance subsequently died. </w:t>
      </w:r>
    </w:p>
    <w:p w14:paraId="36C8EE2E" w14:textId="77777777" w:rsidR="00250860" w:rsidRPr="00D63431" w:rsidRDefault="00250860" w:rsidP="00250860">
      <w:pPr>
        <w:pStyle w:val="SCVbody"/>
        <w:rPr>
          <w:lang w:eastAsia="en-US"/>
        </w:rPr>
      </w:pPr>
      <w:r w:rsidRPr="00D63431">
        <w:rPr>
          <w:lang w:eastAsia="en-US"/>
        </w:rPr>
        <w:t>Practitioner administration permits may be applied for when an applicant is physically incapable of self-administration or digestion of the substance.</w:t>
      </w:r>
    </w:p>
    <w:p w14:paraId="2E34D0D3" w14:textId="77777777" w:rsidR="00D63431" w:rsidRDefault="00D63431" w:rsidP="00D63431">
      <w:pPr>
        <w:pStyle w:val="SCVbody"/>
        <w:rPr>
          <w:lang w:eastAsia="en-US"/>
        </w:rPr>
      </w:pPr>
      <w:r>
        <w:rPr>
          <w:lang w:eastAsia="en-US"/>
        </w:rPr>
        <w:t>Among the permit holders who died:</w:t>
      </w:r>
    </w:p>
    <w:p w14:paraId="5B7BE9B4" w14:textId="20F2D8F9" w:rsidR="00D63431" w:rsidRDefault="00D63431" w:rsidP="00D63431">
      <w:pPr>
        <w:pStyle w:val="SCVbullet1"/>
        <w:rPr>
          <w:lang w:eastAsia="en-US"/>
        </w:rPr>
      </w:pPr>
      <w:r>
        <w:rPr>
          <w:lang w:eastAsia="en-US"/>
        </w:rPr>
        <w:t>57</w:t>
      </w:r>
      <w:r w:rsidR="009D7017">
        <w:rPr>
          <w:lang w:eastAsia="en-US"/>
        </w:rPr>
        <w:t xml:space="preserve"> per cent</w:t>
      </w:r>
      <w:r>
        <w:rPr>
          <w:lang w:eastAsia="en-US"/>
        </w:rPr>
        <w:t xml:space="preserve"> died through self-administration of a voluntary assisted dying substance</w:t>
      </w:r>
    </w:p>
    <w:p w14:paraId="37FCF579" w14:textId="546B44D8" w:rsidR="00D63431" w:rsidRDefault="00D63431" w:rsidP="00D63431">
      <w:pPr>
        <w:pStyle w:val="SCVbullet1"/>
        <w:rPr>
          <w:lang w:eastAsia="en-US"/>
        </w:rPr>
      </w:pPr>
      <w:r>
        <w:rPr>
          <w:lang w:eastAsia="en-US"/>
        </w:rPr>
        <w:t>10</w:t>
      </w:r>
      <w:r w:rsidR="009D7017">
        <w:rPr>
          <w:lang w:eastAsia="en-US"/>
        </w:rPr>
        <w:t xml:space="preserve"> per cent</w:t>
      </w:r>
      <w:r>
        <w:rPr>
          <w:lang w:eastAsia="en-US"/>
        </w:rPr>
        <w:t xml:space="preserve"> died by administration of a voluntary assisted dying substance by a medical practitioner</w:t>
      </w:r>
    </w:p>
    <w:p w14:paraId="30E8B32B" w14:textId="6B1862B1" w:rsidR="00D63431" w:rsidRDefault="00D63431" w:rsidP="00D63431">
      <w:pPr>
        <w:pStyle w:val="SCVbullet1"/>
        <w:rPr>
          <w:lang w:eastAsia="en-US"/>
        </w:rPr>
      </w:pPr>
      <w:r>
        <w:rPr>
          <w:lang w:eastAsia="en-US"/>
        </w:rPr>
        <w:t>32</w:t>
      </w:r>
      <w:r w:rsidR="009D7017">
        <w:rPr>
          <w:lang w:eastAsia="en-US"/>
        </w:rPr>
        <w:t xml:space="preserve"> per cent</w:t>
      </w:r>
      <w:r>
        <w:rPr>
          <w:lang w:eastAsia="en-US"/>
        </w:rPr>
        <w:t xml:space="preserve"> died without the administration of a voluntary assisted dying substance </w:t>
      </w:r>
    </w:p>
    <w:p w14:paraId="28BC33E0" w14:textId="2A043330" w:rsidR="00D63431" w:rsidRDefault="00D63431" w:rsidP="00D63431">
      <w:pPr>
        <w:pStyle w:val="SCVbullet1"/>
        <w:rPr>
          <w:lang w:eastAsia="en-US"/>
        </w:rPr>
      </w:pPr>
      <w:r>
        <w:rPr>
          <w:lang w:eastAsia="en-US"/>
        </w:rPr>
        <w:t>1</w:t>
      </w:r>
      <w:r w:rsidR="009D7017">
        <w:rPr>
          <w:lang w:eastAsia="en-US"/>
        </w:rPr>
        <w:t xml:space="preserve"> per cent</w:t>
      </w:r>
      <w:r>
        <w:rPr>
          <w:lang w:eastAsia="en-US"/>
        </w:rPr>
        <w:t xml:space="preserve"> died recently and their manner of death has not yet been reported to the Board.</w:t>
      </w:r>
    </w:p>
    <w:p w14:paraId="1E850FAB" w14:textId="571EDD15" w:rsidR="00D63431" w:rsidRDefault="00D63431" w:rsidP="00D63431">
      <w:pPr>
        <w:pStyle w:val="SCVbody"/>
        <w:rPr>
          <w:lang w:eastAsia="en-US"/>
        </w:rPr>
      </w:pPr>
      <w:r>
        <w:rPr>
          <w:lang w:eastAsia="en-US"/>
        </w:rPr>
        <w:t>These proportions have been stable over time, although the number of people granted permits has increased each year since the Act commenced.</w:t>
      </w:r>
    </w:p>
    <w:p w14:paraId="301D22B9" w14:textId="77777777" w:rsidR="00D63431" w:rsidRDefault="00D63431" w:rsidP="00D63431">
      <w:pPr>
        <w:pStyle w:val="SCVbody"/>
        <w:rPr>
          <w:lang w:eastAsia="en-US"/>
        </w:rPr>
      </w:pPr>
    </w:p>
    <w:p w14:paraId="75A0FB95" w14:textId="176F9E6B" w:rsidR="00D63431" w:rsidRDefault="00D63431" w:rsidP="00D63431">
      <w:pPr>
        <w:pStyle w:val="SCVbody"/>
        <w:rPr>
          <w:lang w:eastAsia="en-US"/>
        </w:rPr>
        <w:sectPr w:rsidR="00D63431" w:rsidSect="00EB29C3">
          <w:type w:val="continuous"/>
          <w:pgSz w:w="11906" w:h="16838" w:code="9"/>
          <w:pgMar w:top="3402" w:right="851" w:bottom="1361" w:left="851" w:header="851" w:footer="851" w:gutter="0"/>
          <w:cols w:num="2" w:space="284"/>
          <w:docGrid w:linePitch="360"/>
        </w:sectPr>
      </w:pPr>
    </w:p>
    <w:p w14:paraId="5E5D40E6" w14:textId="3B700D5B" w:rsidR="00D63431" w:rsidRDefault="00D63431" w:rsidP="00D63431">
      <w:pPr>
        <w:pStyle w:val="SCVfigurecaption"/>
        <w:rPr>
          <w:lang w:eastAsia="en-US"/>
        </w:rPr>
      </w:pPr>
      <w:r>
        <w:rPr>
          <w:lang w:eastAsia="en-US"/>
        </w:rPr>
        <w:t xml:space="preserve">Figure </w:t>
      </w:r>
      <w:r w:rsidR="00673F0E">
        <w:rPr>
          <w:lang w:eastAsia="en-US"/>
        </w:rPr>
        <w:t>6</w:t>
      </w:r>
      <w:r>
        <w:rPr>
          <w:lang w:eastAsia="en-US"/>
        </w:rPr>
        <w:t xml:space="preserve">: </w:t>
      </w:r>
      <w:r w:rsidRPr="00D63431">
        <w:rPr>
          <w:lang w:eastAsia="en-US"/>
        </w:rPr>
        <w:t>Manner of death for all permit holders who died (n = 901) *</w:t>
      </w:r>
    </w:p>
    <w:p w14:paraId="7A113D4E" w14:textId="5D067AAD" w:rsidR="004C4040" w:rsidRDefault="006B6BD6" w:rsidP="0092094E">
      <w:pPr>
        <w:pStyle w:val="SCVtablefigurenote"/>
        <w:rPr>
          <w:lang w:eastAsia="en-US"/>
        </w:rPr>
      </w:pPr>
      <w:r>
        <w:rPr>
          <w:noProof/>
          <w:lang w:eastAsia="en-US"/>
        </w:rPr>
        <w:drawing>
          <wp:inline distT="0" distB="0" distL="0" distR="0" wp14:anchorId="5C9D2B91" wp14:editId="2BC738F6">
            <wp:extent cx="6511637" cy="3200400"/>
            <wp:effectExtent l="0" t="0" r="3810" b="0"/>
            <wp:docPr id="18" name="Chart 18" descr="This graph shows that 'administration of the substance by a medical practitioner is the lowest manner of death followed by manner of death not related to administration of the substance. The most deaths were by self-administration. For all types, the numbers increase each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D92C1B7" w14:textId="1E945872" w:rsidR="00D63431" w:rsidRDefault="00D63431" w:rsidP="00937D9F">
      <w:pPr>
        <w:pStyle w:val="SCVtablefigurenote"/>
        <w:rPr>
          <w:lang w:eastAsia="en-US"/>
        </w:rPr>
      </w:pPr>
      <w:r w:rsidRPr="00D63431">
        <w:rPr>
          <w:sz w:val="19"/>
          <w:szCs w:val="19"/>
          <w:lang w:eastAsia="en-US"/>
        </w:rPr>
        <w:t>*</w:t>
      </w:r>
      <w:r>
        <w:rPr>
          <w:lang w:eastAsia="en-US"/>
        </w:rPr>
        <w:t xml:space="preserve"> </w:t>
      </w:r>
      <w:r w:rsidRPr="00D63431">
        <w:rPr>
          <w:lang w:eastAsia="en-US"/>
        </w:rPr>
        <w:t xml:space="preserve">Note that data from 2018-19 has not been presented in this figure as only </w:t>
      </w:r>
      <w:r w:rsidR="005C7482">
        <w:rPr>
          <w:lang w:eastAsia="en-US"/>
        </w:rPr>
        <w:t>one</w:t>
      </w:r>
      <w:r w:rsidRPr="00D63431">
        <w:rPr>
          <w:lang w:eastAsia="en-US"/>
        </w:rPr>
        <w:t xml:space="preserve"> death occurred in the </w:t>
      </w:r>
      <w:r w:rsidR="005C7482">
        <w:rPr>
          <w:lang w:eastAsia="en-US"/>
        </w:rPr>
        <w:t>nine</w:t>
      </w:r>
      <w:r w:rsidRPr="00D63431">
        <w:rPr>
          <w:lang w:eastAsia="en-US"/>
        </w:rPr>
        <w:t xml:space="preserve"> days of operation of the Act in this </w:t>
      </w:r>
      <w:bookmarkStart w:id="31" w:name="_Int_tRe7Nc4V"/>
      <w:r w:rsidRPr="00D63431">
        <w:rPr>
          <w:lang w:eastAsia="en-US"/>
        </w:rPr>
        <w:t>financial year</w:t>
      </w:r>
      <w:bookmarkEnd w:id="31"/>
      <w:r w:rsidRPr="00D63431">
        <w:rPr>
          <w:lang w:eastAsia="en-US"/>
        </w:rPr>
        <w:t>. Six permit holders who died recently have not yet had their manner of death reported to the Board.</w:t>
      </w:r>
    </w:p>
    <w:p w14:paraId="3C11CF80" w14:textId="77777777" w:rsidR="00416469" w:rsidRDefault="00416469">
      <w:pPr>
        <w:spacing w:line="280" w:lineRule="atLeast"/>
        <w:rPr>
          <w:sz w:val="17"/>
          <w:szCs w:val="17"/>
          <w:lang w:eastAsia="en-US"/>
        </w:rPr>
      </w:pPr>
      <w:r>
        <w:rPr>
          <w:lang w:eastAsia="en-US"/>
        </w:rPr>
        <w:br w:type="page"/>
      </w:r>
    </w:p>
    <w:p w14:paraId="4E1F372B" w14:textId="77777777" w:rsidR="00D63431" w:rsidRDefault="00D63431" w:rsidP="00937D9F">
      <w:pPr>
        <w:pStyle w:val="SCVtablefigurenote"/>
        <w:rPr>
          <w:lang w:eastAsia="en-US"/>
        </w:rPr>
      </w:pPr>
    </w:p>
    <w:p w14:paraId="29AAE598" w14:textId="77777777" w:rsidR="00D63431" w:rsidRDefault="00D63431" w:rsidP="00D63431">
      <w:pPr>
        <w:pStyle w:val="SCVtablefigurenote"/>
        <w:rPr>
          <w:lang w:eastAsia="en-US"/>
        </w:rPr>
      </w:pPr>
    </w:p>
    <w:p w14:paraId="6153D17F" w14:textId="77777777" w:rsidR="00D63431" w:rsidRDefault="00D63431" w:rsidP="00D63431">
      <w:pPr>
        <w:pStyle w:val="SCVquote"/>
        <w:sectPr w:rsidR="00D63431" w:rsidSect="00EB29C3">
          <w:type w:val="continuous"/>
          <w:pgSz w:w="11906" w:h="16838" w:code="9"/>
          <w:pgMar w:top="3402" w:right="851" w:bottom="1361" w:left="851" w:header="851" w:footer="851" w:gutter="0"/>
          <w:cols w:space="284"/>
          <w:docGrid w:linePitch="360"/>
        </w:sectPr>
      </w:pPr>
    </w:p>
    <w:p w14:paraId="1F2F18D5" w14:textId="29D68C98" w:rsidR="00D63431" w:rsidRDefault="00BC505C" w:rsidP="00D63431">
      <w:pPr>
        <w:pStyle w:val="SCVquote"/>
        <w:rPr>
          <w:rFonts w:asciiTheme="majorHAnsi" w:hAnsiTheme="majorHAnsi"/>
        </w:rPr>
      </w:pPr>
      <w:r>
        <w:t>‘</w:t>
      </w:r>
      <w:r w:rsidR="00D63431">
        <w:t xml:space="preserve">We have </w:t>
      </w:r>
      <w:r w:rsidR="0052209C">
        <w:t xml:space="preserve">a </w:t>
      </w:r>
      <w:r w:rsidR="00D63431">
        <w:t xml:space="preserve">picture of the family right before he took the substance and there </w:t>
      </w:r>
      <w:bookmarkStart w:id="32" w:name="_Int_JZJS3Grw"/>
      <w:r w:rsidR="00D63431">
        <w:t>wasn’t</w:t>
      </w:r>
      <w:bookmarkEnd w:id="32"/>
      <w:r w:rsidR="00D63431">
        <w:t xml:space="preserve"> a happier man. He had lived a good life and was comfortable with his decision. Our mum died earlier in the year and her death was a 3-day drawn out affair. It was awful and dad </w:t>
      </w:r>
      <w:bookmarkStart w:id="33" w:name="_Int_mRVgUD2O"/>
      <w:r w:rsidR="00D63431">
        <w:t>didn’t</w:t>
      </w:r>
      <w:bookmarkEnd w:id="33"/>
      <w:r w:rsidR="00D63431">
        <w:t xml:space="preserve"> want that. He said if he has the choice </w:t>
      </w:r>
      <w:bookmarkStart w:id="34" w:name="_Int_f5aYFXzD"/>
      <w:r w:rsidR="00D63431">
        <w:t>he’ll</w:t>
      </w:r>
      <w:bookmarkEnd w:id="34"/>
      <w:r w:rsidR="00D63431">
        <w:t xml:space="preserve"> opt for a different path, and he did.</w:t>
      </w:r>
      <w:r>
        <w:t>’</w:t>
      </w:r>
      <w:r w:rsidR="00D63431">
        <w:t xml:space="preserve"> </w:t>
      </w:r>
      <w:r w:rsidR="00D63431" w:rsidRPr="00D63431">
        <w:rPr>
          <w:rFonts w:asciiTheme="majorHAnsi" w:hAnsiTheme="majorHAnsi"/>
        </w:rPr>
        <w:t>Contact person</w:t>
      </w:r>
    </w:p>
    <w:p w14:paraId="7E6993F7" w14:textId="7DD6A287" w:rsidR="00D63431" w:rsidRDefault="00BC505C" w:rsidP="00D63431">
      <w:pPr>
        <w:pStyle w:val="SCVquote"/>
        <w:rPr>
          <w:rFonts w:asciiTheme="majorHAnsi" w:hAnsiTheme="majorHAnsi"/>
        </w:rPr>
      </w:pPr>
      <w:r>
        <w:t>‘</w:t>
      </w:r>
      <w:r w:rsidR="00D63431">
        <w:t xml:space="preserve">It was a beautiful experience. [The applicant] died being held by her husband and both of her children holding her hands. The whole family are </w:t>
      </w:r>
      <w:bookmarkStart w:id="35" w:name="_Int_9EbetTsw"/>
      <w:r w:rsidR="00D63431">
        <w:t>very grateful</w:t>
      </w:r>
      <w:bookmarkEnd w:id="35"/>
      <w:r w:rsidR="00D63431">
        <w:t xml:space="preserve"> that voluntary assisted dying was available, and that the applicant was able to go in the way she wanted.</w:t>
      </w:r>
      <w:r w:rsidR="00FF6EB2">
        <w:t>’</w:t>
      </w:r>
      <w:r w:rsidR="00D63431">
        <w:t xml:space="preserve"> </w:t>
      </w:r>
      <w:r w:rsidR="00D63431" w:rsidRPr="00D63431">
        <w:rPr>
          <w:rFonts w:asciiTheme="majorHAnsi" w:hAnsiTheme="majorHAnsi"/>
        </w:rPr>
        <w:t>Contact person</w:t>
      </w:r>
    </w:p>
    <w:p w14:paraId="717EE27B" w14:textId="77777777" w:rsidR="00D63431" w:rsidRDefault="00D63431" w:rsidP="00A40DFD">
      <w:pPr>
        <w:pStyle w:val="Heading2"/>
        <w:sectPr w:rsidR="00D63431" w:rsidSect="00EB29C3">
          <w:type w:val="continuous"/>
          <w:pgSz w:w="11906" w:h="16838" w:code="9"/>
          <w:pgMar w:top="3402" w:right="851" w:bottom="1361" w:left="851" w:header="851" w:footer="851" w:gutter="0"/>
          <w:cols w:num="2" w:space="284"/>
          <w:docGrid w:linePitch="360"/>
        </w:sectPr>
      </w:pPr>
    </w:p>
    <w:p w14:paraId="3136133C" w14:textId="383AC13F" w:rsidR="00D63431" w:rsidRDefault="00D63431" w:rsidP="00D63431">
      <w:pPr>
        <w:pStyle w:val="Heading1"/>
      </w:pPr>
      <w:r>
        <w:lastRenderedPageBreak/>
        <w:t>Compliance reviews</w:t>
      </w:r>
    </w:p>
    <w:p w14:paraId="41145884" w14:textId="63DEFD1B" w:rsidR="00D63431" w:rsidRDefault="00D63431" w:rsidP="00D63431">
      <w:pPr>
        <w:pStyle w:val="SCVintroductorytext"/>
      </w:pPr>
      <w:r w:rsidRPr="00D63431">
        <w:t xml:space="preserve">The </w:t>
      </w:r>
      <w:r w:rsidRPr="00FF40AA">
        <w:rPr>
          <w:i/>
          <w:iCs/>
        </w:rPr>
        <w:t>Voluntary Assisted Dying Act 2017</w:t>
      </w:r>
      <w:r w:rsidRPr="00D63431">
        <w:t xml:space="preserve"> was designed to deliver the most conservative and safe legislation in the world, with 68 safeguards and a scrupulous oversight scheme in place. The Act is interpreted in </w:t>
      </w:r>
      <w:bookmarkStart w:id="36" w:name="_Int_WGafBhbP"/>
      <w:r w:rsidRPr="00D63431">
        <w:t>a very strict</w:t>
      </w:r>
      <w:bookmarkEnd w:id="36"/>
      <w:r w:rsidRPr="00D63431">
        <w:t xml:space="preserve"> way, and the Board continues to have </w:t>
      </w:r>
      <w:bookmarkStart w:id="37" w:name="_Int_d8aLpVJy"/>
      <w:r w:rsidRPr="00D63431">
        <w:t>a very low</w:t>
      </w:r>
      <w:bookmarkEnd w:id="37"/>
      <w:r w:rsidRPr="00D63431">
        <w:t xml:space="preserve"> threshold for errors </w:t>
      </w:r>
      <w:r w:rsidR="00E35028">
        <w:t>that</w:t>
      </w:r>
      <w:r w:rsidRPr="00D63431">
        <w:t xml:space="preserve"> impact on compliance with the legislation or inconsistencies in applications </w:t>
      </w:r>
      <w:bookmarkStart w:id="38" w:name="_Int_bUeiLdUH"/>
      <w:r w:rsidRPr="00D63431">
        <w:t>to</w:t>
      </w:r>
      <w:bookmarkEnd w:id="38"/>
      <w:r w:rsidRPr="00D63431">
        <w:t xml:space="preserve"> maintain public safety.</w:t>
      </w:r>
    </w:p>
    <w:p w14:paraId="7455954F" w14:textId="77777777" w:rsidR="00D63431" w:rsidRDefault="00D63431" w:rsidP="00D63431">
      <w:pPr>
        <w:pStyle w:val="Heading2"/>
        <w:sectPr w:rsidR="00D63431" w:rsidSect="00EB29C3">
          <w:type w:val="continuous"/>
          <w:pgSz w:w="11906" w:h="16838" w:code="9"/>
          <w:pgMar w:top="3402" w:right="851" w:bottom="1361" w:left="851" w:header="851" w:footer="851" w:gutter="0"/>
          <w:cols w:space="284"/>
          <w:docGrid w:linePitch="360"/>
        </w:sectPr>
      </w:pPr>
    </w:p>
    <w:p w14:paraId="6FB730D3" w14:textId="7D565707" w:rsidR="00D63431" w:rsidRDefault="00D63431" w:rsidP="00D63431">
      <w:pPr>
        <w:pStyle w:val="Heading2"/>
      </w:pPr>
      <w:r>
        <w:t>Case compliance</w:t>
      </w:r>
    </w:p>
    <w:p w14:paraId="4C454A8D" w14:textId="78F28367" w:rsidR="00D63431" w:rsidRDefault="00D63431" w:rsidP="00D63431">
      <w:pPr>
        <w:pStyle w:val="SCVbody"/>
      </w:pPr>
      <w:r>
        <w:t>Between 1 July 2021 and 30 June 2022, the Board found four cases to be non-compliant with the Act.</w:t>
      </w:r>
    </w:p>
    <w:p w14:paraId="645971CA" w14:textId="77777777" w:rsidR="00D63431" w:rsidRDefault="00D63431" w:rsidP="00D63431">
      <w:pPr>
        <w:pStyle w:val="Heading3"/>
      </w:pPr>
      <w:r>
        <w:t>Return of substance</w:t>
      </w:r>
    </w:p>
    <w:p w14:paraId="566F2B9F" w14:textId="0C88CB1A" w:rsidR="00D63431" w:rsidRDefault="00D63431" w:rsidP="00D63431">
      <w:pPr>
        <w:pStyle w:val="SCVbody"/>
      </w:pPr>
      <w:r>
        <w:t xml:space="preserve">Three cases were determined as non-compliant because there was a delay with the return of the substance to the Statewide Pharmacy. The contact person is required by Section </w:t>
      </w:r>
      <w:r w:rsidR="00250860">
        <w:t>39(2)(a)</w:t>
      </w:r>
      <w:r>
        <w:t xml:space="preserve"> of the Act to return any outstanding substance within 15 days of the death of an applicant.</w:t>
      </w:r>
    </w:p>
    <w:p w14:paraId="01E9596B" w14:textId="2E5D86B5" w:rsidR="00D63431" w:rsidRDefault="00D63431" w:rsidP="00D63431">
      <w:pPr>
        <w:pStyle w:val="SCVbody"/>
      </w:pPr>
      <w:r>
        <w:t>Feedback provided by contact people show</w:t>
      </w:r>
      <w:r w:rsidR="0052209C">
        <w:t>s</w:t>
      </w:r>
      <w:r>
        <w:t xml:space="preserve"> there are a variety of reasons why this requirement was not met. For those involved in the assessment process, it is advised to ensure the contact person is aware of this requirement when they are appointed. </w:t>
      </w:r>
    </w:p>
    <w:p w14:paraId="70180B80" w14:textId="77777777" w:rsidR="00D63431" w:rsidRDefault="00D63431" w:rsidP="00D63431">
      <w:pPr>
        <w:pStyle w:val="SCVbody"/>
      </w:pPr>
      <w:r>
        <w:t xml:space="preserve">No further action will be taken regarding the non-compliant cases related to late return of substance; however, it is clear in the legislation that the penalty associated with this oversight can be severe. Therefore, a focus on the provision of appropriate information and support for contact people is paramount. </w:t>
      </w:r>
    </w:p>
    <w:p w14:paraId="657E1F17" w14:textId="77777777" w:rsidR="00D63431" w:rsidRDefault="00D63431" w:rsidP="00D63431">
      <w:pPr>
        <w:pStyle w:val="Heading3"/>
      </w:pPr>
      <w:r>
        <w:t>Signing of behalf of an applicant</w:t>
      </w:r>
    </w:p>
    <w:p w14:paraId="0AA81024" w14:textId="7FEF9219" w:rsidR="00D63431" w:rsidRDefault="00D63431" w:rsidP="00D63431">
      <w:pPr>
        <w:pStyle w:val="SCVbody"/>
      </w:pPr>
      <w:r>
        <w:t>One further case was found to be non-compliant with section 40(3)(b)(ii)</w:t>
      </w:r>
      <w:r w:rsidR="00F14A61">
        <w:t>,</w:t>
      </w:r>
      <w:r>
        <w:t xml:space="preserve"> which prohibits someone signing on behalf of an applicant from also being a witness to the document. The Board investigated the incident with the full cooperation of those involved in the assessment process. The Board considered an </w:t>
      </w:r>
      <w:r>
        <w:t xml:space="preserve">oversight had occurred and no further action was taken. The case was considered clinically </w:t>
      </w:r>
      <w:r w:rsidR="009A1F44">
        <w:t>appropriate</w:t>
      </w:r>
      <w:r>
        <w:t>.</w:t>
      </w:r>
    </w:p>
    <w:p w14:paraId="6DC9F50B" w14:textId="77777777" w:rsidR="00D63431" w:rsidRDefault="00D63431" w:rsidP="00D63431">
      <w:pPr>
        <w:pStyle w:val="Heading2"/>
      </w:pPr>
      <w:r>
        <w:t>Referral to other agencies</w:t>
      </w:r>
    </w:p>
    <w:p w14:paraId="77CA9F2E" w14:textId="1D2D2E78" w:rsidR="00D63431" w:rsidRDefault="00D63431" w:rsidP="00D63431">
      <w:pPr>
        <w:pStyle w:val="SCVbody"/>
      </w:pPr>
      <w:r>
        <w:t xml:space="preserve">During this reporting period, no deaths were considered to require further investigation by the State Coroner. There were no referrals made to the Chief Commissioner of Police or </w:t>
      </w:r>
      <w:r w:rsidR="007759BC">
        <w:t xml:space="preserve">the </w:t>
      </w:r>
      <w:r w:rsidR="007759BC" w:rsidRPr="007759BC">
        <w:t>Australian Health Practitioner Regulation Agency</w:t>
      </w:r>
      <w:r>
        <w:t>.</w:t>
      </w:r>
    </w:p>
    <w:p w14:paraId="33498F0A" w14:textId="77777777" w:rsidR="00D63431" w:rsidRDefault="00D63431" w:rsidP="00D63431">
      <w:pPr>
        <w:pStyle w:val="Heading2"/>
      </w:pPr>
      <w:r>
        <w:t>Access to voluntary assisted dying</w:t>
      </w:r>
    </w:p>
    <w:p w14:paraId="51E8B1C5" w14:textId="67E79D15" w:rsidR="00D63431" w:rsidRDefault="00D63431" w:rsidP="00D63431">
      <w:pPr>
        <w:pStyle w:val="SCVbody"/>
      </w:pPr>
      <w:r>
        <w:t xml:space="preserve">As part of the compliance review process, the Board reflects on individual cases. Issues </w:t>
      </w:r>
      <w:r w:rsidR="007C5C05">
        <w:t>that</w:t>
      </w:r>
      <w:r>
        <w:t xml:space="preserve"> impede access to voluntary assisted dying are identified and discussed. These reviews allow the Board to perform one of its key functions in supporting continuous improvement to the program.</w:t>
      </w:r>
    </w:p>
    <w:p w14:paraId="66F8B9BE" w14:textId="77777777" w:rsidR="00D63431" w:rsidRDefault="00D63431" w:rsidP="00D63431">
      <w:pPr>
        <w:pStyle w:val="Heading2"/>
      </w:pPr>
      <w:r>
        <w:t>Commonwealth Criminal Code</w:t>
      </w:r>
    </w:p>
    <w:p w14:paraId="6EFA8C6E" w14:textId="7FAA4F66" w:rsidR="00D63431" w:rsidRDefault="00D63431" w:rsidP="00D63431">
      <w:pPr>
        <w:pStyle w:val="SCVbody"/>
      </w:pPr>
      <w:r>
        <w:t>The Commonwealth Law as it exists creates barriers to access</w:t>
      </w:r>
      <w:r w:rsidR="00C41976">
        <w:t>ing</w:t>
      </w:r>
      <w:r>
        <w:t xml:space="preserve"> care and, in some cases, </w:t>
      </w:r>
      <w:r w:rsidR="00C41976">
        <w:t xml:space="preserve">creates </w:t>
      </w:r>
      <w:r>
        <w:t xml:space="preserve">unreasonable travel demands </w:t>
      </w:r>
      <w:r w:rsidR="00C41976">
        <w:t>for</w:t>
      </w:r>
      <w:r>
        <w:t xml:space="preserve"> people suffering from life-ending medical conditions. This law impedes the use of telehealth for the conduct of voluntary assisted dying assessments. The Board will continue to advocate for a change in the criminal code to promote access for all Victorians, regardless of location or mobility. </w:t>
      </w:r>
    </w:p>
    <w:p w14:paraId="1CEA5312" w14:textId="77777777" w:rsidR="00D63431" w:rsidRDefault="00D63431" w:rsidP="00D63431">
      <w:pPr>
        <w:pStyle w:val="Heading2"/>
      </w:pPr>
      <w:r>
        <w:lastRenderedPageBreak/>
        <w:t>Access to specialists</w:t>
      </w:r>
    </w:p>
    <w:p w14:paraId="5B8F8728" w14:textId="09F28629" w:rsidR="00D63431" w:rsidRDefault="00D63431" w:rsidP="00D63431">
      <w:pPr>
        <w:pStyle w:val="SCVbody"/>
      </w:pPr>
      <w:r>
        <w:t>Although the number of medical practitioners completing the training and registering on the Portal continues to grow, there remains some gaps in specialist care across the state. The Board continues to work with the End</w:t>
      </w:r>
      <w:r w:rsidR="00BA5338">
        <w:t xml:space="preserve"> </w:t>
      </w:r>
      <w:r>
        <w:t>of</w:t>
      </w:r>
      <w:r w:rsidR="00BA5338">
        <w:t xml:space="preserve"> </w:t>
      </w:r>
      <w:r>
        <w:t xml:space="preserve">Life Care </w:t>
      </w:r>
      <w:r w:rsidR="00C41976">
        <w:t xml:space="preserve">and Palliative Services </w:t>
      </w:r>
      <w:r>
        <w:t xml:space="preserve">team and Statewide Care Navigator service to promote training across specialist areas. The Statewide Care Navigators conduct regular webinars and training sessions throughout Victoria with a focus on areas with less representation. </w:t>
      </w:r>
    </w:p>
    <w:p w14:paraId="2C40E086" w14:textId="77777777" w:rsidR="00D63431" w:rsidRDefault="00D63431" w:rsidP="00D63431">
      <w:pPr>
        <w:pStyle w:val="Heading2"/>
      </w:pPr>
      <w:r>
        <w:t>Timing of access</w:t>
      </w:r>
    </w:p>
    <w:p w14:paraId="4FF24A19" w14:textId="1FF00002" w:rsidR="00D63431" w:rsidRDefault="00D63431" w:rsidP="00D63431">
      <w:pPr>
        <w:pStyle w:val="SCVbody"/>
      </w:pPr>
      <w:r>
        <w:t>Access to voluntary assisted dying in Victoria is an established process</w:t>
      </w:r>
      <w:r w:rsidR="004A3FB5">
        <w:t>,</w:t>
      </w:r>
      <w:r>
        <w:t xml:space="preserve"> which requires eligibility to be assessed throughout the legislated timeframe. The Board continue</w:t>
      </w:r>
      <w:r w:rsidR="002A0021">
        <w:t>s</w:t>
      </w:r>
      <w:r>
        <w:t xml:space="preserve"> to advocate that voluntary assisted dying is not an emergency procedure. Requests and assessments should be addressed with enough time to ensure the process does not add an unnecessary burden of stress on an applicant and those supporting the process at the end of life.</w:t>
      </w:r>
    </w:p>
    <w:p w14:paraId="2E7028A9" w14:textId="039F144B" w:rsidR="00D63431" w:rsidRDefault="00D63431" w:rsidP="00D63431">
      <w:pPr>
        <w:pStyle w:val="SCVbody"/>
      </w:pPr>
      <w:r>
        <w:t>The Board is also aware of some of the reasons there are delays in access, including applicants being obstructed and cases where the applicant has not known what to ask for and has had numerous attempts at the request.</w:t>
      </w:r>
    </w:p>
    <w:p w14:paraId="446B2EBF" w14:textId="29EC3AF2" w:rsidR="00D63431" w:rsidRDefault="00583109" w:rsidP="00D63431">
      <w:pPr>
        <w:pStyle w:val="SCVquote"/>
      </w:pPr>
      <w:r>
        <w:t>‘</w:t>
      </w:r>
      <w:r w:rsidR="00D63431">
        <w:t>[The applicant was] a single man living alone with a period of decline prior to his final admission to hospital. Neither he nor friends could find evidence of Australian citizenship. He had to apply for a new extract of birth certificate which delayed his application approximately two weeks.</w:t>
      </w:r>
      <w:r>
        <w:t>’</w:t>
      </w:r>
      <w:r w:rsidR="00D63431">
        <w:t xml:space="preserve"> </w:t>
      </w:r>
      <w:r w:rsidR="00D63431" w:rsidRPr="00D63431">
        <w:rPr>
          <w:rFonts w:asciiTheme="majorHAnsi" w:hAnsiTheme="majorHAnsi"/>
        </w:rPr>
        <w:t>Medical practitioner</w:t>
      </w:r>
      <w:r w:rsidR="00D63431">
        <w:t xml:space="preserve">  </w:t>
      </w:r>
    </w:p>
    <w:p w14:paraId="08DA316E" w14:textId="4DA48199" w:rsidR="00D63431" w:rsidRDefault="00583109" w:rsidP="00D63431">
      <w:pPr>
        <w:pStyle w:val="SCVquote"/>
        <w:rPr>
          <w:rFonts w:asciiTheme="majorHAnsi" w:hAnsiTheme="majorHAnsi"/>
        </w:rPr>
      </w:pPr>
      <w:r>
        <w:t>‘</w:t>
      </w:r>
      <w:r w:rsidR="00D63431">
        <w:t xml:space="preserve">We </w:t>
      </w:r>
      <w:bookmarkStart w:id="39" w:name="_Int_R1V1DWg3"/>
      <w:r w:rsidR="00D63431">
        <w:t>didn’t</w:t>
      </w:r>
      <w:bookmarkEnd w:id="39"/>
      <w:r w:rsidR="00D63431">
        <w:t xml:space="preserve"> have any barriers. [The applicant] was </w:t>
      </w:r>
      <w:bookmarkStart w:id="40" w:name="_Int_Gk39RrSf"/>
      <w:r w:rsidR="00D63431">
        <w:t>very clear</w:t>
      </w:r>
      <w:bookmarkEnd w:id="40"/>
      <w:r w:rsidR="00D63431">
        <w:t xml:space="preserve"> when he got his diagnosis, which was very advanced cancer, that he </w:t>
      </w:r>
      <w:bookmarkStart w:id="41" w:name="_Int_7sr0z7Om"/>
      <w:r w:rsidR="00D63431">
        <w:t>didn’t</w:t>
      </w:r>
      <w:bookmarkEnd w:id="41"/>
      <w:r w:rsidR="00D63431">
        <w:t xml:space="preserve"> want any treatment and he wanted to die when he was ready. He was very proactive and got the </w:t>
      </w:r>
      <w:r w:rsidR="00D63431">
        <w:t xml:space="preserve">process underway early on to make sure he had it when he needed it. I </w:t>
      </w:r>
      <w:bookmarkStart w:id="42" w:name="_Int_OzPne8Sr"/>
      <w:r w:rsidR="00D63431">
        <w:t>don’t</w:t>
      </w:r>
      <w:bookmarkEnd w:id="42"/>
      <w:r w:rsidR="00D63431">
        <w:t xml:space="preserve"> think people understand how long the process takes, just the time interval between each step. We were lucky as the people involved were proactive too.</w:t>
      </w:r>
      <w:r w:rsidR="00B36F62">
        <w:t>’</w:t>
      </w:r>
      <w:r w:rsidR="00D63431">
        <w:t xml:space="preserve"> </w:t>
      </w:r>
      <w:r w:rsidR="00D63431" w:rsidRPr="00D63431">
        <w:rPr>
          <w:rFonts w:asciiTheme="majorHAnsi" w:hAnsiTheme="majorHAnsi"/>
        </w:rPr>
        <w:t>Contact person</w:t>
      </w:r>
    </w:p>
    <w:p w14:paraId="2D89EDAD" w14:textId="77777777" w:rsidR="00D63431" w:rsidRDefault="00D63431" w:rsidP="00D63431">
      <w:pPr>
        <w:pStyle w:val="Heading2"/>
      </w:pPr>
      <w:r>
        <w:t xml:space="preserve">Obstruction of access </w:t>
      </w:r>
    </w:p>
    <w:p w14:paraId="1F6FC5B0" w14:textId="4994F57A" w:rsidR="00D63431" w:rsidRDefault="00D63431" w:rsidP="00D63431">
      <w:pPr>
        <w:pStyle w:val="SCVbody"/>
      </w:pPr>
      <w:r>
        <w:t>The Board receives feedback that some individuals and health services continue to actively discourage or even impede access to voluntary assisted dying. The law provides and the Board suppor</w:t>
      </w:r>
      <w:r w:rsidR="00B36F62">
        <w:t>ts</w:t>
      </w:r>
      <w:r>
        <w:t xml:space="preserve"> the right of health practitioners who have a conscientious objection to voluntary assisted dying to decline to take part in any part of the process, but not to be obstructive. </w:t>
      </w:r>
    </w:p>
    <w:p w14:paraId="561BC342" w14:textId="7B635C9B" w:rsidR="00D63431" w:rsidRDefault="00D63431" w:rsidP="00D63431">
      <w:pPr>
        <w:pStyle w:val="SCVbody"/>
      </w:pPr>
      <w:r>
        <w:t xml:space="preserve">While the Act provides for an offence to coerce a person from accessing or using voluntary assisted dying, it does not create an offence for coercing patients from applying </w:t>
      </w:r>
      <w:r w:rsidR="00985125">
        <w:t xml:space="preserve">for </w:t>
      </w:r>
      <w:r>
        <w:t>or impeding the use of the voluntary assisted dying substance. The Board strongly support</w:t>
      </w:r>
      <w:r w:rsidR="00B425D3">
        <w:t>s</w:t>
      </w:r>
      <w:r>
        <w:t xml:space="preserve"> the consideration</w:t>
      </w:r>
      <w:r w:rsidR="006544E0">
        <w:t xml:space="preserve"> that</w:t>
      </w:r>
      <w:r>
        <w:t xml:space="preserve"> those who do not support voluntary assisted dying be required to make information</w:t>
      </w:r>
      <w:r w:rsidR="006544E0">
        <w:t xml:space="preserve"> </w:t>
      </w:r>
      <w:r>
        <w:t xml:space="preserve">available that enables potential applicants to contact the Statewide Care Navigator </w:t>
      </w:r>
      <w:r w:rsidR="00985125">
        <w:t>S</w:t>
      </w:r>
      <w:r>
        <w:t>ervice for the required information and support.</w:t>
      </w:r>
    </w:p>
    <w:p w14:paraId="78EBFA58" w14:textId="5E2F26FF" w:rsidR="00D63431" w:rsidRDefault="006544E0" w:rsidP="00D63431">
      <w:pPr>
        <w:pStyle w:val="SCVquote"/>
      </w:pPr>
      <w:r>
        <w:t>‘</w:t>
      </w:r>
      <w:r w:rsidR="00D63431">
        <w:t xml:space="preserve">[The applicant]’s palliative care physician tried to talk her out of it. They described the process as bureaucratic and said, </w:t>
      </w:r>
      <w:r w:rsidR="00F959AE">
        <w:t>“</w:t>
      </w:r>
      <w:r w:rsidR="00D63431">
        <w:t>why bother with it</w:t>
      </w:r>
      <w:r w:rsidR="00F959AE">
        <w:t>”</w:t>
      </w:r>
      <w:r w:rsidR="00D63431">
        <w:t>.</w:t>
      </w:r>
      <w:r w:rsidR="00F959AE">
        <w:t>’</w:t>
      </w:r>
      <w:r w:rsidR="00D63431">
        <w:t xml:space="preserve"> </w:t>
      </w:r>
      <w:r w:rsidR="00D63431" w:rsidRPr="00D63431">
        <w:rPr>
          <w:rFonts w:asciiTheme="majorHAnsi" w:hAnsiTheme="majorHAnsi"/>
        </w:rPr>
        <w:t>Contact person</w:t>
      </w:r>
    </w:p>
    <w:p w14:paraId="0FEFE840" w14:textId="3A7C9856" w:rsidR="00D63431" w:rsidRDefault="00F959AE" w:rsidP="00D63431">
      <w:pPr>
        <w:pStyle w:val="SCVquote"/>
      </w:pPr>
      <w:r>
        <w:t>‘</w:t>
      </w:r>
      <w:r w:rsidR="00D63431">
        <w:t>Some difficulties [were experienced] within the hospital with obstruction from some of the senior medical staff to the process. This bordered on discriminatory behaviour.</w:t>
      </w:r>
      <w:r>
        <w:t>’</w:t>
      </w:r>
      <w:r w:rsidR="00D63431">
        <w:t xml:space="preserve"> </w:t>
      </w:r>
      <w:r w:rsidR="00D63431" w:rsidRPr="00D63431">
        <w:rPr>
          <w:rFonts w:asciiTheme="majorHAnsi" w:hAnsiTheme="majorHAnsi"/>
        </w:rPr>
        <w:t>Medical practitioner</w:t>
      </w:r>
      <w:r w:rsidR="00D63431">
        <w:t xml:space="preserve"> </w:t>
      </w:r>
    </w:p>
    <w:p w14:paraId="0B4097FC" w14:textId="77777777" w:rsidR="00B54D01" w:rsidRDefault="00B54D01">
      <w:pPr>
        <w:spacing w:line="280" w:lineRule="atLeast"/>
        <w:rPr>
          <w:rFonts w:eastAsia="Times New Roman" w:cstheme="minorHAnsi"/>
          <w:color w:val="0063A5" w:themeColor="text2"/>
          <w:sz w:val="19"/>
          <w:szCs w:val="18"/>
          <w:lang w:eastAsia="en-US"/>
        </w:rPr>
      </w:pPr>
      <w:r>
        <w:br w:type="page"/>
      </w:r>
    </w:p>
    <w:p w14:paraId="01AD907B" w14:textId="27A8A14C" w:rsidR="00D63431" w:rsidRDefault="00F959AE" w:rsidP="00D63431">
      <w:pPr>
        <w:pStyle w:val="SCVquote"/>
        <w:rPr>
          <w:rFonts w:asciiTheme="majorHAnsi" w:hAnsiTheme="majorHAnsi"/>
        </w:rPr>
      </w:pPr>
      <w:r>
        <w:lastRenderedPageBreak/>
        <w:t>‘</w:t>
      </w:r>
      <w:r w:rsidR="00D63431">
        <w:t xml:space="preserve">When we got to the oncologist…the secretary said to us </w:t>
      </w:r>
      <w:r>
        <w:t>“</w:t>
      </w:r>
      <w:r w:rsidR="00D63431">
        <w:t>we actually treat people here</w:t>
      </w:r>
      <w:bookmarkStart w:id="43" w:name="_Int_XJ3pfVNY"/>
      <w:r>
        <w:t>”</w:t>
      </w:r>
      <w:r w:rsidR="00D63431">
        <w:t>.</w:t>
      </w:r>
      <w:bookmarkEnd w:id="43"/>
      <w:r w:rsidR="00D63431">
        <w:t xml:space="preserve"> [The applicant] had a big go at her being disrespectful. I was so angry and </w:t>
      </w:r>
      <w:bookmarkStart w:id="44" w:name="_Int_f3GVPlUQ"/>
      <w:r w:rsidR="00D63431">
        <w:t>couldn’t</w:t>
      </w:r>
      <w:bookmarkEnd w:id="44"/>
      <w:r w:rsidR="00D63431">
        <w:t xml:space="preserve"> believe how rude she was. I understand that people have different opinions, but I think professional people should be respectful.</w:t>
      </w:r>
      <w:r w:rsidR="001D55A6">
        <w:t>’</w:t>
      </w:r>
      <w:r w:rsidR="00D63431">
        <w:t xml:space="preserve"> </w:t>
      </w:r>
      <w:r w:rsidR="00D63431" w:rsidRPr="00D63431">
        <w:rPr>
          <w:rFonts w:asciiTheme="majorHAnsi" w:hAnsiTheme="majorHAnsi"/>
        </w:rPr>
        <w:t>Contact person</w:t>
      </w:r>
    </w:p>
    <w:p w14:paraId="6284ECC2" w14:textId="2D95F1F8" w:rsidR="00D63431" w:rsidRDefault="001D55A6" w:rsidP="00D63431">
      <w:pPr>
        <w:pStyle w:val="SCVquote"/>
        <w:rPr>
          <w:rFonts w:asciiTheme="majorHAnsi" w:hAnsiTheme="majorHAnsi"/>
        </w:rPr>
      </w:pPr>
      <w:r>
        <w:t>‘</w:t>
      </w:r>
      <w:r w:rsidR="00D63431">
        <w:t>Only barrier experienced was with [the hospital] objecting to [the applicant] administering the voluntary assisted dying substance. As [the applicant] did not wish to administer the substance at home, [the co-ordinating medical practitioner] arranged for him to be hospitalised [at another hospital], so he would be able to self-administer.</w:t>
      </w:r>
      <w:r>
        <w:t>’</w:t>
      </w:r>
      <w:r w:rsidR="00D63431">
        <w:t xml:space="preserve"> </w:t>
      </w:r>
      <w:r w:rsidR="00D63431" w:rsidRPr="00D63431">
        <w:rPr>
          <w:rFonts w:asciiTheme="majorHAnsi" w:hAnsiTheme="majorHAnsi"/>
        </w:rPr>
        <w:t>Contact person</w:t>
      </w:r>
    </w:p>
    <w:p w14:paraId="54C763AE" w14:textId="77777777" w:rsidR="00D63431" w:rsidRDefault="00D63431" w:rsidP="00D63431">
      <w:pPr>
        <w:pStyle w:val="Heading1"/>
        <w:sectPr w:rsidR="00D63431" w:rsidSect="00EB29C3">
          <w:type w:val="continuous"/>
          <w:pgSz w:w="11906" w:h="16838" w:code="9"/>
          <w:pgMar w:top="3402" w:right="851" w:bottom="1361" w:left="851" w:header="851" w:footer="851" w:gutter="0"/>
          <w:cols w:num="2" w:space="284"/>
          <w:docGrid w:linePitch="360"/>
        </w:sectPr>
      </w:pPr>
    </w:p>
    <w:p w14:paraId="49138333" w14:textId="6979C5A7" w:rsidR="00D63431" w:rsidRDefault="00D63431" w:rsidP="00D63431">
      <w:pPr>
        <w:pStyle w:val="Heading1"/>
      </w:pPr>
      <w:r>
        <w:lastRenderedPageBreak/>
        <w:t xml:space="preserve">Voluntary </w:t>
      </w:r>
      <w:r w:rsidR="00F34087">
        <w:t>A</w:t>
      </w:r>
      <w:r>
        <w:t xml:space="preserve">ssisted </w:t>
      </w:r>
      <w:r w:rsidR="00F34087">
        <w:t>D</w:t>
      </w:r>
      <w:r>
        <w:t xml:space="preserve">ying </w:t>
      </w:r>
      <w:r w:rsidR="00F34087">
        <w:t>P</w:t>
      </w:r>
      <w:r>
        <w:t>ortal</w:t>
      </w:r>
    </w:p>
    <w:p w14:paraId="4AA773AB" w14:textId="7778F427" w:rsidR="00D63431" w:rsidRDefault="00D63431" w:rsidP="00D63431">
      <w:pPr>
        <w:pStyle w:val="SCVintroductorytext"/>
      </w:pPr>
      <w:r w:rsidRPr="00D63431">
        <w:t xml:space="preserve">The Voluntary Assisted Dying Portal is the platform where trained medical practitioners can complete, submit, view, and download forms required under the </w:t>
      </w:r>
      <w:r w:rsidRPr="00250860">
        <w:rPr>
          <w:i/>
          <w:iCs/>
        </w:rPr>
        <w:t>Voluntary Assisted Dying Act 2017</w:t>
      </w:r>
      <w:r w:rsidRPr="00D63431">
        <w:t xml:space="preserve"> and the </w:t>
      </w:r>
      <w:r w:rsidRPr="00250860">
        <w:rPr>
          <w:i/>
          <w:iCs/>
        </w:rPr>
        <w:t>Voluntary Assisted Dying Regulations 2018</w:t>
      </w:r>
      <w:r w:rsidRPr="00D63431">
        <w:t>. Safer Care Victoria, as the Secretariat to the Voluntary Assisted Dying Review Board, is responsible for the maintenance, review, and future development of the Portal.</w:t>
      </w:r>
    </w:p>
    <w:p w14:paraId="0FC8C6D3" w14:textId="77777777" w:rsidR="00D63431" w:rsidRDefault="00D63431" w:rsidP="00D63431">
      <w:pPr>
        <w:pStyle w:val="SCVbody"/>
        <w:sectPr w:rsidR="00D63431" w:rsidSect="00EB29C3">
          <w:type w:val="continuous"/>
          <w:pgSz w:w="11906" w:h="16838" w:code="9"/>
          <w:pgMar w:top="3402" w:right="851" w:bottom="1361" w:left="851" w:header="851" w:footer="851" w:gutter="0"/>
          <w:cols w:space="284"/>
          <w:docGrid w:linePitch="360"/>
        </w:sectPr>
      </w:pPr>
    </w:p>
    <w:p w14:paraId="2AF4875D" w14:textId="25141DD2" w:rsidR="00D63431" w:rsidRDefault="00D63431" w:rsidP="00D63431">
      <w:pPr>
        <w:pStyle w:val="SCVbody"/>
      </w:pPr>
      <w:r>
        <w:t xml:space="preserve">Launched in April 2019, the Portal was developed in advance of the commencement of the Act as a minimum viable product to support the submission of the voluntary assisted dying assessment forms. In 2020, additional funding was granted to meet the rapid growth for access to voluntary assisted dying. As part of this funding, Safer Care Victoria upgraded Portal functionality and increased operational support to ensure timely access to voluntary assisted dying. </w:t>
      </w:r>
    </w:p>
    <w:p w14:paraId="01F9B921" w14:textId="638EF9B3" w:rsidR="00D63431" w:rsidRDefault="00D63431" w:rsidP="00D63431">
      <w:pPr>
        <w:pStyle w:val="SCVbody"/>
      </w:pPr>
      <w:r>
        <w:t xml:space="preserve">Extensive stakeholder consultation identified a </w:t>
      </w:r>
      <w:bookmarkStart w:id="45" w:name="_Int_Kponxabi"/>
      <w:r>
        <w:t>significant number</w:t>
      </w:r>
      <w:bookmarkEnd w:id="45"/>
      <w:r>
        <w:t xml:space="preserve"> of enhancements for the project. A prioritisation exercise identified key deliverables with the objectives of enhanced usability and user experience</w:t>
      </w:r>
      <w:r w:rsidR="007155B1">
        <w:t>,</w:t>
      </w:r>
      <w:r>
        <w:t xml:space="preserve"> reduction of manual processes</w:t>
      </w:r>
      <w:r w:rsidR="007155B1">
        <w:t>,</w:t>
      </w:r>
      <w:r>
        <w:t xml:space="preserve"> and increased data functionality.</w:t>
      </w:r>
    </w:p>
    <w:p w14:paraId="643FDF42" w14:textId="45B49899" w:rsidR="00D63431" w:rsidRDefault="00D63431" w:rsidP="00D63431">
      <w:pPr>
        <w:pStyle w:val="SCVbody"/>
      </w:pPr>
      <w:r>
        <w:t>In July 2021, a project team was appointed to develop significant enhancements</w:t>
      </w:r>
      <w:r w:rsidR="00C419CA">
        <w:t>,</w:t>
      </w:r>
      <w:r>
        <w:t xml:space="preserve"> which were released over the lifecycle of the Portal enhancements project. </w:t>
      </w:r>
    </w:p>
    <w:p w14:paraId="0164D0A2" w14:textId="71EB4008" w:rsidR="00D63431" w:rsidRDefault="00D63431" w:rsidP="00D63431">
      <w:pPr>
        <w:pStyle w:val="SCVbody"/>
      </w:pPr>
      <w:r>
        <w:t xml:space="preserve">Overall, the project has delivered significant improvements for all users of the Portal. Positive feedback has been received regarding the usability and clarity of the submission process for medical practitioners, which has a subsequent positive flow on effect to the applicants. </w:t>
      </w:r>
    </w:p>
    <w:p w14:paraId="08175CD5" w14:textId="46B868FC" w:rsidR="00D63431" w:rsidRDefault="00D63431" w:rsidP="00D63431">
      <w:pPr>
        <w:pStyle w:val="SCVbody"/>
      </w:pPr>
      <w:r>
        <w:t xml:space="preserve">Alongside this delivery, an updated user guide and new user support videos were released to support </w:t>
      </w:r>
      <w:r>
        <w:t>registered users to navigate the new Portal features and better understand the assessment process.</w:t>
      </w:r>
    </w:p>
    <w:p w14:paraId="68177238" w14:textId="77777777" w:rsidR="00D63431" w:rsidRDefault="00D63431" w:rsidP="00D63431">
      <w:pPr>
        <w:pStyle w:val="Heading2"/>
      </w:pPr>
      <w:r>
        <w:t>Reduction of common errors</w:t>
      </w:r>
    </w:p>
    <w:p w14:paraId="22D2C382" w14:textId="77777777" w:rsidR="005D34CA" w:rsidRDefault="00D63431" w:rsidP="00D63431">
      <w:pPr>
        <w:pStyle w:val="SCVbody"/>
      </w:pPr>
      <w:r>
        <w:t xml:space="preserve">The Board has previously reported on common errors </w:t>
      </w:r>
      <w:r w:rsidR="00CE24DF">
        <w:t>that</w:t>
      </w:r>
      <w:r>
        <w:t xml:space="preserve"> occurred on the forms, which impacted on the turnaround time of a permit application. These included: </w:t>
      </w:r>
    </w:p>
    <w:p w14:paraId="35D168D0" w14:textId="77777777" w:rsidR="005D34CA" w:rsidRDefault="00D63431" w:rsidP="005D34CA">
      <w:pPr>
        <w:pStyle w:val="SCVbullet1"/>
        <w:numPr>
          <w:ilvl w:val="0"/>
          <w:numId w:val="6"/>
        </w:numPr>
      </w:pPr>
      <w:r>
        <w:t>inadequate evidence of eligibility</w:t>
      </w:r>
    </w:p>
    <w:p w14:paraId="0C54EFF3" w14:textId="77777777" w:rsidR="005D34CA" w:rsidRDefault="00D63431" w:rsidP="005D34CA">
      <w:pPr>
        <w:pStyle w:val="SCVbullet1"/>
        <w:numPr>
          <w:ilvl w:val="0"/>
          <w:numId w:val="6"/>
        </w:numPr>
      </w:pPr>
      <w:r>
        <w:t>incorrect dates for completion of form</w:t>
      </w:r>
    </w:p>
    <w:p w14:paraId="09B11D68" w14:textId="77777777" w:rsidR="005D34CA" w:rsidRDefault="00D63431" w:rsidP="005D34CA">
      <w:pPr>
        <w:pStyle w:val="SCVbullet1"/>
        <w:numPr>
          <w:ilvl w:val="0"/>
          <w:numId w:val="6"/>
        </w:numPr>
      </w:pPr>
      <w:r>
        <w:t>inconsistencies in spelling of name and address details</w:t>
      </w:r>
    </w:p>
    <w:p w14:paraId="3B96E685" w14:textId="77777777" w:rsidR="005D34CA" w:rsidRDefault="00D63431" w:rsidP="005D34CA">
      <w:pPr>
        <w:pStyle w:val="SCVbullet1"/>
        <w:numPr>
          <w:ilvl w:val="0"/>
          <w:numId w:val="6"/>
        </w:numPr>
      </w:pPr>
      <w:r>
        <w:t>incorrect substance name, dosage, or route</w:t>
      </w:r>
    </w:p>
    <w:p w14:paraId="6685C7BA" w14:textId="41A499F1" w:rsidR="00D63431" w:rsidRDefault="00D63431" w:rsidP="005D34CA">
      <w:pPr>
        <w:pStyle w:val="SCVbullet1"/>
      </w:pPr>
      <w:r>
        <w:t xml:space="preserve">missing referrals to specialists for neurodegenerative diagnosis and prognosis. </w:t>
      </w:r>
    </w:p>
    <w:p w14:paraId="02ADDC4B" w14:textId="728A17DA" w:rsidR="00D63431" w:rsidRDefault="00D63431" w:rsidP="00D63431">
      <w:pPr>
        <w:pStyle w:val="SCVbody"/>
      </w:pPr>
      <w:r>
        <w:t xml:space="preserve">The Portal enhancements have </w:t>
      </w:r>
      <w:r w:rsidR="008C7206">
        <w:t xml:space="preserve">resulted in </w:t>
      </w:r>
      <w:r w:rsidR="00F34083">
        <w:t xml:space="preserve">over </w:t>
      </w:r>
      <w:r w:rsidR="008C7206">
        <w:t>a 50</w:t>
      </w:r>
      <w:r w:rsidR="00F34083">
        <w:t xml:space="preserve"> per cent</w:t>
      </w:r>
      <w:r w:rsidR="008C7206">
        <w:t xml:space="preserve"> reduction in the incidence of permits no</w:t>
      </w:r>
      <w:r w:rsidR="00F34083">
        <w:t>t</w:t>
      </w:r>
      <w:r w:rsidR="008C7206">
        <w:t xml:space="preserve"> issued</w:t>
      </w:r>
      <w:r>
        <w:t>. Where they occur, the ability to review and amend within the Portal environment has contributed to a more responsive system. This in turn reduces the impact of potential delays to the process for the applicant</w:t>
      </w:r>
      <w:r w:rsidR="00985125">
        <w:t>.</w:t>
      </w:r>
      <w:r w:rsidR="008C7206">
        <w:t xml:space="preserve"> It is expected this number will reduce further in the next reporting period as the enhancements were released halfway through this reporting year</w:t>
      </w:r>
      <w:r>
        <w:t>.</w:t>
      </w:r>
    </w:p>
    <w:p w14:paraId="6A64DE69" w14:textId="799FEAA7" w:rsidR="00D63431" w:rsidRDefault="00D63431" w:rsidP="00D63431">
      <w:pPr>
        <w:pStyle w:val="Heading1"/>
        <w:sectPr w:rsidR="00D63431" w:rsidSect="00EB29C3">
          <w:type w:val="continuous"/>
          <w:pgSz w:w="11906" w:h="16838" w:code="9"/>
          <w:pgMar w:top="3402" w:right="851" w:bottom="1361" w:left="851" w:header="851" w:footer="851" w:gutter="0"/>
          <w:cols w:num="2" w:space="284"/>
          <w:docGrid w:linePitch="360"/>
        </w:sectPr>
      </w:pPr>
    </w:p>
    <w:p w14:paraId="7E08C06E" w14:textId="248055B6" w:rsidR="00D63431" w:rsidRDefault="00D63431" w:rsidP="00D63431">
      <w:pPr>
        <w:pStyle w:val="Heading1"/>
      </w:pPr>
      <w:r>
        <w:lastRenderedPageBreak/>
        <w:t>Research</w:t>
      </w:r>
    </w:p>
    <w:p w14:paraId="2B86E688" w14:textId="44E3C6A7" w:rsidR="00D63431" w:rsidRDefault="00D63431" w:rsidP="00D63431">
      <w:pPr>
        <w:pStyle w:val="SCVintroductorytext"/>
      </w:pPr>
      <w:r w:rsidRPr="00D63431">
        <w:t>As outlined in the Act, one of the functions of the Board is to conduct analysis and carry out research in relation to information or forms given to the Board. The Research Working Group comprises Board members with an active role or interest in research. It reports to the Board and has focused on the development of the Board’s research strategy.</w:t>
      </w:r>
    </w:p>
    <w:p w14:paraId="4DE9411F" w14:textId="77777777" w:rsidR="00D63431" w:rsidRDefault="00D63431" w:rsidP="00D63431">
      <w:pPr>
        <w:pStyle w:val="Heading2"/>
        <w:sectPr w:rsidR="00D63431" w:rsidSect="00EB29C3">
          <w:type w:val="continuous"/>
          <w:pgSz w:w="11906" w:h="16838" w:code="9"/>
          <w:pgMar w:top="3402" w:right="851" w:bottom="1361" w:left="851" w:header="851" w:footer="851" w:gutter="0"/>
          <w:cols w:space="284"/>
          <w:docGrid w:linePitch="360"/>
        </w:sectPr>
      </w:pPr>
    </w:p>
    <w:p w14:paraId="3EBE2FD9" w14:textId="1048A4DC" w:rsidR="00D63431" w:rsidRDefault="00D63431" w:rsidP="00D63431">
      <w:pPr>
        <w:pStyle w:val="Heading2"/>
      </w:pPr>
      <w:r>
        <w:t>Development of a research strategy</w:t>
      </w:r>
    </w:p>
    <w:p w14:paraId="213E5CD8" w14:textId="77777777" w:rsidR="00D63431" w:rsidRDefault="00D63431" w:rsidP="00D63431">
      <w:pPr>
        <w:pStyle w:val="SCVbody"/>
      </w:pPr>
      <w:r>
        <w:t xml:space="preserve">A review of the data collection and privacy impacts is underway to build </w:t>
      </w:r>
      <w:bookmarkStart w:id="46" w:name="_Int_35wm80QD"/>
      <w:r>
        <w:t>a strong foundation</w:t>
      </w:r>
      <w:bookmarkEnd w:id="46"/>
      <w:r>
        <w:t xml:space="preserve"> for future research using data on voluntary assisted dying in Victoria. This approach will ensure a robust framework for data sharing, as well as clarifying the main research priorities. </w:t>
      </w:r>
    </w:p>
    <w:p w14:paraId="707C891B" w14:textId="793AF8B4" w:rsidR="00D63431" w:rsidRDefault="00D63431" w:rsidP="00D63431">
      <w:pPr>
        <w:pStyle w:val="SCVbody"/>
      </w:pPr>
      <w:r>
        <w:t xml:space="preserve">The Board aims to develop a collaborative research program with existing research entities. It will adopt a research partnership model with provisions to commission research and will make de-identified data available to researchers interested in conducting their own research. Further information about the strategy and accessing data will be made available over the next year. </w:t>
      </w:r>
    </w:p>
    <w:p w14:paraId="74A4CB50" w14:textId="77777777" w:rsidR="00D63431" w:rsidRDefault="00D63431" w:rsidP="00D63431">
      <w:pPr>
        <w:pStyle w:val="Heading2"/>
      </w:pPr>
      <w:r>
        <w:t>Review of the dataset</w:t>
      </w:r>
    </w:p>
    <w:p w14:paraId="3956699A" w14:textId="1AFCCB01" w:rsidR="00D63431" w:rsidRDefault="00D63431" w:rsidP="00D63431">
      <w:pPr>
        <w:pStyle w:val="SCVbody"/>
      </w:pPr>
      <w:r>
        <w:t>A review of the data captured through the voluntary assisted dying assessment and compliance processes is underway. The review will consolidate the data collected over the first three years of the program's operation and streamline recording and reporting processes. This will support the implementation of a new research strategy, including through the creation of a de-identified dataset for research.</w:t>
      </w:r>
    </w:p>
    <w:p w14:paraId="3AD0BAA3" w14:textId="77777777" w:rsidR="008042CB" w:rsidRDefault="008042CB" w:rsidP="008042CB">
      <w:pPr>
        <w:pStyle w:val="SCVbody"/>
      </w:pPr>
    </w:p>
    <w:p w14:paraId="083A03E5" w14:textId="77777777" w:rsidR="00D63431" w:rsidRDefault="00D63431" w:rsidP="00D63431">
      <w:pPr>
        <w:pStyle w:val="SCVbody"/>
      </w:pPr>
    </w:p>
    <w:p w14:paraId="44A396E2" w14:textId="77777777" w:rsidR="00D63431" w:rsidRDefault="00D63431" w:rsidP="00D63431">
      <w:pPr>
        <w:pStyle w:val="SCVbody"/>
      </w:pPr>
    </w:p>
    <w:p w14:paraId="69332571" w14:textId="43C701F9" w:rsidR="00D63431" w:rsidRDefault="00D63431" w:rsidP="008042CB">
      <w:pPr>
        <w:pStyle w:val="SCVbody"/>
        <w:sectPr w:rsidR="00D63431" w:rsidSect="00EB29C3">
          <w:type w:val="continuous"/>
          <w:pgSz w:w="11906" w:h="16838" w:code="9"/>
          <w:pgMar w:top="3402" w:right="851" w:bottom="1361" w:left="851" w:header="851" w:footer="851" w:gutter="0"/>
          <w:cols w:num="2" w:space="284"/>
          <w:docGrid w:linePitch="360"/>
        </w:sectPr>
      </w:pPr>
    </w:p>
    <w:p w14:paraId="329C33DA" w14:textId="3A47AF94" w:rsidR="00D63431" w:rsidRDefault="00D63431" w:rsidP="00D63431">
      <w:pPr>
        <w:pStyle w:val="Heading1"/>
      </w:pPr>
      <w:r>
        <w:lastRenderedPageBreak/>
        <w:t>Review of the</w:t>
      </w:r>
      <w:r w:rsidR="00F91088">
        <w:t xml:space="preserve"> operation of the</w:t>
      </w:r>
      <w:r>
        <w:t xml:space="preserve"> legislation</w:t>
      </w:r>
    </w:p>
    <w:p w14:paraId="2053C9E3" w14:textId="68C9856E" w:rsidR="00D63431" w:rsidRDefault="00D63431" w:rsidP="00D63431">
      <w:pPr>
        <w:pStyle w:val="SCVintroductorytext"/>
      </w:pPr>
      <w:r w:rsidRPr="00D63431">
        <w:t xml:space="preserve">The </w:t>
      </w:r>
      <w:r w:rsidRPr="00F91088">
        <w:rPr>
          <w:i/>
          <w:iCs/>
        </w:rPr>
        <w:t>Voluntary Assisted Dying Act 2017</w:t>
      </w:r>
      <w:r w:rsidRPr="00D63431">
        <w:t xml:space="preserve"> requires that </w:t>
      </w:r>
      <w:r w:rsidR="00985125">
        <w:t xml:space="preserve">the Minister for Health must cause </w:t>
      </w:r>
      <w:r w:rsidRPr="00D63431">
        <w:t>a review of the operation of the Act in its fifth year. The review will encompass the first four years of operation of the Act. The Board appreciate the feedback and experience of all people involved in accessing voluntary assisted dying. This will form the basis of some of the Board recommendations on the operation of the Act with a focus on improvement</w:t>
      </w:r>
      <w:r w:rsidR="00985125">
        <w:t>s</w:t>
      </w:r>
      <w:r w:rsidRPr="00D63431">
        <w:t xml:space="preserve"> </w:t>
      </w:r>
      <w:r w:rsidR="00985125">
        <w:t>in</w:t>
      </w:r>
      <w:r w:rsidR="00985125" w:rsidRPr="00D63431">
        <w:t xml:space="preserve"> </w:t>
      </w:r>
      <w:r w:rsidRPr="00D63431">
        <w:t xml:space="preserve">access and safety. </w:t>
      </w:r>
    </w:p>
    <w:p w14:paraId="22677009" w14:textId="77777777" w:rsidR="00D63431" w:rsidRDefault="00D63431" w:rsidP="00D63431">
      <w:pPr>
        <w:pStyle w:val="SCVbody"/>
        <w:sectPr w:rsidR="00D63431" w:rsidSect="00EB29C3">
          <w:type w:val="continuous"/>
          <w:pgSz w:w="11906" w:h="16838" w:code="9"/>
          <w:pgMar w:top="3402" w:right="851" w:bottom="1361" w:left="851" w:header="851" w:footer="851" w:gutter="0"/>
          <w:cols w:space="284"/>
          <w:docGrid w:linePitch="360"/>
        </w:sectPr>
      </w:pPr>
    </w:p>
    <w:p w14:paraId="5021E026" w14:textId="00BF795C" w:rsidR="00D63431" w:rsidRPr="00D63431" w:rsidRDefault="00D63431" w:rsidP="00D63431">
      <w:pPr>
        <w:pStyle w:val="SCVbody"/>
        <w:rPr>
          <w:rFonts w:ascii="VIC Medium" w:hAnsi="VIC Medium"/>
        </w:rPr>
      </w:pPr>
      <w:r w:rsidRPr="00D63431">
        <w:rPr>
          <w:rFonts w:ascii="VIC Medium" w:hAnsi="VIC Medium"/>
        </w:rPr>
        <w:t>The following feedback has been received by the Board. It should be noted the Board do</w:t>
      </w:r>
      <w:r w:rsidR="003778D3">
        <w:rPr>
          <w:rFonts w:ascii="VIC Medium" w:hAnsi="VIC Medium"/>
        </w:rPr>
        <w:t>es</w:t>
      </w:r>
      <w:r w:rsidRPr="00D63431">
        <w:rPr>
          <w:rFonts w:ascii="VIC Medium" w:hAnsi="VIC Medium"/>
        </w:rPr>
        <w:t xml:space="preserve"> not provide this information as a representation of Board opinion, </w:t>
      </w:r>
      <w:bookmarkStart w:id="47" w:name="_Int_EqeUi2Vg"/>
      <w:r w:rsidRPr="00D63431">
        <w:rPr>
          <w:rFonts w:ascii="VIC Medium" w:hAnsi="VIC Medium"/>
        </w:rPr>
        <w:t>rather as</w:t>
      </w:r>
      <w:bookmarkEnd w:id="47"/>
      <w:r w:rsidRPr="00D63431">
        <w:rPr>
          <w:rFonts w:ascii="VIC Medium" w:hAnsi="VIC Medium"/>
        </w:rPr>
        <w:t xml:space="preserve"> a demonstration of the feedback that has been received to date about the operation of the Act.</w:t>
      </w:r>
    </w:p>
    <w:p w14:paraId="21BE7F22" w14:textId="77777777" w:rsidR="00D63431" w:rsidRDefault="00D63431" w:rsidP="00D63431">
      <w:pPr>
        <w:pStyle w:val="Heading2"/>
      </w:pPr>
      <w:r>
        <w:t>Communicating about voluntary assisted dying</w:t>
      </w:r>
    </w:p>
    <w:p w14:paraId="241FEC95" w14:textId="2FD73F0D" w:rsidR="00D63431" w:rsidRDefault="00D63431" w:rsidP="00D63431">
      <w:pPr>
        <w:pStyle w:val="SCVbody"/>
      </w:pPr>
      <w:r>
        <w:t>The Act currently prohibits medical practitioners from initiating a discussion about voluntary assisted dying. Feedback from medical practitioners, applicants and contact people have constantly highlighted this as a barrier to accessing voluntary assisted dying in Victoria. One consequence of this is that some applicants may only begin the process when their illness is at a very advanced stage, by which time going through the application process is challenging.</w:t>
      </w:r>
    </w:p>
    <w:p w14:paraId="77C3D090" w14:textId="0C4D76CA" w:rsidR="00D63431" w:rsidRDefault="00985125" w:rsidP="00D63431">
      <w:pPr>
        <w:pStyle w:val="SCVbody"/>
      </w:pPr>
      <w:r>
        <w:t>Other</w:t>
      </w:r>
      <w:r w:rsidR="00D63431">
        <w:t xml:space="preserve"> jurisdictions who have brought in similar legislation do not restrict medical practitioners from initiating conversations around voluntary assisted dying provided they give information about all options, including palliative care. To improve the operation of the legislation, authorising medical practitioners and clinical staff to initiate discussions may facilitate access for those who wish to access voluntary assisted dying in Victoria.</w:t>
      </w:r>
    </w:p>
    <w:p w14:paraId="2E252C9C" w14:textId="77777777" w:rsidR="00D63431" w:rsidRDefault="00D63431" w:rsidP="00D63431">
      <w:pPr>
        <w:pStyle w:val="Heading2"/>
      </w:pPr>
      <w:r>
        <w:t>Specialist opinion for a neurodegenerative prognosis of 6-12 months</w:t>
      </w:r>
    </w:p>
    <w:p w14:paraId="632D1FBB" w14:textId="77777777" w:rsidR="00D63431" w:rsidRDefault="00D63431" w:rsidP="00D63431">
      <w:pPr>
        <w:pStyle w:val="SCVbody"/>
      </w:pPr>
      <w:r>
        <w:t xml:space="preserve">The Act requires that a third specialist opinion </w:t>
      </w:r>
      <w:bookmarkStart w:id="48" w:name="_Int_juoj0dzH"/>
      <w:r>
        <w:t>is</w:t>
      </w:r>
      <w:bookmarkEnd w:id="48"/>
      <w:r>
        <w:t xml:space="preserve"> sought for a disease, illness or medical condition that is neurodegenerative where the prognosis is 6-12 months. For applicants with mobility issues and those situated in regional and remote areas, this often requires extensive travel and delays to assessment. Deterioration of an applicant over this time may have further impact on their ability to complete an assessment process. </w:t>
      </w:r>
    </w:p>
    <w:p w14:paraId="3FFF6685" w14:textId="7C74DAE1" w:rsidR="00D63431" w:rsidRDefault="00D63431" w:rsidP="00D63431">
      <w:pPr>
        <w:pStyle w:val="SCVbody"/>
      </w:pPr>
      <w:r>
        <w:t>The Act already requires that at least one of the medical practitioners completing an assessment must have relevant expertise and experience in the disease, illness or medical condition expected to cause the death of the person being assessed. Consequently, one medical practitioner assessing a</w:t>
      </w:r>
      <w:r w:rsidR="001E6BD3">
        <w:t>n</w:t>
      </w:r>
      <w:r>
        <w:t xml:space="preserve"> </w:t>
      </w:r>
      <w:r w:rsidR="001E6BD3">
        <w:t xml:space="preserve">applicant with a neurodegenerative condition </w:t>
      </w:r>
      <w:r>
        <w:t xml:space="preserve">will be an expert in the neurological condition on which the </w:t>
      </w:r>
      <w:r w:rsidR="001E6BD3">
        <w:t>application</w:t>
      </w:r>
      <w:r>
        <w:t xml:space="preserve"> is based. It may be considered that this is sufficient without a third opinion, regardless of the prognosis of the applicant seeking voluntary assisted dying. This would allow an equal access process for all applicants</w:t>
      </w:r>
      <w:r w:rsidR="00985125">
        <w:t xml:space="preserve"> for</w:t>
      </w:r>
      <w:r>
        <w:t xml:space="preserve"> voluntary assisted dying.</w:t>
      </w:r>
    </w:p>
    <w:p w14:paraId="29FDE419" w14:textId="77777777" w:rsidR="00250860" w:rsidRDefault="00250860" w:rsidP="00D63431">
      <w:pPr>
        <w:pStyle w:val="SCVbody"/>
      </w:pPr>
    </w:p>
    <w:p w14:paraId="440CC479" w14:textId="77777777" w:rsidR="00D63431" w:rsidRDefault="00D63431" w:rsidP="00D63431">
      <w:pPr>
        <w:pStyle w:val="Heading2"/>
      </w:pPr>
      <w:r>
        <w:lastRenderedPageBreak/>
        <w:t>Access from other jurisdictions who provide voluntary assisted dying</w:t>
      </w:r>
    </w:p>
    <w:p w14:paraId="38DA2CBA" w14:textId="07DBF7E3" w:rsidR="00D63431" w:rsidRDefault="001E6BD3" w:rsidP="00D63431">
      <w:pPr>
        <w:pStyle w:val="SCVbody"/>
      </w:pPr>
      <w:r>
        <w:t xml:space="preserve">People in other </w:t>
      </w:r>
      <w:r w:rsidR="00D63431">
        <w:t>Australian</w:t>
      </w:r>
      <w:r>
        <w:t xml:space="preserve"> states and in New Zealand </w:t>
      </w:r>
      <w:r w:rsidR="00D63431">
        <w:t>will, in time, have access to voluntary assisted dying. New Zealand and Western Australia have commenced their voluntary assisted dying program. Tasmania, Queensland, New South Wales, and South Australia are implementing new legislation. Given the legislations in those jurisdictions are similar in nature, this opens the potential to understand how a reciprocal approach to accessing voluntary assisted dying may operate across these jurisdictions. This would</w:t>
      </w:r>
      <w:r>
        <w:t xml:space="preserve"> benefit</w:t>
      </w:r>
      <w:r w:rsidR="00D63431">
        <w:t xml:space="preserve"> those who are citizens of both countries as well as those who have moved states to be nearer to family or carer after a life-limiting diagnosis. It will also impact those citizens of New Zealand who have lived in </w:t>
      </w:r>
      <w:r w:rsidR="00A424D9">
        <w:t>Victoria</w:t>
      </w:r>
      <w:r w:rsidR="00D63431">
        <w:t xml:space="preserve"> under reciprocal agreements, however, have not sought Australian citizenship or permanent residency. </w:t>
      </w:r>
    </w:p>
    <w:p w14:paraId="24F29C16" w14:textId="77777777" w:rsidR="00D63431" w:rsidRDefault="00D63431" w:rsidP="00D63431">
      <w:pPr>
        <w:pStyle w:val="Heading2"/>
      </w:pPr>
      <w:r>
        <w:t>Self-administration and practitioner administration choice</w:t>
      </w:r>
    </w:p>
    <w:p w14:paraId="0A5ABA88" w14:textId="77777777" w:rsidR="00D63431" w:rsidRDefault="00D63431" w:rsidP="00D63431">
      <w:pPr>
        <w:pStyle w:val="SCVbody"/>
      </w:pPr>
      <w:r>
        <w:t xml:space="preserve">The Act requires that the medical practitioner must apply for a self-administration permit unless the applicant is unable to self-administer or digest the substance. Should an applicant deteriorate after receiving a self-administration permit, a further application for a practitioner administration permit is required. At times, this delays access to a voluntary assisted dying substance while an applicant is actively dying. </w:t>
      </w:r>
    </w:p>
    <w:p w14:paraId="3C76ECA7" w14:textId="00CD5A14" w:rsidR="00D63431" w:rsidRDefault="00D63431" w:rsidP="00D63431">
      <w:pPr>
        <w:pStyle w:val="SCVbody"/>
      </w:pPr>
      <w:r>
        <w:t>Contact people have also provided feedback around the perceived pressure of supporting an applicant during dispensing or preparation of the substance, and how greater access to an IV self-administration process or practitioner administration would remove barriers.</w:t>
      </w:r>
    </w:p>
    <w:p w14:paraId="7A9307C6" w14:textId="77777777" w:rsidR="00D63431" w:rsidRDefault="00D63431" w:rsidP="00D63431">
      <w:pPr>
        <w:pStyle w:val="Heading1"/>
        <w:sectPr w:rsidR="00D63431" w:rsidSect="00EB29C3">
          <w:type w:val="continuous"/>
          <w:pgSz w:w="11906" w:h="16838" w:code="9"/>
          <w:pgMar w:top="3402" w:right="851" w:bottom="1361" w:left="851" w:header="851" w:footer="851" w:gutter="0"/>
          <w:cols w:num="2" w:space="284"/>
          <w:docGrid w:linePitch="360"/>
        </w:sectPr>
      </w:pPr>
    </w:p>
    <w:p w14:paraId="6105633E" w14:textId="686BDED4" w:rsidR="00D63431" w:rsidRDefault="00D63431" w:rsidP="00D63431">
      <w:pPr>
        <w:pStyle w:val="Heading1"/>
      </w:pPr>
      <w:r>
        <w:lastRenderedPageBreak/>
        <w:t xml:space="preserve">Key contacts </w:t>
      </w:r>
    </w:p>
    <w:p w14:paraId="6CFFAD92" w14:textId="77777777" w:rsidR="00D63431" w:rsidRDefault="00D63431" w:rsidP="00D63431">
      <w:pPr>
        <w:pStyle w:val="Heading2"/>
        <w:sectPr w:rsidR="00D63431" w:rsidSect="00EB29C3">
          <w:type w:val="continuous"/>
          <w:pgSz w:w="11906" w:h="16838" w:code="9"/>
          <w:pgMar w:top="3402" w:right="851" w:bottom="1361" w:left="851" w:header="851" w:footer="851" w:gutter="0"/>
          <w:cols w:space="284"/>
          <w:docGrid w:linePitch="360"/>
        </w:sectPr>
      </w:pPr>
    </w:p>
    <w:p w14:paraId="61D46C18" w14:textId="082776A8" w:rsidR="00D63431" w:rsidRDefault="00D63431" w:rsidP="00D63431">
      <w:pPr>
        <w:pStyle w:val="Heading2"/>
      </w:pPr>
      <w:r>
        <w:t>Safer Care Victoria Secretariat</w:t>
      </w:r>
    </w:p>
    <w:p w14:paraId="2D43BA8C" w14:textId="1D069B6D" w:rsidR="00D63431" w:rsidRDefault="00D63431" w:rsidP="00D63431">
      <w:pPr>
        <w:pStyle w:val="SCVbody"/>
      </w:pPr>
      <w:r>
        <w:t>VADboard@safercare.vic.gov.au</w:t>
      </w:r>
    </w:p>
    <w:p w14:paraId="1A5860EE" w14:textId="77777777" w:rsidR="00D63431" w:rsidRDefault="00D63431" w:rsidP="00D63431">
      <w:pPr>
        <w:pStyle w:val="SCVbody"/>
      </w:pPr>
      <w:r>
        <w:t>03 9668 7016</w:t>
      </w:r>
    </w:p>
    <w:p w14:paraId="4B8B5CA8" w14:textId="77777777" w:rsidR="00D63431" w:rsidRDefault="00D63431" w:rsidP="00D63431">
      <w:pPr>
        <w:pStyle w:val="Heading2"/>
      </w:pPr>
      <w:r>
        <w:t>Statewide Care Navigator Service</w:t>
      </w:r>
    </w:p>
    <w:p w14:paraId="3C6E7CD6" w14:textId="77777777" w:rsidR="00D63431" w:rsidRDefault="00D63431" w:rsidP="00D63431">
      <w:pPr>
        <w:pStyle w:val="SCVbody"/>
      </w:pPr>
      <w:r>
        <w:t xml:space="preserve">vadcarenavigator@petermac.org </w:t>
      </w:r>
    </w:p>
    <w:p w14:paraId="75B7F57B" w14:textId="77777777" w:rsidR="00D63431" w:rsidRDefault="00D63431" w:rsidP="00D63431">
      <w:pPr>
        <w:pStyle w:val="SCVbody"/>
      </w:pPr>
      <w:r>
        <w:t>03 8559 5823</w:t>
      </w:r>
    </w:p>
    <w:p w14:paraId="2D51646C" w14:textId="77777777" w:rsidR="00D63431" w:rsidRDefault="00D63431" w:rsidP="00D63431">
      <w:pPr>
        <w:pStyle w:val="SCVbody"/>
      </w:pPr>
      <w:r>
        <w:t>0436 848 344</w:t>
      </w:r>
    </w:p>
    <w:p w14:paraId="26865D13" w14:textId="77777777" w:rsidR="00D63431" w:rsidRDefault="00D63431" w:rsidP="00D63431">
      <w:pPr>
        <w:pStyle w:val="Heading2"/>
      </w:pPr>
      <w:r>
        <w:t>Statewide Pharmacy Service</w:t>
      </w:r>
    </w:p>
    <w:p w14:paraId="0BAD7394" w14:textId="77777777" w:rsidR="00D63431" w:rsidRDefault="00D63431" w:rsidP="00D63431">
      <w:pPr>
        <w:pStyle w:val="SCVbody"/>
      </w:pPr>
      <w:r>
        <w:t xml:space="preserve">statewidepharmacy@alfred.org.au </w:t>
      </w:r>
    </w:p>
    <w:p w14:paraId="1837A7CB" w14:textId="77777777" w:rsidR="00D63431" w:rsidRDefault="00D63431" w:rsidP="00D63431">
      <w:pPr>
        <w:pStyle w:val="SCVbody"/>
      </w:pPr>
      <w:r>
        <w:t>03 9076 5270</w:t>
      </w:r>
    </w:p>
    <w:p w14:paraId="2A2CE4F9" w14:textId="032E4BC7" w:rsidR="00D63431" w:rsidRDefault="00D63431" w:rsidP="00D63431">
      <w:pPr>
        <w:pStyle w:val="Heading2"/>
      </w:pPr>
      <w:r>
        <w:t xml:space="preserve">End of </w:t>
      </w:r>
      <w:r w:rsidR="0065460D">
        <w:t>L</w:t>
      </w:r>
      <w:r>
        <w:t xml:space="preserve">ife </w:t>
      </w:r>
      <w:r w:rsidR="0065460D">
        <w:t xml:space="preserve">and Palliative Services </w:t>
      </w:r>
      <w:r w:rsidR="00313B32">
        <w:t>T</w:t>
      </w:r>
      <w:r>
        <w:t>eam, Department of Health</w:t>
      </w:r>
    </w:p>
    <w:p w14:paraId="1758F036" w14:textId="77777777" w:rsidR="00D63431" w:rsidRDefault="00D63431" w:rsidP="00D63431">
      <w:pPr>
        <w:pStyle w:val="SCVbody"/>
      </w:pPr>
      <w:r>
        <w:t xml:space="preserve">EndofLifecare@health.vic.gov.au </w:t>
      </w:r>
    </w:p>
    <w:p w14:paraId="4A041398" w14:textId="3A067C54" w:rsidR="00D63431" w:rsidRDefault="00D63431" w:rsidP="00D63431">
      <w:pPr>
        <w:pStyle w:val="Heading2"/>
      </w:pPr>
      <w:r>
        <w:br w:type="column"/>
      </w:r>
      <w:r>
        <w:t>Join a community of practice</w:t>
      </w:r>
    </w:p>
    <w:p w14:paraId="19708F1B" w14:textId="44069222" w:rsidR="00D63431" w:rsidRDefault="00D63431" w:rsidP="00D63431">
      <w:pPr>
        <w:pStyle w:val="SCVbody"/>
      </w:pPr>
      <w:r>
        <w:t>For healthcare professionals who support people to access voluntary assisted dying</w:t>
      </w:r>
      <w:r w:rsidR="00E770D8">
        <w:t>.</w:t>
      </w:r>
      <w:r>
        <w:t xml:space="preserve"> vadcarenavigator@petermac.org </w:t>
      </w:r>
    </w:p>
    <w:p w14:paraId="2FAE5560" w14:textId="0A6C37F7" w:rsidR="00D63431" w:rsidRDefault="00D63431" w:rsidP="00D63431">
      <w:pPr>
        <w:pStyle w:val="SCVbody"/>
      </w:pPr>
      <w:r>
        <w:t>For medical practitioners who have completed the voluntary assisted dying training</w:t>
      </w:r>
      <w:r w:rsidR="00E770D8">
        <w:t>.</w:t>
      </w:r>
      <w:r>
        <w:t xml:space="preserve"> vadcommunity@westvicphn.com.au </w:t>
      </w:r>
    </w:p>
    <w:p w14:paraId="4E0E0EF4" w14:textId="77777777" w:rsidR="00D63431" w:rsidRDefault="00D63431" w:rsidP="00D63431">
      <w:pPr>
        <w:pStyle w:val="Heading2"/>
      </w:pPr>
      <w:r>
        <w:t>Grief and bereavement services</w:t>
      </w:r>
    </w:p>
    <w:p w14:paraId="0C6080A2" w14:textId="6EC86211" w:rsidR="00D63431" w:rsidRDefault="00D63431" w:rsidP="00D63431">
      <w:pPr>
        <w:pStyle w:val="SCVbody"/>
      </w:pPr>
      <w:r w:rsidRPr="00D63431">
        <w:rPr>
          <w:rFonts w:ascii="VIC Medium" w:hAnsi="VIC Medium"/>
        </w:rPr>
        <w:t>Lifeline</w:t>
      </w:r>
      <w:r>
        <w:t xml:space="preserve"> (call 13 11 14) provides telephone or online support and counselling 24 hours a day, 7 days a week.</w:t>
      </w:r>
    </w:p>
    <w:p w14:paraId="6D338018" w14:textId="1B5C8D47" w:rsidR="00D63431" w:rsidRDefault="00D63431" w:rsidP="00D63431">
      <w:pPr>
        <w:pStyle w:val="SCVbody"/>
      </w:pPr>
      <w:r w:rsidRPr="00D63431">
        <w:rPr>
          <w:rFonts w:ascii="VIC Medium" w:hAnsi="VIC Medium"/>
        </w:rPr>
        <w:t>Australian Centre for Grief and Bereavement</w:t>
      </w:r>
      <w:r>
        <w:t xml:space="preserve"> (Tel. 1800 642 066) provides a statewide specialist bereavement service (including counselling and support groups) for individuals, children, and families. </w:t>
      </w:r>
    </w:p>
    <w:p w14:paraId="6BC6103A" w14:textId="77777777" w:rsidR="00D63431" w:rsidRDefault="00D63431" w:rsidP="00D63431">
      <w:pPr>
        <w:pStyle w:val="SCVbody"/>
      </w:pPr>
      <w:r w:rsidRPr="00D63431">
        <w:rPr>
          <w:rFonts w:ascii="VIC Medium" w:hAnsi="VIC Medium"/>
        </w:rPr>
        <w:t>Beyond Blue</w:t>
      </w:r>
      <w:r>
        <w:t xml:space="preserve"> (Tel. 1300 224 636) provides support 24 hours a day, 7 days a week, with options including telephone, online, email and forums.</w:t>
      </w:r>
    </w:p>
    <w:p w14:paraId="2869767C" w14:textId="4D12E79D" w:rsidR="00D63431" w:rsidRDefault="00D63431" w:rsidP="00D63431">
      <w:pPr>
        <w:pStyle w:val="SCVbody"/>
      </w:pPr>
      <w:r w:rsidRPr="00D63431">
        <w:rPr>
          <w:rFonts w:ascii="VIC Medium" w:hAnsi="VIC Medium"/>
        </w:rPr>
        <w:t>Palliative Care Victoria</w:t>
      </w:r>
      <w:r>
        <w:t xml:space="preserve"> (www.pallcarevic.asn.au) provides information and resources about grief and loss, including details for grief and bereavement services.</w:t>
      </w:r>
    </w:p>
    <w:p w14:paraId="694C5790" w14:textId="0C12969C" w:rsidR="00D63431" w:rsidRDefault="00D63431" w:rsidP="00D63431">
      <w:pPr>
        <w:pStyle w:val="SCVbody"/>
      </w:pPr>
    </w:p>
    <w:p w14:paraId="40289E23" w14:textId="1629E6DD" w:rsidR="00D63431" w:rsidRDefault="00D63431" w:rsidP="00D63431">
      <w:pPr>
        <w:pStyle w:val="SCVbody"/>
      </w:pPr>
    </w:p>
    <w:p w14:paraId="608A64A1" w14:textId="3BCACF97" w:rsidR="00D63431" w:rsidRDefault="00D63431" w:rsidP="00D63431">
      <w:pPr>
        <w:pStyle w:val="SCVbody"/>
      </w:pPr>
    </w:p>
    <w:p w14:paraId="6E8AA0E1" w14:textId="2454FD47" w:rsidR="00D63431" w:rsidRDefault="00D63431" w:rsidP="00D63431">
      <w:pPr>
        <w:pStyle w:val="SCVbody"/>
      </w:pPr>
    </w:p>
    <w:p w14:paraId="6B8548F5" w14:textId="77777777" w:rsidR="00D63431" w:rsidRDefault="00D63431" w:rsidP="00D63431">
      <w:pPr>
        <w:pStyle w:val="SCVbody"/>
      </w:pPr>
    </w:p>
    <w:p w14:paraId="0D1B9FA8" w14:textId="77777777" w:rsidR="00D63431" w:rsidRDefault="00D63431" w:rsidP="00D63431">
      <w:pPr>
        <w:pStyle w:val="Heading1"/>
        <w:sectPr w:rsidR="00D63431" w:rsidSect="00EB29C3">
          <w:type w:val="continuous"/>
          <w:pgSz w:w="11906" w:h="16838" w:code="9"/>
          <w:pgMar w:top="3402" w:right="851" w:bottom="1361" w:left="851" w:header="851" w:footer="851" w:gutter="0"/>
          <w:cols w:num="2" w:space="284"/>
          <w:docGrid w:linePitch="360"/>
        </w:sectPr>
      </w:pPr>
    </w:p>
    <w:p w14:paraId="69CA4B75" w14:textId="4C7D6864" w:rsidR="00D63431" w:rsidRDefault="00D63431" w:rsidP="00D63431">
      <w:pPr>
        <w:pStyle w:val="Heading1"/>
      </w:pPr>
      <w:r>
        <w:lastRenderedPageBreak/>
        <w:t>Board members</w:t>
      </w:r>
    </w:p>
    <w:p w14:paraId="021AA750" w14:textId="7B35F3C5" w:rsidR="00D63431" w:rsidRDefault="00D63431" w:rsidP="00D63431">
      <w:pPr>
        <w:pStyle w:val="SCVintroductorytext"/>
      </w:pPr>
      <w:r w:rsidRPr="00D63431">
        <w:t>The Board currently has 11 members representing a wide range of expertise and skills to help perform the functions and duties of the Board.</w:t>
      </w:r>
    </w:p>
    <w:p w14:paraId="7011EF51" w14:textId="77777777" w:rsidR="00511F36" w:rsidRDefault="00511F36" w:rsidP="00D63431">
      <w:pPr>
        <w:pStyle w:val="Heading2"/>
        <w:sectPr w:rsidR="00511F36" w:rsidSect="00EB29C3">
          <w:type w:val="continuous"/>
          <w:pgSz w:w="11906" w:h="16838" w:code="9"/>
          <w:pgMar w:top="3402" w:right="851" w:bottom="1361" w:left="851" w:header="851" w:footer="851" w:gutter="0"/>
          <w:cols w:space="284"/>
          <w:docGrid w:linePitch="360"/>
        </w:sectPr>
      </w:pPr>
    </w:p>
    <w:p w14:paraId="5F7784C7" w14:textId="77777777" w:rsidR="00D63431" w:rsidRDefault="00D63431" w:rsidP="00D63431">
      <w:pPr>
        <w:pStyle w:val="Heading2"/>
      </w:pPr>
      <w:r>
        <w:t>Chairperson</w:t>
      </w:r>
    </w:p>
    <w:p w14:paraId="00C337B8" w14:textId="52B36690" w:rsidR="00D63431" w:rsidRDefault="00D63431" w:rsidP="00D63431">
      <w:pPr>
        <w:pStyle w:val="SCVbody"/>
      </w:pPr>
      <w:r w:rsidRPr="00D63431">
        <w:rPr>
          <w:rFonts w:asciiTheme="majorHAnsi" w:hAnsiTheme="majorHAnsi"/>
        </w:rPr>
        <w:t>Julian Gardner AM</w:t>
      </w:r>
      <w:r>
        <w:rPr>
          <w:rFonts w:asciiTheme="majorHAnsi" w:hAnsiTheme="majorHAnsi"/>
        </w:rPr>
        <w:br/>
      </w:r>
      <w:r>
        <w:t>Lawyer</w:t>
      </w:r>
    </w:p>
    <w:p w14:paraId="5C3D4909" w14:textId="77777777" w:rsidR="00D63431" w:rsidRDefault="00D63431" w:rsidP="00D63431">
      <w:pPr>
        <w:pStyle w:val="Heading2"/>
      </w:pPr>
      <w:r>
        <w:t>Deputy Chairperson</w:t>
      </w:r>
    </w:p>
    <w:p w14:paraId="2FA90676" w14:textId="1ACDE038" w:rsidR="00D63431" w:rsidRDefault="00D63431" w:rsidP="00D63431">
      <w:pPr>
        <w:pStyle w:val="SCVbody"/>
      </w:pPr>
      <w:r w:rsidRPr="00D63431">
        <w:rPr>
          <w:rFonts w:asciiTheme="majorHAnsi" w:hAnsiTheme="majorHAnsi"/>
        </w:rPr>
        <w:t>Charlie Corke</w:t>
      </w:r>
      <w:r>
        <w:rPr>
          <w:rFonts w:asciiTheme="majorHAnsi" w:hAnsiTheme="majorHAnsi"/>
        </w:rPr>
        <w:br/>
      </w:r>
      <w:r>
        <w:t>Intensive care specialist</w:t>
      </w:r>
    </w:p>
    <w:p w14:paraId="0269A34E" w14:textId="77374E8D" w:rsidR="00D63431" w:rsidRDefault="001B77E6" w:rsidP="00D63431">
      <w:pPr>
        <w:pStyle w:val="Heading2"/>
      </w:pPr>
      <w:r>
        <w:br w:type="column"/>
      </w:r>
      <w:r w:rsidR="00D63431">
        <w:t>Members</w:t>
      </w:r>
    </w:p>
    <w:p w14:paraId="0F868050" w14:textId="42BFF444" w:rsidR="00D63431" w:rsidRDefault="00D63431" w:rsidP="00D63431">
      <w:pPr>
        <w:pStyle w:val="SCVbody"/>
      </w:pPr>
      <w:r w:rsidRPr="00D63431">
        <w:rPr>
          <w:rFonts w:asciiTheme="majorHAnsi" w:hAnsiTheme="majorHAnsi"/>
        </w:rPr>
        <w:t>Margaret Bird</w:t>
      </w:r>
      <w:r>
        <w:br/>
        <w:t>Consultant physician in geriatric medicine</w:t>
      </w:r>
    </w:p>
    <w:p w14:paraId="18FDDF32" w14:textId="71F0888B" w:rsidR="00D63431" w:rsidRDefault="00D63431" w:rsidP="00D63431">
      <w:pPr>
        <w:pStyle w:val="SCVbody"/>
      </w:pPr>
      <w:r w:rsidRPr="00D63431">
        <w:rPr>
          <w:rFonts w:asciiTheme="majorHAnsi" w:hAnsiTheme="majorHAnsi"/>
        </w:rPr>
        <w:t xml:space="preserve">Molly </w:t>
      </w:r>
      <w:proofErr w:type="spellStart"/>
      <w:r w:rsidRPr="00D63431">
        <w:rPr>
          <w:rFonts w:asciiTheme="majorHAnsi" w:hAnsiTheme="majorHAnsi"/>
        </w:rPr>
        <w:t>Carlile</w:t>
      </w:r>
      <w:proofErr w:type="spellEnd"/>
      <w:r w:rsidRPr="00D63431">
        <w:rPr>
          <w:rFonts w:asciiTheme="majorHAnsi" w:hAnsiTheme="majorHAnsi"/>
        </w:rPr>
        <w:t xml:space="preserve"> AM</w:t>
      </w:r>
      <w:r>
        <w:br/>
        <w:t xml:space="preserve">Senior healthcare leader and palliative care expert </w:t>
      </w:r>
    </w:p>
    <w:p w14:paraId="6327B62A" w14:textId="4C791489" w:rsidR="00D63431" w:rsidRDefault="00D63431" w:rsidP="00D63431">
      <w:pPr>
        <w:pStyle w:val="SCVbody"/>
      </w:pPr>
      <w:r w:rsidRPr="00D63431">
        <w:rPr>
          <w:rFonts w:asciiTheme="majorHAnsi" w:hAnsiTheme="majorHAnsi"/>
        </w:rPr>
        <w:t>Mitchell Chipman</w:t>
      </w:r>
      <w:r>
        <w:br/>
        <w:t>Medical oncologist and palliative care physician</w:t>
      </w:r>
    </w:p>
    <w:p w14:paraId="414222E5" w14:textId="17E7C260" w:rsidR="00D63431" w:rsidRDefault="00D63431" w:rsidP="00D63431">
      <w:pPr>
        <w:pStyle w:val="SCVbody"/>
      </w:pPr>
      <w:r w:rsidRPr="00D63431">
        <w:rPr>
          <w:rFonts w:asciiTheme="majorHAnsi" w:hAnsiTheme="majorHAnsi"/>
        </w:rPr>
        <w:t>John Clements</w:t>
      </w:r>
      <w:r>
        <w:br/>
        <w:t>Consumer and IT consultant</w:t>
      </w:r>
    </w:p>
    <w:p w14:paraId="6BBE5CE0" w14:textId="00A2FE71" w:rsidR="00D63431" w:rsidRDefault="00D63431" w:rsidP="00D63431">
      <w:pPr>
        <w:pStyle w:val="SCVbody"/>
      </w:pPr>
      <w:r w:rsidRPr="00D63431">
        <w:rPr>
          <w:rFonts w:asciiTheme="majorHAnsi" w:hAnsiTheme="majorHAnsi"/>
        </w:rPr>
        <w:t>Sally Cockburn</w:t>
      </w:r>
      <w:r>
        <w:br/>
        <w:t>Specialist general practitioner (VR) and health educator</w:t>
      </w:r>
    </w:p>
    <w:p w14:paraId="27EAEB7D" w14:textId="4F0D537A" w:rsidR="00D63431" w:rsidRDefault="00D63431" w:rsidP="00D63431">
      <w:pPr>
        <w:pStyle w:val="SCVbody"/>
      </w:pPr>
      <w:r w:rsidRPr="00D63431">
        <w:rPr>
          <w:rFonts w:asciiTheme="majorHAnsi" w:hAnsiTheme="majorHAnsi"/>
        </w:rPr>
        <w:t>Jim Howe</w:t>
      </w:r>
      <w:r>
        <w:br/>
        <w:t>Neurologist</w:t>
      </w:r>
    </w:p>
    <w:p w14:paraId="3C71F40B" w14:textId="1D2F9867" w:rsidR="00D63431" w:rsidRDefault="00D63431" w:rsidP="00D63431">
      <w:pPr>
        <w:pStyle w:val="SCVbody"/>
      </w:pPr>
      <w:r w:rsidRPr="00D63431">
        <w:rPr>
          <w:rFonts w:asciiTheme="majorHAnsi" w:hAnsiTheme="majorHAnsi"/>
        </w:rPr>
        <w:t>Margaret O’Connor AM</w:t>
      </w:r>
      <w:r>
        <w:br/>
        <w:t>Emeritus Professor of Nursing</w:t>
      </w:r>
    </w:p>
    <w:p w14:paraId="384C6166" w14:textId="6DF4B4E1" w:rsidR="00D63431" w:rsidRDefault="00D63431" w:rsidP="00D63431">
      <w:pPr>
        <w:pStyle w:val="SCVbody"/>
      </w:pPr>
      <w:r w:rsidRPr="00D63431">
        <w:rPr>
          <w:rFonts w:asciiTheme="majorHAnsi" w:hAnsiTheme="majorHAnsi"/>
        </w:rPr>
        <w:t>Nirasha Parsotam</w:t>
      </w:r>
      <w:r>
        <w:br/>
        <w:t xml:space="preserve">Medication safety specialist </w:t>
      </w:r>
    </w:p>
    <w:p w14:paraId="7B16F520" w14:textId="77777777" w:rsidR="00511F36" w:rsidRDefault="00D63431" w:rsidP="00D63431">
      <w:pPr>
        <w:pStyle w:val="SCVbody"/>
        <w:sectPr w:rsidR="00511F36" w:rsidSect="00EB29C3">
          <w:type w:val="continuous"/>
          <w:pgSz w:w="11906" w:h="16838" w:code="9"/>
          <w:pgMar w:top="3402" w:right="851" w:bottom="1361" w:left="851" w:header="851" w:footer="851" w:gutter="0"/>
          <w:cols w:num="2" w:space="284"/>
          <w:docGrid w:linePitch="360"/>
        </w:sectPr>
      </w:pPr>
      <w:r w:rsidRPr="00D63431">
        <w:rPr>
          <w:rFonts w:asciiTheme="majorHAnsi" w:hAnsiTheme="majorHAnsi"/>
        </w:rPr>
        <w:t>Paula Shelton</w:t>
      </w:r>
      <w:r>
        <w:br/>
        <w:t>Lawyer</w:t>
      </w:r>
    </w:p>
    <w:p w14:paraId="39570897" w14:textId="73C0CAE6" w:rsidR="00D63431" w:rsidRDefault="00D63431" w:rsidP="00D63431">
      <w:pPr>
        <w:pStyle w:val="SCVbody"/>
        <w:rPr>
          <w:rFonts w:eastAsiaTheme="majorEastAsia"/>
          <w:sz w:val="24"/>
          <w:szCs w:val="24"/>
        </w:rPr>
      </w:pPr>
      <w:r>
        <w:br w:type="page"/>
      </w:r>
    </w:p>
    <w:p w14:paraId="5676DF9B" w14:textId="77777777" w:rsidR="005C12A8" w:rsidRPr="00BE60CF" w:rsidRDefault="005C12A8" w:rsidP="00A45CB0">
      <w:pPr>
        <w:pStyle w:val="SCVbody"/>
        <w:sectPr w:rsidR="005C12A8" w:rsidRPr="00BE60CF" w:rsidSect="00EB29C3">
          <w:type w:val="continuous"/>
          <w:pgSz w:w="11906" w:h="16838" w:code="9"/>
          <w:pgMar w:top="3402" w:right="851" w:bottom="1361" w:left="851" w:header="851" w:footer="851" w:gutter="0"/>
          <w:cols w:space="284"/>
          <w:docGrid w:linePitch="360"/>
        </w:sectPr>
      </w:pPr>
    </w:p>
    <w:p w14:paraId="296D3259" w14:textId="77777777" w:rsidR="0099181C" w:rsidRPr="00BE60CF" w:rsidRDefault="0099181C" w:rsidP="00A45CB0">
      <w:pPr>
        <w:pStyle w:val="SCVbody"/>
      </w:pPr>
    </w:p>
    <w:sectPr w:rsidR="0099181C" w:rsidRPr="00BE60CF" w:rsidSect="00EB29C3">
      <w:headerReference w:type="even" r:id="rId46"/>
      <w:headerReference w:type="default" r:id="rId47"/>
      <w:footerReference w:type="even" r:id="rId48"/>
      <w:footerReference w:type="default" r:id="rId49"/>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30CB" w14:textId="77777777" w:rsidR="001760AA" w:rsidRDefault="001760AA" w:rsidP="002D711A">
      <w:pPr>
        <w:spacing w:after="0" w:line="240" w:lineRule="auto"/>
      </w:pPr>
      <w:r>
        <w:separator/>
      </w:r>
    </w:p>
  </w:endnote>
  <w:endnote w:type="continuationSeparator" w:id="0">
    <w:p w14:paraId="13609F54" w14:textId="77777777" w:rsidR="001760AA" w:rsidRDefault="001760AA" w:rsidP="002D711A">
      <w:pPr>
        <w:spacing w:after="0" w:line="240" w:lineRule="auto"/>
      </w:pPr>
      <w:r>
        <w:continuationSeparator/>
      </w:r>
    </w:p>
  </w:endnote>
  <w:endnote w:type="continuationNotice" w:id="1">
    <w:p w14:paraId="64525D18" w14:textId="77777777" w:rsidR="001760AA" w:rsidRDefault="001760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CE12" w14:textId="1F88FD8F" w:rsidR="009F0C82" w:rsidRDefault="009F0C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DBB8" w14:textId="50AA945D" w:rsidR="009F0C82" w:rsidRPr="002A5891" w:rsidRDefault="009F0C82" w:rsidP="00BC437C">
    <w:pPr>
      <w:pStyle w:val="SCVfooterempt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EE0" w14:textId="77777777" w:rsidR="001005D1" w:rsidRDefault="00100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BC1B" w14:textId="77777777" w:rsidR="001005D1" w:rsidRDefault="001005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AB4B" w14:textId="77777777" w:rsidR="009F0C82" w:rsidRPr="002A5891" w:rsidRDefault="009F0C82" w:rsidP="006B337A">
    <w:pPr>
      <w:pStyle w:val="SCVfooterempt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DCE" w14:textId="3B0A91D2" w:rsidR="009F0C82" w:rsidRPr="006B337A" w:rsidRDefault="009F0C82" w:rsidP="006B337A">
    <w:pPr>
      <w:pStyle w:val="SCVheaderempty"/>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79E8" w14:textId="77777777" w:rsidR="009F0C82" w:rsidRDefault="009F0C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5DA5" w14:textId="7B50C55C" w:rsidR="009F0C82" w:rsidRPr="002A5891" w:rsidRDefault="009F0C82" w:rsidP="00673245">
    <w:pPr>
      <w:pStyle w:val="SCVfootereven"/>
      <w:tabs>
        <w:tab w:val="clear" w:pos="1304"/>
        <w:tab w:val="center" w:pos="5245"/>
        <w:tab w:val="right" w:pos="10204"/>
      </w:tabs>
    </w:pPr>
    <w:r>
      <w:rPr>
        <w:noProof w:val="0"/>
      </w:rPr>
      <w:fldChar w:fldCharType="begin"/>
    </w:r>
    <w:r>
      <w:instrText xml:space="preserve"> PAGE   \* MERGEFORMAT </w:instrText>
    </w:r>
    <w:r>
      <w:rPr>
        <w:noProof w:val="0"/>
      </w:rPr>
      <w:fldChar w:fldCharType="separate"/>
    </w:r>
    <w:r>
      <w:t>8</w:t>
    </w:r>
    <w:r>
      <w:fldChar w:fldCharType="end"/>
    </w:r>
    <w:r w:rsidR="00673245">
      <w:tab/>
    </w:r>
    <w:r w:rsidR="002E4EB3" w:rsidRPr="002E4EB3">
      <w:rPr>
        <w:b/>
      </w:rPr>
      <w:t>Voluntary Assisted Dying Review Board</w:t>
    </w:r>
    <w:r w:rsidR="00673245">
      <w:rPr>
        <w:b/>
      </w:rPr>
      <w:tab/>
    </w:r>
    <w:fldSimple w:instr="STYLEREF  &quot;SCV report title&quot;  \* MERGEFORMAT">
      <w:r w:rsidR="00EC2006">
        <w:t>Report of operations</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2E1C" w14:textId="5A6F5671" w:rsidR="009F0C82" w:rsidRPr="002A5891" w:rsidRDefault="00FE3456" w:rsidP="00673245">
    <w:pPr>
      <w:pStyle w:val="SCVfooterodd"/>
      <w:tabs>
        <w:tab w:val="clear" w:pos="1304"/>
        <w:tab w:val="center" w:pos="5103"/>
        <w:tab w:val="right" w:pos="10204"/>
      </w:tabs>
      <w:jc w:val="left"/>
    </w:pPr>
    <w:fldSimple w:instr="STYLEREF  &quot;SCV report title&quot;  \* MERGEFORMAT">
      <w:r w:rsidR="00EC2006">
        <w:t>Report of operations</w:t>
      </w:r>
    </w:fldSimple>
    <w:r w:rsidR="00673245">
      <w:tab/>
    </w:r>
    <w:r w:rsidR="002E4EB3" w:rsidRPr="002E4EB3">
      <w:rPr>
        <w:b/>
      </w:rPr>
      <w:t xml:space="preserve">Voluntary Assisted Dying Review Board </w:t>
    </w:r>
    <w:r w:rsidR="009F0C82">
      <w:t> </w:t>
    </w:r>
    <w:r w:rsidR="009F0C82">
      <w:t> </w:t>
    </w:r>
    <w:r w:rsidR="00673245">
      <w:tab/>
    </w:r>
    <w:r w:rsidR="009F0C82">
      <w:rPr>
        <w:noProof w:val="0"/>
      </w:rPr>
      <w:fldChar w:fldCharType="begin"/>
    </w:r>
    <w:r w:rsidR="009F0C82">
      <w:instrText xml:space="preserve"> PAGE   \* MERGEFORMAT </w:instrText>
    </w:r>
    <w:r w:rsidR="009F0C82">
      <w:rPr>
        <w:noProof w:val="0"/>
      </w:rPr>
      <w:fldChar w:fldCharType="separate"/>
    </w:r>
    <w:r w:rsidR="009F0C82">
      <w:t>3</w:t>
    </w:r>
    <w:r w:rsidR="009F0C82">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1DED" w14:textId="77777777" w:rsidR="009F0C82" w:rsidRPr="002A5891" w:rsidRDefault="009F0C82" w:rsidP="00BC437C">
    <w:pPr>
      <w:pStyle w:val="SCVfooterempt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D8A6" w14:textId="77777777" w:rsidR="001760AA" w:rsidRDefault="001760AA" w:rsidP="00E33E08">
      <w:pPr>
        <w:spacing w:before="0" w:after="0" w:line="240" w:lineRule="auto"/>
      </w:pPr>
    </w:p>
  </w:footnote>
  <w:footnote w:type="continuationSeparator" w:id="0">
    <w:p w14:paraId="298BA204" w14:textId="77777777" w:rsidR="001760AA" w:rsidRDefault="001760AA" w:rsidP="00E33E08">
      <w:pPr>
        <w:spacing w:before="0" w:after="0" w:line="240" w:lineRule="auto"/>
      </w:pPr>
    </w:p>
  </w:footnote>
  <w:footnote w:type="continuationNotice" w:id="1">
    <w:p w14:paraId="7D71F425" w14:textId="77777777" w:rsidR="001760AA" w:rsidRDefault="001760A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003F" w14:textId="77777777" w:rsidR="001005D1" w:rsidRDefault="001005D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94E6" w14:textId="77777777" w:rsidR="009F0C82" w:rsidRDefault="009F0C82" w:rsidP="006B337A">
    <w:pPr>
      <w:pStyle w:val="SCVheaderempty"/>
    </w:pPr>
    <w:r>
      <w:rPr>
        <w:noProof/>
      </w:rPr>
      <w:drawing>
        <wp:anchor distT="0" distB="0" distL="114300" distR="114300" simplePos="0" relativeHeight="251658244" behindDoc="1" locked="1" layoutInCell="1" allowOverlap="1" wp14:anchorId="6A87C86F" wp14:editId="76214BF2">
          <wp:simplePos x="0" y="0"/>
          <wp:positionH relativeFrom="page">
            <wp:align>left</wp:align>
          </wp:positionH>
          <wp:positionV relativeFrom="page">
            <wp:align>top</wp:align>
          </wp:positionV>
          <wp:extent cx="7558560" cy="10691640"/>
          <wp:effectExtent l="0" t="0" r="444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a:extLst>
                      <a:ext uri="{28A0092B-C50C-407E-A947-70E740481C1C}">
                        <a14:useLocalDpi xmlns:a14="http://schemas.microsoft.com/office/drawing/2010/main" val="0"/>
                      </a:ext>
                    </a:extLst>
                  </a:blip>
                  <a:stretch>
                    <a:fillRect/>
                  </a:stretch>
                </pic:blipFill>
                <pic:spPr>
                  <a:xfrm>
                    <a:off x="0" y="0"/>
                    <a:ext cx="755856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CA2F" w14:textId="77777777" w:rsidR="009F0C82" w:rsidRDefault="009F0C82" w:rsidP="00BC437C">
    <w:pPr>
      <w:pStyle w:val="SCVheaderempty"/>
    </w:pPr>
    <w:r>
      <w:rPr>
        <w:noProof/>
      </w:rPr>
      <w:drawing>
        <wp:anchor distT="0" distB="0" distL="114300" distR="114300" simplePos="0" relativeHeight="251658243" behindDoc="1" locked="1" layoutInCell="1" allowOverlap="1" wp14:anchorId="766B8C41" wp14:editId="16F097DF">
          <wp:simplePos x="538163" y="671513"/>
          <wp:positionH relativeFrom="page">
            <wp:align>left</wp:align>
          </wp:positionH>
          <wp:positionV relativeFrom="page">
            <wp:align>top</wp:align>
          </wp:positionV>
          <wp:extent cx="7558405" cy="10691495"/>
          <wp:effectExtent l="0" t="0" r="4445" b="0"/>
          <wp:wrapNone/>
          <wp:docPr id="1"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5C2F" w14:textId="77777777" w:rsidR="001005D1" w:rsidRDefault="00100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53F7" w14:textId="77777777" w:rsidR="001005D1" w:rsidRDefault="001005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C93B" w14:textId="77777777" w:rsidR="009F0C82" w:rsidRDefault="009F0C82" w:rsidP="00947A0F">
    <w:pPr>
      <w:pStyle w:val="SCVhead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C492" w14:textId="77777777" w:rsidR="009F0C82" w:rsidRDefault="009F0C82" w:rsidP="0086277A">
    <w:pPr>
      <w:pStyle w:val="No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A4FA" w14:textId="77777777" w:rsidR="009F0C82" w:rsidRDefault="009F0C82" w:rsidP="00947A0F">
    <w:pPr>
      <w:pStyle w:val="SCVheaderempty"/>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CA57" w14:textId="77777777" w:rsidR="009F0C82" w:rsidRDefault="009F0C82" w:rsidP="00947A0F">
    <w:pPr>
      <w:pStyle w:val="SCVheaderempt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BA91" w14:textId="77777777" w:rsidR="009F0C82" w:rsidRDefault="009F0C82" w:rsidP="00BC437C">
    <w:pPr>
      <w:pStyle w:val="SCV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210" w14:textId="77777777" w:rsidR="009F0C82" w:rsidRDefault="009F0C82" w:rsidP="00972812">
    <w:pPr>
      <w:pStyle w:val="SCVheader"/>
    </w:pPr>
  </w:p>
</w:hdr>
</file>

<file path=word/intelligence2.xml><?xml version="1.0" encoding="utf-8"?>
<int2:intelligence xmlns:int2="http://schemas.microsoft.com/office/intelligence/2020/intelligence" xmlns:oel="http://schemas.microsoft.com/office/2019/extlst">
  <int2:observations>
    <int2:textHash int2:hashCode="EiQMiSsIs6wPXs" int2:id="S6bofo1S">
      <int2:state int2:value="Rejected" int2:type="LegacyProofing"/>
    </int2:textHash>
    <int2:textHash int2:hashCode="ELlNMx6ReFGzq4" int2:id="aYWcBBcx">
      <int2:state int2:value="Rejected" int2:type="LegacyProofing"/>
    </int2:textHash>
    <int2:bookmark int2:bookmarkName="_Int_ipP19jB4" int2:invalidationBookmarkName="" int2:hashCode="gkPCDN/ld6hxMh" int2:id="0SDshqTg">
      <int2:state int2:value="Rejected" int2:type="LegacyProofing"/>
    </int2:bookmark>
    <int2:bookmark int2:bookmarkName="_Int_0ekAgdqo" int2:invalidationBookmarkName="" int2:hashCode="sf8loMsTnO1TUm" int2:id="15pcLOPZ">
      <int2:state int2:value="Rejected" int2:type="LegacyProofing"/>
    </int2:bookmark>
    <int2:bookmark int2:bookmarkName="_Int_J3v9V2qN" int2:invalidationBookmarkName="" int2:hashCode="6X/4wpXdfDElP/" int2:id="2KqufMXs">
      <int2:state int2:value="Rejected" int2:type="AugLoop_Text_Critique"/>
    </int2:bookmark>
    <int2:bookmark int2:bookmarkName="_Int_7sr0z7Om" int2:invalidationBookmarkName="" int2:hashCode="OAivgVN/XynnBG" int2:id="3zsE423J">
      <int2:state int2:value="Rejected" int2:type="AugLoop_Text_Critique"/>
    </int2:bookmark>
    <int2:bookmark int2:bookmarkName="_Int_f3GVPlUQ" int2:invalidationBookmarkName="" int2:hashCode="4qpa9gYK8oQBTh" int2:id="42x3G2Us">
      <int2:state int2:value="Rejected" int2:type="AugLoop_Text_Critique"/>
    </int2:bookmark>
    <int2:bookmark int2:bookmarkName="_Int_bUeiLdUH" int2:invalidationBookmarkName="" int2:hashCode="e0dMsLOcF3PXGS" int2:id="4V6BLwBh">
      <int2:state int2:value="Rejected" int2:type="AugLoop_Text_Critique"/>
    </int2:bookmark>
    <int2:bookmark int2:bookmarkName="_Int_ajwgfUui" int2:invalidationBookmarkName="" int2:hashCode="lU9PAW5dmpxOHk" int2:id="4eDkIto0">
      <int2:state int2:value="Rejected" int2:type="AugLoop_Text_Critique"/>
    </int2:bookmark>
    <int2:bookmark int2:bookmarkName="_Int_b6mwVKaU" int2:invalidationBookmarkName="" int2:hashCode="0JBoweZDHZLu8r" int2:id="5XuUr4vg">
      <int2:state int2:value="Rejected" int2:type="AugLoop_Text_Critique"/>
    </int2:bookmark>
    <int2:bookmark int2:bookmarkName="_Int_JuHzGZGz" int2:invalidationBookmarkName="" int2:hashCode="LuuNN+0oQ3FaBS" int2:id="6HsjA1zQ">
      <int2:state int2:value="Rejected" int2:type="AugLoop_Text_Critique"/>
    </int2:bookmark>
    <int2:bookmark int2:bookmarkName="_Int_Gk39RrSf" int2:invalidationBookmarkName="" int2:hashCode="uuYwZyMkmWT2fX" int2:id="6Icy8V1x">
      <int2:state int2:value="Rejected" int2:type="AugLoop_Text_Critique"/>
    </int2:bookmark>
    <int2:bookmark int2:bookmarkName="_Int_vASW2KgS" int2:invalidationBookmarkName="" int2:hashCode="tH82PitDDAZH8U" int2:id="6Zxw1FTD">
      <int2:state int2:value="Rejected" int2:type="AugLoop_Text_Critique"/>
    </int2:bookmark>
    <int2:bookmark int2:bookmarkName="_Int_I6TGrmww" int2:invalidationBookmarkName="" int2:hashCode="AQU7Jcct3Vt7AP" int2:id="9IP603OQ">
      <int2:state int2:value="Rejected" int2:type="AugLoop_Text_Critique"/>
    </int2:bookmark>
    <int2:bookmark int2:bookmarkName="_Int_EqeUi2Vg" int2:invalidationBookmarkName="" int2:hashCode="qcls3FdXdLYxJ2" int2:id="CveWb4Jk">
      <int2:state int2:value="Rejected" int2:type="AugLoop_Text_Critique"/>
    </int2:bookmark>
    <int2:bookmark int2:bookmarkName="_Int_iPUVa42T" int2:invalidationBookmarkName="" int2:hashCode="4qpa9gYK8oQBTh" int2:id="Cwy3OAIv">
      <int2:state int2:value="Rejected" int2:type="AugLoop_Text_Critique"/>
    </int2:bookmark>
    <int2:bookmark int2:bookmarkName="_Int_vD9R60qP" int2:invalidationBookmarkName="" int2:hashCode="npQNGfwwemApwT" int2:id="DEowzATr">
      <int2:state int2:value="Rejected" int2:type="AugLoop_Text_Critique"/>
    </int2:bookmark>
    <int2:bookmark int2:bookmarkName="_Int_c9wYqGVK" int2:invalidationBookmarkName="" int2:hashCode="gkPCDN/ld6hxMh" int2:id="FIvOaQUD">
      <int2:state int2:value="Rejected" int2:type="LegacyProofing"/>
    </int2:bookmark>
    <int2:bookmark int2:bookmarkName="_Int_R1V1DWg3" int2:invalidationBookmarkName="" int2:hashCode="OAivgVN/XynnBG" int2:id="FN3zO8u7">
      <int2:state int2:value="Rejected" int2:type="AugLoop_Text_Critique"/>
    </int2:bookmark>
    <int2:bookmark int2:bookmarkName="_Int_gvB2crsq" int2:invalidationBookmarkName="" int2:hashCode="f1OmjTJDRvyEV6" int2:id="GduDJezU">
      <int2:state int2:value="Rejected" int2:type="LegacyProofing"/>
    </int2:bookmark>
    <int2:bookmark int2:bookmarkName="_Int_9EbetTsw" int2:invalidationBookmarkName="" int2:hashCode="k1/RXdYyM9hm6b" int2:id="H3CTz0G4">
      <int2:state int2:value="Rejected" int2:type="AugLoop_Text_Critique"/>
    </int2:bookmark>
    <int2:bookmark int2:bookmarkName="_Int_d8aLpVJy" int2:invalidationBookmarkName="" int2:hashCode="FKyWS9YtMETHU/" int2:id="KJ2EilHu">
      <int2:state int2:value="Rejected" int2:type="AugLoop_Text_Critique"/>
    </int2:bookmark>
    <int2:bookmark int2:bookmarkName="_Int_Jl7Coj79" int2:invalidationBookmarkName="" int2:hashCode="TPW8Wb7p4cRMYl" int2:id="MJOYNlgk">
      <int2:state int2:value="Rejected" int2:type="LegacyProofing"/>
    </int2:bookmark>
    <int2:bookmark int2:bookmarkName="_Int_fvSfCRy0" int2:invalidationBookmarkName="" int2:hashCode="0gvY264p67YeYM" int2:id="MTyM5drT">
      <int2:state int2:value="Rejected" int2:type="AugLoop_Text_Critique"/>
    </int2:bookmark>
    <int2:bookmark int2:bookmarkName="_Int_rvbfbL6u" int2:invalidationBookmarkName="" int2:hashCode="gkPCDN/ld6hxMh" int2:id="QNcGwI6U">
      <int2:state int2:value="Rejected" int2:type="LegacyProofing"/>
    </int2:bookmark>
    <int2:bookmark int2:bookmarkName="_Int_IdLa3EGn" int2:invalidationBookmarkName="" int2:hashCode="tH82PitDDAZH8U" int2:id="QV8USeZg">
      <int2:state int2:value="Rejected" int2:type="AugLoop_Text_Critique"/>
    </int2:bookmark>
    <int2:bookmark int2:bookmarkName="_Int_xSZYgFlE" int2:invalidationBookmarkName="" int2:hashCode="Y8eVqqKSFUEo2O" int2:id="SaPsg2YX">
      <int2:state int2:value="Rejected" int2:type="AugLoop_Text_Critique"/>
    </int2:bookmark>
    <int2:bookmark int2:bookmarkName="_Int_WGafBhbP" int2:invalidationBookmarkName="" int2:hashCode="OrETNWY4jgaQdP" int2:id="SrfyLnuE">
      <int2:state int2:value="Rejected" int2:type="AugLoop_Text_Critique"/>
    </int2:bookmark>
    <int2:bookmark int2:bookmarkName="_Int_IxVFNfXY" int2:invalidationBookmarkName="" int2:hashCode="6X/4wpXdfDElP/" int2:id="T58UHWgo">
      <int2:state int2:value="Rejected" int2:type="AugLoop_Text_Critique"/>
    </int2:bookmark>
    <int2:bookmark int2:bookmarkName="_Int_6E1oOK8U" int2:invalidationBookmarkName="" int2:hashCode="OAivgVN/XynnBG" int2:id="TuMYlDRE">
      <int2:state int2:value="Rejected" int2:type="AugLoop_Text_Critique"/>
    </int2:bookmark>
    <int2:bookmark int2:bookmarkName="_Int_35wm80QD" int2:invalidationBookmarkName="" int2:hashCode="a3gPsN1V7UgXyV" int2:id="WSM8iLVG">
      <int2:state int2:value="Rejected" int2:type="AugLoop_Text_Critique"/>
    </int2:bookmark>
    <int2:bookmark int2:bookmarkName="_Int_FLgvvWpj" int2:invalidationBookmarkName="" int2:hashCode="6X/4wpXdfDElP/" int2:id="XbErLdva">
      <int2:state int2:value="Rejected" int2:type="AugLoop_Text_Critique"/>
    </int2:bookmark>
    <int2:bookmark int2:bookmarkName="_Int_7ZLIrWnC" int2:invalidationBookmarkName="" int2:hashCode="2b/ExIBjLnsQn5" int2:id="YerRYgSJ">
      <int2:state int2:value="Rejected" int2:type="AugLoop_Acronyms_AcronymsCritique"/>
    </int2:bookmark>
    <int2:bookmark int2:bookmarkName="_Int_S6ewFump" int2:invalidationBookmarkName="" int2:hashCode="4qpa9gYK8oQBTh" int2:id="af6ysBeA">
      <int2:state int2:value="Rejected" int2:type="AugLoop_Text_Critique"/>
    </int2:bookmark>
    <int2:bookmark int2:bookmarkName="_Int_JZJS3Grw" int2:invalidationBookmarkName="" int2:hashCode="XD0P6WpqapPbiy" int2:id="b1fVS0AS">
      <int2:state int2:value="Rejected" int2:type="AugLoop_Text_Critique"/>
    </int2:bookmark>
    <int2:bookmark int2:bookmarkName="_Int_tRe7Nc4V" int2:invalidationBookmarkName="" int2:hashCode="6X/4wpXdfDElP/" int2:id="bqwOcKO7">
      <int2:state int2:value="Rejected" int2:type="AugLoop_Text_Critique"/>
    </int2:bookmark>
    <int2:bookmark int2:bookmarkName="_Int_lbZoxcwE" int2:invalidationBookmarkName="" int2:hashCode="63bktwqP2hqi5E" int2:id="c43XhGUI">
      <int2:state int2:value="Rejected" int2:type="LegacyProofing"/>
    </int2:bookmark>
    <int2:bookmark int2:bookmarkName="_Int_ZTYo9aNZ" int2:invalidationBookmarkName="" int2:hashCode="gkPCDN/ld6hxMh" int2:id="cRMASCDv">
      <int2:state int2:value="Rejected" int2:type="LegacyProofing"/>
    </int2:bookmark>
    <int2:bookmark int2:bookmarkName="_Int_mRVgUD2O" int2:invalidationBookmarkName="" int2:hashCode="OAivgVN/XynnBG" int2:id="clmMr7AI">
      <int2:state int2:value="Rejected" int2:type="AugLoop_Text_Critique"/>
    </int2:bookmark>
    <int2:bookmark int2:bookmarkName="_Int_f5aYFXzD" int2:invalidationBookmarkName="" int2:hashCode="WDzhXVRaSa+oRz" int2:id="eGgQzfn3">
      <int2:state int2:value="Rejected" int2:type="AugLoop_Text_Critique"/>
    </int2:bookmark>
    <int2:bookmark int2:bookmarkName="_Int_OzPne8Sr" int2:invalidationBookmarkName="" int2:hashCode="SPW0sFXDTAtd5h" int2:id="hK7p3XVC">
      <int2:state int2:value="Rejected" int2:type="AugLoop_Text_Critique"/>
    </int2:bookmark>
    <int2:bookmark int2:bookmarkName="_Int_OtuvPopF" int2:invalidationBookmarkName="" int2:hashCode="Nu6h6CLZH89qhL" int2:id="hcAY64A5">
      <int2:state int2:value="Rejected" int2:type="AugLoop_Text_Critique"/>
    </int2:bookmark>
    <int2:bookmark int2:bookmarkName="_Int_XJ3pfVNY" int2:invalidationBookmarkName="" int2:hashCode="xgDzA50uAYUN6A" int2:id="isSZHRnW">
      <int2:state int2:value="Rejected" int2:type="AugLoop_Text_Critique"/>
    </int2:bookmark>
    <int2:bookmark int2:bookmarkName="_Int_Kponxabi" int2:invalidationBookmarkName="" int2:hashCode="gu5Zvpi53ZN4Op" int2:id="jZuacGns">
      <int2:state int2:value="Rejected" int2:type="AugLoop_Text_Critique"/>
    </int2:bookmark>
    <int2:bookmark int2:bookmarkName="_Int_kA4sQzyW" int2:invalidationBookmarkName="" int2:hashCode="pp/rJqY6hyBKz5" int2:id="mIhoabio">
      <int2:state int2:value="Rejected" int2:type="LegacyProofing"/>
    </int2:bookmark>
    <int2:bookmark int2:bookmarkName="_Int_WI6vbDx6" int2:invalidationBookmarkName="" int2:hashCode="pp/rJqY6hyBKz5" int2:id="qPi7pjo3">
      <int2:state int2:value="Rejected" int2:type="LegacyProofing"/>
    </int2:bookmark>
    <int2:bookmark int2:bookmarkName="_Int_MVwY9cs5" int2:invalidationBookmarkName="" int2:hashCode="uuYwZyMkmWT2fX" int2:id="u8GPLuIn">
      <int2:state int2:value="Rejected" int2:type="AugLoop_Text_Critique"/>
    </int2:bookmark>
    <int2:bookmark int2:bookmarkName="_Int_juoj0dzH" int2:invalidationBookmarkName="" int2:hashCode="tH82PitDDAZH8U" int2:id="xN8yRzTV">
      <int2:state int2:value="Rejected" int2:type="AugLoop_Text_Critique"/>
    </int2:bookmark>
    <int2:bookmark int2:bookmarkName="_Int_9VqEz0Mt" int2:invalidationBookmarkName="" int2:hashCode="gkPCDN/ld6hxMh" int2:id="ysc2yFR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14D"/>
    <w:multiLevelType w:val="hybridMultilevel"/>
    <w:tmpl w:val="2012DB5A"/>
    <w:lvl w:ilvl="0" w:tplc="3DA0940C">
      <w:start w:val="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071A78"/>
    <w:multiLevelType w:val="hybridMultilevel"/>
    <w:tmpl w:val="6742A9B4"/>
    <w:lvl w:ilvl="0" w:tplc="8F203EE6">
      <w:start w:val="269"/>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53BE5"/>
    <w:multiLevelType w:val="hybridMultilevel"/>
    <w:tmpl w:val="31089078"/>
    <w:lvl w:ilvl="0" w:tplc="C6D42A68">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63A5"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C4B74BB"/>
    <w:multiLevelType w:val="hybridMultilevel"/>
    <w:tmpl w:val="500C5F7A"/>
    <w:lvl w:ilvl="0" w:tplc="9E8E3C3C">
      <w:start w:val="269"/>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B45885"/>
    <w:multiLevelType w:val="hybridMultilevel"/>
    <w:tmpl w:val="953EE17A"/>
    <w:lvl w:ilvl="0" w:tplc="C7B05AE6">
      <w:start w:val="2"/>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C33020"/>
    <w:multiLevelType w:val="hybridMultilevel"/>
    <w:tmpl w:val="32D4698C"/>
    <w:lvl w:ilvl="0" w:tplc="82A6824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8"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9" w15:restartNumberingAfterBreak="0">
    <w:nsid w:val="44FA65BF"/>
    <w:multiLevelType w:val="hybridMultilevel"/>
    <w:tmpl w:val="3FB8D2E0"/>
    <w:lvl w:ilvl="0" w:tplc="7B2EF84A">
      <w:start w:val="7"/>
      <w:numFmt w:val="bullet"/>
      <w:lvlText w:val="•"/>
      <w:lvlJc w:val="left"/>
      <w:pPr>
        <w:ind w:left="360" w:hanging="360"/>
      </w:pPr>
      <w:rPr>
        <w:rFonts w:ascii="VIC Medium" w:eastAsia="Times" w:hAnsi="VIC Medium" w:cs="Times New Roman" w:hint="default"/>
        <w:color w:val="0063A5"/>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89B1E6B"/>
    <w:multiLevelType w:val="hybridMultilevel"/>
    <w:tmpl w:val="9564B45A"/>
    <w:lvl w:ilvl="0" w:tplc="953E0148">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A8C2D34"/>
    <w:multiLevelType w:val="hybridMultilevel"/>
    <w:tmpl w:val="DE16A092"/>
    <w:lvl w:ilvl="0" w:tplc="0674E7F2">
      <w:start w:val="1"/>
      <w:numFmt w:val="bullet"/>
      <w:lvlText w:val=""/>
      <w:lvlJc w:val="left"/>
      <w:pPr>
        <w:ind w:left="720" w:hanging="360"/>
      </w:pPr>
      <w:rPr>
        <w:rFonts w:ascii="Symbol" w:eastAsia="VIC"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4" w15:restartNumberingAfterBreak="0">
    <w:nsid w:val="61320433"/>
    <w:multiLevelType w:val="multilevel"/>
    <w:tmpl w:val="FDD22E88"/>
    <w:styleLink w:val="ZZBullets"/>
    <w:lvl w:ilvl="0">
      <w:start w:val="1"/>
      <w:numFmt w:val="bullet"/>
      <w:pStyle w:val="SCVbullet1"/>
      <w:lvlText w:val=""/>
      <w:lvlJc w:val="left"/>
      <w:pPr>
        <w:ind w:left="284" w:hanging="284"/>
      </w:pPr>
      <w:rPr>
        <w:rFonts w:ascii="Wingdings 2" w:hAnsi="Wingdings 2" w:hint="default"/>
        <w:color w:val="408ABB" w:themeColor="accent1"/>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172684E6"/>
    <w:styleLink w:val="ZZQuotebullets"/>
    <w:lvl w:ilvl="0">
      <w:start w:val="1"/>
      <w:numFmt w:val="bullet"/>
      <w:pStyle w:val="SCVquotebullet1"/>
      <w:lvlText w:val="•"/>
      <w:lvlJc w:val="left"/>
      <w:pPr>
        <w:ind w:left="680" w:hanging="283"/>
      </w:pPr>
      <w:rPr>
        <w:rFonts w:ascii="Calibri" w:hAnsi="Calibri" w:hint="default"/>
        <w:color w:val="0063A5" w:themeColor="text2"/>
      </w:rPr>
    </w:lvl>
    <w:lvl w:ilvl="1">
      <w:start w:val="1"/>
      <w:numFmt w:val="bullet"/>
      <w:lvlRestart w:val="0"/>
      <w:pStyle w:val="SCVquotebullet2"/>
      <w:lvlText w:val="–"/>
      <w:lvlJc w:val="left"/>
      <w:pPr>
        <w:ind w:left="964" w:hanging="284"/>
      </w:pPr>
      <w:rPr>
        <w:rFonts w:ascii="Calibri" w:hAnsi="Calibri" w:hint="default"/>
        <w:color w:val="0063A5"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6" w15:restartNumberingAfterBreak="0">
    <w:nsid w:val="6E406C3A"/>
    <w:multiLevelType w:val="hybridMultilevel"/>
    <w:tmpl w:val="C7BE56EE"/>
    <w:lvl w:ilvl="0" w:tplc="4B50986A">
      <w:start w:val="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7"/>
  </w:num>
  <w:num w:numId="8">
    <w:abstractNumId w:val="8"/>
  </w:num>
  <w:num w:numId="9">
    <w:abstractNumId w:val="3"/>
  </w:num>
  <w:num w:numId="10">
    <w:abstractNumId w:val="15"/>
  </w:num>
  <w:num w:numId="11">
    <w:abstractNumId w:val="13"/>
  </w:num>
  <w:num w:numId="12">
    <w:abstractNumId w:val="11"/>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num>
  <w:num w:numId="16">
    <w:abstractNumId w:val="17"/>
  </w:num>
  <w:num w:numId="17">
    <w:abstractNumId w:val="8"/>
  </w:num>
  <w:num w:numId="18">
    <w:abstractNumId w:val="8"/>
  </w:num>
  <w:num w:numId="19">
    <w:abstractNumId w:val="3"/>
  </w:num>
  <w:num w:numId="20">
    <w:abstractNumId w:val="15"/>
  </w:num>
  <w:num w:numId="21">
    <w:abstractNumId w:val="15"/>
  </w:num>
  <w:num w:numId="22">
    <w:abstractNumId w:val="13"/>
  </w:num>
  <w:num w:numId="23">
    <w:abstractNumId w:val="13"/>
  </w:num>
  <w:num w:numId="24">
    <w:abstractNumId w:val="11"/>
  </w:num>
  <w:num w:numId="25">
    <w:abstractNumId w:val="11"/>
  </w:num>
  <w:num w:numId="26">
    <w:abstractNumId w:val="14"/>
  </w:num>
  <w:num w:numId="27">
    <w:abstractNumId w:val="17"/>
  </w:num>
  <w:num w:numId="28">
    <w:abstractNumId w:val="8"/>
  </w:num>
  <w:num w:numId="29">
    <w:abstractNumId w:val="3"/>
  </w:num>
  <w:num w:numId="30">
    <w:abstractNumId w:val="15"/>
  </w:num>
  <w:num w:numId="31">
    <w:abstractNumId w:val="13"/>
  </w:num>
  <w:num w:numId="32">
    <w:abstractNumId w:val="11"/>
  </w:num>
  <w:num w:numId="3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0"/>
  </w:num>
  <w:num w:numId="36">
    <w:abstractNumId w:val="9"/>
  </w:num>
  <w:num w:numId="37">
    <w:abstractNumId w:val="14"/>
  </w:num>
  <w:num w:numId="38">
    <w:abstractNumId w:val="16"/>
  </w:num>
  <w:num w:numId="39">
    <w:abstractNumId w:val="0"/>
  </w:num>
  <w:num w:numId="40">
    <w:abstractNumId w:val="12"/>
  </w:num>
  <w:num w:numId="41">
    <w:abstractNumId w:val="6"/>
  </w:num>
  <w:num w:numId="42">
    <w:abstractNumId w:val="2"/>
  </w:num>
  <w:num w:numId="43">
    <w:abstractNumId w:val="1"/>
  </w:num>
  <w:num w:numId="4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SortMethod w:val="0000"/>
  <w:defaultTabStop w:val="720"/>
  <w:evenAndOddHeaders/>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4F"/>
    <w:rsid w:val="00003DF9"/>
    <w:rsid w:val="00006196"/>
    <w:rsid w:val="0001283A"/>
    <w:rsid w:val="00012AA7"/>
    <w:rsid w:val="00012F6F"/>
    <w:rsid w:val="00014213"/>
    <w:rsid w:val="000149D7"/>
    <w:rsid w:val="00014B55"/>
    <w:rsid w:val="0001652C"/>
    <w:rsid w:val="0001785D"/>
    <w:rsid w:val="00020E3E"/>
    <w:rsid w:val="00021D0E"/>
    <w:rsid w:val="0002328B"/>
    <w:rsid w:val="000234AD"/>
    <w:rsid w:val="00023BF3"/>
    <w:rsid w:val="00026811"/>
    <w:rsid w:val="00040E1E"/>
    <w:rsid w:val="0004185E"/>
    <w:rsid w:val="00042C50"/>
    <w:rsid w:val="0004698F"/>
    <w:rsid w:val="000477DC"/>
    <w:rsid w:val="000479CE"/>
    <w:rsid w:val="000479FE"/>
    <w:rsid w:val="000510DE"/>
    <w:rsid w:val="00051121"/>
    <w:rsid w:val="000514D1"/>
    <w:rsid w:val="00053B75"/>
    <w:rsid w:val="00054FF1"/>
    <w:rsid w:val="000553A8"/>
    <w:rsid w:val="000555D9"/>
    <w:rsid w:val="00056923"/>
    <w:rsid w:val="00056988"/>
    <w:rsid w:val="00057802"/>
    <w:rsid w:val="00057A7F"/>
    <w:rsid w:val="000636C9"/>
    <w:rsid w:val="0006484D"/>
    <w:rsid w:val="00064BFD"/>
    <w:rsid w:val="00065645"/>
    <w:rsid w:val="0007060E"/>
    <w:rsid w:val="00072279"/>
    <w:rsid w:val="00073DE0"/>
    <w:rsid w:val="00075C56"/>
    <w:rsid w:val="00075E6C"/>
    <w:rsid w:val="000770A5"/>
    <w:rsid w:val="0008013D"/>
    <w:rsid w:val="00081197"/>
    <w:rsid w:val="00081248"/>
    <w:rsid w:val="00081C12"/>
    <w:rsid w:val="00083918"/>
    <w:rsid w:val="0008412D"/>
    <w:rsid w:val="0008492A"/>
    <w:rsid w:val="0008515F"/>
    <w:rsid w:val="000852D3"/>
    <w:rsid w:val="00087D42"/>
    <w:rsid w:val="00092A2D"/>
    <w:rsid w:val="000A0764"/>
    <w:rsid w:val="000A2620"/>
    <w:rsid w:val="000A2B72"/>
    <w:rsid w:val="000A33A9"/>
    <w:rsid w:val="000A5F41"/>
    <w:rsid w:val="000B1F3B"/>
    <w:rsid w:val="000B2573"/>
    <w:rsid w:val="000B29AD"/>
    <w:rsid w:val="000B31A6"/>
    <w:rsid w:val="000B5D65"/>
    <w:rsid w:val="000C1E4D"/>
    <w:rsid w:val="000C216F"/>
    <w:rsid w:val="000C6372"/>
    <w:rsid w:val="000D25E8"/>
    <w:rsid w:val="000D3F20"/>
    <w:rsid w:val="000D7506"/>
    <w:rsid w:val="000D7841"/>
    <w:rsid w:val="000E392D"/>
    <w:rsid w:val="000E39B6"/>
    <w:rsid w:val="000E3D05"/>
    <w:rsid w:val="000E50C4"/>
    <w:rsid w:val="000E6500"/>
    <w:rsid w:val="000E69D5"/>
    <w:rsid w:val="000F0123"/>
    <w:rsid w:val="000F0877"/>
    <w:rsid w:val="000F3EE0"/>
    <w:rsid w:val="000F4288"/>
    <w:rsid w:val="000F4DC5"/>
    <w:rsid w:val="000F51DA"/>
    <w:rsid w:val="000F671F"/>
    <w:rsid w:val="000F7165"/>
    <w:rsid w:val="00100361"/>
    <w:rsid w:val="001005D1"/>
    <w:rsid w:val="00102379"/>
    <w:rsid w:val="00103722"/>
    <w:rsid w:val="0010465F"/>
    <w:rsid w:val="00104E8E"/>
    <w:rsid w:val="00105EB8"/>
    <w:rsid w:val="001065D6"/>
    <w:rsid w:val="001068D5"/>
    <w:rsid w:val="00106D5B"/>
    <w:rsid w:val="00110269"/>
    <w:rsid w:val="00114E02"/>
    <w:rsid w:val="00115BF9"/>
    <w:rsid w:val="00116F8C"/>
    <w:rsid w:val="00121252"/>
    <w:rsid w:val="00122CD4"/>
    <w:rsid w:val="001238E1"/>
    <w:rsid w:val="00124609"/>
    <w:rsid w:val="001254CE"/>
    <w:rsid w:val="00127F7A"/>
    <w:rsid w:val="001301E4"/>
    <w:rsid w:val="001353EE"/>
    <w:rsid w:val="0013738A"/>
    <w:rsid w:val="001422CC"/>
    <w:rsid w:val="00142CC3"/>
    <w:rsid w:val="001430D7"/>
    <w:rsid w:val="00145346"/>
    <w:rsid w:val="001478BC"/>
    <w:rsid w:val="00150333"/>
    <w:rsid w:val="001521D3"/>
    <w:rsid w:val="00153722"/>
    <w:rsid w:val="001565C3"/>
    <w:rsid w:val="001617B6"/>
    <w:rsid w:val="00165E66"/>
    <w:rsid w:val="00174B26"/>
    <w:rsid w:val="00174F38"/>
    <w:rsid w:val="001760AA"/>
    <w:rsid w:val="00176E7F"/>
    <w:rsid w:val="00177208"/>
    <w:rsid w:val="001804AE"/>
    <w:rsid w:val="00183C52"/>
    <w:rsid w:val="00183EE5"/>
    <w:rsid w:val="001849FD"/>
    <w:rsid w:val="0018500C"/>
    <w:rsid w:val="00185941"/>
    <w:rsid w:val="00185D12"/>
    <w:rsid w:val="00190BBF"/>
    <w:rsid w:val="001913CF"/>
    <w:rsid w:val="001929FE"/>
    <w:rsid w:val="0019351B"/>
    <w:rsid w:val="00194B79"/>
    <w:rsid w:val="00195901"/>
    <w:rsid w:val="00196143"/>
    <w:rsid w:val="001973AF"/>
    <w:rsid w:val="0019762E"/>
    <w:rsid w:val="00197A38"/>
    <w:rsid w:val="001A0D9B"/>
    <w:rsid w:val="001A18DD"/>
    <w:rsid w:val="001A24FC"/>
    <w:rsid w:val="001A68E3"/>
    <w:rsid w:val="001B3E98"/>
    <w:rsid w:val="001B567D"/>
    <w:rsid w:val="001B77E6"/>
    <w:rsid w:val="001B9AC9"/>
    <w:rsid w:val="001C1B7E"/>
    <w:rsid w:val="001C7BAE"/>
    <w:rsid w:val="001D0E7F"/>
    <w:rsid w:val="001D2093"/>
    <w:rsid w:val="001D2CD4"/>
    <w:rsid w:val="001D55A6"/>
    <w:rsid w:val="001D7A1E"/>
    <w:rsid w:val="001E1758"/>
    <w:rsid w:val="001E2B6E"/>
    <w:rsid w:val="001E31FA"/>
    <w:rsid w:val="001E3E57"/>
    <w:rsid w:val="001E48F9"/>
    <w:rsid w:val="001E4DF5"/>
    <w:rsid w:val="001E64F6"/>
    <w:rsid w:val="001E682C"/>
    <w:rsid w:val="001E6BD3"/>
    <w:rsid w:val="001E782C"/>
    <w:rsid w:val="001E7AEB"/>
    <w:rsid w:val="001F0109"/>
    <w:rsid w:val="001F0793"/>
    <w:rsid w:val="001F1C3D"/>
    <w:rsid w:val="001F25DF"/>
    <w:rsid w:val="001F47C0"/>
    <w:rsid w:val="001F71CA"/>
    <w:rsid w:val="0020163B"/>
    <w:rsid w:val="002037AA"/>
    <w:rsid w:val="00204B82"/>
    <w:rsid w:val="00205C68"/>
    <w:rsid w:val="00211B5E"/>
    <w:rsid w:val="00213ED0"/>
    <w:rsid w:val="00214F04"/>
    <w:rsid w:val="00214F4E"/>
    <w:rsid w:val="0021612F"/>
    <w:rsid w:val="002164EB"/>
    <w:rsid w:val="00216AC6"/>
    <w:rsid w:val="00222BEB"/>
    <w:rsid w:val="00223217"/>
    <w:rsid w:val="00224441"/>
    <w:rsid w:val="00225E60"/>
    <w:rsid w:val="00226400"/>
    <w:rsid w:val="0022705D"/>
    <w:rsid w:val="00227768"/>
    <w:rsid w:val="00230BBB"/>
    <w:rsid w:val="00230D75"/>
    <w:rsid w:val="0023202C"/>
    <w:rsid w:val="0023382A"/>
    <w:rsid w:val="00233CD2"/>
    <w:rsid w:val="00234253"/>
    <w:rsid w:val="00234619"/>
    <w:rsid w:val="00237ADF"/>
    <w:rsid w:val="002403CB"/>
    <w:rsid w:val="002418E2"/>
    <w:rsid w:val="00243652"/>
    <w:rsid w:val="00245043"/>
    <w:rsid w:val="0024685E"/>
    <w:rsid w:val="00246930"/>
    <w:rsid w:val="00250860"/>
    <w:rsid w:val="002514A4"/>
    <w:rsid w:val="00252A6A"/>
    <w:rsid w:val="00252A87"/>
    <w:rsid w:val="00254488"/>
    <w:rsid w:val="0025578B"/>
    <w:rsid w:val="002570BD"/>
    <w:rsid w:val="0026028E"/>
    <w:rsid w:val="002615B7"/>
    <w:rsid w:val="002629AE"/>
    <w:rsid w:val="00262F90"/>
    <w:rsid w:val="00264E14"/>
    <w:rsid w:val="00266D09"/>
    <w:rsid w:val="00267D39"/>
    <w:rsid w:val="00272AD9"/>
    <w:rsid w:val="00272EC4"/>
    <w:rsid w:val="00276717"/>
    <w:rsid w:val="00276B12"/>
    <w:rsid w:val="00276B96"/>
    <w:rsid w:val="00277547"/>
    <w:rsid w:val="00277DE2"/>
    <w:rsid w:val="00280603"/>
    <w:rsid w:val="00282118"/>
    <w:rsid w:val="00283F41"/>
    <w:rsid w:val="00284AB2"/>
    <w:rsid w:val="00284FA2"/>
    <w:rsid w:val="00286657"/>
    <w:rsid w:val="002914C3"/>
    <w:rsid w:val="00292C79"/>
    <w:rsid w:val="00292D36"/>
    <w:rsid w:val="002946C4"/>
    <w:rsid w:val="00294A5A"/>
    <w:rsid w:val="002959DC"/>
    <w:rsid w:val="00297281"/>
    <w:rsid w:val="00297A47"/>
    <w:rsid w:val="002A0021"/>
    <w:rsid w:val="002A2A46"/>
    <w:rsid w:val="002A4AD5"/>
    <w:rsid w:val="002A5891"/>
    <w:rsid w:val="002A6779"/>
    <w:rsid w:val="002A7D81"/>
    <w:rsid w:val="002B03F1"/>
    <w:rsid w:val="002B1BB9"/>
    <w:rsid w:val="002B47A2"/>
    <w:rsid w:val="002B5737"/>
    <w:rsid w:val="002B5DE9"/>
    <w:rsid w:val="002B5E2B"/>
    <w:rsid w:val="002B6DAA"/>
    <w:rsid w:val="002C63AC"/>
    <w:rsid w:val="002C76B5"/>
    <w:rsid w:val="002D0851"/>
    <w:rsid w:val="002D2CE8"/>
    <w:rsid w:val="002D401A"/>
    <w:rsid w:val="002D41AB"/>
    <w:rsid w:val="002D44EE"/>
    <w:rsid w:val="002D58A7"/>
    <w:rsid w:val="002D642C"/>
    <w:rsid w:val="002D6BBA"/>
    <w:rsid w:val="002D6F3C"/>
    <w:rsid w:val="002D7031"/>
    <w:rsid w:val="002D70F7"/>
    <w:rsid w:val="002D711A"/>
    <w:rsid w:val="002D7336"/>
    <w:rsid w:val="002D7673"/>
    <w:rsid w:val="002D79EA"/>
    <w:rsid w:val="002E3396"/>
    <w:rsid w:val="002E4EB3"/>
    <w:rsid w:val="002E59B0"/>
    <w:rsid w:val="002E6314"/>
    <w:rsid w:val="002E6588"/>
    <w:rsid w:val="002E67FA"/>
    <w:rsid w:val="002F1C97"/>
    <w:rsid w:val="002F1DAF"/>
    <w:rsid w:val="002F2953"/>
    <w:rsid w:val="002F4173"/>
    <w:rsid w:val="00300A9C"/>
    <w:rsid w:val="00303E66"/>
    <w:rsid w:val="00307B0F"/>
    <w:rsid w:val="0031149C"/>
    <w:rsid w:val="003117AA"/>
    <w:rsid w:val="00313174"/>
    <w:rsid w:val="00313B32"/>
    <w:rsid w:val="00315B8F"/>
    <w:rsid w:val="00316FC9"/>
    <w:rsid w:val="00317070"/>
    <w:rsid w:val="00317250"/>
    <w:rsid w:val="003219DC"/>
    <w:rsid w:val="003245F3"/>
    <w:rsid w:val="00325E21"/>
    <w:rsid w:val="003303FF"/>
    <w:rsid w:val="003323B1"/>
    <w:rsid w:val="00333F78"/>
    <w:rsid w:val="003341DF"/>
    <w:rsid w:val="003413D7"/>
    <w:rsid w:val="003414D2"/>
    <w:rsid w:val="00345824"/>
    <w:rsid w:val="00345B45"/>
    <w:rsid w:val="00345F0B"/>
    <w:rsid w:val="00350441"/>
    <w:rsid w:val="0035051F"/>
    <w:rsid w:val="0035127B"/>
    <w:rsid w:val="00351A68"/>
    <w:rsid w:val="00352755"/>
    <w:rsid w:val="00352C78"/>
    <w:rsid w:val="00354D98"/>
    <w:rsid w:val="00356733"/>
    <w:rsid w:val="00361F55"/>
    <w:rsid w:val="00362E6F"/>
    <w:rsid w:val="003640E7"/>
    <w:rsid w:val="003668FB"/>
    <w:rsid w:val="003674CA"/>
    <w:rsid w:val="0036778F"/>
    <w:rsid w:val="0037108A"/>
    <w:rsid w:val="00371780"/>
    <w:rsid w:val="00374DE7"/>
    <w:rsid w:val="00374E94"/>
    <w:rsid w:val="00375BC0"/>
    <w:rsid w:val="0037768A"/>
    <w:rsid w:val="003778D3"/>
    <w:rsid w:val="0038771C"/>
    <w:rsid w:val="00387FCC"/>
    <w:rsid w:val="00394D52"/>
    <w:rsid w:val="00395EDD"/>
    <w:rsid w:val="00396646"/>
    <w:rsid w:val="003A1432"/>
    <w:rsid w:val="003A430B"/>
    <w:rsid w:val="003A541A"/>
    <w:rsid w:val="003A5D3D"/>
    <w:rsid w:val="003A6923"/>
    <w:rsid w:val="003B2A46"/>
    <w:rsid w:val="003B41DA"/>
    <w:rsid w:val="003B767D"/>
    <w:rsid w:val="003C2C67"/>
    <w:rsid w:val="003C2D4C"/>
    <w:rsid w:val="003C3B3A"/>
    <w:rsid w:val="003C5074"/>
    <w:rsid w:val="003C5BA4"/>
    <w:rsid w:val="003C70A9"/>
    <w:rsid w:val="003C714F"/>
    <w:rsid w:val="003D54C5"/>
    <w:rsid w:val="003E2992"/>
    <w:rsid w:val="003E3E26"/>
    <w:rsid w:val="003E47C8"/>
    <w:rsid w:val="003E5220"/>
    <w:rsid w:val="003E559B"/>
    <w:rsid w:val="003E5A79"/>
    <w:rsid w:val="003F00AE"/>
    <w:rsid w:val="003F1295"/>
    <w:rsid w:val="003F2AB2"/>
    <w:rsid w:val="003F2CC1"/>
    <w:rsid w:val="003F39F5"/>
    <w:rsid w:val="003F4197"/>
    <w:rsid w:val="003F4F1D"/>
    <w:rsid w:val="003F5102"/>
    <w:rsid w:val="003F60A7"/>
    <w:rsid w:val="003F76FC"/>
    <w:rsid w:val="004002EB"/>
    <w:rsid w:val="0040446D"/>
    <w:rsid w:val="00405AFD"/>
    <w:rsid w:val="004068DC"/>
    <w:rsid w:val="00407A79"/>
    <w:rsid w:val="004108A6"/>
    <w:rsid w:val="004135C2"/>
    <w:rsid w:val="00416469"/>
    <w:rsid w:val="00422DDC"/>
    <w:rsid w:val="004231B5"/>
    <w:rsid w:val="004236C8"/>
    <w:rsid w:val="00427681"/>
    <w:rsid w:val="00433DB7"/>
    <w:rsid w:val="0043696B"/>
    <w:rsid w:val="0044070E"/>
    <w:rsid w:val="00440E2C"/>
    <w:rsid w:val="00443FE8"/>
    <w:rsid w:val="00444E08"/>
    <w:rsid w:val="00451065"/>
    <w:rsid w:val="00451764"/>
    <w:rsid w:val="004519F2"/>
    <w:rsid w:val="004535EA"/>
    <w:rsid w:val="00453750"/>
    <w:rsid w:val="00456941"/>
    <w:rsid w:val="00457D68"/>
    <w:rsid w:val="00463C5A"/>
    <w:rsid w:val="004653C1"/>
    <w:rsid w:val="004702EA"/>
    <w:rsid w:val="00470E50"/>
    <w:rsid w:val="00471ADD"/>
    <w:rsid w:val="00472FFB"/>
    <w:rsid w:val="0047328E"/>
    <w:rsid w:val="00473CD3"/>
    <w:rsid w:val="00476215"/>
    <w:rsid w:val="004777DB"/>
    <w:rsid w:val="004808FC"/>
    <w:rsid w:val="00481688"/>
    <w:rsid w:val="0048259C"/>
    <w:rsid w:val="00482D02"/>
    <w:rsid w:val="00484326"/>
    <w:rsid w:val="00484A19"/>
    <w:rsid w:val="004851EA"/>
    <w:rsid w:val="00487203"/>
    <w:rsid w:val="00490369"/>
    <w:rsid w:val="00490C6A"/>
    <w:rsid w:val="004936A3"/>
    <w:rsid w:val="00497EB0"/>
    <w:rsid w:val="004A3FB5"/>
    <w:rsid w:val="004A4556"/>
    <w:rsid w:val="004A61FE"/>
    <w:rsid w:val="004A7519"/>
    <w:rsid w:val="004B08AC"/>
    <w:rsid w:val="004B5A49"/>
    <w:rsid w:val="004B64B1"/>
    <w:rsid w:val="004B70D1"/>
    <w:rsid w:val="004C090B"/>
    <w:rsid w:val="004C4040"/>
    <w:rsid w:val="004C6CEA"/>
    <w:rsid w:val="004C7FC1"/>
    <w:rsid w:val="004D01AC"/>
    <w:rsid w:val="004D340F"/>
    <w:rsid w:val="004D3518"/>
    <w:rsid w:val="004D62D6"/>
    <w:rsid w:val="004D6898"/>
    <w:rsid w:val="004D7778"/>
    <w:rsid w:val="004E0004"/>
    <w:rsid w:val="004E0327"/>
    <w:rsid w:val="004F173D"/>
    <w:rsid w:val="004F2019"/>
    <w:rsid w:val="004F238B"/>
    <w:rsid w:val="004F3F4E"/>
    <w:rsid w:val="00500C28"/>
    <w:rsid w:val="005018C1"/>
    <w:rsid w:val="005019C1"/>
    <w:rsid w:val="00501DA9"/>
    <w:rsid w:val="00501EE4"/>
    <w:rsid w:val="005079B2"/>
    <w:rsid w:val="00510167"/>
    <w:rsid w:val="00510824"/>
    <w:rsid w:val="00511E12"/>
    <w:rsid w:val="00511F36"/>
    <w:rsid w:val="005129D1"/>
    <w:rsid w:val="00513E86"/>
    <w:rsid w:val="005153CE"/>
    <w:rsid w:val="00515958"/>
    <w:rsid w:val="005169DB"/>
    <w:rsid w:val="00517DB4"/>
    <w:rsid w:val="005210FA"/>
    <w:rsid w:val="0052209C"/>
    <w:rsid w:val="00523E77"/>
    <w:rsid w:val="00525E96"/>
    <w:rsid w:val="005306A2"/>
    <w:rsid w:val="00530D7D"/>
    <w:rsid w:val="00531123"/>
    <w:rsid w:val="0053416C"/>
    <w:rsid w:val="005416D7"/>
    <w:rsid w:val="00541C2F"/>
    <w:rsid w:val="00544080"/>
    <w:rsid w:val="00544B3E"/>
    <w:rsid w:val="00544D18"/>
    <w:rsid w:val="005450D9"/>
    <w:rsid w:val="00547A71"/>
    <w:rsid w:val="00551C0E"/>
    <w:rsid w:val="00552DE4"/>
    <w:rsid w:val="00553519"/>
    <w:rsid w:val="00555184"/>
    <w:rsid w:val="00560B5B"/>
    <w:rsid w:val="00561839"/>
    <w:rsid w:val="00561852"/>
    <w:rsid w:val="005619BB"/>
    <w:rsid w:val="00563527"/>
    <w:rsid w:val="00567541"/>
    <w:rsid w:val="00567D9B"/>
    <w:rsid w:val="0057283B"/>
    <w:rsid w:val="00573384"/>
    <w:rsid w:val="00573EF6"/>
    <w:rsid w:val="0057407A"/>
    <w:rsid w:val="00576382"/>
    <w:rsid w:val="00577165"/>
    <w:rsid w:val="00577B43"/>
    <w:rsid w:val="0058124E"/>
    <w:rsid w:val="005829B2"/>
    <w:rsid w:val="00583109"/>
    <w:rsid w:val="005848A5"/>
    <w:rsid w:val="005875A3"/>
    <w:rsid w:val="00587FFE"/>
    <w:rsid w:val="00593A04"/>
    <w:rsid w:val="005953EA"/>
    <w:rsid w:val="005A3416"/>
    <w:rsid w:val="005A36E6"/>
    <w:rsid w:val="005A3808"/>
    <w:rsid w:val="005A39C9"/>
    <w:rsid w:val="005A45BB"/>
    <w:rsid w:val="005B27FE"/>
    <w:rsid w:val="005B2E41"/>
    <w:rsid w:val="005B76DF"/>
    <w:rsid w:val="005B79CB"/>
    <w:rsid w:val="005C0209"/>
    <w:rsid w:val="005C04F0"/>
    <w:rsid w:val="005C10AB"/>
    <w:rsid w:val="005C12A8"/>
    <w:rsid w:val="005C17A7"/>
    <w:rsid w:val="005C1F05"/>
    <w:rsid w:val="005C43D5"/>
    <w:rsid w:val="005C7482"/>
    <w:rsid w:val="005D34CA"/>
    <w:rsid w:val="005D7F39"/>
    <w:rsid w:val="005E08D7"/>
    <w:rsid w:val="005E4C16"/>
    <w:rsid w:val="005E57E1"/>
    <w:rsid w:val="005E5947"/>
    <w:rsid w:val="005F34D8"/>
    <w:rsid w:val="005F5976"/>
    <w:rsid w:val="005F61DF"/>
    <w:rsid w:val="0060163A"/>
    <w:rsid w:val="006023F9"/>
    <w:rsid w:val="00602EA7"/>
    <w:rsid w:val="00607903"/>
    <w:rsid w:val="00610559"/>
    <w:rsid w:val="00614076"/>
    <w:rsid w:val="00614200"/>
    <w:rsid w:val="00616087"/>
    <w:rsid w:val="00617BB5"/>
    <w:rsid w:val="006208C4"/>
    <w:rsid w:val="00620E02"/>
    <w:rsid w:val="00624AA2"/>
    <w:rsid w:val="00625A45"/>
    <w:rsid w:val="006307EE"/>
    <w:rsid w:val="00632F2E"/>
    <w:rsid w:val="006332F6"/>
    <w:rsid w:val="00633C69"/>
    <w:rsid w:val="00635EFF"/>
    <w:rsid w:val="00636982"/>
    <w:rsid w:val="006376B2"/>
    <w:rsid w:val="006377CC"/>
    <w:rsid w:val="006410BA"/>
    <w:rsid w:val="006413F2"/>
    <w:rsid w:val="00641B57"/>
    <w:rsid w:val="00643380"/>
    <w:rsid w:val="00644344"/>
    <w:rsid w:val="006447DD"/>
    <w:rsid w:val="00645E9B"/>
    <w:rsid w:val="0065158B"/>
    <w:rsid w:val="006534B2"/>
    <w:rsid w:val="006544E0"/>
    <w:rsid w:val="0065460D"/>
    <w:rsid w:val="0065503B"/>
    <w:rsid w:val="0065615D"/>
    <w:rsid w:val="00656D42"/>
    <w:rsid w:val="00657011"/>
    <w:rsid w:val="00662306"/>
    <w:rsid w:val="006624A8"/>
    <w:rsid w:val="00662EC8"/>
    <w:rsid w:val="00663F03"/>
    <w:rsid w:val="006650B5"/>
    <w:rsid w:val="006651B1"/>
    <w:rsid w:val="00665778"/>
    <w:rsid w:val="006659DA"/>
    <w:rsid w:val="00666266"/>
    <w:rsid w:val="00666FDA"/>
    <w:rsid w:val="00670E58"/>
    <w:rsid w:val="00672DDD"/>
    <w:rsid w:val="006730CE"/>
    <w:rsid w:val="00673245"/>
    <w:rsid w:val="00673E4B"/>
    <w:rsid w:val="00673F0E"/>
    <w:rsid w:val="00676E5F"/>
    <w:rsid w:val="00680289"/>
    <w:rsid w:val="006817F7"/>
    <w:rsid w:val="00682B31"/>
    <w:rsid w:val="0068380D"/>
    <w:rsid w:val="00683D1A"/>
    <w:rsid w:val="0068787A"/>
    <w:rsid w:val="006945CA"/>
    <w:rsid w:val="00696ADF"/>
    <w:rsid w:val="006976E5"/>
    <w:rsid w:val="006A1F89"/>
    <w:rsid w:val="006A3057"/>
    <w:rsid w:val="006A3309"/>
    <w:rsid w:val="006A3A5A"/>
    <w:rsid w:val="006A5B34"/>
    <w:rsid w:val="006A654C"/>
    <w:rsid w:val="006A69C8"/>
    <w:rsid w:val="006A6AD2"/>
    <w:rsid w:val="006A6BC8"/>
    <w:rsid w:val="006A7B02"/>
    <w:rsid w:val="006B337A"/>
    <w:rsid w:val="006B5492"/>
    <w:rsid w:val="006B6BD6"/>
    <w:rsid w:val="006B6D7B"/>
    <w:rsid w:val="006B7EE1"/>
    <w:rsid w:val="006C1B36"/>
    <w:rsid w:val="006C4830"/>
    <w:rsid w:val="006C77A9"/>
    <w:rsid w:val="006D1BE6"/>
    <w:rsid w:val="006D3EC6"/>
    <w:rsid w:val="006D4720"/>
    <w:rsid w:val="006D5B85"/>
    <w:rsid w:val="006D6E71"/>
    <w:rsid w:val="006E40A2"/>
    <w:rsid w:val="006E42F5"/>
    <w:rsid w:val="006E4B38"/>
    <w:rsid w:val="006E6CDF"/>
    <w:rsid w:val="006E7C80"/>
    <w:rsid w:val="006F3221"/>
    <w:rsid w:val="006F37F2"/>
    <w:rsid w:val="006F4836"/>
    <w:rsid w:val="006F64ED"/>
    <w:rsid w:val="006F6693"/>
    <w:rsid w:val="006F70E6"/>
    <w:rsid w:val="00701E67"/>
    <w:rsid w:val="007025C7"/>
    <w:rsid w:val="00704EAC"/>
    <w:rsid w:val="00705A60"/>
    <w:rsid w:val="00707FE8"/>
    <w:rsid w:val="00714AAE"/>
    <w:rsid w:val="00714BD7"/>
    <w:rsid w:val="00714FB5"/>
    <w:rsid w:val="007155B1"/>
    <w:rsid w:val="00721AAC"/>
    <w:rsid w:val="00721D52"/>
    <w:rsid w:val="00722717"/>
    <w:rsid w:val="00724962"/>
    <w:rsid w:val="00724A0F"/>
    <w:rsid w:val="00726D2F"/>
    <w:rsid w:val="00727F87"/>
    <w:rsid w:val="00733BD7"/>
    <w:rsid w:val="00734FC2"/>
    <w:rsid w:val="00736732"/>
    <w:rsid w:val="00740019"/>
    <w:rsid w:val="0074006F"/>
    <w:rsid w:val="0074071A"/>
    <w:rsid w:val="007432F9"/>
    <w:rsid w:val="00743BDD"/>
    <w:rsid w:val="00746426"/>
    <w:rsid w:val="00746996"/>
    <w:rsid w:val="00746DBB"/>
    <w:rsid w:val="00750BF9"/>
    <w:rsid w:val="00750CBE"/>
    <w:rsid w:val="00751390"/>
    <w:rsid w:val="007516E7"/>
    <w:rsid w:val="00755F53"/>
    <w:rsid w:val="00756BC3"/>
    <w:rsid w:val="00763424"/>
    <w:rsid w:val="00763C91"/>
    <w:rsid w:val="007650D2"/>
    <w:rsid w:val="00766B5A"/>
    <w:rsid w:val="00767064"/>
    <w:rsid w:val="00767B8C"/>
    <w:rsid w:val="007700C3"/>
    <w:rsid w:val="0077086E"/>
    <w:rsid w:val="00772209"/>
    <w:rsid w:val="007730AA"/>
    <w:rsid w:val="007759BC"/>
    <w:rsid w:val="00776200"/>
    <w:rsid w:val="00776C09"/>
    <w:rsid w:val="007770A5"/>
    <w:rsid w:val="00777EC7"/>
    <w:rsid w:val="00780041"/>
    <w:rsid w:val="00781DF1"/>
    <w:rsid w:val="00782410"/>
    <w:rsid w:val="007829DB"/>
    <w:rsid w:val="007834F2"/>
    <w:rsid w:val="0078432C"/>
    <w:rsid w:val="00784D6A"/>
    <w:rsid w:val="007851E7"/>
    <w:rsid w:val="00785C2E"/>
    <w:rsid w:val="00790698"/>
    <w:rsid w:val="00790B0F"/>
    <w:rsid w:val="00791020"/>
    <w:rsid w:val="0079199E"/>
    <w:rsid w:val="00793DD3"/>
    <w:rsid w:val="00796005"/>
    <w:rsid w:val="007961B5"/>
    <w:rsid w:val="00796484"/>
    <w:rsid w:val="007A04D2"/>
    <w:rsid w:val="007A06C6"/>
    <w:rsid w:val="007A0C86"/>
    <w:rsid w:val="007A5F82"/>
    <w:rsid w:val="007A6647"/>
    <w:rsid w:val="007A6705"/>
    <w:rsid w:val="007A7C2E"/>
    <w:rsid w:val="007B0001"/>
    <w:rsid w:val="007B19B7"/>
    <w:rsid w:val="007B1D1D"/>
    <w:rsid w:val="007B40C1"/>
    <w:rsid w:val="007B5454"/>
    <w:rsid w:val="007B55C7"/>
    <w:rsid w:val="007C03CE"/>
    <w:rsid w:val="007C147B"/>
    <w:rsid w:val="007C1B62"/>
    <w:rsid w:val="007C2599"/>
    <w:rsid w:val="007C268F"/>
    <w:rsid w:val="007C319F"/>
    <w:rsid w:val="007C336E"/>
    <w:rsid w:val="007C5C05"/>
    <w:rsid w:val="007D467F"/>
    <w:rsid w:val="007D5F9E"/>
    <w:rsid w:val="007D610B"/>
    <w:rsid w:val="007D6713"/>
    <w:rsid w:val="007E027F"/>
    <w:rsid w:val="007E098F"/>
    <w:rsid w:val="007E2F6D"/>
    <w:rsid w:val="007E3BA2"/>
    <w:rsid w:val="007E6321"/>
    <w:rsid w:val="007E6C70"/>
    <w:rsid w:val="007E72B0"/>
    <w:rsid w:val="007F1A4C"/>
    <w:rsid w:val="007F68E6"/>
    <w:rsid w:val="007F723F"/>
    <w:rsid w:val="008015E0"/>
    <w:rsid w:val="008022C3"/>
    <w:rsid w:val="00803B47"/>
    <w:rsid w:val="008041E6"/>
    <w:rsid w:val="008042CB"/>
    <w:rsid w:val="008065D2"/>
    <w:rsid w:val="008116E7"/>
    <w:rsid w:val="0081253F"/>
    <w:rsid w:val="00815A57"/>
    <w:rsid w:val="00815A8A"/>
    <w:rsid w:val="0082194C"/>
    <w:rsid w:val="008222FF"/>
    <w:rsid w:val="008241FF"/>
    <w:rsid w:val="00827454"/>
    <w:rsid w:val="00833A66"/>
    <w:rsid w:val="0083539D"/>
    <w:rsid w:val="00835BA7"/>
    <w:rsid w:val="008360F6"/>
    <w:rsid w:val="00836CC9"/>
    <w:rsid w:val="0083748E"/>
    <w:rsid w:val="00837505"/>
    <w:rsid w:val="00840011"/>
    <w:rsid w:val="008401CA"/>
    <w:rsid w:val="00840355"/>
    <w:rsid w:val="00840388"/>
    <w:rsid w:val="0084054D"/>
    <w:rsid w:val="008411E9"/>
    <w:rsid w:val="00841617"/>
    <w:rsid w:val="0084200F"/>
    <w:rsid w:val="00843538"/>
    <w:rsid w:val="00843B2C"/>
    <w:rsid w:val="00844F16"/>
    <w:rsid w:val="00845888"/>
    <w:rsid w:val="00845F24"/>
    <w:rsid w:val="00846FC0"/>
    <w:rsid w:val="00847745"/>
    <w:rsid w:val="00855FF9"/>
    <w:rsid w:val="00860BEE"/>
    <w:rsid w:val="0086277A"/>
    <w:rsid w:val="008641CA"/>
    <w:rsid w:val="00865A5B"/>
    <w:rsid w:val="00866217"/>
    <w:rsid w:val="008668A8"/>
    <w:rsid w:val="008719DF"/>
    <w:rsid w:val="008751F5"/>
    <w:rsid w:val="008768AD"/>
    <w:rsid w:val="00877503"/>
    <w:rsid w:val="00877952"/>
    <w:rsid w:val="00880AC4"/>
    <w:rsid w:val="00882A48"/>
    <w:rsid w:val="0088399F"/>
    <w:rsid w:val="00883A34"/>
    <w:rsid w:val="00887173"/>
    <w:rsid w:val="008874BC"/>
    <w:rsid w:val="00892E40"/>
    <w:rsid w:val="00893E2B"/>
    <w:rsid w:val="00897447"/>
    <w:rsid w:val="00897C1A"/>
    <w:rsid w:val="008A34B2"/>
    <w:rsid w:val="008A3C44"/>
    <w:rsid w:val="008A4900"/>
    <w:rsid w:val="008A55FE"/>
    <w:rsid w:val="008B146D"/>
    <w:rsid w:val="008B2FAD"/>
    <w:rsid w:val="008B42AD"/>
    <w:rsid w:val="008B4406"/>
    <w:rsid w:val="008B5666"/>
    <w:rsid w:val="008B77E4"/>
    <w:rsid w:val="008C15B3"/>
    <w:rsid w:val="008C16AF"/>
    <w:rsid w:val="008C318B"/>
    <w:rsid w:val="008C4D15"/>
    <w:rsid w:val="008C68EC"/>
    <w:rsid w:val="008C7206"/>
    <w:rsid w:val="008D0281"/>
    <w:rsid w:val="008D34DA"/>
    <w:rsid w:val="008D6AEE"/>
    <w:rsid w:val="008D705F"/>
    <w:rsid w:val="008E2348"/>
    <w:rsid w:val="008E2571"/>
    <w:rsid w:val="008E347D"/>
    <w:rsid w:val="008E4DFC"/>
    <w:rsid w:val="008E4F1A"/>
    <w:rsid w:val="008E4FCE"/>
    <w:rsid w:val="008E6E34"/>
    <w:rsid w:val="008F04C8"/>
    <w:rsid w:val="008F2616"/>
    <w:rsid w:val="008F4EDA"/>
    <w:rsid w:val="008F5B08"/>
    <w:rsid w:val="008F6917"/>
    <w:rsid w:val="008F6D45"/>
    <w:rsid w:val="008F7121"/>
    <w:rsid w:val="00900D22"/>
    <w:rsid w:val="0090200F"/>
    <w:rsid w:val="00903F5A"/>
    <w:rsid w:val="00903F81"/>
    <w:rsid w:val="009052D9"/>
    <w:rsid w:val="0090538D"/>
    <w:rsid w:val="00905E6A"/>
    <w:rsid w:val="00906D71"/>
    <w:rsid w:val="00906EDC"/>
    <w:rsid w:val="009072F1"/>
    <w:rsid w:val="00907FF7"/>
    <w:rsid w:val="0091070E"/>
    <w:rsid w:val="00910B56"/>
    <w:rsid w:val="00914DE4"/>
    <w:rsid w:val="009157AB"/>
    <w:rsid w:val="009165F4"/>
    <w:rsid w:val="00916BA8"/>
    <w:rsid w:val="00916FB6"/>
    <w:rsid w:val="0092084B"/>
    <w:rsid w:val="0092094E"/>
    <w:rsid w:val="00920E37"/>
    <w:rsid w:val="009222A5"/>
    <w:rsid w:val="00922408"/>
    <w:rsid w:val="00922944"/>
    <w:rsid w:val="009229CC"/>
    <w:rsid w:val="00924B00"/>
    <w:rsid w:val="00927C59"/>
    <w:rsid w:val="009312DE"/>
    <w:rsid w:val="00931672"/>
    <w:rsid w:val="00931FD9"/>
    <w:rsid w:val="00933B67"/>
    <w:rsid w:val="00934C41"/>
    <w:rsid w:val="00935223"/>
    <w:rsid w:val="009356BF"/>
    <w:rsid w:val="00936479"/>
    <w:rsid w:val="0093655C"/>
    <w:rsid w:val="00937A10"/>
    <w:rsid w:val="00937D9F"/>
    <w:rsid w:val="00941B62"/>
    <w:rsid w:val="00942F08"/>
    <w:rsid w:val="009441FE"/>
    <w:rsid w:val="00945756"/>
    <w:rsid w:val="009464B0"/>
    <w:rsid w:val="009466B2"/>
    <w:rsid w:val="009467EF"/>
    <w:rsid w:val="00947A0F"/>
    <w:rsid w:val="00947DA4"/>
    <w:rsid w:val="009508C6"/>
    <w:rsid w:val="009550F1"/>
    <w:rsid w:val="009579EA"/>
    <w:rsid w:val="00965AEC"/>
    <w:rsid w:val="00966115"/>
    <w:rsid w:val="009679A1"/>
    <w:rsid w:val="00970695"/>
    <w:rsid w:val="00972812"/>
    <w:rsid w:val="00973928"/>
    <w:rsid w:val="0097403E"/>
    <w:rsid w:val="00980716"/>
    <w:rsid w:val="009834C0"/>
    <w:rsid w:val="00985125"/>
    <w:rsid w:val="00986AAC"/>
    <w:rsid w:val="009870D2"/>
    <w:rsid w:val="009905FA"/>
    <w:rsid w:val="00990B3B"/>
    <w:rsid w:val="0099181C"/>
    <w:rsid w:val="00992FE2"/>
    <w:rsid w:val="009947D4"/>
    <w:rsid w:val="00995526"/>
    <w:rsid w:val="00995F98"/>
    <w:rsid w:val="009A0901"/>
    <w:rsid w:val="009A0E50"/>
    <w:rsid w:val="009A1DA2"/>
    <w:rsid w:val="009A1F44"/>
    <w:rsid w:val="009A3218"/>
    <w:rsid w:val="009A35AA"/>
    <w:rsid w:val="009A3704"/>
    <w:rsid w:val="009A4739"/>
    <w:rsid w:val="009A4EF1"/>
    <w:rsid w:val="009A674F"/>
    <w:rsid w:val="009A6D22"/>
    <w:rsid w:val="009B199C"/>
    <w:rsid w:val="009B1C3C"/>
    <w:rsid w:val="009B3849"/>
    <w:rsid w:val="009B5979"/>
    <w:rsid w:val="009B61F1"/>
    <w:rsid w:val="009B62E0"/>
    <w:rsid w:val="009B6698"/>
    <w:rsid w:val="009B69C7"/>
    <w:rsid w:val="009B6EB2"/>
    <w:rsid w:val="009C0A88"/>
    <w:rsid w:val="009C1110"/>
    <w:rsid w:val="009C14CC"/>
    <w:rsid w:val="009C1F75"/>
    <w:rsid w:val="009C38E7"/>
    <w:rsid w:val="009C3D88"/>
    <w:rsid w:val="009C4620"/>
    <w:rsid w:val="009C476A"/>
    <w:rsid w:val="009C6107"/>
    <w:rsid w:val="009C62C7"/>
    <w:rsid w:val="009C6701"/>
    <w:rsid w:val="009D18DE"/>
    <w:rsid w:val="009D4D66"/>
    <w:rsid w:val="009D7017"/>
    <w:rsid w:val="009E0C4C"/>
    <w:rsid w:val="009E0ECD"/>
    <w:rsid w:val="009E1651"/>
    <w:rsid w:val="009E3773"/>
    <w:rsid w:val="009E3858"/>
    <w:rsid w:val="009E467D"/>
    <w:rsid w:val="009E52B3"/>
    <w:rsid w:val="009E5553"/>
    <w:rsid w:val="009E70DD"/>
    <w:rsid w:val="009F0C82"/>
    <w:rsid w:val="009F2ED9"/>
    <w:rsid w:val="009F3231"/>
    <w:rsid w:val="009F3D6D"/>
    <w:rsid w:val="009F5C58"/>
    <w:rsid w:val="009F5DA7"/>
    <w:rsid w:val="009F71C7"/>
    <w:rsid w:val="00A023A0"/>
    <w:rsid w:val="00A034F7"/>
    <w:rsid w:val="00A05EBC"/>
    <w:rsid w:val="00A075C2"/>
    <w:rsid w:val="00A1562B"/>
    <w:rsid w:val="00A15A8C"/>
    <w:rsid w:val="00A170F4"/>
    <w:rsid w:val="00A21408"/>
    <w:rsid w:val="00A21CFD"/>
    <w:rsid w:val="00A2227D"/>
    <w:rsid w:val="00A22A5F"/>
    <w:rsid w:val="00A23BA4"/>
    <w:rsid w:val="00A25B78"/>
    <w:rsid w:val="00A26730"/>
    <w:rsid w:val="00A27B01"/>
    <w:rsid w:val="00A30402"/>
    <w:rsid w:val="00A30E5D"/>
    <w:rsid w:val="00A341F4"/>
    <w:rsid w:val="00A400CC"/>
    <w:rsid w:val="00A40495"/>
    <w:rsid w:val="00A40902"/>
    <w:rsid w:val="00A40DFD"/>
    <w:rsid w:val="00A41BA3"/>
    <w:rsid w:val="00A424D9"/>
    <w:rsid w:val="00A45CB0"/>
    <w:rsid w:val="00A46288"/>
    <w:rsid w:val="00A46BA8"/>
    <w:rsid w:val="00A47634"/>
    <w:rsid w:val="00A52190"/>
    <w:rsid w:val="00A532BD"/>
    <w:rsid w:val="00A57344"/>
    <w:rsid w:val="00A577F4"/>
    <w:rsid w:val="00A60D9F"/>
    <w:rsid w:val="00A612FE"/>
    <w:rsid w:val="00A61F97"/>
    <w:rsid w:val="00A650DF"/>
    <w:rsid w:val="00A663FF"/>
    <w:rsid w:val="00A66F4D"/>
    <w:rsid w:val="00A677C4"/>
    <w:rsid w:val="00A6784A"/>
    <w:rsid w:val="00A703B3"/>
    <w:rsid w:val="00A70B49"/>
    <w:rsid w:val="00A70D24"/>
    <w:rsid w:val="00A71CD3"/>
    <w:rsid w:val="00A7211C"/>
    <w:rsid w:val="00A7363B"/>
    <w:rsid w:val="00A740D4"/>
    <w:rsid w:val="00A747EE"/>
    <w:rsid w:val="00A75724"/>
    <w:rsid w:val="00A75CAC"/>
    <w:rsid w:val="00A77315"/>
    <w:rsid w:val="00A8084F"/>
    <w:rsid w:val="00A8356C"/>
    <w:rsid w:val="00A84FDA"/>
    <w:rsid w:val="00A85F42"/>
    <w:rsid w:val="00A87816"/>
    <w:rsid w:val="00A900B9"/>
    <w:rsid w:val="00A92D94"/>
    <w:rsid w:val="00AA2639"/>
    <w:rsid w:val="00AA26B8"/>
    <w:rsid w:val="00AA4288"/>
    <w:rsid w:val="00AA4907"/>
    <w:rsid w:val="00AA4EFD"/>
    <w:rsid w:val="00AB0989"/>
    <w:rsid w:val="00AB1AC1"/>
    <w:rsid w:val="00AB1B76"/>
    <w:rsid w:val="00AB24E4"/>
    <w:rsid w:val="00AB5470"/>
    <w:rsid w:val="00AB59D5"/>
    <w:rsid w:val="00AB6113"/>
    <w:rsid w:val="00AB6D5E"/>
    <w:rsid w:val="00AC0B87"/>
    <w:rsid w:val="00AC2624"/>
    <w:rsid w:val="00AC32A8"/>
    <w:rsid w:val="00AC3A77"/>
    <w:rsid w:val="00AD0798"/>
    <w:rsid w:val="00AD082B"/>
    <w:rsid w:val="00AD1351"/>
    <w:rsid w:val="00AD1BA1"/>
    <w:rsid w:val="00AD4528"/>
    <w:rsid w:val="00AD46E8"/>
    <w:rsid w:val="00AD5E53"/>
    <w:rsid w:val="00AD7DB3"/>
    <w:rsid w:val="00AD7E4E"/>
    <w:rsid w:val="00AE0D21"/>
    <w:rsid w:val="00AE19AC"/>
    <w:rsid w:val="00AE1FAE"/>
    <w:rsid w:val="00AE2536"/>
    <w:rsid w:val="00AE271D"/>
    <w:rsid w:val="00AE50FF"/>
    <w:rsid w:val="00AE52CB"/>
    <w:rsid w:val="00AE720D"/>
    <w:rsid w:val="00AE7D55"/>
    <w:rsid w:val="00AE7E07"/>
    <w:rsid w:val="00AF1728"/>
    <w:rsid w:val="00AF4898"/>
    <w:rsid w:val="00AF4D58"/>
    <w:rsid w:val="00AF4E8A"/>
    <w:rsid w:val="00AF6666"/>
    <w:rsid w:val="00AF6CA4"/>
    <w:rsid w:val="00AF7BC5"/>
    <w:rsid w:val="00B03012"/>
    <w:rsid w:val="00B04B13"/>
    <w:rsid w:val="00B05498"/>
    <w:rsid w:val="00B065FB"/>
    <w:rsid w:val="00B06F7A"/>
    <w:rsid w:val="00B075C8"/>
    <w:rsid w:val="00B10FC7"/>
    <w:rsid w:val="00B11409"/>
    <w:rsid w:val="00B116E3"/>
    <w:rsid w:val="00B11D17"/>
    <w:rsid w:val="00B13C95"/>
    <w:rsid w:val="00B14C1D"/>
    <w:rsid w:val="00B14E37"/>
    <w:rsid w:val="00B15592"/>
    <w:rsid w:val="00B16838"/>
    <w:rsid w:val="00B16D2B"/>
    <w:rsid w:val="00B2035D"/>
    <w:rsid w:val="00B23AE9"/>
    <w:rsid w:val="00B23C8D"/>
    <w:rsid w:val="00B26702"/>
    <w:rsid w:val="00B27729"/>
    <w:rsid w:val="00B36F62"/>
    <w:rsid w:val="00B3709E"/>
    <w:rsid w:val="00B37FF8"/>
    <w:rsid w:val="00B41210"/>
    <w:rsid w:val="00B41DEC"/>
    <w:rsid w:val="00B425D3"/>
    <w:rsid w:val="00B46F15"/>
    <w:rsid w:val="00B515DB"/>
    <w:rsid w:val="00B519AC"/>
    <w:rsid w:val="00B52E8A"/>
    <w:rsid w:val="00B54BC5"/>
    <w:rsid w:val="00B54D01"/>
    <w:rsid w:val="00B556E1"/>
    <w:rsid w:val="00B55937"/>
    <w:rsid w:val="00B62199"/>
    <w:rsid w:val="00B62703"/>
    <w:rsid w:val="00B673BB"/>
    <w:rsid w:val="00B7281A"/>
    <w:rsid w:val="00B73B9C"/>
    <w:rsid w:val="00B749C0"/>
    <w:rsid w:val="00B768E9"/>
    <w:rsid w:val="00B770DD"/>
    <w:rsid w:val="00B77E98"/>
    <w:rsid w:val="00B81B44"/>
    <w:rsid w:val="00B82DD6"/>
    <w:rsid w:val="00B9053B"/>
    <w:rsid w:val="00B90E45"/>
    <w:rsid w:val="00B91372"/>
    <w:rsid w:val="00B91AEC"/>
    <w:rsid w:val="00B92E2D"/>
    <w:rsid w:val="00B966C5"/>
    <w:rsid w:val="00B97330"/>
    <w:rsid w:val="00B9777C"/>
    <w:rsid w:val="00B978D5"/>
    <w:rsid w:val="00BA0C37"/>
    <w:rsid w:val="00BA1ADE"/>
    <w:rsid w:val="00BA2194"/>
    <w:rsid w:val="00BA2F59"/>
    <w:rsid w:val="00BA3782"/>
    <w:rsid w:val="00BA5338"/>
    <w:rsid w:val="00BA5BEB"/>
    <w:rsid w:val="00BA5F34"/>
    <w:rsid w:val="00BA7557"/>
    <w:rsid w:val="00BB1E83"/>
    <w:rsid w:val="00BB29F8"/>
    <w:rsid w:val="00BB2C6A"/>
    <w:rsid w:val="00BB4D98"/>
    <w:rsid w:val="00BB4EBF"/>
    <w:rsid w:val="00BB59E0"/>
    <w:rsid w:val="00BB7DF0"/>
    <w:rsid w:val="00BC3422"/>
    <w:rsid w:val="00BC437C"/>
    <w:rsid w:val="00BC505C"/>
    <w:rsid w:val="00BC6247"/>
    <w:rsid w:val="00BC6E19"/>
    <w:rsid w:val="00BC754A"/>
    <w:rsid w:val="00BC78BF"/>
    <w:rsid w:val="00BD0469"/>
    <w:rsid w:val="00BD05FA"/>
    <w:rsid w:val="00BD0690"/>
    <w:rsid w:val="00BD0B31"/>
    <w:rsid w:val="00BD0FA3"/>
    <w:rsid w:val="00BD1866"/>
    <w:rsid w:val="00BD4FF1"/>
    <w:rsid w:val="00BD5018"/>
    <w:rsid w:val="00BD5A8F"/>
    <w:rsid w:val="00BE099A"/>
    <w:rsid w:val="00BE1608"/>
    <w:rsid w:val="00BE28DA"/>
    <w:rsid w:val="00BE314F"/>
    <w:rsid w:val="00BE4092"/>
    <w:rsid w:val="00BE434C"/>
    <w:rsid w:val="00BE4EDC"/>
    <w:rsid w:val="00BE5A4D"/>
    <w:rsid w:val="00BE5ADC"/>
    <w:rsid w:val="00BE60CF"/>
    <w:rsid w:val="00BF06DD"/>
    <w:rsid w:val="00BF2930"/>
    <w:rsid w:val="00BF4169"/>
    <w:rsid w:val="00BF446D"/>
    <w:rsid w:val="00BF4F96"/>
    <w:rsid w:val="00BF62B1"/>
    <w:rsid w:val="00BF62FF"/>
    <w:rsid w:val="00C015B2"/>
    <w:rsid w:val="00C015B9"/>
    <w:rsid w:val="00C022F9"/>
    <w:rsid w:val="00C032EA"/>
    <w:rsid w:val="00C05227"/>
    <w:rsid w:val="00C06EB5"/>
    <w:rsid w:val="00C1050F"/>
    <w:rsid w:val="00C10CEB"/>
    <w:rsid w:val="00C1145F"/>
    <w:rsid w:val="00C11CD1"/>
    <w:rsid w:val="00C1204E"/>
    <w:rsid w:val="00C12D51"/>
    <w:rsid w:val="00C14293"/>
    <w:rsid w:val="00C15701"/>
    <w:rsid w:val="00C1703F"/>
    <w:rsid w:val="00C174FE"/>
    <w:rsid w:val="00C229C4"/>
    <w:rsid w:val="00C258F2"/>
    <w:rsid w:val="00C26B71"/>
    <w:rsid w:val="00C2715F"/>
    <w:rsid w:val="00C301C5"/>
    <w:rsid w:val="00C32D49"/>
    <w:rsid w:val="00C33AD3"/>
    <w:rsid w:val="00C367CF"/>
    <w:rsid w:val="00C37F9B"/>
    <w:rsid w:val="00C41976"/>
    <w:rsid w:val="00C419CA"/>
    <w:rsid w:val="00C41B3C"/>
    <w:rsid w:val="00C43F06"/>
    <w:rsid w:val="00C45702"/>
    <w:rsid w:val="00C472BE"/>
    <w:rsid w:val="00C47503"/>
    <w:rsid w:val="00C50A2B"/>
    <w:rsid w:val="00C51C01"/>
    <w:rsid w:val="00C539DC"/>
    <w:rsid w:val="00C53C11"/>
    <w:rsid w:val="00C53E0C"/>
    <w:rsid w:val="00C54124"/>
    <w:rsid w:val="00C57610"/>
    <w:rsid w:val="00C62619"/>
    <w:rsid w:val="00C62C46"/>
    <w:rsid w:val="00C637E1"/>
    <w:rsid w:val="00C66224"/>
    <w:rsid w:val="00C66D99"/>
    <w:rsid w:val="00C67EAC"/>
    <w:rsid w:val="00C685FA"/>
    <w:rsid w:val="00C70D50"/>
    <w:rsid w:val="00C72252"/>
    <w:rsid w:val="00C73081"/>
    <w:rsid w:val="00C73137"/>
    <w:rsid w:val="00C80B06"/>
    <w:rsid w:val="00C81050"/>
    <w:rsid w:val="00C8136D"/>
    <w:rsid w:val="00C8248D"/>
    <w:rsid w:val="00C84AB9"/>
    <w:rsid w:val="00C84B0F"/>
    <w:rsid w:val="00C8588B"/>
    <w:rsid w:val="00C907D7"/>
    <w:rsid w:val="00C9081E"/>
    <w:rsid w:val="00C92338"/>
    <w:rsid w:val="00C95E66"/>
    <w:rsid w:val="00C96051"/>
    <w:rsid w:val="00C96D18"/>
    <w:rsid w:val="00C97B86"/>
    <w:rsid w:val="00CA05DC"/>
    <w:rsid w:val="00CA1AE6"/>
    <w:rsid w:val="00CA1D71"/>
    <w:rsid w:val="00CA5551"/>
    <w:rsid w:val="00CA780F"/>
    <w:rsid w:val="00CA7B47"/>
    <w:rsid w:val="00CB1DD6"/>
    <w:rsid w:val="00CB1E06"/>
    <w:rsid w:val="00CB2E8A"/>
    <w:rsid w:val="00CB3976"/>
    <w:rsid w:val="00CB441A"/>
    <w:rsid w:val="00CB5368"/>
    <w:rsid w:val="00CB5F39"/>
    <w:rsid w:val="00CB6CED"/>
    <w:rsid w:val="00CB736F"/>
    <w:rsid w:val="00CC3D65"/>
    <w:rsid w:val="00CC3D86"/>
    <w:rsid w:val="00CC6087"/>
    <w:rsid w:val="00CC7B72"/>
    <w:rsid w:val="00CD0307"/>
    <w:rsid w:val="00CD0601"/>
    <w:rsid w:val="00CD0F88"/>
    <w:rsid w:val="00CD1527"/>
    <w:rsid w:val="00CD28D6"/>
    <w:rsid w:val="00CD3D1B"/>
    <w:rsid w:val="00CD5A73"/>
    <w:rsid w:val="00CD602D"/>
    <w:rsid w:val="00CD65C3"/>
    <w:rsid w:val="00CD6934"/>
    <w:rsid w:val="00CD702A"/>
    <w:rsid w:val="00CE083F"/>
    <w:rsid w:val="00CE0E17"/>
    <w:rsid w:val="00CE1D7F"/>
    <w:rsid w:val="00CE24DF"/>
    <w:rsid w:val="00CE27AB"/>
    <w:rsid w:val="00CE4620"/>
    <w:rsid w:val="00CE4EC1"/>
    <w:rsid w:val="00CF0B1E"/>
    <w:rsid w:val="00CF0CE8"/>
    <w:rsid w:val="00CF1A06"/>
    <w:rsid w:val="00CF2474"/>
    <w:rsid w:val="00CF2CDF"/>
    <w:rsid w:val="00CF2FFA"/>
    <w:rsid w:val="00CF34AB"/>
    <w:rsid w:val="00CF6EC4"/>
    <w:rsid w:val="00D02663"/>
    <w:rsid w:val="00D04BED"/>
    <w:rsid w:val="00D0633E"/>
    <w:rsid w:val="00D07B16"/>
    <w:rsid w:val="00D07E64"/>
    <w:rsid w:val="00D12E74"/>
    <w:rsid w:val="00D140D8"/>
    <w:rsid w:val="00D15955"/>
    <w:rsid w:val="00D17D98"/>
    <w:rsid w:val="00D22E9A"/>
    <w:rsid w:val="00D2312F"/>
    <w:rsid w:val="00D23B04"/>
    <w:rsid w:val="00D24E10"/>
    <w:rsid w:val="00D25E33"/>
    <w:rsid w:val="00D26873"/>
    <w:rsid w:val="00D269C1"/>
    <w:rsid w:val="00D26AF6"/>
    <w:rsid w:val="00D27944"/>
    <w:rsid w:val="00D27F3E"/>
    <w:rsid w:val="00D311E6"/>
    <w:rsid w:val="00D32212"/>
    <w:rsid w:val="00D33159"/>
    <w:rsid w:val="00D3513B"/>
    <w:rsid w:val="00D351D2"/>
    <w:rsid w:val="00D359B2"/>
    <w:rsid w:val="00D40D8B"/>
    <w:rsid w:val="00D41B2F"/>
    <w:rsid w:val="00D41FB5"/>
    <w:rsid w:val="00D44953"/>
    <w:rsid w:val="00D44F86"/>
    <w:rsid w:val="00D4656B"/>
    <w:rsid w:val="00D50F49"/>
    <w:rsid w:val="00D5204A"/>
    <w:rsid w:val="00D52ECF"/>
    <w:rsid w:val="00D542F3"/>
    <w:rsid w:val="00D54513"/>
    <w:rsid w:val="00D54AAE"/>
    <w:rsid w:val="00D5644B"/>
    <w:rsid w:val="00D56E25"/>
    <w:rsid w:val="00D578B0"/>
    <w:rsid w:val="00D57E89"/>
    <w:rsid w:val="00D60E1A"/>
    <w:rsid w:val="00D61DD6"/>
    <w:rsid w:val="00D621FC"/>
    <w:rsid w:val="00D63431"/>
    <w:rsid w:val="00D63D34"/>
    <w:rsid w:val="00D6560D"/>
    <w:rsid w:val="00D65845"/>
    <w:rsid w:val="00D65D77"/>
    <w:rsid w:val="00D662E0"/>
    <w:rsid w:val="00D718D7"/>
    <w:rsid w:val="00D71D6F"/>
    <w:rsid w:val="00D80365"/>
    <w:rsid w:val="00D814B7"/>
    <w:rsid w:val="00D818F3"/>
    <w:rsid w:val="00D832D4"/>
    <w:rsid w:val="00D833B4"/>
    <w:rsid w:val="00D83974"/>
    <w:rsid w:val="00D863EB"/>
    <w:rsid w:val="00D876CC"/>
    <w:rsid w:val="00D877FC"/>
    <w:rsid w:val="00D90688"/>
    <w:rsid w:val="00D954E0"/>
    <w:rsid w:val="00D956AE"/>
    <w:rsid w:val="00D97A89"/>
    <w:rsid w:val="00DA3081"/>
    <w:rsid w:val="00DA3AAD"/>
    <w:rsid w:val="00DA3EA4"/>
    <w:rsid w:val="00DA43BA"/>
    <w:rsid w:val="00DA610A"/>
    <w:rsid w:val="00DB0804"/>
    <w:rsid w:val="00DB243D"/>
    <w:rsid w:val="00DB312B"/>
    <w:rsid w:val="00DB46FE"/>
    <w:rsid w:val="00DB4782"/>
    <w:rsid w:val="00DB5BDB"/>
    <w:rsid w:val="00DB66C9"/>
    <w:rsid w:val="00DB7961"/>
    <w:rsid w:val="00DC005C"/>
    <w:rsid w:val="00DC4AF4"/>
    <w:rsid w:val="00DC5654"/>
    <w:rsid w:val="00DC59F0"/>
    <w:rsid w:val="00DC61C4"/>
    <w:rsid w:val="00DC658F"/>
    <w:rsid w:val="00DC674A"/>
    <w:rsid w:val="00DD075D"/>
    <w:rsid w:val="00DD34D3"/>
    <w:rsid w:val="00DD3DB1"/>
    <w:rsid w:val="00DD6383"/>
    <w:rsid w:val="00DD6A16"/>
    <w:rsid w:val="00DD732F"/>
    <w:rsid w:val="00DD7FAE"/>
    <w:rsid w:val="00DE0E4E"/>
    <w:rsid w:val="00DE1F5A"/>
    <w:rsid w:val="00DE321C"/>
    <w:rsid w:val="00DE4E8E"/>
    <w:rsid w:val="00DE5422"/>
    <w:rsid w:val="00DE60CC"/>
    <w:rsid w:val="00DE65E5"/>
    <w:rsid w:val="00DF4998"/>
    <w:rsid w:val="00DF52CC"/>
    <w:rsid w:val="00DF6FBD"/>
    <w:rsid w:val="00E04066"/>
    <w:rsid w:val="00E06416"/>
    <w:rsid w:val="00E15354"/>
    <w:rsid w:val="00E15982"/>
    <w:rsid w:val="00E15C45"/>
    <w:rsid w:val="00E164E3"/>
    <w:rsid w:val="00E17073"/>
    <w:rsid w:val="00E20329"/>
    <w:rsid w:val="00E2151A"/>
    <w:rsid w:val="00E223A3"/>
    <w:rsid w:val="00E22A20"/>
    <w:rsid w:val="00E22DEF"/>
    <w:rsid w:val="00E23B78"/>
    <w:rsid w:val="00E24DA4"/>
    <w:rsid w:val="00E26B32"/>
    <w:rsid w:val="00E31CD4"/>
    <w:rsid w:val="00E31E60"/>
    <w:rsid w:val="00E32A8F"/>
    <w:rsid w:val="00E33E08"/>
    <w:rsid w:val="00E35028"/>
    <w:rsid w:val="00E407B6"/>
    <w:rsid w:val="00E40ED3"/>
    <w:rsid w:val="00E41DCD"/>
    <w:rsid w:val="00E41DE0"/>
    <w:rsid w:val="00E41EF1"/>
    <w:rsid w:val="00E422E0"/>
    <w:rsid w:val="00E42942"/>
    <w:rsid w:val="00E43476"/>
    <w:rsid w:val="00E4622C"/>
    <w:rsid w:val="00E477E8"/>
    <w:rsid w:val="00E50078"/>
    <w:rsid w:val="00E50083"/>
    <w:rsid w:val="00E50743"/>
    <w:rsid w:val="00E53F90"/>
    <w:rsid w:val="00E54020"/>
    <w:rsid w:val="00E543D9"/>
    <w:rsid w:val="00E55254"/>
    <w:rsid w:val="00E55536"/>
    <w:rsid w:val="00E56B85"/>
    <w:rsid w:val="00E65A0A"/>
    <w:rsid w:val="00E669FB"/>
    <w:rsid w:val="00E675F1"/>
    <w:rsid w:val="00E7061D"/>
    <w:rsid w:val="00E71BDF"/>
    <w:rsid w:val="00E71F12"/>
    <w:rsid w:val="00E72E8A"/>
    <w:rsid w:val="00E738A7"/>
    <w:rsid w:val="00E739E4"/>
    <w:rsid w:val="00E750AC"/>
    <w:rsid w:val="00E75CCB"/>
    <w:rsid w:val="00E7708A"/>
    <w:rsid w:val="00E770D8"/>
    <w:rsid w:val="00E77EDB"/>
    <w:rsid w:val="00E8245B"/>
    <w:rsid w:val="00E82C21"/>
    <w:rsid w:val="00E82F59"/>
    <w:rsid w:val="00E833AF"/>
    <w:rsid w:val="00E83CA7"/>
    <w:rsid w:val="00E87816"/>
    <w:rsid w:val="00E90673"/>
    <w:rsid w:val="00E92192"/>
    <w:rsid w:val="00E93BB6"/>
    <w:rsid w:val="00E94015"/>
    <w:rsid w:val="00E95A71"/>
    <w:rsid w:val="00E97377"/>
    <w:rsid w:val="00EA030C"/>
    <w:rsid w:val="00EA07A7"/>
    <w:rsid w:val="00EA2B81"/>
    <w:rsid w:val="00EA318B"/>
    <w:rsid w:val="00EA473C"/>
    <w:rsid w:val="00EA5761"/>
    <w:rsid w:val="00EA5B68"/>
    <w:rsid w:val="00EA6F01"/>
    <w:rsid w:val="00EA7039"/>
    <w:rsid w:val="00EA77FE"/>
    <w:rsid w:val="00EB0926"/>
    <w:rsid w:val="00EB1C8E"/>
    <w:rsid w:val="00EB1DEB"/>
    <w:rsid w:val="00EB29C3"/>
    <w:rsid w:val="00EB363A"/>
    <w:rsid w:val="00EB44A4"/>
    <w:rsid w:val="00EB4824"/>
    <w:rsid w:val="00EB6068"/>
    <w:rsid w:val="00EB7014"/>
    <w:rsid w:val="00EB726B"/>
    <w:rsid w:val="00EC11CD"/>
    <w:rsid w:val="00EC2006"/>
    <w:rsid w:val="00EC3EEA"/>
    <w:rsid w:val="00EC5CDE"/>
    <w:rsid w:val="00EC70FA"/>
    <w:rsid w:val="00ED17A2"/>
    <w:rsid w:val="00ED2D9F"/>
    <w:rsid w:val="00ED3077"/>
    <w:rsid w:val="00ED487E"/>
    <w:rsid w:val="00ED5111"/>
    <w:rsid w:val="00ED64F1"/>
    <w:rsid w:val="00ED656C"/>
    <w:rsid w:val="00EE170A"/>
    <w:rsid w:val="00EE33A1"/>
    <w:rsid w:val="00EE7A0D"/>
    <w:rsid w:val="00EF295D"/>
    <w:rsid w:val="00EF2D3C"/>
    <w:rsid w:val="00EF4286"/>
    <w:rsid w:val="00EF6725"/>
    <w:rsid w:val="00EF70B2"/>
    <w:rsid w:val="00F00F04"/>
    <w:rsid w:val="00F0156E"/>
    <w:rsid w:val="00F01B39"/>
    <w:rsid w:val="00F021E8"/>
    <w:rsid w:val="00F0222C"/>
    <w:rsid w:val="00F06500"/>
    <w:rsid w:val="00F07AC9"/>
    <w:rsid w:val="00F12312"/>
    <w:rsid w:val="00F128ED"/>
    <w:rsid w:val="00F14A61"/>
    <w:rsid w:val="00F16C4F"/>
    <w:rsid w:val="00F177C7"/>
    <w:rsid w:val="00F17CE1"/>
    <w:rsid w:val="00F17EBF"/>
    <w:rsid w:val="00F2115C"/>
    <w:rsid w:val="00F21F1E"/>
    <w:rsid w:val="00F22042"/>
    <w:rsid w:val="00F22ABA"/>
    <w:rsid w:val="00F234EF"/>
    <w:rsid w:val="00F26355"/>
    <w:rsid w:val="00F2756B"/>
    <w:rsid w:val="00F30D2D"/>
    <w:rsid w:val="00F31BFF"/>
    <w:rsid w:val="00F34083"/>
    <w:rsid w:val="00F34087"/>
    <w:rsid w:val="00F349C9"/>
    <w:rsid w:val="00F36B12"/>
    <w:rsid w:val="00F3712C"/>
    <w:rsid w:val="00F423CC"/>
    <w:rsid w:val="00F427BA"/>
    <w:rsid w:val="00F47C64"/>
    <w:rsid w:val="00F504CA"/>
    <w:rsid w:val="00F60F9F"/>
    <w:rsid w:val="00F635D9"/>
    <w:rsid w:val="00F64F08"/>
    <w:rsid w:val="00F70055"/>
    <w:rsid w:val="00F71150"/>
    <w:rsid w:val="00F71D46"/>
    <w:rsid w:val="00F734F5"/>
    <w:rsid w:val="00F73B5B"/>
    <w:rsid w:val="00F813B4"/>
    <w:rsid w:val="00F908AA"/>
    <w:rsid w:val="00F90EA5"/>
    <w:rsid w:val="00F91088"/>
    <w:rsid w:val="00F91F5A"/>
    <w:rsid w:val="00F959AE"/>
    <w:rsid w:val="00F966B1"/>
    <w:rsid w:val="00F96DCD"/>
    <w:rsid w:val="00F979B2"/>
    <w:rsid w:val="00F97D48"/>
    <w:rsid w:val="00FA0311"/>
    <w:rsid w:val="00FA0412"/>
    <w:rsid w:val="00FA1489"/>
    <w:rsid w:val="00FA3666"/>
    <w:rsid w:val="00FA39E1"/>
    <w:rsid w:val="00FA53DE"/>
    <w:rsid w:val="00FA5C59"/>
    <w:rsid w:val="00FA7296"/>
    <w:rsid w:val="00FA792C"/>
    <w:rsid w:val="00FA7A7A"/>
    <w:rsid w:val="00FB269D"/>
    <w:rsid w:val="00FB2CF7"/>
    <w:rsid w:val="00FB5CFE"/>
    <w:rsid w:val="00FB6D50"/>
    <w:rsid w:val="00FD50F0"/>
    <w:rsid w:val="00FD640F"/>
    <w:rsid w:val="00FD6B4C"/>
    <w:rsid w:val="00FD7069"/>
    <w:rsid w:val="00FD759C"/>
    <w:rsid w:val="00FE0553"/>
    <w:rsid w:val="00FE2441"/>
    <w:rsid w:val="00FE25D0"/>
    <w:rsid w:val="00FE3456"/>
    <w:rsid w:val="00FE44AA"/>
    <w:rsid w:val="00FE4DC5"/>
    <w:rsid w:val="00FE4DE0"/>
    <w:rsid w:val="00FE6C19"/>
    <w:rsid w:val="00FE6CB3"/>
    <w:rsid w:val="00FF40AA"/>
    <w:rsid w:val="00FF411C"/>
    <w:rsid w:val="00FF4E99"/>
    <w:rsid w:val="00FF53C5"/>
    <w:rsid w:val="00FF53EC"/>
    <w:rsid w:val="00FF54D0"/>
    <w:rsid w:val="00FF6EB2"/>
    <w:rsid w:val="0136FE69"/>
    <w:rsid w:val="0198B422"/>
    <w:rsid w:val="01F571AD"/>
    <w:rsid w:val="0279EF2E"/>
    <w:rsid w:val="04300130"/>
    <w:rsid w:val="04B7912E"/>
    <w:rsid w:val="04C07AD3"/>
    <w:rsid w:val="058DFDDF"/>
    <w:rsid w:val="06617538"/>
    <w:rsid w:val="06A9617F"/>
    <w:rsid w:val="0920311D"/>
    <w:rsid w:val="099D5712"/>
    <w:rsid w:val="0A0D684B"/>
    <w:rsid w:val="0A29F444"/>
    <w:rsid w:val="0B8A1C02"/>
    <w:rsid w:val="0BBCCA14"/>
    <w:rsid w:val="0BE73F2F"/>
    <w:rsid w:val="0C03CB28"/>
    <w:rsid w:val="0C33BE02"/>
    <w:rsid w:val="0E57D887"/>
    <w:rsid w:val="0E672A48"/>
    <w:rsid w:val="0F34CB1F"/>
    <w:rsid w:val="13D9C02F"/>
    <w:rsid w:val="16B0A664"/>
    <w:rsid w:val="17558D97"/>
    <w:rsid w:val="19875ABB"/>
    <w:rsid w:val="19D43E35"/>
    <w:rsid w:val="1B6AF118"/>
    <w:rsid w:val="1BAFB536"/>
    <w:rsid w:val="1D29A666"/>
    <w:rsid w:val="1D599940"/>
    <w:rsid w:val="1D8696C2"/>
    <w:rsid w:val="1D9E902F"/>
    <w:rsid w:val="1E2D8F9E"/>
    <w:rsid w:val="1E5B0944"/>
    <w:rsid w:val="1F484168"/>
    <w:rsid w:val="231911AB"/>
    <w:rsid w:val="251794DA"/>
    <w:rsid w:val="2A7A1066"/>
    <w:rsid w:val="2AB9EACA"/>
    <w:rsid w:val="2EC760C5"/>
    <w:rsid w:val="32C01832"/>
    <w:rsid w:val="349C42E2"/>
    <w:rsid w:val="36286C03"/>
    <w:rsid w:val="38740487"/>
    <w:rsid w:val="38DE7114"/>
    <w:rsid w:val="3A05EF24"/>
    <w:rsid w:val="3A2E2749"/>
    <w:rsid w:val="3AD3405A"/>
    <w:rsid w:val="3ADC8EA6"/>
    <w:rsid w:val="3B6616E2"/>
    <w:rsid w:val="3C248A26"/>
    <w:rsid w:val="3D3FEDC6"/>
    <w:rsid w:val="3E4357F9"/>
    <w:rsid w:val="3F16CF52"/>
    <w:rsid w:val="4093B5DA"/>
    <w:rsid w:val="40D879F8"/>
    <w:rsid w:val="425E28EB"/>
    <w:rsid w:val="4292884C"/>
    <w:rsid w:val="429A576F"/>
    <w:rsid w:val="42DAEBF3"/>
    <w:rsid w:val="43E285C0"/>
    <w:rsid w:val="45244617"/>
    <w:rsid w:val="46018664"/>
    <w:rsid w:val="4615FC4C"/>
    <w:rsid w:val="461E125D"/>
    <w:rsid w:val="4681F325"/>
    <w:rsid w:val="46D03860"/>
    <w:rsid w:val="47C16AA2"/>
    <w:rsid w:val="47C2FE39"/>
    <w:rsid w:val="49E77882"/>
    <w:rsid w:val="4A2B8858"/>
    <w:rsid w:val="4A71AE37"/>
    <w:rsid w:val="4A90844C"/>
    <w:rsid w:val="4BCF136E"/>
    <w:rsid w:val="4C126A40"/>
    <w:rsid w:val="4C35BFC3"/>
    <w:rsid w:val="4DDC0DF7"/>
    <w:rsid w:val="4DEC4CAF"/>
    <w:rsid w:val="4ED7F046"/>
    <w:rsid w:val="50FE132C"/>
    <w:rsid w:val="512ADDDD"/>
    <w:rsid w:val="515B0388"/>
    <w:rsid w:val="51A8DACE"/>
    <w:rsid w:val="51E982FC"/>
    <w:rsid w:val="51E983F2"/>
    <w:rsid w:val="52AF7E24"/>
    <w:rsid w:val="5331B243"/>
    <w:rsid w:val="53639508"/>
    <w:rsid w:val="5470EB60"/>
    <w:rsid w:val="54F38FBA"/>
    <w:rsid w:val="559A0991"/>
    <w:rsid w:val="56FA314F"/>
    <w:rsid w:val="57A6C5D7"/>
    <w:rsid w:val="58774AA8"/>
    <w:rsid w:val="58A41559"/>
    <w:rsid w:val="58CC804F"/>
    <w:rsid w:val="59D77266"/>
    <w:rsid w:val="5A1433F8"/>
    <w:rsid w:val="5A208234"/>
    <w:rsid w:val="5BDB1EA3"/>
    <w:rsid w:val="5C6C9465"/>
    <w:rsid w:val="5D58052B"/>
    <w:rsid w:val="5DB51257"/>
    <w:rsid w:val="5E2EA4AD"/>
    <w:rsid w:val="609203CD"/>
    <w:rsid w:val="60A707E2"/>
    <w:rsid w:val="6138B075"/>
    <w:rsid w:val="623BB506"/>
    <w:rsid w:val="69CA130C"/>
    <w:rsid w:val="6AB856B5"/>
    <w:rsid w:val="6BBBF3B9"/>
    <w:rsid w:val="6C7B612E"/>
    <w:rsid w:val="6C8F3841"/>
    <w:rsid w:val="6CF5885B"/>
    <w:rsid w:val="6DC3C43E"/>
    <w:rsid w:val="6E5211D7"/>
    <w:rsid w:val="6EDDC61D"/>
    <w:rsid w:val="782DDF25"/>
    <w:rsid w:val="7B0AED6B"/>
    <w:rsid w:val="7DDD793E"/>
    <w:rsid w:val="7DFCFFC6"/>
    <w:rsid w:val="7E7739DE"/>
    <w:rsid w:val="7EBC6F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7D54B7"/>
  <w15:docId w15:val="{9D275770-7DBB-426F-938B-955B8F13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040E1E"/>
    <w:pPr>
      <w:spacing w:line="280" w:lineRule="auto"/>
    </w:pPr>
  </w:style>
  <w:style w:type="paragraph" w:styleId="Heading1">
    <w:name w:val="heading 1"/>
    <w:basedOn w:val="Normal"/>
    <w:next w:val="SCVbody"/>
    <w:link w:val="Heading1Char"/>
    <w:qFormat/>
    <w:rsid w:val="0065503B"/>
    <w:pPr>
      <w:keepNext/>
      <w:keepLines/>
      <w:pageBreakBefore/>
      <w:suppressAutoHyphens/>
      <w:spacing w:before="0" w:after="320" w:line="240" w:lineRule="auto"/>
      <w:outlineLvl w:val="0"/>
    </w:pPr>
    <w:rPr>
      <w:rFonts w:asciiTheme="majorHAnsi" w:eastAsiaTheme="majorEastAsia" w:hAnsiTheme="majorHAnsi" w:cstheme="majorBidi"/>
      <w:color w:val="0063A5" w:themeColor="text2"/>
      <w:sz w:val="44"/>
      <w:szCs w:val="44"/>
    </w:rPr>
  </w:style>
  <w:style w:type="paragraph" w:styleId="Heading2">
    <w:name w:val="heading 2"/>
    <w:basedOn w:val="Normal"/>
    <w:next w:val="SCVbody"/>
    <w:link w:val="Heading2Char"/>
    <w:qFormat/>
    <w:rsid w:val="0065503B"/>
    <w:pPr>
      <w:keepNext/>
      <w:keepLines/>
      <w:spacing w:before="280" w:after="80" w:line="240" w:lineRule="auto"/>
      <w:outlineLvl w:val="1"/>
    </w:pPr>
    <w:rPr>
      <w:rFonts w:asciiTheme="majorHAnsi" w:eastAsiaTheme="majorEastAsia" w:hAnsiTheme="majorHAnsi" w:cstheme="majorBidi"/>
      <w:sz w:val="24"/>
      <w:szCs w:val="24"/>
    </w:rPr>
  </w:style>
  <w:style w:type="paragraph" w:styleId="Heading3">
    <w:name w:val="heading 3"/>
    <w:basedOn w:val="Normal"/>
    <w:next w:val="SCVbody"/>
    <w:link w:val="Heading3Char"/>
    <w:qFormat/>
    <w:rsid w:val="0065503B"/>
    <w:pPr>
      <w:keepNext/>
      <w:keepLines/>
      <w:spacing w:before="240" w:after="80" w:line="240" w:lineRule="auto"/>
      <w:outlineLvl w:val="2"/>
    </w:pPr>
    <w:rPr>
      <w:rFonts w:asciiTheme="majorHAnsi" w:eastAsiaTheme="majorEastAsia" w:hAnsiTheme="majorHAnsi" w:cstheme="majorBidi"/>
      <w:color w:val="0063A5" w:themeColor="text2"/>
      <w:sz w:val="23"/>
      <w:szCs w:val="23"/>
    </w:rPr>
  </w:style>
  <w:style w:type="paragraph" w:styleId="Heading4">
    <w:name w:val="heading 4"/>
    <w:basedOn w:val="Normal"/>
    <w:next w:val="SCVbody"/>
    <w:link w:val="Heading4Char"/>
    <w:qFormat/>
    <w:rsid w:val="0065503B"/>
    <w:pPr>
      <w:keepNext/>
      <w:keepLines/>
      <w:spacing w:before="320" w:after="70" w:line="240" w:lineRule="auto"/>
      <w:outlineLvl w:val="3"/>
    </w:pPr>
    <w:rPr>
      <w:rFonts w:asciiTheme="majorHAnsi" w:eastAsiaTheme="majorEastAsia" w:hAnsiTheme="majorHAnsi" w:cstheme="majorBidi"/>
      <w:iCs/>
      <w:color w:val="000000" w:themeColor="text1"/>
    </w:rPr>
  </w:style>
  <w:style w:type="paragraph" w:styleId="Heading5">
    <w:name w:val="heading 5"/>
    <w:basedOn w:val="Normal"/>
    <w:next w:val="SCVbody"/>
    <w:link w:val="Heading5Char"/>
    <w:uiPriority w:val="1"/>
    <w:semiHidden/>
    <w:qFormat/>
    <w:rsid w:val="0065503B"/>
    <w:pPr>
      <w:keepNext/>
      <w:keepLines/>
      <w:spacing w:before="280" w:after="80" w:line="264" w:lineRule="auto"/>
      <w:outlineLvl w:val="4"/>
    </w:pPr>
    <w:rPr>
      <w:rFonts w:asciiTheme="majorHAnsi" w:eastAsiaTheme="majorEastAsia" w:hAnsiTheme="majorHAnsi" w:cstheme="majorBidi"/>
      <w:color w:val="306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6550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040E1E"/>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DFED" w:themeColor="accent2" w:themeTint="66"/>
          <w:right w:val="nil"/>
          <w:insideH w:val="nil"/>
          <w:insideV w:val="nil"/>
          <w:tl2br w:val="nil"/>
          <w:tr2bl w:val="nil"/>
        </w:tcBorders>
        <w:shd w:val="clear" w:color="auto" w:fill="E6EFF6" w:themeFill="background2"/>
      </w:tcPr>
    </w:tblStylePr>
  </w:style>
  <w:style w:type="table" w:styleId="LightList-Accent4">
    <w:name w:val="Light List Accent 4"/>
    <w:basedOn w:val="TableNormal"/>
    <w:uiPriority w:val="61"/>
    <w:semiHidden/>
    <w:rsid w:val="0065503B"/>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65503B"/>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65503B"/>
    <w:pPr>
      <w:keepNext/>
      <w:keepLines/>
      <w:pBdr>
        <w:bottom w:val="single" w:sz="2" w:space="1" w:color="000016"/>
        <w:between w:val="single" w:sz="2" w:space="1" w:color="000000" w:themeColor="text1"/>
      </w:pBdr>
      <w:tabs>
        <w:tab w:val="right" w:pos="10206"/>
      </w:tabs>
      <w:spacing w:before="120" w:after="0" w:line="280" w:lineRule="atLeast"/>
      <w:ind w:right="57"/>
    </w:pPr>
    <w:rPr>
      <w:rFonts w:asciiTheme="majorHAnsi" w:hAnsiTheme="majorHAnsi"/>
      <w:bCs/>
      <w:noProof/>
      <w:lang w:eastAsia="en-US"/>
    </w:rPr>
  </w:style>
  <w:style w:type="paragraph" w:styleId="TOC2">
    <w:name w:val="toc 2"/>
    <w:basedOn w:val="Normal"/>
    <w:next w:val="Normal"/>
    <w:uiPriority w:val="39"/>
    <w:rsid w:val="0065503B"/>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rFonts w:asciiTheme="majorHAnsi" w:hAnsiTheme="majorHAnsi"/>
      <w:bCs/>
      <w:noProof/>
      <w:color w:val="0063A5" w:themeColor="text2"/>
    </w:rPr>
  </w:style>
  <w:style w:type="paragraph" w:styleId="TOC3">
    <w:name w:val="toc 3"/>
    <w:basedOn w:val="TOC2"/>
    <w:next w:val="Normal"/>
    <w:uiPriority w:val="39"/>
    <w:rsid w:val="0065503B"/>
    <w:pPr>
      <w:spacing w:before="0" w:line="280" w:lineRule="atLeast"/>
    </w:pPr>
    <w:rPr>
      <w:b/>
      <w:bCs w:val="0"/>
      <w:color w:val="000000" w:themeColor="text1"/>
    </w:rPr>
  </w:style>
  <w:style w:type="paragraph" w:styleId="Index1">
    <w:name w:val="index 1"/>
    <w:basedOn w:val="Normal"/>
    <w:next w:val="Normal"/>
    <w:uiPriority w:val="1"/>
    <w:semiHidden/>
    <w:rsid w:val="0065503B"/>
    <w:pPr>
      <w:spacing w:after="60" w:line="240" w:lineRule="auto"/>
    </w:pPr>
    <w:rPr>
      <w:sz w:val="16"/>
    </w:rPr>
  </w:style>
  <w:style w:type="paragraph" w:styleId="Index2">
    <w:name w:val="index 2"/>
    <w:basedOn w:val="Normal"/>
    <w:next w:val="Normal"/>
    <w:uiPriority w:val="1"/>
    <w:semiHidden/>
    <w:rsid w:val="0065503B"/>
    <w:pPr>
      <w:spacing w:after="0" w:line="240" w:lineRule="auto"/>
      <w:ind w:left="216"/>
    </w:pPr>
    <w:rPr>
      <w:sz w:val="16"/>
      <w:szCs w:val="16"/>
    </w:rPr>
  </w:style>
  <w:style w:type="character" w:styleId="Hyperlink">
    <w:name w:val="Hyperlink"/>
    <w:basedOn w:val="DefaultParagraphFont"/>
    <w:uiPriority w:val="99"/>
    <w:rsid w:val="0065503B"/>
    <w:rPr>
      <w:color w:val="004C97"/>
      <w:u w:val="single"/>
    </w:rPr>
  </w:style>
  <w:style w:type="character" w:customStyle="1" w:styleId="Heading1Char">
    <w:name w:val="Heading 1 Char"/>
    <w:basedOn w:val="DefaultParagraphFont"/>
    <w:link w:val="Heading1"/>
    <w:rsid w:val="0065503B"/>
    <w:rPr>
      <w:rFonts w:asciiTheme="majorHAnsi" w:eastAsiaTheme="majorEastAsia" w:hAnsiTheme="majorHAnsi" w:cstheme="majorBidi"/>
      <w:color w:val="0063A5" w:themeColor="text2"/>
      <w:sz w:val="44"/>
      <w:szCs w:val="44"/>
    </w:rPr>
  </w:style>
  <w:style w:type="character" w:customStyle="1" w:styleId="Heading2Char">
    <w:name w:val="Heading 2 Char"/>
    <w:basedOn w:val="DefaultParagraphFont"/>
    <w:link w:val="Heading2"/>
    <w:rsid w:val="0065503B"/>
    <w:rPr>
      <w:rFonts w:asciiTheme="majorHAnsi" w:eastAsiaTheme="majorEastAsia" w:hAnsiTheme="majorHAnsi" w:cstheme="majorBidi"/>
      <w:sz w:val="24"/>
      <w:szCs w:val="24"/>
    </w:rPr>
  </w:style>
  <w:style w:type="paragraph" w:customStyle="1" w:styleId="SCVbullet1">
    <w:name w:val="SCV bullet 1"/>
    <w:basedOn w:val="SCVbody"/>
    <w:uiPriority w:val="9"/>
    <w:qFormat/>
    <w:rsid w:val="00EA5B68"/>
    <w:pPr>
      <w:numPr>
        <w:numId w:val="26"/>
      </w:numPr>
      <w:spacing w:before="60" w:after="60"/>
    </w:pPr>
  </w:style>
  <w:style w:type="paragraph" w:customStyle="1" w:styleId="SCVbullet2">
    <w:name w:val="SCV bullet 2"/>
    <w:basedOn w:val="SCVbullet1"/>
    <w:uiPriority w:val="9"/>
    <w:qFormat/>
    <w:rsid w:val="00EA5B68"/>
    <w:pPr>
      <w:numPr>
        <w:ilvl w:val="1"/>
      </w:numPr>
    </w:pPr>
  </w:style>
  <w:style w:type="paragraph" w:styleId="Quote">
    <w:name w:val="Quote"/>
    <w:basedOn w:val="Normal"/>
    <w:next w:val="Normal"/>
    <w:link w:val="QuoteChar"/>
    <w:uiPriority w:val="1"/>
    <w:semiHidden/>
    <w:qFormat/>
    <w:rsid w:val="0065503B"/>
    <w:pPr>
      <w:ind w:left="567" w:right="567"/>
      <w:jc w:val="center"/>
    </w:pPr>
    <w:rPr>
      <w:i/>
      <w:iCs/>
      <w:color w:val="000000" w:themeColor="text1"/>
    </w:rPr>
  </w:style>
  <w:style w:type="paragraph" w:customStyle="1" w:styleId="SCVbody">
    <w:name w:val="SCV body"/>
    <w:basedOn w:val="Normal"/>
    <w:link w:val="SCVbodyChar"/>
    <w:qFormat/>
    <w:rsid w:val="0065503B"/>
    <w:pPr>
      <w:spacing w:line="280" w:lineRule="atLeast"/>
    </w:pPr>
    <w:rPr>
      <w:sz w:val="19"/>
      <w:szCs w:val="19"/>
    </w:rPr>
  </w:style>
  <w:style w:type="paragraph" w:customStyle="1" w:styleId="SCVfigurecaption">
    <w:name w:val="SCV figure caption"/>
    <w:basedOn w:val="SCVtablecaption"/>
    <w:uiPriority w:val="14"/>
    <w:qFormat/>
    <w:rsid w:val="0065503B"/>
    <w:pPr>
      <w:spacing w:before="300"/>
    </w:pPr>
  </w:style>
  <w:style w:type="paragraph" w:customStyle="1" w:styleId="SCVbodyafterheading">
    <w:name w:val="SCV body after heading"/>
    <w:basedOn w:val="SCVbody"/>
    <w:qFormat/>
    <w:rsid w:val="0065503B"/>
    <w:pPr>
      <w:spacing w:before="0"/>
    </w:pPr>
  </w:style>
  <w:style w:type="character" w:customStyle="1" w:styleId="Heading3Char">
    <w:name w:val="Heading 3 Char"/>
    <w:basedOn w:val="DefaultParagraphFont"/>
    <w:link w:val="Heading3"/>
    <w:rsid w:val="0065503B"/>
    <w:rPr>
      <w:rFonts w:asciiTheme="majorHAnsi" w:eastAsiaTheme="majorEastAsia" w:hAnsiTheme="majorHAnsi" w:cstheme="majorBidi"/>
      <w:color w:val="0063A5" w:themeColor="text2"/>
      <w:sz w:val="23"/>
      <w:szCs w:val="23"/>
    </w:rPr>
  </w:style>
  <w:style w:type="numbering" w:customStyle="1" w:styleId="ZZBullets">
    <w:name w:val="ZZ Bullets"/>
    <w:basedOn w:val="NoList"/>
    <w:uiPriority w:val="99"/>
    <w:rsid w:val="00EA5B68"/>
    <w:pPr>
      <w:numPr>
        <w:numId w:val="6"/>
      </w:numPr>
    </w:pPr>
  </w:style>
  <w:style w:type="character" w:customStyle="1" w:styleId="Heading4Char">
    <w:name w:val="Heading 4 Char"/>
    <w:basedOn w:val="DefaultParagraphFont"/>
    <w:link w:val="Heading4"/>
    <w:rsid w:val="0065503B"/>
    <w:rPr>
      <w:rFonts w:asciiTheme="majorHAnsi" w:eastAsiaTheme="majorEastAsia" w:hAnsiTheme="majorHAnsi" w:cstheme="majorBidi"/>
      <w:iCs/>
      <w:color w:val="000000" w:themeColor="text1"/>
    </w:rPr>
  </w:style>
  <w:style w:type="paragraph" w:customStyle="1" w:styleId="SCVreporttitle">
    <w:name w:val="SCV report title"/>
    <w:uiPriority w:val="29"/>
    <w:rsid w:val="0065503B"/>
    <w:pPr>
      <w:keepLines/>
      <w:pBdr>
        <w:top w:val="single" w:sz="24" w:space="24" w:color="CCCCD0"/>
      </w:pBdr>
      <w:suppressAutoHyphens/>
      <w:spacing w:before="480" w:line="216" w:lineRule="auto"/>
    </w:pPr>
    <w:rPr>
      <w:rFonts w:asciiTheme="majorHAnsi" w:eastAsia="Times New Roman" w:hAnsiTheme="majorHAnsi" w:cstheme="majorHAnsi"/>
      <w:bCs/>
      <w:color w:val="FFFFFF" w:themeColor="background1"/>
      <w:spacing w:val="-2"/>
      <w:sz w:val="72"/>
      <w:szCs w:val="72"/>
    </w:rPr>
  </w:style>
  <w:style w:type="paragraph" w:customStyle="1" w:styleId="SCVtablefigurenote">
    <w:name w:val="SCV table/figure note"/>
    <w:basedOn w:val="Normal"/>
    <w:uiPriority w:val="29"/>
    <w:rsid w:val="0065503B"/>
    <w:pPr>
      <w:spacing w:before="80" w:after="80" w:line="264" w:lineRule="auto"/>
    </w:pPr>
    <w:rPr>
      <w:sz w:val="17"/>
      <w:szCs w:val="17"/>
    </w:rPr>
  </w:style>
  <w:style w:type="paragraph" w:customStyle="1" w:styleId="Spacer">
    <w:name w:val="Spacer"/>
    <w:basedOn w:val="Normal"/>
    <w:uiPriority w:val="1"/>
    <w:semiHidden/>
    <w:qFormat/>
    <w:rsid w:val="0065503B"/>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65503B"/>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65503B"/>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65503B"/>
    <w:pPr>
      <w:spacing w:after="100"/>
      <w:ind w:left="600"/>
    </w:pPr>
  </w:style>
  <w:style w:type="paragraph" w:styleId="Title">
    <w:name w:val="Title"/>
    <w:next w:val="Subtitle"/>
    <w:link w:val="TitleChar"/>
    <w:uiPriority w:val="99"/>
    <w:semiHidden/>
    <w:rsid w:val="0065503B"/>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63A5" w:themeColor="text2"/>
      <w:spacing w:val="-2"/>
      <w:sz w:val="76"/>
      <w:szCs w:val="22"/>
    </w:rPr>
  </w:style>
  <w:style w:type="character" w:customStyle="1" w:styleId="TitleChar">
    <w:name w:val="Title Char"/>
    <w:basedOn w:val="DefaultParagraphFont"/>
    <w:link w:val="Title"/>
    <w:uiPriority w:val="99"/>
    <w:semiHidden/>
    <w:rsid w:val="0065503B"/>
    <w:rPr>
      <w:rFonts w:asciiTheme="majorHAnsi" w:eastAsia="Times New Roman" w:hAnsiTheme="majorHAnsi" w:cstheme="majorHAnsi"/>
      <w:b/>
      <w:color w:val="0063A5" w:themeColor="text2"/>
      <w:spacing w:val="-2"/>
      <w:sz w:val="76"/>
      <w:szCs w:val="22"/>
    </w:rPr>
  </w:style>
  <w:style w:type="paragraph" w:styleId="BalloonText">
    <w:name w:val="Balloon Text"/>
    <w:basedOn w:val="Normal"/>
    <w:link w:val="BalloonTextChar"/>
    <w:uiPriority w:val="1"/>
    <w:semiHidden/>
    <w:rsid w:val="00655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65503B"/>
    <w:rPr>
      <w:rFonts w:ascii="Tahoma" w:hAnsi="Tahoma" w:cs="Tahoma"/>
      <w:sz w:val="16"/>
      <w:szCs w:val="16"/>
    </w:rPr>
  </w:style>
  <w:style w:type="character" w:customStyle="1" w:styleId="QuoteChar">
    <w:name w:val="Quote Char"/>
    <w:basedOn w:val="DefaultParagraphFont"/>
    <w:link w:val="Quote"/>
    <w:uiPriority w:val="1"/>
    <w:semiHidden/>
    <w:rsid w:val="0065503B"/>
    <w:rPr>
      <w:i/>
      <w:iCs/>
      <w:color w:val="000000" w:themeColor="text1"/>
    </w:rPr>
  </w:style>
  <w:style w:type="paragraph" w:styleId="IndexHeading">
    <w:name w:val="index heading"/>
    <w:basedOn w:val="Normal"/>
    <w:next w:val="Index1"/>
    <w:uiPriority w:val="1"/>
    <w:semiHidden/>
    <w:rsid w:val="0065503B"/>
    <w:rPr>
      <w:rFonts w:asciiTheme="majorHAnsi" w:eastAsiaTheme="majorEastAsia" w:hAnsiTheme="majorHAnsi" w:cstheme="majorBidi"/>
      <w:b/>
      <w:bCs/>
    </w:rPr>
  </w:style>
  <w:style w:type="paragraph" w:styleId="Header">
    <w:name w:val="header"/>
    <w:basedOn w:val="Normal"/>
    <w:link w:val="HeaderChar"/>
    <w:uiPriority w:val="99"/>
    <w:rsid w:val="0065503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5503B"/>
  </w:style>
  <w:style w:type="paragraph" w:styleId="Footer">
    <w:name w:val="footer"/>
    <w:basedOn w:val="Normal"/>
    <w:link w:val="FooterChar"/>
    <w:uiPriority w:val="99"/>
    <w:rsid w:val="0065503B"/>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65503B"/>
    <w:rPr>
      <w:noProof/>
      <w:sz w:val="13"/>
      <w:szCs w:val="18"/>
    </w:rPr>
  </w:style>
  <w:style w:type="character" w:styleId="PageNumber">
    <w:name w:val="page number"/>
    <w:uiPriority w:val="1"/>
    <w:semiHidden/>
    <w:rsid w:val="0065503B"/>
    <w:rPr>
      <w:rFonts w:asciiTheme="minorHAnsi" w:hAnsiTheme="minorHAnsi"/>
      <w:b w:val="0"/>
      <w:color w:val="000000" w:themeColor="text1"/>
    </w:rPr>
  </w:style>
  <w:style w:type="paragraph" w:styleId="TOCHeading">
    <w:name w:val="TOC Heading"/>
    <w:basedOn w:val="Heading1"/>
    <w:next w:val="Normal"/>
    <w:uiPriority w:val="99"/>
    <w:semiHidden/>
    <w:rsid w:val="0065503B"/>
    <w:pPr>
      <w:outlineLvl w:val="9"/>
    </w:pPr>
    <w:rPr>
      <w:spacing w:val="2"/>
    </w:rPr>
  </w:style>
  <w:style w:type="paragraph" w:customStyle="1" w:styleId="NormalTight">
    <w:name w:val="Normal Tight"/>
    <w:uiPriority w:val="1"/>
    <w:semiHidden/>
    <w:rsid w:val="0065503B"/>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65503B"/>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65503B"/>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65503B"/>
    <w:pPr>
      <w:spacing w:before="5800"/>
      <w:ind w:right="1382"/>
    </w:pPr>
  </w:style>
  <w:style w:type="table" w:styleId="ColorfulGrid">
    <w:name w:val="Colorful Grid"/>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SCVreportsubtitle">
    <w:name w:val="SCV report subtitle"/>
    <w:uiPriority w:val="29"/>
    <w:rsid w:val="0065503B"/>
    <w:pPr>
      <w:keepLines/>
      <w:spacing w:before="0" w:line="240" w:lineRule="auto"/>
    </w:pPr>
    <w:rPr>
      <w:rFonts w:eastAsia="Times New Roman" w:cstheme="majorHAnsi"/>
      <w:color w:val="FFFFFF" w:themeColor="background1"/>
      <w:sz w:val="48"/>
      <w:szCs w:val="48"/>
    </w:rPr>
  </w:style>
  <w:style w:type="paragraph" w:customStyle="1" w:styleId="SCVfooterempty">
    <w:name w:val="SCV footer empty"/>
    <w:basedOn w:val="SCVfooter"/>
    <w:uiPriority w:val="98"/>
    <w:rsid w:val="0065503B"/>
    <w:pPr>
      <w:pBdr>
        <w:top w:val="none" w:sz="0" w:space="0" w:color="auto"/>
      </w:pBdr>
    </w:pPr>
    <w:rPr>
      <w:noProof w:val="0"/>
    </w:rPr>
  </w:style>
  <w:style w:type="paragraph" w:customStyle="1" w:styleId="SCVheaderempty">
    <w:name w:val="SCV header empty"/>
    <w:basedOn w:val="SCVfooterempty"/>
    <w:uiPriority w:val="1"/>
    <w:rsid w:val="0065503B"/>
  </w:style>
  <w:style w:type="paragraph" w:styleId="ListParagraph">
    <w:name w:val="List Paragraph"/>
    <w:basedOn w:val="Normal"/>
    <w:uiPriority w:val="34"/>
    <w:semiHidden/>
    <w:qFormat/>
    <w:rsid w:val="0065503B"/>
    <w:pPr>
      <w:ind w:left="720"/>
      <w:contextualSpacing/>
    </w:pPr>
  </w:style>
  <w:style w:type="paragraph" w:styleId="FootnoteText">
    <w:name w:val="footnote text"/>
    <w:basedOn w:val="Normal"/>
    <w:link w:val="FootnoteTextChar"/>
    <w:uiPriority w:val="8"/>
    <w:rsid w:val="0065503B"/>
    <w:pPr>
      <w:spacing w:before="0" w:after="60" w:line="288" w:lineRule="auto"/>
    </w:pPr>
    <w:rPr>
      <w:sz w:val="17"/>
      <w:szCs w:val="17"/>
    </w:rPr>
  </w:style>
  <w:style w:type="character" w:customStyle="1" w:styleId="FootnoteTextChar">
    <w:name w:val="Footnote Text Char"/>
    <w:basedOn w:val="DefaultParagraphFont"/>
    <w:link w:val="FootnoteText"/>
    <w:uiPriority w:val="8"/>
    <w:rsid w:val="0065503B"/>
    <w:rPr>
      <w:sz w:val="17"/>
      <w:szCs w:val="17"/>
    </w:rPr>
  </w:style>
  <w:style w:type="character" w:styleId="FootnoteReference">
    <w:name w:val="footnote reference"/>
    <w:basedOn w:val="DefaultParagraphFont"/>
    <w:uiPriority w:val="99"/>
    <w:rsid w:val="0065503B"/>
    <w:rPr>
      <w:vertAlign w:val="superscript"/>
    </w:rPr>
  </w:style>
  <w:style w:type="table" w:styleId="ColorfulGrid-Accent2">
    <w:name w:val="Colorful Grid Accent 2"/>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styleId="Caption">
    <w:name w:val="caption"/>
    <w:basedOn w:val="Normal"/>
    <w:next w:val="Normal"/>
    <w:uiPriority w:val="1"/>
    <w:semiHidden/>
    <w:rsid w:val="0065503B"/>
    <w:pPr>
      <w:spacing w:before="280" w:after="210" w:line="260" w:lineRule="atLeast"/>
    </w:pPr>
    <w:rPr>
      <w:b/>
      <w:bCs/>
      <w:color w:val="0063A5" w:themeColor="text2"/>
      <w:szCs w:val="18"/>
    </w:rPr>
  </w:style>
  <w:style w:type="paragraph" w:customStyle="1" w:styleId="SCVtablecaption">
    <w:name w:val="SCV table caption"/>
    <w:next w:val="SCVbody"/>
    <w:uiPriority w:val="20"/>
    <w:qFormat/>
    <w:rsid w:val="0065503B"/>
    <w:pPr>
      <w:keepNext/>
      <w:tabs>
        <w:tab w:val="left" w:pos="1080"/>
      </w:tabs>
      <w:spacing w:before="280" w:after="120" w:line="264" w:lineRule="auto"/>
    </w:pPr>
    <w:rPr>
      <w:rFonts w:asciiTheme="majorHAnsi" w:hAnsiTheme="majorHAnsi"/>
      <w:color w:val="0063A5" w:themeColor="text2"/>
      <w:spacing w:val="2"/>
      <w:szCs w:val="18"/>
    </w:rPr>
  </w:style>
  <w:style w:type="character" w:styleId="PlaceholderText">
    <w:name w:val="Placeholder Text"/>
    <w:basedOn w:val="DefaultParagraphFont"/>
    <w:uiPriority w:val="1"/>
    <w:semiHidden/>
    <w:rsid w:val="0065503B"/>
    <w:rPr>
      <w:color w:val="808080"/>
    </w:rPr>
  </w:style>
  <w:style w:type="paragraph" w:customStyle="1" w:styleId="SCVfooterodd">
    <w:name w:val="SCV footer odd"/>
    <w:basedOn w:val="SCVfootereven"/>
    <w:uiPriority w:val="99"/>
    <w:rsid w:val="0065503B"/>
    <w:pPr>
      <w:jc w:val="right"/>
    </w:pPr>
  </w:style>
  <w:style w:type="paragraph" w:customStyle="1" w:styleId="SCVfootereven">
    <w:name w:val="SCV footer even"/>
    <w:basedOn w:val="Footer"/>
    <w:uiPriority w:val="99"/>
    <w:rsid w:val="0065503B"/>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F16C4F"/>
    <w:pPr>
      <w:spacing w:before="400" w:after="240" w:line="280" w:lineRule="atLeast"/>
    </w:pPr>
    <w:rPr>
      <w:rFonts w:ascii="VIC Medium" w:hAnsi="VIC Medium"/>
      <w:bCs/>
      <w:color w:val="0063A5" w:themeColor="text2"/>
    </w:rPr>
  </w:style>
  <w:style w:type="paragraph" w:styleId="NoSpacing">
    <w:name w:val="No Spacing"/>
    <w:uiPriority w:val="1"/>
    <w:semiHidden/>
    <w:qFormat/>
    <w:rsid w:val="0065503B"/>
    <w:pPr>
      <w:spacing w:before="0" w:after="0" w:line="240" w:lineRule="auto"/>
    </w:pPr>
  </w:style>
  <w:style w:type="table" w:styleId="ColorfulGrid-Accent4">
    <w:name w:val="Colorful Grid Accent 4"/>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65503B"/>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65503B"/>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5503B"/>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65503B"/>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6550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65503B"/>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65503B"/>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65503B"/>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65503B"/>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65503B"/>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65503B"/>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6550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65503B"/>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65503B"/>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65503B"/>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65503B"/>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65503B"/>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65503B"/>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6550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65503B"/>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65503B"/>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65503B"/>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65503B"/>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65503B"/>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65503B"/>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6550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65503B"/>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65503B"/>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65503B"/>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65503B"/>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65503B"/>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65503B"/>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6550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6550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65503B"/>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65503B"/>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65503B"/>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65503B"/>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65503B"/>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65503B"/>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6550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65503B"/>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65503B"/>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65503B"/>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65503B"/>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65503B"/>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65503B"/>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65503B"/>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5503B"/>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65503B"/>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65503B"/>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65503B"/>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65503B"/>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65503B"/>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65503B"/>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65503B"/>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65503B"/>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65503B"/>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65503B"/>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65503B"/>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65503B"/>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65503B"/>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65503B"/>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65503B"/>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65503B"/>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65503B"/>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65503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65503B"/>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65503B"/>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65503B"/>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65503B"/>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65503B"/>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65503B"/>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6550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65503B"/>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65503B"/>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65503B"/>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65503B"/>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65503B"/>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65503B"/>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6550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65503B"/>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65503B"/>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65503B"/>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65503B"/>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65503B"/>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65503B"/>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65503B"/>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65503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65503B"/>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65503B"/>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65503B"/>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65503B"/>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65503B"/>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65503B"/>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65503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65503B"/>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65503B"/>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65503B"/>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65503B"/>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65503B"/>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65503B"/>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65503B"/>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5503B"/>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65503B"/>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65503B"/>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65503B"/>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65503B"/>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65503B"/>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65503B"/>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65503B"/>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5503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65503B"/>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5503B"/>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5503B"/>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5503B"/>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5503B"/>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5503B"/>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5503B"/>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5503B"/>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6550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6550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6550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6550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6550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6550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65503B"/>
    <w:pPr>
      <w:spacing w:after="120"/>
    </w:pPr>
    <w:rPr>
      <w:color w:val="0063A5" w:themeColor="text2"/>
    </w:rPr>
  </w:style>
  <w:style w:type="paragraph" w:customStyle="1" w:styleId="SCVpulloutheading">
    <w:name w:val="SCV pullout heading"/>
    <w:basedOn w:val="SCVpullouttext"/>
    <w:next w:val="SCVpullouttext"/>
    <w:uiPriority w:val="13"/>
    <w:qFormat/>
    <w:rsid w:val="0065503B"/>
    <w:pPr>
      <w:keepNext/>
      <w:keepLines/>
      <w:spacing w:before="0" w:line="240" w:lineRule="auto"/>
    </w:pPr>
    <w:rPr>
      <w:rFonts w:asciiTheme="majorHAnsi" w:hAnsiTheme="majorHAnsi"/>
      <w:bCs/>
      <w:sz w:val="24"/>
    </w:rPr>
  </w:style>
  <w:style w:type="table" w:customStyle="1" w:styleId="SCVInformationTable">
    <w:name w:val="SCV Information Table"/>
    <w:basedOn w:val="TableNormal"/>
    <w:uiPriority w:val="99"/>
    <w:rsid w:val="0065503B"/>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65503B"/>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65503B"/>
    <w:rPr>
      <w:rFonts w:asciiTheme="majorHAnsi" w:eastAsiaTheme="majorEastAsia" w:hAnsiTheme="majorHAnsi" w:cstheme="majorBidi"/>
      <w:color w:val="30678C" w:themeColor="accent1" w:themeShade="BF"/>
    </w:rPr>
  </w:style>
  <w:style w:type="paragraph" w:customStyle="1" w:styleId="SCVnumberloweralphaindent">
    <w:name w:val="SCV number lower alpha indent"/>
    <w:basedOn w:val="SCVbody"/>
    <w:uiPriority w:val="29"/>
    <w:rsid w:val="0065503B"/>
    <w:pPr>
      <w:numPr>
        <w:ilvl w:val="1"/>
        <w:numId w:val="28"/>
      </w:numPr>
      <w:spacing w:before="60" w:after="60"/>
    </w:pPr>
    <w:rPr>
      <w:rFonts w:eastAsia="Times New Roman" w:cstheme="minorHAnsi"/>
      <w:lang w:eastAsia="en-US"/>
    </w:rPr>
  </w:style>
  <w:style w:type="paragraph" w:customStyle="1" w:styleId="SCVtablebody">
    <w:name w:val="SCV table body"/>
    <w:uiPriority w:val="22"/>
    <w:qFormat/>
    <w:rsid w:val="0065503B"/>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65503B"/>
    <w:pPr>
      <w:numPr>
        <w:numId w:val="28"/>
      </w:numPr>
      <w:spacing w:before="60" w:after="60"/>
    </w:pPr>
    <w:rPr>
      <w:rFonts w:eastAsia="Times New Roman" w:cstheme="minorHAnsi"/>
      <w:lang w:eastAsia="en-US"/>
    </w:rPr>
  </w:style>
  <w:style w:type="paragraph" w:customStyle="1" w:styleId="SCVtablecolhead">
    <w:name w:val="SCV table col head"/>
    <w:uiPriority w:val="3"/>
    <w:qFormat/>
    <w:rsid w:val="0065503B"/>
    <w:pPr>
      <w:keepNext/>
      <w:keepLines/>
      <w:spacing w:before="80" w:after="60" w:line="240" w:lineRule="auto"/>
    </w:pPr>
    <w:rPr>
      <w:rFonts w:eastAsia="Times New Roman" w:cstheme="minorHAnsi"/>
      <w:b/>
      <w:color w:val="0063A5" w:themeColor="text2"/>
      <w:sz w:val="18"/>
      <w:szCs w:val="18"/>
      <w:lang w:eastAsia="en-US"/>
    </w:rPr>
  </w:style>
  <w:style w:type="paragraph" w:customStyle="1" w:styleId="SCVbodyaftertablefigure">
    <w:name w:val="SCV body after table/figure"/>
    <w:basedOn w:val="SCVbody"/>
    <w:next w:val="SCVbody"/>
    <w:uiPriority w:val="24"/>
    <w:rsid w:val="0065503B"/>
    <w:pPr>
      <w:spacing w:before="240"/>
    </w:pPr>
    <w:rPr>
      <w:rFonts w:eastAsia="Times New Roman" w:cstheme="minorHAnsi"/>
      <w:lang w:eastAsia="en-US"/>
    </w:rPr>
  </w:style>
  <w:style w:type="paragraph" w:customStyle="1" w:styleId="SCVquote">
    <w:name w:val="SCV quote"/>
    <w:basedOn w:val="SCVbody"/>
    <w:uiPriority w:val="29"/>
    <w:rsid w:val="0065503B"/>
    <w:pPr>
      <w:ind w:left="397"/>
    </w:pPr>
    <w:rPr>
      <w:rFonts w:eastAsia="Times New Roman" w:cstheme="minorHAnsi"/>
      <w:color w:val="0063A5" w:themeColor="text2"/>
      <w:szCs w:val="18"/>
      <w:lang w:eastAsia="en-US"/>
    </w:rPr>
  </w:style>
  <w:style w:type="numbering" w:customStyle="1" w:styleId="ZZBulletsafternumbers">
    <w:name w:val="ZZ Bullets after numbers"/>
    <w:basedOn w:val="NoList"/>
    <w:uiPriority w:val="99"/>
    <w:rsid w:val="0065503B"/>
    <w:pPr>
      <w:numPr>
        <w:numId w:val="7"/>
      </w:numPr>
    </w:pPr>
  </w:style>
  <w:style w:type="paragraph" w:customStyle="1" w:styleId="SCVbulletafternumbers">
    <w:name w:val="SCV bullet after numbers"/>
    <w:basedOn w:val="SCVbody"/>
    <w:uiPriority w:val="24"/>
    <w:rsid w:val="0065503B"/>
    <w:pPr>
      <w:numPr>
        <w:ilvl w:val="1"/>
        <w:numId w:val="27"/>
      </w:numPr>
      <w:spacing w:before="60" w:after="60"/>
    </w:pPr>
  </w:style>
  <w:style w:type="paragraph" w:customStyle="1" w:styleId="SCVquotebullet1">
    <w:name w:val="SCV quote bullet 1"/>
    <w:basedOn w:val="SCVquote"/>
    <w:uiPriority w:val="29"/>
    <w:rsid w:val="0065503B"/>
    <w:pPr>
      <w:numPr>
        <w:numId w:val="30"/>
      </w:numPr>
      <w:spacing w:before="60" w:after="60"/>
    </w:pPr>
  </w:style>
  <w:style w:type="paragraph" w:customStyle="1" w:styleId="SCVquotebullet2">
    <w:name w:val="SCV quote bullet 2"/>
    <w:basedOn w:val="SCVquote"/>
    <w:uiPriority w:val="29"/>
    <w:rsid w:val="0065503B"/>
    <w:pPr>
      <w:numPr>
        <w:ilvl w:val="1"/>
        <w:numId w:val="30"/>
      </w:numPr>
      <w:spacing w:before="60" w:after="60"/>
    </w:pPr>
  </w:style>
  <w:style w:type="paragraph" w:customStyle="1" w:styleId="SCVtablebullet1">
    <w:name w:val="SCV table bullet 1"/>
    <w:basedOn w:val="SCVtablebody"/>
    <w:uiPriority w:val="23"/>
    <w:qFormat/>
    <w:rsid w:val="0065503B"/>
    <w:pPr>
      <w:numPr>
        <w:numId w:val="31"/>
      </w:numPr>
    </w:pPr>
    <w:rPr>
      <w:szCs w:val="18"/>
    </w:rPr>
  </w:style>
  <w:style w:type="paragraph" w:customStyle="1" w:styleId="SCVtablebullet2">
    <w:name w:val="SCV table bullet 2"/>
    <w:basedOn w:val="SCVtablebody"/>
    <w:uiPriority w:val="23"/>
    <w:rsid w:val="0065503B"/>
    <w:pPr>
      <w:numPr>
        <w:ilvl w:val="1"/>
        <w:numId w:val="31"/>
      </w:numPr>
    </w:pPr>
    <w:rPr>
      <w:szCs w:val="18"/>
    </w:rPr>
  </w:style>
  <w:style w:type="character" w:customStyle="1" w:styleId="SCVbodyChar">
    <w:name w:val="SCV body Char"/>
    <w:basedOn w:val="DefaultParagraphFont"/>
    <w:link w:val="SCVbody"/>
    <w:locked/>
    <w:rsid w:val="0065503B"/>
    <w:rPr>
      <w:sz w:val="19"/>
      <w:szCs w:val="19"/>
    </w:rPr>
  </w:style>
  <w:style w:type="numbering" w:customStyle="1" w:styleId="ZZNumbersdigit">
    <w:name w:val="ZZ Numbers digit"/>
    <w:rsid w:val="0065503B"/>
    <w:pPr>
      <w:numPr>
        <w:numId w:val="8"/>
      </w:numPr>
    </w:pPr>
  </w:style>
  <w:style w:type="numbering" w:customStyle="1" w:styleId="ZZTablebullets">
    <w:name w:val="ZZ Table bullets"/>
    <w:rsid w:val="0065503B"/>
    <w:pPr>
      <w:numPr>
        <w:numId w:val="11"/>
      </w:numPr>
    </w:pPr>
  </w:style>
  <w:style w:type="numbering" w:customStyle="1" w:styleId="ZZQuotebullets">
    <w:name w:val="ZZ Quote bullets"/>
    <w:rsid w:val="0065503B"/>
    <w:pPr>
      <w:numPr>
        <w:numId w:val="10"/>
      </w:numPr>
    </w:pPr>
  </w:style>
  <w:style w:type="paragraph" w:customStyle="1" w:styleId="SCVheader">
    <w:name w:val="SCV header"/>
    <w:basedOn w:val="Header"/>
    <w:uiPriority w:val="1"/>
    <w:rsid w:val="0065503B"/>
    <w:pPr>
      <w:pBdr>
        <w:bottom w:val="single" w:sz="24" w:space="1" w:color="CCCCD0"/>
      </w:pBdr>
    </w:pPr>
  </w:style>
  <w:style w:type="paragraph" w:customStyle="1" w:styleId="SCVtablerowhead">
    <w:name w:val="SCV table row head"/>
    <w:basedOn w:val="SCVtablecolhead"/>
    <w:uiPriority w:val="21"/>
    <w:qFormat/>
    <w:rsid w:val="00DC4AF4"/>
    <w:rPr>
      <w:rFonts w:ascii="VIC SemiBold" w:hAnsi="VIC SemiBold" w:cs="Times New Roman"/>
      <w:b w:val="0"/>
    </w:rPr>
  </w:style>
  <w:style w:type="paragraph" w:customStyle="1" w:styleId="SCVaccessibilitypara">
    <w:name w:val="SCV accessibility para"/>
    <w:basedOn w:val="SCVbody"/>
    <w:uiPriority w:val="29"/>
    <w:rsid w:val="0065503B"/>
    <w:rPr>
      <w:sz w:val="24"/>
    </w:rPr>
  </w:style>
  <w:style w:type="character" w:styleId="UnresolvedMention">
    <w:name w:val="Unresolved Mention"/>
    <w:basedOn w:val="DefaultParagraphFont"/>
    <w:uiPriority w:val="99"/>
    <w:semiHidden/>
    <w:unhideWhenUsed/>
    <w:rsid w:val="0065503B"/>
    <w:rPr>
      <w:color w:val="605E5C"/>
      <w:shd w:val="clear" w:color="auto" w:fill="E1DFDD"/>
    </w:rPr>
  </w:style>
  <w:style w:type="character" w:styleId="FollowedHyperlink">
    <w:name w:val="FollowedHyperlink"/>
    <w:basedOn w:val="DefaultParagraphFont"/>
    <w:uiPriority w:val="1"/>
    <w:rsid w:val="0065503B"/>
    <w:rPr>
      <w:color w:val="0063A5" w:themeColor="text2"/>
      <w:u w:val="single"/>
    </w:rPr>
  </w:style>
  <w:style w:type="table" w:customStyle="1" w:styleId="SCVpulloutbox">
    <w:name w:val="SCV pullout box"/>
    <w:basedOn w:val="PlainTable1"/>
    <w:uiPriority w:val="99"/>
    <w:rsid w:val="00040E1E"/>
    <w:pPr>
      <w:spacing w:before="0" w:after="120" w:line="280" w:lineRule="atLeast"/>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6EFF6" w:themeFill="background2"/>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65503B"/>
    <w:pPr>
      <w:numPr>
        <w:numId w:val="12"/>
      </w:numPr>
    </w:pPr>
  </w:style>
  <w:style w:type="paragraph" w:customStyle="1" w:styleId="SCVtablenumber1">
    <w:name w:val="SCV table number 1"/>
    <w:basedOn w:val="SCVtablebody"/>
    <w:uiPriority w:val="29"/>
    <w:rsid w:val="0065503B"/>
    <w:pPr>
      <w:numPr>
        <w:numId w:val="32"/>
      </w:numPr>
    </w:pPr>
  </w:style>
  <w:style w:type="paragraph" w:customStyle="1" w:styleId="SCVtablenumber2">
    <w:name w:val="SCV table number 2"/>
    <w:basedOn w:val="SCVtablebody"/>
    <w:uiPriority w:val="29"/>
    <w:rsid w:val="0065503B"/>
    <w:pPr>
      <w:numPr>
        <w:ilvl w:val="1"/>
        <w:numId w:val="32"/>
      </w:numPr>
      <w:spacing w:before="60" w:line="192" w:lineRule="atLeast"/>
    </w:pPr>
    <w:rPr>
      <w:rFonts w:eastAsiaTheme="minorHAnsi"/>
    </w:rPr>
  </w:style>
  <w:style w:type="paragraph" w:customStyle="1" w:styleId="SCVTOCheading">
    <w:name w:val="SCV TOC heading"/>
    <w:basedOn w:val="Heading1"/>
    <w:uiPriority w:val="29"/>
    <w:rsid w:val="0065503B"/>
  </w:style>
  <w:style w:type="paragraph" w:customStyle="1" w:styleId="SCVprotectivemarkingbelowsubtitle">
    <w:name w:val="SCV protective marking below subtitle"/>
    <w:basedOn w:val="SCVbody"/>
    <w:uiPriority w:val="1"/>
    <w:rsid w:val="0065503B"/>
    <w:pPr>
      <w:spacing w:before="400" w:after="400" w:line="240" w:lineRule="auto"/>
    </w:pPr>
    <w:rPr>
      <w:caps/>
      <w:color w:val="FFFFFF" w:themeColor="background1"/>
      <w:sz w:val="24"/>
      <w:szCs w:val="24"/>
    </w:rPr>
  </w:style>
  <w:style w:type="character" w:styleId="CommentReference">
    <w:name w:val="annotation reference"/>
    <w:basedOn w:val="DefaultParagraphFont"/>
    <w:uiPriority w:val="1"/>
    <w:semiHidden/>
    <w:unhideWhenUsed/>
    <w:rsid w:val="0065503B"/>
    <w:rPr>
      <w:sz w:val="16"/>
      <w:szCs w:val="16"/>
    </w:rPr>
  </w:style>
  <w:style w:type="paragraph" w:styleId="CommentText">
    <w:name w:val="annotation text"/>
    <w:basedOn w:val="Normal"/>
    <w:link w:val="CommentTextChar"/>
    <w:uiPriority w:val="1"/>
    <w:semiHidden/>
    <w:unhideWhenUsed/>
    <w:rsid w:val="0065503B"/>
    <w:pPr>
      <w:spacing w:line="240" w:lineRule="auto"/>
    </w:pPr>
  </w:style>
  <w:style w:type="character" w:customStyle="1" w:styleId="CommentTextChar">
    <w:name w:val="Comment Text Char"/>
    <w:basedOn w:val="DefaultParagraphFont"/>
    <w:link w:val="CommentText"/>
    <w:uiPriority w:val="1"/>
    <w:semiHidden/>
    <w:rsid w:val="0065503B"/>
  </w:style>
  <w:style w:type="paragraph" w:styleId="CommentSubject">
    <w:name w:val="annotation subject"/>
    <w:basedOn w:val="CommentText"/>
    <w:next w:val="CommentText"/>
    <w:link w:val="CommentSubjectChar"/>
    <w:uiPriority w:val="1"/>
    <w:semiHidden/>
    <w:unhideWhenUsed/>
    <w:rsid w:val="0065503B"/>
    <w:rPr>
      <w:b/>
      <w:bCs/>
    </w:rPr>
  </w:style>
  <w:style w:type="character" w:customStyle="1" w:styleId="CommentSubjectChar">
    <w:name w:val="Comment Subject Char"/>
    <w:basedOn w:val="CommentTextChar"/>
    <w:link w:val="CommentSubject"/>
    <w:uiPriority w:val="1"/>
    <w:semiHidden/>
    <w:rsid w:val="0065503B"/>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65503B"/>
    <w:pPr>
      <w:spacing w:before="0" w:after="120"/>
    </w:pPr>
    <w:rPr>
      <w:sz w:val="18"/>
      <w:szCs w:val="18"/>
    </w:rPr>
  </w:style>
  <w:style w:type="paragraph" w:customStyle="1" w:styleId="SCVpulloutbullet">
    <w:name w:val="SCV pullout bullet"/>
    <w:basedOn w:val="SCVpullouttext"/>
    <w:uiPriority w:val="1"/>
    <w:rsid w:val="0065503B"/>
    <w:pPr>
      <w:numPr>
        <w:numId w:val="29"/>
      </w:numPr>
      <w:spacing w:before="0"/>
    </w:pPr>
  </w:style>
  <w:style w:type="numbering" w:customStyle="1" w:styleId="ZZPulloutbullets">
    <w:name w:val="ZZ Pullout bullets"/>
    <w:basedOn w:val="NoList"/>
    <w:uiPriority w:val="99"/>
    <w:rsid w:val="0065503B"/>
    <w:pPr>
      <w:numPr>
        <w:numId w:val="9"/>
      </w:numPr>
    </w:pPr>
  </w:style>
  <w:style w:type="paragraph" w:customStyle="1" w:styleId="SCVdate">
    <w:name w:val="SCV date"/>
    <w:basedOn w:val="SCVbody"/>
    <w:uiPriority w:val="1"/>
    <w:rsid w:val="0065503B"/>
    <w:pPr>
      <w:spacing w:before="0" w:after="0"/>
    </w:pPr>
    <w:rPr>
      <w:b/>
      <w:bCs/>
      <w:sz w:val="28"/>
      <w:szCs w:val="28"/>
    </w:rPr>
  </w:style>
  <w:style w:type="paragraph" w:customStyle="1" w:styleId="SCVborderabovetitle">
    <w:name w:val="SCV border above title"/>
    <w:basedOn w:val="SCVbody"/>
    <w:uiPriority w:val="1"/>
    <w:rsid w:val="0065503B"/>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65503B"/>
    <w:pPr>
      <w:pBdr>
        <w:top w:val="single" w:sz="8" w:space="6" w:color="CCCCD0"/>
      </w:pBdr>
      <w:spacing w:line="240" w:lineRule="auto"/>
    </w:pPr>
    <w:rPr>
      <w:sz w:val="18"/>
    </w:rPr>
  </w:style>
  <w:style w:type="paragraph" w:customStyle="1" w:styleId="Tableheader">
    <w:name w:val="Table header"/>
    <w:basedOn w:val="Normal"/>
    <w:uiPriority w:val="2"/>
    <w:qFormat/>
    <w:rsid w:val="00F16C4F"/>
    <w:pPr>
      <w:keepNext/>
      <w:keepLines/>
      <w:spacing w:before="0" w:after="0" w:line="260" w:lineRule="atLeast"/>
    </w:pPr>
    <w:rPr>
      <w:rFonts w:ascii="Arial" w:eastAsiaTheme="minorHAnsi" w:hAnsi="Arial" w:cs="Arial"/>
      <w:b/>
      <w:noProof/>
      <w:color w:val="0063A5"/>
      <w:sz w:val="16"/>
      <w:szCs w:val="21"/>
      <w:lang w:eastAsia="en-US"/>
    </w:rPr>
  </w:style>
  <w:style w:type="table" w:customStyle="1" w:styleId="TableGrid1">
    <w:name w:val="Table Grid1"/>
    <w:basedOn w:val="TableNormal"/>
    <w:next w:val="TableGrid"/>
    <w:uiPriority w:val="59"/>
    <w:rsid w:val="00F16C4F"/>
    <w:pPr>
      <w:spacing w:before="60" w:after="60" w:line="192" w:lineRule="atLeast"/>
    </w:pPr>
    <w:rPr>
      <w:rFonts w:eastAsia="Arial"/>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sz w:val="16"/>
      </w:rPr>
      <w:tblPr/>
      <w:tcPr>
        <w:tcBorders>
          <w:top w:val="single" w:sz="2" w:space="0" w:color="E6EFF6"/>
          <w:left w:val="nil"/>
          <w:bottom w:val="single" w:sz="24" w:space="0" w:color="CCE0ED"/>
          <w:right w:val="nil"/>
          <w:insideH w:val="nil"/>
          <w:insideV w:val="nil"/>
          <w:tl2br w:val="nil"/>
          <w:tr2bl w:val="nil"/>
        </w:tcBorders>
        <w:shd w:val="clear" w:color="auto" w:fill="EDF5F7"/>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sz w:val="16"/>
      </w:rPr>
    </w:tblStylePr>
    <w:tblStylePr w:type="band1Vert">
      <w:pPr>
        <w:jc w:val="right"/>
      </w:pPr>
    </w:tblStylePr>
    <w:tblStylePr w:type="band2Vert">
      <w:pPr>
        <w:jc w:val="right"/>
      </w:pPr>
    </w:tblStylePr>
  </w:style>
  <w:style w:type="paragraph" w:customStyle="1" w:styleId="Heading4numbered">
    <w:name w:val="Heading 4 numbered"/>
    <w:basedOn w:val="Heading4"/>
    <w:next w:val="NormalIndent"/>
    <w:rsid w:val="00544B3E"/>
    <w:pPr>
      <w:spacing w:before="240" w:after="0" w:line="256" w:lineRule="auto"/>
    </w:pPr>
    <w:rPr>
      <w:rFonts w:ascii="VIC SemiBold" w:hAnsi="VIC SemiBold" w:cs="Arial"/>
      <w:bCs/>
      <w:iCs w:val="0"/>
      <w:noProof/>
      <w:color w:val="30678C" w:themeColor="accent1" w:themeShade="BF"/>
      <w:sz w:val="24"/>
      <w:szCs w:val="24"/>
      <w:lang w:eastAsia="en-US"/>
    </w:rPr>
  </w:style>
  <w:style w:type="paragraph" w:styleId="NormalIndent">
    <w:name w:val="Normal Indent"/>
    <w:basedOn w:val="Normal"/>
    <w:semiHidden/>
    <w:qFormat/>
    <w:rsid w:val="00544B3E"/>
    <w:pPr>
      <w:ind w:left="720"/>
    </w:pPr>
  </w:style>
  <w:style w:type="table" w:customStyle="1" w:styleId="TableGrid11">
    <w:name w:val="Table Grid11"/>
    <w:basedOn w:val="TableNormal"/>
    <w:uiPriority w:val="59"/>
    <w:rsid w:val="00DB243D"/>
    <w:pPr>
      <w:spacing w:before="60" w:after="60" w:line="192" w:lineRule="atLeast"/>
    </w:pPr>
    <w:rPr>
      <w:rFonts w:eastAsia="Arial"/>
      <w:sz w:val="16"/>
      <w:szCs w:val="21"/>
      <w:lang w:eastAsia="en-US"/>
    </w:rPr>
    <w:tblPr>
      <w:tblStyleRowBandSize w:val="1"/>
      <w:tblStyleColBandSize w:val="1"/>
      <w:tblInd w:w="0" w:type="nil"/>
      <w:tblBorders>
        <w:top w:val="single" w:sz="2" w:space="0" w:color="4D92C0"/>
        <w:bottom w:val="single" w:sz="2" w:space="0" w:color="4D92C0"/>
        <w:insideH w:val="single" w:sz="2" w:space="0" w:color="4D92C0"/>
      </w:tblBorders>
      <w:tblCellMar>
        <w:left w:w="113" w:type="dxa"/>
        <w:right w:w="113" w:type="dxa"/>
      </w:tblCellMar>
    </w:tblPr>
    <w:tblStylePr w:type="firstRow">
      <w:pPr>
        <w:keepLines/>
        <w:widowControl/>
        <w:suppressLineNumbers w:val="0"/>
        <w:wordWrap/>
        <w:spacing w:beforeLines="0" w:before="100" w:beforeAutospacing="1" w:afterLines="0" w:after="100" w:afterAutospacing="1" w:line="260" w:lineRule="atLeast"/>
        <w:ind w:leftChars="0" w:left="0"/>
        <w:jc w:val="left"/>
      </w:pPr>
      <w:rPr>
        <w:rFonts w:ascii="Calibri Light" w:hAnsi="Calibri Light" w:hint="default"/>
        <w:b/>
        <w:i w:val="0"/>
        <w:color w:val="auto"/>
        <w:sz w:val="16"/>
        <w:szCs w:val="16"/>
      </w:rPr>
      <w:tblPr/>
      <w:tcPr>
        <w:tcBorders>
          <w:top w:val="single" w:sz="2" w:space="0" w:color="E6EFF6"/>
          <w:left w:val="nil"/>
          <w:bottom w:val="single" w:sz="24" w:space="0" w:color="CCE0ED"/>
          <w:right w:val="nil"/>
          <w:insideH w:val="nil"/>
          <w:insideV w:val="nil"/>
          <w:tl2br w:val="nil"/>
          <w:tr2bl w:val="nil"/>
        </w:tcBorders>
        <w:shd w:val="clear" w:color="auto" w:fill="EDF5F7"/>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100" w:beforeAutospacing="1" w:line="260" w:lineRule="atLeast"/>
        <w:ind w:leftChars="0" w:left="0"/>
        <w:jc w:val="left"/>
      </w:pPr>
      <w:rPr>
        <w:rFonts w:ascii="Calibri" w:hAnsi="Calibri" w:hint="default"/>
        <w:b w:val="0"/>
        <w:color w:val="auto"/>
        <w:sz w:val="16"/>
        <w:szCs w:val="16"/>
      </w:rPr>
    </w:tblStylePr>
    <w:tblStylePr w:type="band1Vert">
      <w:pPr>
        <w:jc w:val="right"/>
      </w:pPr>
    </w:tblStylePr>
    <w:tblStylePr w:type="band2Vert">
      <w:pPr>
        <w:jc w:val="right"/>
      </w:pPr>
    </w:tblStylePr>
  </w:style>
  <w:style w:type="paragraph" w:customStyle="1" w:styleId="IntroductoryText">
    <w:name w:val="Introductory Text"/>
    <w:basedOn w:val="Normal"/>
    <w:uiPriority w:val="1"/>
    <w:rsid w:val="00D63431"/>
    <w:pPr>
      <w:spacing w:before="0" w:after="240" w:line="280" w:lineRule="atLeast"/>
    </w:pPr>
    <w:rPr>
      <w:rFonts w:ascii="VIC Medium" w:hAnsi="VIC Medium" w:cs="Arial"/>
      <w:noProof/>
      <w:color w:val="0063A5"/>
      <w:sz w:val="22"/>
      <w:szCs w:val="22"/>
      <w:lang w:eastAsia="en-US"/>
    </w:rPr>
  </w:style>
  <w:style w:type="paragraph" w:customStyle="1" w:styleId="Normalfollowingheading">
    <w:name w:val="Normal following heading"/>
    <w:basedOn w:val="Normal"/>
    <w:next w:val="Normal"/>
    <w:uiPriority w:val="1"/>
    <w:rsid w:val="00D63431"/>
    <w:pPr>
      <w:spacing w:before="0" w:line="280" w:lineRule="atLeast"/>
    </w:pPr>
    <w:rPr>
      <w:rFonts w:cs="Arial"/>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5333777">
      <w:bodyDiv w:val="1"/>
      <w:marLeft w:val="0"/>
      <w:marRight w:val="0"/>
      <w:marTop w:val="0"/>
      <w:marBottom w:val="0"/>
      <w:divBdr>
        <w:top w:val="none" w:sz="0" w:space="0" w:color="auto"/>
        <w:left w:val="none" w:sz="0" w:space="0" w:color="auto"/>
        <w:bottom w:val="none" w:sz="0" w:space="0" w:color="auto"/>
        <w:right w:val="none" w:sz="0" w:space="0" w:color="auto"/>
      </w:divBdr>
    </w:div>
    <w:div w:id="287010366">
      <w:bodyDiv w:val="1"/>
      <w:marLeft w:val="0"/>
      <w:marRight w:val="0"/>
      <w:marTop w:val="0"/>
      <w:marBottom w:val="0"/>
      <w:divBdr>
        <w:top w:val="none" w:sz="0" w:space="0" w:color="auto"/>
        <w:left w:val="none" w:sz="0" w:space="0" w:color="auto"/>
        <w:bottom w:val="none" w:sz="0" w:space="0" w:color="auto"/>
        <w:right w:val="none" w:sz="0" w:space="0" w:color="auto"/>
      </w:divBdr>
    </w:div>
    <w:div w:id="315570124">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401608653">
      <w:bodyDiv w:val="1"/>
      <w:marLeft w:val="0"/>
      <w:marRight w:val="0"/>
      <w:marTop w:val="0"/>
      <w:marBottom w:val="0"/>
      <w:divBdr>
        <w:top w:val="none" w:sz="0" w:space="0" w:color="auto"/>
        <w:left w:val="none" w:sz="0" w:space="0" w:color="auto"/>
        <w:bottom w:val="none" w:sz="0" w:space="0" w:color="auto"/>
        <w:right w:val="none" w:sz="0" w:space="0" w:color="auto"/>
      </w:divBdr>
    </w:div>
    <w:div w:id="497427457">
      <w:bodyDiv w:val="1"/>
      <w:marLeft w:val="0"/>
      <w:marRight w:val="0"/>
      <w:marTop w:val="0"/>
      <w:marBottom w:val="0"/>
      <w:divBdr>
        <w:top w:val="none" w:sz="0" w:space="0" w:color="auto"/>
        <w:left w:val="none" w:sz="0" w:space="0" w:color="auto"/>
        <w:bottom w:val="none" w:sz="0" w:space="0" w:color="auto"/>
        <w:right w:val="none" w:sz="0" w:space="0" w:color="auto"/>
      </w:divBdr>
    </w:div>
    <w:div w:id="511720547">
      <w:bodyDiv w:val="1"/>
      <w:marLeft w:val="0"/>
      <w:marRight w:val="0"/>
      <w:marTop w:val="0"/>
      <w:marBottom w:val="0"/>
      <w:divBdr>
        <w:top w:val="none" w:sz="0" w:space="0" w:color="auto"/>
        <w:left w:val="none" w:sz="0" w:space="0" w:color="auto"/>
        <w:bottom w:val="none" w:sz="0" w:space="0" w:color="auto"/>
        <w:right w:val="none" w:sz="0" w:space="0" w:color="auto"/>
      </w:divBdr>
    </w:div>
    <w:div w:id="536818928">
      <w:bodyDiv w:val="1"/>
      <w:marLeft w:val="0"/>
      <w:marRight w:val="0"/>
      <w:marTop w:val="0"/>
      <w:marBottom w:val="0"/>
      <w:divBdr>
        <w:top w:val="none" w:sz="0" w:space="0" w:color="auto"/>
        <w:left w:val="none" w:sz="0" w:space="0" w:color="auto"/>
        <w:bottom w:val="none" w:sz="0" w:space="0" w:color="auto"/>
        <w:right w:val="none" w:sz="0" w:space="0" w:color="auto"/>
      </w:divBdr>
    </w:div>
    <w:div w:id="625627562">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056860141">
      <w:bodyDiv w:val="1"/>
      <w:marLeft w:val="0"/>
      <w:marRight w:val="0"/>
      <w:marTop w:val="0"/>
      <w:marBottom w:val="0"/>
      <w:divBdr>
        <w:top w:val="none" w:sz="0" w:space="0" w:color="auto"/>
        <w:left w:val="none" w:sz="0" w:space="0" w:color="auto"/>
        <w:bottom w:val="none" w:sz="0" w:space="0" w:color="auto"/>
        <w:right w:val="none" w:sz="0" w:space="0" w:color="auto"/>
      </w:divBdr>
    </w:div>
    <w:div w:id="1334140497">
      <w:bodyDiv w:val="1"/>
      <w:marLeft w:val="0"/>
      <w:marRight w:val="0"/>
      <w:marTop w:val="0"/>
      <w:marBottom w:val="0"/>
      <w:divBdr>
        <w:top w:val="none" w:sz="0" w:space="0" w:color="auto"/>
        <w:left w:val="none" w:sz="0" w:space="0" w:color="auto"/>
        <w:bottom w:val="none" w:sz="0" w:space="0" w:color="auto"/>
        <w:right w:val="none" w:sz="0" w:space="0" w:color="auto"/>
      </w:divBdr>
    </w:div>
    <w:div w:id="1464033643">
      <w:bodyDiv w:val="1"/>
      <w:marLeft w:val="0"/>
      <w:marRight w:val="0"/>
      <w:marTop w:val="0"/>
      <w:marBottom w:val="0"/>
      <w:divBdr>
        <w:top w:val="none" w:sz="0" w:space="0" w:color="auto"/>
        <w:left w:val="none" w:sz="0" w:space="0" w:color="auto"/>
        <w:bottom w:val="none" w:sz="0" w:space="0" w:color="auto"/>
        <w:right w:val="none" w:sz="0" w:space="0" w:color="auto"/>
      </w:divBdr>
    </w:div>
    <w:div w:id="1473599999">
      <w:bodyDiv w:val="1"/>
      <w:marLeft w:val="0"/>
      <w:marRight w:val="0"/>
      <w:marTop w:val="0"/>
      <w:marBottom w:val="0"/>
      <w:divBdr>
        <w:top w:val="none" w:sz="0" w:space="0" w:color="auto"/>
        <w:left w:val="none" w:sz="0" w:space="0" w:color="auto"/>
        <w:bottom w:val="none" w:sz="0" w:space="0" w:color="auto"/>
        <w:right w:val="none" w:sz="0" w:space="0" w:color="auto"/>
      </w:divBdr>
    </w:div>
    <w:div w:id="1582376392">
      <w:bodyDiv w:val="1"/>
      <w:marLeft w:val="0"/>
      <w:marRight w:val="0"/>
      <w:marTop w:val="0"/>
      <w:marBottom w:val="0"/>
      <w:divBdr>
        <w:top w:val="none" w:sz="0" w:space="0" w:color="auto"/>
        <w:left w:val="none" w:sz="0" w:space="0" w:color="auto"/>
        <w:bottom w:val="none" w:sz="0" w:space="0" w:color="auto"/>
        <w:right w:val="none" w:sz="0" w:space="0" w:color="auto"/>
      </w:divBdr>
    </w:div>
    <w:div w:id="1722241838">
      <w:bodyDiv w:val="1"/>
      <w:marLeft w:val="0"/>
      <w:marRight w:val="0"/>
      <w:marTop w:val="0"/>
      <w:marBottom w:val="0"/>
      <w:divBdr>
        <w:top w:val="none" w:sz="0" w:space="0" w:color="auto"/>
        <w:left w:val="none" w:sz="0" w:space="0" w:color="auto"/>
        <w:bottom w:val="none" w:sz="0" w:space="0" w:color="auto"/>
        <w:right w:val="none" w:sz="0" w:space="0" w:color="auto"/>
      </w:divBdr>
    </w:div>
    <w:div w:id="20894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yperlink" Target="mailto:safercarevictoria@dhhs.vic" TargetMode="External"/><Relationship Id="rId34" Type="http://schemas.openxmlformats.org/officeDocument/2006/relationships/image" Target="media/image4.png"/><Relationship Id="rId42" Type="http://schemas.openxmlformats.org/officeDocument/2006/relationships/chart" Target="charts/chart3.xml"/><Relationship Id="rId47" Type="http://schemas.openxmlformats.org/officeDocument/2006/relationships/header" Target="header1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footer" Target="footer8.xml"/><Relationship Id="rId38" Type="http://schemas.openxmlformats.org/officeDocument/2006/relationships/chart" Target="charts/chart1.xm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nfo@safercarevictoria.vic.gov.au" TargetMode="External"/><Relationship Id="rId29" Type="http://schemas.openxmlformats.org/officeDocument/2006/relationships/footer" Target="footer6.xml"/><Relationship Id="rId41" Type="http://schemas.openxmlformats.org/officeDocument/2006/relationships/hyperlink" Target="mailto:vadcommunity@westvicphn.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footer" Target="footer7.xml"/><Relationship Id="rId37" Type="http://schemas.openxmlformats.org/officeDocument/2006/relationships/header" Target="header9.xml"/><Relationship Id="rId40" Type="http://schemas.openxmlformats.org/officeDocument/2006/relationships/image" Target="media/image5.png"/><Relationship Id="rId45" Type="http://schemas.openxmlformats.org/officeDocument/2006/relationships/chart" Target="charts/chart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safercare.vic" TargetMode="External"/><Relationship Id="rId28" Type="http://schemas.openxmlformats.org/officeDocument/2006/relationships/header" Target="header5.xml"/><Relationship Id="rId36" Type="http://schemas.openxmlformats.org/officeDocument/2006/relationships/header" Target="header8.xml"/><Relationship Id="rId49"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www.safercare.vic.gov.au/about/vadrb" TargetMode="External"/><Relationship Id="rId31" Type="http://schemas.openxmlformats.org/officeDocument/2006/relationships/header" Target="header7.xml"/><Relationship Id="rId44" Type="http://schemas.openxmlformats.org/officeDocument/2006/relationships/image" Target="media/image6.png"/><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afercare.vic.gov.au" TargetMode="Externa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oleObject" Target="embeddings/oleObject1.bin"/><Relationship Id="rId43" Type="http://schemas.openxmlformats.org/officeDocument/2006/relationships/chart" Target="charts/chart4.xml"/><Relationship Id="rId48"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7.png"/></Relationships>
</file>

<file path=word/_rels/header1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Metro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General Practice</c:v>
                </c:pt>
                <c:pt idx="1">
                  <c:v>Medical Oncology</c:v>
                </c:pt>
                <c:pt idx="2">
                  <c:v>Other#</c:v>
                </c:pt>
                <c:pt idx="3">
                  <c:v>Neurology</c:v>
                </c:pt>
                <c:pt idx="4">
                  <c:v>General Medicine</c:v>
                </c:pt>
                <c:pt idx="5">
                  <c:v>Respiratory And Sleep Medicine</c:v>
                </c:pt>
                <c:pt idx="6">
                  <c:v>Haematology</c:v>
                </c:pt>
                <c:pt idx="7">
                  <c:v>Palliative Medicine</c:v>
                </c:pt>
              </c:strCache>
            </c:strRef>
          </c:cat>
          <c:val>
            <c:numRef>
              <c:f>Sheet1!$B$2:$B$9</c:f>
              <c:numCache>
                <c:formatCode>General</c:formatCode>
                <c:ptCount val="8"/>
                <c:pt idx="0">
                  <c:v>104</c:v>
                </c:pt>
                <c:pt idx="1">
                  <c:v>32</c:v>
                </c:pt>
                <c:pt idx="2">
                  <c:v>15</c:v>
                </c:pt>
                <c:pt idx="3">
                  <c:v>14</c:v>
                </c:pt>
                <c:pt idx="4">
                  <c:v>12</c:v>
                </c:pt>
                <c:pt idx="5">
                  <c:v>9</c:v>
                </c:pt>
                <c:pt idx="6">
                  <c:v>4</c:v>
                </c:pt>
                <c:pt idx="7">
                  <c:v>1</c:v>
                </c:pt>
              </c:numCache>
            </c:numRef>
          </c:val>
          <c:extLst>
            <c:ext xmlns:c16="http://schemas.microsoft.com/office/drawing/2014/chart" uri="{C3380CC4-5D6E-409C-BE32-E72D297353CC}">
              <c16:uniqueId val="{00000000-6B64-4CD1-9D12-71A3DC767521}"/>
            </c:ext>
          </c:extLst>
        </c:ser>
        <c:ser>
          <c:idx val="1"/>
          <c:order val="1"/>
          <c:tx>
            <c:strRef>
              <c:f>Sheet1!$C$1</c:f>
              <c:strCache>
                <c:ptCount val="1"/>
                <c:pt idx="0">
                  <c:v>Rural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General Practice</c:v>
                </c:pt>
                <c:pt idx="1">
                  <c:v>Medical Oncology</c:v>
                </c:pt>
                <c:pt idx="2">
                  <c:v>Other#</c:v>
                </c:pt>
                <c:pt idx="3">
                  <c:v>Neurology</c:v>
                </c:pt>
                <c:pt idx="4">
                  <c:v>General Medicine</c:v>
                </c:pt>
                <c:pt idx="5">
                  <c:v>Respiratory And Sleep Medicine</c:v>
                </c:pt>
                <c:pt idx="6">
                  <c:v>Haematology</c:v>
                </c:pt>
                <c:pt idx="7">
                  <c:v>Palliative Medicine</c:v>
                </c:pt>
              </c:strCache>
            </c:strRef>
          </c:cat>
          <c:val>
            <c:numRef>
              <c:f>Sheet1!$C$2:$C$9</c:f>
              <c:numCache>
                <c:formatCode>General</c:formatCode>
                <c:ptCount val="8"/>
                <c:pt idx="0">
                  <c:v>78</c:v>
                </c:pt>
                <c:pt idx="1">
                  <c:v>15</c:v>
                </c:pt>
                <c:pt idx="2">
                  <c:v>5</c:v>
                </c:pt>
                <c:pt idx="3">
                  <c:v>1</c:v>
                </c:pt>
                <c:pt idx="4">
                  <c:v>5</c:v>
                </c:pt>
                <c:pt idx="6">
                  <c:v>3</c:v>
                </c:pt>
                <c:pt idx="7">
                  <c:v>4</c:v>
                </c:pt>
              </c:numCache>
            </c:numRef>
          </c:val>
          <c:extLst>
            <c:ext xmlns:c16="http://schemas.microsoft.com/office/drawing/2014/chart" uri="{C3380CC4-5D6E-409C-BE32-E72D297353CC}">
              <c16:uniqueId val="{00000001-6B64-4CD1-9D12-71A3DC767521}"/>
            </c:ext>
          </c:extLst>
        </c:ser>
        <c:dLbls>
          <c:dLblPos val="outEnd"/>
          <c:showLegendKey val="0"/>
          <c:showVal val="1"/>
          <c:showCatName val="0"/>
          <c:showSerName val="0"/>
          <c:showPercent val="0"/>
          <c:showBubbleSize val="0"/>
        </c:dLbls>
        <c:gapWidth val="219"/>
        <c:overlap val="-27"/>
        <c:axId val="1146230480"/>
        <c:axId val="1146231136"/>
      </c:barChart>
      <c:catAx>
        <c:axId val="114623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50" b="0" i="0" u="none" strike="noStrike" kern="1200" baseline="0">
                <a:solidFill>
                  <a:schemeClr val="tx1">
                    <a:lumMod val="65000"/>
                    <a:lumOff val="35000"/>
                  </a:schemeClr>
                </a:solidFill>
                <a:latin typeface="+mn-lt"/>
                <a:ea typeface="+mn-ea"/>
                <a:cs typeface="+mn-cs"/>
              </a:defRPr>
            </a:pPr>
            <a:endParaRPr lang="en-US"/>
          </a:p>
        </c:txPr>
        <c:crossAx val="1146231136"/>
        <c:crosses val="autoZero"/>
        <c:auto val="1"/>
        <c:lblAlgn val="ctr"/>
        <c:lblOffset val="100"/>
        <c:noMultiLvlLbl val="0"/>
      </c:catAx>
      <c:valAx>
        <c:axId val="11462311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23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Metro</c:v>
                </c:pt>
              </c:strCache>
            </c:strRef>
          </c:tx>
          <c:spPr>
            <a:ln w="28575" cap="rnd">
              <a:solidFill>
                <a:schemeClr val="accent1"/>
              </a:solidFill>
              <a:round/>
            </a:ln>
            <a:effectLst/>
          </c:spPr>
          <c:marker>
            <c:symbol val="none"/>
          </c:marker>
          <c:cat>
            <c:numRef>
              <c:f>Sheet1!$A$2:$A$14</c:f>
              <c:numCache>
                <c:formatCode>mmm\-yy</c:formatCode>
                <c:ptCount val="13"/>
                <c:pt idx="0">
                  <c:v>43556</c:v>
                </c:pt>
                <c:pt idx="1">
                  <c:v>43647</c:v>
                </c:pt>
                <c:pt idx="2">
                  <c:v>43739</c:v>
                </c:pt>
                <c:pt idx="3">
                  <c:v>43831</c:v>
                </c:pt>
                <c:pt idx="4">
                  <c:v>43922</c:v>
                </c:pt>
                <c:pt idx="5">
                  <c:v>44013</c:v>
                </c:pt>
                <c:pt idx="6">
                  <c:v>44105</c:v>
                </c:pt>
                <c:pt idx="7">
                  <c:v>44197</c:v>
                </c:pt>
                <c:pt idx="8">
                  <c:v>44287</c:v>
                </c:pt>
                <c:pt idx="9">
                  <c:v>44378</c:v>
                </c:pt>
                <c:pt idx="10">
                  <c:v>44470</c:v>
                </c:pt>
                <c:pt idx="11">
                  <c:v>44562</c:v>
                </c:pt>
                <c:pt idx="12">
                  <c:v>44652</c:v>
                </c:pt>
              </c:numCache>
            </c:numRef>
          </c:cat>
          <c:val>
            <c:numRef>
              <c:f>Sheet1!$B$2:$B$14</c:f>
              <c:numCache>
                <c:formatCode>General</c:formatCode>
                <c:ptCount val="13"/>
                <c:pt idx="0">
                  <c:v>27</c:v>
                </c:pt>
                <c:pt idx="1">
                  <c:v>59</c:v>
                </c:pt>
                <c:pt idx="2">
                  <c:v>15</c:v>
                </c:pt>
                <c:pt idx="3">
                  <c:v>9</c:v>
                </c:pt>
                <c:pt idx="4">
                  <c:v>10</c:v>
                </c:pt>
                <c:pt idx="5">
                  <c:v>12</c:v>
                </c:pt>
                <c:pt idx="6">
                  <c:v>7</c:v>
                </c:pt>
                <c:pt idx="7">
                  <c:v>9</c:v>
                </c:pt>
                <c:pt idx="8">
                  <c:v>5</c:v>
                </c:pt>
                <c:pt idx="9">
                  <c:v>23</c:v>
                </c:pt>
                <c:pt idx="10">
                  <c:v>1</c:v>
                </c:pt>
                <c:pt idx="11">
                  <c:v>7</c:v>
                </c:pt>
                <c:pt idx="12">
                  <c:v>6</c:v>
                </c:pt>
              </c:numCache>
            </c:numRef>
          </c:val>
          <c:smooth val="0"/>
          <c:extLst>
            <c:ext xmlns:c16="http://schemas.microsoft.com/office/drawing/2014/chart" uri="{C3380CC4-5D6E-409C-BE32-E72D297353CC}">
              <c16:uniqueId val="{00000000-0BE0-44BB-A47E-25F1F85A1217}"/>
            </c:ext>
          </c:extLst>
        </c:ser>
        <c:ser>
          <c:idx val="1"/>
          <c:order val="1"/>
          <c:tx>
            <c:strRef>
              <c:f>Sheet1!$C$1</c:f>
              <c:strCache>
                <c:ptCount val="1"/>
                <c:pt idx="0">
                  <c:v>Rural</c:v>
                </c:pt>
              </c:strCache>
            </c:strRef>
          </c:tx>
          <c:spPr>
            <a:ln w="28575" cap="rnd">
              <a:solidFill>
                <a:schemeClr val="accent2"/>
              </a:solidFill>
              <a:round/>
            </a:ln>
            <a:effectLst/>
          </c:spPr>
          <c:marker>
            <c:symbol val="none"/>
          </c:marker>
          <c:cat>
            <c:numRef>
              <c:f>Sheet1!$A$2:$A$14</c:f>
              <c:numCache>
                <c:formatCode>mmm\-yy</c:formatCode>
                <c:ptCount val="13"/>
                <c:pt idx="0">
                  <c:v>43556</c:v>
                </c:pt>
                <c:pt idx="1">
                  <c:v>43647</c:v>
                </c:pt>
                <c:pt idx="2">
                  <c:v>43739</c:v>
                </c:pt>
                <c:pt idx="3">
                  <c:v>43831</c:v>
                </c:pt>
                <c:pt idx="4">
                  <c:v>43922</c:v>
                </c:pt>
                <c:pt idx="5">
                  <c:v>44013</c:v>
                </c:pt>
                <c:pt idx="6">
                  <c:v>44105</c:v>
                </c:pt>
                <c:pt idx="7">
                  <c:v>44197</c:v>
                </c:pt>
                <c:pt idx="8">
                  <c:v>44287</c:v>
                </c:pt>
                <c:pt idx="9">
                  <c:v>44378</c:v>
                </c:pt>
                <c:pt idx="10">
                  <c:v>44470</c:v>
                </c:pt>
                <c:pt idx="11">
                  <c:v>44562</c:v>
                </c:pt>
                <c:pt idx="12">
                  <c:v>44652</c:v>
                </c:pt>
              </c:numCache>
            </c:numRef>
          </c:cat>
          <c:val>
            <c:numRef>
              <c:f>Sheet1!$C$2:$C$14</c:f>
              <c:numCache>
                <c:formatCode>General</c:formatCode>
                <c:ptCount val="13"/>
                <c:pt idx="0">
                  <c:v>18</c:v>
                </c:pt>
                <c:pt idx="1">
                  <c:v>25</c:v>
                </c:pt>
                <c:pt idx="2">
                  <c:v>9</c:v>
                </c:pt>
                <c:pt idx="3">
                  <c:v>8</c:v>
                </c:pt>
                <c:pt idx="4">
                  <c:v>6</c:v>
                </c:pt>
                <c:pt idx="5">
                  <c:v>4</c:v>
                </c:pt>
                <c:pt idx="6">
                  <c:v>8</c:v>
                </c:pt>
                <c:pt idx="7">
                  <c:v>4</c:v>
                </c:pt>
                <c:pt idx="8">
                  <c:v>2</c:v>
                </c:pt>
                <c:pt idx="9">
                  <c:v>11</c:v>
                </c:pt>
                <c:pt idx="10">
                  <c:v>6</c:v>
                </c:pt>
                <c:pt idx="11">
                  <c:v>6</c:v>
                </c:pt>
                <c:pt idx="12">
                  <c:v>4</c:v>
                </c:pt>
              </c:numCache>
            </c:numRef>
          </c:val>
          <c:smooth val="0"/>
          <c:extLst>
            <c:ext xmlns:c16="http://schemas.microsoft.com/office/drawing/2014/chart" uri="{C3380CC4-5D6E-409C-BE32-E72D297353CC}">
              <c16:uniqueId val="{00000001-0BE0-44BB-A47E-25F1F85A1217}"/>
            </c:ext>
          </c:extLst>
        </c:ser>
        <c:dLbls>
          <c:showLegendKey val="0"/>
          <c:showVal val="0"/>
          <c:showCatName val="0"/>
          <c:showSerName val="0"/>
          <c:showPercent val="0"/>
          <c:showBubbleSize val="0"/>
        </c:dLbls>
        <c:smooth val="0"/>
        <c:axId val="719215928"/>
        <c:axId val="719212976"/>
      </c:lineChart>
      <c:dateAx>
        <c:axId val="71921592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212976"/>
        <c:crosses val="autoZero"/>
        <c:auto val="1"/>
        <c:lblOffset val="100"/>
        <c:baseTimeUnit val="months"/>
      </c:dateAx>
      <c:valAx>
        <c:axId val="719212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92159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Contacts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AE-48E0-8448-9E145184942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AE-48E0-8448-9E145184942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AE-48E0-8448-9E145184942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AE-48E0-8448-9E145184942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2AE-48E0-8448-9E145184942F}"/>
              </c:ext>
            </c:extLst>
          </c:dPt>
          <c:cat>
            <c:strRef>
              <c:f>Sheet1!$A$2:$A$6</c:f>
              <c:strCache>
                <c:ptCount val="5"/>
                <c:pt idx="0">
                  <c:v>Applicants</c:v>
                </c:pt>
                <c:pt idx="1">
                  <c:v>Family members or friends</c:v>
                </c:pt>
                <c:pt idx="2">
                  <c:v>Usual treating team</c:v>
                </c:pt>
                <c:pt idx="3">
                  <c:v>Voluntary assisted dying clinician</c:v>
                </c:pt>
                <c:pt idx="4">
                  <c:v>Other</c:v>
                </c:pt>
              </c:strCache>
            </c:strRef>
          </c:cat>
          <c:val>
            <c:numRef>
              <c:f>Sheet1!$B$2:$B$6</c:f>
              <c:numCache>
                <c:formatCode>General</c:formatCode>
                <c:ptCount val="5"/>
                <c:pt idx="0">
                  <c:v>32</c:v>
                </c:pt>
                <c:pt idx="1">
                  <c:v>28</c:v>
                </c:pt>
                <c:pt idx="2">
                  <c:v>26</c:v>
                </c:pt>
                <c:pt idx="3">
                  <c:v>13</c:v>
                </c:pt>
                <c:pt idx="4">
                  <c:v>1</c:v>
                </c:pt>
              </c:numCache>
            </c:numRef>
          </c:val>
          <c:extLst>
            <c:ext xmlns:c16="http://schemas.microsoft.com/office/drawing/2014/chart" uri="{C3380CC4-5D6E-409C-BE32-E72D297353CC}">
              <c16:uniqueId val="{00000000-054C-426C-AAE3-BDC7C8DE40B2}"/>
            </c:ext>
          </c:extLst>
        </c:ser>
        <c:dLbls>
          <c:showLegendKey val="0"/>
          <c:showVal val="0"/>
          <c:showCatName val="0"/>
          <c:showSerName val="0"/>
          <c:showPercent val="0"/>
          <c:showBubbleSize val="0"/>
          <c:showLeaderLines val="1"/>
        </c:dLbls>
        <c:firstSliceAng val="0"/>
        <c:holeSize val="6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First assessment report</c:v>
                </c:pt>
              </c:strCache>
            </c:strRef>
          </c:tx>
          <c:spPr>
            <a:solidFill>
              <a:schemeClr val="accent1"/>
            </a:solidFill>
            <a:ln>
              <a:noFill/>
            </a:ln>
            <a:effectLst/>
          </c:spPr>
          <c:invertIfNegative val="0"/>
          <c:cat>
            <c:strRef>
              <c:f>Sheet1!$A$2:$A$13</c:f>
              <c:strCache>
                <c:ptCount val="12"/>
                <c:pt idx="0">
                  <c:v>Q1 2019-20</c:v>
                </c:pt>
                <c:pt idx="1">
                  <c:v>Q2 2019-20</c:v>
                </c:pt>
                <c:pt idx="2">
                  <c:v>Q3 2019-20</c:v>
                </c:pt>
                <c:pt idx="3">
                  <c:v>Q4 2019-20</c:v>
                </c:pt>
                <c:pt idx="4">
                  <c:v>Q1 2020-21</c:v>
                </c:pt>
                <c:pt idx="5">
                  <c:v>Q2 2020-21</c:v>
                </c:pt>
                <c:pt idx="6">
                  <c:v>Q3 2020-21</c:v>
                </c:pt>
                <c:pt idx="7">
                  <c:v>Q4 2020-21</c:v>
                </c:pt>
                <c:pt idx="8">
                  <c:v>Q1 2021-22</c:v>
                </c:pt>
                <c:pt idx="9">
                  <c:v>Q2 2021-22</c:v>
                </c:pt>
                <c:pt idx="10">
                  <c:v>Q3 2021-22</c:v>
                </c:pt>
                <c:pt idx="11">
                  <c:v>Q4 2021-22</c:v>
                </c:pt>
              </c:strCache>
            </c:strRef>
          </c:cat>
          <c:val>
            <c:numRef>
              <c:f>Sheet1!$B$2:$B$13</c:f>
              <c:numCache>
                <c:formatCode>General</c:formatCode>
                <c:ptCount val="12"/>
                <c:pt idx="0">
                  <c:v>82</c:v>
                </c:pt>
                <c:pt idx="1">
                  <c:v>86</c:v>
                </c:pt>
                <c:pt idx="2">
                  <c:v>104</c:v>
                </c:pt>
                <c:pt idx="3">
                  <c:v>146</c:v>
                </c:pt>
                <c:pt idx="4">
                  <c:v>125</c:v>
                </c:pt>
                <c:pt idx="5">
                  <c:v>126</c:v>
                </c:pt>
                <c:pt idx="6">
                  <c:v>129</c:v>
                </c:pt>
                <c:pt idx="7">
                  <c:v>165</c:v>
                </c:pt>
                <c:pt idx="8">
                  <c:v>180</c:v>
                </c:pt>
                <c:pt idx="9">
                  <c:v>161</c:v>
                </c:pt>
                <c:pt idx="10">
                  <c:v>167</c:v>
                </c:pt>
                <c:pt idx="11">
                  <c:v>163</c:v>
                </c:pt>
              </c:numCache>
            </c:numRef>
          </c:val>
          <c:extLst>
            <c:ext xmlns:c16="http://schemas.microsoft.com/office/drawing/2014/chart" uri="{C3380CC4-5D6E-409C-BE32-E72D297353CC}">
              <c16:uniqueId val="{00000000-2F01-467D-8A98-EB11D1F525E7}"/>
            </c:ext>
          </c:extLst>
        </c:ser>
        <c:ser>
          <c:idx val="1"/>
          <c:order val="1"/>
          <c:tx>
            <c:strRef>
              <c:f>Sheet1!$C$1</c:f>
              <c:strCache>
                <c:ptCount val="1"/>
                <c:pt idx="0">
                  <c:v>Consulting assessment report</c:v>
                </c:pt>
              </c:strCache>
            </c:strRef>
          </c:tx>
          <c:spPr>
            <a:solidFill>
              <a:schemeClr val="accent2"/>
            </a:solidFill>
            <a:ln>
              <a:noFill/>
            </a:ln>
            <a:effectLst/>
          </c:spPr>
          <c:invertIfNegative val="0"/>
          <c:cat>
            <c:strRef>
              <c:f>Sheet1!$A$2:$A$13</c:f>
              <c:strCache>
                <c:ptCount val="12"/>
                <c:pt idx="0">
                  <c:v>Q1 2019-20</c:v>
                </c:pt>
                <c:pt idx="1">
                  <c:v>Q2 2019-20</c:v>
                </c:pt>
                <c:pt idx="2">
                  <c:v>Q3 2019-20</c:v>
                </c:pt>
                <c:pt idx="3">
                  <c:v>Q4 2019-20</c:v>
                </c:pt>
                <c:pt idx="4">
                  <c:v>Q1 2020-21</c:v>
                </c:pt>
                <c:pt idx="5">
                  <c:v>Q2 2020-21</c:v>
                </c:pt>
                <c:pt idx="6">
                  <c:v>Q3 2020-21</c:v>
                </c:pt>
                <c:pt idx="7">
                  <c:v>Q4 2020-21</c:v>
                </c:pt>
                <c:pt idx="8">
                  <c:v>Q1 2021-22</c:v>
                </c:pt>
                <c:pt idx="9">
                  <c:v>Q2 2021-22</c:v>
                </c:pt>
                <c:pt idx="10">
                  <c:v>Q3 2021-22</c:v>
                </c:pt>
                <c:pt idx="11">
                  <c:v>Q4 2021-22</c:v>
                </c:pt>
              </c:strCache>
            </c:strRef>
          </c:cat>
          <c:val>
            <c:numRef>
              <c:f>Sheet1!$C$2:$C$13</c:f>
              <c:numCache>
                <c:formatCode>General</c:formatCode>
                <c:ptCount val="12"/>
                <c:pt idx="0">
                  <c:v>43</c:v>
                </c:pt>
                <c:pt idx="1">
                  <c:v>69</c:v>
                </c:pt>
                <c:pt idx="2">
                  <c:v>75</c:v>
                </c:pt>
                <c:pt idx="3">
                  <c:v>117</c:v>
                </c:pt>
                <c:pt idx="4">
                  <c:v>99</c:v>
                </c:pt>
                <c:pt idx="5">
                  <c:v>95</c:v>
                </c:pt>
                <c:pt idx="6">
                  <c:v>92</c:v>
                </c:pt>
                <c:pt idx="7">
                  <c:v>126</c:v>
                </c:pt>
                <c:pt idx="8">
                  <c:v>135</c:v>
                </c:pt>
                <c:pt idx="9">
                  <c:v>118</c:v>
                </c:pt>
                <c:pt idx="10">
                  <c:v>122</c:v>
                </c:pt>
                <c:pt idx="11">
                  <c:v>121</c:v>
                </c:pt>
              </c:numCache>
            </c:numRef>
          </c:val>
          <c:extLst>
            <c:ext xmlns:c16="http://schemas.microsoft.com/office/drawing/2014/chart" uri="{C3380CC4-5D6E-409C-BE32-E72D297353CC}">
              <c16:uniqueId val="{00000001-2F01-467D-8A98-EB11D1F525E7}"/>
            </c:ext>
          </c:extLst>
        </c:ser>
        <c:ser>
          <c:idx val="2"/>
          <c:order val="2"/>
          <c:tx>
            <c:strRef>
              <c:f>Sheet1!$D$1</c:f>
              <c:strCache>
                <c:ptCount val="1"/>
                <c:pt idx="0">
                  <c:v>Final review</c:v>
                </c:pt>
              </c:strCache>
            </c:strRef>
          </c:tx>
          <c:spPr>
            <a:solidFill>
              <a:schemeClr val="accent3"/>
            </a:solidFill>
            <a:ln>
              <a:noFill/>
            </a:ln>
            <a:effectLst/>
          </c:spPr>
          <c:invertIfNegative val="0"/>
          <c:cat>
            <c:strRef>
              <c:f>Sheet1!$A$2:$A$13</c:f>
              <c:strCache>
                <c:ptCount val="12"/>
                <c:pt idx="0">
                  <c:v>Q1 2019-20</c:v>
                </c:pt>
                <c:pt idx="1">
                  <c:v>Q2 2019-20</c:v>
                </c:pt>
                <c:pt idx="2">
                  <c:v>Q3 2019-20</c:v>
                </c:pt>
                <c:pt idx="3">
                  <c:v>Q4 2019-20</c:v>
                </c:pt>
                <c:pt idx="4">
                  <c:v>Q1 2020-21</c:v>
                </c:pt>
                <c:pt idx="5">
                  <c:v>Q2 2020-21</c:v>
                </c:pt>
                <c:pt idx="6">
                  <c:v>Q3 2020-21</c:v>
                </c:pt>
                <c:pt idx="7">
                  <c:v>Q4 2020-21</c:v>
                </c:pt>
                <c:pt idx="8">
                  <c:v>Q1 2021-22</c:v>
                </c:pt>
                <c:pt idx="9">
                  <c:v>Q2 2021-22</c:v>
                </c:pt>
                <c:pt idx="10">
                  <c:v>Q3 2021-22</c:v>
                </c:pt>
                <c:pt idx="11">
                  <c:v>Q4 2021-22</c:v>
                </c:pt>
              </c:strCache>
            </c:strRef>
          </c:cat>
          <c:val>
            <c:numRef>
              <c:f>Sheet1!$D$2:$D$13</c:f>
              <c:numCache>
                <c:formatCode>General</c:formatCode>
                <c:ptCount val="12"/>
                <c:pt idx="0">
                  <c:v>28</c:v>
                </c:pt>
                <c:pt idx="1">
                  <c:v>60</c:v>
                </c:pt>
                <c:pt idx="2">
                  <c:v>62</c:v>
                </c:pt>
                <c:pt idx="3">
                  <c:v>100</c:v>
                </c:pt>
                <c:pt idx="4">
                  <c:v>87</c:v>
                </c:pt>
                <c:pt idx="5">
                  <c:v>82</c:v>
                </c:pt>
                <c:pt idx="6">
                  <c:v>85</c:v>
                </c:pt>
                <c:pt idx="7">
                  <c:v>116</c:v>
                </c:pt>
                <c:pt idx="8">
                  <c:v>116</c:v>
                </c:pt>
                <c:pt idx="9">
                  <c:v>108</c:v>
                </c:pt>
                <c:pt idx="10">
                  <c:v>115</c:v>
                </c:pt>
                <c:pt idx="11">
                  <c:v>93</c:v>
                </c:pt>
              </c:numCache>
            </c:numRef>
          </c:val>
          <c:extLst>
            <c:ext xmlns:c16="http://schemas.microsoft.com/office/drawing/2014/chart" uri="{C3380CC4-5D6E-409C-BE32-E72D297353CC}">
              <c16:uniqueId val="{00000002-2F01-467D-8A98-EB11D1F525E7}"/>
            </c:ext>
          </c:extLst>
        </c:ser>
        <c:ser>
          <c:idx val="3"/>
          <c:order val="3"/>
          <c:tx>
            <c:strRef>
              <c:f>Sheet1!$E$1</c:f>
              <c:strCache>
                <c:ptCount val="1"/>
                <c:pt idx="0">
                  <c:v>Self-administration permit</c:v>
                </c:pt>
              </c:strCache>
            </c:strRef>
          </c:tx>
          <c:spPr>
            <a:solidFill>
              <a:schemeClr val="accent4"/>
            </a:solidFill>
            <a:ln>
              <a:noFill/>
            </a:ln>
            <a:effectLst/>
          </c:spPr>
          <c:invertIfNegative val="0"/>
          <c:cat>
            <c:strRef>
              <c:f>Sheet1!$A$2:$A$13</c:f>
              <c:strCache>
                <c:ptCount val="12"/>
                <c:pt idx="0">
                  <c:v>Q1 2019-20</c:v>
                </c:pt>
                <c:pt idx="1">
                  <c:v>Q2 2019-20</c:v>
                </c:pt>
                <c:pt idx="2">
                  <c:v>Q3 2019-20</c:v>
                </c:pt>
                <c:pt idx="3">
                  <c:v>Q4 2019-20</c:v>
                </c:pt>
                <c:pt idx="4">
                  <c:v>Q1 2020-21</c:v>
                </c:pt>
                <c:pt idx="5">
                  <c:v>Q2 2020-21</c:v>
                </c:pt>
                <c:pt idx="6">
                  <c:v>Q3 2020-21</c:v>
                </c:pt>
                <c:pt idx="7">
                  <c:v>Q4 2020-21</c:v>
                </c:pt>
                <c:pt idx="8">
                  <c:v>Q1 2021-22</c:v>
                </c:pt>
                <c:pt idx="9">
                  <c:v>Q2 2021-22</c:v>
                </c:pt>
                <c:pt idx="10">
                  <c:v>Q3 2021-22</c:v>
                </c:pt>
                <c:pt idx="11">
                  <c:v>Q4 2021-22</c:v>
                </c:pt>
              </c:strCache>
            </c:strRef>
          </c:cat>
          <c:val>
            <c:numRef>
              <c:f>Sheet1!$E$2:$E$13</c:f>
              <c:numCache>
                <c:formatCode>General</c:formatCode>
                <c:ptCount val="12"/>
                <c:pt idx="0">
                  <c:v>26</c:v>
                </c:pt>
                <c:pt idx="1">
                  <c:v>49</c:v>
                </c:pt>
                <c:pt idx="2">
                  <c:v>56</c:v>
                </c:pt>
                <c:pt idx="3">
                  <c:v>83</c:v>
                </c:pt>
                <c:pt idx="4">
                  <c:v>80</c:v>
                </c:pt>
                <c:pt idx="5">
                  <c:v>74</c:v>
                </c:pt>
                <c:pt idx="6">
                  <c:v>77</c:v>
                </c:pt>
                <c:pt idx="7">
                  <c:v>107</c:v>
                </c:pt>
                <c:pt idx="8">
                  <c:v>102</c:v>
                </c:pt>
                <c:pt idx="9">
                  <c:v>100</c:v>
                </c:pt>
                <c:pt idx="10">
                  <c:v>109</c:v>
                </c:pt>
                <c:pt idx="11">
                  <c:v>76</c:v>
                </c:pt>
              </c:numCache>
            </c:numRef>
          </c:val>
          <c:extLst>
            <c:ext xmlns:c16="http://schemas.microsoft.com/office/drawing/2014/chart" uri="{C3380CC4-5D6E-409C-BE32-E72D297353CC}">
              <c16:uniqueId val="{00000004-2F01-467D-8A98-EB11D1F525E7}"/>
            </c:ext>
          </c:extLst>
        </c:ser>
        <c:ser>
          <c:idx val="4"/>
          <c:order val="4"/>
          <c:tx>
            <c:strRef>
              <c:f>Sheet1!$F$1</c:f>
              <c:strCache>
                <c:ptCount val="1"/>
                <c:pt idx="0">
                  <c:v>Practitioner administration permit</c:v>
                </c:pt>
              </c:strCache>
            </c:strRef>
          </c:tx>
          <c:spPr>
            <a:solidFill>
              <a:schemeClr val="accent5"/>
            </a:solidFill>
            <a:ln>
              <a:noFill/>
            </a:ln>
            <a:effectLst/>
          </c:spPr>
          <c:invertIfNegative val="0"/>
          <c:cat>
            <c:strRef>
              <c:f>Sheet1!$A$2:$A$13</c:f>
              <c:strCache>
                <c:ptCount val="12"/>
                <c:pt idx="0">
                  <c:v>Q1 2019-20</c:v>
                </c:pt>
                <c:pt idx="1">
                  <c:v>Q2 2019-20</c:v>
                </c:pt>
                <c:pt idx="2">
                  <c:v>Q3 2019-20</c:v>
                </c:pt>
                <c:pt idx="3">
                  <c:v>Q4 2019-20</c:v>
                </c:pt>
                <c:pt idx="4">
                  <c:v>Q1 2020-21</c:v>
                </c:pt>
                <c:pt idx="5">
                  <c:v>Q2 2020-21</c:v>
                </c:pt>
                <c:pt idx="6">
                  <c:v>Q3 2020-21</c:v>
                </c:pt>
                <c:pt idx="7">
                  <c:v>Q4 2020-21</c:v>
                </c:pt>
                <c:pt idx="8">
                  <c:v>Q1 2021-22</c:v>
                </c:pt>
                <c:pt idx="9">
                  <c:v>Q2 2021-22</c:v>
                </c:pt>
                <c:pt idx="10">
                  <c:v>Q3 2021-22</c:v>
                </c:pt>
                <c:pt idx="11">
                  <c:v>Q4 2021-22</c:v>
                </c:pt>
              </c:strCache>
            </c:strRef>
          </c:cat>
          <c:val>
            <c:numRef>
              <c:f>Sheet1!$F$2:$F$13</c:f>
              <c:numCache>
                <c:formatCode>General</c:formatCode>
                <c:ptCount val="12"/>
                <c:pt idx="0">
                  <c:v>2</c:v>
                </c:pt>
                <c:pt idx="1">
                  <c:v>9</c:v>
                </c:pt>
                <c:pt idx="2">
                  <c:v>6</c:v>
                </c:pt>
                <c:pt idx="3">
                  <c:v>18</c:v>
                </c:pt>
                <c:pt idx="4">
                  <c:v>11</c:v>
                </c:pt>
                <c:pt idx="5">
                  <c:v>14</c:v>
                </c:pt>
                <c:pt idx="6">
                  <c:v>8</c:v>
                </c:pt>
                <c:pt idx="7">
                  <c:v>11</c:v>
                </c:pt>
                <c:pt idx="8">
                  <c:v>14</c:v>
                </c:pt>
                <c:pt idx="9">
                  <c:v>16</c:v>
                </c:pt>
                <c:pt idx="10">
                  <c:v>14</c:v>
                </c:pt>
                <c:pt idx="11">
                  <c:v>20</c:v>
                </c:pt>
              </c:numCache>
            </c:numRef>
          </c:val>
          <c:extLst>
            <c:ext xmlns:c16="http://schemas.microsoft.com/office/drawing/2014/chart" uri="{C3380CC4-5D6E-409C-BE32-E72D297353CC}">
              <c16:uniqueId val="{00000005-2F01-467D-8A98-EB11D1F525E7}"/>
            </c:ext>
          </c:extLst>
        </c:ser>
        <c:ser>
          <c:idx val="5"/>
          <c:order val="5"/>
          <c:tx>
            <c:strRef>
              <c:f>Sheet1!$G$1</c:f>
              <c:strCache>
                <c:ptCount val="1"/>
                <c:pt idx="0">
                  <c:v>Substance dispensing</c:v>
                </c:pt>
              </c:strCache>
            </c:strRef>
          </c:tx>
          <c:spPr>
            <a:solidFill>
              <a:schemeClr val="accent6"/>
            </a:solidFill>
            <a:ln>
              <a:noFill/>
            </a:ln>
            <a:effectLst/>
          </c:spPr>
          <c:invertIfNegative val="0"/>
          <c:cat>
            <c:strRef>
              <c:f>Sheet1!$A$2:$A$13</c:f>
              <c:strCache>
                <c:ptCount val="12"/>
                <c:pt idx="0">
                  <c:v>Q1 2019-20</c:v>
                </c:pt>
                <c:pt idx="1">
                  <c:v>Q2 2019-20</c:v>
                </c:pt>
                <c:pt idx="2">
                  <c:v>Q3 2019-20</c:v>
                </c:pt>
                <c:pt idx="3">
                  <c:v>Q4 2019-20</c:v>
                </c:pt>
                <c:pt idx="4">
                  <c:v>Q1 2020-21</c:v>
                </c:pt>
                <c:pt idx="5">
                  <c:v>Q2 2020-21</c:v>
                </c:pt>
                <c:pt idx="6">
                  <c:v>Q3 2020-21</c:v>
                </c:pt>
                <c:pt idx="7">
                  <c:v>Q4 2020-21</c:v>
                </c:pt>
                <c:pt idx="8">
                  <c:v>Q1 2021-22</c:v>
                </c:pt>
                <c:pt idx="9">
                  <c:v>Q2 2021-22</c:v>
                </c:pt>
                <c:pt idx="10">
                  <c:v>Q3 2021-22</c:v>
                </c:pt>
                <c:pt idx="11">
                  <c:v>Q4 2021-22</c:v>
                </c:pt>
              </c:strCache>
            </c:strRef>
          </c:cat>
          <c:val>
            <c:numRef>
              <c:f>Sheet1!$G$2:$G$13</c:f>
              <c:numCache>
                <c:formatCode>General</c:formatCode>
                <c:ptCount val="12"/>
                <c:pt idx="0">
                  <c:v>15</c:v>
                </c:pt>
                <c:pt idx="1">
                  <c:v>42</c:v>
                </c:pt>
                <c:pt idx="2">
                  <c:v>39</c:v>
                </c:pt>
                <c:pt idx="3">
                  <c:v>58</c:v>
                </c:pt>
                <c:pt idx="4">
                  <c:v>70</c:v>
                </c:pt>
                <c:pt idx="5">
                  <c:v>57</c:v>
                </c:pt>
                <c:pt idx="6">
                  <c:v>61</c:v>
                </c:pt>
                <c:pt idx="7">
                  <c:v>71</c:v>
                </c:pt>
                <c:pt idx="8">
                  <c:v>87</c:v>
                </c:pt>
                <c:pt idx="9">
                  <c:v>79</c:v>
                </c:pt>
                <c:pt idx="10">
                  <c:v>101</c:v>
                </c:pt>
                <c:pt idx="11">
                  <c:v>85</c:v>
                </c:pt>
              </c:numCache>
            </c:numRef>
          </c:val>
          <c:extLst>
            <c:ext xmlns:c16="http://schemas.microsoft.com/office/drawing/2014/chart" uri="{C3380CC4-5D6E-409C-BE32-E72D297353CC}">
              <c16:uniqueId val="{00000006-2F01-467D-8A98-EB11D1F525E7}"/>
            </c:ext>
          </c:extLst>
        </c:ser>
        <c:dLbls>
          <c:showLegendKey val="0"/>
          <c:showVal val="0"/>
          <c:showCatName val="0"/>
          <c:showSerName val="0"/>
          <c:showPercent val="0"/>
          <c:showBubbleSize val="0"/>
        </c:dLbls>
        <c:gapWidth val="150"/>
        <c:overlap val="100"/>
        <c:axId val="913573312"/>
        <c:axId val="913571672"/>
      </c:barChart>
      <c:catAx>
        <c:axId val="913573312"/>
        <c:scaling>
          <c:orientation val="minMax"/>
        </c:scaling>
        <c:delete val="0"/>
        <c:axPos val="b"/>
        <c:title>
          <c:tx>
            <c:rich>
              <a:bodyPr rot="0" spcFirstLastPara="1" vertOverflow="ellipsis" vert="horz" wrap="square" anchor="b" anchorCtr="1"/>
              <a:lstStyle/>
              <a:p>
                <a:pPr>
                  <a:defRPr sz="1000" b="0" i="0" u="none" strike="noStrike" kern="1200" baseline="0">
                    <a:solidFill>
                      <a:schemeClr val="tx1">
                        <a:lumMod val="65000"/>
                        <a:lumOff val="35000"/>
                      </a:schemeClr>
                    </a:solidFill>
                    <a:latin typeface="+mj-lt"/>
                    <a:ea typeface="+mn-ea"/>
                    <a:cs typeface="+mn-cs"/>
                  </a:defRPr>
                </a:pPr>
                <a:r>
                  <a:rPr lang="en-AU">
                    <a:latin typeface="+mj-lt"/>
                  </a:rPr>
                  <a:t>Submission</a:t>
                </a:r>
                <a:r>
                  <a:rPr lang="en-AU" baseline="0">
                    <a:latin typeface="+mj-lt"/>
                  </a:rPr>
                  <a:t> Date (Quarter)</a:t>
                </a:r>
                <a:endParaRPr lang="en-AU">
                  <a:latin typeface="+mj-lt"/>
                </a:endParaRPr>
              </a:p>
            </c:rich>
          </c:tx>
          <c:overlay val="0"/>
          <c:spPr>
            <a:noFill/>
            <a:ln>
              <a:noFill/>
            </a:ln>
            <a:effectLst/>
          </c:spPr>
          <c:txPr>
            <a:bodyPr rot="0" spcFirstLastPara="1" vertOverflow="ellipsis" vert="horz" wrap="square" anchor="b" anchorCtr="1"/>
            <a:lstStyle/>
            <a:p>
              <a:pPr>
                <a:defRPr sz="1000" b="0" i="0" u="none" strike="noStrike" kern="1200" baseline="0">
                  <a:solidFill>
                    <a:schemeClr val="tx1">
                      <a:lumMod val="65000"/>
                      <a:lumOff val="35000"/>
                    </a:schemeClr>
                  </a:solidFill>
                  <a:latin typeface="+mj-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571672"/>
        <c:crosses val="autoZero"/>
        <c:auto val="1"/>
        <c:lblAlgn val="ctr"/>
        <c:lblOffset val="100"/>
        <c:tickLblSkip val="4"/>
        <c:noMultiLvlLbl val="0"/>
      </c:catAx>
      <c:valAx>
        <c:axId val="9135716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latin typeface="+mj-lt"/>
                  </a:rPr>
                  <a:t>Number</a:t>
                </a:r>
                <a:r>
                  <a:rPr lang="en-AU" baseline="0">
                    <a:latin typeface="+mj-lt"/>
                  </a:rPr>
                  <a:t> of forms</a:t>
                </a:r>
                <a:endParaRPr lang="en-AU">
                  <a:latin typeface="+mj-l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57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2019-20</c:v>
                </c:pt>
              </c:strCache>
            </c:strRef>
          </c:tx>
          <c:spPr>
            <a:solidFill>
              <a:schemeClr val="accent1"/>
            </a:solidFill>
            <a:ln>
              <a:noFill/>
            </a:ln>
            <a:effectLst/>
          </c:spPr>
          <c:invertIfNegative val="0"/>
          <c:cat>
            <c:strRef>
              <c:f>Sheet1!$A$2:$A$4</c:f>
              <c:strCache>
                <c:ptCount val="3"/>
                <c:pt idx="0">
                  <c:v>By administration of the voluntary assisted dying substance by a medical practitioner</c:v>
                </c:pt>
                <c:pt idx="1">
                  <c:v>By self-administration of the voluntary assisted dying substance</c:v>
                </c:pt>
                <c:pt idx="2">
                  <c:v>Not related to the administration of a voluntary assisted dying substance</c:v>
                </c:pt>
              </c:strCache>
            </c:strRef>
          </c:cat>
          <c:val>
            <c:numRef>
              <c:f>Sheet1!$B$2:$B$4</c:f>
              <c:numCache>
                <c:formatCode>General</c:formatCode>
                <c:ptCount val="3"/>
                <c:pt idx="0">
                  <c:v>21</c:v>
                </c:pt>
                <c:pt idx="1">
                  <c:v>110</c:v>
                </c:pt>
                <c:pt idx="2">
                  <c:v>59</c:v>
                </c:pt>
              </c:numCache>
            </c:numRef>
          </c:val>
          <c:extLst>
            <c:ext xmlns:c16="http://schemas.microsoft.com/office/drawing/2014/chart" uri="{C3380CC4-5D6E-409C-BE32-E72D297353CC}">
              <c16:uniqueId val="{00000000-4592-49BA-8FD6-418DD5394909}"/>
            </c:ext>
          </c:extLst>
        </c:ser>
        <c:ser>
          <c:idx val="1"/>
          <c:order val="1"/>
          <c:tx>
            <c:strRef>
              <c:f>Sheet1!$C$1</c:f>
              <c:strCache>
                <c:ptCount val="1"/>
                <c:pt idx="0">
                  <c:v>2020-21</c:v>
                </c:pt>
              </c:strCache>
            </c:strRef>
          </c:tx>
          <c:spPr>
            <a:solidFill>
              <a:schemeClr val="accent2"/>
            </a:solidFill>
            <a:ln>
              <a:noFill/>
            </a:ln>
            <a:effectLst/>
          </c:spPr>
          <c:invertIfNegative val="0"/>
          <c:cat>
            <c:strRef>
              <c:f>Sheet1!$A$2:$A$4</c:f>
              <c:strCache>
                <c:ptCount val="3"/>
                <c:pt idx="0">
                  <c:v>By administration of the voluntary assisted dying substance by a medical practitioner</c:v>
                </c:pt>
                <c:pt idx="1">
                  <c:v>By self-administration of the voluntary assisted dying substance</c:v>
                </c:pt>
                <c:pt idx="2">
                  <c:v>Not related to the administration of a voluntary assisted dying substance</c:v>
                </c:pt>
              </c:strCache>
            </c:strRef>
          </c:cat>
          <c:val>
            <c:numRef>
              <c:f>Sheet1!$C$2:$C$4</c:f>
              <c:numCache>
                <c:formatCode>General</c:formatCode>
                <c:ptCount val="3"/>
                <c:pt idx="0">
                  <c:v>28</c:v>
                </c:pt>
                <c:pt idx="1">
                  <c:v>176</c:v>
                </c:pt>
                <c:pt idx="2">
                  <c:v>105</c:v>
                </c:pt>
              </c:numCache>
            </c:numRef>
          </c:val>
          <c:extLst>
            <c:ext xmlns:c16="http://schemas.microsoft.com/office/drawing/2014/chart" uri="{C3380CC4-5D6E-409C-BE32-E72D297353CC}">
              <c16:uniqueId val="{00000001-4592-49BA-8FD6-418DD5394909}"/>
            </c:ext>
          </c:extLst>
        </c:ser>
        <c:ser>
          <c:idx val="2"/>
          <c:order val="2"/>
          <c:tx>
            <c:strRef>
              <c:f>Sheet1!$D$1</c:f>
              <c:strCache>
                <c:ptCount val="1"/>
                <c:pt idx="0">
                  <c:v>2021-22</c:v>
                </c:pt>
              </c:strCache>
            </c:strRef>
          </c:tx>
          <c:spPr>
            <a:solidFill>
              <a:schemeClr val="accent3"/>
            </a:solidFill>
            <a:ln>
              <a:noFill/>
            </a:ln>
            <a:effectLst/>
          </c:spPr>
          <c:invertIfNegative val="0"/>
          <c:cat>
            <c:strRef>
              <c:f>Sheet1!$A$2:$A$4</c:f>
              <c:strCache>
                <c:ptCount val="3"/>
                <c:pt idx="0">
                  <c:v>By administration of the voluntary assisted dying substance by a medical practitioner</c:v>
                </c:pt>
                <c:pt idx="1">
                  <c:v>By self-administration of the voluntary assisted dying substance</c:v>
                </c:pt>
                <c:pt idx="2">
                  <c:v>Not related to the administration of a voluntary assisted dying substance</c:v>
                </c:pt>
              </c:strCache>
            </c:strRef>
          </c:cat>
          <c:val>
            <c:numRef>
              <c:f>Sheet1!$D$2:$D$4</c:f>
              <c:numCache>
                <c:formatCode>General</c:formatCode>
                <c:ptCount val="3"/>
                <c:pt idx="0">
                  <c:v>38</c:v>
                </c:pt>
                <c:pt idx="1">
                  <c:v>231</c:v>
                </c:pt>
                <c:pt idx="2">
                  <c:v>127</c:v>
                </c:pt>
              </c:numCache>
            </c:numRef>
          </c:val>
          <c:extLst>
            <c:ext xmlns:c16="http://schemas.microsoft.com/office/drawing/2014/chart" uri="{C3380CC4-5D6E-409C-BE32-E72D297353CC}">
              <c16:uniqueId val="{00000002-4592-49BA-8FD6-418DD5394909}"/>
            </c:ext>
          </c:extLst>
        </c:ser>
        <c:dLbls>
          <c:showLegendKey val="0"/>
          <c:showVal val="0"/>
          <c:showCatName val="0"/>
          <c:showSerName val="0"/>
          <c:showPercent val="0"/>
          <c:showBubbleSize val="0"/>
        </c:dLbls>
        <c:gapWidth val="219"/>
        <c:overlap val="-27"/>
        <c:axId val="1077325224"/>
        <c:axId val="1077322272"/>
      </c:barChart>
      <c:catAx>
        <c:axId val="1077325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en-US"/>
          </a:p>
        </c:txPr>
        <c:crossAx val="1077322272"/>
        <c:crosses val="autoZero"/>
        <c:auto val="1"/>
        <c:lblAlgn val="ctr"/>
        <c:lblOffset val="100"/>
        <c:noMultiLvlLbl val="0"/>
      </c:catAx>
      <c:valAx>
        <c:axId val="1077322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325224"/>
        <c:crosses val="autoZero"/>
        <c:crossBetween val="between"/>
      </c:valAx>
      <c:spPr>
        <a:noFill/>
        <a:ln>
          <a:noFill/>
        </a:ln>
        <a:effectLst/>
      </c:spPr>
    </c:plotArea>
    <c:legend>
      <c:legendPos val="b"/>
      <c:layout>
        <c:manualLayout>
          <c:xMode val="edge"/>
          <c:yMode val="edge"/>
          <c:x val="0.26247225972119198"/>
          <c:y val="0.90464910636170481"/>
          <c:w val="0.46920410548447389"/>
          <c:h val="7.15413698287714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CV Council 111020">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VIC Semibold + VIC">
      <a:majorFont>
        <a:latin typeface="VIC SemiBold"/>
        <a:ea typeface="Arial"/>
        <a:cs typeface="Arial"/>
      </a:majorFont>
      <a:minorFont>
        <a:latin typeface="ViC"/>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0ed20ca4-2c6e-490e-8c69-7c753f9d0ef8">
      <UserInfo>
        <DisplayName>SharingLinks.a48bf4a6-e8e9-4ea7-9053-37382f8930ba.Flexible.d07fddde-1d60-4b0c-ac8c-628ea233b9df</DisplayName>
        <AccountId>218</AccountId>
        <AccountType/>
      </UserInfo>
      <UserInfo>
        <DisplayName>Jill Gleeson (DHHS)</DisplayName>
        <AccountId>303</AccountId>
        <AccountType/>
      </UserInfo>
      <UserInfo>
        <DisplayName>Kathryn Snow (DHHS)</DisplayName>
        <AccountId>436</AccountId>
        <AccountType/>
      </UserInfo>
      <UserInfo>
        <DisplayName>Kate De Clercq (DHHS)</DisplayName>
        <AccountId>452</AccountId>
        <AccountType/>
      </UserInfo>
      <UserInfo>
        <DisplayName>Communications Safercare (DHHS)</DisplayName>
        <AccountId>478</AccountId>
        <AccountType/>
      </UserInfo>
      <UserInfo>
        <DisplayName>Hannah Sweetman (DHHS)</DisplayName>
        <AccountId>449</AccountId>
        <AccountType/>
      </UserInfo>
    </SharedWithUsers>
    <lcf76f155ced4ddcb4097134ff3c332f xmlns="2a79e43e-5718-4ac6-9083-e634f937f3c3">
      <Terms xmlns="http://schemas.microsoft.com/office/infopath/2007/PartnerControls"/>
    </lcf76f155ced4ddcb4097134ff3c332f>
    <Comment xmlns="2a79e43e-5718-4ac6-9083-e634f937f3c3" xsi:nil="true"/>
    <_Flow_SignoffStatus xmlns="2a79e43e-5718-4ac6-9083-e634f937f3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CB31DC0DF1AC4DBD04BC4E6E5F44FC" ma:contentTypeVersion="20" ma:contentTypeDescription="Create a new document." ma:contentTypeScope="" ma:versionID="13791124bd374dbcea4b098c665210ea">
  <xsd:schema xmlns:xsd="http://www.w3.org/2001/XMLSchema" xmlns:xs="http://www.w3.org/2001/XMLSchema" xmlns:p="http://schemas.microsoft.com/office/2006/metadata/properties" xmlns:ns2="2a79e43e-5718-4ac6-9083-e634f937f3c3" xmlns:ns3="0ed20ca4-2c6e-490e-8c69-7c753f9d0ef8" xmlns:ns4="5ce0f2b5-5be5-4508-bce9-d7011ece0659" targetNamespace="http://schemas.microsoft.com/office/2006/metadata/properties" ma:root="true" ma:fieldsID="db30209455fc13f9f604b2d50ec63620" ns2:_="" ns3:_="" ns4:_="">
    <xsd:import namespace="2a79e43e-5718-4ac6-9083-e634f937f3c3"/>
    <xsd:import namespace="0ed20ca4-2c6e-490e-8c69-7c753f9d0ef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2:Comment" minOccurs="0"/>
                <xsd:element ref="ns4:TaxCatchAll"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9e43e-5718-4ac6-9083-e634f937f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format="Dropdown" ma:internalName="Comment">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d20ca4-2c6e-490e-8c69-7c753f9d0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eceb2f5-dfa4-4661-8aaa-a5e6adc12264}" ma:internalName="TaxCatchAll" ma:showField="CatchAllData" ma:web="0ed20ca4-2c6e-490e-8c69-7c753f9d0e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E5D3D-4C9F-4899-AD0C-AB9B5C194F6E}">
  <ds:schemaRefs>
    <ds:schemaRef ds:uri="http://schemas.microsoft.com/sharepoint/v3/contenttype/forms"/>
  </ds:schemaRefs>
</ds:datastoreItem>
</file>

<file path=customXml/itemProps2.xml><?xml version="1.0" encoding="utf-8"?>
<ds:datastoreItem xmlns:ds="http://schemas.openxmlformats.org/officeDocument/2006/customXml" ds:itemID="{4269A0B9-623A-46E0-899D-92B98A2E3CC9}">
  <ds:schemaRefs>
    <ds:schemaRef ds:uri="http://schemas.openxmlformats.org/officeDocument/2006/bibliography"/>
  </ds:schemaRefs>
</ds:datastoreItem>
</file>

<file path=customXml/itemProps3.xml><?xml version="1.0" encoding="utf-8"?>
<ds:datastoreItem xmlns:ds="http://schemas.openxmlformats.org/officeDocument/2006/customXml" ds:itemID="{F302395F-A66F-4790-8F36-C589C9F0D5DD}">
  <ds:schemaRefs>
    <ds:schemaRef ds:uri="http://purl.org/dc/terms/"/>
    <ds:schemaRef ds:uri="2a79e43e-5718-4ac6-9083-e634f937f3c3"/>
    <ds:schemaRef ds:uri="http://schemas.microsoft.com/office/2006/documentManagement/types"/>
    <ds:schemaRef ds:uri="http://schemas.microsoft.com/office/infopath/2007/PartnerControls"/>
    <ds:schemaRef ds:uri="0ed20ca4-2c6e-490e-8c69-7c753f9d0ef8"/>
    <ds:schemaRef ds:uri="http://schemas.openxmlformats.org/package/2006/metadata/core-properties"/>
    <ds:schemaRef ds:uri="http://purl.org/dc/elements/1.1/"/>
    <ds:schemaRef ds:uri="http://schemas.microsoft.com/office/2006/metadata/properties"/>
    <ds:schemaRef ds:uri="5ce0f2b5-5be5-4508-bce9-d7011ece0659"/>
    <ds:schemaRef ds:uri="http://www.w3.org/XML/1998/namespace"/>
    <ds:schemaRef ds:uri="http://purl.org/dc/dcmitype/"/>
  </ds:schemaRefs>
</ds:datastoreItem>
</file>

<file path=customXml/itemProps4.xml><?xml version="1.0" encoding="utf-8"?>
<ds:datastoreItem xmlns:ds="http://schemas.openxmlformats.org/officeDocument/2006/customXml" ds:itemID="{F5B936C1-54DE-4EC7-BBBD-5C5E3E382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9e43e-5718-4ac6-9083-e634f937f3c3"/>
    <ds:schemaRef ds:uri="0ed20ca4-2c6e-490e-8c69-7c753f9d0e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36</Pages>
  <Words>8315</Words>
  <Characters>47396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55600</CharactersWithSpaces>
  <SharedDoc>false</SharedDoc>
  <HLinks>
    <vt:vector size="36" baseType="variant">
      <vt:variant>
        <vt:i4>2162774</vt:i4>
      </vt:variant>
      <vt:variant>
        <vt:i4>15</vt:i4>
      </vt:variant>
      <vt:variant>
        <vt:i4>0</vt:i4>
      </vt:variant>
      <vt:variant>
        <vt:i4>5</vt:i4>
      </vt:variant>
      <vt:variant>
        <vt:lpwstr>mailto:vadcommunity@westvicphn.com.au</vt:lpwstr>
      </vt:variant>
      <vt:variant>
        <vt:lpwstr/>
      </vt:variant>
      <vt:variant>
        <vt:i4>6094850</vt:i4>
      </vt:variant>
      <vt:variant>
        <vt:i4>12</vt:i4>
      </vt:variant>
      <vt:variant>
        <vt:i4>0</vt:i4>
      </vt:variant>
      <vt:variant>
        <vt:i4>5</vt:i4>
      </vt:variant>
      <vt:variant>
        <vt:lpwstr>http://www.safercare.vic/</vt:lpwstr>
      </vt:variant>
      <vt:variant>
        <vt:lpwstr/>
      </vt:variant>
      <vt:variant>
        <vt:i4>70</vt:i4>
      </vt:variant>
      <vt:variant>
        <vt:i4>9</vt:i4>
      </vt:variant>
      <vt:variant>
        <vt:i4>0</vt:i4>
      </vt:variant>
      <vt:variant>
        <vt:i4>5</vt:i4>
      </vt:variant>
      <vt:variant>
        <vt:lpwstr>https://www.safercare.vic.gov.au/</vt:lpwstr>
      </vt:variant>
      <vt:variant>
        <vt:lpwstr/>
      </vt:variant>
      <vt:variant>
        <vt:i4>4456545</vt:i4>
      </vt:variant>
      <vt:variant>
        <vt:i4>6</vt:i4>
      </vt:variant>
      <vt:variant>
        <vt:i4>0</vt:i4>
      </vt:variant>
      <vt:variant>
        <vt:i4>5</vt:i4>
      </vt:variant>
      <vt:variant>
        <vt:lpwstr>mailto:safercarevictoria@dhhs.vic</vt:lpwstr>
      </vt:variant>
      <vt:variant>
        <vt:lpwstr/>
      </vt:variant>
      <vt:variant>
        <vt:i4>7733315</vt:i4>
      </vt:variant>
      <vt:variant>
        <vt:i4>3</vt:i4>
      </vt:variant>
      <vt:variant>
        <vt:i4>0</vt:i4>
      </vt:variant>
      <vt:variant>
        <vt:i4>5</vt:i4>
      </vt:variant>
      <vt:variant>
        <vt:lpwstr>mailto:info@safercarevictoria.vic.gov.au</vt:lpwstr>
      </vt:variant>
      <vt:variant>
        <vt:lpwstr/>
      </vt:variant>
      <vt:variant>
        <vt:i4>2687088</vt:i4>
      </vt:variant>
      <vt:variant>
        <vt:i4>0</vt:i4>
      </vt:variant>
      <vt:variant>
        <vt:i4>0</vt:i4>
      </vt:variant>
      <vt:variant>
        <vt:i4>5</vt:i4>
      </vt:variant>
      <vt:variant>
        <vt:lpwstr>http://www.safercare.vic.gov.au/about/vadrb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Emma Gumbleton (DHHS)</dc:creator>
  <cp:keywords/>
  <cp:lastModifiedBy>Kate De Clercq (DHHS)</cp:lastModifiedBy>
  <cp:revision>3</cp:revision>
  <cp:lastPrinted>2021-08-09T19:05:00Z</cp:lastPrinted>
  <dcterms:created xsi:type="dcterms:W3CDTF">2022-09-08T06:11:00Z</dcterms:created>
  <dcterms:modified xsi:type="dcterms:W3CDTF">2022-09-09T01:11:00Z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2021-08-08T23:48:26Z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a3ce051a-17ef-434c-9918-cb20d84163ff</vt:lpwstr>
  </property>
  <property fmtid="{D5CDD505-2E9C-101B-9397-08002B2CF9AE}" pid="9" name="MSIP_Label_efdf5488-3066-4b6c-8fea-9472b8a1f34c_ContentBits">
    <vt:lpwstr>0</vt:lpwstr>
  </property>
  <property fmtid="{D5CDD505-2E9C-101B-9397-08002B2CF9AE}" pid="10" name="ContentTypeId">
    <vt:lpwstr>0x01010069CB31DC0DF1AC4DBD04BC4E6E5F44FC</vt:lpwstr>
  </property>
  <property fmtid="{D5CDD505-2E9C-101B-9397-08002B2CF9AE}" pid="11" name="MediaServiceImageTags">
    <vt:lpwstr/>
  </property>
  <property fmtid="{D5CDD505-2E9C-101B-9397-08002B2CF9AE}" pid="12" name="lcf76f155ced4ddcb4097134ff3c332f">
    <vt:lpwstr/>
  </property>
</Properties>
</file>