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378A9" w:rsidP="000431F6" w:rsidRDefault="004378A9" w14:paraId="71999882" w14:textId="4EB90FEE">
      <w:pPr>
        <w:ind w:right="2777"/>
        <w:rPr>
          <w:b/>
          <w:bCs/>
          <w:sz w:val="28"/>
          <w:szCs w:val="28"/>
        </w:rPr>
      </w:pPr>
    </w:p>
    <w:p w:rsidR="0018470F" w:rsidP="000431F6" w:rsidRDefault="0018470F" w14:paraId="45FE7D1D" w14:textId="77777777">
      <w:pPr>
        <w:pStyle w:val="SCVdate"/>
        <w:ind w:right="2777"/>
      </w:pPr>
    </w:p>
    <w:p w:rsidR="0018470F" w:rsidP="000431F6" w:rsidRDefault="0018470F" w14:paraId="37E0A4B9" w14:textId="77777777">
      <w:pPr>
        <w:pStyle w:val="SCVdate"/>
        <w:ind w:right="2777"/>
      </w:pPr>
    </w:p>
    <w:p w:rsidR="0018470F" w:rsidP="000431F6" w:rsidRDefault="0018470F" w14:paraId="084CA9BD" w14:textId="77777777">
      <w:pPr>
        <w:pStyle w:val="SCVdate"/>
        <w:ind w:right="2777"/>
      </w:pPr>
    </w:p>
    <w:p w:rsidR="0018470F" w:rsidP="000431F6" w:rsidRDefault="0018470F" w14:paraId="20E68073" w14:textId="77777777">
      <w:pPr>
        <w:pStyle w:val="SCVdate"/>
        <w:ind w:right="2777"/>
      </w:pPr>
    </w:p>
    <w:p w:rsidR="0018470F" w:rsidP="000431F6" w:rsidRDefault="0018470F" w14:paraId="4C5A6D3A" w14:textId="77777777">
      <w:pPr>
        <w:pStyle w:val="SCVdate"/>
        <w:ind w:right="2777"/>
      </w:pPr>
    </w:p>
    <w:p w:rsidRPr="0059267A" w:rsidR="007F539E" w:rsidP="000431F6" w:rsidRDefault="6297A181" w14:paraId="410CF96B" w14:textId="68119561">
      <w:pPr>
        <w:pStyle w:val="SCVdate"/>
        <w:pBdr>
          <w:bottom w:val="single" w:color="BFBFBF" w:themeColor="background1" w:themeShade="BF" w:sz="24" w:space="10"/>
        </w:pBdr>
        <w:ind w:right="2777"/>
      </w:pPr>
      <w:r>
        <w:t xml:space="preserve">October </w:t>
      </w:r>
      <w:r w:rsidR="5B7925A9">
        <w:t>2022</w:t>
      </w:r>
    </w:p>
    <w:p w:rsidRPr="006F444D" w:rsidR="00C50A2B" w:rsidP="000431F6" w:rsidRDefault="007114F6" w14:paraId="27AD23C6" w14:textId="6AD85479">
      <w:pPr>
        <w:pStyle w:val="SCVfactsheettitle"/>
        <w:spacing w:before="360"/>
        <w:ind w:right="2777"/>
        <w:rPr>
          <w:sz w:val="76"/>
          <w:szCs w:val="76"/>
        </w:rPr>
      </w:pPr>
      <w:r w:rsidRPr="006F444D">
        <w:rPr>
          <w:sz w:val="76"/>
          <w:szCs w:val="76"/>
        </w:rPr>
        <w:t xml:space="preserve">Victorian </w:t>
      </w:r>
      <w:r w:rsidR="00FF4CBD">
        <w:rPr>
          <w:sz w:val="76"/>
          <w:szCs w:val="76"/>
        </w:rPr>
        <w:t>D</w:t>
      </w:r>
      <w:r w:rsidRPr="006F444D">
        <w:rPr>
          <w:sz w:val="76"/>
          <w:szCs w:val="76"/>
        </w:rPr>
        <w:t xml:space="preserve">uty of </w:t>
      </w:r>
      <w:r w:rsidR="00FF4CBD">
        <w:rPr>
          <w:sz w:val="76"/>
          <w:szCs w:val="76"/>
        </w:rPr>
        <w:t>C</w:t>
      </w:r>
      <w:r w:rsidRPr="006F444D">
        <w:rPr>
          <w:sz w:val="76"/>
          <w:szCs w:val="76"/>
        </w:rPr>
        <w:t>andour</w:t>
      </w:r>
      <w:r w:rsidRPr="006F444D" w:rsidR="004234DE">
        <w:rPr>
          <w:sz w:val="76"/>
          <w:szCs w:val="76"/>
        </w:rPr>
        <w:t xml:space="preserve"> </w:t>
      </w:r>
      <w:r w:rsidR="00FF4CBD">
        <w:rPr>
          <w:sz w:val="76"/>
          <w:szCs w:val="76"/>
        </w:rPr>
        <w:t>F</w:t>
      </w:r>
      <w:r w:rsidRPr="006F444D">
        <w:rPr>
          <w:sz w:val="76"/>
          <w:szCs w:val="76"/>
        </w:rPr>
        <w:t>ramework</w:t>
      </w:r>
    </w:p>
    <w:p w:rsidRPr="00876171" w:rsidR="00C50A2B" w:rsidP="000431F6" w:rsidRDefault="004234DE" w14:paraId="3842277D" w14:textId="6C7CFF63">
      <w:pPr>
        <w:pStyle w:val="SCVfactsheetsubtitle"/>
        <w:ind w:right="2777"/>
      </w:pPr>
      <w:r>
        <w:t xml:space="preserve">An implementation </w:t>
      </w:r>
      <w:bookmarkStart w:name="_Int_e1ICRZOA" w:id="0"/>
      <w:r>
        <w:t>guide</w:t>
      </w:r>
      <w:bookmarkEnd w:id="0"/>
    </w:p>
    <w:p w:rsidR="00C50A2B" w:rsidP="000431F6" w:rsidRDefault="003F622E" w14:paraId="5CF1C7F7" w14:textId="77777777">
      <w:pPr>
        <w:pStyle w:val="SCVprotectivemarkingbelowsubtitle"/>
        <w:ind w:right="2777"/>
      </w:pPr>
      <w:r>
        <w:fldChar w:fldCharType="begin"/>
      </w:r>
      <w:r>
        <w:instrText>FILLIN  "Type the protective marking" \d OFFICIAL \o  \* MERGEFORMAT</w:instrText>
      </w:r>
      <w:r>
        <w:fldChar w:fldCharType="separate"/>
      </w:r>
      <w:r w:rsidR="002B64F6">
        <w:t>OFFICIAL</w:t>
      </w:r>
      <w:r>
        <w:fldChar w:fldCharType="end"/>
      </w:r>
    </w:p>
    <w:p w:rsidR="00C94D95" w:rsidRDefault="00C94D95" w14:paraId="19CADF40" w14:textId="77777777">
      <w:pPr>
        <w:rPr>
          <w:caps/>
          <w:sz w:val="24"/>
          <w:szCs w:val="24"/>
        </w:rPr>
        <w:sectPr w:rsidR="00C94D95" w:rsidSect="00656A2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851" w:footer="851" w:gutter="0"/>
          <w:cols w:space="284"/>
          <w:titlePg/>
          <w:docGrid w:linePitch="360"/>
        </w:sectPr>
      </w:pPr>
    </w:p>
    <w:p w:rsidR="5023F9E3" w:rsidP="1977F94D" w:rsidRDefault="61375730" w14:paraId="034EEAA1" w14:textId="01C092E9">
      <w:pPr>
        <w:rPr>
          <w:caps/>
          <w:sz w:val="24"/>
          <w:szCs w:val="24"/>
        </w:rPr>
      </w:pPr>
      <w:r>
        <w:t xml:space="preserve"> Our office is based on the land of the Traditional Owners, the Wurundjeri people of the Kulin Nation. We acknowledge and pay respect to their history, culture, and Elders past and present. We acknowledge Aboriginal people as Australia’s first peoples and as the Traditional Owners and custodians of the land and water on which we rely. We recognise and value the ongoing contribution of Aboriginal people and communities to Victorian life and how this enriches us. We embrace the spirit of reconciliation, working towards the equality of outcomes and ensuring an equal voice. For this land always was, and always will be, Aboriginal Land.  </w:t>
      </w:r>
    </w:p>
    <w:p w:rsidR="006C62EB" w:rsidRDefault="006C62EB" w14:paraId="0DEC0D49" w14:textId="77777777">
      <w:pPr>
        <w:rPr>
          <w:caps/>
          <w:sz w:val="24"/>
          <w:szCs w:val="24"/>
        </w:rPr>
      </w:pPr>
    </w:p>
    <w:tbl>
      <w:tblPr>
        <w:tblStyle w:val="SCVInformationTable"/>
        <w:tblpPr w:leftFromText="180" w:rightFromText="180" w:vertAnchor="text" w:horzAnchor="margin" w:tblpY="5619"/>
        <w:tblW w:w="10206" w:type="dxa"/>
        <w:tblLook w:val="0600" w:firstRow="0" w:lastRow="0" w:firstColumn="0" w:lastColumn="0" w:noHBand="1" w:noVBand="1"/>
      </w:tblPr>
      <w:tblGrid>
        <w:gridCol w:w="10206"/>
      </w:tblGrid>
      <w:tr w:rsidRPr="0059267A" w:rsidR="00587A88" w:rsidTr="00587A88" w14:paraId="44377061" w14:textId="77777777">
        <w:trPr>
          <w:cantSplit/>
          <w:trHeight w:val="3969"/>
        </w:trPr>
        <w:tc>
          <w:tcPr>
            <w:tcW w:w="10206" w:type="dxa"/>
          </w:tcPr>
          <w:p w:rsidRPr="0059267A" w:rsidR="00587A88" w:rsidP="00587A88" w:rsidRDefault="00587A88" w14:paraId="467C9F37" w14:textId="77777777">
            <w:pPr>
              <w:pStyle w:val="SCVaccessibilitypara"/>
            </w:pPr>
            <w:r w:rsidRPr="0059267A">
              <w:t xml:space="preserve">To receive this publication in an accessible format phone </w:t>
            </w:r>
            <w:r w:rsidRPr="00CE4B37">
              <w:t>03 9096 1384</w:t>
            </w:r>
            <w:r w:rsidRPr="0059267A">
              <w:t xml:space="preserve">, </w:t>
            </w:r>
            <w:r w:rsidRPr="0059267A">
              <w:br/>
            </w:r>
            <w:r w:rsidRPr="0059267A">
              <w:t xml:space="preserve">using the National Relay Service 13 36 </w:t>
            </w:r>
            <w:r w:rsidRPr="0059267A">
              <w:rPr>
                <w:spacing w:val="-2"/>
              </w:rPr>
              <w:t xml:space="preserve">77 if required, or </w:t>
            </w:r>
            <w:hyperlink w:history="1" r:id="rId17">
              <w:r w:rsidRPr="0059267A">
                <w:rPr>
                  <w:rStyle w:val="Hyperlink"/>
                </w:rPr>
                <w:t>email Safer Care Victoria</w:t>
              </w:r>
            </w:hyperlink>
            <w:r w:rsidRPr="0059267A">
              <w:t xml:space="preserve"> &lt;info@</w:t>
            </w:r>
            <w:hyperlink w:history="1" r:id="rId18">
              <w:r w:rsidRPr="0059267A">
                <w:t>safercarevictoria.vic</w:t>
              </w:r>
            </w:hyperlink>
            <w:r w:rsidRPr="0059267A">
              <w:t>.gov.au&gt;</w:t>
            </w:r>
          </w:p>
          <w:p w:rsidRPr="0059267A" w:rsidR="00587A88" w:rsidP="00587A88" w:rsidRDefault="00587A88" w14:paraId="35F4C9E3" w14:textId="77777777">
            <w:pPr>
              <w:pStyle w:val="SCVimprint"/>
            </w:pPr>
            <w:r w:rsidRPr="0059267A">
              <w:t xml:space="preserve">Authorised and </w:t>
            </w:r>
            <w:r w:rsidRPr="0059267A">
              <w:rPr>
                <w:spacing w:val="-2"/>
              </w:rPr>
              <w:t>published by the Victorian</w:t>
            </w:r>
            <w:r w:rsidRPr="0059267A">
              <w:t xml:space="preserve"> Government, 1 Treasury Place, Melbourne.</w:t>
            </w:r>
          </w:p>
          <w:p w:rsidRPr="0059267A" w:rsidR="00587A88" w:rsidP="00587A88" w:rsidRDefault="00587A88" w14:paraId="0AF1D931" w14:textId="77777777">
            <w:pPr>
              <w:pStyle w:val="SCVimprint"/>
            </w:pPr>
            <w:r w:rsidRPr="0059267A">
              <w:t xml:space="preserve">© State of Victoria, Australia, Safer Care Victoria, </w:t>
            </w:r>
            <w:r>
              <w:t>October 2022</w:t>
            </w:r>
          </w:p>
          <w:p w:rsidRPr="0059267A" w:rsidR="00587A88" w:rsidP="00587A88" w:rsidRDefault="00587A88" w14:paraId="7B25EA77" w14:textId="77777777">
            <w:pPr>
              <w:pStyle w:val="SCVimprint"/>
            </w:pPr>
          </w:p>
          <w:p w:rsidRPr="0059267A" w:rsidR="00587A88" w:rsidP="00587A88" w:rsidRDefault="00587A88" w14:paraId="78A0C3E0" w14:textId="77777777">
            <w:pPr>
              <w:pStyle w:val="SCVimprint"/>
            </w:pPr>
            <w:r w:rsidRPr="0059267A">
              <w:t xml:space="preserve">Available at the </w:t>
            </w:r>
            <w:hyperlink w:history="1" r:id="rId19">
              <w:r w:rsidRPr="0059267A">
                <w:rPr>
                  <w:rStyle w:val="Hyperlink"/>
                </w:rPr>
                <w:t>Safer Care Victoria website</w:t>
              </w:r>
            </w:hyperlink>
            <w:r w:rsidRPr="0059267A">
              <w:t xml:space="preserve"> &lt;https://</w:t>
            </w:r>
            <w:hyperlink w:history="1" r:id="rId20">
              <w:r w:rsidRPr="0059267A">
                <w:t>www.safercare.vic</w:t>
              </w:r>
            </w:hyperlink>
            <w:r w:rsidRPr="0059267A">
              <w:t>.gov.au&gt;</w:t>
            </w:r>
          </w:p>
          <w:p w:rsidRPr="0059267A" w:rsidR="00587A88" w:rsidP="00587A88" w:rsidRDefault="00587A88" w14:paraId="4A8750E6" w14:textId="77777777">
            <w:pPr>
              <w:pStyle w:val="SCVbody"/>
              <w:jc w:val="right"/>
            </w:pPr>
            <w:r w:rsidRPr="0059267A">
              <w:rPr>
                <w:noProof/>
              </w:rPr>
              <w:drawing>
                <wp:inline distT="0" distB="0" distL="0" distR="0" wp14:anchorId="1DDF1780" wp14:editId="1295504F">
                  <wp:extent cx="795600" cy="453600"/>
                  <wp:effectExtent l="0" t="0" r="5080" b="3810"/>
                  <wp:docPr id="16" name="Picture 3"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rsidR="006C62EB" w:rsidRDefault="006C62EB" w14:paraId="5F5CEC9B" w14:textId="77777777">
      <w:pPr>
        <w:rPr>
          <w:caps/>
          <w:sz w:val="24"/>
          <w:szCs w:val="24"/>
        </w:rPr>
      </w:pPr>
    </w:p>
    <w:p w:rsidR="006C62EB" w:rsidRDefault="006C62EB" w14:paraId="2EF31A2A" w14:textId="2EB213EA">
      <w:pPr>
        <w:rPr>
          <w:caps/>
          <w:sz w:val="24"/>
          <w:szCs w:val="24"/>
        </w:rPr>
        <w:sectPr w:rsidR="006C62EB" w:rsidSect="00C94D95">
          <w:footerReference w:type="even" r:id="rId22"/>
          <w:pgSz w:w="11906" w:h="16838" w:code="9"/>
          <w:pgMar w:top="2438" w:right="737" w:bottom="1361" w:left="737" w:header="851" w:footer="851" w:gutter="0"/>
          <w:cols w:space="284"/>
          <w:docGrid w:linePitch="360"/>
        </w:sectPr>
      </w:pPr>
    </w:p>
    <w:p w:rsidR="006C62EB" w:rsidRDefault="006C62EB" w14:paraId="606572D4" w14:textId="77777777">
      <w:pPr>
        <w:rPr>
          <w:caps/>
          <w:sz w:val="24"/>
          <w:szCs w:val="24"/>
        </w:rPr>
      </w:pPr>
    </w:p>
    <w:p w:rsidR="00932935" w:rsidP="00FC2BBC" w:rsidRDefault="00FC2BBC" w14:paraId="159A5E60" w14:textId="2BF66CED">
      <w:pPr>
        <w:pStyle w:val="Heading3"/>
        <w:rPr>
          <w:sz w:val="48"/>
          <w:szCs w:val="48"/>
        </w:rPr>
      </w:pPr>
      <w:r w:rsidRPr="482F5776">
        <w:rPr>
          <w:sz w:val="48"/>
          <w:szCs w:val="48"/>
        </w:rPr>
        <w:t>Contents</w:t>
      </w:r>
    </w:p>
    <w:bookmarkStart w:name="_Toc52978537" w:id="1"/>
    <w:bookmarkStart w:name="_Toc43470670" w:id="2"/>
    <w:p w:rsidR="00E70F37" w:rsidP="6A79D74E" w:rsidRDefault="00E70F37" w14:paraId="53B649E1" w14:textId="4D768FE4">
      <w:pPr>
        <w:pStyle w:val="TOC1"/>
        <w:rPr>
          <w:b w:val="0"/>
          <w:sz w:val="22"/>
          <w:szCs w:val="22"/>
          <w:lang w:eastAsia="en-AU"/>
        </w:rPr>
      </w:pPr>
      <w:r>
        <w:rPr>
          <w:rStyle w:val="Hyperlink"/>
          <w:sz w:val="19"/>
          <w:szCs w:val="19"/>
        </w:rPr>
        <w:fldChar w:fldCharType="begin"/>
      </w:r>
      <w:r>
        <w:rPr>
          <w:rStyle w:val="Hyperlink"/>
          <w:sz w:val="19"/>
        </w:rPr>
        <w:instrText xml:space="preserve"> TOC \o "1-2" \h \z \u </w:instrText>
      </w:r>
      <w:r>
        <w:rPr>
          <w:rStyle w:val="Hyperlink"/>
          <w:sz w:val="19"/>
          <w:szCs w:val="19"/>
        </w:rPr>
        <w:fldChar w:fldCharType="separate"/>
      </w:r>
      <w:hyperlink w:anchor="_Toc117519222">
        <w:r w:rsidRPr="6A79D74E" w:rsidR="00B20237">
          <w:rPr>
            <w:rStyle w:val="Hyperlink"/>
          </w:rPr>
          <w:t>A note on terminology</w:t>
        </w:r>
        <w:r>
          <w:tab/>
        </w:r>
        <w:r>
          <w:fldChar w:fldCharType="begin"/>
        </w:r>
        <w:r>
          <w:instrText xml:space="preserve"> PAGEREF _Toc117519222 \h </w:instrText>
        </w:r>
        <w:r>
          <w:fldChar w:fldCharType="separate"/>
        </w:r>
        <w:r w:rsidR="00B20237">
          <w:t>2</w:t>
        </w:r>
        <w:r>
          <w:fldChar w:fldCharType="end"/>
        </w:r>
      </w:hyperlink>
    </w:p>
    <w:p w:rsidR="00B20237" w:rsidP="6A79D74E" w:rsidRDefault="003F622E" w14:paraId="7FE98C40" w14:textId="2B0192EA">
      <w:pPr>
        <w:pStyle w:val="TOC1"/>
        <w:rPr>
          <w:b w:val="0"/>
          <w:sz w:val="22"/>
          <w:szCs w:val="22"/>
          <w:lang w:eastAsia="en-AU"/>
        </w:rPr>
      </w:pPr>
      <w:hyperlink w:anchor="_Toc117519223">
        <w:r w:rsidRPr="6A79D74E" w:rsidR="00B20237">
          <w:rPr>
            <w:rStyle w:val="Hyperlink"/>
          </w:rPr>
          <w:t>About this framework</w:t>
        </w:r>
        <w:r w:rsidR="00B20237">
          <w:tab/>
        </w:r>
        <w:r w:rsidR="00B20237">
          <w:fldChar w:fldCharType="begin"/>
        </w:r>
        <w:r w:rsidR="00B20237">
          <w:instrText xml:space="preserve"> PAGEREF _Toc117519223 \h </w:instrText>
        </w:r>
        <w:r w:rsidR="00B20237">
          <w:fldChar w:fldCharType="separate"/>
        </w:r>
        <w:r w:rsidR="00B20237">
          <w:t>5</w:t>
        </w:r>
        <w:r w:rsidR="00B20237">
          <w:fldChar w:fldCharType="end"/>
        </w:r>
      </w:hyperlink>
    </w:p>
    <w:p w:rsidR="00B20237" w:rsidP="6A79D74E" w:rsidRDefault="003F622E" w14:paraId="199D3494" w14:textId="2EA6359E">
      <w:pPr>
        <w:pStyle w:val="TOC2"/>
        <w:rPr>
          <w:b w:val="0"/>
          <w:color w:val="auto"/>
          <w:sz w:val="22"/>
          <w:szCs w:val="22"/>
        </w:rPr>
      </w:pPr>
      <w:hyperlink w:anchor="_Toc117519224">
        <w:r w:rsidRPr="6A79D74E" w:rsidR="00B20237">
          <w:rPr>
            <w:rStyle w:val="Hyperlink"/>
          </w:rPr>
          <w:t>Why use this framework?</w:t>
        </w:r>
        <w:r w:rsidR="00B20237">
          <w:tab/>
        </w:r>
        <w:r w:rsidR="00B20237">
          <w:fldChar w:fldCharType="begin"/>
        </w:r>
        <w:r w:rsidR="00B20237">
          <w:instrText xml:space="preserve"> PAGEREF _Toc117519224 \h </w:instrText>
        </w:r>
        <w:r w:rsidR="00B20237">
          <w:fldChar w:fldCharType="separate"/>
        </w:r>
        <w:r w:rsidR="00B20237">
          <w:t>5</w:t>
        </w:r>
        <w:r w:rsidR="00B20237">
          <w:fldChar w:fldCharType="end"/>
        </w:r>
      </w:hyperlink>
    </w:p>
    <w:p w:rsidR="00B20237" w:rsidP="6A79D74E" w:rsidRDefault="003F622E" w14:paraId="24204060" w14:textId="6654D064">
      <w:pPr>
        <w:pStyle w:val="TOC2"/>
        <w:rPr>
          <w:b w:val="0"/>
          <w:color w:val="auto"/>
          <w:sz w:val="22"/>
          <w:szCs w:val="22"/>
        </w:rPr>
      </w:pPr>
      <w:hyperlink w:anchor="_Toc117519225">
        <w:r w:rsidRPr="6A79D74E" w:rsidR="00B20237">
          <w:rPr>
            <w:rStyle w:val="Hyperlink"/>
          </w:rPr>
          <w:t>Why Safer Care Victoria developed this framework</w:t>
        </w:r>
        <w:r w:rsidR="00B20237">
          <w:tab/>
        </w:r>
        <w:r w:rsidR="00B20237">
          <w:fldChar w:fldCharType="begin"/>
        </w:r>
        <w:r w:rsidR="00B20237">
          <w:instrText xml:space="preserve"> PAGEREF _Toc117519225 \h </w:instrText>
        </w:r>
        <w:r w:rsidR="00B20237">
          <w:fldChar w:fldCharType="separate"/>
        </w:r>
        <w:r w:rsidR="00B20237">
          <w:t>5</w:t>
        </w:r>
        <w:r w:rsidR="00B20237">
          <w:fldChar w:fldCharType="end"/>
        </w:r>
      </w:hyperlink>
    </w:p>
    <w:p w:rsidR="00B20237" w:rsidP="6A79D74E" w:rsidRDefault="003F622E" w14:paraId="2920DA5B" w14:textId="6ED97832">
      <w:pPr>
        <w:pStyle w:val="TOC2"/>
        <w:rPr>
          <w:b w:val="0"/>
          <w:color w:val="auto"/>
          <w:sz w:val="22"/>
          <w:szCs w:val="22"/>
        </w:rPr>
      </w:pPr>
      <w:hyperlink w:anchor="_Toc117519226">
        <w:r w:rsidRPr="6A79D74E" w:rsidR="00B20237">
          <w:rPr>
            <w:rStyle w:val="Hyperlink"/>
          </w:rPr>
          <w:t>Audience</w:t>
        </w:r>
        <w:r w:rsidR="00B20237">
          <w:tab/>
        </w:r>
        <w:r w:rsidR="00B20237">
          <w:fldChar w:fldCharType="begin"/>
        </w:r>
        <w:r w:rsidR="00B20237">
          <w:instrText xml:space="preserve"> PAGEREF _Toc117519226 \h </w:instrText>
        </w:r>
        <w:r w:rsidR="00B20237">
          <w:fldChar w:fldCharType="separate"/>
        </w:r>
        <w:r w:rsidR="00B20237">
          <w:t>6</w:t>
        </w:r>
        <w:r w:rsidR="00B20237">
          <w:fldChar w:fldCharType="end"/>
        </w:r>
      </w:hyperlink>
    </w:p>
    <w:p w:rsidR="00B20237" w:rsidP="6A79D74E" w:rsidRDefault="003F622E" w14:paraId="25EC3784" w14:textId="3016F04C">
      <w:pPr>
        <w:pStyle w:val="TOC1"/>
        <w:rPr>
          <w:b w:val="0"/>
          <w:sz w:val="22"/>
          <w:szCs w:val="22"/>
          <w:lang w:eastAsia="en-AU"/>
        </w:rPr>
      </w:pPr>
      <w:hyperlink w:anchor="_Toc117519227">
        <w:r w:rsidRPr="6A79D74E" w:rsidR="00B20237">
          <w:rPr>
            <w:rStyle w:val="Hyperlink"/>
          </w:rPr>
          <w:t>What is Statutory Duty of Candour?</w:t>
        </w:r>
        <w:r w:rsidR="00B20237">
          <w:tab/>
        </w:r>
        <w:r w:rsidR="00B20237">
          <w:fldChar w:fldCharType="begin"/>
        </w:r>
        <w:r w:rsidR="00B20237">
          <w:instrText xml:space="preserve"> PAGEREF _Toc117519227 \h </w:instrText>
        </w:r>
        <w:r w:rsidR="00B20237">
          <w:fldChar w:fldCharType="separate"/>
        </w:r>
        <w:r w:rsidR="00B20237">
          <w:t>7</w:t>
        </w:r>
        <w:r w:rsidR="00B20237">
          <w:fldChar w:fldCharType="end"/>
        </w:r>
      </w:hyperlink>
    </w:p>
    <w:p w:rsidR="00B20237" w:rsidP="6A79D74E" w:rsidRDefault="003F622E" w14:paraId="60D76DB3" w14:textId="3568F588">
      <w:pPr>
        <w:pStyle w:val="TOC2"/>
        <w:rPr>
          <w:b w:val="0"/>
          <w:color w:val="auto"/>
          <w:sz w:val="22"/>
          <w:szCs w:val="22"/>
        </w:rPr>
      </w:pPr>
      <w:hyperlink w:anchor="_Toc117519228">
        <w:r w:rsidRPr="6A79D74E" w:rsidR="00B20237">
          <w:rPr>
            <w:rStyle w:val="Hyperlink"/>
          </w:rPr>
          <w:t>Principles of SDC</w:t>
        </w:r>
        <w:r w:rsidR="00B20237">
          <w:tab/>
        </w:r>
        <w:r w:rsidR="00B20237">
          <w:fldChar w:fldCharType="begin"/>
        </w:r>
        <w:r w:rsidR="00B20237">
          <w:instrText xml:space="preserve"> PAGEREF _Toc117519228 \h </w:instrText>
        </w:r>
        <w:r w:rsidR="00B20237">
          <w:fldChar w:fldCharType="separate"/>
        </w:r>
        <w:r w:rsidR="00B20237">
          <w:t>7</w:t>
        </w:r>
        <w:r w:rsidR="00B20237">
          <w:fldChar w:fldCharType="end"/>
        </w:r>
      </w:hyperlink>
    </w:p>
    <w:p w:rsidR="00B20237" w:rsidP="6A79D74E" w:rsidRDefault="003F622E" w14:paraId="5D0A0539" w14:textId="143ECA2E">
      <w:pPr>
        <w:pStyle w:val="TOC2"/>
        <w:rPr>
          <w:b w:val="0"/>
          <w:color w:val="auto"/>
          <w:sz w:val="22"/>
          <w:szCs w:val="22"/>
        </w:rPr>
      </w:pPr>
      <w:hyperlink w:anchor="_Toc117519229">
        <w:r w:rsidRPr="6A79D74E" w:rsidR="00B20237">
          <w:rPr>
            <w:rStyle w:val="Hyperlink"/>
          </w:rPr>
          <w:t>Benefits of SDC</w:t>
        </w:r>
        <w:r w:rsidR="00B20237">
          <w:tab/>
        </w:r>
        <w:r w:rsidR="00B20237">
          <w:fldChar w:fldCharType="begin"/>
        </w:r>
        <w:r w:rsidR="00B20237">
          <w:instrText xml:space="preserve"> PAGEREF _Toc117519229 \h </w:instrText>
        </w:r>
        <w:r w:rsidR="00B20237">
          <w:fldChar w:fldCharType="separate"/>
        </w:r>
        <w:r w:rsidR="00B20237">
          <w:t>7</w:t>
        </w:r>
        <w:r w:rsidR="00B20237">
          <w:fldChar w:fldCharType="end"/>
        </w:r>
      </w:hyperlink>
    </w:p>
    <w:p w:rsidR="00B20237" w:rsidP="6A79D74E" w:rsidRDefault="003F622E" w14:paraId="7DECD4D3" w14:textId="5AA966BB">
      <w:pPr>
        <w:pStyle w:val="TOC2"/>
        <w:rPr>
          <w:b w:val="0"/>
          <w:color w:val="auto"/>
          <w:sz w:val="22"/>
          <w:szCs w:val="22"/>
        </w:rPr>
      </w:pPr>
      <w:hyperlink w:anchor="_Toc117519230">
        <w:r w:rsidRPr="6A79D74E" w:rsidR="00B20237">
          <w:rPr>
            <w:rStyle w:val="Hyperlink"/>
          </w:rPr>
          <w:t>The importance of a just culture for successful SDC implementation</w:t>
        </w:r>
        <w:r w:rsidR="00B20237">
          <w:tab/>
        </w:r>
        <w:r w:rsidR="00B20237">
          <w:fldChar w:fldCharType="begin"/>
        </w:r>
        <w:r w:rsidR="00B20237">
          <w:instrText xml:space="preserve"> PAGEREF _Toc117519230 \h </w:instrText>
        </w:r>
        <w:r w:rsidR="00B20237">
          <w:fldChar w:fldCharType="separate"/>
        </w:r>
        <w:r w:rsidR="00B20237">
          <w:t>8</w:t>
        </w:r>
        <w:r w:rsidR="00B20237">
          <w:fldChar w:fldCharType="end"/>
        </w:r>
      </w:hyperlink>
    </w:p>
    <w:p w:rsidR="00B20237" w:rsidP="6A79D74E" w:rsidRDefault="003F622E" w14:paraId="03D73815" w14:textId="23745965">
      <w:pPr>
        <w:pStyle w:val="TOC1"/>
        <w:rPr>
          <w:b w:val="0"/>
          <w:sz w:val="22"/>
          <w:szCs w:val="22"/>
          <w:lang w:eastAsia="en-AU"/>
        </w:rPr>
      </w:pPr>
      <w:hyperlink w:anchor="_Toc117519231">
        <w:r w:rsidRPr="6A79D74E" w:rsidR="00B20237">
          <w:rPr>
            <w:rStyle w:val="Hyperlink"/>
          </w:rPr>
          <w:t>When to undertake SDC</w:t>
        </w:r>
        <w:r w:rsidR="00B20237">
          <w:tab/>
        </w:r>
        <w:r w:rsidR="00B20237">
          <w:fldChar w:fldCharType="begin"/>
        </w:r>
        <w:r w:rsidR="00B20237">
          <w:instrText xml:space="preserve"> PAGEREF _Toc117519231 \h </w:instrText>
        </w:r>
        <w:r w:rsidR="00B20237">
          <w:fldChar w:fldCharType="separate"/>
        </w:r>
        <w:r w:rsidR="00B20237">
          <w:t>9</w:t>
        </w:r>
        <w:r w:rsidR="00B20237">
          <w:fldChar w:fldCharType="end"/>
        </w:r>
      </w:hyperlink>
    </w:p>
    <w:p w:rsidR="00B20237" w:rsidP="6A79D74E" w:rsidRDefault="003F622E" w14:paraId="435D4DE4" w14:textId="200F0F64">
      <w:pPr>
        <w:pStyle w:val="TOC2"/>
        <w:rPr>
          <w:b w:val="0"/>
          <w:color w:val="auto"/>
          <w:sz w:val="22"/>
          <w:szCs w:val="22"/>
        </w:rPr>
      </w:pPr>
      <w:hyperlink w:anchor="_Toc117519232">
        <w:r w:rsidRPr="6A79D74E" w:rsidR="00B20237">
          <w:rPr>
            <w:rStyle w:val="Hyperlink"/>
          </w:rPr>
          <w:t>Harm categories</w:t>
        </w:r>
        <w:r w:rsidR="00B20237">
          <w:tab/>
        </w:r>
        <w:r w:rsidR="00B20237">
          <w:fldChar w:fldCharType="begin"/>
        </w:r>
        <w:r w:rsidR="00B20237">
          <w:instrText xml:space="preserve"> PAGEREF _Toc117519232 \h </w:instrText>
        </w:r>
        <w:r w:rsidR="00B20237">
          <w:fldChar w:fldCharType="separate"/>
        </w:r>
        <w:r w:rsidR="00B20237">
          <w:t>10</w:t>
        </w:r>
        <w:r w:rsidR="00B20237">
          <w:fldChar w:fldCharType="end"/>
        </w:r>
      </w:hyperlink>
    </w:p>
    <w:p w:rsidR="00B20237" w:rsidP="6A79D74E" w:rsidRDefault="003F622E" w14:paraId="12D60FC4" w14:textId="47034EF1">
      <w:pPr>
        <w:pStyle w:val="TOC2"/>
        <w:rPr>
          <w:b w:val="0"/>
          <w:color w:val="auto"/>
          <w:sz w:val="22"/>
          <w:szCs w:val="22"/>
        </w:rPr>
      </w:pPr>
      <w:hyperlink w:anchor="_Toc117519233">
        <w:r w:rsidRPr="6A79D74E" w:rsidR="00B20237">
          <w:rPr>
            <w:rStyle w:val="Hyperlink"/>
          </w:rPr>
          <w:t>Cases involving more than one health service entity or patient</w:t>
        </w:r>
        <w:r w:rsidR="00B20237">
          <w:tab/>
        </w:r>
        <w:r w:rsidR="00B20237">
          <w:fldChar w:fldCharType="begin"/>
        </w:r>
        <w:r w:rsidR="00B20237">
          <w:instrText xml:space="preserve"> PAGEREF _Toc117519233 \h </w:instrText>
        </w:r>
        <w:r w:rsidR="00B20237">
          <w:fldChar w:fldCharType="separate"/>
        </w:r>
        <w:r w:rsidR="00B20237">
          <w:t>16</w:t>
        </w:r>
        <w:r w:rsidR="00B20237">
          <w:fldChar w:fldCharType="end"/>
        </w:r>
      </w:hyperlink>
    </w:p>
    <w:p w:rsidR="00B20237" w:rsidP="6A79D74E" w:rsidRDefault="003F622E" w14:paraId="7DA29A6E" w14:textId="5AD48CF7">
      <w:pPr>
        <w:pStyle w:val="TOC2"/>
        <w:rPr>
          <w:b w:val="0"/>
          <w:color w:val="auto"/>
          <w:sz w:val="22"/>
          <w:szCs w:val="22"/>
        </w:rPr>
      </w:pPr>
      <w:hyperlink w:anchor="_Toc117519234">
        <w:r w:rsidRPr="6A79D74E" w:rsidR="00B20237">
          <w:rPr>
            <w:rStyle w:val="Hyperlink"/>
          </w:rPr>
          <w:t>Escalation process for disagreements</w:t>
        </w:r>
        <w:r w:rsidR="00B20237">
          <w:tab/>
        </w:r>
        <w:r w:rsidR="00B20237">
          <w:fldChar w:fldCharType="begin"/>
        </w:r>
        <w:r w:rsidR="00B20237">
          <w:instrText xml:space="preserve"> PAGEREF _Toc117519234 \h </w:instrText>
        </w:r>
        <w:r w:rsidR="00B20237">
          <w:fldChar w:fldCharType="separate"/>
        </w:r>
        <w:r w:rsidR="00B20237">
          <w:t>16</w:t>
        </w:r>
        <w:r w:rsidR="00B20237">
          <w:fldChar w:fldCharType="end"/>
        </w:r>
      </w:hyperlink>
    </w:p>
    <w:p w:rsidR="00B20237" w:rsidP="6A79D74E" w:rsidRDefault="003F622E" w14:paraId="342CA48E" w14:textId="2BDEC9F7">
      <w:pPr>
        <w:pStyle w:val="TOC2"/>
        <w:rPr>
          <w:b w:val="0"/>
          <w:color w:val="auto"/>
          <w:sz w:val="22"/>
          <w:szCs w:val="22"/>
        </w:rPr>
      </w:pPr>
      <w:hyperlink w:anchor="_Toc117519235">
        <w:r w:rsidRPr="6A79D74E" w:rsidR="00B20237">
          <w:rPr>
            <w:rStyle w:val="Hyperlink"/>
          </w:rPr>
          <w:t>Non-compliance with SDC</w:t>
        </w:r>
        <w:r w:rsidR="00B20237">
          <w:tab/>
        </w:r>
        <w:r w:rsidR="00B20237">
          <w:fldChar w:fldCharType="begin"/>
        </w:r>
        <w:r w:rsidR="00B20237">
          <w:instrText xml:space="preserve"> PAGEREF _Toc117519235 \h </w:instrText>
        </w:r>
        <w:r w:rsidR="00B20237">
          <w:fldChar w:fldCharType="separate"/>
        </w:r>
        <w:r w:rsidR="00B20237">
          <w:t>17</w:t>
        </w:r>
        <w:r w:rsidR="00B20237">
          <w:fldChar w:fldCharType="end"/>
        </w:r>
      </w:hyperlink>
    </w:p>
    <w:p w:rsidR="00B20237" w:rsidP="6A79D74E" w:rsidRDefault="003F622E" w14:paraId="6D8D83A0" w14:textId="1B9F973B">
      <w:pPr>
        <w:pStyle w:val="TOC1"/>
        <w:rPr>
          <w:b w:val="0"/>
          <w:sz w:val="22"/>
          <w:szCs w:val="22"/>
          <w:lang w:eastAsia="en-AU"/>
        </w:rPr>
      </w:pPr>
      <w:hyperlink w:anchor="_Toc117519236">
        <w:r w:rsidRPr="6A79D74E" w:rsidR="00B20237">
          <w:rPr>
            <w:rStyle w:val="Hyperlink"/>
          </w:rPr>
          <w:t>Patient considerations</w:t>
        </w:r>
        <w:r w:rsidR="00B20237">
          <w:tab/>
        </w:r>
        <w:r w:rsidR="00B20237">
          <w:fldChar w:fldCharType="begin"/>
        </w:r>
        <w:r w:rsidR="00B20237">
          <w:instrText xml:space="preserve"> PAGEREF _Toc117519236 \h </w:instrText>
        </w:r>
        <w:r w:rsidR="00B20237">
          <w:fldChar w:fldCharType="separate"/>
        </w:r>
        <w:r w:rsidR="00B20237">
          <w:t>18</w:t>
        </w:r>
        <w:r w:rsidR="00B20237">
          <w:fldChar w:fldCharType="end"/>
        </w:r>
      </w:hyperlink>
    </w:p>
    <w:p w:rsidR="00B20237" w:rsidP="6A79D74E" w:rsidRDefault="003F622E" w14:paraId="02278504" w14:textId="0B548E72">
      <w:pPr>
        <w:pStyle w:val="TOC2"/>
        <w:rPr>
          <w:b w:val="0"/>
          <w:color w:val="auto"/>
          <w:sz w:val="22"/>
          <w:szCs w:val="22"/>
        </w:rPr>
      </w:pPr>
      <w:hyperlink w:anchor="_Toc117519237">
        <w:r w:rsidRPr="6A79D74E" w:rsidR="00B20237">
          <w:rPr>
            <w:rStyle w:val="Hyperlink"/>
          </w:rPr>
          <w:t>Patients with learning difficulties or cognitive impairment</w:t>
        </w:r>
        <w:r w:rsidR="00B20237">
          <w:tab/>
        </w:r>
        <w:r w:rsidR="00B20237">
          <w:fldChar w:fldCharType="begin"/>
        </w:r>
        <w:r w:rsidR="00B20237">
          <w:instrText xml:space="preserve"> PAGEREF _Toc117519237 \h </w:instrText>
        </w:r>
        <w:r w:rsidR="00B20237">
          <w:fldChar w:fldCharType="separate"/>
        </w:r>
        <w:r w:rsidR="00B20237">
          <w:t>18</w:t>
        </w:r>
        <w:r w:rsidR="00B20237">
          <w:fldChar w:fldCharType="end"/>
        </w:r>
      </w:hyperlink>
    </w:p>
    <w:p w:rsidR="00B20237" w:rsidP="6A79D74E" w:rsidRDefault="003F622E" w14:paraId="785645C7" w14:textId="675A558D">
      <w:pPr>
        <w:pStyle w:val="TOC2"/>
        <w:rPr>
          <w:b w:val="0"/>
          <w:color w:val="auto"/>
          <w:sz w:val="22"/>
          <w:szCs w:val="22"/>
        </w:rPr>
      </w:pPr>
      <w:hyperlink w:anchor="_Toc117519238">
        <w:r w:rsidRPr="6A79D74E" w:rsidR="00B20237">
          <w:rPr>
            <w:rStyle w:val="Hyperlink"/>
          </w:rPr>
          <w:t>Patients with mental illness</w:t>
        </w:r>
        <w:r w:rsidR="00B20237">
          <w:tab/>
        </w:r>
        <w:r w:rsidR="00B20237">
          <w:fldChar w:fldCharType="begin"/>
        </w:r>
        <w:r w:rsidR="00B20237">
          <w:instrText xml:space="preserve"> PAGEREF _Toc117519238 \h </w:instrText>
        </w:r>
        <w:r w:rsidR="00B20237">
          <w:fldChar w:fldCharType="separate"/>
        </w:r>
        <w:r w:rsidR="00B20237">
          <w:t>18</w:t>
        </w:r>
        <w:r w:rsidR="00B20237">
          <w:fldChar w:fldCharType="end"/>
        </w:r>
      </w:hyperlink>
    </w:p>
    <w:p w:rsidR="00B20237" w:rsidP="6A79D74E" w:rsidRDefault="003F622E" w14:paraId="072881E6" w14:textId="00815092">
      <w:pPr>
        <w:pStyle w:val="TOC2"/>
        <w:rPr>
          <w:b w:val="0"/>
          <w:color w:val="auto"/>
          <w:sz w:val="22"/>
          <w:szCs w:val="22"/>
        </w:rPr>
      </w:pPr>
      <w:hyperlink w:anchor="_Toc117519239">
        <w:r w:rsidRPr="6A79D74E" w:rsidR="00B20237">
          <w:rPr>
            <w:rStyle w:val="Hyperlink"/>
          </w:rPr>
          <w:t>Paediatric and Young People cases</w:t>
        </w:r>
        <w:r w:rsidR="00B20237">
          <w:tab/>
        </w:r>
        <w:r w:rsidR="00B20237">
          <w:fldChar w:fldCharType="begin"/>
        </w:r>
        <w:r w:rsidR="00B20237">
          <w:instrText xml:space="preserve"> PAGEREF _Toc117519239 \h </w:instrText>
        </w:r>
        <w:r w:rsidR="00B20237">
          <w:fldChar w:fldCharType="separate"/>
        </w:r>
        <w:r w:rsidR="00B20237">
          <w:t>18</w:t>
        </w:r>
        <w:r w:rsidR="00B20237">
          <w:fldChar w:fldCharType="end"/>
        </w:r>
      </w:hyperlink>
    </w:p>
    <w:p w:rsidR="00B20237" w:rsidP="6A79D74E" w:rsidRDefault="003F622E" w14:paraId="3B04CEC3" w14:textId="22B5FFB4">
      <w:pPr>
        <w:pStyle w:val="TOC2"/>
        <w:rPr>
          <w:b w:val="0"/>
          <w:color w:val="auto"/>
          <w:sz w:val="22"/>
          <w:szCs w:val="22"/>
        </w:rPr>
      </w:pPr>
      <w:hyperlink w:anchor="_Toc117519240">
        <w:r w:rsidRPr="6A79D74E" w:rsidR="00B20237">
          <w:rPr>
            <w:rStyle w:val="Hyperlink"/>
          </w:rPr>
          <w:t>Language considerations</w:t>
        </w:r>
        <w:r w:rsidR="00B20237">
          <w:tab/>
        </w:r>
        <w:r w:rsidR="00B20237">
          <w:fldChar w:fldCharType="begin"/>
        </w:r>
        <w:r w:rsidR="00B20237">
          <w:instrText xml:space="preserve"> PAGEREF _Toc117519240 \h </w:instrText>
        </w:r>
        <w:r w:rsidR="00B20237">
          <w:fldChar w:fldCharType="separate"/>
        </w:r>
        <w:r w:rsidR="00B20237">
          <w:t>19</w:t>
        </w:r>
        <w:r w:rsidR="00B20237">
          <w:fldChar w:fldCharType="end"/>
        </w:r>
      </w:hyperlink>
    </w:p>
    <w:p w:rsidR="00B20237" w:rsidP="6A79D74E" w:rsidRDefault="003F622E" w14:paraId="014F7ECD" w14:textId="29E5ED9E">
      <w:pPr>
        <w:pStyle w:val="TOC2"/>
        <w:rPr>
          <w:b w:val="0"/>
          <w:color w:val="auto"/>
          <w:sz w:val="22"/>
          <w:szCs w:val="22"/>
        </w:rPr>
      </w:pPr>
      <w:hyperlink w:anchor="_Toc117519241">
        <w:r w:rsidRPr="6A79D74E" w:rsidR="00B20237">
          <w:rPr>
            <w:rStyle w:val="Hyperlink"/>
          </w:rPr>
          <w:t>Patients with visual, hearing, or other impairment</w:t>
        </w:r>
        <w:r w:rsidR="00B20237">
          <w:tab/>
        </w:r>
        <w:r w:rsidR="00B20237">
          <w:fldChar w:fldCharType="begin"/>
        </w:r>
        <w:r w:rsidR="00B20237">
          <w:instrText xml:space="preserve"> PAGEREF _Toc117519241 \h </w:instrText>
        </w:r>
        <w:r w:rsidR="00B20237">
          <w:fldChar w:fldCharType="separate"/>
        </w:r>
        <w:r w:rsidR="00B20237">
          <w:t>19</w:t>
        </w:r>
        <w:r w:rsidR="00B20237">
          <w:fldChar w:fldCharType="end"/>
        </w:r>
      </w:hyperlink>
    </w:p>
    <w:p w:rsidR="00B20237" w:rsidP="6A79D74E" w:rsidRDefault="003F622E" w14:paraId="0D093FA0" w14:textId="68430BBA">
      <w:pPr>
        <w:pStyle w:val="TOC2"/>
        <w:rPr>
          <w:b w:val="0"/>
          <w:color w:val="auto"/>
          <w:sz w:val="22"/>
          <w:szCs w:val="22"/>
        </w:rPr>
      </w:pPr>
      <w:hyperlink w:anchor="_Toc117519242">
        <w:r w:rsidRPr="6A79D74E" w:rsidR="00B20237">
          <w:rPr>
            <w:rStyle w:val="Hyperlink"/>
          </w:rPr>
          <w:t>Cultural considerations</w:t>
        </w:r>
        <w:r w:rsidR="00B20237">
          <w:tab/>
        </w:r>
        <w:r w:rsidR="00B20237">
          <w:fldChar w:fldCharType="begin"/>
        </w:r>
        <w:r w:rsidR="00B20237">
          <w:instrText xml:space="preserve"> PAGEREF _Toc117519242 \h </w:instrText>
        </w:r>
        <w:r w:rsidR="00B20237">
          <w:fldChar w:fldCharType="separate"/>
        </w:r>
        <w:r w:rsidR="00B20237">
          <w:t>19</w:t>
        </w:r>
        <w:r w:rsidR="00B20237">
          <w:fldChar w:fldCharType="end"/>
        </w:r>
      </w:hyperlink>
    </w:p>
    <w:p w:rsidR="00B20237" w:rsidP="6A79D74E" w:rsidRDefault="003F622E" w14:paraId="0E24F9DE" w14:textId="4DD59F77">
      <w:pPr>
        <w:pStyle w:val="TOC1"/>
        <w:rPr>
          <w:b w:val="0"/>
          <w:sz w:val="22"/>
          <w:szCs w:val="22"/>
          <w:lang w:eastAsia="en-AU"/>
        </w:rPr>
      </w:pPr>
      <w:hyperlink w:anchor="_Toc117519243">
        <w:r w:rsidRPr="6A79D74E" w:rsidR="00B20237">
          <w:rPr>
            <w:rStyle w:val="Hyperlink"/>
          </w:rPr>
          <w:t>Governance, training and support</w:t>
        </w:r>
        <w:r w:rsidR="00B20237">
          <w:tab/>
        </w:r>
        <w:r w:rsidR="00B20237">
          <w:fldChar w:fldCharType="begin"/>
        </w:r>
        <w:r w:rsidR="00B20237">
          <w:instrText xml:space="preserve"> PAGEREF _Toc117519243 \h </w:instrText>
        </w:r>
        <w:r w:rsidR="00B20237">
          <w:fldChar w:fldCharType="separate"/>
        </w:r>
        <w:r w:rsidR="00B20237">
          <w:t>20</w:t>
        </w:r>
        <w:r w:rsidR="00B20237">
          <w:fldChar w:fldCharType="end"/>
        </w:r>
      </w:hyperlink>
    </w:p>
    <w:p w:rsidR="00B20237" w:rsidP="6A79D74E" w:rsidRDefault="003F622E" w14:paraId="3F8787CA" w14:textId="3450F7F9">
      <w:pPr>
        <w:pStyle w:val="TOC2"/>
        <w:rPr>
          <w:b w:val="0"/>
          <w:color w:val="auto"/>
          <w:sz w:val="22"/>
          <w:szCs w:val="22"/>
        </w:rPr>
      </w:pPr>
      <w:hyperlink w:anchor="_Toc117519244">
        <w:r w:rsidRPr="6A79D74E" w:rsidR="00B20237">
          <w:rPr>
            <w:rStyle w:val="Hyperlink"/>
          </w:rPr>
          <w:t>Local policy and procedure recommendations</w:t>
        </w:r>
        <w:r w:rsidR="00B20237">
          <w:tab/>
        </w:r>
        <w:r w:rsidR="00B20237">
          <w:fldChar w:fldCharType="begin"/>
        </w:r>
        <w:r w:rsidR="00B20237">
          <w:instrText xml:space="preserve"> PAGEREF _Toc117519244 \h </w:instrText>
        </w:r>
        <w:r w:rsidR="00B20237">
          <w:fldChar w:fldCharType="separate"/>
        </w:r>
        <w:r w:rsidR="00B20237">
          <w:t>20</w:t>
        </w:r>
        <w:r w:rsidR="00B20237">
          <w:fldChar w:fldCharType="end"/>
        </w:r>
      </w:hyperlink>
    </w:p>
    <w:p w:rsidR="00B20237" w:rsidP="6A79D74E" w:rsidRDefault="003F622E" w14:paraId="716C67F5" w14:textId="45906605">
      <w:pPr>
        <w:pStyle w:val="TOC2"/>
        <w:rPr>
          <w:b w:val="0"/>
          <w:color w:val="auto"/>
          <w:sz w:val="22"/>
          <w:szCs w:val="22"/>
        </w:rPr>
      </w:pPr>
      <w:hyperlink w:anchor="_Toc117519245">
        <w:r w:rsidRPr="6A79D74E" w:rsidR="00B20237">
          <w:rPr>
            <w:rStyle w:val="Hyperlink"/>
          </w:rPr>
          <w:t>Roles and Responsibilities</w:t>
        </w:r>
        <w:r w:rsidR="00B20237">
          <w:tab/>
        </w:r>
        <w:r w:rsidR="00B20237">
          <w:fldChar w:fldCharType="begin"/>
        </w:r>
        <w:r w:rsidR="00B20237">
          <w:instrText xml:space="preserve"> PAGEREF _Toc117519245 \h </w:instrText>
        </w:r>
        <w:r w:rsidR="00B20237">
          <w:fldChar w:fldCharType="separate"/>
        </w:r>
        <w:r w:rsidR="00B20237">
          <w:t>20</w:t>
        </w:r>
        <w:r w:rsidR="00B20237">
          <w:fldChar w:fldCharType="end"/>
        </w:r>
      </w:hyperlink>
    </w:p>
    <w:p w:rsidR="00B20237" w:rsidP="6A79D74E" w:rsidRDefault="003F622E" w14:paraId="64099B50" w14:textId="18938A1C">
      <w:pPr>
        <w:pStyle w:val="TOC2"/>
        <w:rPr>
          <w:b w:val="0"/>
          <w:color w:val="auto"/>
          <w:sz w:val="22"/>
          <w:szCs w:val="22"/>
        </w:rPr>
      </w:pPr>
      <w:hyperlink w:anchor="_Toc117519246">
        <w:r w:rsidRPr="6A79D74E" w:rsidR="00B20237">
          <w:rPr>
            <w:rStyle w:val="Hyperlink"/>
          </w:rPr>
          <w:t>Education and training</w:t>
        </w:r>
        <w:r w:rsidR="00B20237">
          <w:tab/>
        </w:r>
        <w:r w:rsidR="00B20237">
          <w:fldChar w:fldCharType="begin"/>
        </w:r>
        <w:r w:rsidR="00B20237">
          <w:instrText xml:space="preserve"> PAGEREF _Toc117519246 \h </w:instrText>
        </w:r>
        <w:r w:rsidR="00B20237">
          <w:fldChar w:fldCharType="separate"/>
        </w:r>
        <w:r w:rsidR="00B20237">
          <w:t>21</w:t>
        </w:r>
        <w:r w:rsidR="00B20237">
          <w:fldChar w:fldCharType="end"/>
        </w:r>
      </w:hyperlink>
    </w:p>
    <w:p w:rsidR="00B20237" w:rsidP="6A79D74E" w:rsidRDefault="003F622E" w14:paraId="693A7438" w14:textId="3643FA32">
      <w:pPr>
        <w:pStyle w:val="TOC2"/>
        <w:rPr>
          <w:b w:val="0"/>
          <w:color w:val="auto"/>
          <w:sz w:val="22"/>
          <w:szCs w:val="22"/>
        </w:rPr>
      </w:pPr>
      <w:hyperlink w:anchor="_Toc117519247">
        <w:r w:rsidRPr="6A79D74E" w:rsidR="00B20237">
          <w:rPr>
            <w:rStyle w:val="Hyperlink"/>
          </w:rPr>
          <w:t>Supporting staff after a SAPSE</w:t>
        </w:r>
        <w:r w:rsidR="00B20237">
          <w:tab/>
        </w:r>
        <w:r w:rsidR="00B20237">
          <w:fldChar w:fldCharType="begin"/>
        </w:r>
        <w:r w:rsidR="00B20237">
          <w:instrText xml:space="preserve"> PAGEREF _Toc117519247 \h </w:instrText>
        </w:r>
        <w:r w:rsidR="00B20237">
          <w:fldChar w:fldCharType="separate"/>
        </w:r>
        <w:r w:rsidR="00B20237">
          <w:t>22</w:t>
        </w:r>
        <w:r w:rsidR="00B20237">
          <w:fldChar w:fldCharType="end"/>
        </w:r>
      </w:hyperlink>
    </w:p>
    <w:p w:rsidR="00B20237" w:rsidP="6A79D74E" w:rsidRDefault="003F622E" w14:paraId="59ED9609" w14:textId="3D9F4851">
      <w:pPr>
        <w:pStyle w:val="TOC1"/>
        <w:rPr>
          <w:b w:val="0"/>
          <w:sz w:val="22"/>
          <w:szCs w:val="22"/>
          <w:lang w:eastAsia="en-AU"/>
        </w:rPr>
      </w:pPr>
      <w:hyperlink w:anchor="_Toc117519248">
        <w:r w:rsidRPr="6A79D74E" w:rsidR="00B20237">
          <w:rPr>
            <w:rStyle w:val="Hyperlink"/>
          </w:rPr>
          <w:t>Consumer Awareness</w:t>
        </w:r>
        <w:r w:rsidR="00B20237">
          <w:tab/>
        </w:r>
        <w:r w:rsidR="00B20237">
          <w:fldChar w:fldCharType="begin"/>
        </w:r>
        <w:r w:rsidR="00B20237">
          <w:instrText xml:space="preserve"> PAGEREF _Toc117519248 \h </w:instrText>
        </w:r>
        <w:r w:rsidR="00B20237">
          <w:fldChar w:fldCharType="separate"/>
        </w:r>
        <w:r w:rsidR="00B20237">
          <w:t>22</w:t>
        </w:r>
        <w:r w:rsidR="00B20237">
          <w:fldChar w:fldCharType="end"/>
        </w:r>
      </w:hyperlink>
    </w:p>
    <w:p w:rsidR="00B20237" w:rsidP="6A79D74E" w:rsidRDefault="003F622E" w14:paraId="7769E5FF" w14:textId="4DA54493">
      <w:pPr>
        <w:pStyle w:val="TOC1"/>
        <w:rPr>
          <w:b w:val="0"/>
          <w:sz w:val="22"/>
          <w:szCs w:val="22"/>
          <w:lang w:eastAsia="en-AU"/>
        </w:rPr>
      </w:pPr>
      <w:hyperlink w:anchor="_Toc117519249">
        <w:r w:rsidRPr="6A79D74E" w:rsidR="00B20237">
          <w:rPr>
            <w:rStyle w:val="Hyperlink"/>
          </w:rPr>
          <w:t>Helpful Resources</w:t>
        </w:r>
        <w:r w:rsidR="00B20237">
          <w:tab/>
        </w:r>
        <w:r w:rsidR="00B20237">
          <w:fldChar w:fldCharType="begin"/>
        </w:r>
        <w:r w:rsidR="00B20237">
          <w:instrText xml:space="preserve"> PAGEREF _Toc117519249 \h </w:instrText>
        </w:r>
        <w:r w:rsidR="00B20237">
          <w:fldChar w:fldCharType="separate"/>
        </w:r>
        <w:r w:rsidR="00B20237">
          <w:t>23</w:t>
        </w:r>
        <w:r w:rsidR="00B20237">
          <w:fldChar w:fldCharType="end"/>
        </w:r>
      </w:hyperlink>
    </w:p>
    <w:p w:rsidRPr="00FC2BBC" w:rsidR="00FC2BBC" w:rsidP="00FC2BBC" w:rsidRDefault="00FC2BBC" w14:paraId="4D0A1FDF" w14:textId="37328E7E">
      <w:pPr>
        <w:pStyle w:val="SCVbody"/>
      </w:pPr>
    </w:p>
    <w:p w:rsidR="00932935" w:rsidP="001626A6" w:rsidRDefault="00E70F37" w14:paraId="46E05D15" w14:textId="131C4BCD">
      <w:pPr>
        <w:pStyle w:val="SCVbody"/>
        <w:rPr>
          <w:rStyle w:val="Hyperlink"/>
          <w:noProof/>
          <w:sz w:val="19"/>
          <w:lang w:eastAsia="en-US"/>
        </w:rPr>
      </w:pPr>
      <w:r>
        <w:rPr>
          <w:rStyle w:val="Hyperlink"/>
          <w:noProof/>
          <w:sz w:val="19"/>
          <w:lang w:eastAsia="en-US"/>
        </w:rPr>
        <w:fldChar w:fldCharType="end"/>
      </w:r>
    </w:p>
    <w:p w:rsidR="00BC2E22" w:rsidP="00515E59" w:rsidRDefault="00932935" w14:paraId="03718892" w14:textId="632DDC0E">
      <w:r>
        <w:rPr>
          <w:rStyle w:val="Hyperlink"/>
          <w:noProof/>
          <w:sz w:val="19"/>
          <w:lang w:eastAsia="en-US"/>
        </w:rPr>
        <w:br w:type="page"/>
      </w:r>
    </w:p>
    <w:tbl>
      <w:tblPr>
        <w:tblStyle w:val="SCVpulloutbox"/>
        <w:tblpPr w:leftFromText="180" w:rightFromText="180" w:vertAnchor="text" w:tblpY="1"/>
        <w:tblOverlap w:val="never"/>
        <w:tblW w:w="0" w:type="auto"/>
        <w:tblLook w:val="04A0" w:firstRow="1" w:lastRow="0" w:firstColumn="1" w:lastColumn="0" w:noHBand="0" w:noVBand="1"/>
      </w:tblPr>
      <w:tblGrid>
        <w:gridCol w:w="10432"/>
      </w:tblGrid>
      <w:tr w:rsidR="00E93BF7" w:rsidTr="007B091A" w14:paraId="0B3048E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2" w:type="dxa"/>
          </w:tcPr>
          <w:p w:rsidRPr="00E555B1" w:rsidR="00315C62" w:rsidP="00CB3372" w:rsidRDefault="00315C62" w14:paraId="2CD9BFB3" w14:textId="5379DA85">
            <w:pPr>
              <w:pStyle w:val="Heading1"/>
              <w:outlineLvl w:val="0"/>
              <w:rPr>
                <w:sz w:val="36"/>
                <w:szCs w:val="36"/>
              </w:rPr>
            </w:pPr>
            <w:bookmarkStart w:name="_Toc117519222" w:id="3"/>
            <w:r w:rsidRPr="00E555B1">
              <w:rPr>
                <w:b/>
                <w:bCs/>
                <w:sz w:val="36"/>
                <w:szCs w:val="36"/>
              </w:rPr>
              <w:t>A note on terminology</w:t>
            </w:r>
            <w:bookmarkEnd w:id="3"/>
          </w:p>
          <w:p w:rsidRPr="00E555B1" w:rsidR="00E555B1" w:rsidP="00E555B1" w:rsidRDefault="00E555B1" w14:paraId="11AE5483" w14:textId="77777777">
            <w:pPr>
              <w:pStyle w:val="SCVbody"/>
            </w:pPr>
          </w:p>
          <w:p w:rsidR="00913731" w:rsidP="003A5EFC" w:rsidRDefault="00913731" w14:paraId="4102064A" w14:textId="02BFE399">
            <w:pPr>
              <w:pStyle w:val="SCVbodyafterheading"/>
            </w:pPr>
            <w:r w:rsidRPr="003A5EFC">
              <w:t>Adverse event</w:t>
            </w:r>
            <w:r w:rsidR="003A5EFC">
              <w:rPr>
                <w:b w:val="0"/>
                <w:bCs w:val="0"/>
              </w:rPr>
              <w:t xml:space="preserve"> is a</w:t>
            </w:r>
            <w:r w:rsidRPr="003A5EFC" w:rsidR="003A5EFC">
              <w:rPr>
                <w:b w:val="0"/>
                <w:bCs w:val="0"/>
              </w:rPr>
              <w:t>n incident that results, or could have resulted, in harm to a patient or consumer. A near miss is a type of adverse event.</w:t>
            </w:r>
            <w:r w:rsidR="003A5EFC">
              <w:rPr>
                <w:rStyle w:val="FootnoteReference"/>
                <w:b w:val="0"/>
                <w:bCs w:val="0"/>
              </w:rPr>
              <w:footnoteReference w:id="2"/>
            </w:r>
          </w:p>
          <w:p w:rsidR="009834C4" w:rsidP="003A5EFC" w:rsidRDefault="763987A2" w14:paraId="5E975323" w14:textId="7F968546">
            <w:pPr>
              <w:pStyle w:val="SCVbodyafterheading"/>
              <w:rPr>
                <w:b w:val="0"/>
                <w:bCs w:val="0"/>
              </w:rPr>
            </w:pPr>
            <w:r>
              <w:t>A</w:t>
            </w:r>
            <w:r w:rsidR="7EE86239">
              <w:t xml:space="preserve">pology </w:t>
            </w:r>
            <w:r w:rsidR="7EE86239">
              <w:rPr>
                <w:b w:val="0"/>
                <w:bCs w:val="0"/>
              </w:rPr>
              <w:t xml:space="preserve">an expression of compassion, regret or sympathy in connection with any matter, </w:t>
            </w:r>
            <w:r w:rsidR="29A42572">
              <w:rPr>
                <w:b w:val="0"/>
                <w:bCs w:val="0"/>
              </w:rPr>
              <w:t>whether</w:t>
            </w:r>
            <w:r w:rsidR="7EE86239">
              <w:rPr>
                <w:b w:val="0"/>
                <w:bCs w:val="0"/>
              </w:rPr>
              <w:t xml:space="preserve"> the apology</w:t>
            </w:r>
            <w:r w:rsidR="06E37F82">
              <w:rPr>
                <w:b w:val="0"/>
                <w:bCs w:val="0"/>
              </w:rPr>
              <w:t xml:space="preserve"> admits or implies an admission of fault in connection with the matter</w:t>
            </w:r>
            <w:r>
              <w:rPr>
                <w:b w:val="0"/>
                <w:bCs w:val="0"/>
              </w:rPr>
              <w:t>.</w:t>
            </w:r>
            <w:r w:rsidR="000C1BA3">
              <w:rPr>
                <w:rStyle w:val="FootnoteReference"/>
                <w:b w:val="0"/>
                <w:bCs w:val="0"/>
              </w:rPr>
              <w:footnoteReference w:id="3"/>
            </w:r>
            <w:r w:rsidR="5FA1B8B9">
              <w:rPr>
                <w:b w:val="0"/>
                <w:bCs w:val="0"/>
              </w:rPr>
              <w:t xml:space="preserve"> </w:t>
            </w:r>
          </w:p>
          <w:p w:rsidR="00913731" w:rsidP="00E555B1" w:rsidRDefault="00913731" w14:paraId="22532240" w14:textId="6F81D521">
            <w:pPr>
              <w:pStyle w:val="SCVbodyafterheading"/>
              <w:rPr>
                <w:b w:val="0"/>
                <w:bCs w:val="0"/>
              </w:rPr>
            </w:pPr>
            <w:r>
              <w:t>Chief Quality and Safety Officer (CQSO)</w:t>
            </w:r>
            <w:r>
              <w:rPr>
                <w:b w:val="0"/>
                <w:bCs w:val="0"/>
              </w:rPr>
              <w:t xml:space="preserve"> </w:t>
            </w:r>
            <w:r w:rsidR="00FE5191">
              <w:rPr>
                <w:b w:val="0"/>
                <w:bCs w:val="0"/>
              </w:rPr>
              <w:t xml:space="preserve">means the person appointed as Chief Quality and Safety Officer under section 116 of the </w:t>
            </w:r>
            <w:r w:rsidRPr="0E53F234" w:rsidR="00FE5191">
              <w:rPr>
                <w:b w:val="0"/>
                <w:bCs w:val="0"/>
                <w:i/>
                <w:iCs/>
              </w:rPr>
              <w:t>Health Services Act 1988</w:t>
            </w:r>
            <w:r w:rsidR="00FE5191">
              <w:rPr>
                <w:b w:val="0"/>
                <w:bCs w:val="0"/>
              </w:rPr>
              <w:t>.</w:t>
            </w:r>
          </w:p>
          <w:p w:rsidR="14433507" w:rsidP="0E53F234" w:rsidRDefault="003D4E60" w14:paraId="716FFDF5" w14:textId="4B09287C">
            <w:pPr>
              <w:pStyle w:val="SCVbodyafterheading"/>
              <w:rPr>
                <w:b w:val="0"/>
                <w:bCs w:val="0"/>
              </w:rPr>
            </w:pPr>
            <w:r w:rsidRPr="003E320C">
              <w:t>Cultural</w:t>
            </w:r>
            <w:r w:rsidRPr="003E320C" w:rsidR="6A778864">
              <w:t xml:space="preserve"> safety</w:t>
            </w:r>
            <w:r w:rsidR="6A778864">
              <w:rPr>
                <w:b w:val="0"/>
                <w:bCs w:val="0"/>
              </w:rPr>
              <w:t xml:space="preserve"> is defined as an environment that is safe for Aboriginal people and Torres Strait Islanders, where there is no assault, challenge or denial of their identity and experience</w:t>
            </w:r>
            <w:r w:rsidR="007877E9">
              <w:rPr>
                <w:b w:val="0"/>
                <w:bCs w:val="0"/>
              </w:rPr>
              <w:t>.</w:t>
            </w:r>
          </w:p>
          <w:p w:rsidR="00315C62" w:rsidP="00E555B1" w:rsidRDefault="00315C62" w14:paraId="5444FE66" w14:textId="25FFC7EE">
            <w:pPr>
              <w:pStyle w:val="SCVbodyafterheading"/>
            </w:pPr>
            <w:r w:rsidRPr="00E3344E">
              <w:t xml:space="preserve">Harm </w:t>
            </w:r>
            <w:r w:rsidRPr="00E3344E" w:rsidR="47AAFDC6">
              <w:rPr>
                <w:b w:val="0"/>
              </w:rPr>
              <w:t>i</w:t>
            </w:r>
            <w:r w:rsidRPr="00E3344E" w:rsidR="009507DB">
              <w:rPr>
                <w:b w:val="0"/>
              </w:rPr>
              <w:t xml:space="preserve">s physical </w:t>
            </w:r>
            <w:r w:rsidRPr="00E3344E" w:rsidR="00E3344E">
              <w:rPr>
                <w:b w:val="0"/>
              </w:rPr>
              <w:t>or psychological damage or injury to a person</w:t>
            </w:r>
            <w:r w:rsidR="47AAFDC6">
              <w:rPr>
                <w:b w:val="0"/>
                <w:bCs w:val="0"/>
              </w:rPr>
              <w:t xml:space="preserve">. </w:t>
            </w:r>
            <w:r>
              <w:rPr>
                <w:b w:val="0"/>
                <w:bCs w:val="0"/>
              </w:rPr>
              <w:t xml:space="preserve">Examples of harm </w:t>
            </w:r>
            <w:r w:rsidR="009B1A9B">
              <w:rPr>
                <w:b w:val="0"/>
                <w:bCs w:val="0"/>
              </w:rPr>
              <w:t>are</w:t>
            </w:r>
            <w:r>
              <w:rPr>
                <w:b w:val="0"/>
                <w:bCs w:val="0"/>
              </w:rPr>
              <w:t xml:space="preserve"> disease, suffering, impairment (disability), and death</w:t>
            </w:r>
            <w:r w:rsidR="009D5923">
              <w:rPr>
                <w:b w:val="0"/>
                <w:bCs w:val="0"/>
              </w:rPr>
              <w:t>.</w:t>
            </w:r>
          </w:p>
          <w:p w:rsidR="007E71AA" w:rsidP="1977F94D" w:rsidRDefault="780E0F70" w14:paraId="3D641D60" w14:textId="6D13D419">
            <w:pPr>
              <w:pStyle w:val="SCVbodyafterheading"/>
              <w:numPr>
                <w:ilvl w:val="0"/>
                <w:numId w:val="64"/>
              </w:numPr>
              <w:spacing w:after="80"/>
              <w:ind w:left="714" w:hanging="357"/>
            </w:pPr>
            <w:r>
              <w:t xml:space="preserve">Disease: </w:t>
            </w:r>
            <w:r>
              <w:rPr>
                <w:b w:val="0"/>
                <w:bCs w:val="0"/>
              </w:rPr>
              <w:t>a psychological or physiological dysfunction.</w:t>
            </w:r>
            <w:r>
              <w:t xml:space="preserve"> </w:t>
            </w:r>
          </w:p>
          <w:p w:rsidR="007E71AA" w:rsidP="1977F94D" w:rsidRDefault="780E0F70" w14:paraId="65E5A800" w14:textId="0031893A">
            <w:pPr>
              <w:pStyle w:val="SCVbodyafterheading"/>
              <w:numPr>
                <w:ilvl w:val="0"/>
                <w:numId w:val="64"/>
              </w:numPr>
              <w:spacing w:after="80"/>
              <w:ind w:left="714" w:hanging="357"/>
            </w:pPr>
            <w:r>
              <w:t xml:space="preserve">Suffering: </w:t>
            </w:r>
            <w:r>
              <w:rPr>
                <w:b w:val="0"/>
                <w:bCs w:val="0"/>
              </w:rPr>
              <w:t>experiencing anything subjectively unpleasant. This may include pain, malaise, nausea, vomiting, loss (any negative consequence, including financial) depression, agitation, alarm, fear, or grief.</w:t>
            </w:r>
            <w:r>
              <w:t xml:space="preserve"> </w:t>
            </w:r>
          </w:p>
          <w:p w:rsidR="007E71AA" w:rsidP="1977F94D" w:rsidRDefault="02A83B0A" w14:paraId="1A9EE93B" w14:textId="07F3A863">
            <w:pPr>
              <w:pStyle w:val="SCVbodyafterheading"/>
              <w:numPr>
                <w:ilvl w:val="0"/>
                <w:numId w:val="64"/>
              </w:numPr>
              <w:spacing w:after="80"/>
              <w:ind w:left="714" w:hanging="357"/>
            </w:pPr>
            <w:r>
              <w:t xml:space="preserve">Impairment (disability): </w:t>
            </w:r>
            <w:r w:rsidRPr="007E71AA">
              <w:rPr>
                <w:b w:val="0"/>
                <w:bCs w:val="0"/>
              </w:rPr>
              <w:t>any type of impairment of body structure or function, activity limitation and/or restriction of participation in society, associated with a past or present harm.</w:t>
            </w:r>
            <w:r w:rsidR="007E71AA">
              <w:rPr>
                <w:rStyle w:val="FootnoteReference"/>
                <w:b w:val="0"/>
                <w:bCs w:val="0"/>
              </w:rPr>
              <w:footnoteReference w:id="4"/>
            </w:r>
          </w:p>
          <w:p w:rsidR="00AB73EC" w:rsidP="00896173" w:rsidRDefault="00AB73EC" w14:paraId="04A5B99C" w14:textId="0E0CEDB8">
            <w:pPr>
              <w:pStyle w:val="SCVbodyafterheading"/>
              <w:rPr>
                <w:b w:val="0"/>
                <w:bCs w:val="0"/>
              </w:rPr>
            </w:pPr>
            <w:r w:rsidRPr="00E97E17">
              <w:t>Incidents</w:t>
            </w:r>
            <w:r w:rsidR="00AD5C31">
              <w:rPr>
                <w:b w:val="0"/>
                <w:bCs w:val="0"/>
              </w:rPr>
              <w:t xml:space="preserve"> are </w:t>
            </w:r>
            <w:r w:rsidR="00896173">
              <w:rPr>
                <w:b w:val="0"/>
                <w:bCs w:val="0"/>
              </w:rPr>
              <w:t>e</w:t>
            </w:r>
            <w:r w:rsidRPr="00896173" w:rsidR="00896173">
              <w:rPr>
                <w:b w:val="0"/>
                <w:bCs w:val="0"/>
              </w:rPr>
              <w:t>vent</w:t>
            </w:r>
            <w:r w:rsidR="00896173">
              <w:rPr>
                <w:b w:val="0"/>
                <w:bCs w:val="0"/>
              </w:rPr>
              <w:t>s</w:t>
            </w:r>
            <w:r w:rsidRPr="00896173" w:rsidR="00896173">
              <w:rPr>
                <w:b w:val="0"/>
                <w:bCs w:val="0"/>
              </w:rPr>
              <w:t xml:space="preserve"> or circumstance</w:t>
            </w:r>
            <w:r w:rsidR="00896173">
              <w:rPr>
                <w:b w:val="0"/>
                <w:bCs w:val="0"/>
              </w:rPr>
              <w:t>s</w:t>
            </w:r>
            <w:r w:rsidRPr="00896173" w:rsidR="00896173">
              <w:rPr>
                <w:b w:val="0"/>
                <w:bCs w:val="0"/>
              </w:rPr>
              <w:t xml:space="preserve"> that resulted, or could have resulted, in unintended and/or unnecessary harm to a person and/or a complaint, loss or damage.</w:t>
            </w:r>
            <w:r w:rsidR="00E97E17">
              <w:rPr>
                <w:rStyle w:val="FootnoteReference"/>
                <w:b w:val="0"/>
                <w:bCs w:val="0"/>
              </w:rPr>
              <w:footnoteReference w:id="5"/>
            </w:r>
          </w:p>
          <w:p w:rsidR="00315C62" w:rsidP="00E555B1" w:rsidRDefault="00315C62" w14:paraId="4001E9E3" w14:textId="04712BB0">
            <w:pPr>
              <w:pStyle w:val="SCVbodyafterheading"/>
            </w:pPr>
            <w:r w:rsidRPr="765DCACB">
              <w:t>Incident Severity Rating (ISR)</w:t>
            </w:r>
            <w:r>
              <w:t xml:space="preserve"> </w:t>
            </w:r>
            <w:r w:rsidRPr="00E555B1">
              <w:rPr>
                <w:b w:val="0"/>
                <w:bCs w:val="0"/>
              </w:rPr>
              <w:t xml:space="preserve">is the four-tiered severity rating system for </w:t>
            </w:r>
            <w:r w:rsidR="00584D7F">
              <w:rPr>
                <w:b w:val="0"/>
                <w:bCs w:val="0"/>
              </w:rPr>
              <w:t xml:space="preserve">clinical </w:t>
            </w:r>
            <w:r w:rsidRPr="00E555B1">
              <w:rPr>
                <w:b w:val="0"/>
                <w:bCs w:val="0"/>
              </w:rPr>
              <w:t>incidents recorded in VHIMS. ISR ratings are determined by the level of harm, the required level of care, and the level of treatment required.</w:t>
            </w:r>
          </w:p>
          <w:p w:rsidR="00315C62" w:rsidP="00E555B1" w:rsidRDefault="00315C62" w14:paraId="247673DF" w14:textId="3B0DA2FB">
            <w:pPr>
              <w:pStyle w:val="SCVbodyafterheading"/>
            </w:pPr>
            <w:r w:rsidRPr="00745682">
              <w:t>ISR</w:t>
            </w:r>
            <w:r w:rsidR="005E4923">
              <w:t xml:space="preserve"> </w:t>
            </w:r>
            <w:r w:rsidRPr="00745682">
              <w:t>1</w:t>
            </w:r>
            <w:r>
              <w:t xml:space="preserve"> </w:t>
            </w:r>
            <w:r w:rsidRPr="00E555B1">
              <w:rPr>
                <w:b w:val="0"/>
                <w:bCs w:val="0"/>
              </w:rPr>
              <w:t>is the highest incident severity rating category. These incidents result in severe adverse outcomes or death.</w:t>
            </w:r>
          </w:p>
          <w:p w:rsidR="00315C62" w:rsidP="00E555B1" w:rsidRDefault="5E3B9567" w14:paraId="6F47F3A5" w14:textId="3E50A961">
            <w:pPr>
              <w:pStyle w:val="SCVbodyafterheading"/>
            </w:pPr>
            <w:r>
              <w:t>ISR</w:t>
            </w:r>
            <w:r w:rsidR="2B80BECA">
              <w:t xml:space="preserve"> </w:t>
            </w:r>
            <w:r>
              <w:t xml:space="preserve">2 </w:t>
            </w:r>
            <w:r>
              <w:rPr>
                <w:b w:val="0"/>
                <w:bCs w:val="0"/>
              </w:rPr>
              <w:t>is the second highest incident severity rating category. These incidents result in moderate adverse outcomes.</w:t>
            </w:r>
          </w:p>
          <w:p w:rsidR="63DD1AEE" w:rsidP="0E53F234" w:rsidRDefault="64A6EB8F" w14:paraId="667F9F4E" w14:textId="42F886B5">
            <w:pPr>
              <w:pStyle w:val="SCVbodyafterheading"/>
              <w:rPr>
                <w:b w:val="0"/>
                <w:bCs w:val="0"/>
                <w:highlight w:val="yellow"/>
              </w:rPr>
            </w:pPr>
            <w:r>
              <w:t xml:space="preserve">Just Culture </w:t>
            </w:r>
            <w:r w:rsidR="4B6F8625">
              <w:rPr>
                <w:b w:val="0"/>
                <w:bCs w:val="0"/>
              </w:rPr>
              <w:t>A</w:t>
            </w:r>
            <w:r w:rsidR="2AE977E9">
              <w:rPr>
                <w:b w:val="0"/>
                <w:bCs w:val="0"/>
              </w:rPr>
              <w:t xml:space="preserve"> part of safety culture with the major features being:  </w:t>
            </w:r>
          </w:p>
          <w:p w:rsidR="63DD1AEE" w:rsidP="1977F94D" w:rsidRDefault="010C2996" w14:paraId="43F43F77" w14:textId="7EE5484E">
            <w:pPr>
              <w:pStyle w:val="SCVbodyafterheading"/>
              <w:numPr>
                <w:ilvl w:val="0"/>
                <w:numId w:val="31"/>
              </w:numPr>
              <w:spacing w:after="80"/>
              <w:ind w:left="714" w:hanging="357"/>
              <w:rPr>
                <w:b w:val="0"/>
                <w:bCs w:val="0"/>
              </w:rPr>
            </w:pPr>
            <w:r>
              <w:rPr>
                <w:b w:val="0"/>
                <w:bCs w:val="0"/>
              </w:rPr>
              <w:t xml:space="preserve">a systems-thinking mindset to adverse event review </w:t>
            </w:r>
            <w:r w:rsidR="63F1D79E">
              <w:rPr>
                <w:b w:val="0"/>
                <w:bCs w:val="0"/>
              </w:rPr>
              <w:t>and improvement</w:t>
            </w:r>
          </w:p>
          <w:p w:rsidR="63DD1AEE" w:rsidP="1977F94D" w:rsidRDefault="010C2996" w14:paraId="5C06A1F6" w14:textId="1E06275E">
            <w:pPr>
              <w:pStyle w:val="SCVbodyafterheading"/>
              <w:numPr>
                <w:ilvl w:val="0"/>
                <w:numId w:val="31"/>
              </w:numPr>
              <w:spacing w:after="80"/>
              <w:ind w:left="714" w:hanging="357"/>
              <w:rPr>
                <w:b w:val="0"/>
                <w:bCs w:val="0"/>
              </w:rPr>
            </w:pPr>
            <w:r>
              <w:rPr>
                <w:b w:val="0"/>
                <w:bCs w:val="0"/>
              </w:rPr>
              <w:t xml:space="preserve">provision of a psychologically safe workplace where employees feel safe to report adverse events and near misses  </w:t>
            </w:r>
          </w:p>
          <w:p w:rsidR="63DD1AEE" w:rsidP="1977F94D" w:rsidRDefault="182355B8" w14:paraId="03C9480A" w14:textId="2E416213">
            <w:pPr>
              <w:pStyle w:val="SCVbodyafterheading"/>
              <w:numPr>
                <w:ilvl w:val="0"/>
                <w:numId w:val="31"/>
              </w:numPr>
              <w:spacing w:after="80"/>
              <w:ind w:left="714" w:hanging="357"/>
              <w:rPr>
                <w:b w:val="0"/>
                <w:bCs w:val="0"/>
              </w:rPr>
            </w:pPr>
            <w:r w:rsidRPr="1977F94D">
              <w:rPr>
                <w:rFonts w:ascii="Arial" w:hAnsi="Arial" w:eastAsia="Arial" w:cs="Arial"/>
                <w:b w:val="0"/>
                <w:bCs w:val="0"/>
              </w:rPr>
              <w:t xml:space="preserve">acknowledging and </w:t>
            </w:r>
            <w:r w:rsidR="010C2996">
              <w:rPr>
                <w:b w:val="0"/>
                <w:bCs w:val="0"/>
              </w:rPr>
              <w:t xml:space="preserve">managing the innate cognitive </w:t>
            </w:r>
            <w:r w:rsidR="2F4DB97F">
              <w:rPr>
                <w:b w:val="0"/>
                <w:bCs w:val="0"/>
              </w:rPr>
              <w:t>biases</w:t>
            </w:r>
            <w:r w:rsidR="1DD96B93">
              <w:rPr>
                <w:b w:val="0"/>
                <w:bCs w:val="0"/>
              </w:rPr>
              <w:t xml:space="preserve"> that</w:t>
            </w:r>
            <w:r w:rsidR="010C2996">
              <w:rPr>
                <w:b w:val="0"/>
                <w:bCs w:val="0"/>
              </w:rPr>
              <w:t xml:space="preserve"> we all have as part of being human </w:t>
            </w:r>
          </w:p>
          <w:p w:rsidR="63DD1AEE" w:rsidP="1977F94D" w:rsidRDefault="010C2996" w14:paraId="5915D99B" w14:textId="6811C33E">
            <w:pPr>
              <w:pStyle w:val="SCVbodyafterheading"/>
              <w:numPr>
                <w:ilvl w:val="0"/>
                <w:numId w:val="31"/>
              </w:numPr>
              <w:spacing w:after="80"/>
              <w:ind w:left="714" w:hanging="357"/>
              <w:rPr>
                <w:b w:val="0"/>
                <w:bCs w:val="0"/>
              </w:rPr>
            </w:pPr>
            <w:r>
              <w:rPr>
                <w:b w:val="0"/>
                <w:bCs w:val="0"/>
              </w:rPr>
              <w:t>the concept of shared accountability between the organisation and an individual when adverse events occur.</w:t>
            </w:r>
            <w:r w:rsidR="0050227E">
              <w:rPr>
                <w:rStyle w:val="FootnoteReference"/>
                <w:b w:val="0"/>
                <w:bCs w:val="0"/>
              </w:rPr>
              <w:footnoteReference w:id="6"/>
            </w:r>
          </w:p>
          <w:p w:rsidR="00315C62" w:rsidP="00E555B1" w:rsidRDefault="27AD60A2" w14:paraId="365B05A4" w14:textId="221FCD5D">
            <w:pPr>
              <w:pStyle w:val="SCVbodyafterheading"/>
              <w:rPr>
                <w:b w:val="0"/>
                <w:bCs w:val="0"/>
              </w:rPr>
            </w:pPr>
            <w:r>
              <w:t xml:space="preserve">Moderate </w:t>
            </w:r>
            <w:r w:rsidRPr="00BD6D73">
              <w:t>harm</w:t>
            </w:r>
            <w:r w:rsidRPr="006A559D">
              <w:rPr>
                <w:b w:val="0"/>
                <w:bCs w:val="0"/>
              </w:rPr>
              <w:t xml:space="preserve"> </w:t>
            </w:r>
            <w:r w:rsidRPr="00703FB9" w:rsidR="00703FB9">
              <w:rPr>
                <w:rStyle w:val="CommentReference"/>
                <w:b w:val="0"/>
                <w:bCs w:val="0"/>
                <w:sz w:val="20"/>
                <w:szCs w:val="20"/>
              </w:rPr>
              <w:t>means harm that requires a moderate increase in treatment to a patient, such as an unplanned or unexpected return to surgery, but does not include harm that causes permanent damage or injury to an individual</w:t>
            </w:r>
            <w:r w:rsidR="00703FB9">
              <w:rPr>
                <w:rStyle w:val="CommentReference"/>
                <w:b w:val="0"/>
                <w:bCs w:val="0"/>
                <w:sz w:val="20"/>
                <w:szCs w:val="20"/>
              </w:rPr>
              <w:t>.</w:t>
            </w:r>
            <w:r w:rsidR="005E3461">
              <w:rPr>
                <w:rStyle w:val="FootnoteReference"/>
                <w:b w:val="0"/>
                <w:bCs w:val="0"/>
              </w:rPr>
              <w:footnoteReference w:id="7"/>
            </w:r>
          </w:p>
          <w:p w:rsidR="007E1530" w:rsidP="007E1530" w:rsidRDefault="007E1530" w14:paraId="7B7C0DEC" w14:textId="7167676D">
            <w:pPr>
              <w:pStyle w:val="SCVbodyafterheading"/>
            </w:pPr>
            <w:r>
              <w:t xml:space="preserve">Near miss </w:t>
            </w:r>
            <w:r w:rsidRPr="007E1530">
              <w:rPr>
                <w:b w:val="0"/>
                <w:bCs w:val="0"/>
              </w:rPr>
              <w:t>is an incident that did not cause harm. A near miss is also an incident that had the potential to cause harm but didn't, due to timely intervention and/or luck and/or chance.</w:t>
            </w:r>
            <w:r>
              <w:rPr>
                <w:rStyle w:val="FootnoteReference"/>
                <w:b w:val="0"/>
                <w:bCs w:val="0"/>
              </w:rPr>
              <w:footnoteReference w:id="8"/>
            </w:r>
          </w:p>
          <w:p w:rsidRPr="00FC3FE0" w:rsidR="00315C62" w:rsidP="00E555B1" w:rsidRDefault="00315C62" w14:paraId="5CF4326D" w14:textId="2C93F098">
            <w:pPr>
              <w:pStyle w:val="SCVbodyafterheading"/>
            </w:pPr>
            <w:r w:rsidRPr="5AB7E433">
              <w:t xml:space="preserve">Next of kin (NOK) </w:t>
            </w:r>
            <w:r w:rsidRPr="00E555B1">
              <w:rPr>
                <w:b w:val="0"/>
                <w:bCs w:val="0"/>
              </w:rPr>
              <w:t>is the patient’s next of kin which may be any partner, parent, legal guardian, child or sibling of 18 years or older, or executor when a harm event causes death.</w:t>
            </w:r>
            <w:r w:rsidRPr="5AB7E433">
              <w:t xml:space="preserve"> </w:t>
            </w:r>
          </w:p>
          <w:p w:rsidR="00315C62" w:rsidP="00E555B1" w:rsidRDefault="00315C62" w14:paraId="1F3F753D" w14:textId="423B0618">
            <w:pPr>
              <w:pStyle w:val="SCVbodyafterheading"/>
            </w:pPr>
            <w:r>
              <w:t xml:space="preserve">Parent </w:t>
            </w:r>
            <w:r w:rsidR="00281E2C">
              <w:rPr>
                <w:b w:val="0"/>
                <w:bCs w:val="0"/>
              </w:rPr>
              <w:t xml:space="preserve">is </w:t>
            </w:r>
            <w:r>
              <w:rPr>
                <w:b w:val="0"/>
                <w:bCs w:val="0"/>
              </w:rPr>
              <w:t xml:space="preserve">an adult in a significant primary caring role, whether they are </w:t>
            </w:r>
            <w:r w:rsidR="00281E2C">
              <w:rPr>
                <w:b w:val="0"/>
                <w:bCs w:val="0"/>
              </w:rPr>
              <w:t xml:space="preserve">a </w:t>
            </w:r>
            <w:r>
              <w:rPr>
                <w:b w:val="0"/>
                <w:bCs w:val="0"/>
              </w:rPr>
              <w:t xml:space="preserve">biological, adoptive, foster or step-parent, or the legal guardian of </w:t>
            </w:r>
            <w:r w:rsidR="00281E2C">
              <w:rPr>
                <w:b w:val="0"/>
                <w:bCs w:val="0"/>
              </w:rPr>
              <w:t xml:space="preserve">a </w:t>
            </w:r>
            <w:r>
              <w:rPr>
                <w:b w:val="0"/>
                <w:bCs w:val="0"/>
              </w:rPr>
              <w:t>child.</w:t>
            </w:r>
          </w:p>
          <w:p w:rsidRPr="000D5D2C" w:rsidR="006F564B" w:rsidP="00E555B1" w:rsidRDefault="599DE468" w14:paraId="6C332900" w14:textId="3CE1780B">
            <w:pPr>
              <w:pStyle w:val="SCVbodyafterheading"/>
            </w:pPr>
            <w:r>
              <w:t xml:space="preserve">Patient </w:t>
            </w:r>
            <w:r w:rsidR="3722D616">
              <w:rPr>
                <w:b w:val="0"/>
                <w:bCs w:val="0"/>
              </w:rPr>
              <w:t xml:space="preserve">refers to any patient including inpatients, consumers, clients or residents </w:t>
            </w:r>
            <w:r w:rsidR="0001ADB0">
              <w:rPr>
                <w:b w:val="0"/>
                <w:bCs w:val="0"/>
              </w:rPr>
              <w:t>who</w:t>
            </w:r>
            <w:r w:rsidR="3722D616">
              <w:rPr>
                <w:b w:val="0"/>
                <w:bCs w:val="0"/>
              </w:rPr>
              <w:t xml:space="preserve"> have suffered a SAPSE in the course of receiving health services. </w:t>
            </w:r>
            <w:r w:rsidRPr="008468A0" w:rsidR="35107A2D">
              <w:rPr>
                <w:b w:val="0"/>
                <w:bCs w:val="0"/>
              </w:rPr>
              <w:t>In circumstances where the patient lacks capacity or dies, the term patient also includes others who may be involved in the SDC process including the patient’s immediate family, carer, NOK, or any person nominated by the patient</w:t>
            </w:r>
            <w:r w:rsidRPr="00B913B6" w:rsidR="35107A2D">
              <w:rPr>
                <w:b w:val="0"/>
                <w:bCs w:val="0"/>
              </w:rPr>
              <w:t>.</w:t>
            </w:r>
            <w:r w:rsidRPr="00C76C4D" w:rsidR="006F564B">
              <w:rPr>
                <w:rStyle w:val="FootnoteReference"/>
                <w:b w:val="0"/>
                <w:bCs w:val="0"/>
              </w:rPr>
              <w:footnoteReference w:id="9"/>
            </w:r>
          </w:p>
          <w:p w:rsidR="00315C62" w:rsidP="00E555B1" w:rsidRDefault="00315C62" w14:paraId="5E34EB3F" w14:textId="50617D8B">
            <w:pPr>
              <w:pStyle w:val="SCVbodyafterheading"/>
            </w:pPr>
            <w:r>
              <w:t xml:space="preserve">Prolonged psychological harm </w:t>
            </w:r>
            <w:r>
              <w:rPr>
                <w:b w:val="0"/>
                <w:bCs w:val="0"/>
              </w:rPr>
              <w:t>means psychological harm which a patient has experienced, or is likely to experience, for a continuous period of at least 28 days.</w:t>
            </w:r>
            <w:r w:rsidR="00E701D8">
              <w:rPr>
                <w:rStyle w:val="FootnoteReference"/>
                <w:b w:val="0"/>
                <w:bCs w:val="0"/>
              </w:rPr>
              <w:footnoteReference w:id="10"/>
            </w:r>
          </w:p>
          <w:p w:rsidR="18370DCF" w:rsidP="0E53F234" w:rsidRDefault="589C8D25" w14:paraId="61016B3E" w14:textId="3448A6FF">
            <w:pPr>
              <w:pStyle w:val="SCVbodyafterheading"/>
              <w:rPr>
                <w:b w:val="0"/>
                <w:bCs w:val="0"/>
              </w:rPr>
            </w:pPr>
            <w:r w:rsidRPr="003E320C">
              <w:t>Racism</w:t>
            </w:r>
            <w:r w:rsidRPr="00EA17E5">
              <w:t xml:space="preserve"> </w:t>
            </w:r>
            <w:r w:rsidRPr="00DC0234" w:rsidR="00DC0234">
              <w:rPr>
                <w:b w:val="0"/>
                <w:bCs w:val="0"/>
              </w:rPr>
              <w:t xml:space="preserve">is </w:t>
            </w:r>
            <w:r w:rsidRPr="003E320C" w:rsidR="50590E6D">
              <w:rPr>
                <w:b w:val="0"/>
                <w:bCs w:val="0"/>
              </w:rPr>
              <w:t>that which maintains or exacerbates inequality of opportunity among ethnoracial groups</w:t>
            </w:r>
            <w:r w:rsidR="00FF6FC6">
              <w:rPr>
                <w:b w:val="0"/>
                <w:bCs w:val="0"/>
              </w:rPr>
              <w:t>.</w:t>
            </w:r>
            <w:r w:rsidR="00FF6FC6">
              <w:rPr>
                <w:rStyle w:val="FootnoteReference"/>
                <w:b w:val="0"/>
                <w:bCs w:val="0"/>
              </w:rPr>
              <w:footnoteReference w:id="11"/>
            </w:r>
          </w:p>
          <w:p w:rsidRPr="00173607" w:rsidR="00173607" w:rsidP="00173607" w:rsidRDefault="24CFF72D" w14:paraId="0D5F56FE" w14:textId="5FAE0CFB">
            <w:pPr>
              <w:pStyle w:val="SCVbodyafterheading"/>
              <w:rPr>
                <w:b w:val="0"/>
                <w:bCs w:val="0"/>
              </w:rPr>
            </w:pPr>
            <w:r w:rsidRPr="00616A04">
              <w:t>Registered health practitioner</w:t>
            </w:r>
            <w:r w:rsidRPr="00616A04" w:rsidR="224BA780">
              <w:t xml:space="preserve"> </w:t>
            </w:r>
            <w:r w:rsidRPr="00173607" w:rsidR="00173607">
              <w:rPr>
                <w:b w:val="0"/>
                <w:bCs w:val="0"/>
              </w:rPr>
              <w:t>means an individual who</w:t>
            </w:r>
            <w:r w:rsidR="00B9580E">
              <w:rPr>
                <w:b w:val="0"/>
                <w:bCs w:val="0"/>
              </w:rPr>
              <w:t>:</w:t>
            </w:r>
          </w:p>
          <w:p w:rsidR="00166212" w:rsidP="00F27A8B" w:rsidRDefault="00173607" w14:paraId="1E115106" w14:textId="77777777">
            <w:pPr>
              <w:pStyle w:val="SCVbodyafterheading"/>
              <w:numPr>
                <w:ilvl w:val="0"/>
                <w:numId w:val="68"/>
              </w:numPr>
            </w:pPr>
            <w:r w:rsidRPr="00173607">
              <w:rPr>
                <w:b w:val="0"/>
                <w:bCs w:val="0"/>
              </w:rPr>
              <w:t xml:space="preserve">is registered under </w:t>
            </w:r>
            <w:r w:rsidRPr="00166212" w:rsidR="00350149">
              <w:rPr>
                <w:b w:val="0"/>
                <w:bCs w:val="0"/>
              </w:rPr>
              <w:t>the</w:t>
            </w:r>
            <w:r w:rsidRPr="00166212" w:rsidR="00350149">
              <w:t xml:space="preserve"> </w:t>
            </w:r>
            <w:r w:rsidRPr="00AD0825" w:rsidR="00AD0825">
              <w:rPr>
                <w:b w:val="0"/>
                <w:bCs w:val="0"/>
              </w:rPr>
              <w:t xml:space="preserve">Health Practitioner Regulation National Law </w:t>
            </w:r>
            <w:r w:rsidRPr="00173607">
              <w:rPr>
                <w:b w:val="0"/>
                <w:bCs w:val="0"/>
              </w:rPr>
              <w:t>to practise a health profession</w:t>
            </w:r>
            <w:r w:rsidRPr="00166212" w:rsidR="00166212">
              <w:rPr>
                <w:b w:val="0"/>
                <w:bCs w:val="0"/>
              </w:rPr>
              <w:t>,</w:t>
            </w:r>
            <w:r w:rsidRPr="00166212" w:rsidR="00166212">
              <w:t xml:space="preserve"> </w:t>
            </w:r>
            <w:r w:rsidRPr="00166212" w:rsidR="00166212">
              <w:rPr>
                <w:b w:val="0"/>
                <w:bCs w:val="0"/>
              </w:rPr>
              <w:t>other than as a student</w:t>
            </w:r>
            <w:r w:rsidR="00B9580E">
              <w:rPr>
                <w:b w:val="0"/>
                <w:bCs w:val="0"/>
              </w:rPr>
              <w:t>; or</w:t>
            </w:r>
          </w:p>
          <w:p w:rsidR="00166212" w:rsidP="00F27A8B" w:rsidRDefault="008170A4" w14:paraId="44A220A8" w14:textId="77777777">
            <w:pPr>
              <w:pStyle w:val="SCVbodyafterheading"/>
              <w:numPr>
                <w:ilvl w:val="0"/>
                <w:numId w:val="68"/>
              </w:numPr>
            </w:pPr>
            <w:r w:rsidRPr="008170A4">
              <w:rPr>
                <w:b w:val="0"/>
                <w:bCs w:val="0"/>
              </w:rPr>
              <w:t>holds non-practising registration under this Law in a health profession.</w:t>
            </w:r>
            <w:r w:rsidR="00992307">
              <w:rPr>
                <w:rStyle w:val="FootnoteReference"/>
                <w:b w:val="0"/>
                <w:bCs w:val="0"/>
              </w:rPr>
              <w:footnoteReference w:id="12"/>
            </w:r>
            <w:r w:rsidR="4063FF3F">
              <w:rPr>
                <w:b w:val="0"/>
                <w:bCs w:val="0"/>
              </w:rPr>
              <w:t xml:space="preserve"> </w:t>
            </w:r>
          </w:p>
          <w:p w:rsidR="00315C62" w:rsidP="00E555B1" w:rsidRDefault="08FDAA55" w14:paraId="7F865A49" w14:textId="66A014AC">
            <w:pPr>
              <w:pStyle w:val="SCVbodyafterheading"/>
            </w:pPr>
            <w:r>
              <w:t xml:space="preserve">Secretary </w:t>
            </w:r>
            <w:r>
              <w:rPr>
                <w:b w:val="0"/>
                <w:bCs w:val="0"/>
              </w:rPr>
              <w:t xml:space="preserve">means the Department Head (within the meaning of the </w:t>
            </w:r>
            <w:r w:rsidRPr="00E55ACA">
              <w:rPr>
                <w:b w:val="0"/>
                <w:bCs w:val="0"/>
                <w:i/>
              </w:rPr>
              <w:t>Public Administration Act 2004</w:t>
            </w:r>
            <w:r>
              <w:rPr>
                <w:b w:val="0"/>
                <w:bCs w:val="0"/>
              </w:rPr>
              <w:t>) of the Department of Health.</w:t>
            </w:r>
            <w:r w:rsidR="00B5309B">
              <w:rPr>
                <w:rStyle w:val="FootnoteReference"/>
                <w:b w:val="0"/>
                <w:bCs w:val="0"/>
              </w:rPr>
              <w:footnoteReference w:id="13"/>
            </w:r>
            <w:r>
              <w:t xml:space="preserve"> </w:t>
            </w:r>
          </w:p>
          <w:p w:rsidR="00315C62" w:rsidP="00E555B1" w:rsidRDefault="00315C62" w14:paraId="6080D4BD" w14:textId="5AE709A0">
            <w:pPr>
              <w:pStyle w:val="SCVbodyafterheading"/>
            </w:pPr>
            <w:r>
              <w:t xml:space="preserve">Self-reported harm </w:t>
            </w:r>
            <w:r>
              <w:rPr>
                <w:b w:val="0"/>
                <w:bCs w:val="0"/>
              </w:rPr>
              <w:t>refers to if a patient identifies that they have experienced harm that has not yet been recorded by the health service</w:t>
            </w:r>
            <w:r w:rsidR="00317272">
              <w:rPr>
                <w:b w:val="0"/>
                <w:bCs w:val="0"/>
              </w:rPr>
              <w:t xml:space="preserve"> entity</w:t>
            </w:r>
            <w:r>
              <w:rPr>
                <w:b w:val="0"/>
                <w:bCs w:val="0"/>
              </w:rPr>
              <w:t>.</w:t>
            </w:r>
          </w:p>
          <w:p w:rsidR="00315C62" w:rsidP="00E555B1" w:rsidRDefault="27AD60A2" w14:paraId="496E4721" w14:textId="02CA252F">
            <w:pPr>
              <w:pStyle w:val="SCVbodyafterheading"/>
            </w:pPr>
            <w:r w:rsidRPr="00010469">
              <w:t>Sentinel event</w:t>
            </w:r>
            <w:r>
              <w:t xml:space="preserve"> </w:t>
            </w:r>
            <w:r w:rsidRPr="00E555B1">
              <w:rPr>
                <w:b w:val="0"/>
                <w:bCs w:val="0"/>
              </w:rPr>
              <w:t xml:space="preserve">means an unexpected and adverse event that occurs infrequently in a health service </w:t>
            </w:r>
            <w:r w:rsidR="00603396">
              <w:rPr>
                <w:b w:val="0"/>
                <w:bCs w:val="0"/>
              </w:rPr>
              <w:t>entity</w:t>
            </w:r>
            <w:r w:rsidRPr="00E555B1">
              <w:rPr>
                <w:b w:val="0"/>
                <w:bCs w:val="0"/>
              </w:rPr>
              <w:t xml:space="preserve"> and results in the death of, or serious physical or psychological injury to, a patient as a result of system and process deficiencies at the health service </w:t>
            </w:r>
            <w:r w:rsidR="00603396">
              <w:rPr>
                <w:b w:val="0"/>
                <w:bCs w:val="0"/>
              </w:rPr>
              <w:t>entity</w:t>
            </w:r>
            <w:r w:rsidRPr="00E555B1">
              <w:rPr>
                <w:b w:val="0"/>
                <w:bCs w:val="0"/>
              </w:rPr>
              <w:t>.</w:t>
            </w:r>
            <w:r w:rsidRPr="00E555B1" w:rsidR="00315C62">
              <w:rPr>
                <w:rStyle w:val="FootnoteReference"/>
                <w:b w:val="0"/>
                <w:bCs w:val="0"/>
              </w:rPr>
              <w:footnoteReference w:id="14"/>
            </w:r>
          </w:p>
          <w:p w:rsidR="5CE5DA37" w:rsidP="7068FF33" w:rsidRDefault="0F4D617F" w14:paraId="6996F260" w14:textId="654F7391">
            <w:pPr>
              <w:pStyle w:val="SCVbodyafterheading"/>
            </w:pPr>
            <w:r>
              <w:t xml:space="preserve">Serious adverse patient safety event (SAPSE) </w:t>
            </w:r>
            <w:r>
              <w:rPr>
                <w:b w:val="0"/>
                <w:bCs w:val="0"/>
              </w:rPr>
              <w:t>is an event of a prescribed class or category that:</w:t>
            </w:r>
            <w:r>
              <w:t xml:space="preserve"> </w:t>
            </w:r>
          </w:p>
          <w:p w:rsidR="5CE5DA37" w:rsidP="4481240E" w:rsidRDefault="0F4D617F" w14:paraId="15C08132" w14:textId="70A8E6E7">
            <w:pPr>
              <w:pStyle w:val="SCVbodyafterheading"/>
              <w:numPr>
                <w:ilvl w:val="0"/>
                <w:numId w:val="62"/>
              </w:numPr>
              <w:rPr>
                <w:b w:val="0"/>
                <w:bCs w:val="0"/>
              </w:rPr>
            </w:pPr>
            <w:r>
              <w:rPr>
                <w:b w:val="0"/>
                <w:bCs w:val="0"/>
              </w:rPr>
              <w:t xml:space="preserve">occurred while the patient was receiving health services from a health service entity; and </w:t>
            </w:r>
          </w:p>
          <w:p w:rsidR="5CE5DA37" w:rsidP="4481240E" w:rsidRDefault="0F4D617F" w14:paraId="0E69B9DB" w14:textId="3F82E6CA">
            <w:pPr>
              <w:pStyle w:val="SCVbodyafterheading"/>
              <w:numPr>
                <w:ilvl w:val="0"/>
                <w:numId w:val="62"/>
              </w:numPr>
              <w:rPr>
                <w:b w:val="0"/>
                <w:bCs w:val="0"/>
              </w:rPr>
            </w:pPr>
            <w:r>
              <w:rPr>
                <w:b w:val="0"/>
                <w:bCs w:val="0"/>
              </w:rPr>
              <w:t xml:space="preserve">in the reasonable opinion of a registered health practitioner, has resulted in, or is likely to result in, unintended or unexpected harm </w:t>
            </w:r>
            <w:r w:rsidR="000F120C">
              <w:rPr>
                <w:b w:val="0"/>
                <w:bCs w:val="0"/>
              </w:rPr>
              <w:t>(which includes</w:t>
            </w:r>
            <w:r w:rsidR="00887AB8">
              <w:rPr>
                <w:b w:val="0"/>
                <w:bCs w:val="0"/>
              </w:rPr>
              <w:t xml:space="preserve"> moderate harm, severe harm </w:t>
            </w:r>
            <w:r w:rsidR="00CD177C">
              <w:rPr>
                <w:b w:val="0"/>
                <w:bCs w:val="0"/>
              </w:rPr>
              <w:t>or</w:t>
            </w:r>
            <w:r w:rsidR="00887AB8">
              <w:rPr>
                <w:b w:val="0"/>
                <w:bCs w:val="0"/>
              </w:rPr>
              <w:t xml:space="preserve"> prolonged psych</w:t>
            </w:r>
            <w:r w:rsidR="00177B0C">
              <w:rPr>
                <w:b w:val="0"/>
                <w:bCs w:val="0"/>
              </w:rPr>
              <w:t>ological harm</w:t>
            </w:r>
            <w:r w:rsidR="009A49E6">
              <w:rPr>
                <w:b w:val="0"/>
                <w:bCs w:val="0"/>
              </w:rPr>
              <w:t xml:space="preserve">) </w:t>
            </w:r>
            <w:r>
              <w:rPr>
                <w:b w:val="0"/>
                <w:bCs w:val="0"/>
              </w:rPr>
              <w:t>being suffered by the patient.</w:t>
            </w:r>
            <w:r w:rsidR="000C1BA3">
              <w:rPr>
                <w:rStyle w:val="FootnoteReference"/>
                <w:b w:val="0"/>
                <w:bCs w:val="0"/>
              </w:rPr>
              <w:footnoteReference w:id="15"/>
            </w:r>
            <w:r>
              <w:rPr>
                <w:b w:val="0"/>
                <w:bCs w:val="0"/>
              </w:rPr>
              <w:t xml:space="preserve"> </w:t>
            </w:r>
          </w:p>
          <w:p w:rsidR="00145939" w:rsidP="7068FF33" w:rsidRDefault="00145939" w14:paraId="1A2070D3" w14:textId="77777777">
            <w:pPr>
              <w:pStyle w:val="SCVbodyafterheading"/>
            </w:pPr>
            <w:r w:rsidRPr="00145939">
              <w:rPr>
                <w:b w:val="0"/>
                <w:bCs w:val="0"/>
              </w:rPr>
              <w:t xml:space="preserve">This includes an event that is identified following discharge from the health service entity. </w:t>
            </w:r>
          </w:p>
          <w:p w:rsidR="5CE5DA37" w:rsidP="7068FF33" w:rsidRDefault="5CE5DA37" w14:paraId="1E11C195" w14:textId="33A01B6C">
            <w:pPr>
              <w:pStyle w:val="SCVbodyafterheading"/>
              <w:rPr>
                <w:b w:val="0"/>
                <w:bCs w:val="0"/>
              </w:rPr>
            </w:pPr>
            <w:r w:rsidRPr="7068FF33">
              <w:t>Severe harm</w:t>
            </w:r>
            <w:r>
              <w:rPr>
                <w:b w:val="0"/>
                <w:bCs w:val="0"/>
              </w:rPr>
              <w:t xml:space="preserve"> means harm that causes a permanent lessening in the functioning of an individual that is unrelated to the natural course of a person’s illness or underlying condition</w:t>
            </w:r>
            <w:r w:rsidRPr="008F68E9" w:rsidR="008F68E9">
              <w:rPr>
                <w:b w:val="0"/>
                <w:bCs w:val="0"/>
              </w:rPr>
              <w:t xml:space="preserve"> including harm that</w:t>
            </w:r>
            <w:r>
              <w:rPr>
                <w:b w:val="0"/>
                <w:bCs w:val="0"/>
              </w:rPr>
              <w:t xml:space="preserve"> can lead to a person experiencing a permanent impairment or disability, or death.</w:t>
            </w:r>
            <w:r w:rsidR="00626A72">
              <w:rPr>
                <w:rStyle w:val="FootnoteReference"/>
                <w:b w:val="0"/>
                <w:bCs w:val="0"/>
              </w:rPr>
              <w:footnoteReference w:id="16"/>
            </w:r>
          </w:p>
          <w:p w:rsidR="00315C62" w:rsidP="00857B53" w:rsidRDefault="00315C62" w14:paraId="1DB80C5B" w14:textId="34502577">
            <w:pPr>
              <w:pStyle w:val="SCVbodyafterheading"/>
            </w:pPr>
            <w:r w:rsidRPr="00E955EE">
              <w:t xml:space="preserve">Sexual </w:t>
            </w:r>
            <w:r w:rsidR="00C94573">
              <w:t>s</w:t>
            </w:r>
            <w:r w:rsidRPr="00E955EE">
              <w:t xml:space="preserve">afety </w:t>
            </w:r>
            <w:r w:rsidRPr="00857B53" w:rsidR="00857B53">
              <w:rPr>
                <w:b w:val="0"/>
                <w:bCs w:val="0"/>
              </w:rPr>
              <w:t>has been defined as a state in which physical and psychological boundaries of individuals are maintained and respected.</w:t>
            </w:r>
            <w:r w:rsidR="00C94573">
              <w:rPr>
                <w:rStyle w:val="FootnoteReference"/>
                <w:b w:val="0"/>
                <w:bCs w:val="0"/>
              </w:rPr>
              <w:footnoteReference w:id="17"/>
            </w:r>
          </w:p>
          <w:p w:rsidRPr="00FF7F0F" w:rsidR="00FF7F0F" w:rsidP="00FF7F0F" w:rsidRDefault="00FF7F0F" w14:paraId="72FD5710" w14:textId="6E42A627">
            <w:pPr>
              <w:pStyle w:val="SCVbodyafterheading"/>
            </w:pPr>
            <w:r>
              <w:t xml:space="preserve">Statutory Duty of Candour (SDC) </w:t>
            </w:r>
            <w:r>
              <w:rPr>
                <w:b w:val="0"/>
                <w:bCs w:val="0"/>
              </w:rPr>
              <w:t>must be performed i</w:t>
            </w:r>
            <w:r w:rsidRPr="00FF7F0F">
              <w:rPr>
                <w:b w:val="0"/>
                <w:bCs w:val="0"/>
              </w:rPr>
              <w:t xml:space="preserve">f a patient suffers a </w:t>
            </w:r>
            <w:r w:rsidR="00EA00B9">
              <w:rPr>
                <w:b w:val="0"/>
                <w:bCs w:val="0"/>
              </w:rPr>
              <w:t>SAPSE</w:t>
            </w:r>
            <w:r w:rsidRPr="00FF7F0F">
              <w:rPr>
                <w:b w:val="0"/>
                <w:bCs w:val="0"/>
              </w:rPr>
              <w:t xml:space="preserve"> in the course of receiving health services</w:t>
            </w:r>
            <w:r w:rsidR="00251D34">
              <w:rPr>
                <w:b w:val="0"/>
                <w:bCs w:val="0"/>
              </w:rPr>
              <w:t>. T</w:t>
            </w:r>
            <w:r w:rsidRPr="00FF7F0F">
              <w:rPr>
                <w:b w:val="0"/>
                <w:bCs w:val="0"/>
              </w:rPr>
              <w:t>he health service entity responsible for providing those services must provide them with:</w:t>
            </w:r>
          </w:p>
          <w:p w:rsidRPr="00FF7F0F" w:rsidR="00FF7F0F" w:rsidP="00DA6ED9" w:rsidRDefault="00FF7F0F" w14:paraId="7C020189" w14:textId="68778DF4">
            <w:pPr>
              <w:pStyle w:val="SCVbodyafterheading"/>
              <w:numPr>
                <w:ilvl w:val="0"/>
                <w:numId w:val="72"/>
              </w:numPr>
              <w:rPr>
                <w:b w:val="0"/>
                <w:bCs w:val="0"/>
              </w:rPr>
            </w:pPr>
            <w:r w:rsidRPr="00FF7F0F">
              <w:rPr>
                <w:b w:val="0"/>
                <w:bCs w:val="0"/>
              </w:rPr>
              <w:t>a written account of the facts</w:t>
            </w:r>
          </w:p>
          <w:p w:rsidRPr="00FF7F0F" w:rsidR="00FF7F0F" w:rsidP="00DA6ED9" w:rsidRDefault="00FF7F0F" w14:paraId="7401E75E" w14:textId="4EC26BF9">
            <w:pPr>
              <w:pStyle w:val="SCVbodyafterheading"/>
              <w:numPr>
                <w:ilvl w:val="0"/>
                <w:numId w:val="72"/>
              </w:numPr>
              <w:rPr>
                <w:b w:val="0"/>
                <w:bCs w:val="0"/>
              </w:rPr>
            </w:pPr>
            <w:r w:rsidRPr="00FF7F0F">
              <w:rPr>
                <w:b w:val="0"/>
                <w:bCs w:val="0"/>
              </w:rPr>
              <w:t>an apology for the harm suffered</w:t>
            </w:r>
          </w:p>
          <w:p w:rsidRPr="00FF7F0F" w:rsidR="00FF7F0F" w:rsidP="00DA6ED9" w:rsidRDefault="00FF7F0F" w14:paraId="0815F212" w14:textId="495B1A07">
            <w:pPr>
              <w:pStyle w:val="SCVbodyafterheading"/>
              <w:numPr>
                <w:ilvl w:val="0"/>
                <w:numId w:val="72"/>
              </w:numPr>
              <w:rPr>
                <w:b w:val="0"/>
                <w:bCs w:val="0"/>
              </w:rPr>
            </w:pPr>
            <w:r w:rsidRPr="00FF7F0F">
              <w:rPr>
                <w:b w:val="0"/>
                <w:bCs w:val="0"/>
              </w:rPr>
              <w:t>a description of the health service entity’s response to the event</w:t>
            </w:r>
            <w:r w:rsidR="00907654">
              <w:rPr>
                <w:b w:val="0"/>
                <w:bCs w:val="0"/>
              </w:rPr>
              <w:t>, and</w:t>
            </w:r>
          </w:p>
          <w:p w:rsidRPr="00FF7F0F" w:rsidR="00FF7F0F" w:rsidP="00DA6ED9" w:rsidRDefault="00FF7F0F" w14:paraId="4CF445D3" w14:textId="4281145E">
            <w:pPr>
              <w:pStyle w:val="SCVbodyafterheading"/>
              <w:numPr>
                <w:ilvl w:val="0"/>
                <w:numId w:val="72"/>
              </w:numPr>
              <w:rPr>
                <w:b w:val="0"/>
                <w:bCs w:val="0"/>
              </w:rPr>
            </w:pPr>
            <w:r w:rsidRPr="00FF7F0F">
              <w:rPr>
                <w:b w:val="0"/>
                <w:bCs w:val="0"/>
              </w:rPr>
              <w:t>the steps that the health service entity has taken to prevent re-occurrence of the event</w:t>
            </w:r>
            <w:r w:rsidR="00907654">
              <w:rPr>
                <w:b w:val="0"/>
                <w:bCs w:val="0"/>
              </w:rPr>
              <w:t>.</w:t>
            </w:r>
          </w:p>
          <w:p w:rsidRPr="00FF7F0F" w:rsidR="00FF7F0F" w:rsidP="00907654" w:rsidRDefault="00907654" w14:paraId="749F64DF" w14:textId="730BC440">
            <w:pPr>
              <w:pStyle w:val="SCVbodyafterheading"/>
              <w:rPr>
                <w:b w:val="0"/>
                <w:bCs w:val="0"/>
              </w:rPr>
            </w:pPr>
            <w:r>
              <w:rPr>
                <w:b w:val="0"/>
                <w:bCs w:val="0"/>
              </w:rPr>
              <w:t xml:space="preserve">They must also </w:t>
            </w:r>
            <w:r w:rsidRPr="00FF7F0F" w:rsidR="00FF7F0F">
              <w:rPr>
                <w:b w:val="0"/>
                <w:bCs w:val="0"/>
              </w:rPr>
              <w:t xml:space="preserve">comply with the steps set out in the </w:t>
            </w:r>
            <w:r w:rsidRPr="009835B6" w:rsidR="00FF7F0F">
              <w:rPr>
                <w:b w:val="0"/>
                <w:bCs w:val="0"/>
                <w:i/>
                <w:iCs/>
              </w:rPr>
              <w:t>Victorian Duty of Candour Guidelines</w:t>
            </w:r>
            <w:r w:rsidRPr="00FF7F0F" w:rsidR="00FF7F0F">
              <w:rPr>
                <w:b w:val="0"/>
                <w:bCs w:val="0"/>
              </w:rPr>
              <w:t>.</w:t>
            </w:r>
          </w:p>
          <w:p w:rsidRPr="00C45A58" w:rsidR="00E93BF7" w:rsidP="00E555B1" w:rsidRDefault="00315C62" w14:paraId="333B7625" w14:textId="6BF7F27B">
            <w:pPr>
              <w:pStyle w:val="SCVbodyafterheading"/>
              <w:rPr>
                <w:b w:val="0"/>
              </w:rPr>
            </w:pPr>
            <w:r>
              <w:t xml:space="preserve">Victorian Health Incident Management System (VHIMS) </w:t>
            </w:r>
            <w:r>
              <w:rPr>
                <w:b w:val="0"/>
              </w:rPr>
              <w:t>is a standardised dataset for the collection and classification of clinical, occupational health and safety incidents, near misses, hazards and consumer feedback.</w:t>
            </w:r>
          </w:p>
        </w:tc>
      </w:tr>
    </w:tbl>
    <w:p w:rsidRPr="005E6387" w:rsidR="00544CC8" w:rsidP="00CF122D" w:rsidRDefault="63C58212" w14:paraId="37294AE6" w14:textId="1B4A4F7B">
      <w:pPr>
        <w:pStyle w:val="Heading1"/>
        <w:rPr>
          <w:sz w:val="48"/>
          <w:szCs w:val="48"/>
        </w:rPr>
      </w:pPr>
      <w:bookmarkStart w:name="_Toc109316416" w:id="4"/>
      <w:bookmarkStart w:name="_Toc117519223" w:id="5"/>
      <w:r w:rsidRPr="2AE977E9">
        <w:rPr>
          <w:sz w:val="48"/>
          <w:szCs w:val="48"/>
        </w:rPr>
        <w:t xml:space="preserve">About this </w:t>
      </w:r>
      <w:bookmarkEnd w:id="4"/>
      <w:r w:rsidRPr="2AE977E9" w:rsidR="6296BC36">
        <w:rPr>
          <w:sz w:val="48"/>
          <w:szCs w:val="48"/>
        </w:rPr>
        <w:t>framework</w:t>
      </w:r>
      <w:bookmarkEnd w:id="5"/>
    </w:p>
    <w:p w:rsidR="00544CC8" w:rsidP="005E6387" w:rsidRDefault="2BB12BAB" w14:paraId="5FF74E0D" w14:textId="39377994">
      <w:pPr>
        <w:pStyle w:val="SCVintroductorytext"/>
      </w:pPr>
      <w:r>
        <w:t xml:space="preserve">This </w:t>
      </w:r>
      <w:r w:rsidR="62709179">
        <w:t>framework</w:t>
      </w:r>
      <w:r>
        <w:t xml:space="preserve"> will assist your health service entity </w:t>
      </w:r>
      <w:r w:rsidR="0076414E">
        <w:t xml:space="preserve">to </w:t>
      </w:r>
      <w:r>
        <w:t xml:space="preserve">provide patient-centred care, create a just and transparent culture, and comply with mandatory and legislated requirements to undertake SDC. It provides a framework, guidance and considerations on the </w:t>
      </w:r>
      <w:r w:rsidR="7B000052">
        <w:t>SDC and</w:t>
      </w:r>
      <w:r>
        <w:t xml:space="preserve"> should be read together with the relevant legislation and </w:t>
      </w:r>
      <w:hyperlink r:id="rId23">
        <w:r w:rsidRPr="73E4392F">
          <w:rPr>
            <w:rStyle w:val="Hyperlink"/>
            <w:i/>
            <w:iCs/>
          </w:rPr>
          <w:t>Victorian Duty of Candour Guidelines</w:t>
        </w:r>
      </w:hyperlink>
      <w:r>
        <w:t>.</w:t>
      </w:r>
    </w:p>
    <w:tbl>
      <w:tblPr>
        <w:tblStyle w:val="SCVpulloutbox"/>
        <w:tblW w:w="0" w:type="auto"/>
        <w:tblLook w:val="04A0" w:firstRow="1" w:lastRow="0" w:firstColumn="1" w:lastColumn="0" w:noHBand="0" w:noVBand="1"/>
      </w:tblPr>
      <w:tblGrid>
        <w:gridCol w:w="10432"/>
      </w:tblGrid>
      <w:tr w:rsidRPr="00B5031D" w:rsidR="00B5031D" w:rsidTr="00B5031D" w14:paraId="2DBD898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2" w:type="dxa"/>
          </w:tcPr>
          <w:p w:rsidRPr="00B5031D" w:rsidR="00B5031D" w:rsidP="003B7FAB" w:rsidRDefault="0076414E" w14:paraId="58C8E31C" w14:textId="57BB7890">
            <w:pPr>
              <w:pStyle w:val="SCVbullet1"/>
              <w:numPr>
                <w:ilvl w:val="0"/>
                <w:numId w:val="0"/>
              </w:numPr>
            </w:pPr>
            <w:r>
              <w:t>In</w:t>
            </w:r>
            <w:r w:rsidRPr="00B5031D" w:rsidR="00B5031D">
              <w:t xml:space="preserve"> this Framework ‘support person(s)’ refers to the patient’s NOK</w:t>
            </w:r>
            <w:r w:rsidR="00251150">
              <w:t>,</w:t>
            </w:r>
            <w:r w:rsidRPr="00B5031D" w:rsidR="00B5031D">
              <w:t xml:space="preserve"> family</w:t>
            </w:r>
            <w:r w:rsidR="00251150">
              <w:t>,</w:t>
            </w:r>
            <w:r w:rsidRPr="00B5031D" w:rsidR="00B5031D">
              <w:t xml:space="preserve"> carer</w:t>
            </w:r>
            <w:r w:rsidR="00251150">
              <w:t>,</w:t>
            </w:r>
            <w:r w:rsidRPr="00B5031D" w:rsidR="00B5031D">
              <w:t xml:space="preserve"> or any other person nominated by the patient.</w:t>
            </w:r>
          </w:p>
        </w:tc>
      </w:tr>
    </w:tbl>
    <w:p w:rsidR="00865F48" w:rsidP="005E6387" w:rsidRDefault="22F1ABD0" w14:paraId="4F9F2001" w14:textId="04F6DF0A">
      <w:pPr>
        <w:pStyle w:val="Heading2"/>
      </w:pPr>
      <w:bookmarkStart w:name="_Toc117519224" w:id="6"/>
      <w:r>
        <w:t xml:space="preserve">Why use this </w:t>
      </w:r>
      <w:r w:rsidR="338EA50D">
        <w:t>framework</w:t>
      </w:r>
      <w:r w:rsidR="588994F5">
        <w:t>?</w:t>
      </w:r>
      <w:bookmarkEnd w:id="6"/>
    </w:p>
    <w:p w:rsidR="00745682" w:rsidP="00745682" w:rsidRDefault="72790A7C" w14:paraId="524D01B3" w14:textId="49735C74">
      <w:pPr>
        <w:pStyle w:val="SCVbody"/>
      </w:pPr>
      <w:r>
        <w:t xml:space="preserve">This </w:t>
      </w:r>
      <w:r w:rsidR="338EA50D">
        <w:t xml:space="preserve">framework </w:t>
      </w:r>
      <w:r w:rsidR="307A86D3">
        <w:t xml:space="preserve">supports </w:t>
      </w:r>
      <w:r w:rsidR="5D23167E">
        <w:t xml:space="preserve">health service entities to </w:t>
      </w:r>
      <w:r w:rsidR="7B34ED0D">
        <w:t xml:space="preserve">understand </w:t>
      </w:r>
      <w:r w:rsidR="14A3D9E3">
        <w:t xml:space="preserve">what a SAPSE is, </w:t>
      </w:r>
      <w:r w:rsidR="6E4B2654">
        <w:t>and</w:t>
      </w:r>
      <w:r w:rsidR="2582B71A">
        <w:t xml:space="preserve"> </w:t>
      </w:r>
      <w:r w:rsidR="4416B4B4">
        <w:t xml:space="preserve">the </w:t>
      </w:r>
      <w:r w:rsidR="2FFECB5F">
        <w:t>considerations</w:t>
      </w:r>
      <w:r w:rsidR="4416B4B4">
        <w:t xml:space="preserve"> </w:t>
      </w:r>
      <w:r w:rsidR="2582B71A">
        <w:t>when undertaking</w:t>
      </w:r>
      <w:r w:rsidR="4416B4B4">
        <w:t xml:space="preserve"> the SDC</w:t>
      </w:r>
      <w:r w:rsidR="2582B71A">
        <w:t xml:space="preserve"> process. </w:t>
      </w:r>
      <w:r w:rsidR="7B34ED0D">
        <w:t>It includes guidance on:</w:t>
      </w:r>
    </w:p>
    <w:p w:rsidR="00745682" w:rsidP="7068FF33" w:rsidRDefault="7B34ED0D" w14:paraId="6F4707FE" w14:textId="3D3998D1">
      <w:pPr>
        <w:pStyle w:val="SCVbullet1"/>
        <w:numPr>
          <w:ilvl w:val="0"/>
          <w:numId w:val="25"/>
        </w:numPr>
      </w:pPr>
      <w:r>
        <w:t xml:space="preserve">the principles </w:t>
      </w:r>
      <w:r w:rsidR="04FB58FD">
        <w:t xml:space="preserve">and benefits </w:t>
      </w:r>
      <w:r>
        <w:t>of SDC</w:t>
      </w:r>
    </w:p>
    <w:p w:rsidR="00324B5F" w:rsidP="7068FF33" w:rsidRDefault="04FB58FD" w14:paraId="667B4F5F" w14:textId="34458706">
      <w:pPr>
        <w:pStyle w:val="SCVbullet1"/>
        <w:numPr>
          <w:ilvl w:val="0"/>
          <w:numId w:val="25"/>
        </w:numPr>
      </w:pPr>
      <w:r>
        <w:t xml:space="preserve">what </w:t>
      </w:r>
      <w:r w:rsidR="2DC81168">
        <w:t xml:space="preserve">is </w:t>
      </w:r>
      <w:r>
        <w:t>a SAPSE</w:t>
      </w:r>
      <w:r w:rsidR="00C70CAF">
        <w:t xml:space="preserve"> with examples</w:t>
      </w:r>
    </w:p>
    <w:p w:rsidR="00CB63C0" w:rsidP="7068FF33" w:rsidRDefault="11EBC516" w14:paraId="19E40918" w14:textId="3A2B020A">
      <w:pPr>
        <w:pStyle w:val="SCVbullet1"/>
        <w:numPr>
          <w:ilvl w:val="0"/>
          <w:numId w:val="25"/>
        </w:numPr>
      </w:pPr>
      <w:r>
        <w:t>escalation process for disagreements</w:t>
      </w:r>
    </w:p>
    <w:p w:rsidR="00030DE7" w:rsidP="7068FF33" w:rsidRDefault="7634FB45" w14:paraId="4082CC50" w14:textId="3579B11A">
      <w:pPr>
        <w:pStyle w:val="SCVbullet1"/>
        <w:numPr>
          <w:ilvl w:val="0"/>
          <w:numId w:val="25"/>
        </w:numPr>
      </w:pPr>
      <w:r>
        <w:t>patient considerations</w:t>
      </w:r>
    </w:p>
    <w:p w:rsidR="00745682" w:rsidP="7068FF33" w:rsidRDefault="7B34ED0D" w14:paraId="39CEE7BD" w14:textId="0AF05659">
      <w:pPr>
        <w:pStyle w:val="SCVbullet1"/>
        <w:numPr>
          <w:ilvl w:val="0"/>
          <w:numId w:val="25"/>
        </w:numPr>
      </w:pPr>
      <w:r>
        <w:t>the governance of SDC</w:t>
      </w:r>
      <w:r w:rsidR="00C70CAF">
        <w:t>.</w:t>
      </w:r>
    </w:p>
    <w:p w:rsidR="00EB1F78" w:rsidP="00EB1F78" w:rsidRDefault="00EB1F78" w14:paraId="40855D4C" w14:textId="7A805E24">
      <w:pPr>
        <w:pStyle w:val="Heading3"/>
      </w:pPr>
      <w:r>
        <w:t>Please read this framework in conjunction with:</w:t>
      </w:r>
    </w:p>
    <w:p w:rsidR="209ECE60" w:rsidP="7068FF33" w:rsidRDefault="2AFA4722" w14:paraId="678BB729" w14:textId="6116F417">
      <w:pPr>
        <w:pStyle w:val="SCVbullet1"/>
        <w:numPr>
          <w:ilvl w:val="0"/>
          <w:numId w:val="24"/>
        </w:numPr>
        <w:rPr>
          <w:i/>
          <w:iCs/>
        </w:rPr>
      </w:pPr>
      <w:r w:rsidRPr="7068FF33">
        <w:t>Relevant legislation</w:t>
      </w:r>
      <w:r w:rsidR="00C118EF">
        <w:t>s and underpinning regulations</w:t>
      </w:r>
      <w:r w:rsidR="00251150">
        <w:t xml:space="preserve"> (see resources page)</w:t>
      </w:r>
    </w:p>
    <w:p w:rsidRPr="00561A76" w:rsidR="00EB1F78" w:rsidP="7068FF33" w:rsidRDefault="3E974851" w14:paraId="0248358A" w14:textId="4EDF243E">
      <w:pPr>
        <w:pStyle w:val="SCVbullet1"/>
        <w:numPr>
          <w:ilvl w:val="0"/>
          <w:numId w:val="24"/>
        </w:numPr>
        <w:rPr>
          <w:i/>
          <w:iCs/>
        </w:rPr>
      </w:pPr>
      <w:r w:rsidRPr="00561A76">
        <w:rPr>
          <w:i/>
          <w:iCs/>
        </w:rPr>
        <w:t>Victorian Duty of Candour Guidelines</w:t>
      </w:r>
    </w:p>
    <w:p w:rsidR="00EB1F78" w:rsidP="7068FF33" w:rsidRDefault="025BD6BC" w14:paraId="6533F86E" w14:textId="15FDF2C9">
      <w:pPr>
        <w:pStyle w:val="SCVbullet1"/>
        <w:numPr>
          <w:ilvl w:val="0"/>
          <w:numId w:val="24"/>
        </w:numPr>
      </w:pPr>
      <w:r w:rsidRPr="7068FF33">
        <w:t xml:space="preserve">Australian Open Disclosure Framework </w:t>
      </w:r>
    </w:p>
    <w:p w:rsidR="00EB1F78" w:rsidP="7068FF33" w:rsidRDefault="3E974851" w14:paraId="57590B18" w14:textId="3624FB99">
      <w:pPr>
        <w:pStyle w:val="SCVbullet1"/>
        <w:numPr>
          <w:ilvl w:val="0"/>
          <w:numId w:val="24"/>
        </w:numPr>
      </w:pPr>
      <w:r w:rsidRPr="7068FF33">
        <w:t>Policy: Adverse Patient Safety Events</w:t>
      </w:r>
      <w:r w:rsidRPr="7068FF33" w:rsidR="0A920E8B">
        <w:t>, and</w:t>
      </w:r>
      <w:r w:rsidRPr="7068FF33">
        <w:t xml:space="preserve"> </w:t>
      </w:r>
    </w:p>
    <w:p w:rsidR="00C0072D" w:rsidP="7068FF33" w:rsidRDefault="3E974851" w14:paraId="0E0B736F" w14:textId="318DBB3E">
      <w:pPr>
        <w:pStyle w:val="SCVbullet1"/>
        <w:numPr>
          <w:ilvl w:val="0"/>
          <w:numId w:val="24"/>
        </w:numPr>
      </w:pPr>
      <w:r w:rsidRPr="7068FF33">
        <w:t>Victorian sentinel events guide.</w:t>
      </w:r>
    </w:p>
    <w:p w:rsidR="006C7031" w:rsidP="006C7031" w:rsidRDefault="6D10B82F" w14:paraId="5C03C88E" w14:textId="7A9C5EBA">
      <w:pPr>
        <w:pStyle w:val="Heading2"/>
      </w:pPr>
      <w:bookmarkStart w:name="_Toc109316418" w:id="7"/>
      <w:bookmarkStart w:name="_Toc117519225" w:id="8"/>
      <w:r>
        <w:t xml:space="preserve">Why Safer Care Victoria developed this </w:t>
      </w:r>
      <w:bookmarkEnd w:id="7"/>
      <w:r w:rsidR="56C7D73C">
        <w:t>framework</w:t>
      </w:r>
      <w:bookmarkEnd w:id="8"/>
      <w:r>
        <w:t xml:space="preserve"> </w:t>
      </w:r>
    </w:p>
    <w:p w:rsidR="006C7031" w:rsidP="006C7031" w:rsidRDefault="07754FF7" w14:paraId="1831DCAF" w14:textId="1C0AD99A">
      <w:pPr>
        <w:pStyle w:val="SCVbody"/>
      </w:pPr>
      <w:r>
        <w:t xml:space="preserve">SDC was a key recommendation </w:t>
      </w:r>
      <w:r w:rsidR="0E6340E8">
        <w:t>from</w:t>
      </w:r>
      <w:r w:rsidR="0076414E">
        <w:t xml:space="preserve"> the</w:t>
      </w:r>
      <w:r w:rsidR="520B9F5D">
        <w:t xml:space="preserve"> </w:t>
      </w:r>
      <w:r w:rsidRPr="7068FF33" w:rsidR="520B9F5D">
        <w:rPr>
          <w:i/>
          <w:iCs/>
        </w:rPr>
        <w:t xml:space="preserve">Expert Working Group: A statutory duty of candour </w:t>
      </w:r>
      <w:r w:rsidR="520B9F5D">
        <w:t xml:space="preserve">report. The expert working group was established to advise on legislative reforms arising from </w:t>
      </w:r>
      <w:r w:rsidRPr="7068FF33" w:rsidR="520B9F5D">
        <w:rPr>
          <w:i/>
          <w:iCs/>
        </w:rPr>
        <w:t>Targeting Zero:</w:t>
      </w:r>
      <w:r w:rsidR="520B9F5D">
        <w:t xml:space="preserve"> </w:t>
      </w:r>
      <w:r w:rsidRPr="7068FF33" w:rsidR="520B9F5D">
        <w:rPr>
          <w:i/>
          <w:iCs/>
        </w:rPr>
        <w:t>Supporting the Victorian hospital system to eliminate avoidable harm and strengthen quality of care</w:t>
      </w:r>
      <w:r w:rsidR="520B9F5D">
        <w:t>.</w:t>
      </w:r>
      <w:r w:rsidR="3327CB89">
        <w:t xml:space="preserve"> The Targeting Zero report found that there was a lack of open disclosure with patients, and that almost half of hospital board members were not familiar with the </w:t>
      </w:r>
      <w:r w:rsidR="00425DE8">
        <w:t>Australian Open Disclosure Framework</w:t>
      </w:r>
      <w:r w:rsidR="3327CB89">
        <w:t>.</w:t>
      </w:r>
    </w:p>
    <w:p w:rsidR="006C7031" w:rsidP="006C7031" w:rsidRDefault="520B9F5D" w14:paraId="4BEBEB08" w14:textId="5440D24F">
      <w:pPr>
        <w:pStyle w:val="SCVbody"/>
      </w:pPr>
      <w:r>
        <w:t xml:space="preserve">The </w:t>
      </w:r>
      <w:r w:rsidRPr="7068FF33">
        <w:rPr>
          <w:i/>
          <w:iCs/>
        </w:rPr>
        <w:t xml:space="preserve">Health Legislation Amendment (Quality and Safety) Act 2022 </w:t>
      </w:r>
      <w:r>
        <w:t xml:space="preserve">and associated resources are the result of five years of significant consultation, and were developed with input from expert healthcare workers, leaders and consumers. This resource should also be referred to alongside relevant legislation and the </w:t>
      </w:r>
      <w:r w:rsidRPr="7068FF33">
        <w:rPr>
          <w:i/>
          <w:iCs/>
        </w:rPr>
        <w:t>Victorian Duty of Candour Guidelines</w:t>
      </w:r>
      <w:r>
        <w:t>, which stipulate what SDC is, and the key requirements and timelines.</w:t>
      </w:r>
    </w:p>
    <w:p w:rsidR="006C7031" w:rsidP="7068FF33" w:rsidRDefault="520B9F5D" w14:paraId="5C445D72" w14:textId="3DF38E41">
      <w:pPr>
        <w:pStyle w:val="SCVbullet1"/>
        <w:numPr>
          <w:ilvl w:val="0"/>
          <w:numId w:val="26"/>
        </w:numPr>
      </w:pPr>
      <w:r>
        <w:t xml:space="preserve">In 2017, an expert working group was appointed, led by Michael Gorton AM, to develop a consultation paper on the scope, processes, compliance measures and protections for adverse event reviews. </w:t>
      </w:r>
    </w:p>
    <w:p w:rsidR="006C7031" w:rsidP="7068FF33" w:rsidRDefault="520B9F5D" w14:paraId="2B457CA8" w14:textId="1641EC8E">
      <w:pPr>
        <w:pStyle w:val="SCVbullet1"/>
        <w:numPr>
          <w:ilvl w:val="0"/>
          <w:numId w:val="26"/>
        </w:numPr>
      </w:pPr>
      <w:r>
        <w:t>This group received 61 submissions from stakeholders across the state.</w:t>
      </w:r>
      <w:r w:rsidR="006C7031">
        <w:rPr>
          <w:rStyle w:val="FootnoteReference"/>
        </w:rPr>
        <w:footnoteReference w:id="18"/>
      </w:r>
    </w:p>
    <w:p w:rsidR="006C7031" w:rsidP="7068FF33" w:rsidRDefault="00030FD2" w14:paraId="13A555C7" w14:textId="6B4037CF">
      <w:pPr>
        <w:pStyle w:val="SCVbullet1"/>
        <w:numPr>
          <w:ilvl w:val="0"/>
          <w:numId w:val="26"/>
        </w:numPr>
      </w:pPr>
      <w:r>
        <w:t>Safer Care Victoria (</w:t>
      </w:r>
      <w:r w:rsidR="00C80522">
        <w:t>SCV</w:t>
      </w:r>
      <w:r>
        <w:t>)</w:t>
      </w:r>
      <w:r w:rsidR="00C80522">
        <w:t xml:space="preserve"> c</w:t>
      </w:r>
      <w:r w:rsidR="520B9F5D">
        <w:t>onsulted publicly on 27 recommendations in 2020–21, receiving 60 submissions from individuals, public/private health services, professional associations, colleges and insurers.</w:t>
      </w:r>
    </w:p>
    <w:p w:rsidR="00C0072D" w:rsidP="7068FF33" w:rsidRDefault="00DB2DB4" w14:paraId="2C9CD185" w14:textId="3515124B">
      <w:pPr>
        <w:pStyle w:val="SCVbullet1"/>
        <w:numPr>
          <w:ilvl w:val="0"/>
          <w:numId w:val="26"/>
        </w:numPr>
      </w:pPr>
      <w:r>
        <w:t>SCV</w:t>
      </w:r>
      <w:r w:rsidR="520B9F5D">
        <w:t xml:space="preserve"> established an advisory group in 2021 to develop this resource and support the implementation </w:t>
      </w:r>
      <w:r w:rsidR="0057483C">
        <w:t xml:space="preserve">of SDC </w:t>
      </w:r>
      <w:r w:rsidR="520B9F5D">
        <w:t>in health service</w:t>
      </w:r>
      <w:r w:rsidR="0057483C">
        <w:t xml:space="preserve"> entitie</w:t>
      </w:r>
      <w:r w:rsidR="520B9F5D">
        <w:t>s.</w:t>
      </w:r>
    </w:p>
    <w:p w:rsidR="00D554D7" w:rsidP="00D554D7" w:rsidRDefault="00D554D7" w14:paraId="32FE4FFB" w14:textId="77777777">
      <w:pPr>
        <w:pStyle w:val="Heading3"/>
      </w:pPr>
      <w:r>
        <w:t>Open disclosure</w:t>
      </w:r>
    </w:p>
    <w:p w:rsidR="00D554D7" w:rsidP="00D554D7" w:rsidRDefault="25AE375E" w14:paraId="614F266D" w14:textId="1C793902">
      <w:pPr>
        <w:pStyle w:val="SCVbody"/>
      </w:pPr>
      <w:r>
        <w:t>The Australian Commission on Safety and Quality in Healthcare (ACSQHC), through the National Safety and Quality Health Service Standards (NSQHS), mandates open disclosure as part of health service accreditation</w:t>
      </w:r>
      <w:r w:rsidR="00D554D7">
        <w:rPr>
          <w:rStyle w:val="FootnoteReference"/>
        </w:rPr>
        <w:footnoteReference w:id="19"/>
      </w:r>
      <w:r>
        <w:t>. The Australian Open Disclosure framework highlights the importance of open disclosure, and the role it plays in learning from errors</w:t>
      </w:r>
      <w:r w:rsidR="00D554D7">
        <w:rPr>
          <w:rStyle w:val="FootnoteReference"/>
        </w:rPr>
        <w:footnoteReference w:id="20"/>
      </w:r>
      <w:r>
        <w:t>. It acknowledges open disclosure as:</w:t>
      </w:r>
    </w:p>
    <w:p w:rsidR="00D554D7" w:rsidP="7068FF33" w:rsidRDefault="5ED56227" w14:paraId="3482000F" w14:textId="77777777">
      <w:pPr>
        <w:pStyle w:val="SCVbullet1"/>
        <w:numPr>
          <w:ilvl w:val="0"/>
          <w:numId w:val="23"/>
        </w:numPr>
      </w:pPr>
      <w:r>
        <w:t>a patient right</w:t>
      </w:r>
    </w:p>
    <w:p w:rsidR="00D554D7" w:rsidP="7068FF33" w:rsidRDefault="5ED56227" w14:paraId="7A491ED4" w14:textId="77777777">
      <w:pPr>
        <w:pStyle w:val="SCVbullet1"/>
        <w:numPr>
          <w:ilvl w:val="0"/>
          <w:numId w:val="23"/>
        </w:numPr>
      </w:pPr>
      <w:r>
        <w:t>anchored in professional ethics</w:t>
      </w:r>
    </w:p>
    <w:p w:rsidR="00D554D7" w:rsidP="7068FF33" w:rsidRDefault="5ED56227" w14:paraId="6230B3FC" w14:textId="77777777">
      <w:pPr>
        <w:pStyle w:val="SCVbullet1"/>
        <w:numPr>
          <w:ilvl w:val="0"/>
          <w:numId w:val="23"/>
        </w:numPr>
      </w:pPr>
      <w:r>
        <w:t>good clinical practice</w:t>
      </w:r>
    </w:p>
    <w:p w:rsidR="00D554D7" w:rsidP="7068FF33" w:rsidRDefault="5ED56227" w14:paraId="0175A5E3" w14:textId="77777777">
      <w:pPr>
        <w:pStyle w:val="SCVbullet1"/>
        <w:numPr>
          <w:ilvl w:val="0"/>
          <w:numId w:val="23"/>
        </w:numPr>
      </w:pPr>
      <w:r>
        <w:t xml:space="preserve">part of the care continuum. </w:t>
      </w:r>
    </w:p>
    <w:p w:rsidR="00D554D7" w:rsidP="00D554D7" w:rsidRDefault="118E80AF" w14:paraId="1969B90E" w14:textId="4A8BC8E3">
      <w:pPr>
        <w:pStyle w:val="SCVbody"/>
        <w:spacing w:before="120" w:after="120"/>
      </w:pPr>
      <w:r>
        <w:t xml:space="preserve">SDC is legislated under the </w:t>
      </w:r>
      <w:r w:rsidRPr="1977F94D">
        <w:rPr>
          <w:i/>
          <w:iCs/>
        </w:rPr>
        <w:t>Health Services Act 1988</w:t>
      </w:r>
      <w:r>
        <w:t xml:space="preserve"> and</w:t>
      </w:r>
      <w:r w:rsidR="3EA5BFA3">
        <w:t xml:space="preserve"> it</w:t>
      </w:r>
      <w:r>
        <w:t xml:space="preserve"> is now a legal requirement </w:t>
      </w:r>
      <w:r w:rsidR="523A691B">
        <w:t xml:space="preserve">to conduct </w:t>
      </w:r>
      <w:r>
        <w:t>open disclosure in relation to SAPSE. If an adverse event does not meet the definition of a SAPSE, and trigger the legal obligations required of the SDC process, a process of open disclosure should still be undertaken.</w:t>
      </w:r>
    </w:p>
    <w:p w:rsidR="00D554D7" w:rsidP="00D554D7" w:rsidRDefault="5ED56227" w14:paraId="07ECFB6C" w14:textId="7BD45E52">
      <w:pPr>
        <w:pStyle w:val="SCVbody"/>
      </w:pPr>
      <w:r w:rsidRPr="7068FF33">
        <w:rPr>
          <w:color w:val="007586" w:themeColor="accent2"/>
        </w:rPr>
        <w:t>Please read this framework in conjunction with the</w:t>
      </w:r>
      <w:r w:rsidRPr="7068FF33">
        <w:rPr>
          <w:b/>
          <w:bCs/>
          <w:color w:val="007586" w:themeColor="accent2"/>
        </w:rPr>
        <w:t xml:space="preserve"> </w:t>
      </w:r>
      <w:hyperlink w:history="1" r:id="rId24">
        <w:r w:rsidRPr="001455ED">
          <w:rPr>
            <w:rStyle w:val="Hyperlink"/>
            <w:b/>
            <w:bCs/>
          </w:rPr>
          <w:t>Australian Open Disclosure Framework</w:t>
        </w:r>
      </w:hyperlink>
      <w:r w:rsidRPr="7068FF33">
        <w:rPr>
          <w:b/>
          <w:bCs/>
          <w:color w:val="007586" w:themeColor="accent2"/>
        </w:rPr>
        <w:t xml:space="preserve"> (201</w:t>
      </w:r>
      <w:r w:rsidR="001455ED">
        <w:rPr>
          <w:b/>
          <w:bCs/>
          <w:color w:val="007586" w:themeColor="accent2"/>
        </w:rPr>
        <w:t>4</w:t>
      </w:r>
      <w:r w:rsidRPr="7068FF33">
        <w:rPr>
          <w:b/>
          <w:bCs/>
          <w:color w:val="007586" w:themeColor="accent2"/>
        </w:rPr>
        <w:t>).</w:t>
      </w:r>
    </w:p>
    <w:p w:rsidR="00745682" w:rsidP="00745682" w:rsidRDefault="00745682" w14:paraId="57ADDE72" w14:textId="1698AD32">
      <w:pPr>
        <w:pStyle w:val="Heading2"/>
      </w:pPr>
      <w:bookmarkStart w:name="_Toc117519226" w:id="9"/>
      <w:r>
        <w:t>Audience</w:t>
      </w:r>
      <w:bookmarkEnd w:id="9"/>
    </w:p>
    <w:p w:rsidR="00745682" w:rsidP="00865F48" w:rsidRDefault="00745682" w14:paraId="7FA5943F" w14:textId="4E08DD1A">
      <w:pPr>
        <w:pStyle w:val="SCVbody"/>
      </w:pPr>
      <w:r>
        <w:t xml:space="preserve">This framework is for </w:t>
      </w:r>
      <w:r w:rsidR="00581C3E">
        <w:t xml:space="preserve">clinicians and </w:t>
      </w:r>
      <w:r>
        <w:t>health service representatives responsible for carrying out SDC.</w:t>
      </w:r>
      <w:r w:rsidR="00581C3E">
        <w:t xml:space="preserve"> The relevant health service entities</w:t>
      </w:r>
      <w:r w:rsidR="007810E3">
        <w:t xml:space="preserve"> </w:t>
      </w:r>
      <w:r w:rsidR="00CE251F">
        <w:t xml:space="preserve">(and </w:t>
      </w:r>
      <w:r w:rsidRPr="00BC433F" w:rsidR="00CE251F">
        <w:rPr>
          <w:b/>
        </w:rPr>
        <w:t>any services under their governance</w:t>
      </w:r>
      <w:r w:rsidR="00CE251F">
        <w:t xml:space="preserve">) </w:t>
      </w:r>
      <w:r w:rsidR="007810E3">
        <w:t>that must undertake SDC</w:t>
      </w:r>
      <w:r w:rsidR="00581C3E">
        <w:t xml:space="preserve"> include:</w:t>
      </w:r>
    </w:p>
    <w:p w:rsidR="00581C3E" w:rsidP="7068FF33" w:rsidRDefault="709C1735" w14:paraId="1AB06D4C" w14:textId="77777777">
      <w:pPr>
        <w:pStyle w:val="SCVbullet1"/>
        <w:numPr>
          <w:ilvl w:val="0"/>
          <w:numId w:val="21"/>
        </w:numPr>
      </w:pPr>
      <w:r>
        <w:t>a public health service</w:t>
      </w:r>
    </w:p>
    <w:p w:rsidR="00581C3E" w:rsidP="7068FF33" w:rsidRDefault="709C1735" w14:paraId="7D5DC476" w14:textId="77777777">
      <w:pPr>
        <w:pStyle w:val="SCVbullet1"/>
        <w:numPr>
          <w:ilvl w:val="0"/>
          <w:numId w:val="21"/>
        </w:numPr>
      </w:pPr>
      <w:r>
        <w:t>a public hospital</w:t>
      </w:r>
    </w:p>
    <w:p w:rsidR="00581C3E" w:rsidP="7068FF33" w:rsidRDefault="709C1735" w14:paraId="1146EA7E" w14:textId="77777777">
      <w:pPr>
        <w:pStyle w:val="SCVbullet1"/>
        <w:numPr>
          <w:ilvl w:val="0"/>
          <w:numId w:val="21"/>
        </w:numPr>
      </w:pPr>
      <w:r>
        <w:t xml:space="preserve">a multi-purpose </w:t>
      </w:r>
      <w:bookmarkStart w:name="_Int_fBpyJTD8" w:id="10"/>
      <w:r>
        <w:t>service</w:t>
      </w:r>
      <w:bookmarkEnd w:id="10"/>
    </w:p>
    <w:p w:rsidR="00581C3E" w:rsidP="7068FF33" w:rsidRDefault="709C1735" w14:paraId="689E8E8E" w14:textId="77777777">
      <w:pPr>
        <w:pStyle w:val="SCVbullet1"/>
        <w:numPr>
          <w:ilvl w:val="0"/>
          <w:numId w:val="21"/>
        </w:numPr>
      </w:pPr>
      <w:r>
        <w:t>a denominational hospital</w:t>
      </w:r>
    </w:p>
    <w:p w:rsidR="00581C3E" w:rsidP="7068FF33" w:rsidRDefault="709C1735" w14:paraId="25CFD2ED" w14:textId="77777777">
      <w:pPr>
        <w:pStyle w:val="SCVbullet1"/>
        <w:numPr>
          <w:ilvl w:val="0"/>
          <w:numId w:val="21"/>
        </w:numPr>
      </w:pPr>
      <w:r>
        <w:t>a private hospital</w:t>
      </w:r>
    </w:p>
    <w:p w:rsidR="00581C3E" w:rsidP="7068FF33" w:rsidRDefault="709C1735" w14:paraId="30DB92CF" w14:textId="77777777">
      <w:pPr>
        <w:pStyle w:val="SCVbullet1"/>
        <w:numPr>
          <w:ilvl w:val="0"/>
          <w:numId w:val="21"/>
        </w:numPr>
      </w:pPr>
      <w:r>
        <w:t>a day procedure centre</w:t>
      </w:r>
    </w:p>
    <w:p w:rsidR="00581C3E" w:rsidP="7068FF33" w:rsidRDefault="709C1735" w14:paraId="729BD854" w14:textId="77777777">
      <w:pPr>
        <w:pStyle w:val="SCVbullet1"/>
        <w:numPr>
          <w:ilvl w:val="0"/>
          <w:numId w:val="21"/>
        </w:numPr>
      </w:pPr>
      <w:r>
        <w:t xml:space="preserve">an ambulance service within the meaning of the </w:t>
      </w:r>
      <w:r w:rsidRPr="7068FF33">
        <w:rPr>
          <w:i/>
          <w:iCs/>
        </w:rPr>
        <w:t>Ambulance Services Act 1986</w:t>
      </w:r>
    </w:p>
    <w:p w:rsidR="00581C3E" w:rsidP="7068FF33" w:rsidRDefault="709C1735" w14:paraId="5FC6F325" w14:textId="77777777">
      <w:pPr>
        <w:pStyle w:val="SCVbullet1"/>
        <w:numPr>
          <w:ilvl w:val="0"/>
          <w:numId w:val="21"/>
        </w:numPr>
      </w:pPr>
      <w:r>
        <w:t xml:space="preserve">a non-emergency patient transport service within the meaning of the </w:t>
      </w:r>
      <w:r w:rsidRPr="7068FF33">
        <w:rPr>
          <w:i/>
          <w:iCs/>
        </w:rPr>
        <w:t xml:space="preserve">Non-Emergency Patient Transport and First Aid Services Act 2003 </w:t>
      </w:r>
      <w:r>
        <w:t>that is licensed under that Act</w:t>
      </w:r>
    </w:p>
    <w:p w:rsidR="00C0072D" w:rsidP="005B6D47" w:rsidRDefault="709C1735" w14:paraId="123BDEC9" w14:textId="7EE4FCF2">
      <w:pPr>
        <w:pStyle w:val="SCVbullet1"/>
        <w:numPr>
          <w:ilvl w:val="0"/>
          <w:numId w:val="21"/>
        </w:numPr>
      </w:pPr>
      <w:r>
        <w:t xml:space="preserve">the Victorian Institute of Forensic Mental Health established by section 328 of the </w:t>
      </w:r>
      <w:r w:rsidRPr="7068FF33">
        <w:rPr>
          <w:i/>
          <w:iCs/>
        </w:rPr>
        <w:t>Mental Health Act 2014</w:t>
      </w:r>
      <w:r w:rsidR="005B6D47">
        <w:t>.</w:t>
      </w:r>
      <w:r w:rsidR="00581C3E">
        <w:rPr>
          <w:rStyle w:val="FootnoteReference"/>
        </w:rPr>
        <w:footnoteReference w:id="21"/>
      </w:r>
    </w:p>
    <w:p w:rsidRPr="000402F0" w:rsidR="00FC3BD8" w:rsidP="000402F0" w:rsidRDefault="56E7A991" w14:paraId="5652A8A0" w14:textId="5A3E2E43">
      <w:pPr>
        <w:pStyle w:val="Heading1"/>
        <w:rPr>
          <w:sz w:val="48"/>
          <w:szCs w:val="48"/>
        </w:rPr>
      </w:pPr>
      <w:bookmarkStart w:name="_Toc117519227" w:id="11"/>
      <w:r w:rsidRPr="1977F94D">
        <w:rPr>
          <w:sz w:val="48"/>
          <w:szCs w:val="48"/>
        </w:rPr>
        <w:t>What is S</w:t>
      </w:r>
      <w:r w:rsidRPr="1977F94D" w:rsidR="34367214">
        <w:rPr>
          <w:sz w:val="48"/>
          <w:szCs w:val="48"/>
        </w:rPr>
        <w:t xml:space="preserve">tatutory </w:t>
      </w:r>
      <w:r w:rsidRPr="1977F94D">
        <w:rPr>
          <w:sz w:val="48"/>
          <w:szCs w:val="48"/>
        </w:rPr>
        <w:t>D</w:t>
      </w:r>
      <w:r w:rsidRPr="1977F94D" w:rsidR="3EF261D2">
        <w:rPr>
          <w:sz w:val="48"/>
          <w:szCs w:val="48"/>
        </w:rPr>
        <w:t xml:space="preserve">uty of </w:t>
      </w:r>
      <w:r w:rsidRPr="1977F94D">
        <w:rPr>
          <w:sz w:val="48"/>
          <w:szCs w:val="48"/>
        </w:rPr>
        <w:t>C</w:t>
      </w:r>
      <w:r w:rsidRPr="1977F94D" w:rsidR="3DF161B0">
        <w:rPr>
          <w:sz w:val="48"/>
          <w:szCs w:val="48"/>
        </w:rPr>
        <w:t>andour</w:t>
      </w:r>
      <w:r w:rsidRPr="1977F94D">
        <w:rPr>
          <w:sz w:val="48"/>
          <w:szCs w:val="48"/>
        </w:rPr>
        <w:t>?</w:t>
      </w:r>
      <w:bookmarkEnd w:id="11"/>
    </w:p>
    <w:p w:rsidR="00A26FBD" w:rsidP="000402F0" w:rsidRDefault="5E70B84D" w14:paraId="7E9504E7" w14:textId="58A6318E">
      <w:pPr>
        <w:pStyle w:val="SCVintroductorytext"/>
      </w:pPr>
      <w:r>
        <w:t xml:space="preserve">SDC is a legal obligation for Victorian health service entities, to ensure that patients </w:t>
      </w:r>
      <w:r w:rsidR="00A64915">
        <w:t>or</w:t>
      </w:r>
      <w:r>
        <w:t xml:space="preserve"> their </w:t>
      </w:r>
      <w:r w:rsidR="000E108D">
        <w:t>support person</w:t>
      </w:r>
      <w:r w:rsidR="00A64915">
        <w:t>,</w:t>
      </w:r>
      <w:r>
        <w:t xml:space="preserve"> receive an apology and are communicated with openly and honestly, when a SAPSE has occurred.</w:t>
      </w:r>
    </w:p>
    <w:p w:rsidR="007B0E29" w:rsidP="007B0E29" w:rsidRDefault="007B0E29" w14:paraId="5725B55F" w14:textId="07B31E0F">
      <w:pPr>
        <w:pStyle w:val="Heading2"/>
      </w:pPr>
      <w:bookmarkStart w:name="_Toc117519228" w:id="12"/>
      <w:r>
        <w:t xml:space="preserve">Principles of </w:t>
      </w:r>
      <w:r w:rsidR="00AA5A51">
        <w:t>SDC</w:t>
      </w:r>
      <w:bookmarkEnd w:id="12"/>
    </w:p>
    <w:p w:rsidR="007B0E29" w:rsidP="007B0E29" w:rsidRDefault="007B0E29" w14:paraId="5CABE224" w14:textId="0B9FB7A4">
      <w:pPr>
        <w:pStyle w:val="SCVbody"/>
      </w:pPr>
      <w:r>
        <w:t>The following principles underpin SDC</w:t>
      </w:r>
      <w:r w:rsidR="002746E2">
        <w:t>:</w:t>
      </w:r>
    </w:p>
    <w:p w:rsidR="007B0E29" w:rsidP="7068FF33" w:rsidRDefault="5561405C" w14:paraId="490F56BE" w14:textId="7F833723">
      <w:pPr>
        <w:pStyle w:val="SCVbullet1"/>
        <w:numPr>
          <w:ilvl w:val="0"/>
          <w:numId w:val="20"/>
        </w:numPr>
        <w:spacing w:line="260" w:lineRule="atLeast"/>
      </w:pPr>
      <w:r>
        <w:t>p</w:t>
      </w:r>
      <w:r w:rsidR="74AF614D">
        <w:t xml:space="preserve">atient-centred care </w:t>
      </w:r>
    </w:p>
    <w:p w:rsidR="007B0E29" w:rsidP="7068FF33" w:rsidRDefault="5561405C" w14:paraId="6C7FA4CA" w14:textId="31012997">
      <w:pPr>
        <w:pStyle w:val="SCVbullet1"/>
        <w:numPr>
          <w:ilvl w:val="0"/>
          <w:numId w:val="20"/>
        </w:numPr>
        <w:spacing w:line="260" w:lineRule="atLeast"/>
      </w:pPr>
      <w:r>
        <w:t>r</w:t>
      </w:r>
      <w:r w:rsidR="74AF614D">
        <w:t>espect</w:t>
      </w:r>
    </w:p>
    <w:p w:rsidR="007B0E29" w:rsidP="7068FF33" w:rsidRDefault="23F2910E" w14:paraId="77E1DD8E" w14:textId="132BC7FD">
      <w:pPr>
        <w:pStyle w:val="SCVbullet1"/>
        <w:numPr>
          <w:ilvl w:val="0"/>
          <w:numId w:val="20"/>
        </w:numPr>
        <w:spacing w:line="260" w:lineRule="atLeast"/>
      </w:pPr>
      <w:r>
        <w:t>t</w:t>
      </w:r>
      <w:r w:rsidR="7A8BA230">
        <w:t>ransparency</w:t>
      </w:r>
    </w:p>
    <w:p w:rsidR="63DD1AEE" w:rsidP="7068FF33" w:rsidRDefault="6B0F17E1" w14:paraId="1207DDCC" w14:textId="363710CB">
      <w:pPr>
        <w:pStyle w:val="SCVbullet1"/>
        <w:numPr>
          <w:ilvl w:val="0"/>
          <w:numId w:val="20"/>
        </w:numPr>
        <w:spacing w:line="260" w:lineRule="atLeast"/>
      </w:pPr>
      <w:r>
        <w:t>communication</w:t>
      </w:r>
    </w:p>
    <w:p w:rsidR="63DD1AEE" w:rsidP="7068FF33" w:rsidRDefault="69221648" w14:paraId="200C7151" w14:textId="0472FFC0">
      <w:pPr>
        <w:pStyle w:val="SCVbullet1"/>
        <w:numPr>
          <w:ilvl w:val="0"/>
          <w:numId w:val="20"/>
        </w:numPr>
        <w:spacing w:line="260" w:lineRule="atLeast"/>
      </w:pPr>
      <w:r>
        <w:t>advocacy/partnership</w:t>
      </w:r>
    </w:p>
    <w:p w:rsidR="007B0E29" w:rsidP="7068FF33" w:rsidRDefault="5561405C" w14:paraId="2EFD7A50" w14:textId="1B922A1F">
      <w:pPr>
        <w:pStyle w:val="SCVbullet1"/>
        <w:numPr>
          <w:ilvl w:val="0"/>
          <w:numId w:val="20"/>
        </w:numPr>
        <w:spacing w:line="260" w:lineRule="atLeast"/>
      </w:pPr>
      <w:r>
        <w:t>a</w:t>
      </w:r>
      <w:r w:rsidR="74AF614D">
        <w:t>ccountability</w:t>
      </w:r>
    </w:p>
    <w:p w:rsidR="00C0072D" w:rsidP="7068FF33" w:rsidRDefault="5561405C" w14:paraId="1455FAC3" w14:textId="4A45C344">
      <w:pPr>
        <w:pStyle w:val="SCVbullet1"/>
        <w:numPr>
          <w:ilvl w:val="0"/>
          <w:numId w:val="20"/>
        </w:numPr>
        <w:spacing w:line="260" w:lineRule="atLeast"/>
      </w:pPr>
      <w:r>
        <w:t>l</w:t>
      </w:r>
      <w:r w:rsidR="74AF614D">
        <w:t>eadership</w:t>
      </w:r>
    </w:p>
    <w:p w:rsidRPr="00C852FC" w:rsidR="00C0072D" w:rsidP="7068FF33" w:rsidRDefault="5561405C" w14:paraId="0F8E9DD4" w14:textId="49CB6653">
      <w:pPr>
        <w:pStyle w:val="SCVbullet1"/>
        <w:numPr>
          <w:ilvl w:val="0"/>
          <w:numId w:val="20"/>
        </w:numPr>
        <w:spacing w:line="260" w:lineRule="atLeast"/>
      </w:pPr>
      <w:r>
        <w:t>c</w:t>
      </w:r>
      <w:r w:rsidR="74AF614D">
        <w:t>reat</w:t>
      </w:r>
      <w:r w:rsidR="0041306D">
        <w:t>ing</w:t>
      </w:r>
      <w:r w:rsidR="74AF614D">
        <w:t xml:space="preserve"> a just culture</w:t>
      </w:r>
      <w:r w:rsidR="34980625">
        <w:t>.</w:t>
      </w:r>
    </w:p>
    <w:p w:rsidR="007114F6" w:rsidP="000935BF" w:rsidRDefault="007114F6" w14:paraId="10726021" w14:textId="26D9ED77">
      <w:pPr>
        <w:pStyle w:val="Heading2"/>
      </w:pPr>
      <w:bookmarkStart w:name="_Toc117519229" w:id="13"/>
      <w:r>
        <w:t xml:space="preserve">Benefits of </w:t>
      </w:r>
      <w:r w:rsidR="00AA5A51">
        <w:t>SDC</w:t>
      </w:r>
      <w:bookmarkEnd w:id="13"/>
    </w:p>
    <w:p w:rsidR="007114F6" w:rsidP="007114F6" w:rsidRDefault="00791303" w14:paraId="6B610BAC" w14:textId="074DA585">
      <w:pPr>
        <w:pStyle w:val="SCVbody"/>
      </w:pPr>
      <w:r>
        <w:t xml:space="preserve">Undertaking SDC has many benefits for patients, carers and families, healthcare workers and the broader health system. </w:t>
      </w:r>
    </w:p>
    <w:p w:rsidR="00791303" w:rsidP="000935BF" w:rsidRDefault="00791303" w14:paraId="48D39FD5" w14:textId="0DB5A4D8">
      <w:pPr>
        <w:pStyle w:val="Heading3"/>
      </w:pPr>
      <w:r>
        <w:t>Benefits for patients</w:t>
      </w:r>
    </w:p>
    <w:p w:rsidR="00791303" w:rsidP="007114F6" w:rsidRDefault="06C78977" w14:paraId="6458A71D" w14:textId="15F0FA4E">
      <w:pPr>
        <w:pStyle w:val="SCVbody"/>
      </w:pPr>
      <w:r>
        <w:t>SDC can help a patient</w:t>
      </w:r>
    </w:p>
    <w:p w:rsidR="00791303" w:rsidP="7068FF33" w:rsidRDefault="71204957" w14:paraId="2733153B" w14:textId="3B530759">
      <w:pPr>
        <w:pStyle w:val="SCVbullet1"/>
        <w:numPr>
          <w:ilvl w:val="0"/>
          <w:numId w:val="19"/>
        </w:numPr>
      </w:pPr>
      <w:r>
        <w:t>understand what has happened and why</w:t>
      </w:r>
    </w:p>
    <w:p w:rsidR="00791303" w:rsidP="7068FF33" w:rsidRDefault="71204957" w14:paraId="60002F07" w14:textId="69033582">
      <w:pPr>
        <w:pStyle w:val="SCVbullet1"/>
        <w:numPr>
          <w:ilvl w:val="0"/>
          <w:numId w:val="19"/>
        </w:numPr>
      </w:pPr>
      <w:r>
        <w:t>make informed decisions about their future</w:t>
      </w:r>
    </w:p>
    <w:p w:rsidR="00791303" w:rsidP="7068FF33" w:rsidRDefault="71204957" w14:paraId="6122E470" w14:textId="715AED8D">
      <w:pPr>
        <w:pStyle w:val="SCVbullet1"/>
        <w:numPr>
          <w:ilvl w:val="0"/>
          <w:numId w:val="19"/>
        </w:numPr>
      </w:pPr>
      <w:r>
        <w:t>rebuild their trust in the healthcare system</w:t>
      </w:r>
    </w:p>
    <w:p w:rsidR="2AE977E9" w:rsidP="7068FF33" w:rsidRDefault="39D2DE0F" w14:paraId="5CE34F8C" w14:textId="124549AB">
      <w:pPr>
        <w:pStyle w:val="SCVbullet1"/>
        <w:numPr>
          <w:ilvl w:val="0"/>
          <w:numId w:val="19"/>
        </w:numPr>
      </w:pPr>
      <w:r>
        <w:t>avoid secondary harm through improved management and communication of SAPSE</w:t>
      </w:r>
    </w:p>
    <w:p w:rsidRPr="00876171" w:rsidR="00791303" w:rsidP="7068FF33" w:rsidRDefault="71204957" w14:paraId="39B48437" w14:textId="6E0F85C4">
      <w:pPr>
        <w:pStyle w:val="SCVbullet1"/>
        <w:numPr>
          <w:ilvl w:val="0"/>
          <w:numId w:val="19"/>
        </w:numPr>
      </w:pPr>
      <w:r>
        <w:t>be involved in system improvements through SAPSE reviews.</w:t>
      </w:r>
    </w:p>
    <w:p w:rsidR="00791303" w:rsidP="007114F6" w:rsidRDefault="4AFEB296" w14:paraId="69E382C6" w14:textId="42D796E3">
      <w:pPr>
        <w:pStyle w:val="SCVbody"/>
      </w:pPr>
      <w:r>
        <w:t xml:space="preserve">Where the harm </w:t>
      </w:r>
      <w:r w:rsidR="0E8679ED">
        <w:t>h</w:t>
      </w:r>
      <w:r>
        <w:t xml:space="preserve">as resulted in death, SDC requires the </w:t>
      </w:r>
      <w:r w:rsidR="0041306D">
        <w:t xml:space="preserve">patient's nominated </w:t>
      </w:r>
      <w:r w:rsidR="000E108D">
        <w:t xml:space="preserve">support </w:t>
      </w:r>
      <w:r w:rsidR="001515E5">
        <w:t>person</w:t>
      </w:r>
      <w:r w:rsidR="000E108D">
        <w:t xml:space="preserve"> </w:t>
      </w:r>
      <w:r>
        <w:t xml:space="preserve">to be fully informed </w:t>
      </w:r>
      <w:r w:rsidR="791B1FEA">
        <w:t>about</w:t>
      </w:r>
      <w:r>
        <w:t xml:space="preserve"> what occurred and provided with clear pathways to </w:t>
      </w:r>
      <w:r w:rsidR="001A7FB7">
        <w:t>obtain</w:t>
      </w:r>
      <w:r>
        <w:t xml:space="preserve"> answers.</w:t>
      </w:r>
      <w:r w:rsidR="2699FDD6">
        <w:t xml:space="preserve"> Th</w:t>
      </w:r>
      <w:r w:rsidR="0062667E">
        <w:t xml:space="preserve">is includes acknowledging that the situation may be </w:t>
      </w:r>
      <w:r w:rsidR="009C3791">
        <w:t>difficult and</w:t>
      </w:r>
      <w:r w:rsidR="0062667E">
        <w:t xml:space="preserve"> offering support </w:t>
      </w:r>
      <w:r w:rsidR="7E3743E0">
        <w:t>where appropriate.</w:t>
      </w:r>
    </w:p>
    <w:p w:rsidR="00C22BF0" w:rsidP="000935BF" w:rsidRDefault="00C22BF0" w14:paraId="77B0B5C2" w14:textId="67BE2316">
      <w:pPr>
        <w:pStyle w:val="Heading3"/>
      </w:pPr>
      <w:r>
        <w:t>Benefits for healthcare workers</w:t>
      </w:r>
    </w:p>
    <w:p w:rsidR="00C22BF0" w:rsidP="007114F6" w:rsidRDefault="4BD07796" w14:paraId="0454F916" w14:textId="0C3E7276">
      <w:pPr>
        <w:pStyle w:val="SCVbody"/>
      </w:pPr>
      <w:r>
        <w:t>Clarifying</w:t>
      </w:r>
      <w:r w:rsidR="001F472F">
        <w:t xml:space="preserve"> that a health service entity is responsible for</w:t>
      </w:r>
      <w:r>
        <w:t xml:space="preserve"> SDC requirements </w:t>
      </w:r>
      <w:r w:rsidR="001F472F">
        <w:t xml:space="preserve">rather than an </w:t>
      </w:r>
      <w:r>
        <w:t xml:space="preserve">individual </w:t>
      </w:r>
      <w:r w:rsidR="001A7FB7">
        <w:t>clinician helps</w:t>
      </w:r>
      <w:r>
        <w:t xml:space="preserve"> to:</w:t>
      </w:r>
    </w:p>
    <w:p w:rsidR="00C22BF0" w:rsidP="7068FF33" w:rsidRDefault="5072BBF0" w14:paraId="67002F06" w14:textId="0C3D500F">
      <w:pPr>
        <w:pStyle w:val="SCVbullet1"/>
        <w:numPr>
          <w:ilvl w:val="0"/>
          <w:numId w:val="18"/>
        </w:numPr>
      </w:pPr>
      <w:r>
        <w:t>encourage staff to raise safety concerns without fear of reprisal</w:t>
      </w:r>
    </w:p>
    <w:p w:rsidR="00C22BF0" w:rsidP="7068FF33" w:rsidRDefault="5072BBF0" w14:paraId="60DD7ADB" w14:textId="77777777">
      <w:pPr>
        <w:pStyle w:val="SCVbullet1"/>
        <w:numPr>
          <w:ilvl w:val="0"/>
          <w:numId w:val="18"/>
        </w:numPr>
      </w:pPr>
      <w:r>
        <w:t>alleviate feelings of stress or guilt for healthcare staff involved in the SAPSE</w:t>
      </w:r>
    </w:p>
    <w:p w:rsidRPr="00876171" w:rsidR="00C22BF0" w:rsidP="7068FF33" w:rsidRDefault="5072BBF0" w14:paraId="27351775" w14:textId="391EAF46">
      <w:pPr>
        <w:pStyle w:val="SCVbullet1"/>
        <w:numPr>
          <w:ilvl w:val="0"/>
          <w:numId w:val="18"/>
        </w:numPr>
      </w:pPr>
      <w:r>
        <w:t>provide an opportunity for learning to prevent similar events in future.</w:t>
      </w:r>
    </w:p>
    <w:p w:rsidR="00C22BF0" w:rsidP="000935BF" w:rsidRDefault="00C22BF0" w14:paraId="078A51EF" w14:textId="136529A1">
      <w:pPr>
        <w:pStyle w:val="Heading3"/>
      </w:pPr>
      <w:r>
        <w:t>Benefits for the health sector</w:t>
      </w:r>
    </w:p>
    <w:p w:rsidR="00C22BF0" w:rsidP="007114F6" w:rsidRDefault="64ABD057" w14:paraId="2AFAC302" w14:textId="3E7A82B7">
      <w:pPr>
        <w:pStyle w:val="SCVbody"/>
      </w:pPr>
      <w:r>
        <w:t>SDC will help to create a just culture in the Victorian healthcare sector. Within Victorian health service</w:t>
      </w:r>
      <w:r w:rsidR="51BE32BC">
        <w:t xml:space="preserve"> entitie</w:t>
      </w:r>
      <w:r>
        <w:t>s, SDC will:</w:t>
      </w:r>
    </w:p>
    <w:p w:rsidR="00C22BF0" w:rsidP="7068FF33" w:rsidRDefault="5072BBF0" w14:paraId="2419C35B" w14:textId="47E691DE">
      <w:pPr>
        <w:pStyle w:val="SCVbullet1"/>
        <w:numPr>
          <w:ilvl w:val="0"/>
          <w:numId w:val="17"/>
        </w:numPr>
      </w:pPr>
      <w:r>
        <w:t>ensure accountability</w:t>
      </w:r>
    </w:p>
    <w:p w:rsidR="00C22BF0" w:rsidP="7068FF33" w:rsidRDefault="5072BBF0" w14:paraId="5E7CD8D8" w14:textId="10912032">
      <w:pPr>
        <w:pStyle w:val="SCVbullet1"/>
        <w:numPr>
          <w:ilvl w:val="0"/>
          <w:numId w:val="17"/>
        </w:numPr>
      </w:pPr>
      <w:r>
        <w:t>drive cultural change</w:t>
      </w:r>
    </w:p>
    <w:p w:rsidRPr="00876171" w:rsidR="00C22BF0" w:rsidP="7068FF33" w:rsidRDefault="4BD07796" w14:paraId="2A8CC5BA" w14:textId="413B0909">
      <w:pPr>
        <w:pStyle w:val="SCVbullet1"/>
        <w:numPr>
          <w:ilvl w:val="0"/>
          <w:numId w:val="17"/>
        </w:numPr>
      </w:pPr>
      <w:r>
        <w:t>enable greater transparency</w:t>
      </w:r>
      <w:r w:rsidR="7C55BF06">
        <w:t>.</w:t>
      </w:r>
    </w:p>
    <w:p w:rsidR="00C22BF0" w:rsidP="007114F6" w:rsidRDefault="26CCACB0" w14:paraId="0C95DBAC" w14:textId="34CF5F2B">
      <w:pPr>
        <w:pStyle w:val="SCVbody"/>
      </w:pPr>
      <w:r>
        <w:t xml:space="preserve">Transparency in healthcare helps to recognise, value and learn from the experiences of patients and their </w:t>
      </w:r>
      <w:r w:rsidR="00801F77">
        <w:t>support persons</w:t>
      </w:r>
      <w:r>
        <w:t>.</w:t>
      </w:r>
    </w:p>
    <w:p w:rsidR="00FB1C93" w:rsidP="007114F6" w:rsidRDefault="00FB1C93" w14:paraId="5CFB01EE" w14:textId="77777777">
      <w:pPr>
        <w:pStyle w:val="SCVbody"/>
      </w:pPr>
    </w:p>
    <w:p w:rsidR="00C0072D" w:rsidP="00C0072D" w:rsidRDefault="6DBB50AC" w14:paraId="6FF278FE" w14:textId="4043FE60">
      <w:pPr>
        <w:pStyle w:val="Heading2"/>
      </w:pPr>
      <w:bookmarkStart w:name="_Toc117519230" w:id="14"/>
      <w:r>
        <w:t xml:space="preserve">The importance of a </w:t>
      </w:r>
      <w:r w:rsidR="0029675D">
        <w:t>j</w:t>
      </w:r>
      <w:r>
        <w:t xml:space="preserve">ust </w:t>
      </w:r>
      <w:r w:rsidR="003718AB">
        <w:t>c</w:t>
      </w:r>
      <w:r>
        <w:t>ulture for successful SDC implementation</w:t>
      </w:r>
      <w:bookmarkEnd w:id="14"/>
      <w:r>
        <w:t xml:space="preserve"> </w:t>
      </w:r>
    </w:p>
    <w:p w:rsidR="00C0072D" w:rsidP="00C0072D" w:rsidRDefault="3D38802A" w14:paraId="441898D1" w14:textId="77777777">
      <w:pPr>
        <w:pStyle w:val="SCVbody"/>
      </w:pPr>
      <w:r>
        <w:t>Leadership must support their trained staff to practice open disclosure and implement SDC when required. This means staff know the processes in place and are comfortable using them when something has gone wrong.</w:t>
      </w:r>
    </w:p>
    <w:p w:rsidR="63DD1AEE" w:rsidP="00A56775" w:rsidRDefault="0C925DF1" w14:paraId="27243355" w14:textId="7A64585B">
      <w:pPr>
        <w:pStyle w:val="SCVbody"/>
      </w:pPr>
      <w:r>
        <w:t>A positive safety culture</w:t>
      </w:r>
      <w:r w:rsidR="05D90F5F">
        <w:t xml:space="preserve"> is</w:t>
      </w:r>
      <w:r w:rsidR="00A56775">
        <w:t xml:space="preserve"> consistently associated with a range of patient outcomes including reduced mortality rates, falls, hospital acquired infections and improved patient satisfaction. </w:t>
      </w:r>
      <w:r w:rsidR="63DD1AEE">
        <w:t xml:space="preserve">The Executive/Directors of the health </w:t>
      </w:r>
      <w:r w:rsidR="00D03807">
        <w:t xml:space="preserve">service </w:t>
      </w:r>
      <w:r w:rsidR="63DD1AEE">
        <w:t xml:space="preserve">entity must implement </w:t>
      </w:r>
      <w:r w:rsidR="1054B12D">
        <w:t>systems and processes</w:t>
      </w:r>
      <w:r w:rsidR="63DD1AEE">
        <w:t xml:space="preserve"> to support the staff that will be involved in open disclosure </w:t>
      </w:r>
      <w:r w:rsidR="00865E30">
        <w:t xml:space="preserve">or SDC </w:t>
      </w:r>
      <w:r w:rsidR="63DD1AEE">
        <w:t xml:space="preserve">conversations, to implement SDC when required.  </w:t>
      </w:r>
    </w:p>
    <w:p w:rsidR="00C0072D" w:rsidP="00C0072D" w:rsidRDefault="149FE098" w14:paraId="47D98302" w14:textId="775B23BE">
      <w:pPr>
        <w:pStyle w:val="SCVbody"/>
      </w:pPr>
      <w:r>
        <w:t>A just culture</w:t>
      </w:r>
      <w:r w:rsidR="33BBB11E">
        <w:t xml:space="preserve"> is established by senior leadership actively </w:t>
      </w:r>
      <w:r w:rsidR="5DFC038E">
        <w:t>modelling</w:t>
      </w:r>
      <w:r w:rsidR="33BBB11E">
        <w:t xml:space="preserve"> just culture principles. </w:t>
      </w:r>
    </w:p>
    <w:p w:rsidR="4481240E" w:rsidP="00990276" w:rsidRDefault="33BBB11E" w14:paraId="5C149FB4" w14:textId="1607EAC0">
      <w:pPr>
        <w:pStyle w:val="SCVbody"/>
      </w:pPr>
      <w:r>
        <w:t xml:space="preserve">A just </w:t>
      </w:r>
      <w:r w:rsidR="3FD63329">
        <w:t>culture:</w:t>
      </w:r>
    </w:p>
    <w:p w:rsidR="00C0072D" w:rsidP="7068FF33" w:rsidRDefault="736E210E" w14:paraId="0F223342" w14:textId="7AF67747">
      <w:pPr>
        <w:pStyle w:val="SCVbullet1"/>
        <w:numPr>
          <w:ilvl w:val="0"/>
          <w:numId w:val="16"/>
        </w:numPr>
      </w:pPr>
      <w:r>
        <w:t xml:space="preserve">is </w:t>
      </w:r>
      <w:r w:rsidR="00C80522">
        <w:t>open, transparent</w:t>
      </w:r>
      <w:r w:rsidR="577B31CB">
        <w:t xml:space="preserve"> and encourages </w:t>
      </w:r>
      <w:r w:rsidR="7EA990F5">
        <w:t xml:space="preserve">staff </w:t>
      </w:r>
      <w:r w:rsidR="577B31CB">
        <w:t xml:space="preserve">reporting safety issues </w:t>
      </w:r>
    </w:p>
    <w:p w:rsidR="5D860A86" w:rsidP="4481240E" w:rsidRDefault="5D860A86" w14:paraId="5489871E" w14:textId="313D7941">
      <w:pPr>
        <w:pStyle w:val="SCVbullet1"/>
        <w:numPr>
          <w:ilvl w:val="0"/>
          <w:numId w:val="16"/>
        </w:numPr>
      </w:pPr>
      <w:r>
        <w:t>b</w:t>
      </w:r>
      <w:r w:rsidR="63686EC8">
        <w:t xml:space="preserve">alances </w:t>
      </w:r>
      <w:r w:rsidR="1DFE9CAF">
        <w:t>organisational and staff responsibility for high quality and safe patient care</w:t>
      </w:r>
    </w:p>
    <w:p w:rsidR="00990276" w:rsidP="00990276" w:rsidRDefault="21D0BB30" w14:paraId="5EDBB163" w14:textId="77777777">
      <w:pPr>
        <w:pStyle w:val="SCVbullet1"/>
        <w:numPr>
          <w:ilvl w:val="0"/>
          <w:numId w:val="16"/>
        </w:numPr>
      </w:pPr>
      <w:r>
        <w:t>appropriately</w:t>
      </w:r>
      <w:r w:rsidR="577B31CB">
        <w:t xml:space="preserve"> considers the impact of systems issues on indi</w:t>
      </w:r>
      <w:r w:rsidR="71DD1F1C">
        <w:t>vidual performance</w:t>
      </w:r>
    </w:p>
    <w:p w:rsidR="00990276" w:rsidP="00990276" w:rsidRDefault="00990276" w14:paraId="15552E97" w14:textId="5C245E25">
      <w:pPr>
        <w:pStyle w:val="SCVbullet1"/>
        <w:numPr>
          <w:ilvl w:val="0"/>
          <w:numId w:val="16"/>
        </w:numPr>
      </w:pPr>
      <w:r>
        <w:t>i</w:t>
      </w:r>
      <w:r w:rsidR="3C710C75">
        <w:t>s not accountability free</w:t>
      </w:r>
      <w:r w:rsidR="5A5D3849">
        <w:t xml:space="preserve"> – it </w:t>
      </w:r>
      <w:r w:rsidR="736E210E">
        <w:t xml:space="preserve">has leaders who </w:t>
      </w:r>
      <w:r w:rsidR="1A67B4E7">
        <w:t xml:space="preserve">model </w:t>
      </w:r>
      <w:r w:rsidR="736E210E">
        <w:t xml:space="preserve">accountability </w:t>
      </w:r>
      <w:r w:rsidR="219F6FEB">
        <w:t xml:space="preserve">to improve future systems and processes, rather than </w:t>
      </w:r>
      <w:r w:rsidR="671D23E1">
        <w:t>blaming</w:t>
      </w:r>
      <w:r w:rsidR="55AABF16">
        <w:t xml:space="preserve"> </w:t>
      </w:r>
      <w:r w:rsidR="58708971">
        <w:t>staff</w:t>
      </w:r>
      <w:r w:rsidR="671D23E1">
        <w:t xml:space="preserve"> </w:t>
      </w:r>
      <w:r w:rsidR="34FD672B">
        <w:t xml:space="preserve">for </w:t>
      </w:r>
      <w:r w:rsidR="258558C5">
        <w:t>adverse</w:t>
      </w:r>
      <w:r w:rsidR="34FD672B">
        <w:t xml:space="preserve"> events</w:t>
      </w:r>
      <w:r w:rsidR="16076858">
        <w:t xml:space="preserve"> that </w:t>
      </w:r>
      <w:r w:rsidR="00FE6D1F">
        <w:t>occurred</w:t>
      </w:r>
      <w:r w:rsidR="00C0072D">
        <w:rPr>
          <w:rStyle w:val="FootnoteReference"/>
        </w:rPr>
        <w:footnoteReference w:id="22"/>
      </w:r>
    </w:p>
    <w:p w:rsidR="00990276" w:rsidP="00990276" w:rsidRDefault="00990276" w14:paraId="311BF3D3" w14:textId="6264EFCF">
      <w:pPr>
        <w:pStyle w:val="SCVbullet1"/>
        <w:numPr>
          <w:ilvl w:val="0"/>
          <w:numId w:val="16"/>
        </w:numPr>
      </w:pPr>
      <w:r>
        <w:t>h</w:t>
      </w:r>
      <w:r w:rsidR="49987EAF">
        <w:t xml:space="preserve">as a strong restorative focus by </w:t>
      </w:r>
      <w:r w:rsidR="736E210E">
        <w:t>restor</w:t>
      </w:r>
      <w:r w:rsidR="64539C27">
        <w:t>ing</w:t>
      </w:r>
      <w:r w:rsidR="736E210E">
        <w:t xml:space="preserve"> trust </w:t>
      </w:r>
      <w:r w:rsidR="62C57C48">
        <w:t xml:space="preserve">between </w:t>
      </w:r>
      <w:r>
        <w:t>senior</w:t>
      </w:r>
      <w:r w:rsidR="62C57C48">
        <w:t xml:space="preserve"> leadership,</w:t>
      </w:r>
      <w:r w:rsidR="736E210E">
        <w:t xml:space="preserve"> staff and consumers</w:t>
      </w:r>
      <w:r w:rsidR="5D25CA3A">
        <w:t xml:space="preserve"> after an adverse event occurred, by identifying their short term and </w:t>
      </w:r>
      <w:r>
        <w:t>long-term</w:t>
      </w:r>
      <w:r w:rsidR="5D25CA3A">
        <w:t xml:space="preserve"> needs</w:t>
      </w:r>
    </w:p>
    <w:p w:rsidR="4481240E" w:rsidP="00990276" w:rsidRDefault="256678C9" w14:paraId="51FBB686" w14:textId="3FBC2D20">
      <w:pPr>
        <w:pStyle w:val="SCVbullet1"/>
        <w:numPr>
          <w:ilvl w:val="0"/>
          <w:numId w:val="16"/>
        </w:numPr>
      </w:pPr>
      <w:r>
        <w:t>learns from adverse events and has systems and processes in place to improve the system accordingly</w:t>
      </w:r>
      <w:r w:rsidR="00990276">
        <w:t>.</w:t>
      </w:r>
    </w:p>
    <w:p w:rsidR="00C0072D" w:rsidP="00C0072D" w:rsidRDefault="00C0072D" w14:paraId="0E958768" w14:textId="5F8851C5">
      <w:pPr>
        <w:pStyle w:val="SCVbullet1"/>
        <w:numPr>
          <w:ilvl w:val="0"/>
          <w:numId w:val="0"/>
        </w:numPr>
      </w:pPr>
      <w:r>
        <w:t xml:space="preserve">A just culture </w:t>
      </w:r>
      <w:r w:rsidR="5FDBFFD7">
        <w:t xml:space="preserve">is underpinned by </w:t>
      </w:r>
      <w:r w:rsidR="0240E92A">
        <w:t>a</w:t>
      </w:r>
      <w:r w:rsidR="5FDBFFD7">
        <w:t xml:space="preserve"> </w:t>
      </w:r>
      <w:r w:rsidRPr="00046CA2" w:rsidR="00046CA2">
        <w:t xml:space="preserve">systems-thinking mindset </w:t>
      </w:r>
      <w:r w:rsidR="564FE047">
        <w:t>which recognises that human behaviour is affected by the systems context i</w:t>
      </w:r>
      <w:r w:rsidR="2AA3B524">
        <w:t>t</w:t>
      </w:r>
      <w:r w:rsidR="564FE047">
        <w:t xml:space="preserve"> takes place in. </w:t>
      </w:r>
      <w:r w:rsidR="1FC38184">
        <w:t>Systems thinking</w:t>
      </w:r>
      <w:r w:rsidR="05EEEFBD">
        <w:t xml:space="preserve"> </w:t>
      </w:r>
      <w:r w:rsidR="564FE047">
        <w:t>recognises that human error is normal</w:t>
      </w:r>
      <w:r w:rsidR="63A38954">
        <w:t xml:space="preserve">, given the natural limitations of our physical and cognitive capacities, </w:t>
      </w:r>
      <w:r w:rsidR="2BFAEE96">
        <w:t>and that systems need to be designed to support humans in doing their work as effective as possible</w:t>
      </w:r>
      <w:r w:rsidR="593F5370">
        <w:t>.</w:t>
      </w:r>
      <w:r>
        <w:t xml:space="preserve"> </w:t>
      </w:r>
      <w:r w:rsidR="3BF40AB1">
        <w:t>When an adverse event occurs,</w:t>
      </w:r>
      <w:r>
        <w:t xml:space="preserve"> a just culture acknowledges who is harmed, identifies their needs and identifies whose responsibility it is to meet these needs.</w:t>
      </w:r>
    </w:p>
    <w:p w:rsidR="00FB3420" w:rsidP="00C0072D" w:rsidRDefault="2C4027B7" w14:paraId="58D699AF" w14:textId="7455679A">
      <w:pPr>
        <w:pStyle w:val="SCVbody"/>
      </w:pPr>
      <w:r>
        <w:t xml:space="preserve">Please see SCV Just Culture Guide for more information: </w:t>
      </w:r>
      <w:hyperlink r:id="rId25">
        <w:r w:rsidRPr="2778AFCB" w:rsidR="2D155724">
          <w:rPr>
            <w:rStyle w:val="Hyperlink"/>
          </w:rPr>
          <w:t>SCV-Just-Culture-Guide-for-Health-Services.pdf (safercare.vic.gov.au)</w:t>
        </w:r>
      </w:hyperlink>
      <w:r w:rsidR="2D155724">
        <w:t>.</w:t>
      </w:r>
      <w:r w:rsidR="00990276">
        <w:t xml:space="preserve"> </w:t>
      </w:r>
      <w:r w:rsidR="006E7537">
        <w:t xml:space="preserve">Also see the Just Culture factsheet: </w:t>
      </w:r>
      <w:hyperlink w:history="1" r:id="rId26">
        <w:r w:rsidR="00D61FEB">
          <w:rPr>
            <w:rStyle w:val="Hyperlink"/>
          </w:rPr>
          <w:t>Just-Culture-in-adverse-event-reviews-factsheet.pdf (safercare.vic.gov.au)</w:t>
        </w:r>
      </w:hyperlink>
      <w:r w:rsidR="00D61FEB">
        <w:t>.</w:t>
      </w:r>
    </w:p>
    <w:p w:rsidRPr="005D2615" w:rsidR="00827BB4" w:rsidP="00827BB4" w:rsidRDefault="00827BB4" w14:paraId="59506D5B" w14:textId="25D31E74">
      <w:pPr>
        <w:pStyle w:val="Heading1"/>
        <w:rPr>
          <w:sz w:val="44"/>
          <w:szCs w:val="44"/>
        </w:rPr>
      </w:pPr>
      <w:bookmarkStart w:name="_Toc117519231" w:id="15"/>
      <w:r w:rsidRPr="005D2615">
        <w:rPr>
          <w:sz w:val="44"/>
          <w:szCs w:val="44"/>
        </w:rPr>
        <w:t xml:space="preserve">When to undertake </w:t>
      </w:r>
      <w:r w:rsidR="005D2615">
        <w:rPr>
          <w:sz w:val="44"/>
          <w:szCs w:val="44"/>
        </w:rPr>
        <w:t>SDC</w:t>
      </w:r>
      <w:bookmarkEnd w:id="15"/>
    </w:p>
    <w:p w:rsidR="00CF71E2" w:rsidP="00297F39" w:rsidRDefault="61BAE64C" w14:paraId="79C858BA" w14:textId="45F30D41">
      <w:pPr>
        <w:pStyle w:val="SCVintroductorytext"/>
      </w:pPr>
      <w:r>
        <w:t>SDC needs to be undertaken when a SAPSE has occurred to a patient in a relevant health service entity. The SDC process should occur with the patient</w:t>
      </w:r>
      <w:r w:rsidR="00E76B70">
        <w:t xml:space="preserve"> and/</w:t>
      </w:r>
      <w:r>
        <w:t xml:space="preserve">or </w:t>
      </w:r>
      <w:r w:rsidR="00E76B70">
        <w:t>their support person</w:t>
      </w:r>
      <w:r w:rsidR="00836054">
        <w:t>(</w:t>
      </w:r>
      <w:r w:rsidR="00E76B70">
        <w:t>s</w:t>
      </w:r>
      <w:r w:rsidR="00836054">
        <w:t>)</w:t>
      </w:r>
      <w:r w:rsidR="00F51F84">
        <w:t xml:space="preserve">, </w:t>
      </w:r>
      <w:r w:rsidR="0047221C">
        <w:t>except when</w:t>
      </w:r>
      <w:r w:rsidR="00F51F84">
        <w:t xml:space="preserve"> the patient has opted out.</w:t>
      </w:r>
    </w:p>
    <w:p w:rsidRPr="001B70D6" w:rsidR="00827BB4" w:rsidP="7068FF33" w:rsidRDefault="6D08E09A" w14:paraId="37B4F4A1" w14:textId="2AC1C769">
      <w:pPr>
        <w:pStyle w:val="SCVbullet1"/>
        <w:numPr>
          <w:ilvl w:val="0"/>
          <w:numId w:val="0"/>
        </w:numPr>
      </w:pPr>
      <w:r w:rsidRPr="001B70D6">
        <w:t>SDC will need to be undertaken when</w:t>
      </w:r>
      <w:r w:rsidRPr="001B70D6" w:rsidR="1399A1CF">
        <w:t xml:space="preserve"> a SAPSE has occurred</w:t>
      </w:r>
      <w:r w:rsidRPr="001B70D6" w:rsidR="37ED020F">
        <w:t xml:space="preserve"> and has been identified</w:t>
      </w:r>
      <w:r w:rsidRPr="001B70D6">
        <w:t>:</w:t>
      </w:r>
    </w:p>
    <w:p w:rsidRPr="001B70D6" w:rsidR="00827BB4" w:rsidP="7068FF33" w:rsidRDefault="37ED020F" w14:paraId="3419A047" w14:textId="1B92CE89">
      <w:pPr>
        <w:pStyle w:val="SCVbullet1"/>
        <w:numPr>
          <w:ilvl w:val="0"/>
          <w:numId w:val="15"/>
        </w:numPr>
      </w:pPr>
      <w:r w:rsidRPr="001B70D6">
        <w:t xml:space="preserve">by </w:t>
      </w:r>
      <w:r w:rsidRPr="001B70D6" w:rsidR="31C67267">
        <w:t>a registered health practitioner</w:t>
      </w:r>
      <w:r w:rsidRPr="001B70D6">
        <w:t>, or</w:t>
      </w:r>
    </w:p>
    <w:p w:rsidR="00827BB4" w:rsidP="7068FF33" w:rsidRDefault="0A5F9B6A" w14:paraId="56268AD3" w14:textId="135CA5CA">
      <w:pPr>
        <w:pStyle w:val="SCVbullet1"/>
        <w:numPr>
          <w:ilvl w:val="0"/>
          <w:numId w:val="15"/>
        </w:numPr>
      </w:pPr>
      <w:r w:rsidRPr="001B70D6">
        <w:t>by a patient</w:t>
      </w:r>
      <w:r w:rsidRPr="001B70D6" w:rsidR="287B6399">
        <w:t xml:space="preserve"> </w:t>
      </w:r>
      <w:r w:rsidRPr="001B70D6">
        <w:t>as self-reported</w:t>
      </w:r>
      <w:r>
        <w:t xml:space="preserve"> harm</w:t>
      </w:r>
      <w:r w:rsidR="00446F12">
        <w:t xml:space="preserve"> which</w:t>
      </w:r>
      <w:r w:rsidR="0002462A">
        <w:t>, in the opinion of a registered health practitioner,</w:t>
      </w:r>
      <w:r w:rsidR="00446F12">
        <w:t xml:space="preserve"> meets the definition of a SAPSE</w:t>
      </w:r>
      <w:r w:rsidR="6489C126">
        <w:t>.</w:t>
      </w:r>
    </w:p>
    <w:p w:rsidR="00740421" w:rsidP="00694205" w:rsidRDefault="00022706" w14:paraId="0A4FECCB" w14:textId="1850466A">
      <w:pPr>
        <w:pStyle w:val="SCVbullet1"/>
        <w:numPr>
          <w:ilvl w:val="0"/>
          <w:numId w:val="0"/>
        </w:numPr>
      </w:pPr>
      <w:r>
        <w:t xml:space="preserve">The above applies </w:t>
      </w:r>
      <w:r w:rsidR="0047221C">
        <w:t>except when</w:t>
      </w:r>
      <w:r>
        <w:t xml:space="preserve"> the patient </w:t>
      </w:r>
      <w:r w:rsidR="00CD6B76">
        <w:t xml:space="preserve">or </w:t>
      </w:r>
      <w:r w:rsidR="0016531B">
        <w:t>their support person</w:t>
      </w:r>
      <w:r w:rsidR="0047221C">
        <w:t xml:space="preserve"> (in circumstances when the patient lacks capacity or has died)</w:t>
      </w:r>
      <w:r w:rsidR="0016531B">
        <w:t xml:space="preserve"> </w:t>
      </w:r>
      <w:r w:rsidR="00CD6B76">
        <w:t>opts out. See the</w:t>
      </w:r>
      <w:r w:rsidRPr="003C0BA9" w:rsidR="00CD6B76">
        <w:rPr>
          <w:i/>
          <w:iCs/>
        </w:rPr>
        <w:t xml:space="preserve"> </w:t>
      </w:r>
      <w:hyperlink r:id="rId27">
        <w:r w:rsidRPr="003C0BA9" w:rsidR="00CD6B76">
          <w:rPr>
            <w:rStyle w:val="Hyperlink"/>
            <w:i/>
            <w:iCs/>
          </w:rPr>
          <w:t>Victorian Duty of Candour Guidelines</w:t>
        </w:r>
      </w:hyperlink>
      <w:r w:rsidR="00CD6B76">
        <w:t xml:space="preserve"> for more information. </w:t>
      </w:r>
    </w:p>
    <w:p w:rsidR="00FB2C6E" w:rsidP="00694205" w:rsidRDefault="00FB2C6E" w14:paraId="383B33FD" w14:textId="77777777">
      <w:pPr>
        <w:pStyle w:val="SCVbullet1"/>
        <w:numPr>
          <w:ilvl w:val="0"/>
          <w:numId w:val="0"/>
        </w:numPr>
      </w:pPr>
    </w:p>
    <w:tbl>
      <w:tblPr>
        <w:tblStyle w:val="SCVpulloutbox"/>
        <w:tblW w:w="0" w:type="auto"/>
        <w:tblLook w:val="04A0" w:firstRow="1" w:lastRow="0" w:firstColumn="1" w:lastColumn="0" w:noHBand="0" w:noVBand="1"/>
      </w:tblPr>
      <w:tblGrid>
        <w:gridCol w:w="10432"/>
      </w:tblGrid>
      <w:tr w:rsidR="00B516C5" w:rsidTr="1977F94D" w14:paraId="39579AE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2" w:type="dxa"/>
          </w:tcPr>
          <w:p w:rsidRPr="00346332" w:rsidR="00B31BB3" w:rsidP="309D50CA" w:rsidRDefault="00E53B2C" w14:paraId="0834D36D" w14:textId="202BD571">
            <w:pPr>
              <w:pStyle w:val="Heading4"/>
              <w:outlineLvl w:val="3"/>
              <w:rPr>
                <w:b/>
                <w:bCs/>
                <w:sz w:val="24"/>
                <w:szCs w:val="24"/>
              </w:rPr>
            </w:pPr>
            <w:r w:rsidRPr="309D50CA">
              <w:rPr>
                <w:b/>
                <w:bCs/>
                <w:sz w:val="24"/>
                <w:szCs w:val="24"/>
              </w:rPr>
              <w:t>When determining a SAPSE</w:t>
            </w:r>
          </w:p>
          <w:p w:rsidRPr="003C0BA9" w:rsidR="001766A5" w:rsidP="00694205" w:rsidRDefault="178E184F" w14:paraId="3F1FED81" w14:textId="4B6CF3F2">
            <w:pPr>
              <w:pStyle w:val="SCVbullet1"/>
              <w:numPr>
                <w:ilvl w:val="0"/>
                <w:numId w:val="0"/>
              </w:numPr>
              <w:rPr>
                <w:b w:val="0"/>
              </w:rPr>
            </w:pPr>
            <w:r w:rsidRPr="003C0BA9">
              <w:rPr>
                <w:b w:val="0"/>
              </w:rPr>
              <w:t>I</w:t>
            </w:r>
            <w:r w:rsidRPr="003C0BA9" w:rsidR="7EE14D42">
              <w:rPr>
                <w:b w:val="0"/>
              </w:rPr>
              <w:t xml:space="preserve">f the harm experienced was </w:t>
            </w:r>
            <w:r w:rsidRPr="003C0BA9" w:rsidR="0099321D">
              <w:rPr>
                <w:b w:val="0"/>
              </w:rPr>
              <w:t xml:space="preserve">not unintended or </w:t>
            </w:r>
            <w:r w:rsidRPr="003C0BA9" w:rsidR="7EE14D42">
              <w:rPr>
                <w:b w:val="0"/>
              </w:rPr>
              <w:t xml:space="preserve">unexpected, then the </w:t>
            </w:r>
            <w:r w:rsidRPr="003C0BA9" w:rsidR="13F859C4">
              <w:rPr>
                <w:b w:val="0"/>
              </w:rPr>
              <w:t xml:space="preserve">adverse </w:t>
            </w:r>
            <w:r w:rsidRPr="003C0BA9" w:rsidR="7EE14D42">
              <w:rPr>
                <w:b w:val="0"/>
              </w:rPr>
              <w:t xml:space="preserve">event </w:t>
            </w:r>
            <w:r w:rsidRPr="003C0BA9" w:rsidR="1BB5ED09">
              <w:rPr>
                <w:b w:val="0"/>
              </w:rPr>
              <w:t>may not fulfill the definition of a SAPSE</w:t>
            </w:r>
            <w:r w:rsidRPr="003C0BA9" w:rsidR="0BA8782C">
              <w:rPr>
                <w:b w:val="0"/>
              </w:rPr>
              <w:t>.</w:t>
            </w:r>
            <w:r w:rsidRPr="003C0BA9" w:rsidR="1BB5ED09">
              <w:rPr>
                <w:b w:val="0"/>
              </w:rPr>
              <w:t xml:space="preserve"> </w:t>
            </w:r>
            <w:r w:rsidRPr="003C0BA9" w:rsidR="4CEE9401">
              <w:rPr>
                <w:b w:val="0"/>
              </w:rPr>
              <w:t xml:space="preserve">Health service entities should interpret </w:t>
            </w:r>
            <w:r w:rsidRPr="003C0BA9" w:rsidR="5FE57B56">
              <w:rPr>
                <w:b w:val="0"/>
              </w:rPr>
              <w:t>‘</w:t>
            </w:r>
            <w:r w:rsidRPr="003C0BA9" w:rsidR="4CEE9401">
              <w:rPr>
                <w:b w:val="0"/>
              </w:rPr>
              <w:t xml:space="preserve">unintended </w:t>
            </w:r>
            <w:r w:rsidRPr="003C0BA9" w:rsidR="5FE57B56">
              <w:rPr>
                <w:b w:val="0"/>
              </w:rPr>
              <w:t>or unexpected’</w:t>
            </w:r>
            <w:r w:rsidRPr="003C0BA9" w:rsidR="4CEE9401">
              <w:rPr>
                <w:b w:val="0"/>
              </w:rPr>
              <w:t xml:space="preserve"> in relation to </w:t>
            </w:r>
            <w:r w:rsidRPr="003C0BA9" w:rsidR="536332D5">
              <w:rPr>
                <w:b w:val="0"/>
              </w:rPr>
              <w:t xml:space="preserve">the harm </w:t>
            </w:r>
            <w:r w:rsidRPr="003C0BA9" w:rsidR="335D949C">
              <w:rPr>
                <w:b w:val="0"/>
              </w:rPr>
              <w:t>result</w:t>
            </w:r>
            <w:r w:rsidRPr="003C0BA9" w:rsidR="536332D5">
              <w:rPr>
                <w:b w:val="0"/>
              </w:rPr>
              <w:t xml:space="preserve">ing from </w:t>
            </w:r>
            <w:r w:rsidRPr="003C0BA9" w:rsidR="4CEE9401">
              <w:rPr>
                <w:b w:val="0"/>
              </w:rPr>
              <w:t xml:space="preserve">an </w:t>
            </w:r>
            <w:r w:rsidRPr="003C0BA9" w:rsidR="0B53DA97">
              <w:rPr>
                <w:b w:val="0"/>
              </w:rPr>
              <w:t xml:space="preserve">adverse </w:t>
            </w:r>
            <w:r w:rsidRPr="003C0BA9" w:rsidR="4DCC57B1">
              <w:rPr>
                <w:b w:val="0"/>
              </w:rPr>
              <w:t xml:space="preserve">event </w:t>
            </w:r>
            <w:r w:rsidRPr="003C0BA9" w:rsidR="095349AD">
              <w:rPr>
                <w:b w:val="0"/>
              </w:rPr>
              <w:t xml:space="preserve">that </w:t>
            </w:r>
            <w:r w:rsidRPr="003C0BA9" w:rsidR="4CEE9401">
              <w:rPr>
                <w:b w:val="0"/>
              </w:rPr>
              <w:t>arises in the course of a patient receiving health services</w:t>
            </w:r>
            <w:r w:rsidRPr="003C0BA9" w:rsidR="6B5428AA">
              <w:rPr>
                <w:b w:val="0"/>
              </w:rPr>
              <w:t>.</w:t>
            </w:r>
            <w:r w:rsidRPr="003C0BA9" w:rsidR="171FBB56">
              <w:rPr>
                <w:b w:val="0"/>
                <w:bCs w:val="0"/>
              </w:rPr>
              <w:t xml:space="preserve"> </w:t>
            </w:r>
          </w:p>
          <w:p w:rsidRPr="003C0BA9" w:rsidR="005B2C9A" w:rsidP="00694205" w:rsidRDefault="023006C8" w14:paraId="0416E94C" w14:textId="680FFC01">
            <w:pPr>
              <w:pStyle w:val="SCVbullet1"/>
              <w:numPr>
                <w:ilvl w:val="0"/>
                <w:numId w:val="0"/>
              </w:numPr>
              <w:rPr>
                <w:b w:val="0"/>
              </w:rPr>
            </w:pPr>
            <w:r w:rsidRPr="003C0BA9">
              <w:rPr>
                <w:b w:val="0"/>
              </w:rPr>
              <w:t>Therefore</w:t>
            </w:r>
            <w:r w:rsidRPr="003C0BA9" w:rsidR="171FBB56">
              <w:rPr>
                <w:b w:val="0"/>
              </w:rPr>
              <w:t xml:space="preserve">, if the treatment or care provided went as intended and as expected, an incident may not qualify as a </w:t>
            </w:r>
            <w:r w:rsidRPr="003C0BA9" w:rsidR="7AC158CC">
              <w:rPr>
                <w:b w:val="0"/>
              </w:rPr>
              <w:t>SAPSE</w:t>
            </w:r>
            <w:r w:rsidRPr="003C0BA9" w:rsidR="171FBB56">
              <w:rPr>
                <w:b w:val="0"/>
              </w:rPr>
              <w:t>, even if harm occurred.</w:t>
            </w:r>
          </w:p>
          <w:p w:rsidRPr="003C0BA9" w:rsidR="008E56D4" w:rsidP="00694205" w:rsidRDefault="008E56D4" w14:paraId="466946A1" w14:textId="30C27575">
            <w:pPr>
              <w:pStyle w:val="SCVbullet1"/>
              <w:numPr>
                <w:ilvl w:val="0"/>
                <w:numId w:val="0"/>
              </w:numPr>
              <w:rPr>
                <w:b w:val="0"/>
              </w:rPr>
            </w:pPr>
          </w:p>
          <w:p w:rsidR="00B516C5" w:rsidP="00694205" w:rsidRDefault="29192605" w14:paraId="0703D6E4" w14:textId="769E92D8">
            <w:pPr>
              <w:pStyle w:val="SCVbullet1"/>
              <w:numPr>
                <w:ilvl w:val="0"/>
                <w:numId w:val="0"/>
              </w:numPr>
            </w:pPr>
            <w:r w:rsidRPr="003C0BA9">
              <w:t xml:space="preserve">Note: </w:t>
            </w:r>
            <w:r w:rsidRPr="003C0BA9" w:rsidR="023006C8">
              <w:rPr>
                <w:b w:val="0"/>
              </w:rPr>
              <w:t xml:space="preserve">This does not mean that known complications or side effects of treatment </w:t>
            </w:r>
            <w:r w:rsidRPr="003C0BA9" w:rsidR="58AF7F38">
              <w:rPr>
                <w:b w:val="0"/>
                <w:bCs w:val="0"/>
              </w:rPr>
              <w:t>will never</w:t>
            </w:r>
            <w:r w:rsidRPr="003C0BA9" w:rsidR="3EAF8946">
              <w:rPr>
                <w:b w:val="0"/>
                <w:bCs w:val="0"/>
              </w:rPr>
              <w:t xml:space="preserve"> be</w:t>
            </w:r>
            <w:r w:rsidRPr="003C0BA9" w:rsidR="3649130E">
              <w:rPr>
                <w:b w:val="0"/>
                <w:bCs w:val="0"/>
              </w:rPr>
              <w:t xml:space="preserve"> a</w:t>
            </w:r>
            <w:r w:rsidRPr="003C0BA9" w:rsidR="023006C8">
              <w:rPr>
                <w:b w:val="0"/>
              </w:rPr>
              <w:t xml:space="preserve"> </w:t>
            </w:r>
            <w:r w:rsidRPr="003C0BA9">
              <w:rPr>
                <w:b w:val="0"/>
              </w:rPr>
              <w:t>SAPSE</w:t>
            </w:r>
            <w:r w:rsidRPr="003C0BA9" w:rsidR="023006C8">
              <w:rPr>
                <w:b w:val="0"/>
              </w:rPr>
              <w:t xml:space="preserve">. In every case, the </w:t>
            </w:r>
            <w:r w:rsidRPr="003C0BA9">
              <w:rPr>
                <w:b w:val="0"/>
              </w:rPr>
              <w:t>health service entity</w:t>
            </w:r>
            <w:r w:rsidRPr="003C0BA9" w:rsidR="023006C8">
              <w:rPr>
                <w:b w:val="0"/>
              </w:rPr>
              <w:t xml:space="preserve"> must use their judgement to assess whether </w:t>
            </w:r>
            <w:r w:rsidRPr="003C0BA9" w:rsidR="2F2652C9">
              <w:rPr>
                <w:b w:val="0"/>
                <w:bCs w:val="0"/>
              </w:rPr>
              <w:t xml:space="preserve">treatment or care provided went as intended and as expected, </w:t>
            </w:r>
            <w:r w:rsidRPr="003C0BA9" w:rsidR="2B015073">
              <w:rPr>
                <w:b w:val="0"/>
                <w:bCs w:val="0"/>
              </w:rPr>
              <w:t xml:space="preserve">and therefore whether </w:t>
            </w:r>
            <w:r w:rsidRPr="003C0BA9" w:rsidR="5EC9F68F">
              <w:rPr>
                <w:b w:val="0"/>
              </w:rPr>
              <w:t xml:space="preserve">the </w:t>
            </w:r>
            <w:r w:rsidRPr="003C0BA9" w:rsidR="2B015073">
              <w:rPr>
                <w:b w:val="0"/>
                <w:bCs w:val="0"/>
              </w:rPr>
              <w:t xml:space="preserve">adverse </w:t>
            </w:r>
            <w:r w:rsidRPr="003C0BA9" w:rsidR="5EC9F68F">
              <w:rPr>
                <w:b w:val="0"/>
              </w:rPr>
              <w:t xml:space="preserve">event </w:t>
            </w:r>
            <w:r w:rsidRPr="003C0BA9" w:rsidR="2B015073">
              <w:rPr>
                <w:b w:val="0"/>
                <w:bCs w:val="0"/>
              </w:rPr>
              <w:t>fulfils</w:t>
            </w:r>
            <w:r w:rsidRPr="003C0BA9" w:rsidR="023006C8">
              <w:rPr>
                <w:b w:val="0"/>
              </w:rPr>
              <w:t xml:space="preserve"> the </w:t>
            </w:r>
            <w:r w:rsidRPr="003C0BA9" w:rsidR="2B015073">
              <w:rPr>
                <w:b w:val="0"/>
                <w:bCs w:val="0"/>
              </w:rPr>
              <w:t>criteria</w:t>
            </w:r>
            <w:r w:rsidRPr="003C0BA9" w:rsidR="7F927173">
              <w:rPr>
                <w:b w:val="0"/>
              </w:rPr>
              <w:t xml:space="preserve"> of </w:t>
            </w:r>
            <w:r w:rsidRPr="003C0BA9" w:rsidR="2B015073">
              <w:rPr>
                <w:b w:val="0"/>
                <w:bCs w:val="0"/>
              </w:rPr>
              <w:t>a SAPSE</w:t>
            </w:r>
            <w:r w:rsidRPr="003C0BA9" w:rsidR="023006C8">
              <w:rPr>
                <w:b w:val="0"/>
              </w:rPr>
              <w:t>.</w:t>
            </w:r>
            <w:r w:rsidRPr="003C0BA9" w:rsidR="00782C31">
              <w:rPr>
                <w:rStyle w:val="FootnoteReference"/>
                <w:b w:val="0"/>
                <w:bCs w:val="0"/>
              </w:rPr>
              <w:footnoteReference w:id="23"/>
            </w:r>
          </w:p>
        </w:tc>
      </w:tr>
    </w:tbl>
    <w:p w:rsidR="00B516C5" w:rsidP="00694205" w:rsidRDefault="00B516C5" w14:paraId="742974C5" w14:textId="77777777">
      <w:pPr>
        <w:pStyle w:val="SCVbullet1"/>
        <w:numPr>
          <w:ilvl w:val="0"/>
          <w:numId w:val="0"/>
        </w:numPr>
      </w:pPr>
    </w:p>
    <w:p w:rsidR="00531BB6" w:rsidP="004A2D96" w:rsidRDefault="00E96A8E" w14:paraId="3E251AF5" w14:textId="39C583E0">
      <w:pPr>
        <w:pStyle w:val="SCVbullet1"/>
        <w:numPr>
          <w:ilvl w:val="0"/>
          <w:numId w:val="0"/>
        </w:numPr>
      </w:pPr>
      <w:r>
        <w:t xml:space="preserve">While most </w:t>
      </w:r>
      <w:r w:rsidR="00506AFD">
        <w:t xml:space="preserve">SAPSE </w:t>
      </w:r>
      <w:r w:rsidR="00011248">
        <w:t>will be identified through health service</w:t>
      </w:r>
      <w:r w:rsidR="0047221C">
        <w:t xml:space="preserve"> entity</w:t>
      </w:r>
      <w:r w:rsidR="00011248">
        <w:t xml:space="preserve"> incident management </w:t>
      </w:r>
      <w:r w:rsidR="00F56A78">
        <w:t xml:space="preserve">and </w:t>
      </w:r>
      <w:r w:rsidR="006704EE">
        <w:t xml:space="preserve">patient/consumer feedback </w:t>
      </w:r>
      <w:r w:rsidR="00011248">
        <w:t>systems</w:t>
      </w:r>
      <w:r w:rsidR="006704EE">
        <w:t>,</w:t>
      </w:r>
      <w:r w:rsidR="00011248">
        <w:t xml:space="preserve"> </w:t>
      </w:r>
      <w:r w:rsidR="00195DF5">
        <w:t xml:space="preserve">the </w:t>
      </w:r>
      <w:r>
        <w:t xml:space="preserve">SDC must also be </w:t>
      </w:r>
      <w:r w:rsidR="6EEFD545">
        <w:t>un</w:t>
      </w:r>
      <w:r w:rsidR="3BF36DFF">
        <w:t>der</w:t>
      </w:r>
      <w:r w:rsidR="6EEFD545">
        <w:t>taken</w:t>
      </w:r>
      <w:r>
        <w:t xml:space="preserve"> when SAPSE are identified through other avenues (</w:t>
      </w:r>
      <w:r w:rsidR="002F00FB">
        <w:t>e.g</w:t>
      </w:r>
      <w:r>
        <w:t xml:space="preserve">. </w:t>
      </w:r>
      <w:r w:rsidR="00D337B1">
        <w:t>Coronial</w:t>
      </w:r>
      <w:r w:rsidR="001B0810">
        <w:t xml:space="preserve"> process</w:t>
      </w:r>
      <w:r w:rsidR="00195DF5">
        <w:t>es</w:t>
      </w:r>
      <w:r w:rsidR="00D337B1">
        <w:t xml:space="preserve">, </w:t>
      </w:r>
      <w:r w:rsidR="009A6916">
        <w:t>Serious Incident Response Scheme (SIRS)</w:t>
      </w:r>
      <w:r w:rsidR="0026002B">
        <w:t xml:space="preserve">, </w:t>
      </w:r>
      <w:r w:rsidR="002F00FB">
        <w:t xml:space="preserve">and </w:t>
      </w:r>
      <w:r>
        <w:t xml:space="preserve">SAPSE </w:t>
      </w:r>
      <w:r w:rsidR="001214C7">
        <w:t xml:space="preserve">that </w:t>
      </w:r>
      <w:r w:rsidR="002F00FB">
        <w:t xml:space="preserve">occur </w:t>
      </w:r>
      <w:r>
        <w:t xml:space="preserve">during </w:t>
      </w:r>
      <w:r w:rsidR="002F00FB">
        <w:t xml:space="preserve">a </w:t>
      </w:r>
      <w:r>
        <w:t>research trial</w:t>
      </w:r>
      <w:r w:rsidR="00C87B54">
        <w:t>).</w:t>
      </w:r>
      <w:r w:rsidR="0090550F">
        <w:t xml:space="preserve"> </w:t>
      </w:r>
      <w:r w:rsidR="005D6563">
        <w:t>In such instances, health service</w:t>
      </w:r>
      <w:r w:rsidR="0016531B">
        <w:t xml:space="preserve"> entitie</w:t>
      </w:r>
      <w:r w:rsidR="005D6563">
        <w:t xml:space="preserve">s must comply with </w:t>
      </w:r>
      <w:r w:rsidR="00F946FB">
        <w:t xml:space="preserve">any other reporting expectations </w:t>
      </w:r>
      <w:r w:rsidR="00AF6E45">
        <w:t xml:space="preserve">in addition to their </w:t>
      </w:r>
      <w:r w:rsidR="00004C86">
        <w:t xml:space="preserve">SDC </w:t>
      </w:r>
      <w:r w:rsidR="0078145A">
        <w:t>obligations</w:t>
      </w:r>
      <w:r w:rsidR="00380D76">
        <w:t>.</w:t>
      </w:r>
    </w:p>
    <w:p w:rsidR="00952F8B" w:rsidP="00FB2C6E" w:rsidRDefault="00952F8B" w14:paraId="662F7681" w14:textId="3AE125AD">
      <w:pPr>
        <w:pStyle w:val="SCVbodyafterheading"/>
      </w:pPr>
      <w:r>
        <w:t xml:space="preserve">The full extent of the SAPSE may still be unknown in the initial stages and the health service </w:t>
      </w:r>
      <w:r w:rsidR="0047221C">
        <w:t xml:space="preserve">entity </w:t>
      </w:r>
      <w:r>
        <w:t>will need to undertake a thorough review</w:t>
      </w:r>
      <w:r w:rsidR="0047221C">
        <w:t xml:space="preserve"> and</w:t>
      </w:r>
      <w:r>
        <w:t xml:space="preserve"> formulate a clear plan, including risk assessment, timelines, communication strategy and protocols.</w:t>
      </w:r>
      <w:r w:rsidR="00FB2C6E">
        <w:t xml:space="preserve"> </w:t>
      </w:r>
      <w:r>
        <w:t>Clearly document the timeline and processes in these cases.</w:t>
      </w:r>
    </w:p>
    <w:p w:rsidR="00FB2C6E" w:rsidP="00FB2C6E" w:rsidRDefault="00FB2C6E" w14:paraId="27F31D5F" w14:textId="77777777">
      <w:pPr>
        <w:pStyle w:val="SCVbullet1"/>
        <w:numPr>
          <w:ilvl w:val="0"/>
          <w:numId w:val="0"/>
        </w:numPr>
      </w:pPr>
      <w:r>
        <w:t xml:space="preserve">If an event does not meet the definition of a SAPSE, and therefore does not trigger the legal obligations required of the SDC process, open disclosure should still be followed as outlined within the </w:t>
      </w:r>
      <w:hyperlink w:history="1" r:id="rId28">
        <w:r w:rsidRPr="00195DF5">
          <w:rPr>
            <w:rStyle w:val="Hyperlink"/>
          </w:rPr>
          <w:t>Australian Open Disclosure Framework</w:t>
        </w:r>
      </w:hyperlink>
      <w:r>
        <w:t>.</w:t>
      </w:r>
    </w:p>
    <w:p w:rsidR="003817FC" w:rsidP="004A2D96" w:rsidRDefault="003817FC" w14:paraId="79544923" w14:textId="135CA5CA">
      <w:pPr>
        <w:pStyle w:val="SCVbullet1"/>
        <w:numPr>
          <w:ilvl w:val="0"/>
          <w:numId w:val="0"/>
        </w:numPr>
      </w:pPr>
    </w:p>
    <w:p w:rsidR="000716BF" w:rsidP="001B70D6" w:rsidRDefault="000716BF" w14:paraId="4791C150" w14:textId="2C0A67B7">
      <w:pPr>
        <w:pStyle w:val="Heading2"/>
      </w:pPr>
      <w:bookmarkStart w:name="_Toc117519232" w:id="16"/>
      <w:r>
        <w:t>Harm</w:t>
      </w:r>
      <w:r w:rsidR="001B70D6">
        <w:t xml:space="preserve"> categories</w:t>
      </w:r>
      <w:bookmarkEnd w:id="16"/>
      <w:r w:rsidR="001B70D6">
        <w:t xml:space="preserve"> </w:t>
      </w:r>
    </w:p>
    <w:p w:rsidR="00587711" w:rsidP="005126C8" w:rsidRDefault="6AF51FF3" w14:paraId="211CA621" w14:textId="796C932E">
      <w:pPr>
        <w:pStyle w:val="Heading3"/>
      </w:pPr>
      <w:r>
        <w:t>Moderate harm</w:t>
      </w:r>
    </w:p>
    <w:p w:rsidR="001322B4" w:rsidP="00CC735A" w:rsidRDefault="0868459C" w14:paraId="45E5FBDC" w14:textId="6A6F2600">
      <w:pPr>
        <w:pStyle w:val="SCVbody"/>
      </w:pPr>
      <w:r>
        <w:t>T</w:t>
      </w:r>
      <w:r w:rsidR="0160CC74">
        <w:t xml:space="preserve">he </w:t>
      </w:r>
      <w:r w:rsidRPr="7068FF33" w:rsidR="0160CC74">
        <w:rPr>
          <w:i/>
          <w:iCs/>
        </w:rPr>
        <w:t>Health Services (Quality and Safety) Regulations 202</w:t>
      </w:r>
      <w:r w:rsidR="007B17D9">
        <w:rPr>
          <w:i/>
          <w:iCs/>
        </w:rPr>
        <w:t>0</w:t>
      </w:r>
      <w:r w:rsidRPr="7068FF33" w:rsidR="26FC23DE">
        <w:rPr>
          <w:i/>
        </w:rPr>
        <w:t xml:space="preserve"> </w:t>
      </w:r>
      <w:r w:rsidR="007B1244">
        <w:t>defines</w:t>
      </w:r>
      <w:r w:rsidRPr="7068FF33" w:rsidR="007B1244">
        <w:t xml:space="preserve"> </w:t>
      </w:r>
      <w:r w:rsidR="59E11919">
        <w:t>‘</w:t>
      </w:r>
      <w:r w:rsidR="26FC23DE">
        <w:t>m</w:t>
      </w:r>
      <w:r w:rsidR="59E11919">
        <w:t xml:space="preserve">oderate’ harm </w:t>
      </w:r>
      <w:r w:rsidR="4DD1B4A4">
        <w:t>as</w:t>
      </w:r>
      <w:r w:rsidR="59E11919">
        <w:t xml:space="preserve"> requir</w:t>
      </w:r>
      <w:r w:rsidR="35E2FFCB">
        <w:t xml:space="preserve">ing </w:t>
      </w:r>
      <w:r w:rsidR="59E11919">
        <w:t xml:space="preserve">a moderate increase in treatment to a patient, such as unplanned or unexpected return to surgery, but </w:t>
      </w:r>
      <w:r w:rsidR="00E24CAE">
        <w:t xml:space="preserve">that </w:t>
      </w:r>
      <w:r w:rsidR="14D5A575">
        <w:t xml:space="preserve">does </w:t>
      </w:r>
      <w:r w:rsidR="59E11919">
        <w:t>not cause permanent damage or injury to an individual.</w:t>
      </w:r>
      <w:r w:rsidR="6653CA94">
        <w:t xml:space="preserve"> </w:t>
      </w:r>
      <w:r w:rsidR="65B97860">
        <w:t>For health service</w:t>
      </w:r>
      <w:r w:rsidR="1F32BCF8">
        <w:t xml:space="preserve"> entitie</w:t>
      </w:r>
      <w:r w:rsidR="65B97860">
        <w:t>s that use</w:t>
      </w:r>
      <w:r w:rsidR="448A68B9">
        <w:t xml:space="preserve"> the Victorian Health Incident Management System (VHIMS), t</w:t>
      </w:r>
      <w:r w:rsidR="6653CA94">
        <w:t xml:space="preserve">his type of harm corresponds with </w:t>
      </w:r>
      <w:r w:rsidR="03F3B332">
        <w:t xml:space="preserve">an </w:t>
      </w:r>
      <w:r w:rsidR="448A68B9">
        <w:t>Incident Severity Rating (ISR) 2.</w:t>
      </w:r>
      <w:r w:rsidR="4FC5D334">
        <w:t xml:space="preserve"> </w:t>
      </w:r>
      <w:r w:rsidR="1845C089">
        <w:t>M</w:t>
      </w:r>
      <w:r w:rsidR="295E0B2D">
        <w:t xml:space="preserve">ore information on the VHIMS rating system </w:t>
      </w:r>
      <w:r w:rsidR="50FA3EF2">
        <w:t>i</w:t>
      </w:r>
      <w:r w:rsidR="5B7C2BF1">
        <w:t xml:space="preserve">s available in </w:t>
      </w:r>
      <w:r w:rsidR="50FA3EF2">
        <w:t xml:space="preserve">the </w:t>
      </w:r>
      <w:hyperlink r:id="rId29">
        <w:r w:rsidRPr="7068FF33" w:rsidR="7EA7C23C">
          <w:rPr>
            <w:rStyle w:val="Hyperlink"/>
          </w:rPr>
          <w:t>VHIMS</w:t>
        </w:r>
        <w:r w:rsidRPr="7068FF33" w:rsidR="56B47C71">
          <w:rPr>
            <w:rStyle w:val="Hyperlink"/>
          </w:rPr>
          <w:t xml:space="preserve"> Minimum Dataset Manual</w:t>
        </w:r>
      </w:hyperlink>
      <w:r w:rsidR="1743D058">
        <w:t>.</w:t>
      </w:r>
      <w:r w:rsidR="66095406">
        <w:t xml:space="preserve"> </w:t>
      </w:r>
      <w:r w:rsidR="1743D058">
        <w:t xml:space="preserve"> </w:t>
      </w:r>
    </w:p>
    <w:p w:rsidRPr="00D87F35" w:rsidR="00FA4AAD" w:rsidP="003817FC" w:rsidRDefault="3C65431D" w14:paraId="14704E71" w14:textId="6AB0273E">
      <w:pPr>
        <w:pStyle w:val="SCVbody"/>
      </w:pPr>
      <w:r>
        <w:t>Some</w:t>
      </w:r>
      <w:r w:rsidR="6A4B60B4">
        <w:t xml:space="preserve"> h</w:t>
      </w:r>
      <w:r w:rsidR="5698E15B">
        <w:t>ealth service entities may u</w:t>
      </w:r>
      <w:r w:rsidR="517E74B7">
        <w:t>se</w:t>
      </w:r>
      <w:r w:rsidR="5698E15B">
        <w:t xml:space="preserve"> their clinical incident management system to collect all data, not just adverse events. In this instance, some events </w:t>
      </w:r>
      <w:r w:rsidR="345F736E">
        <w:t xml:space="preserve">that </w:t>
      </w:r>
      <w:r w:rsidR="57DB6FB5">
        <w:t xml:space="preserve">currently </w:t>
      </w:r>
      <w:r w:rsidR="287D9CBD">
        <w:t xml:space="preserve">trigger </w:t>
      </w:r>
      <w:r w:rsidR="7C83C49B">
        <w:t>an</w:t>
      </w:r>
      <w:r w:rsidR="345F736E">
        <w:t xml:space="preserve"> ISR</w:t>
      </w:r>
      <w:r w:rsidR="2344B795">
        <w:t xml:space="preserve"> </w:t>
      </w:r>
      <w:r w:rsidR="345F736E">
        <w:t>2</w:t>
      </w:r>
      <w:r w:rsidR="4E983FAE">
        <w:t xml:space="preserve"> rating</w:t>
      </w:r>
      <w:r>
        <w:t xml:space="preserve"> </w:t>
      </w:r>
      <w:r w:rsidR="287D9CBD">
        <w:t xml:space="preserve">would </w:t>
      </w:r>
      <w:r>
        <w:t>not</w:t>
      </w:r>
      <w:r w:rsidR="287D9CBD">
        <w:t xml:space="preserve"> </w:t>
      </w:r>
      <w:r w:rsidR="7C9AA919">
        <w:t>represent an</w:t>
      </w:r>
      <w:r>
        <w:t xml:space="preserve"> unexpected adverse outcome, and therefore not be a SAPSE</w:t>
      </w:r>
      <w:r w:rsidR="58F00FAA">
        <w:t xml:space="preserve"> (see case example 2)</w:t>
      </w:r>
      <w:r w:rsidR="38F363DA">
        <w:t>.</w:t>
      </w:r>
      <w:r w:rsidR="0838CD0D">
        <w:t xml:space="preserve"> </w:t>
      </w:r>
      <w:r w:rsidR="77E643A1">
        <w:t>For an adverse event to</w:t>
      </w:r>
      <w:r w:rsidR="17FAD517">
        <w:t xml:space="preserve"> be deemed a SAPSE, it must be unplanned or unexpected</w:t>
      </w:r>
      <w:r w:rsidR="2344B795">
        <w:t xml:space="preserve"> and f</w:t>
      </w:r>
      <w:r w:rsidR="66FE7966">
        <w:t xml:space="preserve">ulfil </w:t>
      </w:r>
      <w:r w:rsidR="2344B795">
        <w:t xml:space="preserve">the </w:t>
      </w:r>
      <w:r w:rsidR="73CAD194">
        <w:t xml:space="preserve">SAPSE </w:t>
      </w:r>
      <w:r w:rsidR="2344B795">
        <w:t>definition</w:t>
      </w:r>
      <w:r w:rsidR="17FAD517">
        <w:t>.</w:t>
      </w:r>
      <w:r w:rsidR="7C83C49B">
        <w:t xml:space="preserve"> </w:t>
      </w:r>
    </w:p>
    <w:tbl>
      <w:tblPr>
        <w:tblStyle w:val="SCVpulloutbox"/>
        <w:tblpPr w:leftFromText="181" w:rightFromText="181" w:vertAnchor="text" w:horzAnchor="margin" w:tblpY="302"/>
        <w:tblOverlap w:val="never"/>
        <w:tblW w:w="10432" w:type="dxa"/>
        <w:tblLook w:val="04A0" w:firstRow="1" w:lastRow="0" w:firstColumn="1" w:lastColumn="0" w:noHBand="0" w:noVBand="1"/>
      </w:tblPr>
      <w:tblGrid>
        <w:gridCol w:w="10432"/>
      </w:tblGrid>
      <w:tr w:rsidR="00B8083B" w:rsidTr="2778AFCB" w14:paraId="6D067DC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2" w:type="dxa"/>
          </w:tcPr>
          <w:p w:rsidRPr="00EA5C15" w:rsidR="00B8083B" w:rsidP="0E53F234" w:rsidRDefault="6B01EDFA" w14:paraId="2AC82099" w14:textId="77777777">
            <w:pPr>
              <w:pStyle w:val="SCVpulloutheading"/>
              <w:rPr>
                <w:b/>
                <w:bCs w:val="0"/>
              </w:rPr>
            </w:pPr>
            <w:r w:rsidRPr="00EA5C15">
              <w:rPr>
                <w:b/>
                <w:bCs w:val="0"/>
              </w:rPr>
              <w:t>Case example 1 – Moderate harm</w:t>
            </w:r>
          </w:p>
          <w:p w:rsidRPr="00195D10" w:rsidR="00B8083B" w:rsidP="00B8083B" w:rsidRDefault="55C6C435" w14:paraId="2C4CFB3B" w14:textId="1BAD0A9F">
            <w:pPr>
              <w:pStyle w:val="SCVpullouttext"/>
              <w:rPr>
                <w:b w:val="0"/>
                <w:bCs w:val="0"/>
              </w:rPr>
            </w:pPr>
            <w:r>
              <w:rPr>
                <w:b w:val="0"/>
                <w:bCs w:val="0"/>
              </w:rPr>
              <w:t>Jaime is 46 years old and has been suffering symptoms of Multiple Sclerosis for 10 years. Over the past 12 months Jaime has become wheelchair bound</w:t>
            </w:r>
            <w:r w:rsidR="34618AF4">
              <w:rPr>
                <w:b w:val="0"/>
                <w:bCs w:val="0"/>
              </w:rPr>
              <w:t>.</w:t>
            </w:r>
            <w:r>
              <w:rPr>
                <w:b w:val="0"/>
                <w:bCs w:val="0"/>
              </w:rPr>
              <w:t xml:space="preserve"> Jaime </w:t>
            </w:r>
            <w:r w:rsidR="5529AC73">
              <w:rPr>
                <w:b w:val="0"/>
                <w:bCs w:val="0"/>
              </w:rPr>
              <w:t xml:space="preserve">is admitted to </w:t>
            </w:r>
            <w:r w:rsidR="18397475">
              <w:rPr>
                <w:b w:val="0"/>
                <w:bCs w:val="0"/>
              </w:rPr>
              <w:t>hospital</w:t>
            </w:r>
            <w:r>
              <w:rPr>
                <w:b w:val="0"/>
                <w:bCs w:val="0"/>
              </w:rPr>
              <w:t xml:space="preserve"> for a large </w:t>
            </w:r>
            <w:r w:rsidR="05A8B1BB">
              <w:rPr>
                <w:b w:val="0"/>
                <w:bCs w:val="0"/>
              </w:rPr>
              <w:t xml:space="preserve">lower leg </w:t>
            </w:r>
            <w:r>
              <w:rPr>
                <w:b w:val="0"/>
                <w:bCs w:val="0"/>
              </w:rPr>
              <w:t xml:space="preserve">skin tear, which requires a skin graft and bed rest for 5 days. During this </w:t>
            </w:r>
            <w:r w:rsidR="379A47FE">
              <w:rPr>
                <w:b w:val="0"/>
                <w:bCs w:val="0"/>
              </w:rPr>
              <w:t>period</w:t>
            </w:r>
            <w:r>
              <w:rPr>
                <w:b w:val="0"/>
                <w:bCs w:val="0"/>
              </w:rPr>
              <w:t>, the nursing staff did not provide Jaime with the appropriate pressure area care</w:t>
            </w:r>
            <w:r w:rsidR="2B097001">
              <w:rPr>
                <w:b w:val="0"/>
                <w:bCs w:val="0"/>
              </w:rPr>
              <w:t xml:space="preserve"> required</w:t>
            </w:r>
            <w:r>
              <w:rPr>
                <w:b w:val="0"/>
                <w:bCs w:val="0"/>
              </w:rPr>
              <w:t xml:space="preserve">. On day 5 whilst conducting </w:t>
            </w:r>
            <w:r w:rsidR="4502606C">
              <w:rPr>
                <w:b w:val="0"/>
                <w:bCs w:val="0"/>
              </w:rPr>
              <w:t>a</w:t>
            </w:r>
            <w:r w:rsidR="3F2EEB25">
              <w:rPr>
                <w:b w:val="0"/>
                <w:bCs w:val="0"/>
              </w:rPr>
              <w:t xml:space="preserve"> skin</w:t>
            </w:r>
            <w:r>
              <w:rPr>
                <w:b w:val="0"/>
                <w:bCs w:val="0"/>
              </w:rPr>
              <w:t xml:space="preserve"> graft check, staff found an ulcer on Jaime’s heel. </w:t>
            </w:r>
          </w:p>
          <w:p w:rsidRPr="00195D10" w:rsidR="00B8083B" w:rsidP="00B8083B" w:rsidRDefault="55C6C435" w14:paraId="5A9748C6" w14:textId="487F7117">
            <w:pPr>
              <w:pStyle w:val="SCVpullouttext"/>
              <w:rPr>
                <w:b w:val="0"/>
                <w:bCs w:val="0"/>
              </w:rPr>
            </w:pPr>
            <w:r>
              <w:rPr>
                <w:b w:val="0"/>
                <w:bCs w:val="0"/>
              </w:rPr>
              <w:t xml:space="preserve">The nurse-in-charge explains to </w:t>
            </w:r>
            <w:r w:rsidR="35E54647">
              <w:rPr>
                <w:b w:val="0"/>
                <w:bCs w:val="0"/>
              </w:rPr>
              <w:t>Jaime</w:t>
            </w:r>
            <w:r w:rsidR="00A83AB4">
              <w:rPr>
                <w:b w:val="0"/>
                <w:bCs w:val="0"/>
              </w:rPr>
              <w:t xml:space="preserve"> that</w:t>
            </w:r>
            <w:r w:rsidR="35E54647">
              <w:rPr>
                <w:b w:val="0"/>
                <w:bCs w:val="0"/>
              </w:rPr>
              <w:t xml:space="preserve"> a</w:t>
            </w:r>
            <w:r>
              <w:rPr>
                <w:b w:val="0"/>
                <w:bCs w:val="0"/>
              </w:rPr>
              <w:t xml:space="preserve"> Stage 3 pressure injury has developed and sincerely apologises for this occurring. </w:t>
            </w:r>
            <w:r w:rsidR="00814CB1">
              <w:rPr>
                <w:b w:val="0"/>
                <w:bCs w:val="0"/>
              </w:rPr>
              <w:t xml:space="preserve">The nurse-in-charge </w:t>
            </w:r>
            <w:r w:rsidR="1AE7F395">
              <w:rPr>
                <w:b w:val="0"/>
                <w:bCs w:val="0"/>
              </w:rPr>
              <w:t>outlines that a</w:t>
            </w:r>
            <w:r w:rsidR="44A413E3">
              <w:rPr>
                <w:b w:val="0"/>
                <w:bCs w:val="0"/>
              </w:rPr>
              <w:t xml:space="preserve">dditional </w:t>
            </w:r>
            <w:r w:rsidR="53BA90DB">
              <w:rPr>
                <w:b w:val="0"/>
                <w:bCs w:val="0"/>
              </w:rPr>
              <w:t xml:space="preserve">equipment and </w:t>
            </w:r>
            <w:r w:rsidR="44A413E3">
              <w:rPr>
                <w:b w:val="0"/>
                <w:bCs w:val="0"/>
              </w:rPr>
              <w:t>monitoring</w:t>
            </w:r>
            <w:r w:rsidR="1AE7F395">
              <w:rPr>
                <w:b w:val="0"/>
                <w:bCs w:val="0"/>
              </w:rPr>
              <w:t xml:space="preserve"> </w:t>
            </w:r>
            <w:r w:rsidR="429533B8">
              <w:rPr>
                <w:b w:val="0"/>
                <w:bCs w:val="0"/>
              </w:rPr>
              <w:t xml:space="preserve">will be instigated to manage the pressure injury and that a </w:t>
            </w:r>
            <w:r w:rsidR="00814CB1">
              <w:rPr>
                <w:b w:val="0"/>
                <w:bCs w:val="0"/>
              </w:rPr>
              <w:t xml:space="preserve">review </w:t>
            </w:r>
            <w:r w:rsidR="334ED636">
              <w:rPr>
                <w:b w:val="0"/>
                <w:bCs w:val="0"/>
              </w:rPr>
              <w:t>will</w:t>
            </w:r>
            <w:r w:rsidR="78E380A5">
              <w:rPr>
                <w:b w:val="0"/>
                <w:bCs w:val="0"/>
              </w:rPr>
              <w:t xml:space="preserve"> be conducted to</w:t>
            </w:r>
            <w:r w:rsidR="00814CB1">
              <w:rPr>
                <w:b w:val="0"/>
                <w:bCs w:val="0"/>
              </w:rPr>
              <w:t xml:space="preserve"> improve future systems and processes</w:t>
            </w:r>
            <w:r>
              <w:rPr>
                <w:b w:val="0"/>
                <w:bCs w:val="0"/>
              </w:rPr>
              <w:t xml:space="preserve">. They enter the </w:t>
            </w:r>
            <w:r w:rsidR="30F3BDF7">
              <w:rPr>
                <w:b w:val="0"/>
                <w:bCs w:val="0"/>
              </w:rPr>
              <w:t xml:space="preserve">event </w:t>
            </w:r>
            <w:r>
              <w:rPr>
                <w:b w:val="0"/>
                <w:bCs w:val="0"/>
              </w:rPr>
              <w:t xml:space="preserve">into the clinical incident management system. </w:t>
            </w:r>
          </w:p>
          <w:p w:rsidR="00B8083B" w:rsidP="00D91475" w:rsidRDefault="23B9E75F" w14:paraId="7283C700" w14:textId="0986212B">
            <w:pPr>
              <w:pStyle w:val="SCVpullouttext"/>
            </w:pPr>
            <w:r>
              <w:rPr>
                <w:b w:val="0"/>
                <w:bCs w:val="0"/>
              </w:rPr>
              <w:t xml:space="preserve">Jaime required an extra 2 days in hospital and was then discharged to the health service entity’s </w:t>
            </w:r>
            <w:r w:rsidR="00596BEC">
              <w:rPr>
                <w:b w:val="0"/>
                <w:bCs w:val="0"/>
              </w:rPr>
              <w:t>Hospital in the Home</w:t>
            </w:r>
            <w:r>
              <w:rPr>
                <w:b w:val="0"/>
                <w:bCs w:val="0"/>
              </w:rPr>
              <w:t xml:space="preserve"> service, for nurses to </w:t>
            </w:r>
            <w:r w:rsidR="0035166F">
              <w:rPr>
                <w:b w:val="0"/>
                <w:bCs w:val="0"/>
              </w:rPr>
              <w:t>provide regular dressing changes to</w:t>
            </w:r>
            <w:r>
              <w:rPr>
                <w:b w:val="0"/>
                <w:bCs w:val="0"/>
              </w:rPr>
              <w:t xml:space="preserve"> the pressure injury. The pressure injury healed within </w:t>
            </w:r>
            <w:r w:rsidR="05E148C7">
              <w:rPr>
                <w:b w:val="0"/>
                <w:bCs w:val="0"/>
              </w:rPr>
              <w:t>3</w:t>
            </w:r>
            <w:r>
              <w:rPr>
                <w:b w:val="0"/>
                <w:bCs w:val="0"/>
              </w:rPr>
              <w:t xml:space="preserve"> weeks. </w:t>
            </w:r>
          </w:p>
          <w:p w:rsidR="00C407D1" w:rsidP="00D91475" w:rsidRDefault="00C407D1" w14:paraId="1943A147" w14:textId="05090602">
            <w:pPr>
              <w:pStyle w:val="SCVpullouttext"/>
            </w:pPr>
            <w:r>
              <w:rPr>
                <w:b w:val="0"/>
                <w:bCs w:val="0"/>
              </w:rPr>
              <w:t xml:space="preserve">This </w:t>
            </w:r>
            <w:r w:rsidR="007850E6">
              <w:rPr>
                <w:b w:val="0"/>
                <w:bCs w:val="0"/>
              </w:rPr>
              <w:t xml:space="preserve">event </w:t>
            </w:r>
            <w:r>
              <w:rPr>
                <w:b w:val="0"/>
                <w:bCs w:val="0"/>
              </w:rPr>
              <w:t>is a SAPSE</w:t>
            </w:r>
            <w:r w:rsidR="00085C80">
              <w:rPr>
                <w:b w:val="0"/>
                <w:bCs w:val="0"/>
              </w:rPr>
              <w:t>, and therefore requires SDC,</w:t>
            </w:r>
            <w:r>
              <w:rPr>
                <w:b w:val="0"/>
                <w:bCs w:val="0"/>
              </w:rPr>
              <w:t xml:space="preserve"> because Jaime </w:t>
            </w:r>
            <w:r w:rsidR="009C5732">
              <w:rPr>
                <w:b w:val="0"/>
                <w:bCs w:val="0"/>
              </w:rPr>
              <w:t>required a</w:t>
            </w:r>
            <w:r w:rsidR="009C5732">
              <w:t xml:space="preserve"> </w:t>
            </w:r>
            <w:r w:rsidR="009C5732">
              <w:rPr>
                <w:b w:val="0"/>
                <w:bCs w:val="0"/>
              </w:rPr>
              <w:t>moderate increase in treatment, therefore</w:t>
            </w:r>
            <w:r>
              <w:rPr>
                <w:b w:val="0"/>
                <w:bCs w:val="0"/>
              </w:rPr>
              <w:t xml:space="preserve"> </w:t>
            </w:r>
            <w:r w:rsidR="009C5732">
              <w:rPr>
                <w:b w:val="0"/>
                <w:bCs w:val="0"/>
              </w:rPr>
              <w:t>sustaining</w:t>
            </w:r>
            <w:r>
              <w:rPr>
                <w:b w:val="0"/>
                <w:bCs w:val="0"/>
              </w:rPr>
              <w:t xml:space="preserve"> </w:t>
            </w:r>
            <w:r w:rsidR="00B75C8D">
              <w:rPr>
                <w:b w:val="0"/>
                <w:bCs w:val="0"/>
              </w:rPr>
              <w:t>‘</w:t>
            </w:r>
            <w:r>
              <w:rPr>
                <w:b w:val="0"/>
                <w:bCs w:val="0"/>
              </w:rPr>
              <w:t>moderate</w:t>
            </w:r>
            <w:r w:rsidR="00B75C8D">
              <w:rPr>
                <w:b w:val="0"/>
                <w:bCs w:val="0"/>
              </w:rPr>
              <w:t>’</w:t>
            </w:r>
            <w:r>
              <w:rPr>
                <w:b w:val="0"/>
                <w:bCs w:val="0"/>
              </w:rPr>
              <w:t xml:space="preserve"> harm.</w:t>
            </w:r>
          </w:p>
          <w:p w:rsidRPr="00E14590" w:rsidR="00B8083B" w:rsidP="00B8083B" w:rsidRDefault="00B75C8D" w14:paraId="55244F63" w14:textId="00A8A7A5">
            <w:pPr>
              <w:pStyle w:val="SCVpullouttext"/>
            </w:pPr>
            <w:r w:rsidRPr="00195D10">
              <w:t>See</w:t>
            </w:r>
            <w:r>
              <w:t xml:space="preserve"> the</w:t>
            </w:r>
            <w:r w:rsidRPr="00195D10">
              <w:t xml:space="preserve"> </w:t>
            </w:r>
            <w:hyperlink w:history="1" r:id="rId30">
              <w:r w:rsidRPr="007933FB">
                <w:rPr>
                  <w:rStyle w:val="Hyperlink"/>
                  <w:i/>
                  <w:iCs/>
                </w:rPr>
                <w:t>Victorian Duty of Candour Guidelines</w:t>
              </w:r>
            </w:hyperlink>
            <w:r w:rsidRPr="00195D10">
              <w:t xml:space="preserve"> for more information.</w:t>
            </w:r>
          </w:p>
        </w:tc>
      </w:tr>
    </w:tbl>
    <w:p w:rsidRPr="00946CBF" w:rsidR="003E1B50" w:rsidP="2DF3EF48" w:rsidRDefault="2A66B7BB" w14:paraId="2662F507" w14:textId="0BDE52DA">
      <w:pPr>
        <w:pStyle w:val="SCVpulloutheading"/>
        <w:rPr>
          <w:bCs/>
        </w:rPr>
      </w:pPr>
      <w:r w:rsidRPr="2DF3EF48">
        <w:rPr>
          <w:bCs/>
        </w:rPr>
        <w:t>Case example 2 – Moderate harm</w:t>
      </w:r>
      <w:r w:rsidR="101465A7">
        <w:t xml:space="preserve"> </w:t>
      </w:r>
    </w:p>
    <w:p w:rsidR="31BAFAC8" w:rsidP="51759902" w:rsidRDefault="31BAFAC8" w14:paraId="0AAD4891" w14:textId="72AD09BC">
      <w:pPr>
        <w:pStyle w:val="SCVpullouttext"/>
        <w:rPr>
          <w:color w:val="000000" w:themeColor="text1"/>
        </w:rPr>
      </w:pPr>
      <w:r w:rsidRPr="1977F94D">
        <w:rPr>
          <w:color w:val="000000" w:themeColor="text1"/>
        </w:rPr>
        <w:t>In the below examples</w:t>
      </w:r>
      <w:r w:rsidRPr="1977F94D" w:rsidR="007C6A33">
        <w:rPr>
          <w:color w:val="000000" w:themeColor="text1"/>
        </w:rPr>
        <w:t>,</w:t>
      </w:r>
      <w:r w:rsidRPr="1977F94D">
        <w:rPr>
          <w:color w:val="000000" w:themeColor="text1"/>
        </w:rPr>
        <w:t xml:space="preserve"> two scenarios are presented to demonstrate the circumstance where an adverse event does</w:t>
      </w:r>
      <w:r w:rsidRPr="1977F94D" w:rsidR="0D62D774">
        <w:rPr>
          <w:color w:val="000000" w:themeColor="text1"/>
        </w:rPr>
        <w:t>,</w:t>
      </w:r>
      <w:r w:rsidRPr="1977F94D">
        <w:rPr>
          <w:color w:val="000000" w:themeColor="text1"/>
        </w:rPr>
        <w:t xml:space="preserve"> and does not</w:t>
      </w:r>
      <w:r w:rsidRPr="1977F94D" w:rsidR="7CA446D4">
        <w:rPr>
          <w:color w:val="000000" w:themeColor="text1"/>
        </w:rPr>
        <w:t xml:space="preserve">, </w:t>
      </w:r>
      <w:r w:rsidRPr="1977F94D">
        <w:rPr>
          <w:color w:val="000000" w:themeColor="text1"/>
        </w:rPr>
        <w:t>fulfil SAPSE criteria.</w:t>
      </w:r>
    </w:p>
    <w:tbl>
      <w:tblPr>
        <w:tblW w:w="10530" w:type="dxa"/>
        <w:tblLayout w:type="fixed"/>
        <w:tblLook w:val="04A0" w:firstRow="1" w:lastRow="0" w:firstColumn="1" w:lastColumn="0" w:noHBand="0" w:noVBand="1"/>
      </w:tblPr>
      <w:tblGrid>
        <w:gridCol w:w="5175"/>
        <w:gridCol w:w="5355"/>
      </w:tblGrid>
      <w:tr w:rsidR="0F28D20C" w:rsidTr="1977F94D" w14:paraId="07CC3ED0" w14:textId="77777777">
        <w:trPr>
          <w:trHeight w:val="1020"/>
        </w:trPr>
        <w:tc>
          <w:tcPr>
            <w:tcW w:w="10530" w:type="dxa"/>
            <w:gridSpan w:val="2"/>
            <w:tcBorders>
              <w:top w:val="single" w:color="auto" w:sz="8" w:space="0"/>
              <w:left w:val="single" w:color="auto" w:sz="8" w:space="0"/>
              <w:bottom w:val="single" w:color="auto" w:sz="8" w:space="0"/>
              <w:right w:val="single" w:color="auto" w:sz="8" w:space="0"/>
            </w:tcBorders>
            <w:shd w:val="clear" w:color="auto" w:fill="EDF5F7" w:themeFill="background2"/>
          </w:tcPr>
          <w:p w:rsidR="0F28D20C" w:rsidP="0ECE3F90" w:rsidRDefault="101465A7" w14:paraId="3057952B" w14:textId="22792CE3">
            <w:pPr>
              <w:pStyle w:val="SCVpullouttext"/>
              <w:rPr>
                <w:color w:val="007586" w:themeColor="accent2"/>
              </w:rPr>
            </w:pPr>
            <w:r w:rsidRPr="6D8EA91F">
              <w:rPr>
                <w:color w:val="007586" w:themeColor="accent2"/>
              </w:rPr>
              <w:t xml:space="preserve">Terry is 74 years old presents to hospital for a </w:t>
            </w:r>
            <w:r w:rsidRPr="6D8EA91F" w:rsidR="15C7063C">
              <w:rPr>
                <w:color w:val="007586" w:themeColor="accent2"/>
              </w:rPr>
              <w:t xml:space="preserve">radical neck dissection (surgery to remove cancerous tissue in neck). </w:t>
            </w:r>
            <w:r w:rsidRPr="6D8EA91F" w:rsidR="5530CA88">
              <w:rPr>
                <w:color w:val="007586" w:themeColor="accent2"/>
              </w:rPr>
              <w:t>Terry</w:t>
            </w:r>
            <w:r w:rsidRPr="6D8EA91F" w:rsidR="15C7063C">
              <w:rPr>
                <w:color w:val="007586" w:themeColor="accent2"/>
              </w:rPr>
              <w:t xml:space="preserve"> completes the consent process for this operation with the surgeon, acknowledging the risk of post-surgery bleeding. </w:t>
            </w:r>
            <w:r w:rsidRPr="6D8EA91F" w:rsidR="37CBA25D">
              <w:rPr>
                <w:color w:val="007586" w:themeColor="accent2"/>
              </w:rPr>
              <w:t>Terry</w:t>
            </w:r>
            <w:r w:rsidRPr="6D8EA91F" w:rsidR="15C7063C">
              <w:rPr>
                <w:color w:val="007586" w:themeColor="accent2"/>
              </w:rPr>
              <w:t xml:space="preserve"> has the surgery without complication and returns to the ward for recovery. </w:t>
            </w:r>
          </w:p>
        </w:tc>
      </w:tr>
      <w:tr w:rsidR="0F28D20C" w:rsidTr="1977F94D" w14:paraId="4D7EBFEE" w14:textId="77777777">
        <w:trPr>
          <w:trHeight w:val="4530"/>
        </w:trPr>
        <w:tc>
          <w:tcPr>
            <w:tcW w:w="5175" w:type="dxa"/>
            <w:tcBorders>
              <w:top w:val="single" w:color="auto" w:sz="8" w:space="0"/>
              <w:left w:val="single" w:color="auto" w:sz="8" w:space="0"/>
              <w:bottom w:val="single" w:color="auto" w:sz="8" w:space="0"/>
              <w:right w:val="single" w:color="auto" w:sz="8" w:space="0"/>
            </w:tcBorders>
            <w:shd w:val="clear" w:color="auto" w:fill="EDF5F7" w:themeFill="background2"/>
          </w:tcPr>
          <w:p w:rsidRPr="005D3DA4" w:rsidR="1C92F3EC" w:rsidP="6D32F7FD" w:rsidRDefault="1C92F3EC" w14:paraId="0FFA5ECB" w14:textId="0ECE09A5">
            <w:pPr>
              <w:pStyle w:val="SCVpullouttext"/>
              <w:rPr>
                <w:b/>
                <w:bCs/>
                <w:color w:val="007586" w:themeColor="accent2"/>
              </w:rPr>
            </w:pPr>
            <w:r w:rsidRPr="005D3DA4">
              <w:rPr>
                <w:b/>
                <w:bCs/>
                <w:color w:val="007586" w:themeColor="accent2"/>
              </w:rPr>
              <w:t>Scenario A:</w:t>
            </w:r>
          </w:p>
          <w:p w:rsidR="2CFF4313" w:rsidP="337E1F75" w:rsidRDefault="2CFF4313" w14:paraId="1D987EBD" w14:textId="2BE51D98">
            <w:pPr>
              <w:pStyle w:val="SCVpullouttext"/>
              <w:rPr>
                <w:color w:val="007586" w:themeColor="accent2"/>
              </w:rPr>
            </w:pPr>
            <w:r w:rsidRPr="6D8EA91F">
              <w:rPr>
                <w:color w:val="007586" w:themeColor="accent2"/>
              </w:rPr>
              <w:t xml:space="preserve">As part of routine post-surgical monitoring the nursing staff identify evidence of bleeding and </w:t>
            </w:r>
            <w:r w:rsidRPr="4EBCF9A3" w:rsidR="42AC8A27">
              <w:rPr>
                <w:color w:val="007586" w:themeColor="accent2"/>
              </w:rPr>
              <w:t xml:space="preserve">the </w:t>
            </w:r>
            <w:r w:rsidRPr="4EBCF9A3">
              <w:rPr>
                <w:color w:val="007586" w:themeColor="accent2"/>
              </w:rPr>
              <w:t>development</w:t>
            </w:r>
            <w:r w:rsidRPr="6D8EA91F">
              <w:rPr>
                <w:color w:val="007586" w:themeColor="accent2"/>
              </w:rPr>
              <w:t xml:space="preserve"> of a haematoma. The surgeon is notified and reviews Terry immediately. Given the risk of the haematoma to Terry’s airway, the surgeon recommends a return to surgery to decompress the haematoma and manage bleeding. This progresses without complication and Terry’s recovery </w:t>
            </w:r>
            <w:bookmarkStart w:name="_Int_d54ePqEW" w:id="17"/>
            <w:r w:rsidRPr="6D8EA91F">
              <w:rPr>
                <w:color w:val="007586" w:themeColor="accent2"/>
              </w:rPr>
              <w:t>is</w:t>
            </w:r>
            <w:bookmarkEnd w:id="17"/>
            <w:r w:rsidRPr="6D8EA91F">
              <w:rPr>
                <w:color w:val="007586" w:themeColor="accent2"/>
              </w:rPr>
              <w:t xml:space="preserve"> otherwise uneventful. Terry makes a full recovery.  </w:t>
            </w:r>
          </w:p>
          <w:p w:rsidR="2CFF4313" w:rsidP="46E249D7" w:rsidRDefault="11837A4E" w14:paraId="7903F7F8" w14:textId="00B0DBD9">
            <w:pPr>
              <w:pStyle w:val="SCVpullouttext"/>
              <w:rPr>
                <w:color w:val="007586" w:themeColor="accent2"/>
              </w:rPr>
            </w:pPr>
            <w:r w:rsidRPr="1977F94D">
              <w:rPr>
                <w:color w:val="007586" w:themeColor="accent2"/>
              </w:rPr>
              <w:t xml:space="preserve">This event is not considered a SAPSE, and </w:t>
            </w:r>
            <w:r w:rsidRPr="1977F94D">
              <w:rPr>
                <w:b/>
                <w:bCs/>
                <w:color w:val="007586" w:themeColor="accent2"/>
                <w:u w:val="single"/>
              </w:rPr>
              <w:t>therefore does not trigger the SDC</w:t>
            </w:r>
            <w:r w:rsidRPr="1977F94D">
              <w:rPr>
                <w:color w:val="007586" w:themeColor="accent2"/>
              </w:rPr>
              <w:t>, as post-operative bleeding is an acknowledged risk of this procedure</w:t>
            </w:r>
            <w:r w:rsidRPr="1977F94D" w:rsidR="1A9A8D7B">
              <w:rPr>
                <w:color w:val="007586" w:themeColor="accent2"/>
              </w:rPr>
              <w:t>, and m</w:t>
            </w:r>
            <w:r w:rsidRPr="1977F94D">
              <w:rPr>
                <w:color w:val="007586" w:themeColor="accent2"/>
              </w:rPr>
              <w:t xml:space="preserve">onitoring, escalation and management was appropriate post identification of the developing haematoma.  </w:t>
            </w:r>
          </w:p>
          <w:p w:rsidR="0F28D20C" w:rsidP="3DF6DAE5" w:rsidRDefault="11837A4E" w14:paraId="0986D7EF" w14:textId="53B11242">
            <w:pPr>
              <w:pStyle w:val="SCVpullouttext"/>
              <w:rPr>
                <w:color w:val="007586" w:themeColor="accent2"/>
              </w:rPr>
            </w:pPr>
            <w:r w:rsidRPr="1977F94D">
              <w:rPr>
                <w:color w:val="007586" w:themeColor="accent2"/>
              </w:rPr>
              <w:t xml:space="preserve">Although the health service should complete open disclosure in this circumstance, </w:t>
            </w:r>
            <w:r w:rsidRPr="1977F94D" w:rsidR="7FC980F6">
              <w:rPr>
                <w:color w:val="007586" w:themeColor="accent2"/>
              </w:rPr>
              <w:t>the</w:t>
            </w:r>
            <w:r w:rsidRPr="1977F94D">
              <w:rPr>
                <w:color w:val="007586" w:themeColor="accent2"/>
              </w:rPr>
              <w:t xml:space="preserve"> SDC </w:t>
            </w:r>
            <w:r w:rsidRPr="1977F94D" w:rsidR="7FC980F6">
              <w:rPr>
                <w:color w:val="007586" w:themeColor="accent2"/>
              </w:rPr>
              <w:t xml:space="preserve">requirements </w:t>
            </w:r>
            <w:r w:rsidRPr="1977F94D">
              <w:rPr>
                <w:color w:val="007586" w:themeColor="accent2"/>
              </w:rPr>
              <w:t>are not mandated.</w:t>
            </w:r>
          </w:p>
        </w:tc>
        <w:tc>
          <w:tcPr>
            <w:tcW w:w="5355" w:type="dxa"/>
            <w:tcBorders>
              <w:top w:val="single" w:color="auto" w:sz="4" w:space="0"/>
              <w:left w:val="single" w:color="auto" w:sz="8" w:space="0"/>
              <w:bottom w:val="single" w:color="auto" w:sz="8" w:space="0"/>
              <w:right w:val="single" w:color="auto" w:sz="8" w:space="0"/>
            </w:tcBorders>
            <w:shd w:val="clear" w:color="auto" w:fill="EDF5F7" w:themeFill="background2"/>
          </w:tcPr>
          <w:p w:rsidRPr="005D3DA4" w:rsidR="65E4DA5C" w:rsidP="6F7901D6" w:rsidRDefault="65E4DA5C" w14:paraId="24EE9EEE" w14:textId="0A72587D">
            <w:pPr>
              <w:spacing w:line="257" w:lineRule="auto"/>
              <w:rPr>
                <w:b/>
                <w:bCs/>
                <w:color w:val="007586" w:themeColor="accent2"/>
              </w:rPr>
            </w:pPr>
            <w:r w:rsidRPr="005D3DA4">
              <w:rPr>
                <w:b/>
                <w:bCs/>
                <w:color w:val="007586" w:themeColor="accent2"/>
              </w:rPr>
              <w:t>Scenario B:</w:t>
            </w:r>
          </w:p>
          <w:p w:rsidR="424BC5CD" w:rsidP="4EA17461" w:rsidRDefault="5C4CFF3E" w14:paraId="15915181" w14:textId="624EE5C8">
            <w:pPr>
              <w:spacing w:line="257" w:lineRule="auto"/>
              <w:rPr>
                <w:color w:val="007586" w:themeColor="accent2"/>
              </w:rPr>
            </w:pPr>
            <w:r w:rsidRPr="1977F94D">
              <w:rPr>
                <w:color w:val="007586" w:themeColor="accent2"/>
              </w:rPr>
              <w:t xml:space="preserve">There is an emergency on the ward and </w:t>
            </w:r>
            <w:r w:rsidRPr="1977F94D" w:rsidR="2C6B1C9A">
              <w:rPr>
                <w:color w:val="007586" w:themeColor="accent2"/>
              </w:rPr>
              <w:t>nursing</w:t>
            </w:r>
            <w:r w:rsidRPr="1977F94D">
              <w:rPr>
                <w:color w:val="007586" w:themeColor="accent2"/>
              </w:rPr>
              <w:t xml:space="preserve"> staff fail to complete </w:t>
            </w:r>
            <w:r w:rsidRPr="1977F94D" w:rsidR="62F272F0">
              <w:rPr>
                <w:color w:val="007586" w:themeColor="accent2"/>
              </w:rPr>
              <w:t>Terry’s</w:t>
            </w:r>
            <w:r w:rsidRPr="1977F94D">
              <w:rPr>
                <w:color w:val="007586" w:themeColor="accent2"/>
              </w:rPr>
              <w:t xml:space="preserve"> </w:t>
            </w:r>
            <w:r w:rsidRPr="1977F94D" w:rsidR="7AA5C102">
              <w:rPr>
                <w:color w:val="007586" w:themeColor="accent2"/>
              </w:rPr>
              <w:t xml:space="preserve">post-surgical </w:t>
            </w:r>
            <w:r w:rsidRPr="1977F94D" w:rsidR="53B855D3">
              <w:rPr>
                <w:color w:val="007586" w:themeColor="accent2"/>
              </w:rPr>
              <w:t xml:space="preserve">wound </w:t>
            </w:r>
            <w:r w:rsidRPr="1977F94D" w:rsidR="354CA18E">
              <w:rPr>
                <w:color w:val="007586" w:themeColor="accent2"/>
              </w:rPr>
              <w:t>monitoring</w:t>
            </w:r>
            <w:r w:rsidRPr="1977F94D" w:rsidR="53B855D3">
              <w:rPr>
                <w:color w:val="007586" w:themeColor="accent2"/>
              </w:rPr>
              <w:t xml:space="preserve"> and clinical </w:t>
            </w:r>
            <w:r w:rsidRPr="1977F94D" w:rsidR="1509849B">
              <w:rPr>
                <w:color w:val="007586" w:themeColor="accent2"/>
              </w:rPr>
              <w:t xml:space="preserve">post-operative </w:t>
            </w:r>
            <w:r w:rsidRPr="1977F94D" w:rsidR="53B855D3">
              <w:rPr>
                <w:color w:val="007586" w:themeColor="accent2"/>
              </w:rPr>
              <w:t>observations</w:t>
            </w:r>
            <w:r w:rsidRPr="1977F94D">
              <w:rPr>
                <w:color w:val="007586" w:themeColor="accent2"/>
              </w:rPr>
              <w:t xml:space="preserve">. Several hours later </w:t>
            </w:r>
            <w:r w:rsidRPr="1977F94D" w:rsidR="01B48561">
              <w:rPr>
                <w:color w:val="007586" w:themeColor="accent2"/>
              </w:rPr>
              <w:t>Terry</w:t>
            </w:r>
            <w:r w:rsidRPr="1977F94D">
              <w:rPr>
                <w:color w:val="007586" w:themeColor="accent2"/>
              </w:rPr>
              <w:t xml:space="preserve"> presses the call bell to inform staff of </w:t>
            </w:r>
            <w:r w:rsidRPr="1977F94D" w:rsidR="4366DC8B">
              <w:rPr>
                <w:color w:val="007586" w:themeColor="accent2"/>
              </w:rPr>
              <w:t xml:space="preserve">breathing </w:t>
            </w:r>
            <w:r w:rsidRPr="1977F94D">
              <w:rPr>
                <w:color w:val="007586" w:themeColor="accent2"/>
              </w:rPr>
              <w:t xml:space="preserve">difficulty. Nursing staff recognise that the </w:t>
            </w:r>
            <w:r w:rsidRPr="1977F94D" w:rsidR="46EEC59F">
              <w:rPr>
                <w:color w:val="007586" w:themeColor="accent2"/>
              </w:rPr>
              <w:t xml:space="preserve">wound </w:t>
            </w:r>
            <w:r w:rsidRPr="1977F94D">
              <w:rPr>
                <w:color w:val="007586" w:themeColor="accent2"/>
              </w:rPr>
              <w:t>drain is not functioning</w:t>
            </w:r>
            <w:r w:rsidRPr="1977F94D" w:rsidR="71CDE265">
              <w:rPr>
                <w:color w:val="007586" w:themeColor="accent2"/>
              </w:rPr>
              <w:t>,</w:t>
            </w:r>
            <w:r w:rsidRPr="1977F94D">
              <w:rPr>
                <w:color w:val="007586" w:themeColor="accent2"/>
              </w:rPr>
              <w:t xml:space="preserve"> and a large haematoma has developed, compromising </w:t>
            </w:r>
            <w:r w:rsidRPr="1977F94D" w:rsidR="65F6199F">
              <w:rPr>
                <w:color w:val="007586" w:themeColor="accent2"/>
              </w:rPr>
              <w:t>Terry’s</w:t>
            </w:r>
            <w:r w:rsidRPr="1977F94D">
              <w:rPr>
                <w:color w:val="007586" w:themeColor="accent2"/>
              </w:rPr>
              <w:t xml:space="preserve"> breathing. </w:t>
            </w:r>
            <w:r w:rsidRPr="1977F94D" w:rsidR="68DE25C7">
              <w:rPr>
                <w:color w:val="007586" w:themeColor="accent2"/>
              </w:rPr>
              <w:t>Terry</w:t>
            </w:r>
            <w:r w:rsidRPr="1977F94D">
              <w:rPr>
                <w:color w:val="007586" w:themeColor="accent2"/>
              </w:rPr>
              <w:t xml:space="preserve"> is reviewed by the surgeon who immediately transfers </w:t>
            </w:r>
            <w:r w:rsidRPr="1977F94D" w:rsidR="4675B223">
              <w:rPr>
                <w:color w:val="007586" w:themeColor="accent2"/>
              </w:rPr>
              <w:t>Terry</w:t>
            </w:r>
            <w:r w:rsidRPr="1977F94D">
              <w:rPr>
                <w:color w:val="007586" w:themeColor="accent2"/>
              </w:rPr>
              <w:t xml:space="preserve"> to surgery. The haematoma is successfully decompressed, bleeding controlled and drain re-sited. </w:t>
            </w:r>
            <w:r w:rsidRPr="1977F94D" w:rsidR="04F1209A">
              <w:rPr>
                <w:color w:val="007586" w:themeColor="accent2"/>
              </w:rPr>
              <w:t>Terry requires admission to the intensive care unit for monitoring</w:t>
            </w:r>
            <w:r w:rsidRPr="1977F94D" w:rsidR="142F21A6">
              <w:rPr>
                <w:color w:val="007586" w:themeColor="accent2"/>
              </w:rPr>
              <w:t xml:space="preserve"> of his airway</w:t>
            </w:r>
            <w:r w:rsidRPr="1977F94D" w:rsidR="2EED94A6">
              <w:rPr>
                <w:color w:val="007586" w:themeColor="accent2"/>
              </w:rPr>
              <w:t>,</w:t>
            </w:r>
            <w:r w:rsidRPr="1977F94D" w:rsidR="04F1209A">
              <w:rPr>
                <w:color w:val="007586" w:themeColor="accent2"/>
              </w:rPr>
              <w:t xml:space="preserve"> but </w:t>
            </w:r>
            <w:r w:rsidRPr="1977F94D">
              <w:rPr>
                <w:color w:val="007586" w:themeColor="accent2"/>
              </w:rPr>
              <w:t xml:space="preserve">recovery progresses </w:t>
            </w:r>
            <w:r w:rsidRPr="1977F94D" w:rsidR="47A13B36">
              <w:rPr>
                <w:color w:val="007586" w:themeColor="accent2"/>
              </w:rPr>
              <w:t xml:space="preserve">otherwise </w:t>
            </w:r>
            <w:r w:rsidRPr="1977F94D">
              <w:rPr>
                <w:color w:val="007586" w:themeColor="accent2"/>
              </w:rPr>
              <w:t xml:space="preserve">without complication. </w:t>
            </w:r>
          </w:p>
          <w:p w:rsidR="0F28D20C" w:rsidP="3DF6DAE5" w:rsidRDefault="5C4CFF3E" w14:paraId="6E6811D8" w14:textId="5830A2DD">
            <w:pPr>
              <w:spacing w:line="257" w:lineRule="auto"/>
              <w:rPr>
                <w:color w:val="007586" w:themeColor="accent2"/>
              </w:rPr>
            </w:pPr>
            <w:r w:rsidRPr="1977F94D">
              <w:rPr>
                <w:color w:val="007586" w:themeColor="accent2"/>
              </w:rPr>
              <w:t xml:space="preserve">This event is a SAPSE, and </w:t>
            </w:r>
            <w:r w:rsidRPr="1977F94D">
              <w:rPr>
                <w:b/>
                <w:bCs/>
                <w:color w:val="007586" w:themeColor="accent2"/>
                <w:u w:val="single"/>
              </w:rPr>
              <w:t>therefore requires SDC</w:t>
            </w:r>
            <w:r w:rsidRPr="1977F94D">
              <w:rPr>
                <w:color w:val="007586" w:themeColor="accent2"/>
              </w:rPr>
              <w:t xml:space="preserve">, because </w:t>
            </w:r>
            <w:r w:rsidRPr="1977F94D" w:rsidR="3FD56A44">
              <w:rPr>
                <w:color w:val="007586" w:themeColor="accent2"/>
              </w:rPr>
              <w:t>Terry</w:t>
            </w:r>
            <w:r w:rsidRPr="1977F94D">
              <w:rPr>
                <w:color w:val="007586" w:themeColor="accent2"/>
              </w:rPr>
              <w:t xml:space="preserve"> required a moderate increase in treatment, therefore sustaining ‘moderate’ harm. In this instance</w:t>
            </w:r>
            <w:r w:rsidRPr="1977F94D" w:rsidR="7D7CA386">
              <w:rPr>
                <w:color w:val="007586" w:themeColor="accent2"/>
              </w:rPr>
              <w:t>,</w:t>
            </w:r>
            <w:r w:rsidRPr="1977F94D">
              <w:rPr>
                <w:color w:val="007586" w:themeColor="accent2"/>
              </w:rPr>
              <w:t xml:space="preserve"> the harm resulted from a process failure (post-surgical monitoring).</w:t>
            </w:r>
          </w:p>
          <w:p w:rsidR="001049E0" w:rsidP="3DF6DAE5" w:rsidRDefault="001049E0" w14:paraId="708ED505" w14:textId="391AA99F">
            <w:pPr>
              <w:spacing w:line="257" w:lineRule="auto"/>
              <w:rPr>
                <w:color w:val="007586" w:themeColor="accent2"/>
              </w:rPr>
            </w:pPr>
            <w:r w:rsidRPr="001049E0">
              <w:rPr>
                <w:color w:val="007586" w:themeColor="text2"/>
              </w:rPr>
              <w:t xml:space="preserve">See the </w:t>
            </w:r>
            <w:hyperlink r:id="rId31">
              <w:r w:rsidRPr="001049E0">
                <w:rPr>
                  <w:rStyle w:val="Hyperlink"/>
                  <w:b/>
                  <w:bCs/>
                  <w:i/>
                  <w:iCs/>
                </w:rPr>
                <w:t>Victorian Duty of Candour Guidelines</w:t>
              </w:r>
            </w:hyperlink>
            <w:r>
              <w:rPr>
                <w:rStyle w:val="Hyperlink"/>
                <w:i/>
                <w:iCs/>
              </w:rPr>
              <w:t xml:space="preserve"> </w:t>
            </w:r>
            <w:r w:rsidRPr="001049E0">
              <w:rPr>
                <w:color w:val="007586" w:themeColor="text2"/>
              </w:rPr>
              <w:t>for more information.</w:t>
            </w:r>
          </w:p>
        </w:tc>
      </w:tr>
    </w:tbl>
    <w:p w:rsidRPr="00935DAF" w:rsidR="000D6902" w:rsidP="000D6902" w:rsidRDefault="683A5996" w14:paraId="4D853F0E" w14:textId="198F77D1">
      <w:pPr>
        <w:pStyle w:val="Heading4"/>
        <w:rPr>
          <w:sz w:val="22"/>
          <w:szCs w:val="22"/>
        </w:rPr>
      </w:pPr>
      <w:r w:rsidRPr="30C4F524">
        <w:rPr>
          <w:sz w:val="22"/>
          <w:szCs w:val="22"/>
        </w:rPr>
        <w:t xml:space="preserve">Restrictive interventions </w:t>
      </w:r>
    </w:p>
    <w:p w:rsidR="67067CE0" w:rsidP="30C4F524" w:rsidRDefault="67067CE0" w14:paraId="668879D0" w14:textId="65C9B481">
      <w:pPr>
        <w:pStyle w:val="SCVbody"/>
        <w:spacing w:before="120" w:after="120"/>
      </w:pPr>
      <w:r>
        <w:t xml:space="preserve">Restrictive interventions (the use of bodily restraint and seclusion) may be used in designated health services if the requirements of the </w:t>
      </w:r>
      <w:r w:rsidRPr="124F9F47">
        <w:rPr>
          <w:i/>
          <w:iCs/>
        </w:rPr>
        <w:t>Mental Health Act 2014</w:t>
      </w:r>
      <w:r>
        <w:t xml:space="preserve"> are met. Restrictive interventions can be used where it is necessary to prevent imminent and serious harm to the person or to another person</w:t>
      </w:r>
      <w:r w:rsidR="118D773A">
        <w:t xml:space="preserve"> or in the case of bodily restraint—to administer treatment or medical treatment to the person</w:t>
      </w:r>
      <w:r>
        <w:t>. There is broad agreement that the experience of being restrained and secluded can be profoundly distressing and traumatic for consumers, and steps are being taken in Victoria with the aim of eliminating these practices within 10 years as recommended by the Royal Commission into Victoria’s Mental Health System</w:t>
      </w:r>
      <w:r w:rsidR="11FC2E0A">
        <w:t xml:space="preserve">. See the Department of Health website on the Framework for reducing restrictive interventions: </w:t>
      </w:r>
      <w:hyperlink r:id="rId32">
        <w:r w:rsidRPr="124F9F47" w:rsidR="11FC2E0A">
          <w:rPr>
            <w:rStyle w:val="Hyperlink"/>
          </w:rPr>
          <w:t>Framework for reducing restrictive interventions (health.vic.gov.au)</w:t>
        </w:r>
      </w:hyperlink>
      <w:r w:rsidR="11FC2E0A">
        <w:t>.</w:t>
      </w:r>
    </w:p>
    <w:p w:rsidR="67067CE0" w:rsidP="30C4F524" w:rsidRDefault="67067CE0" w14:paraId="77EEAC00" w14:textId="59BCB38F">
      <w:pPr>
        <w:pStyle w:val="SCVbody"/>
        <w:spacing w:before="120" w:after="120"/>
      </w:pPr>
      <w:r>
        <w:t xml:space="preserve">A restrictive intervention would </w:t>
      </w:r>
      <w:r w:rsidR="09A84E95">
        <w:t>be unlikely to</w:t>
      </w:r>
      <w:r>
        <w:t xml:space="preserve"> constitute a SAPSE if a consumer experienced psychological harm as </w:t>
      </w:r>
      <w:r w:rsidR="79E4954D">
        <w:t>it is not an</w:t>
      </w:r>
      <w:r>
        <w:t xml:space="preserve"> </w:t>
      </w:r>
      <w:r w:rsidR="49E873D7">
        <w:t xml:space="preserve">unexpected harm </w:t>
      </w:r>
      <w:r>
        <w:t>of the use of restrictive interventions. However, a restrictive intervention could constitute a SAPSE if the consumer experienced harm that was not expected to arise from these practices. Examples include if a consumer’s arm was broken during the use of restraint, or if a consumer was found un</w:t>
      </w:r>
      <w:r w:rsidR="5AF5AE6E">
        <w:t xml:space="preserve">responsive </w:t>
      </w:r>
      <w:r>
        <w:t>after a period of seclusion</w:t>
      </w:r>
      <w:r w:rsidR="61F7466E">
        <w:t>.</w:t>
      </w:r>
    </w:p>
    <w:p w:rsidR="006B73F4" w:rsidP="005126C8" w:rsidRDefault="76B81556" w14:paraId="660C790E" w14:textId="3B952BEC">
      <w:pPr>
        <w:pStyle w:val="Heading3"/>
      </w:pPr>
      <w:r>
        <w:t>Severe harm</w:t>
      </w:r>
    </w:p>
    <w:p w:rsidR="00CC735A" w:rsidP="00CC735A" w:rsidRDefault="00E92A97" w14:paraId="1D815550" w14:textId="04183574">
      <w:pPr>
        <w:pStyle w:val="SCVbody"/>
      </w:pPr>
      <w:r>
        <w:t xml:space="preserve">The </w:t>
      </w:r>
      <w:r w:rsidRPr="7068FF33">
        <w:rPr>
          <w:i/>
          <w:iCs/>
        </w:rPr>
        <w:t>Health Services (Quality and Safety) Regulations 202</w:t>
      </w:r>
      <w:r>
        <w:rPr>
          <w:i/>
          <w:iCs/>
        </w:rPr>
        <w:t>0</w:t>
      </w:r>
      <w:r w:rsidRPr="7068FF33">
        <w:rPr>
          <w:i/>
          <w:iCs/>
        </w:rPr>
        <w:t xml:space="preserve"> </w:t>
      </w:r>
      <w:r w:rsidR="007B1244">
        <w:t>defines</w:t>
      </w:r>
      <w:r w:rsidRPr="7068FF33">
        <w:t xml:space="preserve"> </w:t>
      </w:r>
      <w:r>
        <w:t>‘severe’ harm as</w:t>
      </w:r>
      <w:r w:rsidR="006139FD">
        <w:t xml:space="preserve"> </w:t>
      </w:r>
      <w:r w:rsidR="5E3797DE">
        <w:t>harm that causes a permanent lessening in functioning of an individual that is unrelated to the natural course of a person’s illness or underlying condition. Severe harm can lead to a person experiencing a permanent impairment or disability, or death.</w:t>
      </w:r>
    </w:p>
    <w:p w:rsidR="00D548F0" w:rsidP="00CC735A" w:rsidRDefault="43CA26D3" w14:paraId="0FDE48A7" w14:textId="37DD0ECA">
      <w:pPr>
        <w:pStyle w:val="SCVbody"/>
      </w:pPr>
      <w:r>
        <w:t xml:space="preserve">In VHIMS, this </w:t>
      </w:r>
      <w:r w:rsidR="00082932">
        <w:t xml:space="preserve">level </w:t>
      </w:r>
      <w:r>
        <w:t>of harm corresponds to a</w:t>
      </w:r>
      <w:r w:rsidR="2FDC30A9">
        <w:t>n ISR</w:t>
      </w:r>
      <w:r w:rsidR="5A1C6577">
        <w:t xml:space="preserve"> </w:t>
      </w:r>
      <w:r w:rsidR="2FDC30A9">
        <w:t>1 rating.</w:t>
      </w:r>
      <w:r w:rsidR="1484DC08">
        <w:t xml:space="preserve"> </w:t>
      </w:r>
      <w:r w:rsidR="709E4DF2">
        <w:t>Severe harm</w:t>
      </w:r>
      <w:r w:rsidR="6A084A0D">
        <w:t xml:space="preserve"> is considered to have occurred if the patient has</w:t>
      </w:r>
      <w:r w:rsidR="73A6D8CE">
        <w:t xml:space="preserve"> experienced</w:t>
      </w:r>
      <w:r w:rsidR="6A084A0D">
        <w:t>, or is likely to</w:t>
      </w:r>
      <w:r w:rsidR="73A6D8CE">
        <w:t xml:space="preserve"> experience</w:t>
      </w:r>
      <w:r w:rsidR="6A084A0D">
        <w:t>:</w:t>
      </w:r>
    </w:p>
    <w:p w:rsidR="00117F5F" w:rsidP="7068FF33" w:rsidRDefault="04CE9D1D" w14:paraId="17DA4207" w14:textId="4FCF4830">
      <w:pPr>
        <w:pStyle w:val="SCVbullet1"/>
        <w:numPr>
          <w:ilvl w:val="0"/>
          <w:numId w:val="14"/>
        </w:numPr>
      </w:pPr>
      <w:r>
        <w:t xml:space="preserve">an </w:t>
      </w:r>
      <w:r w:rsidRPr="7068FF33" w:rsidR="6899B382">
        <w:rPr>
          <w:i/>
          <w:iCs/>
        </w:rPr>
        <w:t>unexpected</w:t>
      </w:r>
      <w:r w:rsidRPr="7068FF33">
        <w:rPr>
          <w:i/>
          <w:iCs/>
        </w:rPr>
        <w:t xml:space="preserve"> </w:t>
      </w:r>
      <w:r>
        <w:t>duration of</w:t>
      </w:r>
      <w:r w:rsidR="6899B382">
        <w:t xml:space="preserve"> pain (</w:t>
      </w:r>
      <w:r w:rsidR="7E5739C1">
        <w:t xml:space="preserve">beyond 3 months), </w:t>
      </w:r>
      <w:r w:rsidR="6899B382">
        <w:t>that</w:t>
      </w:r>
      <w:r w:rsidR="05B1BD07">
        <w:t xml:space="preserve"> impairs the patient’s ability to return to pre-event level of function (persistent pain)</w:t>
      </w:r>
    </w:p>
    <w:p w:rsidR="009322BA" w:rsidP="7068FF33" w:rsidRDefault="2B46FBDB" w14:paraId="1D1F2058" w14:textId="13708C35">
      <w:pPr>
        <w:pStyle w:val="SCVbullet1"/>
        <w:numPr>
          <w:ilvl w:val="0"/>
          <w:numId w:val="14"/>
        </w:numPr>
      </w:pPr>
      <w:r>
        <w:t>a need for</w:t>
      </w:r>
      <w:r w:rsidR="418C2276">
        <w:t xml:space="preserve"> life-saving surgical or medical intervention</w:t>
      </w:r>
    </w:p>
    <w:p w:rsidR="009322BA" w:rsidP="7068FF33" w:rsidRDefault="0C67B9FC" w14:paraId="00FAB833" w14:textId="7E6B2356">
      <w:pPr>
        <w:pStyle w:val="SCVbullet1"/>
        <w:numPr>
          <w:ilvl w:val="0"/>
          <w:numId w:val="14"/>
        </w:numPr>
      </w:pPr>
      <w:r>
        <w:t xml:space="preserve">a </w:t>
      </w:r>
      <w:r w:rsidR="557D7C9E">
        <w:t>s</w:t>
      </w:r>
      <w:r w:rsidR="229DC674">
        <w:t>horte</w:t>
      </w:r>
      <w:r w:rsidR="6D56350C">
        <w:t>ne</w:t>
      </w:r>
      <w:r w:rsidR="229DC674">
        <w:t>d life expectancy</w:t>
      </w:r>
    </w:p>
    <w:p w:rsidR="009322BA" w:rsidP="7068FF33" w:rsidRDefault="5C54396F" w14:paraId="3C7012B6" w14:textId="71A0D77F">
      <w:pPr>
        <w:pStyle w:val="SCVbullet1"/>
        <w:numPr>
          <w:ilvl w:val="0"/>
          <w:numId w:val="14"/>
        </w:numPr>
      </w:pPr>
      <w:r>
        <w:t>permanent or long-term loss of function or disability</w:t>
      </w:r>
    </w:p>
    <w:p w:rsidR="00F667FA" w:rsidP="7068FF33" w:rsidRDefault="2AB4B314" w14:paraId="69F0850B" w14:textId="4B1AE65E">
      <w:pPr>
        <w:pStyle w:val="SCVbullet1"/>
        <w:numPr>
          <w:ilvl w:val="0"/>
          <w:numId w:val="14"/>
        </w:numPr>
      </w:pPr>
      <w:r>
        <w:t>d</w:t>
      </w:r>
      <w:r w:rsidR="418C2276">
        <w:t xml:space="preserve">eath directly related to the </w:t>
      </w:r>
      <w:r w:rsidR="147314E2">
        <w:t xml:space="preserve">adverse event </w:t>
      </w:r>
      <w:r w:rsidR="7571E648">
        <w:t>and</w:t>
      </w:r>
      <w:r w:rsidR="418C2276">
        <w:t xml:space="preserve"> not due to </w:t>
      </w:r>
      <w:r w:rsidR="00622398">
        <w:t xml:space="preserve">a </w:t>
      </w:r>
      <w:r w:rsidR="418C2276">
        <w:t xml:space="preserve">natural cause or </w:t>
      </w:r>
      <w:r w:rsidR="00622398">
        <w:t xml:space="preserve">an </w:t>
      </w:r>
      <w:r w:rsidR="418C2276">
        <w:t>underlying condition</w:t>
      </w:r>
      <w:r>
        <w:t>.</w:t>
      </w:r>
    </w:p>
    <w:p w:rsidRPr="00935DAF" w:rsidR="00D23487" w:rsidP="00935DAF" w:rsidRDefault="00D23487" w14:paraId="26D6BBB7" w14:textId="77777777">
      <w:pPr>
        <w:pStyle w:val="Heading4"/>
        <w:rPr>
          <w:sz w:val="22"/>
          <w:szCs w:val="22"/>
        </w:rPr>
      </w:pPr>
      <w:r w:rsidRPr="00935DAF">
        <w:rPr>
          <w:sz w:val="22"/>
          <w:szCs w:val="22"/>
        </w:rPr>
        <w:t>Sentinel events</w:t>
      </w:r>
    </w:p>
    <w:p w:rsidR="00D23487" w:rsidP="00D23487" w:rsidRDefault="4EC6616D" w14:paraId="0A9D7EA6" w14:textId="1A83915D">
      <w:pPr>
        <w:pStyle w:val="SCVbullet1"/>
        <w:numPr>
          <w:ilvl w:val="0"/>
          <w:numId w:val="0"/>
        </w:numPr>
      </w:pPr>
      <w:r>
        <w:t xml:space="preserve">Sentinel events are a subset of a SAPSE </w:t>
      </w:r>
      <w:r w:rsidR="0755578E">
        <w:t>that</w:t>
      </w:r>
      <w:r w:rsidR="52C4CA7C">
        <w:t xml:space="preserve"> result in serious harm to, or death of, a patient</w:t>
      </w:r>
      <w:r w:rsidR="0755578E">
        <w:t>.</w:t>
      </w:r>
      <w:r w:rsidR="52C4CA7C">
        <w:t xml:space="preserve"> </w:t>
      </w:r>
      <w:r>
        <w:t>Sentinel events must be reported via the Safer Care Victoria sentinel events portal, along with the required review and reporting processes</w:t>
      </w:r>
      <w:r w:rsidR="667E172B">
        <w:t xml:space="preserve">, and the SDC process must occur for these </w:t>
      </w:r>
      <w:r w:rsidR="5A9C526F">
        <w:t>patients.</w:t>
      </w:r>
      <w:r>
        <w:t xml:space="preserve"> </w:t>
      </w:r>
    </w:p>
    <w:p w:rsidR="00205ECD" w:rsidP="00D23487" w:rsidRDefault="00205ECD" w14:paraId="5BDBCD80" w14:textId="091B3861">
      <w:pPr>
        <w:pStyle w:val="SCVbullet1"/>
        <w:numPr>
          <w:ilvl w:val="0"/>
          <w:numId w:val="0"/>
        </w:numPr>
      </w:pPr>
      <w:r>
        <w:t xml:space="preserve">See the Victorian </w:t>
      </w:r>
      <w:r w:rsidR="00C05769">
        <w:t>S</w:t>
      </w:r>
      <w:r>
        <w:t xml:space="preserve">entinel event guide for further information on the 11 subcategories, and what to report: </w:t>
      </w:r>
      <w:hyperlink w:history="1" r:id="rId33">
        <w:r w:rsidRPr="1977F94D" w:rsidR="006555BA">
          <w:rPr>
            <w:rStyle w:val="Hyperlink"/>
          </w:rPr>
          <w:t>Victorian sentinel events guide_0.pdf (safercare.vic.gov.au)</w:t>
        </w:r>
      </w:hyperlink>
      <w:r w:rsidR="006555BA">
        <w:t>.</w:t>
      </w:r>
    </w:p>
    <w:p w:rsidRPr="00935DAF" w:rsidR="00935DAF" w:rsidP="00935DAF" w:rsidRDefault="00935DAF" w14:paraId="55FA4AE5" w14:textId="3C18E34E">
      <w:pPr>
        <w:pStyle w:val="Heading4"/>
        <w:rPr>
          <w:sz w:val="22"/>
          <w:szCs w:val="22"/>
        </w:rPr>
      </w:pPr>
      <w:r w:rsidRPr="00935DAF">
        <w:rPr>
          <w:sz w:val="22"/>
          <w:szCs w:val="22"/>
        </w:rPr>
        <w:t>Reportable deaths to the Office of the Chief Psychiatrist (OCP)</w:t>
      </w:r>
    </w:p>
    <w:p w:rsidRPr="00956846" w:rsidR="00935DAF" w:rsidP="00935DAF" w:rsidRDefault="00935DAF" w14:paraId="7E180576" w14:textId="77777777">
      <w:pPr>
        <w:pStyle w:val="SCVbullet1"/>
        <w:numPr>
          <w:ilvl w:val="0"/>
          <w:numId w:val="0"/>
        </w:numPr>
      </w:pPr>
      <w:r w:rsidRPr="00956846">
        <w:t xml:space="preserve">There </w:t>
      </w:r>
      <w:r>
        <w:t xml:space="preserve">may be some instances where a reportable death to the OCP </w:t>
      </w:r>
      <w:r w:rsidRPr="00115E22">
        <w:rPr>
          <w:u w:val="single"/>
        </w:rPr>
        <w:t>may</w:t>
      </w:r>
      <w:r>
        <w:t xml:space="preserve"> also trigger the SDC. This </w:t>
      </w:r>
      <w:r w:rsidRPr="00E51319">
        <w:rPr>
          <w:u w:val="single"/>
        </w:rPr>
        <w:t>may</w:t>
      </w:r>
      <w:r>
        <w:t xml:space="preserve"> include but is not limited to:</w:t>
      </w:r>
    </w:p>
    <w:p w:rsidRPr="00956846" w:rsidR="00935DAF" w:rsidP="00935DAF" w:rsidRDefault="00935DAF" w14:paraId="7A966AA3" w14:textId="77777777">
      <w:pPr>
        <w:pStyle w:val="SCVbullet1"/>
        <w:numPr>
          <w:ilvl w:val="0"/>
          <w:numId w:val="71"/>
        </w:numPr>
      </w:pPr>
      <w:r>
        <w:t>death of an inpatient in a public mental health inpatient unit</w:t>
      </w:r>
    </w:p>
    <w:p w:rsidR="00935DAF" w:rsidP="00935DAF" w:rsidRDefault="00935DAF" w14:paraId="7785E945" w14:textId="77777777">
      <w:pPr>
        <w:pStyle w:val="SCVbullet1"/>
        <w:numPr>
          <w:ilvl w:val="0"/>
          <w:numId w:val="71"/>
        </w:numPr>
      </w:pPr>
      <w:r>
        <w:t>death of an inpatient on approved leave, or an inpatient who has absconded from the inpatient unit</w:t>
      </w:r>
    </w:p>
    <w:p w:rsidR="00935DAF" w:rsidP="00935DAF" w:rsidRDefault="00935DAF" w14:paraId="6752F838" w14:textId="77777777">
      <w:pPr>
        <w:pStyle w:val="SCVbullet1"/>
        <w:numPr>
          <w:ilvl w:val="0"/>
          <w:numId w:val="71"/>
        </w:numPr>
      </w:pPr>
      <w:r>
        <w:t>death of a mental health consumer on a non-psychiatric ward during a mental health admission.</w:t>
      </w:r>
    </w:p>
    <w:p w:rsidRPr="00956846" w:rsidR="00935DAF" w:rsidP="00935DAF" w:rsidRDefault="00935DAF" w14:paraId="75097BCB" w14:textId="77777777">
      <w:pPr>
        <w:pStyle w:val="SCVbullet1"/>
        <w:numPr>
          <w:ilvl w:val="0"/>
          <w:numId w:val="0"/>
        </w:numPr>
      </w:pPr>
      <w:r>
        <w:t xml:space="preserve">For such an event to meet the SAPSE definition, it must have occurred whilst the patient </w:t>
      </w:r>
      <w:r w:rsidRPr="00AB54AC">
        <w:t xml:space="preserve">was receiving health services from </w:t>
      </w:r>
      <w:r>
        <w:t xml:space="preserve">a </w:t>
      </w:r>
      <w:r w:rsidRPr="00AB54AC">
        <w:t>health service entity</w:t>
      </w:r>
      <w:r>
        <w:t xml:space="preserve"> and be unintended or unexpected harm.</w:t>
      </w:r>
    </w:p>
    <w:p w:rsidR="00935DAF" w:rsidP="00D23487" w:rsidRDefault="00935DAF" w14:paraId="6073CFDD" w14:textId="54012E68">
      <w:pPr>
        <w:pStyle w:val="SCVbullet1"/>
        <w:numPr>
          <w:ilvl w:val="0"/>
          <w:numId w:val="0"/>
        </w:numPr>
      </w:pPr>
      <w:r>
        <w:t xml:space="preserve">Please see the Reportable Deaths: Chief Psychiatrist’s Guideline, regarding reportable deaths to the OCP: </w:t>
      </w:r>
      <w:hyperlink r:id="rId34">
        <w:r w:rsidRPr="7CB09B24">
          <w:rPr>
            <w:rStyle w:val="Hyperlink"/>
          </w:rPr>
          <w:t>reportable-deaths-chief-psychiatrist-summary.pdf (health.vic.gov.au)</w:t>
        </w:r>
      </w:hyperlink>
      <w:r w:rsidRPr="7CB09B24">
        <w:rPr>
          <w:rStyle w:val="Hyperlink"/>
        </w:rPr>
        <w:t>.</w:t>
      </w:r>
      <w:r>
        <w:t xml:space="preserve"> </w:t>
      </w:r>
    </w:p>
    <w:p w:rsidRPr="00935DAF" w:rsidR="00F95DB1" w:rsidP="00F95DB1" w:rsidRDefault="003A7D84" w14:paraId="5D414278" w14:textId="7E6B2356">
      <w:pPr>
        <w:pStyle w:val="Heading4"/>
        <w:rPr>
          <w:sz w:val="22"/>
          <w:szCs w:val="22"/>
        </w:rPr>
      </w:pPr>
      <w:r w:rsidRPr="00935DAF">
        <w:rPr>
          <w:sz w:val="22"/>
          <w:szCs w:val="22"/>
        </w:rPr>
        <w:t>Serious Incident Response Scheme (</w:t>
      </w:r>
      <w:r w:rsidRPr="00935DAF" w:rsidR="00F95DB1">
        <w:rPr>
          <w:sz w:val="22"/>
          <w:szCs w:val="22"/>
        </w:rPr>
        <w:t>SIRS</w:t>
      </w:r>
      <w:r w:rsidRPr="00935DAF">
        <w:rPr>
          <w:sz w:val="22"/>
          <w:szCs w:val="22"/>
        </w:rPr>
        <w:t>)</w:t>
      </w:r>
    </w:p>
    <w:p w:rsidR="00F95DB1" w:rsidP="00F95DB1" w:rsidRDefault="003A7D84" w14:paraId="2A54615C" w14:textId="7E6B2356">
      <w:pPr>
        <w:pStyle w:val="SCVbullet1"/>
        <w:numPr>
          <w:ilvl w:val="0"/>
          <w:numId w:val="0"/>
        </w:numPr>
      </w:pPr>
      <w:r w:rsidRPr="003A7D84">
        <w:t>The Serious Incident Response Scheme (SIRS) is an initiative that helps prevent and reduce incidents of abuse and neglect in residential aged care services</w:t>
      </w:r>
      <w:r w:rsidR="004178FC">
        <w:t xml:space="preserve">. </w:t>
      </w:r>
      <w:r w:rsidR="00A439D3">
        <w:t>A</w:t>
      </w:r>
      <w:r w:rsidRPr="00A439D3" w:rsidR="00A439D3">
        <w:t xml:space="preserve"> health service entity that is also an approved provider for the purposes of the Commonwealth </w:t>
      </w:r>
      <w:r w:rsidRPr="00A439D3" w:rsidR="00A439D3">
        <w:rPr>
          <w:i/>
          <w:iCs/>
        </w:rPr>
        <w:t>Aged Care Act 1997</w:t>
      </w:r>
      <w:r w:rsidRPr="00A439D3" w:rsidR="00A439D3">
        <w:t xml:space="preserve"> will have to comply with both regulatory regimes</w:t>
      </w:r>
      <w:r w:rsidR="00A439D3">
        <w:t xml:space="preserve"> of SIRS and SDC. </w:t>
      </w:r>
      <w:r w:rsidR="00FF5830">
        <w:t>See the Australian Government site on SIRS</w:t>
      </w:r>
      <w:r w:rsidR="005B0700">
        <w:t>:</w:t>
      </w:r>
      <w:r w:rsidR="00FF5830">
        <w:t xml:space="preserve"> </w:t>
      </w:r>
      <w:hyperlink r:id="rId35">
        <w:r w:rsidRPr="05D1CE4A" w:rsidR="00FF5830">
          <w:rPr>
            <w:rStyle w:val="Hyperlink"/>
          </w:rPr>
          <w:t>Serious Incident Response Scheme (SIRS) | Australian Government Department of Health and Aged Care</w:t>
        </w:r>
      </w:hyperlink>
      <w:r w:rsidR="00FF5830">
        <w:t>.</w:t>
      </w:r>
    </w:p>
    <w:p w:rsidR="00D23487" w:rsidP="00F95DB1" w:rsidRDefault="00D23487" w14:paraId="529E4FA2" w14:textId="77777777">
      <w:pPr>
        <w:pStyle w:val="SCVbullet1"/>
        <w:numPr>
          <w:ilvl w:val="0"/>
          <w:numId w:val="0"/>
        </w:numPr>
      </w:pPr>
    </w:p>
    <w:tbl>
      <w:tblPr>
        <w:tblStyle w:val="SCVpulloutbox"/>
        <w:tblpPr w:leftFromText="181" w:rightFromText="181" w:vertAnchor="text" w:horzAnchor="margin" w:tblpY="68"/>
        <w:tblOverlap w:val="never"/>
        <w:tblW w:w="10432" w:type="dxa"/>
        <w:tblLook w:val="04A0" w:firstRow="1" w:lastRow="0" w:firstColumn="1" w:lastColumn="0" w:noHBand="0" w:noVBand="1"/>
      </w:tblPr>
      <w:tblGrid>
        <w:gridCol w:w="10432"/>
      </w:tblGrid>
      <w:tr w:rsidR="00D23487" w:rsidTr="1977F94D" w14:paraId="03630C5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2" w:type="dxa"/>
          </w:tcPr>
          <w:p w:rsidRPr="00EA5C15" w:rsidR="00D23487" w:rsidP="1977F94D" w:rsidRDefault="4EC6616D" w14:paraId="604715C1" w14:textId="067098C3">
            <w:pPr>
              <w:pStyle w:val="SCVpulloutheading"/>
              <w:rPr>
                <w:b/>
              </w:rPr>
            </w:pPr>
            <w:r w:rsidRPr="1977F94D">
              <w:rPr>
                <w:b/>
              </w:rPr>
              <w:t xml:space="preserve">Case example </w:t>
            </w:r>
            <w:r w:rsidRPr="1977F94D" w:rsidR="5A9369BC">
              <w:rPr>
                <w:b/>
              </w:rPr>
              <w:t>3</w:t>
            </w:r>
            <w:r w:rsidRPr="1977F94D">
              <w:rPr>
                <w:b/>
              </w:rPr>
              <w:t xml:space="preserve"> – Severe harm</w:t>
            </w:r>
          </w:p>
          <w:p w:rsidR="00D23487" w:rsidP="00D23487" w:rsidRDefault="4EC6616D" w14:paraId="48942C71" w14:textId="3A526A15">
            <w:pPr>
              <w:pStyle w:val="SCVpullouttext"/>
              <w:rPr>
                <w:b w:val="0"/>
                <w:bCs w:val="0"/>
              </w:rPr>
            </w:pPr>
            <w:r>
              <w:rPr>
                <w:b w:val="0"/>
                <w:bCs w:val="0"/>
              </w:rPr>
              <w:t xml:space="preserve">Sam is a 23-year-old football player with a leg bone deformity </w:t>
            </w:r>
            <w:r w:rsidR="75FEF7D2">
              <w:rPr>
                <w:b w:val="0"/>
                <w:bCs w:val="0"/>
              </w:rPr>
              <w:t>that</w:t>
            </w:r>
            <w:r>
              <w:rPr>
                <w:b w:val="0"/>
                <w:bCs w:val="0"/>
              </w:rPr>
              <w:t xml:space="preserve"> causes pain when </w:t>
            </w:r>
            <w:r w:rsidR="2E21E6ED">
              <w:rPr>
                <w:b w:val="0"/>
                <w:bCs w:val="0"/>
              </w:rPr>
              <w:t xml:space="preserve">walking or running. </w:t>
            </w:r>
            <w:r w:rsidR="305BB30C">
              <w:rPr>
                <w:b w:val="0"/>
                <w:bCs w:val="0"/>
              </w:rPr>
              <w:t>Sam</w:t>
            </w:r>
            <w:r w:rsidR="1309C28B">
              <w:rPr>
                <w:b w:val="0"/>
                <w:bCs w:val="0"/>
              </w:rPr>
              <w:t xml:space="preserve"> sees</w:t>
            </w:r>
            <w:r>
              <w:rPr>
                <w:b w:val="0"/>
                <w:bCs w:val="0"/>
              </w:rPr>
              <w:t xml:space="preserve"> an orthopaedic surgeon who explains that surgery, involving an overnight stay in hospital</w:t>
            </w:r>
            <w:r w:rsidR="305BB30C">
              <w:rPr>
                <w:b w:val="0"/>
                <w:bCs w:val="0"/>
              </w:rPr>
              <w:t>, is required.</w:t>
            </w:r>
            <w:r>
              <w:rPr>
                <w:b w:val="0"/>
                <w:bCs w:val="0"/>
              </w:rPr>
              <w:t xml:space="preserve"> Sam agrees and signs consent and the procedure is completed the following month. </w:t>
            </w:r>
          </w:p>
          <w:p w:rsidR="00D23487" w:rsidP="00D23487" w:rsidRDefault="00D23487" w14:paraId="6ADDE572" w14:textId="7B3F36A1">
            <w:pPr>
              <w:pStyle w:val="SCVpullouttext"/>
              <w:rPr>
                <w:b w:val="0"/>
                <w:bCs w:val="0"/>
              </w:rPr>
            </w:pPr>
            <w:r>
              <w:rPr>
                <w:b w:val="0"/>
                <w:bCs w:val="0"/>
              </w:rPr>
              <w:t xml:space="preserve">The surgery finishes at 8:30pm and Sam is taken back to the ward with patient-controlled analgesia (PCA). The only post-surgical clinical note states “neurovascular observations”. During the night, Sam complains of increasing leg pain, however the nurse  does not escalate Sam’s concerns. The overnight staff do not review Sam’s foot or perform neurovascular observations. </w:t>
            </w:r>
          </w:p>
          <w:p w:rsidR="00D23487" w:rsidP="00D23487" w:rsidRDefault="00D23487" w14:paraId="5DB84544" w14:textId="1B523D7E">
            <w:pPr>
              <w:pStyle w:val="SCVpullouttext"/>
              <w:rPr>
                <w:b w:val="0"/>
                <w:bCs w:val="0"/>
              </w:rPr>
            </w:pPr>
            <w:r>
              <w:rPr>
                <w:b w:val="0"/>
                <w:bCs w:val="0"/>
              </w:rPr>
              <w:t>In the morning</w:t>
            </w:r>
            <w:r w:rsidR="223D9E01">
              <w:rPr>
                <w:b w:val="0"/>
                <w:bCs w:val="0"/>
              </w:rPr>
              <w:t>,</w:t>
            </w:r>
            <w:r>
              <w:rPr>
                <w:b w:val="0"/>
                <w:bCs w:val="0"/>
              </w:rPr>
              <w:t xml:space="preserve"> the surgeon arrives to review the patient</w:t>
            </w:r>
            <w:r w:rsidR="4BC30CBC">
              <w:rPr>
                <w:b w:val="0"/>
                <w:bCs w:val="0"/>
              </w:rPr>
              <w:t>.</w:t>
            </w:r>
            <w:r>
              <w:rPr>
                <w:b w:val="0"/>
                <w:bCs w:val="0"/>
              </w:rPr>
              <w:t xml:space="preserve"> Sam </w:t>
            </w:r>
            <w:r w:rsidR="34B53EBD">
              <w:rPr>
                <w:b w:val="0"/>
                <w:bCs w:val="0"/>
              </w:rPr>
              <w:t xml:space="preserve">is distressed and </w:t>
            </w:r>
            <w:r>
              <w:rPr>
                <w:b w:val="0"/>
                <w:bCs w:val="0"/>
              </w:rPr>
              <w:t>explains the nurs</w:t>
            </w:r>
            <w:r w:rsidR="15B3C103">
              <w:rPr>
                <w:b w:val="0"/>
                <w:bCs w:val="0"/>
              </w:rPr>
              <w:t xml:space="preserve">ing staff </w:t>
            </w:r>
            <w:r>
              <w:rPr>
                <w:b w:val="0"/>
                <w:bCs w:val="0"/>
              </w:rPr>
              <w:t xml:space="preserve">did not believe the </w:t>
            </w:r>
            <w:r w:rsidR="4BC30CBC">
              <w:rPr>
                <w:b w:val="0"/>
                <w:bCs w:val="0"/>
              </w:rPr>
              <w:t>report</w:t>
            </w:r>
            <w:r w:rsidR="45EF7EF0">
              <w:rPr>
                <w:b w:val="0"/>
                <w:bCs w:val="0"/>
              </w:rPr>
              <w:t>ed</w:t>
            </w:r>
            <w:r>
              <w:rPr>
                <w:b w:val="0"/>
                <w:bCs w:val="0"/>
              </w:rPr>
              <w:t xml:space="preserve"> pain</w:t>
            </w:r>
            <w:r w:rsidR="3654B033">
              <w:rPr>
                <w:b w:val="0"/>
                <w:bCs w:val="0"/>
              </w:rPr>
              <w:t xml:space="preserve"> overnight</w:t>
            </w:r>
            <w:r w:rsidR="4BC30CBC">
              <w:rPr>
                <w:b w:val="0"/>
                <w:bCs w:val="0"/>
              </w:rPr>
              <w:t>.</w:t>
            </w:r>
            <w:r>
              <w:rPr>
                <w:b w:val="0"/>
                <w:bCs w:val="0"/>
              </w:rPr>
              <w:t xml:space="preserve"> The surgeon reviews Sam’s leg and makes a preliminary diagnosis of compartment syndrome, noting there is foot drop present. </w:t>
            </w:r>
          </w:p>
          <w:p w:rsidR="00D23487" w:rsidP="00D23487" w:rsidRDefault="00D23487" w14:paraId="01462F7A" w14:textId="06E6508C">
            <w:pPr>
              <w:pStyle w:val="SCVpullouttext"/>
              <w:rPr>
                <w:b w:val="0"/>
              </w:rPr>
            </w:pPr>
            <w:r>
              <w:rPr>
                <w:b w:val="0"/>
                <w:bCs w:val="0"/>
              </w:rPr>
              <w:t xml:space="preserve">The surgeon immediately prepares Sam for </w:t>
            </w:r>
            <w:r w:rsidR="57EFA17D">
              <w:rPr>
                <w:b w:val="0"/>
                <w:bCs w:val="0"/>
              </w:rPr>
              <w:t xml:space="preserve">urgent </w:t>
            </w:r>
            <w:r>
              <w:rPr>
                <w:b w:val="0"/>
                <w:bCs w:val="0"/>
              </w:rPr>
              <w:t>surgery and the SDC process is commenced. The nurse-in-charge apologise</w:t>
            </w:r>
            <w:r w:rsidR="4C6DE014">
              <w:rPr>
                <w:b w:val="0"/>
                <w:bCs w:val="0"/>
              </w:rPr>
              <w:t>s</w:t>
            </w:r>
            <w:r>
              <w:rPr>
                <w:b w:val="0"/>
                <w:bCs w:val="0"/>
              </w:rPr>
              <w:t xml:space="preserve"> for the interaction with the nurse overnight, and for the complication requiring a return to </w:t>
            </w:r>
            <w:r w:rsidR="1B4F5AF3">
              <w:rPr>
                <w:b w:val="0"/>
                <w:bCs w:val="0"/>
              </w:rPr>
              <w:t>surgery</w:t>
            </w:r>
            <w:r w:rsidR="4BC30CBC">
              <w:rPr>
                <w:b w:val="0"/>
                <w:bCs w:val="0"/>
              </w:rPr>
              <w:t>. The</w:t>
            </w:r>
            <w:r w:rsidDel="00D23487">
              <w:rPr>
                <w:b w:val="0"/>
                <w:bCs w:val="0"/>
              </w:rPr>
              <w:t xml:space="preserve"> </w:t>
            </w:r>
            <w:r>
              <w:rPr>
                <w:b w:val="0"/>
                <w:bCs w:val="0"/>
              </w:rPr>
              <w:t xml:space="preserve">event </w:t>
            </w:r>
            <w:r w:rsidR="5E5637E1">
              <w:rPr>
                <w:b w:val="0"/>
                <w:bCs w:val="0"/>
              </w:rPr>
              <w:t xml:space="preserve">is entered </w:t>
            </w:r>
            <w:r>
              <w:rPr>
                <w:b w:val="0"/>
                <w:bCs w:val="0"/>
              </w:rPr>
              <w:t>into the</w:t>
            </w:r>
            <w:r w:rsidR="7769BD16">
              <w:rPr>
                <w:b w:val="0"/>
                <w:bCs w:val="0"/>
              </w:rPr>
              <w:t xml:space="preserve"> </w:t>
            </w:r>
            <w:r>
              <w:rPr>
                <w:b w:val="0"/>
                <w:bCs w:val="0"/>
              </w:rPr>
              <w:t xml:space="preserve">clinical incident management system. Sam requires 4 </w:t>
            </w:r>
            <w:r w:rsidR="5A97C5BA">
              <w:rPr>
                <w:b w:val="0"/>
                <w:bCs w:val="0"/>
              </w:rPr>
              <w:t xml:space="preserve">further surgeries, a large skin graft and a hospital admission of more than </w:t>
            </w:r>
            <w:r w:rsidR="13CAB05D">
              <w:rPr>
                <w:b w:val="0"/>
                <w:bCs w:val="0"/>
              </w:rPr>
              <w:t>5</w:t>
            </w:r>
            <w:r w:rsidR="5A97C5BA">
              <w:rPr>
                <w:b w:val="0"/>
                <w:bCs w:val="0"/>
              </w:rPr>
              <w:t xml:space="preserve"> weeks.</w:t>
            </w:r>
          </w:p>
          <w:p w:rsidR="00D23487" w:rsidP="00D23487" w:rsidRDefault="00D23487" w14:paraId="7C9812C4" w14:textId="5A52217A">
            <w:pPr>
              <w:pStyle w:val="SCVpullouttext"/>
            </w:pPr>
            <w:r w:rsidDel="00D23487">
              <w:rPr>
                <w:b w:val="0"/>
                <w:bCs w:val="0"/>
              </w:rPr>
              <w:t xml:space="preserve">Sam is </w:t>
            </w:r>
            <w:r w:rsidR="4473B79E">
              <w:rPr>
                <w:b w:val="0"/>
                <w:bCs w:val="0"/>
              </w:rPr>
              <w:t xml:space="preserve">informed that </w:t>
            </w:r>
            <w:r>
              <w:rPr>
                <w:b w:val="0"/>
                <w:bCs w:val="0"/>
              </w:rPr>
              <w:t>full foot movement may not be regained</w:t>
            </w:r>
            <w:r w:rsidR="0BAF1842">
              <w:rPr>
                <w:b w:val="0"/>
                <w:bCs w:val="0"/>
              </w:rPr>
              <w:t xml:space="preserve">, </w:t>
            </w:r>
            <w:r>
              <w:rPr>
                <w:b w:val="0"/>
                <w:bCs w:val="0"/>
              </w:rPr>
              <w:t xml:space="preserve">a splint will likely be required for </w:t>
            </w:r>
            <w:r w:rsidR="2F2214C1">
              <w:rPr>
                <w:b w:val="0"/>
                <w:bCs w:val="0"/>
              </w:rPr>
              <w:t>ongoing</w:t>
            </w:r>
            <w:r w:rsidR="3221C809">
              <w:rPr>
                <w:b w:val="0"/>
                <w:bCs w:val="0"/>
              </w:rPr>
              <w:t xml:space="preserve"> use</w:t>
            </w:r>
            <w:r>
              <w:rPr>
                <w:b w:val="0"/>
                <w:bCs w:val="0"/>
              </w:rPr>
              <w:t xml:space="preserve"> and that a return to football </w:t>
            </w:r>
            <w:r w:rsidR="3259F8A4">
              <w:rPr>
                <w:b w:val="0"/>
                <w:bCs w:val="0"/>
              </w:rPr>
              <w:t>will</w:t>
            </w:r>
            <w:r>
              <w:rPr>
                <w:b w:val="0"/>
                <w:bCs w:val="0"/>
              </w:rPr>
              <w:t xml:space="preserve"> not be possible. The hospital offers Sam access to a social worker to help </w:t>
            </w:r>
            <w:r w:rsidR="3259F8A4">
              <w:rPr>
                <w:b w:val="0"/>
                <w:bCs w:val="0"/>
              </w:rPr>
              <w:t>with</w:t>
            </w:r>
            <w:r>
              <w:rPr>
                <w:b w:val="0"/>
                <w:bCs w:val="0"/>
              </w:rPr>
              <w:t xml:space="preserve"> the application process to the National Disability Insurance Scheme (NDIS) and Centrelink.</w:t>
            </w:r>
          </w:p>
          <w:p w:rsidR="00D23487" w:rsidP="00D23487" w:rsidRDefault="00D23487" w14:paraId="7114D2ED" w14:textId="73C6C3EE">
            <w:pPr>
              <w:pStyle w:val="SCVpullouttext"/>
            </w:pPr>
            <w:r>
              <w:rPr>
                <w:b w:val="0"/>
                <w:bCs w:val="0"/>
              </w:rPr>
              <w:t xml:space="preserve">This </w:t>
            </w:r>
            <w:r w:rsidR="007850E6">
              <w:rPr>
                <w:b w:val="0"/>
                <w:bCs w:val="0"/>
              </w:rPr>
              <w:t>event</w:t>
            </w:r>
            <w:r>
              <w:rPr>
                <w:b w:val="0"/>
                <w:bCs w:val="0"/>
              </w:rPr>
              <w:t xml:space="preserve"> is </w:t>
            </w:r>
            <w:r w:rsidR="33C43456">
              <w:rPr>
                <w:b w:val="0"/>
                <w:bCs w:val="0"/>
              </w:rPr>
              <w:t xml:space="preserve">considered a sentinel event and </w:t>
            </w:r>
            <w:r>
              <w:rPr>
                <w:b w:val="0"/>
                <w:bCs w:val="0"/>
              </w:rPr>
              <w:t>a SAPSE</w:t>
            </w:r>
            <w:r w:rsidR="082CDA11">
              <w:rPr>
                <w:b w:val="0"/>
                <w:bCs w:val="0"/>
              </w:rPr>
              <w:t>, and thereby triggers SDC provisions,</w:t>
            </w:r>
            <w:r>
              <w:rPr>
                <w:b w:val="0"/>
                <w:bCs w:val="0"/>
              </w:rPr>
              <w:t xml:space="preserve"> because Sam has</w:t>
            </w:r>
            <w:r>
              <w:t xml:space="preserve"> </w:t>
            </w:r>
            <w:r>
              <w:rPr>
                <w:b w:val="0"/>
                <w:bCs w:val="0"/>
              </w:rPr>
              <w:t>suffered permanent or long-term loss of function or disability, therefore sustaining ‘severe’ harm.</w:t>
            </w:r>
          </w:p>
          <w:p w:rsidRPr="00FB75A2" w:rsidR="00D23487" w:rsidP="00D23487" w:rsidRDefault="4BC30CBC" w14:paraId="46ECBEDD" w14:textId="2C95C412">
            <w:pPr>
              <w:pStyle w:val="SCVpullouttext"/>
              <w:rPr>
                <w:b w:val="0"/>
              </w:rPr>
            </w:pPr>
            <w:r>
              <w:t xml:space="preserve">See the </w:t>
            </w:r>
            <w:hyperlink r:id="rId36">
              <w:r w:rsidRPr="4EAFCB25">
                <w:rPr>
                  <w:rStyle w:val="Hyperlink"/>
                  <w:i/>
                  <w:iCs/>
                </w:rPr>
                <w:t>Victorian Duty of Candour Guidelines</w:t>
              </w:r>
            </w:hyperlink>
            <w:r>
              <w:t xml:space="preserve"> for more information.</w:t>
            </w:r>
          </w:p>
        </w:tc>
      </w:tr>
    </w:tbl>
    <w:p w:rsidR="006B73F4" w:rsidP="006A736D" w:rsidRDefault="006B73F4" w14:paraId="37078848" w14:textId="09DE0ABB">
      <w:pPr>
        <w:pStyle w:val="Heading3"/>
      </w:pPr>
      <w:r>
        <w:t>Prolonged psychological harm</w:t>
      </w:r>
    </w:p>
    <w:p w:rsidR="0006030D" w:rsidP="00517609" w:rsidRDefault="00207D7A" w14:paraId="14A4A0ED" w14:textId="3BFE8065">
      <w:pPr>
        <w:pStyle w:val="SCVbody"/>
      </w:pPr>
      <w:r>
        <w:t xml:space="preserve">The </w:t>
      </w:r>
      <w:r w:rsidRPr="7068FF33">
        <w:rPr>
          <w:i/>
          <w:iCs/>
        </w:rPr>
        <w:t>Health Services (Quality and Safety) Regulations 202</w:t>
      </w:r>
      <w:r>
        <w:rPr>
          <w:i/>
          <w:iCs/>
        </w:rPr>
        <w:t>0</w:t>
      </w:r>
      <w:r w:rsidRPr="7068FF33">
        <w:rPr>
          <w:i/>
          <w:iCs/>
        </w:rPr>
        <w:t xml:space="preserve"> </w:t>
      </w:r>
      <w:r w:rsidR="007B1244">
        <w:t>defines</w:t>
      </w:r>
      <w:r w:rsidRPr="7068FF33">
        <w:t xml:space="preserve"> </w:t>
      </w:r>
      <w:r w:rsidR="006552E9">
        <w:t>‘</w:t>
      </w:r>
      <w:r>
        <w:t>p</w:t>
      </w:r>
      <w:r w:rsidR="006552E9">
        <w:t>rolonged</w:t>
      </w:r>
      <w:r w:rsidR="5BA331D6">
        <w:t xml:space="preserve"> psychological</w:t>
      </w:r>
      <w:r w:rsidR="169AA8BC">
        <w:t>’</w:t>
      </w:r>
      <w:r w:rsidR="5BA331D6">
        <w:t xml:space="preserve"> harm </w:t>
      </w:r>
      <w:r>
        <w:t>as</w:t>
      </w:r>
      <w:r w:rsidR="5BA331D6">
        <w:t xml:space="preserve"> psychological harm which a patient has experienced, or is likely to experience, for a continuous period of at least 28 days.</w:t>
      </w:r>
      <w:r w:rsidR="23853547">
        <w:t xml:space="preserve"> </w:t>
      </w:r>
      <w:r w:rsidR="007958DC">
        <w:t xml:space="preserve">This type of harm </w:t>
      </w:r>
      <w:r w:rsidR="0067189C">
        <w:t xml:space="preserve">results from an adverse </w:t>
      </w:r>
      <w:r w:rsidDel="008317D9" w:rsidR="0067189C">
        <w:t>event</w:t>
      </w:r>
      <w:r w:rsidR="008317D9">
        <w:t xml:space="preserve"> and causes</w:t>
      </w:r>
      <w:r w:rsidR="482F8A59">
        <w:t xml:space="preserve">, or is likely to cause, mental or emotional trauma, behavioural changes, loss of enjoyment in life, or psychological symptoms that require psychological or psychiatric care. </w:t>
      </w:r>
    </w:p>
    <w:p w:rsidRPr="0074244C" w:rsidR="001F1CB4" w:rsidP="001F1CB4" w:rsidRDefault="48B2DF2B" w14:paraId="6E9F0BF2" w14:textId="4E7852D4">
      <w:pPr>
        <w:pStyle w:val="SCVbody"/>
        <w:rPr>
          <w:b/>
          <w:bCs/>
        </w:rPr>
      </w:pPr>
      <w:r w:rsidRPr="297C77CE">
        <w:rPr>
          <w:b/>
          <w:bCs/>
        </w:rPr>
        <w:t>Health service</w:t>
      </w:r>
      <w:r w:rsidR="006B1775">
        <w:rPr>
          <w:b/>
          <w:bCs/>
        </w:rPr>
        <w:t xml:space="preserve"> entitie</w:t>
      </w:r>
      <w:r w:rsidRPr="297C77CE">
        <w:rPr>
          <w:b/>
          <w:bCs/>
        </w:rPr>
        <w:t>s should a</w:t>
      </w:r>
      <w:r w:rsidRPr="297C77CE" w:rsidR="3DAC5E1A">
        <w:rPr>
          <w:b/>
          <w:bCs/>
        </w:rPr>
        <w:t>dopt a patient-</w:t>
      </w:r>
      <w:r w:rsidR="00B97DBE">
        <w:rPr>
          <w:b/>
          <w:bCs/>
        </w:rPr>
        <w:t>centred</w:t>
      </w:r>
      <w:r w:rsidRPr="63DD1AEE" w:rsidR="00B97DBE">
        <w:rPr>
          <w:b/>
          <w:bCs/>
        </w:rPr>
        <w:t xml:space="preserve"> </w:t>
      </w:r>
      <w:r w:rsidRPr="297C77CE" w:rsidR="3DAC5E1A">
        <w:rPr>
          <w:b/>
          <w:bCs/>
        </w:rPr>
        <w:t>approach when determining whether prolonged psychological harm has occurred.</w:t>
      </w:r>
    </w:p>
    <w:p w:rsidR="00EF4911" w:rsidP="0074244C" w:rsidRDefault="5DECCC47" w14:paraId="4EB5FF39" w14:textId="2244640D">
      <w:pPr>
        <w:pStyle w:val="SCVbody"/>
      </w:pPr>
      <w:r>
        <w:t>P</w:t>
      </w:r>
      <w:r w:rsidR="14562156">
        <w:t>rolonged psychological harm may</w:t>
      </w:r>
      <w:r w:rsidR="54664419">
        <w:t xml:space="preserve"> result from an</w:t>
      </w:r>
      <w:r w:rsidR="1C5A2CA6">
        <w:t xml:space="preserve"> experience that</w:t>
      </w:r>
      <w:r w:rsidR="01792A80">
        <w:t>, in the opinion of a registered health practitioner</w:t>
      </w:r>
      <w:r w:rsidR="14562156">
        <w:t>:</w:t>
      </w:r>
    </w:p>
    <w:p w:rsidR="00EF4911" w:rsidP="7068FF33" w:rsidRDefault="00DC5F31" w14:paraId="603C336A" w14:textId="2AAEE378">
      <w:pPr>
        <w:pStyle w:val="SCVbullet1"/>
        <w:numPr>
          <w:ilvl w:val="0"/>
          <w:numId w:val="13"/>
        </w:numPr>
      </w:pPr>
      <w:r>
        <w:t>likely</w:t>
      </w:r>
      <w:r w:rsidR="00290D47">
        <w:t xml:space="preserve"> </w:t>
      </w:r>
      <w:r w:rsidR="5B30B3AB">
        <w:t>require</w:t>
      </w:r>
      <w:r w:rsidR="00DC5024">
        <w:t>s</w:t>
      </w:r>
      <w:r w:rsidR="5B30B3AB">
        <w:t xml:space="preserve"> counselling or psychiatric treatment last</w:t>
      </w:r>
      <w:r w:rsidR="4E233687">
        <w:t>ing</w:t>
      </w:r>
      <w:r w:rsidR="5B30B3AB">
        <w:t xml:space="preserve"> more than 28 days</w:t>
      </w:r>
      <w:r w:rsidR="56F004F7">
        <w:t xml:space="preserve"> after a</w:t>
      </w:r>
      <w:r w:rsidR="6BA08732">
        <w:t xml:space="preserve"> SAPSE</w:t>
      </w:r>
      <w:r w:rsidR="00BF025D">
        <w:t xml:space="preserve"> </w:t>
      </w:r>
      <w:r w:rsidR="00FB1C93">
        <w:t>and/or</w:t>
      </w:r>
    </w:p>
    <w:p w:rsidR="38E326A1" w:rsidDel="00D14BA2" w:rsidP="00FB1C93" w:rsidRDefault="0979BEFC" w14:paraId="19AFD22C" w14:textId="5FAB7762">
      <w:pPr>
        <w:pStyle w:val="SCVbody"/>
        <w:numPr>
          <w:ilvl w:val="0"/>
          <w:numId w:val="13"/>
        </w:numPr>
      </w:pPr>
      <w:r>
        <w:t xml:space="preserve">renders a patient unable to resume </w:t>
      </w:r>
      <w:r w:rsidR="070ED177">
        <w:t>all</w:t>
      </w:r>
      <w:r>
        <w:t xml:space="preserve"> their normal activities </w:t>
      </w:r>
      <w:r w:rsidR="559EA941">
        <w:t xml:space="preserve">for at least 28 days </w:t>
      </w:r>
      <w:r w:rsidR="160F4DA2">
        <w:t>after a</w:t>
      </w:r>
      <w:r w:rsidR="763EF7BC">
        <w:t xml:space="preserve"> SAPSE</w:t>
      </w:r>
      <w:r w:rsidR="39BFF049">
        <w:t>.</w:t>
      </w:r>
    </w:p>
    <w:p w:rsidRPr="00BF5170" w:rsidR="00BF5170" w:rsidP="00BF5170" w:rsidRDefault="00855B07" w14:paraId="62F4D44C" w14:textId="1304499C">
      <w:pPr>
        <w:pStyle w:val="SCVbody"/>
      </w:pPr>
      <w:r>
        <w:t>Ps</w:t>
      </w:r>
      <w:r w:rsidR="00BF5170">
        <w:t xml:space="preserve">ychological harm </w:t>
      </w:r>
      <w:r>
        <w:t xml:space="preserve">may result from </w:t>
      </w:r>
      <w:r w:rsidR="00B94846">
        <w:t>adverse events</w:t>
      </w:r>
      <w:r w:rsidR="00A921B3">
        <w:t>,</w:t>
      </w:r>
      <w:r w:rsidR="00B94846">
        <w:t xml:space="preserve"> including </w:t>
      </w:r>
      <w:r w:rsidR="00BF5170">
        <w:t>trauma, violence</w:t>
      </w:r>
      <w:r w:rsidR="00B94846">
        <w:t xml:space="preserve"> and</w:t>
      </w:r>
      <w:r w:rsidR="00BF5170">
        <w:t xml:space="preserve"> abuse</w:t>
      </w:r>
      <w:r w:rsidR="00A921B3">
        <w:t>,</w:t>
      </w:r>
      <w:r w:rsidR="00BF5170">
        <w:t xml:space="preserve"> </w:t>
      </w:r>
      <w:r w:rsidR="00EA7F63">
        <w:t xml:space="preserve">which </w:t>
      </w:r>
      <w:r w:rsidR="00290D47">
        <w:t xml:space="preserve">occur </w:t>
      </w:r>
      <w:r w:rsidR="00BF5170">
        <w:t>while</w:t>
      </w:r>
      <w:r w:rsidR="00B92729">
        <w:t xml:space="preserve"> a patient is</w:t>
      </w:r>
      <w:r w:rsidR="00BF5170">
        <w:t xml:space="preserve"> receiving services or care from a health service entity.</w:t>
      </w:r>
    </w:p>
    <w:p w:rsidR="0074244C" w:rsidP="0074244C" w:rsidRDefault="2D9CE1AF" w14:paraId="22035BD4" w14:textId="34687FC8">
      <w:pPr>
        <w:pStyle w:val="SCVbody"/>
      </w:pPr>
      <w:r>
        <w:t>Abuse c</w:t>
      </w:r>
      <w:r w:rsidR="62EC4113">
        <w:t>an</w:t>
      </w:r>
      <w:r>
        <w:t xml:space="preserve"> </w:t>
      </w:r>
      <w:r w:rsidR="3AFED7B3">
        <w:t>be</w:t>
      </w:r>
      <w:r w:rsidR="67D9B2CC">
        <w:t xml:space="preserve"> verbal or psychologica</w:t>
      </w:r>
      <w:r w:rsidR="7C2E8D3C">
        <w:t xml:space="preserve">l, and </w:t>
      </w:r>
      <w:r w:rsidR="596F0A2E">
        <w:t xml:space="preserve">can </w:t>
      </w:r>
      <w:r w:rsidR="7C2E8D3C">
        <w:t>include</w:t>
      </w:r>
      <w:r w:rsidR="56AB1736">
        <w:t>, but is not limited to</w:t>
      </w:r>
      <w:r>
        <w:t xml:space="preserve"> sexual abuse, psychological ill-treatment, acts of omission which constitute neglect, </w:t>
      </w:r>
      <w:r w:rsidR="076EAFD0">
        <w:t>exploitation</w:t>
      </w:r>
      <w:r>
        <w:t xml:space="preserve">, </w:t>
      </w:r>
      <w:r w:rsidR="34EC32C6">
        <w:t xml:space="preserve">defamation, </w:t>
      </w:r>
      <w:r>
        <w:t xml:space="preserve">discriminative and organisational abuse </w:t>
      </w:r>
      <w:r w:rsidR="1088AC98">
        <w:t xml:space="preserve">(including </w:t>
      </w:r>
      <w:r w:rsidR="076EAFD0">
        <w:t>racism</w:t>
      </w:r>
      <w:r w:rsidR="1088AC98">
        <w:t>)</w:t>
      </w:r>
      <w:r w:rsidR="348F7A32">
        <w:t xml:space="preserve"> </w:t>
      </w:r>
      <w:r>
        <w:t>where:</w:t>
      </w:r>
    </w:p>
    <w:p w:rsidR="0074244C" w:rsidP="7068FF33" w:rsidRDefault="3A832644" w14:paraId="75E68DA2" w14:textId="135CA5CA">
      <w:pPr>
        <w:pStyle w:val="SCVbullet1"/>
        <w:numPr>
          <w:ilvl w:val="0"/>
          <w:numId w:val="12"/>
        </w:numPr>
      </w:pPr>
      <w:r>
        <w:t>the health service entity did not take appropriate action to safeguard against such abuse occurring</w:t>
      </w:r>
    </w:p>
    <w:p w:rsidR="004E22BF" w:rsidP="00B25029" w:rsidRDefault="004E22BF" w14:paraId="03C05423" w14:textId="135CA5CA">
      <w:pPr>
        <w:pStyle w:val="SCVbullet1"/>
        <w:numPr>
          <w:ilvl w:val="0"/>
          <w:numId w:val="0"/>
        </w:numPr>
        <w:ind w:left="720"/>
      </w:pPr>
      <w:r>
        <w:t>or</w:t>
      </w:r>
    </w:p>
    <w:p w:rsidR="004E22BF" w:rsidP="7068FF33" w:rsidRDefault="004E22BF" w14:paraId="163F1538" w14:textId="6356607C">
      <w:pPr>
        <w:pStyle w:val="SCVbullet1"/>
        <w:numPr>
          <w:ilvl w:val="0"/>
          <w:numId w:val="12"/>
        </w:numPr>
      </w:pPr>
      <w:r>
        <w:t>where abuse occurred during the provision of a health service within a health service entity</w:t>
      </w:r>
      <w:r>
        <w:rPr>
          <w:rStyle w:val="FootnoteReference"/>
        </w:rPr>
        <w:footnoteReference w:id="24"/>
      </w:r>
      <w:r>
        <w:t>.</w:t>
      </w:r>
    </w:p>
    <w:p w:rsidRPr="00204971" w:rsidR="0075578B" w:rsidP="00461CE8" w:rsidRDefault="0075578B" w14:paraId="35ED9562" w14:textId="1548FC81">
      <w:pPr>
        <w:pStyle w:val="SCVbullet1"/>
        <w:numPr>
          <w:ilvl w:val="0"/>
          <w:numId w:val="0"/>
        </w:numPr>
      </w:pPr>
      <w:r>
        <w:t>Sexual safety incidents and racism are two examples</w:t>
      </w:r>
      <w:r w:rsidR="002F369E">
        <w:t xml:space="preserve"> of </w:t>
      </w:r>
      <w:r w:rsidR="00C94EEB">
        <w:t xml:space="preserve">SAPSE resulting from </w:t>
      </w:r>
      <w:r w:rsidR="002F369E">
        <w:t xml:space="preserve">abuse </w:t>
      </w:r>
      <w:r w:rsidR="00290D47">
        <w:t>that</w:t>
      </w:r>
      <w:r w:rsidR="00C94EEB">
        <w:t xml:space="preserve"> require</w:t>
      </w:r>
      <w:r w:rsidR="00F40999">
        <w:t xml:space="preserve"> SDC compliance</w:t>
      </w:r>
      <w:r w:rsidR="009C225A">
        <w:t>.</w:t>
      </w:r>
    </w:p>
    <w:p w:rsidRPr="00935DAF" w:rsidR="00FB2C6E" w:rsidP="00FB2C6E" w:rsidRDefault="00C30E6A" w14:paraId="6CB2BC3E" w14:textId="6BC3A6FA">
      <w:pPr>
        <w:pStyle w:val="Heading4"/>
        <w:rPr>
          <w:sz w:val="22"/>
          <w:szCs w:val="22"/>
        </w:rPr>
      </w:pPr>
      <w:r w:rsidRPr="00935DAF">
        <w:rPr>
          <w:sz w:val="22"/>
          <w:szCs w:val="22"/>
        </w:rPr>
        <w:t>Sexual safety incidents</w:t>
      </w:r>
    </w:p>
    <w:p w:rsidR="004349A3" w:rsidP="000A079C" w:rsidRDefault="003164E5" w14:paraId="08A5A603" w14:textId="5A923C28">
      <w:pPr>
        <w:pStyle w:val="SCVbody"/>
        <w:spacing w:before="120" w:after="120"/>
      </w:pPr>
      <w:r>
        <w:t>Sexual safety inciden</w:t>
      </w:r>
      <w:r w:rsidR="00E12A4E">
        <w:t xml:space="preserve">ts </w:t>
      </w:r>
      <w:r w:rsidR="3F3B202E">
        <w:t>in bed</w:t>
      </w:r>
      <w:r w:rsidR="00290D47">
        <w:t>-</w:t>
      </w:r>
      <w:r w:rsidR="3F3B202E">
        <w:t>based mental health services</w:t>
      </w:r>
      <w:r w:rsidR="00E12A4E">
        <w:t xml:space="preserve"> </w:t>
      </w:r>
      <w:r w:rsidR="3F3B202E">
        <w:t xml:space="preserve">must </w:t>
      </w:r>
      <w:r w:rsidR="00171256">
        <w:t xml:space="preserve">currently </w:t>
      </w:r>
      <w:r w:rsidR="3F3B202E">
        <w:t xml:space="preserve">be rated </w:t>
      </w:r>
      <w:r w:rsidR="00A30DF3">
        <w:t>a minimum</w:t>
      </w:r>
      <w:r w:rsidR="3F3B202E">
        <w:t xml:space="preserve"> ISR 2 </w:t>
      </w:r>
      <w:r w:rsidR="00A30DF3">
        <w:t>(</w:t>
      </w:r>
      <w:r w:rsidR="3F3B202E">
        <w:t>to ensure escalation to senior management for timely review and response, as well as oversight and monitoring</w:t>
      </w:r>
      <w:r w:rsidR="00A30DF3">
        <w:t>)</w:t>
      </w:r>
      <w:r w:rsidR="3F3B202E">
        <w:t xml:space="preserve">. </w:t>
      </w:r>
      <w:r w:rsidR="00A30DF3">
        <w:t>I</w:t>
      </w:r>
      <w:r w:rsidR="00023DD1">
        <w:t xml:space="preserve">f </w:t>
      </w:r>
      <w:r w:rsidR="00D67C0B">
        <w:t>appropriate, t</w:t>
      </w:r>
      <w:r w:rsidR="3F3B202E">
        <w:t xml:space="preserve">hese incidents can be classified as ISR 1. </w:t>
      </w:r>
      <w:r w:rsidR="00500038">
        <w:t>The c</w:t>
      </w:r>
      <w:r w:rsidR="00E01DE7">
        <w:t>lassification of s</w:t>
      </w:r>
      <w:r w:rsidR="00EA0994">
        <w:t xml:space="preserve">exual </w:t>
      </w:r>
      <w:r w:rsidR="00117382">
        <w:t>s</w:t>
      </w:r>
      <w:r w:rsidR="00EA0994">
        <w:t xml:space="preserve">afety </w:t>
      </w:r>
      <w:r w:rsidR="00117382">
        <w:t>incidents</w:t>
      </w:r>
      <w:r w:rsidR="00E01DE7">
        <w:t xml:space="preserve">, including mandated </w:t>
      </w:r>
      <w:r w:rsidR="00BF3FB4">
        <w:t>ISR</w:t>
      </w:r>
      <w:r w:rsidR="00644012">
        <w:t xml:space="preserve">, </w:t>
      </w:r>
      <w:r w:rsidR="000E39B0">
        <w:t>is</w:t>
      </w:r>
      <w:r w:rsidR="00117382">
        <w:t xml:space="preserve"> currently the focus of review</w:t>
      </w:r>
      <w:r w:rsidR="00644012">
        <w:t xml:space="preserve"> and </w:t>
      </w:r>
      <w:r w:rsidR="00687A98">
        <w:t>updated</w:t>
      </w:r>
      <w:r w:rsidR="00CD7227">
        <w:t xml:space="preserve"> guidance</w:t>
      </w:r>
      <w:r w:rsidR="00081693">
        <w:t xml:space="preserve"> </w:t>
      </w:r>
      <w:r w:rsidR="00621153">
        <w:t>will</w:t>
      </w:r>
      <w:r w:rsidR="00081693">
        <w:t xml:space="preserve"> be </w:t>
      </w:r>
      <w:r w:rsidR="00841D60">
        <w:t>provided</w:t>
      </w:r>
      <w:r w:rsidR="00CD7227">
        <w:t xml:space="preserve"> </w:t>
      </w:r>
      <w:r w:rsidR="4495E689">
        <w:t>when this is completed</w:t>
      </w:r>
      <w:r w:rsidR="596CE66A">
        <w:t>.</w:t>
      </w:r>
      <w:r w:rsidR="00CA5726">
        <w:t xml:space="preserve"> </w:t>
      </w:r>
      <w:r w:rsidR="3F3B202E">
        <w:t xml:space="preserve">Please refer to the Chief Psychiatrist </w:t>
      </w:r>
      <w:r w:rsidR="599FD439">
        <w:t>guideline</w:t>
      </w:r>
      <w:r w:rsidR="004349A3">
        <w:t>s</w:t>
      </w:r>
      <w:r w:rsidR="3F3B202E">
        <w:t xml:space="preserve"> for more information regarding promoting sexual safety</w:t>
      </w:r>
      <w:r w:rsidR="000A079C">
        <w:t xml:space="preserve">: </w:t>
      </w:r>
      <w:hyperlink r:id="rId37">
        <w:r w:rsidRPr="4481240E" w:rsidR="3CE9046F">
          <w:rPr>
            <w:rStyle w:val="Hyperlink"/>
          </w:rPr>
          <w:t>Promoting sexual safety (health.vic.gov.au)</w:t>
        </w:r>
      </w:hyperlink>
      <w:r w:rsidR="3CE9046F">
        <w:t>.</w:t>
      </w:r>
    </w:p>
    <w:p w:rsidRPr="00935DAF" w:rsidR="00C95C15" w:rsidP="2E6C98ED" w:rsidRDefault="00C30E6A" w14:paraId="1BE82933" w14:textId="1F240EB8">
      <w:pPr>
        <w:pStyle w:val="SCVbody"/>
        <w:spacing w:before="120" w:after="120"/>
        <w:rPr>
          <w:b/>
          <w:bCs/>
          <w:sz w:val="22"/>
          <w:szCs w:val="22"/>
        </w:rPr>
      </w:pPr>
      <w:r w:rsidRPr="00935DAF">
        <w:rPr>
          <w:b/>
          <w:bCs/>
          <w:sz w:val="22"/>
          <w:szCs w:val="22"/>
        </w:rPr>
        <w:t>Racism</w:t>
      </w:r>
    </w:p>
    <w:p w:rsidR="00755B9B" w:rsidP="0064073B" w:rsidRDefault="1D4A1E2A" w14:paraId="25156A22" w14:textId="036B7E06">
      <w:pPr>
        <w:pStyle w:val="SCVbullet1"/>
        <w:numPr>
          <w:ilvl w:val="0"/>
          <w:numId w:val="0"/>
        </w:numPr>
      </w:pPr>
      <w:r>
        <w:t xml:space="preserve">Racism </w:t>
      </w:r>
      <w:r w:rsidR="3916C8F1">
        <w:t>may be considered a</w:t>
      </w:r>
      <w:r>
        <w:t xml:space="preserve"> SAPSE</w:t>
      </w:r>
      <w:r w:rsidR="46F95376">
        <w:t xml:space="preserve"> if </w:t>
      </w:r>
      <w:r w:rsidR="303D6D54">
        <w:t xml:space="preserve">the event fulfils the </w:t>
      </w:r>
      <w:r w:rsidR="31BE1EFB">
        <w:t>criteria of prolonged psychological harm</w:t>
      </w:r>
      <w:r>
        <w:t>.</w:t>
      </w:r>
      <w:r w:rsidR="3FA0EB92">
        <w:t xml:space="preserve"> </w:t>
      </w:r>
      <w:hyperlink r:id="rId38">
        <w:r w:rsidRPr="4481240E" w:rsidR="561FB52F">
          <w:rPr>
            <w:rStyle w:val="Hyperlink"/>
          </w:rPr>
          <w:t>Victoria’s Charter of Human Rights and Responsibilities</w:t>
        </w:r>
      </w:hyperlink>
      <w:r w:rsidRPr="005E7EB8" w:rsidR="403A10F4">
        <w:t xml:space="preserve"> contains 20 basic rights that promote and protect the values of freedom, respect, equality, and dignity</w:t>
      </w:r>
      <w:r w:rsidR="4F664C04">
        <w:t xml:space="preserve">, </w:t>
      </w:r>
      <w:r w:rsidR="4E78396D">
        <w:t xml:space="preserve">supporting the right to access </w:t>
      </w:r>
      <w:r w:rsidR="6DB684A0">
        <w:t>safe healthcare</w:t>
      </w:r>
      <w:r w:rsidR="00290D47">
        <w:t xml:space="preserve"> that is</w:t>
      </w:r>
      <w:r w:rsidR="60A1F063">
        <w:t xml:space="preserve"> void of discrimination</w:t>
      </w:r>
      <w:r w:rsidRPr="005E7EB8" w:rsidR="403A10F4">
        <w:t>.</w:t>
      </w:r>
      <w:r w:rsidR="403A10F4">
        <w:t xml:space="preserve"> </w:t>
      </w:r>
      <w:r w:rsidR="058A5369">
        <w:t xml:space="preserve">If the patient suffers psychological harm </w:t>
      </w:r>
      <w:r w:rsidR="766AEF63">
        <w:t xml:space="preserve">for a continuous period of at least 28 days post </w:t>
      </w:r>
      <w:r w:rsidR="00CF7633">
        <w:t xml:space="preserve">a </w:t>
      </w:r>
      <w:r w:rsidR="403A10F4">
        <w:t xml:space="preserve">discriminative or </w:t>
      </w:r>
      <w:r w:rsidR="00CF7633">
        <w:t xml:space="preserve">racial </w:t>
      </w:r>
      <w:r w:rsidR="362946BB">
        <w:t>event</w:t>
      </w:r>
      <w:r w:rsidR="766AEF63">
        <w:t xml:space="preserve">, </w:t>
      </w:r>
      <w:r w:rsidR="64F467FE">
        <w:t>the</w:t>
      </w:r>
      <w:r w:rsidR="403A10F4">
        <w:t>n the</w:t>
      </w:r>
      <w:r w:rsidR="64F467FE">
        <w:t xml:space="preserve"> SDC process must be followed. </w:t>
      </w:r>
      <w:r w:rsidRPr="00CE37F8" w:rsidR="30AFB614">
        <w:t>Aboriginal and Torres Straight Island patients are over 40 per cent more likely to experience racism in a health setting than any other group in Victoria</w:t>
      </w:r>
      <w:r w:rsidR="7D6C7141">
        <w:t>.</w:t>
      </w:r>
      <w:r w:rsidR="00D8148F">
        <w:rPr>
          <w:rStyle w:val="FootnoteReference"/>
        </w:rPr>
        <w:footnoteReference w:id="25"/>
      </w:r>
    </w:p>
    <w:p w:rsidR="00237BD6" w:rsidDel="00187AFC" w:rsidP="00260AD7" w:rsidRDefault="00237BD6" w14:paraId="2F91E0E3" w14:textId="5CB9F36A">
      <w:pPr>
        <w:pStyle w:val="SCVbody"/>
        <w:spacing w:before="120" w:after="120"/>
      </w:pPr>
    </w:p>
    <w:tbl>
      <w:tblPr>
        <w:tblStyle w:val="SCVpulloutbox"/>
        <w:tblpPr w:leftFromText="181" w:rightFromText="181" w:vertAnchor="text" w:horzAnchor="margin" w:tblpY="1"/>
        <w:tblOverlap w:val="never"/>
        <w:tblW w:w="10206" w:type="dxa"/>
        <w:tblLook w:val="04A0" w:firstRow="1" w:lastRow="0" w:firstColumn="1" w:lastColumn="0" w:noHBand="0" w:noVBand="1"/>
      </w:tblPr>
      <w:tblGrid>
        <w:gridCol w:w="10206"/>
      </w:tblGrid>
      <w:tr w:rsidR="00E51C5A" w:rsidTr="1977F94D" w14:paraId="39BB40E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Pr="00BE62C7" w:rsidR="00E51C5A" w:rsidP="1977F94D" w:rsidRDefault="49BABFFB" w14:paraId="7AD802D2" w14:textId="51997387">
            <w:pPr>
              <w:pStyle w:val="SCVpulloutheading"/>
              <w:rPr>
                <w:b/>
              </w:rPr>
            </w:pPr>
            <w:r w:rsidRPr="1977F94D">
              <w:rPr>
                <w:b/>
              </w:rPr>
              <w:t xml:space="preserve">Case example </w:t>
            </w:r>
            <w:r w:rsidRPr="1977F94D" w:rsidR="5A9369BC">
              <w:rPr>
                <w:b/>
              </w:rPr>
              <w:t>4</w:t>
            </w:r>
            <w:r w:rsidRPr="1977F94D">
              <w:rPr>
                <w:b/>
              </w:rPr>
              <w:t xml:space="preserve"> – Prolonged psychological harm</w:t>
            </w:r>
          </w:p>
          <w:p w:rsidR="00D51C0E" w:rsidP="00C25F82" w:rsidRDefault="0067AA04" w14:paraId="503D9138" w14:textId="3AA0F821">
            <w:pPr>
              <w:pStyle w:val="SCVpullouttext"/>
            </w:pPr>
            <w:r>
              <w:rPr>
                <w:b w:val="0"/>
                <w:bCs w:val="0"/>
              </w:rPr>
              <w:t xml:space="preserve">Lee is preparing for abdominal surgery to repair a large hernia </w:t>
            </w:r>
            <w:r w:rsidR="31198A64">
              <w:rPr>
                <w:b w:val="0"/>
                <w:bCs w:val="0"/>
              </w:rPr>
              <w:t>that</w:t>
            </w:r>
            <w:r>
              <w:rPr>
                <w:b w:val="0"/>
                <w:bCs w:val="0"/>
              </w:rPr>
              <w:t xml:space="preserve"> has been symptomatic for a few years. The surgeon has discussed the procedure, and </w:t>
            </w:r>
            <w:r w:rsidR="6718DB49">
              <w:rPr>
                <w:b w:val="0"/>
                <w:bCs w:val="0"/>
              </w:rPr>
              <w:t>later</w:t>
            </w:r>
            <w:r>
              <w:rPr>
                <w:b w:val="0"/>
                <w:bCs w:val="0"/>
              </w:rPr>
              <w:t xml:space="preserve"> the anaesthetist comes to review Lee’s history. Lee recalls difficulty waking up post a previous anaesthetic and the anaesthetist notes this. Later that day Lee is taken to theatre</w:t>
            </w:r>
            <w:r w:rsidR="70162566">
              <w:rPr>
                <w:b w:val="0"/>
                <w:bCs w:val="0"/>
              </w:rPr>
              <w:t>.</w:t>
            </w:r>
            <w:r>
              <w:rPr>
                <w:b w:val="0"/>
                <w:bCs w:val="0"/>
              </w:rPr>
              <w:t xml:space="preserve"> 30 minutes into the procedure, Lee’s heart rate increase</w:t>
            </w:r>
            <w:r w:rsidR="1A8C3067">
              <w:rPr>
                <w:b w:val="0"/>
                <w:bCs w:val="0"/>
              </w:rPr>
              <w:t>s</w:t>
            </w:r>
            <w:r>
              <w:rPr>
                <w:b w:val="0"/>
                <w:bCs w:val="0"/>
              </w:rPr>
              <w:t xml:space="preserve"> and blood pressure </w:t>
            </w:r>
            <w:r w:rsidR="19A86D63">
              <w:rPr>
                <w:b w:val="0"/>
                <w:bCs w:val="0"/>
              </w:rPr>
              <w:t>rise</w:t>
            </w:r>
            <w:r w:rsidR="35AEC542">
              <w:rPr>
                <w:b w:val="0"/>
                <w:bCs w:val="0"/>
              </w:rPr>
              <w:t>s</w:t>
            </w:r>
            <w:r w:rsidR="19A86D63">
              <w:rPr>
                <w:b w:val="0"/>
                <w:bCs w:val="0"/>
              </w:rPr>
              <w:t>.</w:t>
            </w:r>
            <w:r>
              <w:rPr>
                <w:b w:val="0"/>
                <w:bCs w:val="0"/>
              </w:rPr>
              <w:t xml:space="preserve"> The anaesthetist </w:t>
            </w:r>
            <w:r w:rsidR="77C3E3C5">
              <w:rPr>
                <w:b w:val="0"/>
                <w:bCs w:val="0"/>
              </w:rPr>
              <w:t>decides</w:t>
            </w:r>
            <w:r>
              <w:rPr>
                <w:b w:val="0"/>
                <w:bCs w:val="0"/>
              </w:rPr>
              <w:t xml:space="preserve"> to give more anaesthetic. </w:t>
            </w:r>
          </w:p>
          <w:p w:rsidR="00FB75A2" w:rsidP="00D91475" w:rsidRDefault="5585AF90" w14:paraId="7BDA01EC" w14:textId="12446203">
            <w:pPr>
              <w:pStyle w:val="SCVpullouttext"/>
            </w:pPr>
            <w:r>
              <w:rPr>
                <w:b w:val="0"/>
                <w:bCs w:val="0"/>
              </w:rPr>
              <w:t>When</w:t>
            </w:r>
            <w:r w:rsidR="6578282D">
              <w:rPr>
                <w:b w:val="0"/>
                <w:bCs w:val="0"/>
              </w:rPr>
              <w:t xml:space="preserve"> in</w:t>
            </w:r>
            <w:r w:rsidR="484F4DFC">
              <w:rPr>
                <w:b w:val="0"/>
                <w:bCs w:val="0"/>
              </w:rPr>
              <w:t xml:space="preserve"> recovery, Lee </w:t>
            </w:r>
            <w:r w:rsidR="73B2F371">
              <w:rPr>
                <w:b w:val="0"/>
                <w:bCs w:val="0"/>
              </w:rPr>
              <w:t>describes being</w:t>
            </w:r>
            <w:r w:rsidR="484F4DFC">
              <w:rPr>
                <w:b w:val="0"/>
                <w:bCs w:val="0"/>
              </w:rPr>
              <w:t xml:space="preserve"> awake during the surgery and feeling the surgeon operating. Lee describes how traumatic this </w:t>
            </w:r>
            <w:r w:rsidR="2A320A5D">
              <w:rPr>
                <w:b w:val="0"/>
                <w:bCs w:val="0"/>
              </w:rPr>
              <w:t>was</w:t>
            </w:r>
            <w:r w:rsidR="7070CF30">
              <w:rPr>
                <w:b w:val="0"/>
                <w:bCs w:val="0"/>
              </w:rPr>
              <w:t xml:space="preserve"> </w:t>
            </w:r>
            <w:r w:rsidR="78DB9091">
              <w:rPr>
                <w:b w:val="0"/>
                <w:bCs w:val="0"/>
              </w:rPr>
              <w:t>and</w:t>
            </w:r>
            <w:r w:rsidR="484F4DFC">
              <w:rPr>
                <w:b w:val="0"/>
                <w:bCs w:val="0"/>
              </w:rPr>
              <w:t xml:space="preserve"> begins to cry. The staff console Lee and</w:t>
            </w:r>
            <w:r w:rsidR="44F9DD34">
              <w:rPr>
                <w:b w:val="0"/>
                <w:bCs w:val="0"/>
              </w:rPr>
              <w:t xml:space="preserve"> </w:t>
            </w:r>
            <w:r w:rsidR="484F4DFC">
              <w:rPr>
                <w:b w:val="0"/>
                <w:bCs w:val="0"/>
              </w:rPr>
              <w:t xml:space="preserve">the anaesthetist comes to speak with Lee. The anaesthetist explains that this is a rare </w:t>
            </w:r>
            <w:r w:rsidR="73B7F0BA">
              <w:rPr>
                <w:b w:val="0"/>
                <w:bCs w:val="0"/>
              </w:rPr>
              <w:t>occurrence and</w:t>
            </w:r>
            <w:r w:rsidR="484F4DFC">
              <w:rPr>
                <w:b w:val="0"/>
                <w:bCs w:val="0"/>
              </w:rPr>
              <w:t xml:space="preserve"> </w:t>
            </w:r>
            <w:r w:rsidR="5E6DC405">
              <w:rPr>
                <w:b w:val="0"/>
                <w:bCs w:val="0"/>
              </w:rPr>
              <w:t>apologises</w:t>
            </w:r>
            <w:r w:rsidR="484F4DFC">
              <w:rPr>
                <w:b w:val="0"/>
                <w:bCs w:val="0"/>
              </w:rPr>
              <w:t xml:space="preserve">. </w:t>
            </w:r>
            <w:r w:rsidR="4E31ECB4">
              <w:rPr>
                <w:b w:val="0"/>
                <w:bCs w:val="0"/>
              </w:rPr>
              <w:t>Th</w:t>
            </w:r>
            <w:r w:rsidR="2A320A5D">
              <w:rPr>
                <w:b w:val="0"/>
                <w:bCs w:val="0"/>
              </w:rPr>
              <w:t xml:space="preserve">e </w:t>
            </w:r>
            <w:r w:rsidR="4E31ECB4">
              <w:rPr>
                <w:b w:val="0"/>
                <w:bCs w:val="0"/>
              </w:rPr>
              <w:t xml:space="preserve">anaesthetist </w:t>
            </w:r>
            <w:r w:rsidR="2A320A5D">
              <w:rPr>
                <w:b w:val="0"/>
                <w:bCs w:val="0"/>
              </w:rPr>
              <w:t>then</w:t>
            </w:r>
            <w:r w:rsidR="484F4DFC">
              <w:rPr>
                <w:b w:val="0"/>
                <w:bCs w:val="0"/>
              </w:rPr>
              <w:t xml:space="preserve"> calls the on-call psychiatrist for assessment. </w:t>
            </w:r>
            <w:r w:rsidR="2A320A5D">
              <w:rPr>
                <w:b w:val="0"/>
                <w:bCs w:val="0"/>
              </w:rPr>
              <w:t>The</w:t>
            </w:r>
            <w:r w:rsidR="484F4DFC">
              <w:rPr>
                <w:b w:val="0"/>
                <w:bCs w:val="0"/>
              </w:rPr>
              <w:t xml:space="preserve"> </w:t>
            </w:r>
            <w:r w:rsidR="42050FE8">
              <w:rPr>
                <w:b w:val="0"/>
                <w:bCs w:val="0"/>
              </w:rPr>
              <w:t xml:space="preserve">event </w:t>
            </w:r>
            <w:r w:rsidR="23ECADA9">
              <w:rPr>
                <w:b w:val="0"/>
                <w:bCs w:val="0"/>
              </w:rPr>
              <w:t xml:space="preserve">is entered </w:t>
            </w:r>
            <w:r w:rsidR="484F4DFC">
              <w:rPr>
                <w:b w:val="0"/>
                <w:bCs w:val="0"/>
              </w:rPr>
              <w:t xml:space="preserve">into </w:t>
            </w:r>
            <w:r w:rsidR="09736F03">
              <w:rPr>
                <w:b w:val="0"/>
                <w:bCs w:val="0"/>
              </w:rPr>
              <w:t xml:space="preserve">the </w:t>
            </w:r>
            <w:r w:rsidR="484F4DFC">
              <w:rPr>
                <w:b w:val="0"/>
                <w:bCs w:val="0"/>
              </w:rPr>
              <w:t xml:space="preserve">clinical incident management system. </w:t>
            </w:r>
          </w:p>
          <w:p w:rsidR="00D51C0E" w:rsidP="00C25F82" w:rsidRDefault="484F4DFC" w14:paraId="64F8FC7D" w14:textId="33907967">
            <w:pPr>
              <w:pStyle w:val="SCVpullouttext"/>
              <w:rPr>
                <w:b w:val="0"/>
                <w:bCs w:val="0"/>
              </w:rPr>
            </w:pPr>
            <w:r>
              <w:rPr>
                <w:b w:val="0"/>
                <w:bCs w:val="0"/>
              </w:rPr>
              <w:t xml:space="preserve">The </w:t>
            </w:r>
            <w:r w:rsidR="3FE65D0E">
              <w:rPr>
                <w:b w:val="0"/>
                <w:bCs w:val="0"/>
              </w:rPr>
              <w:t xml:space="preserve">clinical team </w:t>
            </w:r>
            <w:r w:rsidR="024A50B0">
              <w:rPr>
                <w:b w:val="0"/>
                <w:bCs w:val="0"/>
              </w:rPr>
              <w:t xml:space="preserve">feel this event is </w:t>
            </w:r>
            <w:r w:rsidR="024A50B0">
              <w:t>likely</w:t>
            </w:r>
            <w:r w:rsidR="024A50B0">
              <w:rPr>
                <w:b w:val="0"/>
                <w:bCs w:val="0"/>
              </w:rPr>
              <w:t xml:space="preserve"> to cause </w:t>
            </w:r>
            <w:r w:rsidR="3574844A">
              <w:rPr>
                <w:b w:val="0"/>
                <w:bCs w:val="0"/>
              </w:rPr>
              <w:t xml:space="preserve">Lee </w:t>
            </w:r>
            <w:r w:rsidR="024A50B0">
              <w:rPr>
                <w:b w:val="0"/>
                <w:bCs w:val="0"/>
              </w:rPr>
              <w:t>prolonged psychological harm</w:t>
            </w:r>
            <w:r w:rsidR="716EC368">
              <w:rPr>
                <w:b w:val="0"/>
                <w:bCs w:val="0"/>
              </w:rPr>
              <w:t>, therefore meeting the definition</w:t>
            </w:r>
            <w:r>
              <w:rPr>
                <w:b w:val="0"/>
                <w:bCs w:val="0"/>
              </w:rPr>
              <w:t xml:space="preserve"> of </w:t>
            </w:r>
            <w:r w:rsidR="716EC368">
              <w:rPr>
                <w:b w:val="0"/>
                <w:bCs w:val="0"/>
              </w:rPr>
              <w:t>a SAPSE</w:t>
            </w:r>
            <w:r w:rsidR="7B5F1709">
              <w:rPr>
                <w:b w:val="0"/>
                <w:bCs w:val="0"/>
              </w:rPr>
              <w:t xml:space="preserve"> and triggering SDC requirements</w:t>
            </w:r>
            <w:r w:rsidR="716EC368">
              <w:rPr>
                <w:b w:val="0"/>
                <w:bCs w:val="0"/>
              </w:rPr>
              <w:t>.</w:t>
            </w:r>
            <w:r>
              <w:rPr>
                <w:b w:val="0"/>
                <w:bCs w:val="0"/>
              </w:rPr>
              <w:t xml:space="preserve"> </w:t>
            </w:r>
            <w:r w:rsidR="024A50B0">
              <w:rPr>
                <w:b w:val="0"/>
                <w:bCs w:val="0"/>
              </w:rPr>
              <w:t xml:space="preserve"> </w:t>
            </w:r>
          </w:p>
          <w:p w:rsidRPr="00195D10" w:rsidR="00D51C0E" w:rsidP="00C25F82" w:rsidRDefault="00D51C0E" w14:paraId="57757A74" w14:textId="7EFC19C9">
            <w:pPr>
              <w:pStyle w:val="SCVpullouttext"/>
            </w:pPr>
            <w:r w:rsidRPr="00195D10">
              <w:t>See</w:t>
            </w:r>
            <w:r>
              <w:t xml:space="preserve"> the</w:t>
            </w:r>
            <w:r w:rsidRPr="00195D10">
              <w:t xml:space="preserve"> </w:t>
            </w:r>
            <w:hyperlink w:history="1" r:id="rId39">
              <w:r w:rsidRPr="007933FB">
                <w:rPr>
                  <w:rStyle w:val="Hyperlink"/>
                  <w:i/>
                  <w:iCs/>
                </w:rPr>
                <w:t>Victorian Duty of Candour Guidelines</w:t>
              </w:r>
            </w:hyperlink>
            <w:r w:rsidRPr="00195D10">
              <w:t xml:space="preserve"> for more information.</w:t>
            </w:r>
          </w:p>
          <w:p w:rsidRPr="00BE62C7" w:rsidR="00E51C5A" w:rsidP="00C25F82" w:rsidRDefault="0067AA04" w14:paraId="2334C020" w14:textId="66120DC1">
            <w:pPr>
              <w:pStyle w:val="SCVpullouttext"/>
              <w:rPr>
                <w:b w:val="0"/>
                <w:bCs w:val="0"/>
              </w:rPr>
            </w:pPr>
            <w:r>
              <w:rPr>
                <w:b w:val="0"/>
                <w:bCs w:val="0"/>
              </w:rPr>
              <w:t>Lee is reviewed by the psychiatrist at the hospital who diagnoses the surgical complication as</w:t>
            </w:r>
            <w:r w:rsidR="2345C373">
              <w:rPr>
                <w:b w:val="0"/>
                <w:bCs w:val="0"/>
              </w:rPr>
              <w:t xml:space="preserve"> </w:t>
            </w:r>
            <w:r>
              <w:rPr>
                <w:b w:val="0"/>
                <w:bCs w:val="0"/>
              </w:rPr>
              <w:t xml:space="preserve">a traumatic event. They prescribe diazepam and continue to monitor Lee </w:t>
            </w:r>
            <w:r w:rsidR="71B6AF37">
              <w:rPr>
                <w:b w:val="0"/>
                <w:bCs w:val="0"/>
              </w:rPr>
              <w:t>for</w:t>
            </w:r>
            <w:r>
              <w:rPr>
                <w:b w:val="0"/>
                <w:bCs w:val="0"/>
              </w:rPr>
              <w:t xml:space="preserve"> the next 4 days. Over the next month, Lee suffers flashbacks and nightmares almost daily and cannot attend to normal daily activities. Lee’s mood becomes very low, dietary intake declines and Lee withdraws from family and friends. Lee </w:t>
            </w:r>
            <w:r w:rsidR="56BEF9BB">
              <w:rPr>
                <w:b w:val="0"/>
                <w:bCs w:val="0"/>
              </w:rPr>
              <w:t xml:space="preserve">is subsequently diagnosed </w:t>
            </w:r>
            <w:r>
              <w:rPr>
                <w:b w:val="0"/>
                <w:bCs w:val="0"/>
              </w:rPr>
              <w:t xml:space="preserve">with </w:t>
            </w:r>
            <w:r w:rsidR="377FC184">
              <w:rPr>
                <w:b w:val="0"/>
                <w:bCs w:val="0"/>
              </w:rPr>
              <w:t xml:space="preserve">post-traumatic stress disorder </w:t>
            </w:r>
            <w:r w:rsidR="5E0EFD83">
              <w:rPr>
                <w:b w:val="0"/>
                <w:bCs w:val="0"/>
              </w:rPr>
              <w:t xml:space="preserve">(PTSD) </w:t>
            </w:r>
            <w:r w:rsidR="70162566">
              <w:rPr>
                <w:b w:val="0"/>
                <w:bCs w:val="0"/>
              </w:rPr>
              <w:t>and</w:t>
            </w:r>
            <w:r>
              <w:rPr>
                <w:b w:val="0"/>
                <w:bCs w:val="0"/>
              </w:rPr>
              <w:t xml:space="preserve"> depression a month </w:t>
            </w:r>
            <w:r w:rsidR="2580F6EA">
              <w:rPr>
                <w:b w:val="0"/>
                <w:bCs w:val="0"/>
              </w:rPr>
              <w:t xml:space="preserve">after </w:t>
            </w:r>
            <w:r>
              <w:rPr>
                <w:b w:val="0"/>
                <w:bCs w:val="0"/>
              </w:rPr>
              <w:t xml:space="preserve">the event. </w:t>
            </w:r>
            <w:r w:rsidR="538F5E2E">
              <w:rPr>
                <w:b w:val="0"/>
                <w:bCs w:val="0"/>
              </w:rPr>
              <w:t>Three</w:t>
            </w:r>
            <w:r>
              <w:rPr>
                <w:b w:val="0"/>
                <w:bCs w:val="0"/>
              </w:rPr>
              <w:t xml:space="preserve"> months post the event, Lee still suffers flashbacks and remains on medication for PTSD and depression.</w:t>
            </w:r>
          </w:p>
        </w:tc>
      </w:tr>
    </w:tbl>
    <w:p w:rsidRPr="009B7758" w:rsidR="00D25CBF" w:rsidP="009C186D" w:rsidRDefault="00D25CBF" w14:paraId="0EC589C4" w14:textId="23328FCC">
      <w:pPr>
        <w:pStyle w:val="SCVbullet1"/>
        <w:numPr>
          <w:ilvl w:val="0"/>
          <w:numId w:val="0"/>
        </w:numPr>
        <w:rPr>
          <w:highlight w:val="yellow"/>
        </w:rPr>
      </w:pPr>
    </w:p>
    <w:p w:rsidR="001848F9" w:rsidP="009C186D" w:rsidRDefault="001848F9" w14:paraId="07EB235A" w14:textId="77777777">
      <w:pPr>
        <w:pStyle w:val="SCVbullet1"/>
        <w:numPr>
          <w:ilvl w:val="0"/>
          <w:numId w:val="0"/>
        </w:numPr>
        <w:rPr>
          <w:highlight w:val="yellow"/>
        </w:rPr>
      </w:pPr>
    </w:p>
    <w:tbl>
      <w:tblPr>
        <w:tblStyle w:val="SCVpulloutbox"/>
        <w:tblpPr w:leftFromText="181" w:rightFromText="181" w:vertAnchor="text" w:horzAnchor="margin" w:tblpY="1"/>
        <w:tblOverlap w:val="never"/>
        <w:tblW w:w="10206" w:type="dxa"/>
        <w:tblLook w:val="04A0" w:firstRow="1" w:lastRow="0" w:firstColumn="1" w:lastColumn="0" w:noHBand="0" w:noVBand="1"/>
      </w:tblPr>
      <w:tblGrid>
        <w:gridCol w:w="10206"/>
      </w:tblGrid>
      <w:tr w:rsidR="001848F9" w:rsidTr="1977F94D" w14:paraId="4FB817B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Pr="00BE62C7" w:rsidR="001848F9" w:rsidP="1977F94D" w:rsidRDefault="38AF1EED" w14:paraId="3DF8A287" w14:textId="384B4FDF">
            <w:pPr>
              <w:pStyle w:val="SCVpulloutheading"/>
              <w:rPr>
                <w:b/>
              </w:rPr>
            </w:pPr>
            <w:r w:rsidRPr="1977F94D">
              <w:rPr>
                <w:b/>
              </w:rPr>
              <w:t xml:space="preserve">Case example </w:t>
            </w:r>
            <w:r w:rsidRPr="1977F94D" w:rsidR="5A9369BC">
              <w:rPr>
                <w:b/>
              </w:rPr>
              <w:t>5</w:t>
            </w:r>
            <w:r w:rsidRPr="1977F94D">
              <w:rPr>
                <w:b/>
              </w:rPr>
              <w:t>– Prolonged psychological harm</w:t>
            </w:r>
          </w:p>
          <w:p w:rsidR="7D43C52E" w:rsidP="75E8C8C1" w:rsidRDefault="7D43C52E" w14:paraId="31E37A34" w14:textId="51917BDA">
            <w:pPr>
              <w:spacing w:after="160" w:line="259" w:lineRule="auto"/>
              <w:rPr>
                <w:b w:val="0"/>
                <w:bCs w:val="0"/>
                <w:color w:val="007586" w:themeColor="accent2"/>
              </w:rPr>
            </w:pPr>
            <w:r w:rsidRPr="75E8C8C1">
              <w:rPr>
                <w:b w:val="0"/>
                <w:bCs w:val="0"/>
                <w:color w:val="007586" w:themeColor="accent2"/>
                <w:lang w:val="en-US"/>
              </w:rPr>
              <w:t xml:space="preserve">Cameron presents to an emergency department (ED) accompanied by several family members. Cameron has some chest pain, dizziness and slurred speech and is eventually seen by a physician who completes the admission, noting Cameron identifies as Aboriginal. The physician records Cameron’s medical history including poorly managed diabetes and that Cameron is a current smoker and consumes alcohol. Cameron explained that they had not been drinking prior to the ED presentation although to the physician, Cameron appears intoxicated. The physician concludes that Cameron had a minor fall due to being intoxicated and tells Cameron and family they “shouldn't have come to ED for such minor issues and to go to their general practitioner”. Cameron and family are distressed by this, concerned that a more serious health issue is being missed. Cameron states they are being discriminated against because of their Aboriginality. </w:t>
            </w:r>
          </w:p>
          <w:p w:rsidR="1550DC5A" w:rsidP="4BAA7A22" w:rsidRDefault="7D43C52E" w14:paraId="355ADB55" w14:textId="467EE753">
            <w:pPr>
              <w:spacing w:after="160" w:line="259" w:lineRule="auto"/>
              <w:rPr>
                <w:b w:val="0"/>
                <w:bCs w:val="0"/>
                <w:color w:val="007586" w:themeColor="accent2"/>
              </w:rPr>
            </w:pPr>
            <w:r w:rsidRPr="75E8C8C1">
              <w:rPr>
                <w:b w:val="0"/>
                <w:bCs w:val="0"/>
                <w:color w:val="007586" w:themeColor="accent2"/>
                <w:lang w:val="en-US"/>
              </w:rPr>
              <w:t>Cameron then visits the local Aboriginal community-controlled health organisation</w:t>
            </w:r>
            <w:r w:rsidRPr="234783ED" w:rsidR="1550DC5A">
              <w:rPr>
                <w:b w:val="0"/>
                <w:color w:val="007586" w:themeColor="accent2"/>
                <w:lang w:val="en-US"/>
              </w:rPr>
              <w:t xml:space="preserve"> (ACCHO) to see a GP and remains distressed from the ED incident. </w:t>
            </w:r>
            <w:r w:rsidRPr="4BAA7A22" w:rsidR="5BACF12D">
              <w:rPr>
                <w:b w:val="0"/>
                <w:color w:val="007586" w:themeColor="accent2"/>
                <w:lang w:val="en-US"/>
              </w:rPr>
              <w:t>T</w:t>
            </w:r>
            <w:r w:rsidRPr="234783ED" w:rsidR="5BACF12D">
              <w:rPr>
                <w:b w:val="0"/>
                <w:color w:val="007586" w:themeColor="accent2"/>
                <w:lang w:val="en-US"/>
              </w:rPr>
              <w:t>he</w:t>
            </w:r>
            <w:r w:rsidRPr="234783ED" w:rsidR="1550DC5A">
              <w:rPr>
                <w:b w:val="0"/>
                <w:color w:val="007586" w:themeColor="accent2"/>
                <w:lang w:val="en-US"/>
              </w:rPr>
              <w:t xml:space="preserve"> GP refers Cameron to the social and emotional wellbeing service </w:t>
            </w:r>
            <w:r w:rsidRPr="4BAA7A22" w:rsidR="5BACF12D">
              <w:rPr>
                <w:b w:val="0"/>
                <w:color w:val="007586" w:themeColor="accent2"/>
                <w:lang w:val="en-US"/>
              </w:rPr>
              <w:t>to</w:t>
            </w:r>
            <w:r w:rsidRPr="4BAA7A22" w:rsidR="1550DC5A">
              <w:rPr>
                <w:b w:val="0"/>
                <w:color w:val="007586" w:themeColor="accent2"/>
                <w:lang w:val="en-US"/>
              </w:rPr>
              <w:t xml:space="preserve"> see</w:t>
            </w:r>
            <w:r w:rsidRPr="234783ED" w:rsidR="1550DC5A">
              <w:rPr>
                <w:b w:val="0"/>
                <w:color w:val="007586" w:themeColor="accent2"/>
                <w:lang w:val="en-US"/>
              </w:rPr>
              <w:t xml:space="preserve"> a counsellor/psychologist. Cameron receives treatment over the next five weeks to address the psychological </w:t>
            </w:r>
            <w:r w:rsidRPr="75E8C8C1">
              <w:rPr>
                <w:b w:val="0"/>
                <w:bCs w:val="0"/>
                <w:color w:val="007586" w:themeColor="accent2"/>
                <w:lang w:val="en-US"/>
              </w:rPr>
              <w:t>distress</w:t>
            </w:r>
            <w:r w:rsidRPr="234783ED" w:rsidR="1550DC5A">
              <w:rPr>
                <w:b w:val="0"/>
                <w:color w:val="007586" w:themeColor="accent2"/>
                <w:lang w:val="en-US"/>
              </w:rPr>
              <w:t xml:space="preserve"> resulting from </w:t>
            </w:r>
            <w:r w:rsidRPr="4BAA7A22" w:rsidR="1550DC5A">
              <w:rPr>
                <w:b w:val="0"/>
                <w:color w:val="007586" w:themeColor="accent2"/>
                <w:lang w:val="en-US"/>
              </w:rPr>
              <w:t>the ED experience</w:t>
            </w:r>
            <w:r w:rsidRPr="4BAA7A22" w:rsidR="18763F6C">
              <w:rPr>
                <w:b w:val="0"/>
                <w:color w:val="007586" w:themeColor="accent2"/>
                <w:lang w:val="en-US"/>
              </w:rPr>
              <w:t>.</w:t>
            </w:r>
            <w:r w:rsidRPr="4BAA7A22" w:rsidR="1550DC5A">
              <w:rPr>
                <w:b w:val="0"/>
                <w:color w:val="007586" w:themeColor="accent2"/>
                <w:lang w:val="en-US"/>
              </w:rPr>
              <w:t xml:space="preserve"> </w:t>
            </w:r>
            <w:r w:rsidRPr="75E8C8C1">
              <w:rPr>
                <w:b w:val="0"/>
                <w:bCs w:val="0"/>
                <w:color w:val="007586" w:themeColor="accent2"/>
                <w:lang w:val="en-US"/>
              </w:rPr>
              <w:t xml:space="preserve"> </w:t>
            </w:r>
          </w:p>
          <w:p w:rsidR="2DF3EF48" w:rsidP="79901225" w:rsidRDefault="15DFC912" w14:paraId="3870765F" w14:textId="7F7E6696">
            <w:pPr>
              <w:spacing w:after="160" w:line="259" w:lineRule="auto"/>
              <w:rPr>
                <w:b w:val="0"/>
                <w:bCs w:val="0"/>
                <w:color w:val="007586" w:themeColor="accent2"/>
              </w:rPr>
            </w:pPr>
            <w:r w:rsidRPr="1977F94D">
              <w:rPr>
                <w:b w:val="0"/>
                <w:bCs w:val="0"/>
                <w:color w:val="007586" w:themeColor="accent2"/>
                <w:lang w:val="en-US"/>
              </w:rPr>
              <w:t xml:space="preserve">Cameron later calls the hospital’s Aboriginal Hospital Liaison Officer (AHLO) and explains the events that led to the </w:t>
            </w:r>
            <w:r w:rsidRPr="1977F94D" w:rsidR="4924920A">
              <w:rPr>
                <w:b w:val="0"/>
                <w:bCs w:val="0"/>
                <w:color w:val="007586" w:themeColor="accent2"/>
                <w:lang w:val="en-US"/>
              </w:rPr>
              <w:t>psychological</w:t>
            </w:r>
            <w:r w:rsidRPr="1977F94D">
              <w:rPr>
                <w:b w:val="0"/>
                <w:bCs w:val="0"/>
                <w:color w:val="007586" w:themeColor="accent2"/>
                <w:lang w:val="en-US"/>
              </w:rPr>
              <w:t xml:space="preserve"> distress. The AHLO then contacts the ED clinical services director (a registered health practitioner) who records the event in the health service clinical incident management system. </w:t>
            </w:r>
            <w:r w:rsidRPr="75E8C8C1" w:rsidR="7D43C52E">
              <w:rPr>
                <w:b w:val="0"/>
                <w:bCs w:val="0"/>
                <w:color w:val="007586" w:themeColor="accent2"/>
                <w:lang w:val="en-US"/>
              </w:rPr>
              <w:t>Cameron’s physical health issue has been addressed, however in the ED clinical services director’s opinion, this event has caused Cameron ‘prolonged psychological’</w:t>
            </w:r>
            <w:r w:rsidRPr="1977F94D">
              <w:rPr>
                <w:b w:val="0"/>
                <w:bCs w:val="0"/>
                <w:color w:val="007586" w:themeColor="accent2"/>
                <w:lang w:val="en-US"/>
              </w:rPr>
              <w:t xml:space="preserve"> harm, therefore meeting the definition of a SAPSE and triggering SDC requirements.</w:t>
            </w:r>
          </w:p>
          <w:p w:rsidRPr="000704EF" w:rsidR="001848F9" w:rsidP="00D91475" w:rsidRDefault="001848F9" w14:paraId="6F028BBF" w14:textId="0B501526">
            <w:pPr>
              <w:pStyle w:val="SCVpullouttext"/>
            </w:pPr>
            <w:r w:rsidRPr="00195D10">
              <w:t>See</w:t>
            </w:r>
            <w:r>
              <w:t xml:space="preserve"> the</w:t>
            </w:r>
            <w:r w:rsidRPr="00195D10">
              <w:t xml:space="preserve"> </w:t>
            </w:r>
            <w:hyperlink w:history="1" r:id="rId40">
              <w:r w:rsidRPr="007933FB">
                <w:rPr>
                  <w:rStyle w:val="Hyperlink"/>
                  <w:i/>
                  <w:iCs/>
                </w:rPr>
                <w:t>Victorian Duty of Candour Guidelines</w:t>
              </w:r>
            </w:hyperlink>
            <w:r w:rsidRPr="00195D10">
              <w:t xml:space="preserve"> for more information.</w:t>
            </w:r>
          </w:p>
        </w:tc>
      </w:tr>
    </w:tbl>
    <w:p w:rsidRPr="009B7758" w:rsidR="005B5D5F" w:rsidP="009C186D" w:rsidRDefault="005B5D5F" w14:paraId="6F429157" w14:textId="77777777">
      <w:pPr>
        <w:pStyle w:val="SCVbullet1"/>
        <w:numPr>
          <w:ilvl w:val="0"/>
          <w:numId w:val="0"/>
        </w:numPr>
        <w:rPr>
          <w:highlight w:val="yellow"/>
        </w:rPr>
      </w:pPr>
    </w:p>
    <w:p w:rsidR="00330558" w:rsidP="00330558" w:rsidRDefault="00330558" w14:paraId="4F8081E3" w14:textId="273069DC">
      <w:pPr>
        <w:pStyle w:val="Heading3"/>
      </w:pPr>
      <w:r>
        <w:t>Self-reported harm</w:t>
      </w:r>
    </w:p>
    <w:p w:rsidR="00C51514" w:rsidP="00C51514" w:rsidRDefault="27BA7D6D" w14:paraId="2D74FA16" w14:textId="6A40A67D">
      <w:pPr>
        <w:pStyle w:val="SCVbody"/>
      </w:pPr>
      <w:r>
        <w:t>If a patient identifies they have experienced harm that was</w:t>
      </w:r>
      <w:r w:rsidR="38528659">
        <w:t xml:space="preserve"> not</w:t>
      </w:r>
      <w:r>
        <w:t xml:space="preserve"> recorded</w:t>
      </w:r>
      <w:r w:rsidR="12BA3746">
        <w:t xml:space="preserve"> </w:t>
      </w:r>
      <w:r w:rsidR="02B32456">
        <w:t>by the</w:t>
      </w:r>
      <w:r w:rsidR="12BA3746">
        <w:t xml:space="preserve"> health</w:t>
      </w:r>
      <w:r w:rsidR="679535D0">
        <w:t xml:space="preserve"> service entity</w:t>
      </w:r>
      <w:r>
        <w:t xml:space="preserve">, the </w:t>
      </w:r>
      <w:r w:rsidR="7437600A">
        <w:t xml:space="preserve">entity </w:t>
      </w:r>
      <w:r>
        <w:t xml:space="preserve">must report this within </w:t>
      </w:r>
      <w:r w:rsidR="679535D0">
        <w:t>their clinical</w:t>
      </w:r>
      <w:r w:rsidR="38528659">
        <w:t xml:space="preserve"> </w:t>
      </w:r>
      <w:r>
        <w:t xml:space="preserve">incident management system. If the </w:t>
      </w:r>
      <w:r w:rsidR="3CAD67FD">
        <w:t xml:space="preserve">event </w:t>
      </w:r>
      <w:r>
        <w:t>is considered a SAPSE</w:t>
      </w:r>
      <w:r w:rsidR="74A8A875">
        <w:t xml:space="preserve"> as per a registered health practitioner</w:t>
      </w:r>
      <w:r>
        <w:t xml:space="preserve">, usual SDC processes should occur. If it falls outside this criteria, open disclosure </w:t>
      </w:r>
      <w:r w:rsidR="1022CF3B">
        <w:t>should</w:t>
      </w:r>
      <w:r>
        <w:t xml:space="preserve"> still </w:t>
      </w:r>
      <w:r w:rsidR="38528659">
        <w:t>occur,</w:t>
      </w:r>
      <w:r>
        <w:t xml:space="preserve"> and a meeting </w:t>
      </w:r>
      <w:r w:rsidR="5CAA84BB">
        <w:t xml:space="preserve">be </w:t>
      </w:r>
      <w:r>
        <w:t xml:space="preserve">offered </w:t>
      </w:r>
      <w:r w:rsidR="38528659">
        <w:t>to</w:t>
      </w:r>
      <w:r>
        <w:t xml:space="preserve"> the patient</w:t>
      </w:r>
      <w:r w:rsidR="25BDDE7A">
        <w:t xml:space="preserve"> if appropriate</w:t>
      </w:r>
      <w:r w:rsidR="38528659">
        <w:t>.</w:t>
      </w:r>
    </w:p>
    <w:p w:rsidR="004473B5" w:rsidP="00AA5A51" w:rsidRDefault="180D6684" w14:paraId="32BE0EF9" w14:textId="2030ECF1">
      <w:pPr>
        <w:pStyle w:val="SCVbody"/>
      </w:pPr>
      <w:r>
        <w:t xml:space="preserve">The SDC process starts at the time the SAPSE is identified, whether that be through notification via a clinical incident management system, or via a patient self-reporting the harm event. If there was delayed identification of the SAPSE, </w:t>
      </w:r>
      <w:r w:rsidR="002D28A3">
        <w:t>health service</w:t>
      </w:r>
      <w:r w:rsidR="00E0013E">
        <w:t xml:space="preserve"> entitie</w:t>
      </w:r>
      <w:r w:rsidR="002D28A3">
        <w:t xml:space="preserve">s should </w:t>
      </w:r>
      <w:r>
        <w:t xml:space="preserve">clearly explain and document the </w:t>
      </w:r>
      <w:r w:rsidR="002D28A3">
        <w:t>rationale</w:t>
      </w:r>
      <w:r w:rsidR="00006B04">
        <w:t xml:space="preserve"> for the delay </w:t>
      </w:r>
      <w:r>
        <w:t xml:space="preserve">and the steps undertaken to reduce the risk of the </w:t>
      </w:r>
      <w:r w:rsidR="00051451">
        <w:t>event</w:t>
      </w:r>
      <w:r w:rsidR="0089258D">
        <w:t xml:space="preserve"> recurrence</w:t>
      </w:r>
      <w:r w:rsidR="00051451">
        <w:t xml:space="preserve"> </w:t>
      </w:r>
      <w:r>
        <w:t xml:space="preserve">and </w:t>
      </w:r>
      <w:r w:rsidR="005C5210">
        <w:t xml:space="preserve">to improve timely </w:t>
      </w:r>
      <w:r>
        <w:t xml:space="preserve">identification </w:t>
      </w:r>
      <w:r w:rsidR="005C5210">
        <w:t>of future events</w:t>
      </w:r>
      <w:r>
        <w:t>.</w:t>
      </w:r>
    </w:p>
    <w:p w:rsidR="00EA5C15" w:rsidRDefault="00EA5C15" w14:paraId="2A8414F3" w14:textId="4A6D8317">
      <w:r>
        <w:br w:type="page"/>
      </w:r>
    </w:p>
    <w:p w:rsidR="00274187" w:rsidP="00274187" w:rsidRDefault="00274187" w14:paraId="4A9A377B" w14:textId="77777777">
      <w:pPr>
        <w:pStyle w:val="Heading2"/>
      </w:pPr>
      <w:bookmarkStart w:name="_Toc117519233" w:id="18"/>
      <w:r>
        <w:t>Cases involving more than one health service entity or patient</w:t>
      </w:r>
      <w:bookmarkEnd w:id="18"/>
    </w:p>
    <w:p w:rsidR="00274187" w:rsidP="00274187" w:rsidRDefault="23408AC8" w14:paraId="194F40FA" w14:textId="5EF9D29B">
      <w:pPr>
        <w:pStyle w:val="Heading3"/>
      </w:pPr>
      <w:r>
        <w:t>SAPSE occurs at another health service</w:t>
      </w:r>
      <w:r w:rsidR="5564F384">
        <w:t xml:space="preserve"> entity</w:t>
      </w:r>
      <w:r>
        <w:t>:</w:t>
      </w:r>
    </w:p>
    <w:p w:rsidR="00274187" w:rsidP="00274187" w:rsidRDefault="41BEFC50" w14:paraId="107C81C0" w14:textId="2A4D941C">
      <w:pPr>
        <w:pStyle w:val="SCVbodyafterheading"/>
      </w:pPr>
      <w:r>
        <w:t xml:space="preserve">Where a SAPSE has occurred at another health service </w:t>
      </w:r>
      <w:r w:rsidR="002A6834">
        <w:t xml:space="preserve">entity </w:t>
      </w:r>
      <w:r>
        <w:t xml:space="preserve">(e.g. the patient was transferred for treatment </w:t>
      </w:r>
      <w:r w:rsidR="002A6834">
        <w:t xml:space="preserve">at another entity </w:t>
      </w:r>
      <w:r>
        <w:t>after the SAPSE</w:t>
      </w:r>
      <w:r w:rsidR="002A6834">
        <w:t xml:space="preserve"> occurred</w:t>
      </w:r>
      <w:r>
        <w:t xml:space="preserve">), collaboration is </w:t>
      </w:r>
      <w:r w:rsidR="00410315">
        <w:t>strongly recommended</w:t>
      </w:r>
      <w:r w:rsidR="00935DAF">
        <w:t xml:space="preserve"> </w:t>
      </w:r>
      <w:r>
        <w:t>with the other health service</w:t>
      </w:r>
      <w:r w:rsidR="002A6834">
        <w:t xml:space="preserve"> entity</w:t>
      </w:r>
      <w:r>
        <w:t xml:space="preserve">. </w:t>
      </w:r>
    </w:p>
    <w:p w:rsidR="00274187" w:rsidP="7068FF33" w:rsidRDefault="0028F17A" w14:paraId="138A6ECE" w14:textId="0D2D21F8">
      <w:pPr>
        <w:pStyle w:val="SCVbullet1"/>
        <w:numPr>
          <w:ilvl w:val="0"/>
          <w:numId w:val="1"/>
        </w:numPr>
      </w:pPr>
      <w:r>
        <w:t>It is recommended that the health service</w:t>
      </w:r>
      <w:r w:rsidR="002A6834">
        <w:t xml:space="preserve"> entity</w:t>
      </w:r>
      <w:r>
        <w:t xml:space="preserve"> in which the SAPSE occurred should lead the SDC process. </w:t>
      </w:r>
    </w:p>
    <w:p w:rsidR="00274187" w:rsidP="7068FF33" w:rsidRDefault="23408AC8" w14:paraId="40C99653" w14:textId="377EBDB5">
      <w:pPr>
        <w:pStyle w:val="SCVbullet1"/>
        <w:numPr>
          <w:ilvl w:val="0"/>
          <w:numId w:val="1"/>
        </w:numPr>
      </w:pPr>
      <w:r>
        <w:t xml:space="preserve">If this is not practicable, both parties are to agree who will lead the SDC process. </w:t>
      </w:r>
    </w:p>
    <w:p w:rsidR="00274187" w:rsidP="00274187" w:rsidRDefault="23408AC8" w14:paraId="1098BE8E" w14:textId="54EEFB91">
      <w:pPr>
        <w:pStyle w:val="Heading3"/>
      </w:pPr>
      <w:r>
        <w:t>SAPSE occurs across more than one</w:t>
      </w:r>
      <w:r w:rsidR="5564F384">
        <w:t xml:space="preserve"> health</w:t>
      </w:r>
      <w:r>
        <w:t xml:space="preserve"> service</w:t>
      </w:r>
      <w:r w:rsidR="5564F384">
        <w:t xml:space="preserve"> entity</w:t>
      </w:r>
      <w:r>
        <w:t>:</w:t>
      </w:r>
    </w:p>
    <w:p w:rsidR="00274187" w:rsidP="00274187" w:rsidRDefault="00274187" w14:paraId="4ED2FD3D" w14:textId="52447A8D">
      <w:pPr>
        <w:pStyle w:val="SCVbody"/>
      </w:pPr>
      <w:r>
        <w:t>In the case of a SAPSE that involves two or more health service entities (i.e. event</w:t>
      </w:r>
      <w:r w:rsidR="002A6834">
        <w:t>s</w:t>
      </w:r>
      <w:r>
        <w:t xml:space="preserve"> at each </w:t>
      </w:r>
      <w:r w:rsidR="002A6834">
        <w:t>entity</w:t>
      </w:r>
      <w:r>
        <w:t xml:space="preserve"> likely contributed to the harm), the health service entities should discuss how to conduct the SDC process, but all </w:t>
      </w:r>
      <w:r w:rsidR="00653561">
        <w:t xml:space="preserve">entities </w:t>
      </w:r>
      <w:r w:rsidR="005B354C">
        <w:t xml:space="preserve">should </w:t>
      </w:r>
      <w:r>
        <w:t xml:space="preserve">participate. </w:t>
      </w:r>
    </w:p>
    <w:p w:rsidR="00274187" w:rsidP="00274187" w:rsidRDefault="00274187" w14:paraId="0F49FB15" w14:textId="77777777">
      <w:pPr>
        <w:pStyle w:val="SCVbody"/>
      </w:pPr>
      <w:r>
        <w:t xml:space="preserve">If the harm has occurred in two or more health services entities, one of which is in another state, the Victorian service must still meet SDC requirements. </w:t>
      </w:r>
    </w:p>
    <w:p w:rsidR="00274187" w:rsidP="00274187" w:rsidRDefault="00274187" w14:paraId="24321A04" w14:textId="77777777">
      <w:pPr>
        <w:pStyle w:val="Heading3"/>
      </w:pPr>
      <w:r>
        <w:t>Cases involving multiple patients</w:t>
      </w:r>
    </w:p>
    <w:p w:rsidR="00274187" w:rsidP="00274187" w:rsidRDefault="0292FD61" w14:paraId="311CC693" w14:textId="1675210B">
      <w:pPr>
        <w:pStyle w:val="SCVbodyafterheading"/>
      </w:pPr>
      <w:r>
        <w:t xml:space="preserve">There may be instances where multiple people are harmed from a single event. The health service entity should initiate </w:t>
      </w:r>
      <w:r w:rsidR="17E7D47C">
        <w:t xml:space="preserve">the </w:t>
      </w:r>
      <w:r>
        <w:t xml:space="preserve">SDC once the SAPSE has been identified and follow up individually with each patient harmed by the event. Where multiple people are harmed from a single event </w:t>
      </w:r>
      <w:r w:rsidR="1D8CF66A">
        <w:t>and the health service entities are unsure how to conduct this process, SCV</w:t>
      </w:r>
      <w:r w:rsidR="3725C4C5">
        <w:t xml:space="preserve"> </w:t>
      </w:r>
      <w:r w:rsidR="464E2A38">
        <w:t>may offer guidance to</w:t>
      </w:r>
      <w:r w:rsidR="299D12D7">
        <w:t xml:space="preserve"> </w:t>
      </w:r>
      <w:r w:rsidR="464E2A38">
        <w:t>the health service entities</w:t>
      </w:r>
      <w:r w:rsidR="3725C4C5">
        <w:t>.</w:t>
      </w:r>
    </w:p>
    <w:p w:rsidR="00274187" w:rsidP="00274187" w:rsidRDefault="00274187" w14:paraId="37FAB4F1" w14:textId="77777777">
      <w:pPr>
        <w:pStyle w:val="SCVbodyafterheading"/>
      </w:pPr>
      <w:r>
        <w:t>Where the SAPSE affects multiple patients, it may be appropriate to conduct a joint meeting with those involved. However, consent is necessary and must be obtained by the health service entity from each party involved.</w:t>
      </w:r>
      <w:r w:rsidDel="00910D2C">
        <w:t xml:space="preserve"> </w:t>
      </w:r>
    </w:p>
    <w:p w:rsidR="0079738C" w:rsidP="00274187" w:rsidRDefault="0079738C" w14:paraId="6C28BD39" w14:textId="77777777">
      <w:pPr>
        <w:pStyle w:val="SCVbody"/>
      </w:pPr>
    </w:p>
    <w:p w:rsidR="00255A2A" w:rsidP="00FC2BBC" w:rsidRDefault="00255A2A" w14:paraId="47DE18C4" w14:textId="2B9A404E">
      <w:pPr>
        <w:pStyle w:val="Heading2"/>
      </w:pPr>
      <w:bookmarkStart w:name="_Toc117519234" w:id="19"/>
      <w:r>
        <w:t>Escalation</w:t>
      </w:r>
      <w:r w:rsidR="00501C34">
        <w:t xml:space="preserve"> </w:t>
      </w:r>
      <w:r w:rsidR="006F5B51">
        <w:t xml:space="preserve">process </w:t>
      </w:r>
      <w:r w:rsidR="00501C34">
        <w:t xml:space="preserve">for </w:t>
      </w:r>
      <w:r w:rsidR="00990822">
        <w:t>disagreements</w:t>
      </w:r>
      <w:bookmarkEnd w:id="19"/>
    </w:p>
    <w:p w:rsidR="00F02EAE" w:rsidP="00FC2BBC" w:rsidRDefault="00F02EAE" w14:paraId="13D47A1B" w14:textId="1B93E6DE">
      <w:pPr>
        <w:pStyle w:val="Heading3"/>
      </w:pPr>
      <w:r>
        <w:t>Escalation within a health service</w:t>
      </w:r>
      <w:r w:rsidR="00CE1C65">
        <w:t xml:space="preserve"> entity</w:t>
      </w:r>
    </w:p>
    <w:p w:rsidR="00F02EAE" w:rsidP="00F02EAE" w:rsidRDefault="3BF0F7B6" w14:paraId="4837E307" w14:textId="10533040">
      <w:pPr>
        <w:pStyle w:val="SCVbody"/>
      </w:pPr>
      <w:r>
        <w:t>Health service entities should have an agreed process to manage the scenario where</w:t>
      </w:r>
      <w:r w:rsidR="00935DAF">
        <w:t xml:space="preserve"> </w:t>
      </w:r>
      <w:r w:rsidR="2266F539">
        <w:t>an adverse event occurs, and</w:t>
      </w:r>
      <w:r w:rsidR="0B2977E8">
        <w:t xml:space="preserve"> </w:t>
      </w:r>
      <w:r w:rsidR="5B4B6CA5">
        <w:t xml:space="preserve">two or more </w:t>
      </w:r>
      <w:r w:rsidR="40446F5D">
        <w:t xml:space="preserve">registered </w:t>
      </w:r>
      <w:r w:rsidR="5B4B6CA5">
        <w:t xml:space="preserve">health </w:t>
      </w:r>
      <w:r w:rsidR="40446F5D">
        <w:t xml:space="preserve">practitioners </w:t>
      </w:r>
      <w:r w:rsidR="5B4B6CA5">
        <w:t xml:space="preserve">disagree as to whether an event constitutes a SAPSE </w:t>
      </w:r>
      <w:r w:rsidR="52173B8D">
        <w:t>(which then</w:t>
      </w:r>
      <w:r w:rsidR="5B4B6CA5">
        <w:t xml:space="preserve"> triggers the SDC</w:t>
      </w:r>
      <w:r w:rsidR="4D132F64">
        <w:t>)</w:t>
      </w:r>
      <w:r w:rsidR="1561060D">
        <w:t>. This process should be approved and endorsed</w:t>
      </w:r>
      <w:r w:rsidR="5B4B6CA5">
        <w:t xml:space="preserve"> </w:t>
      </w:r>
      <w:r w:rsidR="5C218359">
        <w:t xml:space="preserve">by </w:t>
      </w:r>
      <w:r w:rsidR="5B4B6CA5">
        <w:t>the Chief Executive Officer (CEO) or their delegate</w:t>
      </w:r>
      <w:r w:rsidR="2E70594A">
        <w:t>(s)</w:t>
      </w:r>
      <w:r w:rsidR="5B4B6CA5">
        <w:t>.</w:t>
      </w:r>
    </w:p>
    <w:p w:rsidR="005D6ED2" w:rsidP="005D6ED2" w:rsidRDefault="00FE0132" w14:paraId="302D6C92" w14:textId="274C3C70">
      <w:pPr>
        <w:pStyle w:val="Heading3"/>
      </w:pPr>
      <w:r>
        <w:t xml:space="preserve">Escalation when </w:t>
      </w:r>
      <w:r w:rsidR="005D6ED2">
        <w:t>SAPSE occurs at another health service entity</w:t>
      </w:r>
    </w:p>
    <w:p w:rsidRPr="00F02EAE" w:rsidR="005D6ED2" w:rsidP="00F02EAE" w:rsidRDefault="5BBAD849" w14:paraId="4A5FD77E" w14:textId="529F4FDD">
      <w:pPr>
        <w:pStyle w:val="SCVbody"/>
      </w:pPr>
      <w:r>
        <w:t xml:space="preserve">If a SAPSE occurs at another health service entity and there is a refusal to conduct SDC or the parties cannot agree on the process, this </w:t>
      </w:r>
      <w:r w:rsidR="0F22E376">
        <w:t xml:space="preserve">must </w:t>
      </w:r>
      <w:r>
        <w:t xml:space="preserve">be </w:t>
      </w:r>
      <w:r w:rsidR="2DB349B7">
        <w:t xml:space="preserve">escalated </w:t>
      </w:r>
      <w:r>
        <w:t xml:space="preserve">to the </w:t>
      </w:r>
      <w:r w:rsidR="202638DA">
        <w:t>Secretary</w:t>
      </w:r>
      <w:r>
        <w:t>.</w:t>
      </w:r>
      <w:r w:rsidR="5811DD36">
        <w:t xml:space="preserve"> </w:t>
      </w:r>
      <w:r w:rsidR="1057F9D1">
        <w:t>T</w:t>
      </w:r>
      <w:r w:rsidR="5811DD36">
        <w:t xml:space="preserve">he Secretary </w:t>
      </w:r>
      <w:r w:rsidR="1057F9D1">
        <w:t>may</w:t>
      </w:r>
      <w:r w:rsidR="5811DD36">
        <w:t xml:space="preserve"> defer these concerns to </w:t>
      </w:r>
      <w:r w:rsidR="006D21D3">
        <w:t xml:space="preserve">other bodies </w:t>
      </w:r>
      <w:r w:rsidR="008633AC">
        <w:t xml:space="preserve">such as </w:t>
      </w:r>
      <w:r w:rsidR="5811DD36">
        <w:t>the Chief Quality and Safety Officer (CQSO)</w:t>
      </w:r>
      <w:r w:rsidR="00CA4D08">
        <w:t>.</w:t>
      </w:r>
    </w:p>
    <w:p w:rsidR="00F02EAE" w:rsidP="00FC2BBC" w:rsidRDefault="00F02EAE" w14:paraId="6D86D7E8" w14:textId="355ECAAA">
      <w:pPr>
        <w:pStyle w:val="Heading3"/>
      </w:pPr>
      <w:r>
        <w:t xml:space="preserve">Escalation </w:t>
      </w:r>
      <w:r w:rsidR="00FE0132">
        <w:t>when SAPSE occurs</w:t>
      </w:r>
      <w:r>
        <w:t xml:space="preserve"> </w:t>
      </w:r>
      <w:r w:rsidR="00FE0132">
        <w:t xml:space="preserve">across multiple </w:t>
      </w:r>
      <w:r>
        <w:t>health service</w:t>
      </w:r>
      <w:r w:rsidR="00CE1C65">
        <w:t xml:space="preserve"> entitie</w:t>
      </w:r>
      <w:r>
        <w:t>s</w:t>
      </w:r>
    </w:p>
    <w:p w:rsidR="00853D2F" w:rsidP="009A2F0F" w:rsidRDefault="2BA96C53" w14:paraId="3E5A9485" w14:textId="7FB18EAC">
      <w:pPr>
        <w:pStyle w:val="SCVbody"/>
      </w:pPr>
      <w:r>
        <w:t>If</w:t>
      </w:r>
      <w:r w:rsidR="7CDC4A92">
        <w:t xml:space="preserve"> two or more health service</w:t>
      </w:r>
      <w:r w:rsidR="37084A3C">
        <w:t xml:space="preserve"> entitie</w:t>
      </w:r>
      <w:r w:rsidR="7CDC4A92">
        <w:t xml:space="preserve">s </w:t>
      </w:r>
      <w:r w:rsidR="2C61229C">
        <w:t xml:space="preserve">involved in an event </w:t>
      </w:r>
      <w:r w:rsidR="7CDC4A92">
        <w:t xml:space="preserve">disagree as to whether </w:t>
      </w:r>
      <w:r w:rsidR="2C61229C">
        <w:t>the</w:t>
      </w:r>
      <w:r w:rsidR="7CDC4A92">
        <w:t xml:space="preserve"> event cons</w:t>
      </w:r>
      <w:r w:rsidR="2C61229C">
        <w:t xml:space="preserve">titutes a SAPSE, </w:t>
      </w:r>
      <w:r w:rsidR="63E392F5">
        <w:t xml:space="preserve">or there is a disagreement about how to conduct the SDC process, </w:t>
      </w:r>
      <w:r w:rsidR="67CD2408">
        <w:t>the</w:t>
      </w:r>
      <w:r w:rsidR="63E392F5">
        <w:t>se</w:t>
      </w:r>
      <w:r w:rsidR="67CD2408">
        <w:t xml:space="preserve"> matter</w:t>
      </w:r>
      <w:r w:rsidR="63E392F5">
        <w:t>s</w:t>
      </w:r>
      <w:r w:rsidR="4D97A582">
        <w:t xml:space="preserve"> </w:t>
      </w:r>
      <w:r w:rsidR="63E392F5">
        <w:t xml:space="preserve">should </w:t>
      </w:r>
      <w:r w:rsidR="4D97A582">
        <w:t xml:space="preserve">be escalated to the </w:t>
      </w:r>
      <w:r w:rsidR="6D4B898B">
        <w:t>Secretary</w:t>
      </w:r>
      <w:r w:rsidR="4D97A582">
        <w:t>.</w:t>
      </w:r>
      <w:r w:rsidR="04C3C804">
        <w:t xml:space="preserve"> </w:t>
      </w:r>
      <w:r w:rsidR="043FCDDF">
        <w:t>The Secretary may defer these concerns to other bodies such as the Chief Quality and Safety Officer (CQSO).</w:t>
      </w:r>
    </w:p>
    <w:p w:rsidR="009C192F" w:rsidP="00FC2BBC" w:rsidRDefault="20BF5F9A" w14:paraId="47EA8C25" w14:textId="588E8BBD">
      <w:pPr>
        <w:pStyle w:val="Heading3"/>
      </w:pPr>
      <w:r>
        <w:t>Escalation for disputed self-reported harm</w:t>
      </w:r>
    </w:p>
    <w:p w:rsidR="00480915" w:rsidP="000D2A3D" w:rsidRDefault="001C0BBE" w14:paraId="648CEB7D" w14:textId="10DE31A9">
      <w:pPr>
        <w:pStyle w:val="SCVbody"/>
      </w:pPr>
      <w:r w:rsidRPr="001C0BBE">
        <w:t>If a patient self-reports a harm that they believe constitutes a SAPSE, and this is disputed by a registered health practitioner</w:t>
      </w:r>
      <w:r w:rsidRPr="001C0BBE" w:rsidDel="001C0BBE">
        <w:t xml:space="preserve"> </w:t>
      </w:r>
      <w:r w:rsidR="00CF2EB5">
        <w:t>the health service</w:t>
      </w:r>
      <w:r w:rsidR="009C7CCE">
        <w:t xml:space="preserve"> entity</w:t>
      </w:r>
      <w:r w:rsidR="00CF2EB5">
        <w:t xml:space="preserve"> should provide the patient with a means of escalation to mediate the disagreement</w:t>
      </w:r>
      <w:r w:rsidR="008A04F0">
        <w:t xml:space="preserve">. This </w:t>
      </w:r>
      <w:r w:rsidR="00780D77">
        <w:t xml:space="preserve">point of escalation </w:t>
      </w:r>
      <w:r w:rsidR="008A04F0">
        <w:t xml:space="preserve">may </w:t>
      </w:r>
      <w:r w:rsidR="00780D77">
        <w:t>be</w:t>
      </w:r>
      <w:r w:rsidR="008A04F0">
        <w:t>:</w:t>
      </w:r>
    </w:p>
    <w:p w:rsidR="00EE7D1E" w:rsidP="7068FF33" w:rsidRDefault="7BEB63EC" w14:paraId="6497B15E" w14:textId="749522E8">
      <w:pPr>
        <w:pStyle w:val="SCVbullet1"/>
        <w:numPr>
          <w:ilvl w:val="0"/>
          <w:numId w:val="11"/>
        </w:numPr>
      </w:pPr>
      <w:r>
        <w:t xml:space="preserve">the internal consumer liaison officer (or equivalent) </w:t>
      </w:r>
    </w:p>
    <w:p w:rsidR="00753948" w:rsidP="7068FF33" w:rsidRDefault="20F71890" w14:paraId="358C0CEF" w14:textId="631F2A29">
      <w:pPr>
        <w:pStyle w:val="SCVbullet1"/>
        <w:numPr>
          <w:ilvl w:val="0"/>
          <w:numId w:val="11"/>
        </w:numPr>
      </w:pPr>
      <w:r>
        <w:t xml:space="preserve">the </w:t>
      </w:r>
      <w:hyperlink r:id="rId41">
        <w:r w:rsidRPr="6D83CBF4" w:rsidR="2380DE10">
          <w:rPr>
            <w:rStyle w:val="Hyperlink"/>
          </w:rPr>
          <w:t>H</w:t>
        </w:r>
        <w:r w:rsidRPr="6D83CBF4">
          <w:rPr>
            <w:rStyle w:val="Hyperlink"/>
          </w:rPr>
          <w:t>ealth Complaints Commissioner</w:t>
        </w:r>
      </w:hyperlink>
      <w:r>
        <w:t xml:space="preserve"> (HCC)</w:t>
      </w:r>
      <w:r w:rsidR="3E1D1D6E">
        <w:t>, or</w:t>
      </w:r>
    </w:p>
    <w:p w:rsidR="008F4275" w:rsidP="7068FF33" w:rsidRDefault="5CF42184" w14:paraId="23808FD1" w14:textId="653ECB52">
      <w:pPr>
        <w:pStyle w:val="SCVbullet1"/>
        <w:numPr>
          <w:ilvl w:val="0"/>
          <w:numId w:val="11"/>
        </w:numPr>
      </w:pPr>
      <w:r>
        <w:t xml:space="preserve">the </w:t>
      </w:r>
      <w:hyperlink w:history="1" r:id="rId42">
        <w:r w:rsidRPr="004D30A8">
          <w:rPr>
            <w:rStyle w:val="Hyperlink"/>
          </w:rPr>
          <w:t xml:space="preserve">Mental </w:t>
        </w:r>
        <w:r w:rsidRPr="004D30A8" w:rsidR="004D30A8">
          <w:rPr>
            <w:rStyle w:val="Hyperlink"/>
          </w:rPr>
          <w:t>H</w:t>
        </w:r>
        <w:r w:rsidRPr="004D30A8">
          <w:rPr>
            <w:rStyle w:val="Hyperlink"/>
          </w:rPr>
          <w:t>ealth Complaints Commissioner</w:t>
        </w:r>
      </w:hyperlink>
      <w:r>
        <w:t xml:space="preserve"> (MHCC)</w:t>
      </w:r>
      <w:r w:rsidR="61E74E40">
        <w:t>.</w:t>
      </w:r>
    </w:p>
    <w:p w:rsidR="53D177F2" w:rsidP="7068FF33" w:rsidRDefault="53D177F2" w14:paraId="767DF58F" w14:textId="1CF736F5">
      <w:pPr>
        <w:pStyle w:val="SCVbullet1"/>
        <w:numPr>
          <w:ilvl w:val="0"/>
          <w:numId w:val="11"/>
        </w:numPr>
      </w:pPr>
      <w:r>
        <w:t xml:space="preserve">The </w:t>
      </w:r>
      <w:hyperlink r:id="rId43">
        <w:r w:rsidRPr="067B399A">
          <w:rPr>
            <w:rStyle w:val="Hyperlink"/>
          </w:rPr>
          <w:t>Chief Aboriginal Health Advisor</w:t>
        </w:r>
      </w:hyperlink>
      <w:r>
        <w:t xml:space="preserve"> (for Aboriginal and Torres Strait Islander patients).</w:t>
      </w:r>
    </w:p>
    <w:p w:rsidR="00E56FF1" w:rsidP="0079738C" w:rsidRDefault="00E56FF1" w14:paraId="5DD191CD" w14:textId="77777777">
      <w:pPr>
        <w:pStyle w:val="SCVbullet1"/>
        <w:numPr>
          <w:ilvl w:val="0"/>
          <w:numId w:val="0"/>
        </w:numPr>
        <w:ind w:left="284" w:hanging="284"/>
      </w:pPr>
    </w:p>
    <w:p w:rsidR="00EA0BE4" w:rsidP="00FB3420" w:rsidRDefault="00EA0BE4" w14:paraId="061DEA81" w14:textId="2D2C3393">
      <w:pPr>
        <w:pStyle w:val="Heading2"/>
      </w:pPr>
      <w:bookmarkStart w:name="_Toc117519235" w:id="20"/>
      <w:r>
        <w:t>Non-compliance with SDC</w:t>
      </w:r>
      <w:bookmarkEnd w:id="20"/>
    </w:p>
    <w:p w:rsidR="00522638" w:rsidP="00522638" w:rsidRDefault="00522638" w14:paraId="7E9F4C50" w14:textId="36818C7D">
      <w:pPr>
        <w:spacing w:before="120" w:after="120"/>
        <w:rPr>
          <w:noProof/>
        </w:rPr>
      </w:pPr>
      <w:r>
        <w:rPr>
          <w:noProof/>
        </w:rPr>
        <w:t xml:space="preserve">Non-compliance </w:t>
      </w:r>
      <w:r w:rsidR="00EE70DC">
        <w:rPr>
          <w:noProof/>
        </w:rPr>
        <w:t xml:space="preserve">with SDC </w:t>
      </w:r>
      <w:r>
        <w:rPr>
          <w:noProof/>
        </w:rPr>
        <w:t>can be identified through:</w:t>
      </w:r>
    </w:p>
    <w:p w:rsidR="002D5D71" w:rsidP="7068FF33" w:rsidRDefault="002D5D71" w14:paraId="60D95348" w14:textId="369D72A4">
      <w:pPr>
        <w:pStyle w:val="SCVbullet1"/>
        <w:numPr>
          <w:ilvl w:val="0"/>
          <w:numId w:val="10"/>
        </w:numPr>
      </w:pPr>
      <w:r w:rsidRPr="002D5D71">
        <w:t>data provided to the Victorian Agency for Health Information</w:t>
      </w:r>
      <w:r>
        <w:t xml:space="preserve"> (VAHI)</w:t>
      </w:r>
    </w:p>
    <w:p w:rsidR="00522638" w:rsidP="7068FF33" w:rsidRDefault="3429B2BA" w14:paraId="403F94D8" w14:textId="1C29DFB8">
      <w:pPr>
        <w:pStyle w:val="SCVbullet1"/>
        <w:numPr>
          <w:ilvl w:val="0"/>
          <w:numId w:val="10"/>
        </w:numPr>
      </w:pPr>
      <w:r>
        <w:t>internal audits of the health service entity or a direct complaint to the health service</w:t>
      </w:r>
      <w:r w:rsidR="36FE0671">
        <w:t xml:space="preserve"> entity</w:t>
      </w:r>
    </w:p>
    <w:p w:rsidR="002D5D71" w:rsidP="7068FF33" w:rsidRDefault="228B0546" w14:paraId="187F508C" w14:textId="277B7294">
      <w:pPr>
        <w:pStyle w:val="SCVbullet1"/>
        <w:numPr>
          <w:ilvl w:val="0"/>
          <w:numId w:val="10"/>
        </w:numPr>
        <w:rPr>
          <w:noProof/>
        </w:rPr>
      </w:pPr>
      <w:r>
        <w:t>information provided to the Department of Health (DH), SCV</w:t>
      </w:r>
      <w:r w:rsidR="00E47D23">
        <w:t>,</w:t>
      </w:r>
      <w:r>
        <w:t xml:space="preserve"> or the Minister for Health, the Minister for Ambulance Services or the Minister for Mental Health</w:t>
      </w:r>
    </w:p>
    <w:p w:rsidR="00EA0BE4" w:rsidP="7068FF33" w:rsidRDefault="228B0546" w14:paraId="54B55E89" w14:textId="22BF1B19">
      <w:pPr>
        <w:pStyle w:val="SCVbullet1"/>
        <w:numPr>
          <w:ilvl w:val="0"/>
          <w:numId w:val="10"/>
        </w:numPr>
        <w:rPr>
          <w:noProof/>
        </w:rPr>
      </w:pPr>
      <w:r w:rsidRPr="7068FF33">
        <w:rPr>
          <w:noProof/>
        </w:rPr>
        <w:t>a complaint to the Health Complaints Commissioner (HCC) or the Mental Health Complaints Commissioner (MHCC).</w:t>
      </w:r>
    </w:p>
    <w:p w:rsidR="00562F09" w:rsidP="009C186D" w:rsidRDefault="04F9F6D4" w14:paraId="12395400" w14:textId="59EFB90B">
      <w:pPr>
        <w:pStyle w:val="SCVbodyafterheading"/>
      </w:pPr>
      <w:r>
        <w:t>Where minor incidents of non-compliance (</w:t>
      </w:r>
      <w:r w:rsidR="00935DAF">
        <w:t>i.e.</w:t>
      </w:r>
      <w:r>
        <w:t xml:space="preserve"> not all stages followed, or timelines altered) or self-reported non-compliance of SDC are identified, SCV may work with health service entities to assist them to improve practice.</w:t>
      </w:r>
    </w:p>
    <w:p w:rsidR="00170ECF" w:rsidP="009C186D" w:rsidRDefault="00170ECF" w14:paraId="0F917904" w14:textId="2F1017EE">
      <w:pPr>
        <w:pStyle w:val="SCVbodyafterheading"/>
      </w:pPr>
      <w:r>
        <w:t>Where major incidents</w:t>
      </w:r>
      <w:r w:rsidR="006677CE">
        <w:t xml:space="preserve"> or repeated</w:t>
      </w:r>
      <w:r>
        <w:t xml:space="preserve"> non-</w:t>
      </w:r>
      <w:r w:rsidR="002244F1">
        <w:t>compliance</w:t>
      </w:r>
      <w:r>
        <w:t xml:space="preserve"> </w:t>
      </w:r>
      <w:r w:rsidR="002244F1">
        <w:t>occur</w:t>
      </w:r>
      <w:r w:rsidR="006677CE">
        <w:t>s</w:t>
      </w:r>
      <w:r w:rsidR="002244F1">
        <w:t xml:space="preserve">, </w:t>
      </w:r>
      <w:r w:rsidRPr="4481240E" w:rsidR="358C34E6">
        <w:rPr>
          <w:rFonts w:ascii="Arial" w:hAnsi="Arial" w:eastAsia="Arial" w:cs="Arial"/>
        </w:rPr>
        <w:t>there are a number of informal and formal options that may be pursued including</w:t>
      </w:r>
      <w:r w:rsidRPr="4481240E" w:rsidR="358C34E6">
        <w:t xml:space="preserve"> </w:t>
      </w:r>
      <w:r w:rsidR="002244F1">
        <w:t xml:space="preserve">the Minister for Health </w:t>
      </w:r>
      <w:r w:rsidR="0A827C27">
        <w:t>publishing</w:t>
      </w:r>
      <w:r w:rsidR="002244F1">
        <w:t xml:space="preserve"> a statement setting out the name of a relevant health service entity. </w:t>
      </w:r>
      <w:r w:rsidR="437D857E">
        <w:t xml:space="preserve">See the </w:t>
      </w:r>
      <w:hyperlink r:id="rId44">
        <w:r w:rsidRPr="4481240E" w:rsidR="437D857E">
          <w:rPr>
            <w:rStyle w:val="Hyperlink"/>
            <w:i/>
            <w:iCs/>
          </w:rPr>
          <w:t>Victorian Duty of Candour Guidelines</w:t>
        </w:r>
      </w:hyperlink>
      <w:r w:rsidR="437D857E">
        <w:t xml:space="preserve"> for more details. </w:t>
      </w:r>
    </w:p>
    <w:p w:rsidR="00105A19" w:rsidRDefault="00105A19" w14:paraId="7744513B" w14:textId="1CB0E70C">
      <w:r>
        <w:br w:type="page"/>
      </w:r>
    </w:p>
    <w:p w:rsidRPr="00030DE7" w:rsidR="00030DE7" w:rsidP="00030DE7" w:rsidRDefault="00030DE7" w14:paraId="541F63C2" w14:textId="515E814B">
      <w:pPr>
        <w:pStyle w:val="Heading1"/>
        <w:rPr>
          <w:sz w:val="48"/>
          <w:szCs w:val="48"/>
        </w:rPr>
      </w:pPr>
      <w:bookmarkStart w:name="_Toc110937990" w:id="21"/>
      <w:bookmarkStart w:name="_Toc117519236" w:id="22"/>
      <w:r w:rsidRPr="00030DE7">
        <w:rPr>
          <w:sz w:val="48"/>
          <w:szCs w:val="48"/>
        </w:rPr>
        <w:t>Patient considerations</w:t>
      </w:r>
      <w:bookmarkEnd w:id="21"/>
      <w:bookmarkEnd w:id="22"/>
    </w:p>
    <w:p w:rsidRPr="00805E70" w:rsidR="00213D94" w:rsidP="00805E70" w:rsidRDefault="00213D94" w14:paraId="657AD1D9" w14:textId="572191FA">
      <w:pPr>
        <w:pStyle w:val="SCVintroductorytext"/>
      </w:pPr>
      <w:r>
        <w:t xml:space="preserve">Patient consideration </w:t>
      </w:r>
      <w:r w:rsidR="00AD23D9">
        <w:t xml:space="preserve">is pivotal when </w:t>
      </w:r>
      <w:r w:rsidR="00D11199">
        <w:t xml:space="preserve">undertaking </w:t>
      </w:r>
      <w:r w:rsidR="00AD23D9">
        <w:t xml:space="preserve">SDC. </w:t>
      </w:r>
      <w:r w:rsidR="008B6D93">
        <w:t xml:space="preserve">Although </w:t>
      </w:r>
      <w:r w:rsidR="00FE4A68">
        <w:t>this section of the Framework</w:t>
      </w:r>
      <w:r w:rsidR="00D11199">
        <w:t xml:space="preserve"> highlights some vulnerable groups</w:t>
      </w:r>
      <w:r w:rsidR="00FE4A68">
        <w:t xml:space="preserve">, </w:t>
      </w:r>
      <w:r w:rsidR="0007413D">
        <w:t xml:space="preserve">clinicians should acknowledge that </w:t>
      </w:r>
      <w:r w:rsidR="00B47369">
        <w:t xml:space="preserve">when harm has occurred, </w:t>
      </w:r>
      <w:r w:rsidR="00D11199">
        <w:t>every</w:t>
      </w:r>
      <w:r w:rsidR="00B47369">
        <w:t xml:space="preserve"> patient is vulnerable </w:t>
      </w:r>
      <w:r w:rsidR="00805E70">
        <w:t xml:space="preserve">and may have lower </w:t>
      </w:r>
      <w:r w:rsidR="00D11199">
        <w:t xml:space="preserve">capacity for </w:t>
      </w:r>
      <w:r w:rsidR="00805E70">
        <w:t>self-advocacy</w:t>
      </w:r>
      <w:r w:rsidR="00D11199">
        <w:t xml:space="preserve"> than usual</w:t>
      </w:r>
      <w:r w:rsidR="00805E70">
        <w:t xml:space="preserve">. The </w:t>
      </w:r>
      <w:r w:rsidR="001E318D">
        <w:t>support persons</w:t>
      </w:r>
      <w:r w:rsidR="00805E70">
        <w:t xml:space="preserve"> of patients who have suffered harm will also require support throughout the process. There may also be intersectionality between the </w:t>
      </w:r>
      <w:r w:rsidR="004D22A4">
        <w:t>groups</w:t>
      </w:r>
      <w:r w:rsidR="00D11199">
        <w:t xml:space="preserve"> highlighted below</w:t>
      </w:r>
      <w:r w:rsidR="00805E70">
        <w:t xml:space="preserve">. </w:t>
      </w:r>
      <w:r>
        <w:t xml:space="preserve"> </w:t>
      </w:r>
    </w:p>
    <w:p w:rsidR="00030DE7" w:rsidP="00030DE7" w:rsidRDefault="00030DE7" w14:paraId="5342EC3B" w14:textId="77777777">
      <w:pPr>
        <w:pStyle w:val="Heading2"/>
      </w:pPr>
      <w:bookmarkStart w:name="_Toc110937991" w:id="23"/>
      <w:bookmarkStart w:name="_Toc117519237" w:id="24"/>
      <w:r>
        <w:t>Patients with learning difficulties or cognitive impairment</w:t>
      </w:r>
      <w:bookmarkEnd w:id="23"/>
      <w:bookmarkEnd w:id="24"/>
      <w:r>
        <w:t xml:space="preserve"> </w:t>
      </w:r>
    </w:p>
    <w:p w:rsidR="00030DE7" w:rsidP="00030DE7" w:rsidRDefault="00030DE7" w14:paraId="496D7CB5" w14:textId="77777777">
      <w:pPr>
        <w:pStyle w:val="SCVbodyafterheading"/>
      </w:pPr>
      <w:r>
        <w:t>For patients with learning difficulties or cognitive impairment, ensure:</w:t>
      </w:r>
    </w:p>
    <w:p w:rsidR="00030DE7" w:rsidP="7068FF33" w:rsidRDefault="7634FB45" w14:paraId="08560D77" w14:textId="77777777">
      <w:pPr>
        <w:pStyle w:val="SCVbullet1"/>
        <w:numPr>
          <w:ilvl w:val="0"/>
          <w:numId w:val="9"/>
        </w:numPr>
      </w:pPr>
      <w:r>
        <w:t xml:space="preserve">communication is in a format that is accessible </w:t>
      </w:r>
    </w:p>
    <w:p w:rsidR="00030DE7" w:rsidP="7068FF33" w:rsidRDefault="7634FB45" w14:paraId="684F3C4F" w14:textId="45ABD63D">
      <w:pPr>
        <w:pStyle w:val="SCVbullet1"/>
        <w:numPr>
          <w:ilvl w:val="0"/>
          <w:numId w:val="9"/>
        </w:numPr>
      </w:pPr>
      <w:r>
        <w:t>necessary supports, including the patient’s usual carer or representative, are available</w:t>
      </w:r>
    </w:p>
    <w:p w:rsidR="38277087" w:rsidP="7068FF33" w:rsidRDefault="58036EC6" w14:paraId="52527861" w14:textId="3F7FA967">
      <w:pPr>
        <w:pStyle w:val="SCVbullet1"/>
        <w:numPr>
          <w:ilvl w:val="0"/>
          <w:numId w:val="9"/>
        </w:numPr>
        <w:rPr>
          <w:color w:val="000000" w:themeColor="text1"/>
        </w:rPr>
      </w:pPr>
      <w:r w:rsidRPr="7068FF33">
        <w:rPr>
          <w:rFonts w:ascii="Arial" w:hAnsi="Arial" w:eastAsia="Arial" w:cs="Arial"/>
        </w:rPr>
        <w:t>Health service liaison officers are made available</w:t>
      </w:r>
      <w:r w:rsidR="00EF1859">
        <w:rPr>
          <w:rFonts w:ascii="Arial" w:hAnsi="Arial" w:eastAsia="Arial" w:cs="Arial"/>
        </w:rPr>
        <w:t>.</w:t>
      </w:r>
    </w:p>
    <w:p w:rsidRPr="00B10CD5" w:rsidR="00030DE7" w:rsidRDefault="007808B7" w14:paraId="42C997BD" w14:textId="0E562C52">
      <w:pPr>
        <w:pStyle w:val="Heading2"/>
        <w:rPr>
          <w:highlight w:val="yellow"/>
        </w:rPr>
      </w:pPr>
      <w:bookmarkStart w:name="_Toc117519238" w:id="25"/>
      <w:r>
        <w:t>Patients with mental illness</w:t>
      </w:r>
      <w:bookmarkEnd w:id="25"/>
    </w:p>
    <w:p w:rsidR="00160327" w:rsidP="00160327" w:rsidRDefault="00160327" w14:paraId="330410FA" w14:textId="726A213B">
      <w:pPr>
        <w:pStyle w:val="SCVbody"/>
      </w:pPr>
      <w:bookmarkStart w:name="_Toc110937993" w:id="26"/>
      <w:r>
        <w:t xml:space="preserve">The </w:t>
      </w:r>
      <w:r w:rsidRPr="2778AFCB">
        <w:rPr>
          <w:i/>
          <w:iCs/>
        </w:rPr>
        <w:t>Mental Health Act 2014</w:t>
      </w:r>
      <w:r>
        <w:t xml:space="preserve"> </w:t>
      </w:r>
      <w:r w:rsidR="5B18FE47">
        <w:t>outlines the rights of people receiving compulsory mental health treatment and aims</w:t>
      </w:r>
      <w:r>
        <w:t xml:space="preserve"> to protect and support the rights of people living with mental illness. This includes the right to nominate support people, who can receive information and support decision-making. Clinicians should ensure they have considered the appropriate communication approach for these cases.</w:t>
      </w:r>
    </w:p>
    <w:p w:rsidR="00890867" w:rsidP="00160327" w:rsidRDefault="00890867" w14:paraId="3AE87B7D" w14:textId="274C5BDD">
      <w:pPr>
        <w:pStyle w:val="SCVbody"/>
      </w:pPr>
      <w:r w:rsidRPr="00755B9B">
        <w:rPr>
          <w:b/>
          <w:bCs/>
        </w:rPr>
        <w:t>Note</w:t>
      </w:r>
      <w:r>
        <w:t xml:space="preserve">: </w:t>
      </w:r>
      <w:r>
        <w:rPr>
          <w:rStyle w:val="SCVbodyChar"/>
        </w:rPr>
        <w:t xml:space="preserve">Patients under the </w:t>
      </w:r>
      <w:r w:rsidRPr="002E53B3">
        <w:rPr>
          <w:rStyle w:val="SCVbodyChar"/>
          <w:i/>
          <w:iCs/>
        </w:rPr>
        <w:t>Mental Health Act 2014</w:t>
      </w:r>
      <w:r w:rsidRPr="00755B9B">
        <w:rPr>
          <w:rStyle w:val="SCVbodyChar"/>
        </w:rPr>
        <w:t xml:space="preserve"> may have lower capacity for self-advocacy and be less able to protect themselves from harm</w:t>
      </w:r>
      <w:r>
        <w:rPr>
          <w:rStyle w:val="SCVbodyChar"/>
        </w:rPr>
        <w:t>.</w:t>
      </w:r>
      <w:r>
        <w:rPr>
          <w:rStyle w:val="FootnoteReference"/>
        </w:rPr>
        <w:footnoteReference w:id="26"/>
      </w:r>
    </w:p>
    <w:p w:rsidR="000B61D5" w:rsidP="00160327" w:rsidRDefault="000B61D5" w14:paraId="6C6E0553" w14:textId="073F11B3">
      <w:pPr>
        <w:pStyle w:val="SCVbody"/>
        <w:rPr>
          <w:b/>
          <w:bCs/>
        </w:rPr>
      </w:pPr>
      <w:r>
        <w:t>See</w:t>
      </w:r>
      <w:r w:rsidR="00D704BC">
        <w:t xml:space="preserve"> </w:t>
      </w:r>
      <w:r w:rsidR="00AD410E">
        <w:t xml:space="preserve">the </w:t>
      </w:r>
      <w:r w:rsidR="00D704BC">
        <w:t xml:space="preserve">DH site on </w:t>
      </w:r>
      <w:r w:rsidR="00560465">
        <w:t>p</w:t>
      </w:r>
      <w:r w:rsidR="00D704BC">
        <w:t xml:space="preserve">resumption of </w:t>
      </w:r>
      <w:r w:rsidR="00560465">
        <w:t>c</w:t>
      </w:r>
      <w:r w:rsidR="00D704BC">
        <w:t xml:space="preserve">apacity for </w:t>
      </w:r>
      <w:r w:rsidR="00256BAA">
        <w:t>guidance o</w:t>
      </w:r>
      <w:r w:rsidR="00560465">
        <w:t xml:space="preserve">n informed consent: </w:t>
      </w:r>
      <w:hyperlink r:id="rId45">
        <w:r w:rsidRPr="05D1CE4A" w:rsidR="00560465">
          <w:rPr>
            <w:rStyle w:val="Hyperlink"/>
          </w:rPr>
          <w:t>Presumption of capacity (health.vic.gov.au)</w:t>
        </w:r>
      </w:hyperlink>
      <w:r w:rsidR="00560465">
        <w:t>.</w:t>
      </w:r>
    </w:p>
    <w:p w:rsidR="00030DE7" w:rsidP="00030DE7" w:rsidRDefault="2F3A4944" w14:paraId="585C33E6" w14:textId="4939371C">
      <w:pPr>
        <w:pStyle w:val="Heading2"/>
      </w:pPr>
      <w:bookmarkStart w:name="_Toc117519239" w:id="27"/>
      <w:r>
        <w:t>Paediatric and Young People cases</w:t>
      </w:r>
      <w:bookmarkEnd w:id="26"/>
      <w:bookmarkEnd w:id="27"/>
    </w:p>
    <w:p w:rsidR="00030DE7" w:rsidP="00030DE7" w:rsidRDefault="2F3A4944" w14:paraId="643FE44F" w14:textId="5460B347">
      <w:pPr>
        <w:pStyle w:val="SCVbodyafterheading"/>
      </w:pPr>
      <w:r>
        <w:t xml:space="preserve">Together with </w:t>
      </w:r>
      <w:r w:rsidR="0058799E">
        <w:t>family members</w:t>
      </w:r>
      <w:r>
        <w:t>/carers, assess whether a child should be informed of the SAPSE. Consider the child’s maturity, their wishes about their treatment and their parents’/</w:t>
      </w:r>
      <w:r w:rsidR="0058799E">
        <w:t>family members/</w:t>
      </w:r>
      <w:r>
        <w:t>carers wishes. Where the SAPSE occurs in relation to a child or young person, the health service</w:t>
      </w:r>
      <w:r w:rsidR="59515574">
        <w:t xml:space="preserve"> entity</w:t>
      </w:r>
      <w:r>
        <w:t xml:space="preserve"> should consider the best way to incorporate all family members/carers who have responsibility for the child. In the case of separated families this may be via one or more meeting(s) depending on the situation.</w:t>
      </w:r>
    </w:p>
    <w:p w:rsidR="008F4275" w:rsidP="00030DE7" w:rsidRDefault="7634FB45" w14:paraId="62393DC4" w14:textId="6D28BC51">
      <w:pPr>
        <w:pStyle w:val="SCVbodyafterheading"/>
      </w:pPr>
      <w:r>
        <w:t xml:space="preserve">Where the child is considered </w:t>
      </w:r>
      <w:r w:rsidR="00257FD0">
        <w:t>to have capacity to provide medical consent</w:t>
      </w:r>
      <w:r w:rsidR="00E77BA5">
        <w:t>,</w:t>
      </w:r>
      <w:r>
        <w:t xml:space="preserve"> parents’ involvement would be comparable to that of parents’ involvement in consent to treatment for the child. The team should decide </w:t>
      </w:r>
      <w:r w:rsidR="00257FD0">
        <w:t>capacity</w:t>
      </w:r>
      <w:r>
        <w:t xml:space="preserve"> on a case-by-case basis. </w:t>
      </w:r>
    </w:p>
    <w:p w:rsidR="00AD410E" w:rsidP="00030DE7" w:rsidRDefault="0096464B" w14:paraId="1936AD4D" w14:textId="46BA2FEF">
      <w:pPr>
        <w:pStyle w:val="SCVbodyafterheading"/>
      </w:pPr>
      <w:r>
        <w:t xml:space="preserve">See the Office of the Public Advocate site for </w:t>
      </w:r>
      <w:r w:rsidR="0079267C">
        <w:t xml:space="preserve">information on </w:t>
      </w:r>
      <w:r w:rsidR="009556F0">
        <w:t>m</w:t>
      </w:r>
      <w:r>
        <w:t>edical treatment for people aged under 18 years</w:t>
      </w:r>
      <w:r w:rsidR="00B72BC1">
        <w:t>, in relation to decision making capacity</w:t>
      </w:r>
      <w:r w:rsidR="009556F0">
        <w:t xml:space="preserve">: </w:t>
      </w:r>
      <w:hyperlink w:history="1" r:id="rId46">
        <w:r w:rsidR="009556F0">
          <w:rPr>
            <w:rStyle w:val="Hyperlink"/>
          </w:rPr>
          <w:t>Children under 18 years - Office of the Public Advocate</w:t>
        </w:r>
      </w:hyperlink>
      <w:r w:rsidR="009556F0">
        <w:t xml:space="preserve">. </w:t>
      </w:r>
    </w:p>
    <w:p w:rsidR="00030DE7" w:rsidP="00030DE7" w:rsidRDefault="00030DE7" w14:paraId="1C414217" w14:textId="77777777">
      <w:pPr>
        <w:pStyle w:val="Heading2"/>
      </w:pPr>
      <w:bookmarkStart w:name="_Toc110937994" w:id="28"/>
      <w:bookmarkStart w:name="_Toc117519240" w:id="29"/>
      <w:r>
        <w:t>Language considerations</w:t>
      </w:r>
      <w:bookmarkEnd w:id="28"/>
      <w:bookmarkEnd w:id="29"/>
    </w:p>
    <w:p w:rsidRPr="007F347D" w:rsidR="007F347D" w:rsidP="007F347D" w:rsidRDefault="007B2142" w14:paraId="526E10A7" w14:textId="0A301B19">
      <w:pPr>
        <w:pStyle w:val="SCVbody"/>
      </w:pPr>
      <w:bookmarkStart w:name="_Toc110937995" w:id="30"/>
      <w:r>
        <w:t>Q</w:t>
      </w:r>
      <w:r w:rsidR="007F347D">
        <w:t xml:space="preserve">ualified health interpreters </w:t>
      </w:r>
      <w:r>
        <w:t>should be considered</w:t>
      </w:r>
      <w:r w:rsidR="38E8AD77">
        <w:t>,</w:t>
      </w:r>
      <w:r w:rsidRPr="2778AFCB" w:rsidR="38E8AD77">
        <w:rPr>
          <w:rFonts w:ascii="Arial" w:hAnsi="Arial" w:eastAsia="Arial" w:cs="Arial"/>
        </w:rPr>
        <w:t xml:space="preserve"> and utilised where indicated,</w:t>
      </w:r>
      <w:r w:rsidRPr="2778AFCB" w:rsidR="007F347D">
        <w:rPr>
          <w:rFonts w:ascii="Arial" w:hAnsi="Arial" w:eastAsia="Arial" w:cs="Arial"/>
        </w:rPr>
        <w:t xml:space="preserve"> </w:t>
      </w:r>
      <w:r w:rsidR="007F347D">
        <w:t xml:space="preserve">throughout the SDC process. Using family members or friends as interpreters is not adequate for the SDC </w:t>
      </w:r>
      <w:r w:rsidR="007F2669">
        <w:t>process</w:t>
      </w:r>
      <w:r w:rsidR="00DD7209">
        <w:t>.</w:t>
      </w:r>
    </w:p>
    <w:p w:rsidR="007F347D" w:rsidP="007F347D" w:rsidRDefault="007F347D" w14:paraId="7FC50970" w14:textId="3CB89E27">
      <w:pPr>
        <w:pStyle w:val="SCVbody"/>
        <w:rPr>
          <w:b/>
          <w:bCs/>
        </w:rPr>
      </w:pPr>
      <w:r w:rsidRPr="007F347D">
        <w:t xml:space="preserve">Health service entities may </w:t>
      </w:r>
      <w:r w:rsidR="00DD7209">
        <w:t xml:space="preserve">also </w:t>
      </w:r>
      <w:r w:rsidRPr="007F347D">
        <w:t>consider translating materials into the preferred language for the patient, however this may not be available for every case.</w:t>
      </w:r>
    </w:p>
    <w:p w:rsidR="00030DE7" w:rsidP="007F347D" w:rsidRDefault="7634FB45" w14:paraId="36DFC336" w14:textId="04EC7EB1">
      <w:pPr>
        <w:pStyle w:val="Heading2"/>
      </w:pPr>
      <w:bookmarkStart w:name="_Toc117519241" w:id="31"/>
      <w:r>
        <w:t>Patients with visual, hearing, or other impairment</w:t>
      </w:r>
      <w:bookmarkEnd w:id="30"/>
      <w:bookmarkEnd w:id="31"/>
    </w:p>
    <w:p w:rsidR="008F4275" w:rsidP="00030DE7" w:rsidRDefault="7634FB45" w14:paraId="76388271" w14:textId="6F8BE0EB">
      <w:pPr>
        <w:pStyle w:val="SCVbodyafterheading"/>
      </w:pPr>
      <w:r>
        <w:t xml:space="preserve">Arrange appropriate supports </w:t>
      </w:r>
      <w:r w:rsidR="767EF8B2">
        <w:t>based on the patients’ specific needs</w:t>
      </w:r>
      <w:r w:rsidR="710B2940">
        <w:t xml:space="preserve"> to ensure effective communication</w:t>
      </w:r>
      <w:r w:rsidR="767EF8B2">
        <w:t>. This could include organising</w:t>
      </w:r>
      <w:r>
        <w:t xml:space="preserve"> a qualified health interpreter,</w:t>
      </w:r>
      <w:r w:rsidR="710B2940">
        <w:t xml:space="preserve"> such as</w:t>
      </w:r>
      <w:r w:rsidR="700B4AC6">
        <w:t xml:space="preserve"> an </w:t>
      </w:r>
      <w:proofErr w:type="spellStart"/>
      <w:r w:rsidR="700B4AC6">
        <w:t>Auslan</w:t>
      </w:r>
      <w:proofErr w:type="spellEnd"/>
      <w:r w:rsidR="700B4AC6">
        <w:t xml:space="preserve"> Certifi</w:t>
      </w:r>
      <w:r w:rsidR="172C861A">
        <w:t>ed Specialist Health Interpreter.</w:t>
      </w:r>
      <w:r>
        <w:t xml:space="preserve"> The patient’s usual carer or representatives are </w:t>
      </w:r>
      <w:r w:rsidR="0C13EA27">
        <w:t xml:space="preserve">important </w:t>
      </w:r>
      <w:r>
        <w:t xml:space="preserve">to the process and may provide valuable insights, but they </w:t>
      </w:r>
      <w:r w:rsidR="32A8EBCA">
        <w:t>should not</w:t>
      </w:r>
      <w:r>
        <w:t xml:space="preserve"> be used in place of professionally trained interpreters.</w:t>
      </w:r>
    </w:p>
    <w:p w:rsidR="00030DE7" w:rsidP="00030DE7" w:rsidRDefault="00030DE7" w14:paraId="5399FD00" w14:textId="2DEBCC96">
      <w:pPr>
        <w:pStyle w:val="Heading2"/>
      </w:pPr>
      <w:bookmarkStart w:name="_Toc110937996" w:id="32"/>
      <w:bookmarkStart w:name="_Toc117519242" w:id="33"/>
      <w:r w:rsidRPr="00DD7209">
        <w:t>Cultural considerations</w:t>
      </w:r>
      <w:bookmarkEnd w:id="32"/>
      <w:bookmarkEnd w:id="33"/>
    </w:p>
    <w:p w:rsidR="00030DE7" w:rsidP="00030DE7" w:rsidRDefault="0043314B" w14:paraId="71B815FE" w14:textId="36A53DF6">
      <w:pPr>
        <w:pStyle w:val="SCVbodyafterheading"/>
      </w:pPr>
      <w:r>
        <w:t>Health service</w:t>
      </w:r>
      <w:r w:rsidR="00257FD0">
        <w:t xml:space="preserve"> entitie</w:t>
      </w:r>
      <w:r>
        <w:t xml:space="preserve">s </w:t>
      </w:r>
      <w:r w:rsidR="00456E74">
        <w:t>should i</w:t>
      </w:r>
      <w:r w:rsidR="00030DE7">
        <w:t>ncorporate cultural considerations into the SDC process</w:t>
      </w:r>
      <w:r w:rsidR="000F034E">
        <w:t xml:space="preserve"> ensuring appropriate</w:t>
      </w:r>
      <w:r w:rsidR="000A3F65">
        <w:t xml:space="preserve"> resources,</w:t>
      </w:r>
      <w:r w:rsidR="000F034E">
        <w:t xml:space="preserve"> lia</w:t>
      </w:r>
      <w:r w:rsidR="004B3D1F">
        <w:t xml:space="preserve">ison </w:t>
      </w:r>
      <w:r w:rsidR="00D53D93">
        <w:t xml:space="preserve">and support </w:t>
      </w:r>
      <w:r w:rsidR="00D21B50">
        <w:t>are</w:t>
      </w:r>
      <w:r w:rsidR="00D53D93">
        <w:t xml:space="preserve"> </w:t>
      </w:r>
      <w:r w:rsidR="00225279">
        <w:t xml:space="preserve">made available </w:t>
      </w:r>
      <w:r w:rsidR="006114CE">
        <w:t xml:space="preserve">for the patient </w:t>
      </w:r>
      <w:r w:rsidR="00B41AF2">
        <w:t>and family</w:t>
      </w:r>
      <w:r w:rsidR="000A3F65">
        <w:t xml:space="preserve"> where indicated</w:t>
      </w:r>
      <w:r w:rsidR="00030DE7">
        <w:t xml:space="preserve">. </w:t>
      </w:r>
      <w:r w:rsidR="7634FB45">
        <w:t xml:space="preserve">The SDC process must prioritise the needs of the patient and </w:t>
      </w:r>
      <w:r w:rsidR="001E318D">
        <w:t>support persons</w:t>
      </w:r>
      <w:r w:rsidR="7634FB45">
        <w:t xml:space="preserve"> and be conducted in a way that is </w:t>
      </w:r>
      <w:r w:rsidR="1860BCC7">
        <w:t>culturally</w:t>
      </w:r>
      <w:r w:rsidR="28D75F98">
        <w:t xml:space="preserve"> </w:t>
      </w:r>
      <w:r w:rsidR="12F4F29F">
        <w:t>safe</w:t>
      </w:r>
      <w:r w:rsidR="28D75F98">
        <w:t xml:space="preserve"> and </w:t>
      </w:r>
      <w:r w:rsidR="7634FB45">
        <w:t xml:space="preserve">meaningful to them. </w:t>
      </w:r>
    </w:p>
    <w:p w:rsidR="00030DE7" w:rsidP="00030DE7" w:rsidRDefault="00030DE7" w14:paraId="3E30AFFA" w14:textId="77777777">
      <w:pPr>
        <w:pStyle w:val="Heading3"/>
      </w:pPr>
      <w:r>
        <w:t>Aboriginal and Torres Strait Islander peoples</w:t>
      </w:r>
    </w:p>
    <w:p w:rsidR="00030DE7" w:rsidP="00030DE7" w:rsidRDefault="00030DE7" w14:paraId="6CDBE9A7" w14:textId="22B0B039">
      <w:pPr>
        <w:pStyle w:val="SCVbodyafterheading"/>
      </w:pPr>
      <w:r>
        <w:t>Cultural safety is a</w:t>
      </w:r>
      <w:r w:rsidR="430B3B1D">
        <w:t>n important consideration</w:t>
      </w:r>
      <w:r>
        <w:t xml:space="preserve"> when implementing SDC for Aboriginal and Torres Strait Islander peoples. This means the environment is safe for Aboriginal and Torres Strait Islander peoples, where there is no assault, challenge or </w:t>
      </w:r>
      <w:r w:rsidRPr="00D41E7F">
        <w:t>denial</w:t>
      </w:r>
      <w:r>
        <w:t xml:space="preserve"> of their identity and experience</w:t>
      </w:r>
      <w:r w:rsidRPr="0E53F234">
        <w:rPr>
          <w:rStyle w:val="FootnoteReference"/>
        </w:rPr>
        <w:footnoteReference w:id="27"/>
      </w:r>
      <w:r>
        <w:t xml:space="preserve">. </w:t>
      </w:r>
    </w:p>
    <w:p w:rsidR="00030DE7" w:rsidP="00030DE7" w:rsidRDefault="00030DE7" w14:paraId="4B9F91B8" w14:textId="77777777">
      <w:pPr>
        <w:pStyle w:val="SCVbodyafterheading"/>
      </w:pPr>
      <w:r>
        <w:t xml:space="preserve">Culturally unsafe practice comprises any action which diminishes, demeans, or disempowers the cultural identity and wellbeing of an individual, whereas culturally safe practice is where there is a positive recognition of Aboriginal culture enabling individuals and communities to feel respected and safe. </w:t>
      </w:r>
    </w:p>
    <w:p w:rsidR="00030DE7" w:rsidP="00030DE7" w:rsidRDefault="00030DE7" w14:paraId="43A628F8" w14:textId="77777777">
      <w:pPr>
        <w:pStyle w:val="SCVbodyafterheading"/>
      </w:pPr>
      <w:r>
        <w:t xml:space="preserve">It is important to understand that historically, hospitals were places of trauma where babies were removed or where family were sick and died. In addition to this, many Aboriginal people have a fear of hospitals due to concerns about racism and unconscious bias. </w:t>
      </w:r>
    </w:p>
    <w:p w:rsidR="00030DE7" w:rsidP="0E53F234" w:rsidRDefault="59543BA4" w14:paraId="587E85DD" w14:textId="564BE262">
      <w:pPr>
        <w:pStyle w:val="SCVbodyafterheading"/>
      </w:pPr>
      <w:r>
        <w:t xml:space="preserve">Health service entities and their staff who are carrying out SDC with Aboriginal and Torres Strait Islander peoples, and their </w:t>
      </w:r>
      <w:r w:rsidR="7A8EF515">
        <w:t>support persons</w:t>
      </w:r>
      <w:r>
        <w:t xml:space="preserve">, must be proficient in cultural safety and respect Aboriginal ways of being, knowing and doing. </w:t>
      </w:r>
      <w:r w:rsidRPr="1977F94D" w:rsidR="44DB2B3E">
        <w:rPr>
          <w:rFonts w:ascii="Arial" w:hAnsi="Arial" w:eastAsia="Arial" w:cs="Arial"/>
        </w:rPr>
        <w:t>All health service</w:t>
      </w:r>
      <w:r w:rsidRPr="1977F94D" w:rsidR="28F54350">
        <w:rPr>
          <w:rFonts w:ascii="Arial" w:hAnsi="Arial" w:eastAsia="Arial" w:cs="Arial"/>
        </w:rPr>
        <w:t xml:space="preserve"> entitie</w:t>
      </w:r>
      <w:r w:rsidRPr="1977F94D" w:rsidR="44DB2B3E">
        <w:rPr>
          <w:rFonts w:ascii="Arial" w:hAnsi="Arial" w:eastAsia="Arial" w:cs="Arial"/>
        </w:rPr>
        <w:t xml:space="preserve">s and staff have a role in providing culturally safe services. The cultural expertise of Aboriginal hospital liaison officers </w:t>
      </w:r>
      <w:r w:rsidRPr="1977F94D" w:rsidR="5C56B7B7">
        <w:rPr>
          <w:rFonts w:ascii="Arial" w:hAnsi="Arial" w:eastAsia="Arial" w:cs="Arial"/>
        </w:rPr>
        <w:t xml:space="preserve">(AHLO) </w:t>
      </w:r>
      <w:r w:rsidRPr="1977F94D" w:rsidR="44DB2B3E">
        <w:rPr>
          <w:rFonts w:ascii="Arial" w:hAnsi="Arial" w:eastAsia="Arial" w:cs="Arial"/>
        </w:rPr>
        <w:t xml:space="preserve">also </w:t>
      </w:r>
      <w:r w:rsidRPr="1977F94D" w:rsidR="4B0B6B2D">
        <w:rPr>
          <w:rFonts w:ascii="Arial" w:hAnsi="Arial" w:eastAsia="Arial" w:cs="Arial"/>
        </w:rPr>
        <w:t>play</w:t>
      </w:r>
      <w:r w:rsidRPr="1977F94D" w:rsidR="6647EB08">
        <w:rPr>
          <w:rFonts w:ascii="Arial" w:hAnsi="Arial" w:eastAsia="Arial" w:cs="Arial"/>
        </w:rPr>
        <w:t>s</w:t>
      </w:r>
      <w:r w:rsidRPr="1977F94D" w:rsidR="44DB2B3E">
        <w:rPr>
          <w:rFonts w:ascii="Arial" w:hAnsi="Arial" w:eastAsia="Arial" w:cs="Arial"/>
        </w:rPr>
        <w:t xml:space="preserve"> </w:t>
      </w:r>
      <w:r w:rsidRPr="1977F94D" w:rsidR="4998C45F">
        <w:rPr>
          <w:rFonts w:ascii="Arial" w:hAnsi="Arial" w:eastAsia="Arial" w:cs="Arial"/>
        </w:rPr>
        <w:t xml:space="preserve">an </w:t>
      </w:r>
      <w:r w:rsidRPr="1977F94D" w:rsidR="44DB2B3E">
        <w:rPr>
          <w:rFonts w:ascii="Arial" w:hAnsi="Arial" w:eastAsia="Arial" w:cs="Arial"/>
        </w:rPr>
        <w:t>important role in supporting Aboriginal patients. All Aboriginal patients</w:t>
      </w:r>
      <w:r w:rsidR="606C306D">
        <w:t xml:space="preserve"> and their support persons</w:t>
      </w:r>
      <w:r w:rsidRPr="1977F94D" w:rsidR="606C306D">
        <w:rPr>
          <w:rFonts w:ascii="Arial" w:hAnsi="Arial" w:eastAsia="Arial" w:cs="Arial"/>
        </w:rPr>
        <w:t xml:space="preserve"> </w:t>
      </w:r>
      <w:r w:rsidRPr="1977F94D" w:rsidR="44DB2B3E">
        <w:rPr>
          <w:rFonts w:ascii="Arial" w:hAnsi="Arial" w:eastAsia="Arial" w:cs="Arial"/>
        </w:rPr>
        <w:t>should be asked if they would like to see the AHLO in those health service</w:t>
      </w:r>
      <w:r w:rsidRPr="1977F94D" w:rsidR="755C47B0">
        <w:rPr>
          <w:rFonts w:ascii="Arial" w:hAnsi="Arial" w:eastAsia="Arial" w:cs="Arial"/>
        </w:rPr>
        <w:t xml:space="preserve"> entitie</w:t>
      </w:r>
      <w:r w:rsidRPr="1977F94D" w:rsidR="44DB2B3E">
        <w:rPr>
          <w:rFonts w:ascii="Arial" w:hAnsi="Arial" w:eastAsia="Arial" w:cs="Arial"/>
        </w:rPr>
        <w:t>s that have this program.</w:t>
      </w:r>
    </w:p>
    <w:p w:rsidR="621C9EC7" w:rsidP="7068FF33" w:rsidRDefault="621C9EC7" w14:paraId="1A30D834" w14:textId="6460CFBB">
      <w:pPr>
        <w:pStyle w:val="SCVbodyafterheading"/>
      </w:pPr>
      <w:r w:rsidRPr="7068FF33">
        <w:rPr>
          <w:rFonts w:ascii="Arial" w:hAnsi="Arial" w:eastAsia="Arial" w:cs="Arial"/>
        </w:rPr>
        <w:t xml:space="preserve">Health service entities </w:t>
      </w:r>
      <w:r w:rsidR="00C27ED1">
        <w:rPr>
          <w:rFonts w:ascii="Arial" w:hAnsi="Arial" w:eastAsia="Arial" w:cs="Arial"/>
        </w:rPr>
        <w:t>may</w:t>
      </w:r>
      <w:r w:rsidRPr="7068FF33" w:rsidR="30EA609B">
        <w:rPr>
          <w:rFonts w:ascii="Arial" w:hAnsi="Arial" w:eastAsia="Arial" w:cs="Arial"/>
        </w:rPr>
        <w:t xml:space="preserve"> </w:t>
      </w:r>
      <w:r w:rsidR="007F347D">
        <w:rPr>
          <w:rFonts w:ascii="Arial" w:hAnsi="Arial" w:eastAsia="Arial" w:cs="Arial"/>
        </w:rPr>
        <w:t xml:space="preserve">consider </w:t>
      </w:r>
      <w:r w:rsidRPr="7068FF33">
        <w:rPr>
          <w:rFonts w:ascii="Arial" w:hAnsi="Arial" w:eastAsia="Arial" w:cs="Arial"/>
        </w:rPr>
        <w:t>notify</w:t>
      </w:r>
      <w:r w:rsidR="007F347D">
        <w:rPr>
          <w:rFonts w:ascii="Arial" w:hAnsi="Arial" w:eastAsia="Arial" w:cs="Arial"/>
        </w:rPr>
        <w:t>ing</w:t>
      </w:r>
      <w:r w:rsidRPr="7068FF33">
        <w:rPr>
          <w:rFonts w:ascii="Arial" w:hAnsi="Arial" w:eastAsia="Arial" w:cs="Arial"/>
        </w:rPr>
        <w:t xml:space="preserve"> the Chief Aboriginal Health Advisor of any potential, agreed or disputed SAPSE involving Aboriginal and Torres Strait Islander carers or family.</w:t>
      </w:r>
    </w:p>
    <w:p w:rsidR="7068FF33" w:rsidP="7068FF33" w:rsidRDefault="00385F7D" w14:paraId="137B39EB" w14:textId="1091E01B">
      <w:pPr>
        <w:pStyle w:val="SCVbodyafterheading"/>
        <w:rPr>
          <w:rFonts w:ascii="Arial" w:hAnsi="Arial" w:eastAsia="Arial" w:cs="Arial"/>
        </w:rPr>
      </w:pPr>
      <w:r w:rsidRPr="05D1CE4A">
        <w:rPr>
          <w:rFonts w:ascii="Arial" w:hAnsi="Arial" w:eastAsia="Arial" w:cs="Arial"/>
        </w:rPr>
        <w:t xml:space="preserve">See the Aboriginal and Torres Strait Islander cultural safety </w:t>
      </w:r>
      <w:r w:rsidR="00640CA1">
        <w:rPr>
          <w:rFonts w:ascii="Arial" w:hAnsi="Arial" w:eastAsia="Arial" w:cs="Arial"/>
        </w:rPr>
        <w:t>framework</w:t>
      </w:r>
      <w:r w:rsidRPr="05D1CE4A">
        <w:rPr>
          <w:rFonts w:ascii="Arial" w:hAnsi="Arial" w:eastAsia="Arial" w:cs="Arial"/>
        </w:rPr>
        <w:t xml:space="preserve"> for more information</w:t>
      </w:r>
      <w:r w:rsidRPr="05D1CE4A" w:rsidR="00560465">
        <w:rPr>
          <w:rFonts w:ascii="Arial" w:hAnsi="Arial" w:eastAsia="Arial" w:cs="Arial"/>
        </w:rPr>
        <w:t>:</w:t>
      </w:r>
      <w:r w:rsidRPr="05D1CE4A">
        <w:rPr>
          <w:rFonts w:ascii="Arial" w:hAnsi="Arial" w:eastAsia="Arial" w:cs="Arial"/>
        </w:rPr>
        <w:t xml:space="preserve"> </w:t>
      </w:r>
      <w:hyperlink r:id="rId47">
        <w:r w:rsidRPr="05D1CE4A">
          <w:rPr>
            <w:rStyle w:val="Hyperlink"/>
          </w:rPr>
          <w:t>Aboriginal and Torres Strait Islander cultural safety (health.vic.gov.au)</w:t>
        </w:r>
      </w:hyperlink>
      <w:r>
        <w:t>.</w:t>
      </w:r>
    </w:p>
    <w:p w:rsidRPr="00FB3420" w:rsidR="00FB3420" w:rsidP="00FB3420" w:rsidRDefault="00FB3420" w14:paraId="6CDD5F0A" w14:textId="73B736CF">
      <w:pPr>
        <w:pStyle w:val="Heading1"/>
        <w:rPr>
          <w:sz w:val="48"/>
          <w:szCs w:val="48"/>
        </w:rPr>
      </w:pPr>
      <w:bookmarkStart w:name="_Toc110937997" w:id="34"/>
      <w:bookmarkStart w:name="_Toc117519243" w:id="35"/>
      <w:r w:rsidRPr="00FB3420">
        <w:rPr>
          <w:sz w:val="48"/>
          <w:szCs w:val="48"/>
        </w:rPr>
        <w:t>Governance</w:t>
      </w:r>
      <w:r>
        <w:rPr>
          <w:sz w:val="48"/>
          <w:szCs w:val="48"/>
        </w:rPr>
        <w:t xml:space="preserve">, </w:t>
      </w:r>
      <w:r w:rsidRPr="00FB3420">
        <w:rPr>
          <w:sz w:val="48"/>
          <w:szCs w:val="48"/>
        </w:rPr>
        <w:t>training</w:t>
      </w:r>
      <w:r>
        <w:rPr>
          <w:sz w:val="48"/>
          <w:szCs w:val="48"/>
        </w:rPr>
        <w:t xml:space="preserve"> and support</w:t>
      </w:r>
      <w:bookmarkEnd w:id="34"/>
      <w:bookmarkEnd w:id="35"/>
    </w:p>
    <w:p w:rsidR="004234DE" w:rsidP="00FB3420" w:rsidRDefault="004234DE" w14:paraId="7EB10B54" w14:textId="2294AE4D">
      <w:pPr>
        <w:pStyle w:val="Heading2"/>
      </w:pPr>
      <w:bookmarkStart w:name="_Toc117519244" w:id="36"/>
      <w:r>
        <w:t>Local policy and procedure recommendations</w:t>
      </w:r>
      <w:bookmarkEnd w:id="36"/>
    </w:p>
    <w:p w:rsidR="006B27F1" w:rsidP="006B27F1" w:rsidRDefault="006B27F1" w14:paraId="17BF3139" w14:textId="77777777">
      <w:pPr>
        <w:pStyle w:val="SCVbodyafterheading"/>
      </w:pPr>
      <w:r>
        <w:t>Health service policies must embed SDC as a key element of healthcare. For example:</w:t>
      </w:r>
    </w:p>
    <w:p w:rsidR="006B27F1" w:rsidP="7068FF33" w:rsidRDefault="55BF2C4B" w14:paraId="1CD012AE" w14:textId="77777777">
      <w:pPr>
        <w:pStyle w:val="SCVbullet1"/>
        <w:numPr>
          <w:ilvl w:val="0"/>
          <w:numId w:val="8"/>
        </w:numPr>
      </w:pPr>
      <w:r>
        <w:t>Explicitly outline the requirements of the SDC process in employee contracts (including casual and sessional) and policies. Consider including a question on SDC when interviewing candidates.</w:t>
      </w:r>
    </w:p>
    <w:p w:rsidR="006B27F1" w:rsidP="7068FF33" w:rsidRDefault="55BF2C4B" w14:paraId="75694ECF" w14:textId="77777777">
      <w:pPr>
        <w:pStyle w:val="SCVbullet1"/>
        <w:numPr>
          <w:ilvl w:val="0"/>
          <w:numId w:val="8"/>
        </w:numPr>
      </w:pPr>
      <w:r>
        <w:t xml:space="preserve">Add SDC as a standing agenda item to all quality and safety committee meetings to enhance visibility of the process. </w:t>
      </w:r>
    </w:p>
    <w:p w:rsidR="006B27F1" w:rsidP="7068FF33" w:rsidRDefault="55BF2C4B" w14:paraId="640164D7" w14:textId="69D5AD49">
      <w:pPr>
        <w:pStyle w:val="SCVbullet1"/>
        <w:numPr>
          <w:ilvl w:val="0"/>
          <w:numId w:val="8"/>
        </w:numPr>
      </w:pPr>
      <w:r>
        <w:t xml:space="preserve">Identify how SDC is embedded in risk management and clinical governance processes, including </w:t>
      </w:r>
      <w:r w:rsidR="0EAE5033">
        <w:t xml:space="preserve">adverse events and </w:t>
      </w:r>
      <w:r>
        <w:t xml:space="preserve">complaints management. </w:t>
      </w:r>
    </w:p>
    <w:p w:rsidR="006B27F1" w:rsidP="006B27F1" w:rsidRDefault="006B27F1" w14:paraId="3CEF80A3" w14:textId="605EFC71">
      <w:pPr>
        <w:pStyle w:val="SCVbody"/>
      </w:pPr>
      <w:r>
        <w:t>The health service</w:t>
      </w:r>
      <w:r w:rsidR="008F4736">
        <w:t xml:space="preserve"> entity'</w:t>
      </w:r>
      <w:r>
        <w:t>s policy around open disclosure and SDC should align with other related governance and operational processes, such as incident reporting and reviews, complaints management and confidentiality requirements.</w:t>
      </w:r>
    </w:p>
    <w:p w:rsidR="007F347D" w:rsidP="006B27F1" w:rsidRDefault="007F347D" w14:paraId="016CA7CE" w14:textId="77777777">
      <w:pPr>
        <w:pStyle w:val="SCVbody"/>
      </w:pPr>
    </w:p>
    <w:p w:rsidR="000935BF" w:rsidP="000935BF" w:rsidRDefault="000935BF" w14:paraId="43298C59" w14:textId="77777777">
      <w:pPr>
        <w:pStyle w:val="Heading2"/>
      </w:pPr>
      <w:bookmarkStart w:name="_Toc117519245" w:id="37"/>
      <w:r>
        <w:t>Roles and Responsibilities</w:t>
      </w:r>
      <w:bookmarkEnd w:id="37"/>
    </w:p>
    <w:p w:rsidR="000935BF" w:rsidP="000935BF" w:rsidRDefault="000935BF" w14:paraId="2BFA1C95" w14:textId="77777777">
      <w:pPr>
        <w:pStyle w:val="Heading3"/>
      </w:pPr>
      <w:r>
        <w:t>Board chair and members</w:t>
      </w:r>
    </w:p>
    <w:p w:rsidR="000935BF" w:rsidP="7068FF33" w:rsidRDefault="6BCD63A8" w14:paraId="35274956" w14:textId="009ECDE2">
      <w:pPr>
        <w:pStyle w:val="SCVbody"/>
        <w:numPr>
          <w:ilvl w:val="0"/>
          <w:numId w:val="29"/>
        </w:numPr>
      </w:pPr>
      <w:r>
        <w:t>Ensure the necessary governance structures for the SDC process are in place in their health service</w:t>
      </w:r>
      <w:r w:rsidR="008F4736">
        <w:t xml:space="preserve"> entitie</w:t>
      </w:r>
      <w:r>
        <w:t>s</w:t>
      </w:r>
      <w:r w:rsidR="008F2774">
        <w:t>.</w:t>
      </w:r>
    </w:p>
    <w:p w:rsidRPr="000D2A3D" w:rsidR="000935BF" w:rsidP="7068FF33" w:rsidRDefault="6BCD63A8" w14:paraId="3F352D7A" w14:textId="1237C575">
      <w:pPr>
        <w:pStyle w:val="SCVbody"/>
        <w:numPr>
          <w:ilvl w:val="0"/>
          <w:numId w:val="29"/>
        </w:numPr>
      </w:pPr>
      <w:r>
        <w:t>Ensure adherence to relevant reporting requirements, including SDC requirements in the annual report</w:t>
      </w:r>
      <w:r w:rsidR="008F2774">
        <w:t>.</w:t>
      </w:r>
    </w:p>
    <w:p w:rsidR="73F64CF1" w:rsidP="4481240E" w:rsidRDefault="73F64CF1" w14:paraId="3E7B3B11" w14:textId="62F70CA4">
      <w:pPr>
        <w:pStyle w:val="SCVbody"/>
        <w:numPr>
          <w:ilvl w:val="0"/>
          <w:numId w:val="29"/>
        </w:numPr>
      </w:pPr>
      <w:r>
        <w:t>Ensure action is taken to address gaps in compliance with SDC.</w:t>
      </w:r>
    </w:p>
    <w:p w:rsidR="000935BF" w:rsidP="000935BF" w:rsidRDefault="000935BF" w14:paraId="761E74DD" w14:textId="77777777">
      <w:pPr>
        <w:pStyle w:val="Heading3"/>
      </w:pPr>
      <w:r>
        <w:t>Chief executive officer (CEO)</w:t>
      </w:r>
    </w:p>
    <w:p w:rsidR="000935BF" w:rsidP="7068FF33" w:rsidRDefault="3B1B1661" w14:paraId="0976306F" w14:textId="374177BC">
      <w:pPr>
        <w:pStyle w:val="SCVbody"/>
        <w:numPr>
          <w:ilvl w:val="0"/>
          <w:numId w:val="30"/>
        </w:numPr>
      </w:pPr>
      <w:r>
        <w:t>Ensure they are displaying the principles of a just culture.</w:t>
      </w:r>
    </w:p>
    <w:p w:rsidR="000935BF" w:rsidP="7068FF33" w:rsidRDefault="6BCD63A8" w14:paraId="162CC667" w14:textId="587A6BA1">
      <w:pPr>
        <w:pStyle w:val="SCVbody"/>
        <w:numPr>
          <w:ilvl w:val="0"/>
          <w:numId w:val="30"/>
        </w:numPr>
      </w:pPr>
      <w:r>
        <w:t>Consider appointing a SDC expert to educate, advocate and mentor on SDC. This expert can build relationships and navigate between professions, units and organisational levels.</w:t>
      </w:r>
    </w:p>
    <w:p w:rsidR="000935BF" w:rsidP="7068FF33" w:rsidRDefault="6BCD63A8" w14:paraId="4EC41A1C" w14:textId="77777777">
      <w:pPr>
        <w:pStyle w:val="SCVbody"/>
        <w:numPr>
          <w:ilvl w:val="0"/>
          <w:numId w:val="30"/>
        </w:numPr>
      </w:pPr>
      <w:r>
        <w:t>Ensure staff can access training and information on SDC.</w:t>
      </w:r>
    </w:p>
    <w:p w:rsidR="000935BF" w:rsidP="7068FF33" w:rsidRDefault="6BCD63A8" w14:paraId="542A82F5" w14:textId="77777777">
      <w:pPr>
        <w:pStyle w:val="SCVbody"/>
        <w:numPr>
          <w:ilvl w:val="0"/>
          <w:numId w:val="30"/>
        </w:numPr>
      </w:pPr>
      <w:r>
        <w:t>Ensure the necessary processes are in place when a SAPSE occurs.</w:t>
      </w:r>
    </w:p>
    <w:p w:rsidR="000935BF" w:rsidP="000935BF" w:rsidRDefault="000935BF" w14:paraId="7DEEC239" w14:textId="77777777">
      <w:pPr>
        <w:pStyle w:val="Heading3"/>
      </w:pPr>
      <w:r>
        <w:t>Quality and safety staff</w:t>
      </w:r>
    </w:p>
    <w:p w:rsidR="000935BF" w:rsidP="000935BF" w:rsidRDefault="000935BF" w14:paraId="4B9E0103" w14:textId="78C5C3FF">
      <w:pPr>
        <w:pStyle w:val="SCVbody"/>
      </w:pPr>
      <w:r>
        <w:t xml:space="preserve">This may be an appointed SDC </w:t>
      </w:r>
      <w:r w:rsidR="66E4F729">
        <w:t>representative</w:t>
      </w:r>
      <w:r>
        <w:t xml:space="preserve">. After a SAPSE, the </w:t>
      </w:r>
      <w:r w:rsidR="55BACC27">
        <w:t xml:space="preserve">health service entity </w:t>
      </w:r>
      <w:r>
        <w:t xml:space="preserve">SDC </w:t>
      </w:r>
      <w:r w:rsidR="298202E0">
        <w:t>representative</w:t>
      </w:r>
      <w:r>
        <w:t>:</w:t>
      </w:r>
    </w:p>
    <w:p w:rsidR="000935BF" w:rsidP="7068FF33" w:rsidRDefault="4B1FD641" w14:paraId="0799B71F" w14:textId="77777777">
      <w:pPr>
        <w:pStyle w:val="SCVbullet1"/>
        <w:numPr>
          <w:ilvl w:val="0"/>
          <w:numId w:val="7"/>
        </w:numPr>
      </w:pPr>
      <w:r>
        <w:t>ensures SDC requirements are followed</w:t>
      </w:r>
    </w:p>
    <w:p w:rsidR="000935BF" w:rsidP="7068FF33" w:rsidRDefault="4B1FD641" w14:paraId="2F12CA5F" w14:textId="175FC48A">
      <w:pPr>
        <w:pStyle w:val="SCVbullet1"/>
        <w:numPr>
          <w:ilvl w:val="0"/>
          <w:numId w:val="7"/>
        </w:numPr>
      </w:pPr>
      <w:r>
        <w:t>ensures staff are appropriately trained in the SDC process</w:t>
      </w:r>
      <w:r w:rsidR="09D2F631">
        <w:t xml:space="preserve"> </w:t>
      </w:r>
    </w:p>
    <w:p w:rsidR="000935BF" w:rsidP="7068FF33" w:rsidRDefault="4B1FD641" w14:paraId="7EEA7B7F" w14:textId="0FDD5113">
      <w:pPr>
        <w:pStyle w:val="SCVbullet1"/>
        <w:numPr>
          <w:ilvl w:val="0"/>
          <w:numId w:val="7"/>
        </w:numPr>
      </w:pPr>
      <w:r>
        <w:t>supports training, debriefing and planning the SDC meeting</w:t>
      </w:r>
    </w:p>
    <w:p w:rsidR="000935BF" w:rsidP="7068FF33" w:rsidRDefault="4B1FD641" w14:paraId="0490A0F0" w14:textId="324B034D">
      <w:pPr>
        <w:pStyle w:val="SCVbullet1"/>
        <w:numPr>
          <w:ilvl w:val="0"/>
          <w:numId w:val="7"/>
        </w:numPr>
      </w:pPr>
      <w:r>
        <w:t xml:space="preserve">considers alerting insurers and legal </w:t>
      </w:r>
      <w:r w:rsidR="6D4B8D8D">
        <w:t xml:space="preserve">representatives </w:t>
      </w:r>
      <w:r>
        <w:t>if needed</w:t>
      </w:r>
    </w:p>
    <w:p w:rsidR="000935BF" w:rsidP="7068FF33" w:rsidRDefault="4B1FD641" w14:paraId="3B7ADCF2" w14:textId="53EC4E98">
      <w:pPr>
        <w:pStyle w:val="SCVbullet1"/>
        <w:numPr>
          <w:ilvl w:val="0"/>
          <w:numId w:val="7"/>
        </w:numPr>
      </w:pPr>
      <w:r>
        <w:t xml:space="preserve">ensures the SDC process has been completed through VHIMS or </w:t>
      </w:r>
      <w:r w:rsidR="008F4736">
        <w:t xml:space="preserve">an </w:t>
      </w:r>
      <w:r>
        <w:t>equivalent system</w:t>
      </w:r>
    </w:p>
    <w:p w:rsidR="000935BF" w:rsidP="7068FF33" w:rsidRDefault="4B1FD641" w14:paraId="737B0DDF" w14:textId="71DA7EAF">
      <w:pPr>
        <w:pStyle w:val="SCVbullet1"/>
        <w:numPr>
          <w:ilvl w:val="0"/>
          <w:numId w:val="7"/>
        </w:numPr>
      </w:pPr>
      <w:r>
        <w:t>advises the board whe</w:t>
      </w:r>
      <w:r w:rsidR="008F4736">
        <w:t>n</w:t>
      </w:r>
      <w:r>
        <w:t xml:space="preserve"> the SDC process has not been implemented fully.</w:t>
      </w:r>
    </w:p>
    <w:p w:rsidR="000935BF" w:rsidP="000935BF" w:rsidRDefault="000935BF" w14:paraId="52D01BAC" w14:textId="77777777">
      <w:pPr>
        <w:pStyle w:val="Heading3"/>
      </w:pPr>
      <w:r>
        <w:t>Health service staff</w:t>
      </w:r>
    </w:p>
    <w:p w:rsidR="00CB69C6" w:rsidP="7068FF33" w:rsidRDefault="4B1FD641" w14:paraId="119CDD6C" w14:textId="13230575">
      <w:pPr>
        <w:pStyle w:val="SCVbullet1"/>
        <w:numPr>
          <w:ilvl w:val="0"/>
          <w:numId w:val="0"/>
        </w:numPr>
        <w:rPr>
          <w:i/>
          <w:iCs/>
        </w:rPr>
      </w:pPr>
      <w:r>
        <w:t>Health service</w:t>
      </w:r>
      <w:r w:rsidR="6146F7A5">
        <w:t xml:space="preserve"> entitie</w:t>
      </w:r>
      <w:r>
        <w:t xml:space="preserve">s will identify staff involved in </w:t>
      </w:r>
      <w:r w:rsidR="371849E0">
        <w:t>each stage of</w:t>
      </w:r>
      <w:r>
        <w:t xml:space="preserve"> the SDC process. </w:t>
      </w:r>
    </w:p>
    <w:p w:rsidR="000935BF" w:rsidP="00CB69C6" w:rsidRDefault="00CB69C6" w14:paraId="14C27279" w14:textId="0FB64AAC">
      <w:pPr>
        <w:pStyle w:val="SCVbullet1"/>
        <w:numPr>
          <w:ilvl w:val="0"/>
          <w:numId w:val="0"/>
        </w:numPr>
      </w:pPr>
      <w:r>
        <w:t>Specific</w:t>
      </w:r>
      <w:r w:rsidR="000935BF">
        <w:t xml:space="preserve"> staff will:</w:t>
      </w:r>
    </w:p>
    <w:p w:rsidR="000935BF" w:rsidP="7068FF33" w:rsidRDefault="4B1FD641" w14:paraId="02AE4F66" w14:textId="77777777">
      <w:pPr>
        <w:pStyle w:val="SCVbullet1"/>
        <w:numPr>
          <w:ilvl w:val="0"/>
          <w:numId w:val="6"/>
        </w:numPr>
      </w:pPr>
      <w:r>
        <w:t>be required to have completed training for SDC and understand the process and local policies for SDC</w:t>
      </w:r>
    </w:p>
    <w:p w:rsidR="000935BF" w:rsidP="7068FF33" w:rsidRDefault="4B1FD641" w14:paraId="74289B72" w14:textId="0C0823B1">
      <w:pPr>
        <w:pStyle w:val="SCVbullet1"/>
        <w:numPr>
          <w:ilvl w:val="0"/>
          <w:numId w:val="6"/>
        </w:numPr>
      </w:pPr>
      <w:r>
        <w:t xml:space="preserve">need to know how to use </w:t>
      </w:r>
      <w:r w:rsidR="00186516">
        <w:t xml:space="preserve">their clinical incident management system </w:t>
      </w:r>
      <w:r>
        <w:t xml:space="preserve">and input all cases of harm to patients </w:t>
      </w:r>
      <w:r w:rsidR="00186516">
        <w:t>as soon as practicable</w:t>
      </w:r>
    </w:p>
    <w:p w:rsidR="000935BF" w:rsidP="7068FF33" w:rsidRDefault="4B1FD641" w14:paraId="54E068BD" w14:textId="77777777">
      <w:pPr>
        <w:pStyle w:val="SCVbullet1"/>
        <w:numPr>
          <w:ilvl w:val="0"/>
          <w:numId w:val="6"/>
        </w:numPr>
      </w:pPr>
      <w:r>
        <w:t>immediately inform a line manager when a SAPSE occurs to trigger the local SDC procedure</w:t>
      </w:r>
    </w:p>
    <w:p w:rsidR="000935BF" w:rsidP="7068FF33" w:rsidRDefault="4B1FD641" w14:paraId="401F0309" w14:textId="733AA52F">
      <w:pPr>
        <w:pStyle w:val="SCVbullet1"/>
        <w:numPr>
          <w:ilvl w:val="0"/>
          <w:numId w:val="6"/>
        </w:numPr>
      </w:pPr>
      <w:r>
        <w:t xml:space="preserve">clearly document all conversations with patients </w:t>
      </w:r>
      <w:r w:rsidR="003C32EA">
        <w:t>and/or support persons</w:t>
      </w:r>
      <w:r>
        <w:t xml:space="preserve"> through</w:t>
      </w:r>
      <w:r w:rsidR="00C869C2">
        <w:t>out</w:t>
      </w:r>
      <w:r>
        <w:t xml:space="preserve"> the SDC process.</w:t>
      </w:r>
    </w:p>
    <w:p w:rsidR="007F347D" w:rsidP="007F347D" w:rsidRDefault="007F347D" w14:paraId="13F2DC0D" w14:textId="77777777">
      <w:pPr>
        <w:pStyle w:val="SCVbullet1"/>
        <w:numPr>
          <w:ilvl w:val="0"/>
          <w:numId w:val="0"/>
        </w:numPr>
        <w:ind w:left="284" w:hanging="284"/>
      </w:pPr>
    </w:p>
    <w:p w:rsidR="007114F6" w:rsidP="007114F6" w:rsidRDefault="007114F6" w14:paraId="7C7A2A74" w14:textId="34320312">
      <w:pPr>
        <w:pStyle w:val="Heading2"/>
      </w:pPr>
      <w:bookmarkStart w:name="_Toc117519246" w:id="38"/>
      <w:r>
        <w:t>Education and training</w:t>
      </w:r>
      <w:bookmarkEnd w:id="38"/>
    </w:p>
    <w:p w:rsidR="0022368E" w:rsidP="006B27F1" w:rsidRDefault="006B27F1" w14:paraId="414B7633" w14:textId="27371603">
      <w:pPr>
        <w:pStyle w:val="SCVbodyafterheading"/>
      </w:pPr>
      <w:r>
        <w:t>Health service</w:t>
      </w:r>
      <w:r w:rsidR="004B0F7D">
        <w:t xml:space="preserve"> </w:t>
      </w:r>
      <w:r w:rsidR="00907D75">
        <w:t>leadership</w:t>
      </w:r>
      <w:r w:rsidR="00950781">
        <w:t xml:space="preserve"> </w:t>
      </w:r>
      <w:r>
        <w:t xml:space="preserve">must ensure that all staff, especially casual or sessional staff, are aware of the </w:t>
      </w:r>
      <w:r w:rsidR="008F2234">
        <w:t>SDC</w:t>
      </w:r>
      <w:r>
        <w:t xml:space="preserve"> and </w:t>
      </w:r>
      <w:r w:rsidR="00160638">
        <w:t xml:space="preserve">aware </w:t>
      </w:r>
      <w:r w:rsidR="00E17F88">
        <w:t xml:space="preserve">that </w:t>
      </w:r>
      <w:r w:rsidR="008F2234">
        <w:t xml:space="preserve">it </w:t>
      </w:r>
      <w:r w:rsidR="00E17F88">
        <w:t xml:space="preserve">builds on the open disclosure </w:t>
      </w:r>
      <w:r w:rsidR="008B5E22">
        <w:t>principles</w:t>
      </w:r>
      <w:r>
        <w:t>.</w:t>
      </w:r>
      <w:r w:rsidR="00DB2B85">
        <w:t xml:space="preserve"> </w:t>
      </w:r>
    </w:p>
    <w:p w:rsidR="00AD211A" w:rsidP="006B27F1" w:rsidRDefault="008F2234" w14:paraId="4B539F13" w14:textId="30AF3F9C">
      <w:pPr>
        <w:pStyle w:val="SCVbodyafterheading"/>
      </w:pPr>
      <w:r>
        <w:t>SCV</w:t>
      </w:r>
      <w:r w:rsidR="00BB7CEA">
        <w:t xml:space="preserve"> </w:t>
      </w:r>
      <w:r w:rsidR="00C53838">
        <w:t xml:space="preserve">has </w:t>
      </w:r>
      <w:r>
        <w:t xml:space="preserve">developed </w:t>
      </w:r>
      <w:r w:rsidR="00C37E8B">
        <w:t>training modules on</w:t>
      </w:r>
      <w:r w:rsidR="006B48FA">
        <w:t xml:space="preserve"> the SDC process</w:t>
      </w:r>
      <w:r w:rsidR="00D002A2">
        <w:t xml:space="preserve"> </w:t>
      </w:r>
      <w:r w:rsidR="00043DDB">
        <w:t xml:space="preserve">that </w:t>
      </w:r>
      <w:r w:rsidR="00D002A2">
        <w:t>are available for clinicians and health service staff</w:t>
      </w:r>
      <w:r w:rsidR="00AD211A">
        <w:t>, but</w:t>
      </w:r>
      <w:r w:rsidR="0082704B">
        <w:t xml:space="preserve"> </w:t>
      </w:r>
      <w:r w:rsidR="00AD211A">
        <w:t>i</w:t>
      </w:r>
      <w:r w:rsidR="001130FC">
        <w:t>t will be at the health service</w:t>
      </w:r>
      <w:r>
        <w:t xml:space="preserve"> entity’s</w:t>
      </w:r>
      <w:r w:rsidR="001130FC">
        <w:t xml:space="preserve"> discretion who </w:t>
      </w:r>
      <w:r w:rsidR="00AD211A">
        <w:t>should complete this training. It is suggested that any clinician involved within the SDC process should be adequately trained</w:t>
      </w:r>
      <w:r w:rsidR="001130FC">
        <w:t xml:space="preserve">. </w:t>
      </w:r>
    </w:p>
    <w:p w:rsidR="006B27F1" w:rsidP="006B27F1" w:rsidRDefault="0082704B" w14:paraId="3098797D" w14:textId="38485E3A">
      <w:pPr>
        <w:pStyle w:val="SCVbodyafterheading"/>
      </w:pPr>
      <w:r>
        <w:t>Health service</w:t>
      </w:r>
      <w:r w:rsidR="008B5E22">
        <w:t xml:space="preserve"> entitie</w:t>
      </w:r>
      <w:r>
        <w:t>s may consider implementing the following measures to support the education of staff in SDC</w:t>
      </w:r>
      <w:r w:rsidR="008F2234">
        <w:t>:</w:t>
      </w:r>
    </w:p>
    <w:p w:rsidR="006B27F1" w:rsidP="7068FF33" w:rsidRDefault="6146F7A5" w14:paraId="64797A10" w14:textId="49B6BA43">
      <w:pPr>
        <w:pStyle w:val="SCVbullet1"/>
        <w:numPr>
          <w:ilvl w:val="0"/>
          <w:numId w:val="5"/>
        </w:numPr>
      </w:pPr>
      <w:r>
        <w:t>a</w:t>
      </w:r>
      <w:r w:rsidR="55BF2C4B">
        <w:t>ppoint current employee</w:t>
      </w:r>
      <w:r w:rsidR="3F6A1AF2">
        <w:t>(s)</w:t>
      </w:r>
      <w:r w:rsidR="55BF2C4B">
        <w:t xml:space="preserve"> as SDC expert</w:t>
      </w:r>
      <w:r w:rsidR="480D1999">
        <w:t>(s)</w:t>
      </w:r>
    </w:p>
    <w:p w:rsidR="006B27F1" w:rsidP="7068FF33" w:rsidRDefault="6146F7A5" w14:paraId="6AEB430D" w14:textId="1ACDF29B">
      <w:pPr>
        <w:pStyle w:val="SCVbullet1"/>
        <w:numPr>
          <w:ilvl w:val="0"/>
          <w:numId w:val="5"/>
        </w:numPr>
      </w:pPr>
      <w:r>
        <w:t>i</w:t>
      </w:r>
      <w:r w:rsidR="693F9C93">
        <w:t>nclude clear information in onboarding documents, internal policies and contracts</w:t>
      </w:r>
    </w:p>
    <w:p w:rsidR="006B27F1" w:rsidP="7068FF33" w:rsidRDefault="6146F7A5" w14:paraId="5E78353E" w14:textId="1FB0BF32">
      <w:pPr>
        <w:pStyle w:val="SCVbullet1"/>
        <w:numPr>
          <w:ilvl w:val="0"/>
          <w:numId w:val="5"/>
        </w:numPr>
      </w:pPr>
      <w:r>
        <w:t>m</w:t>
      </w:r>
      <w:r w:rsidR="55BF2C4B">
        <w:t>andate staff training</w:t>
      </w:r>
      <w:r w:rsidR="197BDF96">
        <w:t xml:space="preserve">, </w:t>
      </w:r>
      <w:r w:rsidR="55BF2C4B">
        <w:t>includ</w:t>
      </w:r>
      <w:r w:rsidR="52C98CC8">
        <w:t>ing</w:t>
      </w:r>
      <w:r w:rsidR="55BF2C4B">
        <w:t>:</w:t>
      </w:r>
    </w:p>
    <w:p w:rsidR="006B27F1" w:rsidP="00A81DFF" w:rsidRDefault="55BF2C4B" w14:paraId="449F7E8A" w14:textId="7CF128DF">
      <w:pPr>
        <w:pStyle w:val="SCVbullet2"/>
        <w:numPr>
          <w:ilvl w:val="0"/>
          <w:numId w:val="70"/>
        </w:numPr>
      </w:pPr>
      <w:r>
        <w:t>SCV e-learning modules</w:t>
      </w:r>
      <w:r w:rsidR="6146F7A5">
        <w:t xml:space="preserve"> on the SDC process and </w:t>
      </w:r>
      <w:r w:rsidR="00A81DFF">
        <w:t xml:space="preserve">introduction to </w:t>
      </w:r>
      <w:r w:rsidR="6146F7A5">
        <w:t>open disclosure</w:t>
      </w:r>
      <w:r w:rsidR="00DD776C">
        <w:t>, available on the SCV website</w:t>
      </w:r>
      <w:r w:rsidR="00415722">
        <w:t xml:space="preserve">: </w:t>
      </w:r>
      <w:hyperlink w:history="1" r:id="rId48">
        <w:r w:rsidR="00415722">
          <w:rPr>
            <w:rStyle w:val="Hyperlink"/>
          </w:rPr>
          <w:t>Learning and education | Safer Care Victoria</w:t>
        </w:r>
      </w:hyperlink>
    </w:p>
    <w:p w:rsidR="006B27F1" w:rsidP="00A81DFF" w:rsidRDefault="55BF2C4B" w14:paraId="35C64701" w14:textId="10E048B6">
      <w:pPr>
        <w:pStyle w:val="SCVbullet2"/>
        <w:numPr>
          <w:ilvl w:val="0"/>
          <w:numId w:val="70"/>
        </w:numPr>
      </w:pPr>
      <w:r>
        <w:t xml:space="preserve">Aboriginal and Torres Strait Islanders’ cultural </w:t>
      </w:r>
      <w:r w:rsidR="548DC8FC">
        <w:t>safety training</w:t>
      </w:r>
      <w:r>
        <w:t xml:space="preserve"> </w:t>
      </w:r>
    </w:p>
    <w:p w:rsidR="006B27F1" w:rsidP="7068FF33" w:rsidRDefault="55BF2C4B" w14:paraId="704B228B" w14:textId="77777777">
      <w:pPr>
        <w:pStyle w:val="SCVbullet1"/>
        <w:numPr>
          <w:ilvl w:val="0"/>
          <w:numId w:val="5"/>
        </w:numPr>
      </w:pPr>
      <w:r>
        <w:t>Give staff the opportunity to observe SDC meetings to enhance their capabilities.</w:t>
      </w:r>
    </w:p>
    <w:p w:rsidR="006B27F1" w:rsidP="006B27F1" w:rsidRDefault="006B27F1" w14:paraId="7DAC9836" w14:textId="5514816A">
      <w:pPr>
        <w:pStyle w:val="Heading3"/>
      </w:pPr>
      <w:r>
        <w:t>Open disclosure training</w:t>
      </w:r>
    </w:p>
    <w:p w:rsidR="006B27F1" w:rsidP="006B27F1" w:rsidRDefault="006B27F1" w14:paraId="0C7B2E63" w14:textId="47B0B2D5">
      <w:pPr>
        <w:pStyle w:val="SCVbody"/>
      </w:pPr>
      <w:r>
        <w:t xml:space="preserve">Literature shows clinicians have little in-depth knowledge of how to conduct an open disclosure process highlighting that the process and communication skills required </w:t>
      </w:r>
      <w:r w:rsidR="00194E9B">
        <w:t>are</w:t>
      </w:r>
      <w:r>
        <w:t xml:space="preserve"> difficult to approach without adequate training</w:t>
      </w:r>
      <w:r>
        <w:rPr>
          <w:rStyle w:val="FootnoteReference"/>
        </w:rPr>
        <w:footnoteReference w:id="28"/>
      </w:r>
      <w:r>
        <w:t xml:space="preserve">. </w:t>
      </w:r>
    </w:p>
    <w:p w:rsidR="006B27F1" w:rsidP="006B27F1" w:rsidRDefault="006B27F1" w14:paraId="6CAF3519" w14:textId="108F0DC6">
      <w:pPr>
        <w:pStyle w:val="SCVbodyafterheading"/>
      </w:pPr>
      <w:r>
        <w:t>Clinicians who have had open disclosure training feel more prepared, confident and comfortable with disclosing errors to patients</w:t>
      </w:r>
      <w:r>
        <w:rPr>
          <w:rStyle w:val="FootnoteReference"/>
          <w:lang w:val="en-US"/>
        </w:rPr>
        <w:footnoteReference w:id="29"/>
      </w:r>
      <w:r>
        <w:rPr>
          <w:lang w:val="en-US"/>
        </w:rPr>
        <w:t xml:space="preserve"> </w:t>
      </w:r>
      <w:r>
        <w:rPr>
          <w:rStyle w:val="FootnoteReference"/>
          <w:lang w:val="en-US"/>
        </w:rPr>
        <w:footnoteReference w:id="30"/>
      </w:r>
      <w:r>
        <w:rPr>
          <w:lang w:val="en-US"/>
        </w:rPr>
        <w:t>.</w:t>
      </w:r>
    </w:p>
    <w:p w:rsidR="00194E9B" w:rsidP="006B27F1" w:rsidRDefault="00830BA4" w14:paraId="4E017B04" w14:textId="71C4E508">
      <w:pPr>
        <w:pStyle w:val="SCVbodyafterheading"/>
      </w:pPr>
      <w:r>
        <w:t xml:space="preserve">In addition to </w:t>
      </w:r>
      <w:r w:rsidR="008F2234">
        <w:t xml:space="preserve">the e-learning </w:t>
      </w:r>
      <w:r>
        <w:t>outlined above, health service</w:t>
      </w:r>
      <w:r w:rsidR="008F4736">
        <w:t xml:space="preserve"> entitie</w:t>
      </w:r>
      <w:r>
        <w:t>s may consider</w:t>
      </w:r>
      <w:r w:rsidR="00F06DF5">
        <w:t xml:space="preserve"> </w:t>
      </w:r>
      <w:r w:rsidR="007F3809">
        <w:t xml:space="preserve">providing </w:t>
      </w:r>
      <w:r w:rsidR="00CC5660">
        <w:t xml:space="preserve">staff with </w:t>
      </w:r>
      <w:r w:rsidR="007F3809">
        <w:t>additional resources in open dis</w:t>
      </w:r>
      <w:r w:rsidR="00CC5660">
        <w:t>closure</w:t>
      </w:r>
      <w:r w:rsidR="00F06DF5">
        <w:t xml:space="preserve"> available from:</w:t>
      </w:r>
    </w:p>
    <w:p w:rsidR="00950964" w:rsidP="00950964" w:rsidRDefault="00950964" w14:paraId="5A3F26E6" w14:textId="2A99AF76">
      <w:pPr>
        <w:pStyle w:val="SCVbullet1"/>
        <w:numPr>
          <w:ilvl w:val="0"/>
          <w:numId w:val="4"/>
        </w:numPr>
      </w:pPr>
      <w:r>
        <w:t xml:space="preserve">the </w:t>
      </w:r>
      <w:hyperlink r:id="rId49">
        <w:r w:rsidRPr="7068FF33">
          <w:rPr>
            <w:rStyle w:val="Hyperlink"/>
          </w:rPr>
          <w:t>Australian Commission on Safety and Quality in Health Care</w:t>
        </w:r>
      </w:hyperlink>
    </w:p>
    <w:p w:rsidR="005C0953" w:rsidP="7068FF33" w:rsidRDefault="4C9B0292" w14:paraId="7FA5E331" w14:textId="1F1DEDF9">
      <w:pPr>
        <w:pStyle w:val="SCVbullet1"/>
        <w:numPr>
          <w:ilvl w:val="0"/>
          <w:numId w:val="4"/>
        </w:numPr>
      </w:pPr>
      <w:r>
        <w:t xml:space="preserve">the </w:t>
      </w:r>
      <w:hyperlink r:id="rId50">
        <w:r w:rsidRPr="7068FF33">
          <w:rPr>
            <w:rStyle w:val="Hyperlink"/>
          </w:rPr>
          <w:t>Victorian Department of Health</w:t>
        </w:r>
      </w:hyperlink>
    </w:p>
    <w:p w:rsidR="003F622E" w:rsidP="00FB3420" w:rsidRDefault="003F622E" w14:paraId="38B29F8A" w14:textId="77777777">
      <w:pPr>
        <w:pStyle w:val="Heading2"/>
      </w:pPr>
      <w:bookmarkStart w:name="_Toc117519247" w:id="39"/>
    </w:p>
    <w:p w:rsidR="00FB3420" w:rsidP="00FB3420" w:rsidRDefault="00AA5A51" w14:paraId="24891B68" w14:textId="0F53A276">
      <w:pPr>
        <w:pStyle w:val="Heading2"/>
      </w:pPr>
      <w:r>
        <w:t>Supporting staff a</w:t>
      </w:r>
      <w:r w:rsidR="00FB3420">
        <w:t>fter a SAPSE</w:t>
      </w:r>
      <w:bookmarkEnd w:id="39"/>
    </w:p>
    <w:p w:rsidR="00FB3420" w:rsidP="00FB3420" w:rsidRDefault="00FB3420" w14:paraId="0D83734B" w14:textId="038DCB92">
      <w:pPr>
        <w:pStyle w:val="SCVbody"/>
      </w:pPr>
      <w:r>
        <w:t xml:space="preserve">Healthcare staff involved in a SAPSE may experience </w:t>
      </w:r>
      <w:r w:rsidR="009A18BC">
        <w:t xml:space="preserve">feelings of </w:t>
      </w:r>
      <w:r>
        <w:t>stress, anxiety or guilt.</w:t>
      </w:r>
    </w:p>
    <w:p w:rsidR="00FB3420" w:rsidP="00FB3420" w:rsidRDefault="00FB3420" w14:paraId="0DEABF73" w14:textId="0839074F">
      <w:pPr>
        <w:pStyle w:val="SCVbody"/>
      </w:pPr>
      <w:r>
        <w:t>Through the SDC process the emotional health of staff members is important. Health service</w:t>
      </w:r>
      <w:r w:rsidR="008F4736">
        <w:t xml:space="preserve"> entitie</w:t>
      </w:r>
      <w:r>
        <w:t xml:space="preserve">s </w:t>
      </w:r>
      <w:r w:rsidR="19F20C50">
        <w:t xml:space="preserve">should </w:t>
      </w:r>
      <w:r>
        <w:t>consider:</w:t>
      </w:r>
    </w:p>
    <w:p w:rsidR="00FB3420" w:rsidP="7068FF33" w:rsidRDefault="19854673" w14:paraId="20079415" w14:textId="79C811CB">
      <w:pPr>
        <w:pStyle w:val="SCVbullet1"/>
        <w:numPr>
          <w:ilvl w:val="0"/>
          <w:numId w:val="3"/>
        </w:numPr>
      </w:pPr>
      <w:r>
        <w:t>providing practical and social support for the staff member, such as transport home or contacting next of kin</w:t>
      </w:r>
    </w:p>
    <w:p w:rsidR="00FB3420" w:rsidP="7068FF33" w:rsidRDefault="19854673" w14:paraId="5DC8A9EA" w14:textId="17992BD6">
      <w:pPr>
        <w:pStyle w:val="SCVbullet1"/>
        <w:numPr>
          <w:ilvl w:val="0"/>
          <w:numId w:val="3"/>
        </w:numPr>
      </w:pPr>
      <w:r>
        <w:t>providing peer support and directing staff to the Employee Assistance Program</w:t>
      </w:r>
      <w:r w:rsidR="005128B1">
        <w:t xml:space="preserve">, </w:t>
      </w:r>
      <w:r>
        <w:t>counselling services</w:t>
      </w:r>
      <w:r w:rsidR="00CC3D25">
        <w:t xml:space="preserve"> or equivalent</w:t>
      </w:r>
    </w:p>
    <w:p w:rsidR="3534B7AA" w:rsidP="7068FF33" w:rsidRDefault="19854673" w14:paraId="5E6B5A75" w14:textId="5A6F2A78">
      <w:pPr>
        <w:pStyle w:val="SCVbullet1"/>
        <w:numPr>
          <w:ilvl w:val="0"/>
          <w:numId w:val="3"/>
        </w:numPr>
      </w:pPr>
      <w:r>
        <w:t xml:space="preserve">conducting a planning meeting before the SDC meeting. </w:t>
      </w:r>
    </w:p>
    <w:p w:rsidR="3534B7AA" w:rsidP="7068FF33" w:rsidRDefault="11222ECD" w14:paraId="62B0040E" w14:textId="3C37054A">
      <w:pPr>
        <w:pStyle w:val="SCVbullet1"/>
        <w:numPr>
          <w:ilvl w:val="0"/>
          <w:numId w:val="3"/>
        </w:numPr>
      </w:pPr>
      <w:r>
        <w:t xml:space="preserve">Recognise vicarious trauma </w:t>
      </w:r>
      <w:r w:rsidR="605855F8">
        <w:t xml:space="preserve">risk </w:t>
      </w:r>
      <w:r>
        <w:t xml:space="preserve">and ensure culturally appropriate employee assistance programs/supports are in place.   </w:t>
      </w:r>
    </w:p>
    <w:p w:rsidR="00FB3420" w:rsidP="00FB3420" w:rsidRDefault="00FB3420" w14:paraId="762B705D" w14:textId="194536B4">
      <w:pPr>
        <w:pStyle w:val="SCVbullet1"/>
        <w:numPr>
          <w:ilvl w:val="0"/>
          <w:numId w:val="0"/>
        </w:numPr>
      </w:pPr>
      <w:r>
        <w:t>Research has shown that adequate preparation for the SDC meeting allows time for clinicians to deal with their emotions and provide</w:t>
      </w:r>
      <w:r w:rsidR="008F4736">
        <w:t>s</w:t>
      </w:r>
      <w:r>
        <w:t xml:space="preserve"> a more successful and compassionate message to the patient</w:t>
      </w:r>
      <w:r>
        <w:rPr>
          <w:rStyle w:val="FootnoteReference"/>
          <w:rFonts w:cs="Arial"/>
          <w:lang w:val="en-US"/>
        </w:rPr>
        <w:footnoteReference w:id="31"/>
      </w:r>
      <w:r>
        <w:t xml:space="preserve">. Staff should also de-brief after the incident and after the SDC meeting. </w:t>
      </w:r>
    </w:p>
    <w:p w:rsidR="00FB3420" w:rsidP="00FB3420" w:rsidRDefault="00FB3420" w14:paraId="71944D66" w14:textId="77777777">
      <w:pPr>
        <w:pStyle w:val="SCVbullet1"/>
        <w:numPr>
          <w:ilvl w:val="0"/>
          <w:numId w:val="0"/>
        </w:numPr>
        <w:ind w:left="284" w:hanging="284"/>
      </w:pPr>
    </w:p>
    <w:p w:rsidR="006B27F1" w:rsidP="006B27F1" w:rsidRDefault="006B27F1" w14:paraId="72BCE662" w14:textId="77777777">
      <w:pPr>
        <w:pStyle w:val="Heading1"/>
      </w:pPr>
      <w:bookmarkStart w:name="_Toc117519248" w:id="40"/>
      <w:r>
        <w:t>Consumer Awareness</w:t>
      </w:r>
      <w:bookmarkEnd w:id="40"/>
    </w:p>
    <w:p w:rsidR="006B27F1" w:rsidP="006B27F1" w:rsidRDefault="00D02264" w14:paraId="72E329B4" w14:textId="1C6DFCBB">
      <w:pPr>
        <w:pStyle w:val="SCVbodyafterheading"/>
      </w:pPr>
      <w:r>
        <w:t>E</w:t>
      </w:r>
      <w:r w:rsidR="006B27F1">
        <w:t xml:space="preserve">ducational patient facing materials around </w:t>
      </w:r>
      <w:r w:rsidR="00C97F89">
        <w:t>a health service</w:t>
      </w:r>
      <w:r w:rsidR="006B27F1">
        <w:t xml:space="preserve"> create early awareness that errors can occur. This can help decrease unrealistic patient expectations</w:t>
      </w:r>
      <w:r w:rsidR="006B27F1">
        <w:rPr>
          <w:rStyle w:val="FootnoteReference"/>
        </w:rPr>
        <w:footnoteReference w:id="32"/>
      </w:r>
      <w:r w:rsidR="006B27F1">
        <w:t>.</w:t>
      </w:r>
    </w:p>
    <w:p w:rsidR="00687EC4" w:rsidP="006B27F1" w:rsidRDefault="55BF2C4B" w14:paraId="4FD9B3B0" w14:textId="509497E2">
      <w:pPr>
        <w:pStyle w:val="SCVbody"/>
      </w:pPr>
      <w:r>
        <w:t xml:space="preserve">Ensure information is available to patients </w:t>
      </w:r>
      <w:r w:rsidR="5059A63F">
        <w:t>and</w:t>
      </w:r>
      <w:r>
        <w:t xml:space="preserve"> </w:t>
      </w:r>
      <w:r w:rsidR="00C869C2">
        <w:t>sup</w:t>
      </w:r>
      <w:r w:rsidR="00557427">
        <w:t>port persons</w:t>
      </w:r>
      <w:r>
        <w:t xml:space="preserve"> when harm does occur</w:t>
      </w:r>
      <w:r w:rsidR="5059A63F">
        <w:t>. This may include information provided by:</w:t>
      </w:r>
    </w:p>
    <w:p w:rsidR="00E04AE6" w:rsidP="7068FF33" w:rsidRDefault="5BC2EB7D" w14:paraId="2AE9EEDA" w14:textId="09B88D67">
      <w:pPr>
        <w:pStyle w:val="SCVbullet1"/>
        <w:numPr>
          <w:ilvl w:val="0"/>
          <w:numId w:val="2"/>
        </w:numPr>
      </w:pPr>
      <w:r>
        <w:t>t</w:t>
      </w:r>
      <w:r w:rsidR="5165494F">
        <w:t>he</w:t>
      </w:r>
      <w:r w:rsidR="55BF2C4B">
        <w:t xml:space="preserve"> </w:t>
      </w:r>
      <w:r w:rsidR="00F95DD5">
        <w:t>DH</w:t>
      </w:r>
    </w:p>
    <w:p w:rsidR="00E04AE6" w:rsidP="7068FF33" w:rsidRDefault="5BC2EB7D" w14:paraId="1BE8A027" w14:textId="4B8C48DE">
      <w:pPr>
        <w:pStyle w:val="SCVbullet1"/>
        <w:numPr>
          <w:ilvl w:val="0"/>
          <w:numId w:val="2"/>
        </w:numPr>
      </w:pPr>
      <w:r>
        <w:t>t</w:t>
      </w:r>
      <w:r w:rsidR="276E8883">
        <w:t xml:space="preserve">he </w:t>
      </w:r>
      <w:r w:rsidR="55BF2C4B">
        <w:t>A</w:t>
      </w:r>
      <w:r w:rsidR="276E8883">
        <w:t xml:space="preserve">ustralian </w:t>
      </w:r>
      <w:r w:rsidR="55BF2C4B">
        <w:t>C</w:t>
      </w:r>
      <w:r w:rsidR="276E8883">
        <w:t xml:space="preserve">ommission on </w:t>
      </w:r>
      <w:r w:rsidR="55BF2C4B">
        <w:t>S</w:t>
      </w:r>
      <w:r w:rsidR="276E8883">
        <w:t xml:space="preserve">afety and </w:t>
      </w:r>
      <w:r w:rsidR="55BF2C4B">
        <w:t>Q</w:t>
      </w:r>
      <w:r w:rsidR="276E8883">
        <w:t xml:space="preserve">uality in </w:t>
      </w:r>
      <w:r w:rsidR="55BF2C4B">
        <w:t>H</w:t>
      </w:r>
      <w:r w:rsidR="276E8883">
        <w:t xml:space="preserve">ealth </w:t>
      </w:r>
      <w:r w:rsidR="55BF2C4B">
        <w:t>C</w:t>
      </w:r>
      <w:r w:rsidR="276E8883">
        <w:t>are</w:t>
      </w:r>
      <w:r w:rsidR="5C797F03">
        <w:t xml:space="preserve"> (ACSQHC)</w:t>
      </w:r>
    </w:p>
    <w:p w:rsidR="00E04AE6" w:rsidP="7068FF33" w:rsidRDefault="5BC2EB7D" w14:paraId="02A7EE32" w14:textId="60CDCF2D">
      <w:pPr>
        <w:pStyle w:val="SCVbullet1"/>
        <w:numPr>
          <w:ilvl w:val="0"/>
          <w:numId w:val="2"/>
        </w:numPr>
      </w:pPr>
      <w:r>
        <w:t>l</w:t>
      </w:r>
      <w:r w:rsidR="55BF2C4B">
        <w:t xml:space="preserve">ocally adapted information about the SDC process. </w:t>
      </w:r>
    </w:p>
    <w:p w:rsidR="00A451EB" w:rsidP="00E04AE6" w:rsidRDefault="006B27F1" w14:paraId="166B0776" w14:textId="05FC4381">
      <w:pPr>
        <w:pStyle w:val="SCVbullet1"/>
        <w:numPr>
          <w:ilvl w:val="0"/>
          <w:numId w:val="0"/>
        </w:numPr>
      </w:pPr>
      <w:r>
        <w:t xml:space="preserve">This should also include information on how to make a complaint about the SDC process to the </w:t>
      </w:r>
      <w:r w:rsidR="006932C6">
        <w:t>HCC</w:t>
      </w:r>
      <w:r>
        <w:t xml:space="preserve"> or the </w:t>
      </w:r>
      <w:r w:rsidR="006932C6">
        <w:t>MHCC</w:t>
      </w:r>
      <w:r>
        <w:t xml:space="preserve">, as well as professional complaints to the </w:t>
      </w:r>
      <w:r w:rsidRPr="00AB2F6A">
        <w:t xml:space="preserve">Australian Health Practitioner Regulation Agency </w:t>
      </w:r>
      <w:r>
        <w:t>(</w:t>
      </w:r>
      <w:r w:rsidR="006932C6">
        <w:t>Ahpra</w:t>
      </w:r>
      <w:r w:rsidR="00D33034">
        <w:t>)</w:t>
      </w:r>
      <w:r>
        <w:t xml:space="preserve">. </w:t>
      </w:r>
    </w:p>
    <w:p w:rsidR="006B27F1" w:rsidP="00E04AE6" w:rsidRDefault="006B27F1" w14:paraId="0FC3CD10" w14:textId="7900957B">
      <w:pPr>
        <w:pStyle w:val="SCVbullet1"/>
        <w:numPr>
          <w:ilvl w:val="0"/>
          <w:numId w:val="0"/>
        </w:numPr>
      </w:pPr>
      <w:r>
        <w:t>Health service entities should also have</w:t>
      </w:r>
      <w:r w:rsidR="00A451EB">
        <w:t xml:space="preserve"> this</w:t>
      </w:r>
      <w:r>
        <w:t xml:space="preserve"> information available on their website.</w:t>
      </w:r>
    </w:p>
    <w:p w:rsidR="00B1051C" w:rsidP="0022375C" w:rsidRDefault="00FF2E4F" w14:paraId="273E9D3C" w14:textId="0E01AEAC">
      <w:pPr>
        <w:pStyle w:val="SCVbody"/>
      </w:pPr>
      <w:r w:rsidRPr="00FF2E4F">
        <w:rPr>
          <w:b/>
          <w:bCs/>
        </w:rPr>
        <w:t>Note:</w:t>
      </w:r>
      <w:r>
        <w:t xml:space="preserve"> </w:t>
      </w:r>
      <w:r w:rsidR="55BF2C4B">
        <w:t xml:space="preserve">Online consumer </w:t>
      </w:r>
      <w:r w:rsidR="2C34D77D">
        <w:t>information on the SDC</w:t>
      </w:r>
      <w:r w:rsidR="358593BB">
        <w:t xml:space="preserve"> and </w:t>
      </w:r>
      <w:r w:rsidR="005F515E">
        <w:t xml:space="preserve">health service entity requirements </w:t>
      </w:r>
      <w:r>
        <w:t>will be</w:t>
      </w:r>
      <w:r w:rsidR="358593BB">
        <w:t xml:space="preserve"> </w:t>
      </w:r>
      <w:bookmarkEnd w:id="1"/>
      <w:bookmarkEnd w:id="2"/>
      <w:r w:rsidR="005F515E">
        <w:t>available on the Better</w:t>
      </w:r>
      <w:r w:rsidR="00EC7164">
        <w:t xml:space="preserve"> </w:t>
      </w:r>
      <w:r w:rsidR="005F515E">
        <w:t>Health Channel</w:t>
      </w:r>
      <w:r w:rsidR="00C62DD0">
        <w:t xml:space="preserve"> website</w:t>
      </w:r>
      <w:r>
        <w:t xml:space="preserve"> from late 2022.</w:t>
      </w:r>
      <w:r w:rsidDel="00FF2E4F">
        <w:t xml:space="preserve"> </w:t>
      </w:r>
    </w:p>
    <w:p w:rsidR="007F347D" w:rsidP="00BE52F8" w:rsidRDefault="007F347D" w14:paraId="17D0678F" w14:textId="799CB056">
      <w:pPr>
        <w:pStyle w:val="SCVbody"/>
      </w:pPr>
      <w:r>
        <w:br w:type="page"/>
      </w:r>
    </w:p>
    <w:p w:rsidR="0022375C" w:rsidP="00815D57" w:rsidRDefault="00815D57" w14:paraId="3DEF54BD" w14:textId="43263D5E">
      <w:pPr>
        <w:pStyle w:val="Heading1"/>
      </w:pPr>
      <w:bookmarkStart w:name="_Toc117519249" w:id="41"/>
      <w:r>
        <w:t>Helpful Resources</w:t>
      </w:r>
      <w:bookmarkEnd w:id="41"/>
    </w:p>
    <w:p w:rsidR="007B78BB" w:rsidP="006C2185" w:rsidRDefault="006C2185" w14:paraId="764D0EA0" w14:textId="03EE2665">
      <w:pPr>
        <w:pStyle w:val="Heading4"/>
      </w:pPr>
      <w:r>
        <w:t xml:space="preserve">Legislation / </w:t>
      </w:r>
      <w:r w:rsidR="0001534E">
        <w:t xml:space="preserve">Instruments / </w:t>
      </w:r>
      <w:r>
        <w:t>Regulations</w:t>
      </w:r>
    </w:p>
    <w:p w:rsidRPr="00561A76" w:rsidR="00FB0F62" w:rsidP="006C2185" w:rsidRDefault="003F622E" w14:paraId="0AE60CD0" w14:textId="77777777">
      <w:pPr>
        <w:pStyle w:val="SCVbody"/>
        <w:rPr>
          <w:i/>
          <w:iCs/>
        </w:rPr>
      </w:pPr>
      <w:hyperlink r:id="rId51">
        <w:r w:rsidRPr="00561A76" w:rsidR="00FB0F62">
          <w:rPr>
            <w:rStyle w:val="Hyperlink"/>
            <w:i/>
            <w:iCs/>
          </w:rPr>
          <w:t>Ambulance Services Act 1986 (legislation.vic.gov.au)</w:t>
        </w:r>
      </w:hyperlink>
    </w:p>
    <w:p w:rsidRPr="00561A76" w:rsidR="00FB0F62" w:rsidP="7068FF33" w:rsidRDefault="003F622E" w14:paraId="36864FB8" w14:textId="77777777">
      <w:pPr>
        <w:pStyle w:val="SCVbody"/>
        <w:rPr>
          <w:i/>
          <w:iCs/>
          <w:color w:val="004C97" w:themeColor="accent4"/>
        </w:rPr>
      </w:pPr>
      <w:hyperlink r:id="rId52">
        <w:r w:rsidRPr="00561A76" w:rsidR="00FB0F62">
          <w:rPr>
            <w:rStyle w:val="Hyperlink"/>
            <w:i/>
            <w:iCs/>
            <w:color w:val="004C97" w:themeColor="accent4"/>
          </w:rPr>
          <w:t>Health Legislation Amendment (Quality and Safety) Act 2022</w:t>
        </w:r>
      </w:hyperlink>
    </w:p>
    <w:p w:rsidRPr="00561A76" w:rsidR="00FB0F62" w:rsidP="7068FF33" w:rsidRDefault="003F622E" w14:paraId="59AD1C9C" w14:textId="77777777">
      <w:pPr>
        <w:pStyle w:val="SCVbody"/>
        <w:rPr>
          <w:i/>
          <w:iCs/>
        </w:rPr>
      </w:pPr>
      <w:hyperlink w:history="1" r:id="rId53">
        <w:r w:rsidRPr="00561A76" w:rsidR="00FB0F62">
          <w:rPr>
            <w:rStyle w:val="Hyperlink"/>
            <w:i/>
            <w:iCs/>
          </w:rPr>
          <w:t>Health Services Act 1988 (legislation.vic.gov.au)</w:t>
        </w:r>
      </w:hyperlink>
    </w:p>
    <w:p w:rsidRPr="00561A76" w:rsidR="008813B1" w:rsidP="7068FF33" w:rsidRDefault="003F622E" w14:paraId="07E92D1C" w14:textId="676858E0">
      <w:pPr>
        <w:pStyle w:val="SCVbody"/>
        <w:rPr>
          <w:i/>
          <w:iCs/>
        </w:rPr>
      </w:pPr>
      <w:hyperlink w:history="1" r:id="rId54">
        <w:r w:rsidRPr="00561A76" w:rsidR="008813B1">
          <w:rPr>
            <w:rStyle w:val="Hyperlink"/>
            <w:i/>
            <w:iCs/>
            <w:lang w:val="en-US"/>
          </w:rPr>
          <w:t>Health Services (Quality and Safety) Regulations 2020</w:t>
        </w:r>
      </w:hyperlink>
    </w:p>
    <w:p w:rsidRPr="00561A76" w:rsidR="00FB0F62" w:rsidP="7068FF33" w:rsidRDefault="003F622E" w14:paraId="612F738C" w14:textId="77777777">
      <w:pPr>
        <w:pStyle w:val="SCVbody"/>
        <w:rPr>
          <w:rStyle w:val="Hyperlink"/>
          <w:i/>
          <w:iCs/>
          <w:color w:val="004C97" w:themeColor="accent4"/>
        </w:rPr>
      </w:pPr>
      <w:hyperlink r:id="rId55">
        <w:r w:rsidRPr="00561A76" w:rsidR="00FB0F62">
          <w:rPr>
            <w:rStyle w:val="Hyperlink"/>
            <w:i/>
            <w:iCs/>
            <w:color w:val="004C97" w:themeColor="accent4"/>
          </w:rPr>
          <w:t>Mental Health Act 2014 (legislation.vic.gov.au)</w:t>
        </w:r>
      </w:hyperlink>
    </w:p>
    <w:p w:rsidRPr="00561A76" w:rsidR="00FB0F62" w:rsidP="7068FF33" w:rsidRDefault="003F622E" w14:paraId="0708E5F6" w14:textId="6D4D5626">
      <w:pPr>
        <w:pStyle w:val="SCVbody"/>
        <w:rPr>
          <w:i/>
          <w:iCs/>
          <w:color w:val="004C97" w:themeColor="accent4"/>
        </w:rPr>
      </w:pPr>
      <w:hyperlink w:history="1" r:id="rId56">
        <w:r w:rsidRPr="00561A76" w:rsidR="0001534E">
          <w:rPr>
            <w:rStyle w:val="Hyperlink"/>
            <w:i/>
            <w:iCs/>
          </w:rPr>
          <w:t>Victorian Duty of Candour Guidelines</w:t>
        </w:r>
      </w:hyperlink>
    </w:p>
    <w:p w:rsidR="0001534E" w:rsidP="7068FF33" w:rsidRDefault="0001534E" w14:paraId="75597003" w14:textId="77777777">
      <w:pPr>
        <w:pStyle w:val="SCVbody"/>
        <w:rPr>
          <w:color w:val="004C97" w:themeColor="accent4"/>
        </w:rPr>
      </w:pPr>
    </w:p>
    <w:p w:rsidR="0E53F234" w:rsidP="004F1195" w:rsidRDefault="004F1195" w14:paraId="685C596E" w14:textId="43263D5E">
      <w:pPr>
        <w:pStyle w:val="Heading4"/>
        <w:rPr>
          <w:rStyle w:val="Hyperlink"/>
          <w:color w:val="auto"/>
          <w:u w:val="none"/>
        </w:rPr>
      </w:pPr>
      <w:r w:rsidRPr="004F1195">
        <w:rPr>
          <w:rStyle w:val="Hyperlink"/>
          <w:color w:val="auto"/>
          <w:u w:val="none"/>
        </w:rPr>
        <w:t>Further resources</w:t>
      </w:r>
    </w:p>
    <w:p w:rsidR="009C0EBA" w:rsidP="006C2185" w:rsidRDefault="003F622E" w14:paraId="4E27C7E4" w14:textId="3CBE1F17">
      <w:pPr>
        <w:pStyle w:val="SCVbody"/>
      </w:pPr>
      <w:hyperlink r:id="rId57">
        <w:r w:rsidRPr="15F55D30" w:rsidR="009C0EBA">
          <w:rPr>
            <w:rStyle w:val="Hyperlink"/>
          </w:rPr>
          <w:t>Aboriginal and Torres Strait Islander cultural safety (health.vic.gov.au)</w:t>
        </w:r>
      </w:hyperlink>
    </w:p>
    <w:p w:rsidR="009C0EBA" w:rsidP="006C2185" w:rsidRDefault="003F622E" w14:paraId="672C63E5" w14:textId="77777777">
      <w:pPr>
        <w:pStyle w:val="SCVbody"/>
        <w:rPr>
          <w:rStyle w:val="Hyperlink"/>
          <w:color w:val="004C97" w:themeColor="accent4"/>
        </w:rPr>
      </w:pPr>
      <w:hyperlink r:id="rId58">
        <w:r w:rsidRPr="7068FF33" w:rsidR="009C0EBA">
          <w:rPr>
            <w:rStyle w:val="Hyperlink"/>
            <w:color w:val="004C97" w:themeColor="accent4"/>
          </w:rPr>
          <w:t>Chief psychiatrist guidelines (health.vic.gov.au)</w:t>
        </w:r>
      </w:hyperlink>
    </w:p>
    <w:p w:rsidR="009C0EBA" w:rsidP="006C2185" w:rsidRDefault="003F622E" w14:paraId="2D0141E0" w14:textId="3CBE1F17">
      <w:pPr>
        <w:pStyle w:val="SCVbody"/>
        <w:rPr>
          <w:rStyle w:val="Hyperlink"/>
        </w:rPr>
      </w:pPr>
      <w:hyperlink r:id="rId59">
        <w:r w:rsidRPr="15F55D30" w:rsidR="009C0EBA">
          <w:rPr>
            <w:rStyle w:val="Hyperlink"/>
          </w:rPr>
          <w:t>Framework for reducing restrictive interventions (health.vic.gov.au)</w:t>
        </w:r>
      </w:hyperlink>
    </w:p>
    <w:p w:rsidRPr="0059778D" w:rsidR="0059778D" w:rsidP="006C2185" w:rsidRDefault="003F622E" w14:paraId="3E75A7DD" w14:textId="2FBF9EFD">
      <w:pPr>
        <w:pStyle w:val="SCVbody"/>
        <w:rPr>
          <w:rStyle w:val="Hyperlink"/>
          <w:color w:val="auto"/>
          <w:u w:val="none"/>
        </w:rPr>
      </w:pPr>
      <w:hyperlink w:history="1" r:id="rId60">
        <w:r w:rsidR="00F51FD0">
          <w:rPr>
            <w:rStyle w:val="Hyperlink"/>
          </w:rPr>
          <w:t>Just-Culture-in-adverse-event-reviews-factsheet.pdf (safercare.vic.gov.au)</w:t>
        </w:r>
      </w:hyperlink>
    </w:p>
    <w:p w:rsidR="00415722" w:rsidP="006C2185" w:rsidRDefault="003F622E" w14:paraId="224EFF8F" w14:textId="389998F6">
      <w:pPr>
        <w:pStyle w:val="SCVbody"/>
        <w:rPr>
          <w:rStyle w:val="Hyperlink"/>
          <w:color w:val="004C97" w:themeColor="accent4"/>
        </w:rPr>
      </w:pPr>
      <w:hyperlink w:history="1" r:id="rId61">
        <w:r w:rsidR="00415722">
          <w:rPr>
            <w:rStyle w:val="Hyperlink"/>
          </w:rPr>
          <w:t>Learning and education | Safer Care Victoria</w:t>
        </w:r>
      </w:hyperlink>
    </w:p>
    <w:p w:rsidR="009C0EBA" w:rsidP="006C2185" w:rsidRDefault="003F622E" w14:paraId="2449079E" w14:textId="77777777">
      <w:pPr>
        <w:pStyle w:val="SCVbody"/>
        <w:rPr>
          <w:rStyle w:val="Hyperlink"/>
          <w:color w:val="004C97" w:themeColor="accent4"/>
        </w:rPr>
      </w:pPr>
      <w:hyperlink r:id="rId62">
        <w:r w:rsidRPr="7068FF33" w:rsidR="009C0EBA">
          <w:rPr>
            <w:rStyle w:val="Hyperlink"/>
            <w:color w:val="004C97" w:themeColor="accent4"/>
          </w:rPr>
          <w:t>Mental Health Act 2014 handbook</w:t>
        </w:r>
      </w:hyperlink>
    </w:p>
    <w:p w:rsidR="00F45307" w:rsidP="006C2185" w:rsidRDefault="003F622E" w14:paraId="6E312D4E" w14:textId="7004F7D5">
      <w:pPr>
        <w:pStyle w:val="SCVbody"/>
        <w:rPr>
          <w:color w:val="004C97" w:themeColor="accent4"/>
        </w:rPr>
      </w:pPr>
      <w:hyperlink w:history="1" r:id="rId63">
        <w:r w:rsidR="00F45307">
          <w:rPr>
            <w:rStyle w:val="Hyperlink"/>
          </w:rPr>
          <w:t>Children under 18 years - Office of the Public Advocate</w:t>
        </w:r>
      </w:hyperlink>
    </w:p>
    <w:p w:rsidR="009C0EBA" w:rsidP="006C2185" w:rsidRDefault="003F622E" w14:paraId="20B5F8B0" w14:textId="77777777">
      <w:pPr>
        <w:pStyle w:val="SCVbody"/>
        <w:rPr>
          <w:color w:val="004C97" w:themeColor="accent4"/>
        </w:rPr>
      </w:pPr>
      <w:hyperlink r:id="rId64">
        <w:r w:rsidRPr="7068FF33" w:rsidR="009C0EBA">
          <w:rPr>
            <w:rStyle w:val="Hyperlink"/>
            <w:color w:val="004C97" w:themeColor="accent4"/>
          </w:rPr>
          <w:t>Open disclosure | Australian Commission on Safety and Quality in Health Care</w:t>
        </w:r>
      </w:hyperlink>
    </w:p>
    <w:p w:rsidR="009C0EBA" w:rsidP="006C2185" w:rsidRDefault="003F622E" w14:paraId="00124BF0" w14:textId="77777777">
      <w:pPr>
        <w:pStyle w:val="SCVbody"/>
        <w:rPr>
          <w:color w:val="004C97" w:themeColor="accent4"/>
        </w:rPr>
      </w:pPr>
      <w:hyperlink r:id="rId65">
        <w:r w:rsidRPr="7068FF33" w:rsidR="009C0EBA">
          <w:rPr>
            <w:rStyle w:val="Hyperlink"/>
            <w:color w:val="004C97" w:themeColor="accent4"/>
          </w:rPr>
          <w:t>Open disclosure resources and tools (health.vic.gov.au)</w:t>
        </w:r>
      </w:hyperlink>
    </w:p>
    <w:p w:rsidR="009C0EBA" w:rsidP="006C2185" w:rsidRDefault="003F622E" w14:paraId="58F7DB0D" w14:textId="77777777">
      <w:pPr>
        <w:pStyle w:val="SCVbody"/>
        <w:rPr>
          <w:rStyle w:val="Hyperlink"/>
          <w:color w:val="004C97" w:themeColor="accent4"/>
        </w:rPr>
      </w:pPr>
      <w:hyperlink r:id="rId66">
        <w:r w:rsidRPr="7068FF33" w:rsidR="009C0EBA">
          <w:rPr>
            <w:rStyle w:val="Hyperlink"/>
            <w:color w:val="004C97" w:themeColor="accent4"/>
          </w:rPr>
          <w:t>Promoting sexual safety (health.vic.gov.au)</w:t>
        </w:r>
      </w:hyperlink>
    </w:p>
    <w:p w:rsidR="00CD657F" w:rsidP="004F1195" w:rsidRDefault="003F622E" w14:paraId="0E7501C1" w14:textId="25F152A4">
      <w:pPr>
        <w:pStyle w:val="SCVbody"/>
        <w:rPr>
          <w:rStyle w:val="Hyperlink"/>
        </w:rPr>
      </w:pPr>
      <w:hyperlink r:id="rId67">
        <w:r w:rsidRPr="15F55D30" w:rsidR="009C0EBA">
          <w:rPr>
            <w:rStyle w:val="Hyperlink"/>
          </w:rPr>
          <w:t>SCV-Just-Culture-Guide-for-Health-Services.pdf (safercare.vic.gov.au)</w:t>
        </w:r>
      </w:hyperlink>
    </w:p>
    <w:p w:rsidR="0059778D" w:rsidP="004F1195" w:rsidRDefault="003F622E" w14:paraId="567D5217" w14:textId="13A3BCF9">
      <w:pPr>
        <w:pStyle w:val="SCVbody"/>
        <w:rPr>
          <w:rStyle w:val="Hyperlink"/>
        </w:rPr>
      </w:pPr>
      <w:hyperlink w:history="1" r:id="rId68">
        <w:r w:rsidR="0059778D">
          <w:rPr>
            <w:rStyle w:val="Hyperlink"/>
          </w:rPr>
          <w:t>SCV-Leadership-safety-culture-factsheet.pdf (safercare.vic.gov.au)</w:t>
        </w:r>
      </w:hyperlink>
    </w:p>
    <w:p w:rsidR="00205ECD" w:rsidP="004F1195" w:rsidRDefault="003F622E" w14:paraId="4466DF5B" w14:textId="03A4B4B7">
      <w:pPr>
        <w:pStyle w:val="SCVbody"/>
        <w:rPr>
          <w:rStyle w:val="Hyperlink"/>
        </w:rPr>
      </w:pPr>
      <w:hyperlink w:history="1" r:id="rId69">
        <w:r w:rsidR="006555BA">
          <w:rPr>
            <w:rStyle w:val="Hyperlink"/>
          </w:rPr>
          <w:t>Victorian sentinel events guide_0.pdf (safercare.vic.gov.au)</w:t>
        </w:r>
      </w:hyperlink>
    </w:p>
    <w:p w:rsidR="009C0EBA" w:rsidP="006C2185" w:rsidRDefault="003F622E" w14:paraId="6030EA4E" w14:textId="3CBE1F17">
      <w:pPr>
        <w:pStyle w:val="SCVbody"/>
        <w:rPr>
          <w:color w:val="004C97" w:themeColor="accent4"/>
        </w:rPr>
      </w:pPr>
      <w:hyperlink r:id="rId70">
        <w:r w:rsidRPr="15F55D30" w:rsidR="009C0EBA">
          <w:rPr>
            <w:rStyle w:val="Hyperlink"/>
          </w:rPr>
          <w:t>Statutory Duty of Candour and protections for SAPSE reviews | Safer Care Victoria</w:t>
        </w:r>
      </w:hyperlink>
    </w:p>
    <w:p w:rsidR="009C0EBA" w:rsidP="006C2185" w:rsidRDefault="003F622E" w14:paraId="4F99ACD8" w14:textId="77777777">
      <w:pPr>
        <w:pStyle w:val="SCVbody"/>
        <w:rPr>
          <w:color w:val="004C97" w:themeColor="accent4"/>
        </w:rPr>
      </w:pPr>
      <w:hyperlink r:id="rId71">
        <w:r w:rsidRPr="7068FF33" w:rsidR="009C0EBA">
          <w:rPr>
            <w:rStyle w:val="Hyperlink"/>
            <w:color w:val="004C97" w:themeColor="accent4"/>
          </w:rPr>
          <w:t>The Australian Open Disclosure Framework | Australian Commission on Safety and Quality in Health Care</w:t>
        </w:r>
      </w:hyperlink>
    </w:p>
    <w:p w:rsidRPr="004F1195" w:rsidR="009C0EBA" w:rsidP="004F1195" w:rsidRDefault="003F622E" w14:paraId="5588B3A2" w14:textId="3CBE1F17">
      <w:pPr>
        <w:pStyle w:val="SCVbody"/>
      </w:pPr>
      <w:hyperlink r:id="rId72">
        <w:r w:rsidRPr="15F55D30" w:rsidR="009C0EBA">
          <w:rPr>
            <w:rStyle w:val="Hyperlink"/>
          </w:rPr>
          <w:t>Victoria’s Charter of Human Rights and Responsibilities</w:t>
        </w:r>
      </w:hyperlink>
    </w:p>
    <w:p w:rsidR="009C0EBA" w:rsidP="006C2185" w:rsidRDefault="003F622E" w14:paraId="78602D88" w14:textId="77777777">
      <w:pPr>
        <w:pStyle w:val="SCVbody"/>
        <w:rPr>
          <w:color w:val="004C97" w:themeColor="accent4"/>
        </w:rPr>
      </w:pPr>
      <w:hyperlink r:id="rId73">
        <w:r w:rsidRPr="7068FF33" w:rsidR="009C0EBA">
          <w:rPr>
            <w:rStyle w:val="Hyperlink"/>
            <w:color w:val="004C97" w:themeColor="accent4"/>
          </w:rPr>
          <w:t>Victorian health incident management policy. (nla.gov.au)</w:t>
        </w:r>
      </w:hyperlink>
    </w:p>
    <w:p w:rsidR="006A3D39" w:rsidP="006A3D39" w:rsidRDefault="003F622E" w14:paraId="58E0386D" w14:textId="77777777">
      <w:pPr>
        <w:pStyle w:val="SCVbody"/>
        <w:rPr>
          <w:rStyle w:val="Hyperlink"/>
          <w:color w:val="004C97" w:themeColor="accent4"/>
        </w:rPr>
        <w:sectPr w:rsidR="006A3D39" w:rsidSect="00D53E93">
          <w:headerReference w:type="even" r:id="rId74"/>
          <w:headerReference w:type="default" r:id="rId75"/>
          <w:footerReference w:type="even" r:id="rId76"/>
          <w:pgSz w:w="11906" w:h="16838" w:code="9"/>
          <w:pgMar w:top="2438" w:right="737" w:bottom="1361" w:left="737" w:header="851" w:footer="850" w:gutter="0"/>
          <w:pgNumType w:start="1"/>
          <w:cols w:space="284"/>
          <w:docGrid w:linePitch="360"/>
        </w:sectPr>
      </w:pPr>
      <w:hyperlink r:id="rId77">
        <w:r w:rsidRPr="2778AFCB" w:rsidR="009C0EBA">
          <w:rPr>
            <w:rStyle w:val="Hyperlink"/>
            <w:color w:val="004C97" w:themeColor="accent4"/>
          </w:rPr>
          <w:t>Victorian Health Incident Management System Minimum Dataset | health.vic.gov.au</w:t>
        </w:r>
      </w:hyperlink>
    </w:p>
    <w:p w:rsidR="00481F8C" w:rsidP="006A3D39" w:rsidRDefault="00481F8C" w14:paraId="40AD9892" w14:textId="39524DFD">
      <w:pPr>
        <w:pStyle w:val="SCVbody"/>
        <w:rPr>
          <w:rStyle w:val="Hyperlink"/>
          <w:color w:val="004C97" w:themeColor="accent4"/>
        </w:rPr>
      </w:pPr>
    </w:p>
    <w:p w:rsidRPr="0059778D" w:rsidR="6C33F4BD" w:rsidP="2778AFCB" w:rsidRDefault="6C33F4BD" w14:paraId="652A7952" w14:textId="77777777">
      <w:pPr>
        <w:pStyle w:val="SCVbody"/>
        <w:rPr>
          <w:color w:val="004C97" w:themeColor="accent4"/>
        </w:rPr>
      </w:pPr>
    </w:p>
    <w:sectPr w:rsidRPr="0059778D" w:rsidR="6C33F4BD" w:rsidSect="008B5EFB">
      <w:headerReference w:type="default" r:id="rId78"/>
      <w:footerReference w:type="default" r:id="rId79"/>
      <w:pgSz w:w="11906" w:h="16838" w:code="9"/>
      <w:pgMar w:top="2438" w:right="737" w:bottom="1361" w:left="737" w:header="851" w:footer="851" w:gutter="0"/>
      <w:pgNumType w:start="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46FD" w:rsidP="002D711A" w:rsidRDefault="007246FD" w14:paraId="686D1D04" w14:textId="77777777">
      <w:pPr>
        <w:spacing w:after="0" w:line="240" w:lineRule="auto"/>
      </w:pPr>
      <w:r>
        <w:separator/>
      </w:r>
    </w:p>
  </w:endnote>
  <w:endnote w:type="continuationSeparator" w:id="0">
    <w:p w:rsidR="007246FD" w:rsidP="002D711A" w:rsidRDefault="007246FD" w14:paraId="1FFBBA12" w14:textId="77777777">
      <w:pPr>
        <w:spacing w:after="0" w:line="240" w:lineRule="auto"/>
      </w:pPr>
      <w:r>
        <w:continuationSeparator/>
      </w:r>
    </w:p>
  </w:endnote>
  <w:endnote w:type="continuationNotice" w:id="1">
    <w:p w:rsidR="007246FD" w:rsidRDefault="007246FD" w14:paraId="77CB5491"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altName w:val="Webdings"/>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B65630" w:rsidR="001F472F" w:rsidP="007A58B3" w:rsidRDefault="007A58B3" w14:paraId="3E452133" w14:textId="026B06BF">
    <w:pPr>
      <w:pStyle w:val="Footer"/>
      <w:tabs>
        <w:tab w:val="left" w:pos="1440"/>
        <w:tab w:val="left" w:pos="2160"/>
        <w:tab w:val="left" w:pos="2880"/>
        <w:tab w:val="left" w:pos="3600"/>
        <w:tab w:val="left" w:pos="4320"/>
        <w:tab w:val="left" w:pos="5040"/>
        <w:tab w:val="left" w:pos="5760"/>
        <w:tab w:val="center" w:pos="5936"/>
        <w:tab w:val="left" w:pos="6480"/>
        <w:tab w:val="left" w:pos="7200"/>
        <w:tab w:val="right" w:pos="10432"/>
      </w:tabs>
      <w:ind w:left="272" w:firstLine="1168"/>
      <w:rPr>
        <w:sz w:val="18"/>
      </w:rPr>
    </w:pPr>
    <w:r>
      <w:rPr>
        <w:sz w:val="18"/>
      </w:rPr>
      <w:tab/>
    </w:r>
    <w:r>
      <w:rPr>
        <w:sz w:val="18"/>
      </w:rPr>
      <w:tab/>
    </w:r>
    <w:r>
      <w:rPr>
        <w:sz w:val="18"/>
      </w:rPr>
      <w:tab/>
    </w:r>
    <w:r w:rsidR="00F528D8">
      <w:rPr>
        <w:sz w:val="18"/>
      </w:rPr>
      <mc:AlternateContent>
        <mc:Choice Requires="wps">
          <w:drawing>
            <wp:anchor distT="0" distB="0" distL="114300" distR="114300" simplePos="0" relativeHeight="251658244" behindDoc="0" locked="0" layoutInCell="0" allowOverlap="1" wp14:anchorId="53BECAB4" wp14:editId="29A34BB5">
              <wp:simplePos x="0" y="0"/>
              <wp:positionH relativeFrom="page">
                <wp:posOffset>0</wp:posOffset>
              </wp:positionH>
              <wp:positionV relativeFrom="page">
                <wp:posOffset>10189210</wp:posOffset>
              </wp:positionV>
              <wp:extent cx="7560310" cy="311785"/>
              <wp:effectExtent l="0" t="0" r="0" b="12065"/>
              <wp:wrapNone/>
              <wp:docPr id="5" name="MSIPCM40e14e0087e68e506e54b41a"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528D8" w:rsidR="00F528D8" w:rsidP="00F528D8" w:rsidRDefault="00F528D8" w14:paraId="34DC1DF3" w14:textId="7605E650">
                          <w:pPr>
                            <w:spacing w:before="0" w:after="0"/>
                            <w:jc w:val="center"/>
                            <w:rPr>
                              <w:rFonts w:ascii="Arial Black" w:hAnsi="Arial Black"/>
                              <w:color w:val="000000"/>
                            </w:rPr>
                          </w:pPr>
                          <w:r w:rsidRPr="00F528D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E0455D8">
            <v:shapetype id="_x0000_t202" coordsize="21600,21600" o:spt="202" path="m,l,21600r21600,l21600,xe" w14:anchorId="53BECAB4">
              <v:stroke joinstyle="miter"/>
              <v:path gradientshapeok="t" o:connecttype="rect"/>
            </v:shapetype>
            <v:shape id="MSIPCM40e14e0087e68e506e54b41a"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F528D8" w:rsidR="00F528D8" w:rsidP="00F528D8" w:rsidRDefault="00F528D8" w14:paraId="171AAEBA" w14:textId="7605E650">
                    <w:pPr>
                      <w:spacing w:before="0" w:after="0"/>
                      <w:jc w:val="center"/>
                      <w:rPr>
                        <w:rFonts w:ascii="Arial Black" w:hAnsi="Arial Black"/>
                        <w:color w:val="000000"/>
                      </w:rPr>
                    </w:pPr>
                    <w:r w:rsidRPr="00F528D8">
                      <w:rPr>
                        <w:rFonts w:ascii="Arial Black" w:hAnsi="Arial Black"/>
                        <w:color w:val="000000"/>
                      </w:rPr>
                      <w:t>OFFICIAL</w:t>
                    </w:r>
                  </w:p>
                </w:txbxContent>
              </v:textbox>
              <w10:wrap anchorx="page" anchory="page"/>
            </v:shape>
          </w:pict>
        </mc:Fallback>
      </mc:AlternateContent>
    </w:r>
    <w:r>
      <w:rPr>
        <w:sz w:val="18"/>
      </w:rPr>
      <w:t>Victorian Duty of Candour Framework</w:t>
    </w:r>
    <w:r>
      <w:rPr>
        <w:sz w:val="18"/>
      </w:rPr>
      <w:tab/>
    </w:r>
    <w:r>
      <w:rPr>
        <w:sz w:val="18"/>
      </w:rPr>
      <w:tab/>
    </w:r>
    <w:r w:rsidRPr="007A58B3">
      <w:rPr>
        <w:b/>
        <w:bCs/>
        <w:sz w:val="18"/>
      </w:rPr>
      <w:t>Safer Care Victoria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8E173C" w:rsidR="001F472F" w:rsidP="00D53E93" w:rsidRDefault="00F528D8" w14:paraId="063E3558" w14:textId="610EE9FA">
    <w:pPr>
      <w:pStyle w:val="Footer"/>
      <w:pBdr>
        <w:top w:val="single" w:color="D9D9D9" w:themeColor="background1" w:themeShade="D9" w:sz="8" w:space="14"/>
      </w:pBdr>
      <w:tabs>
        <w:tab w:val="clear" w:pos="1304"/>
        <w:tab w:val="center" w:pos="5216"/>
      </w:tabs>
      <w:rPr>
        <w:sz w:val="18"/>
      </w:rPr>
    </w:pPr>
    <w:r>
      <mc:AlternateContent>
        <mc:Choice Requires="wps">
          <w:drawing>
            <wp:anchor distT="0" distB="0" distL="114300" distR="114300" simplePos="0" relativeHeight="251658243" behindDoc="0" locked="0" layoutInCell="0" allowOverlap="1" wp14:anchorId="4779CC13" wp14:editId="7A855BFF">
              <wp:simplePos x="0" y="0"/>
              <wp:positionH relativeFrom="page">
                <wp:posOffset>0</wp:posOffset>
              </wp:positionH>
              <wp:positionV relativeFrom="page">
                <wp:posOffset>10189210</wp:posOffset>
              </wp:positionV>
              <wp:extent cx="7560310" cy="311785"/>
              <wp:effectExtent l="0" t="0" r="0" b="12065"/>
              <wp:wrapNone/>
              <wp:docPr id="2" name="MSIPCM8ed64e768fa8a42f9c1be93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528D8" w:rsidR="00F528D8" w:rsidP="00F528D8" w:rsidRDefault="00F528D8" w14:paraId="5326E169" w14:textId="5F2A8A89">
                          <w:pPr>
                            <w:spacing w:before="0" w:after="0"/>
                            <w:jc w:val="center"/>
                            <w:rPr>
                              <w:rFonts w:ascii="Arial Black" w:hAnsi="Arial Black"/>
                              <w:color w:val="000000"/>
                            </w:rPr>
                          </w:pPr>
                          <w:r w:rsidRPr="00F528D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1CFDC16">
            <v:shapetype id="_x0000_t202" coordsize="21600,21600" o:spt="202" path="m,l,21600r21600,l21600,xe" w14:anchorId="4779CC13">
              <v:stroke joinstyle="miter"/>
              <v:path gradientshapeok="t" o:connecttype="rect"/>
            </v:shapetype>
            <v:shape id="MSIPCM8ed64e768fa8a42f9c1be934"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F528D8" w:rsidR="00F528D8" w:rsidP="00F528D8" w:rsidRDefault="00F528D8" w14:paraId="75F360E3" w14:textId="5F2A8A89">
                    <w:pPr>
                      <w:spacing w:before="0" w:after="0"/>
                      <w:jc w:val="center"/>
                      <w:rPr>
                        <w:rFonts w:ascii="Arial Black" w:hAnsi="Arial Black"/>
                        <w:color w:val="000000"/>
                      </w:rPr>
                    </w:pPr>
                    <w:r w:rsidRPr="00F528D8">
                      <w:rPr>
                        <w:rFonts w:ascii="Arial Black" w:hAnsi="Arial Black"/>
                        <w:color w:val="000000"/>
                      </w:rPr>
                      <w:t>OFFICIAL</w:t>
                    </w:r>
                  </w:p>
                </w:txbxContent>
              </v:textbox>
              <w10:wrap anchorx="page" anchory="page"/>
            </v:shape>
          </w:pict>
        </mc:Fallback>
      </mc:AlternateContent>
    </w:r>
    <w:r w:rsidRPr="00913AD6" w:rsidR="00C077D0">
      <w:rPr>
        <w:noProof w:val="0"/>
        <w:sz w:val="18"/>
      </w:rPr>
      <w:fldChar w:fldCharType="begin"/>
    </w:r>
    <w:r w:rsidRPr="00913AD6" w:rsidR="00C077D0">
      <w:rPr>
        <w:sz w:val="18"/>
      </w:rPr>
      <w:instrText xml:space="preserve"> PAGE   \* MERGEFORMAT </w:instrText>
    </w:r>
    <w:r w:rsidRPr="00913AD6" w:rsidR="00C077D0">
      <w:rPr>
        <w:noProof w:val="0"/>
        <w:sz w:val="18"/>
      </w:rPr>
      <w:fldChar w:fldCharType="separate"/>
    </w:r>
    <w:r w:rsidRPr="00913AD6" w:rsidR="00C077D0">
      <w:rPr>
        <w:sz w:val="18"/>
      </w:rPr>
      <w:t>1</w:t>
    </w:r>
    <w:r w:rsidRPr="00913AD6" w:rsidR="00C077D0">
      <w:rPr>
        <w:sz w:val="18"/>
      </w:rPr>
      <w:fldChar w:fldCharType="end"/>
    </w:r>
    <w:r w:rsidRPr="00913AD6" w:rsidR="00C077D0">
      <w:rPr>
        <w:sz w:val="18"/>
      </w:rPr>
      <w:t xml:space="preserve">     </w:t>
    </w:r>
    <w:r w:rsidRPr="00C077D0" w:rsidR="00C077D0">
      <w:rPr>
        <w:b/>
        <w:bCs/>
        <w:sz w:val="18"/>
      </w:rPr>
      <w:t>Safer Care Victoria</w:t>
    </w:r>
    <w:r w:rsidRPr="00000254" w:rsidR="00000254">
      <w:rPr>
        <w:sz w:val="18"/>
      </w:rPr>
      <w:ptab w:alignment="center" w:relativeTo="margin" w:leader="none"/>
    </w:r>
    <w:r w:rsidR="001B319F">
      <w:rPr>
        <w:sz w:val="18"/>
      </w:rPr>
      <w:t>Victorian Duty of Candour Framework</w:t>
    </w:r>
    <w:r w:rsidRPr="00000254" w:rsidR="00000254">
      <w:rPr>
        <w:sz w:val="18"/>
      </w:rPr>
      <w:ptab w:alignment="right" w:relativeTo="margin"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F472F" w:rsidRDefault="001F472F" w14:paraId="2C29E453" w14:textId="3DBC2E64">
    <w:pPr>
      <w:pStyle w:val="Footer"/>
    </w:pPr>
    <w:r>
      <mc:AlternateContent>
        <mc:Choice Requires="wps">
          <w:drawing>
            <wp:anchor distT="0" distB="0" distL="114300" distR="114300" simplePos="0" relativeHeight="251658242" behindDoc="0" locked="0" layoutInCell="0" allowOverlap="1" wp14:anchorId="774C99E0" wp14:editId="0A9DCAC7">
              <wp:simplePos x="0" y="0"/>
              <wp:positionH relativeFrom="page">
                <wp:posOffset>0</wp:posOffset>
              </wp:positionH>
              <wp:positionV relativeFrom="page">
                <wp:posOffset>10189210</wp:posOffset>
              </wp:positionV>
              <wp:extent cx="7560310" cy="311785"/>
              <wp:effectExtent l="0" t="0" r="0" b="12065"/>
              <wp:wrapNone/>
              <wp:docPr id="4" name="MSIPCMd7df42ebb23f3eeee963d74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F472F" w:rsidR="001F472F" w:rsidP="001F472F" w:rsidRDefault="001F472F" w14:paraId="5F2EC56A" w14:textId="0BFB6F9A">
                          <w:pPr>
                            <w:spacing w:before="0" w:after="0"/>
                            <w:jc w:val="center"/>
                            <w:rPr>
                              <w:rFonts w:ascii="Arial Black" w:hAnsi="Arial Black"/>
                              <w:color w:val="000000"/>
                            </w:rPr>
                          </w:pPr>
                          <w:r w:rsidRPr="001F472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22F52F8">
            <v:shapetype id="_x0000_t202" coordsize="21600,21600" o:spt="202" path="m,l,21600r21600,l21600,xe" w14:anchorId="774C99E0">
              <v:stroke joinstyle="miter"/>
              <v:path gradientshapeok="t" o:connecttype="rect"/>
            </v:shapetype>
            <v:shape id="MSIPCMd7df42ebb23f3eeee963d74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1F472F" w:rsidR="001F472F" w:rsidP="001F472F" w:rsidRDefault="001F472F" w14:paraId="08CE8BEA" w14:textId="0BFB6F9A">
                    <w:pPr>
                      <w:spacing w:before="0" w:after="0"/>
                      <w:jc w:val="center"/>
                      <w:rPr>
                        <w:rFonts w:ascii="Arial Black" w:hAnsi="Arial Black"/>
                        <w:color w:val="000000"/>
                      </w:rPr>
                    </w:pPr>
                    <w:r w:rsidRPr="001F472F">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F6F16" w:rsidRDefault="00DF6F16" w14:paraId="6AD3615B" w14:textId="76AC3890">
    <w:pPr>
      <w:pStyle w:val="Footer"/>
      <w:jc w:val="right"/>
      <w:rPr>
        <w:noProof w:val="0"/>
      </w:rPr>
    </w:pPr>
  </w:p>
  <w:p w:rsidRPr="00A05FC4" w:rsidR="00A05FC4" w:rsidP="000A1EBB" w:rsidRDefault="00036F77" w14:paraId="59EE5A0D" w14:textId="3B27077B">
    <w:pPr>
      <w:pStyle w:val="Footer"/>
      <w:ind w:left="2296" w:firstLine="1304"/>
      <w:jc w:val="center"/>
      <w:rPr>
        <w:sz w:val="18"/>
        <w:szCs w:val="24"/>
      </w:rPr>
    </w:pPr>
    <w:r>
      <mc:AlternateContent>
        <mc:Choice Requires="wps">
          <w:drawing>
            <wp:anchor distT="0" distB="0" distL="114300" distR="114300" simplePos="0" relativeHeight="251658247" behindDoc="0" locked="0" layoutInCell="0" allowOverlap="1" wp14:anchorId="2353A999" wp14:editId="4A7246C5">
              <wp:simplePos x="0" y="0"/>
              <wp:positionH relativeFrom="page">
                <wp:posOffset>10795</wp:posOffset>
              </wp:positionH>
              <wp:positionV relativeFrom="page">
                <wp:posOffset>10097135</wp:posOffset>
              </wp:positionV>
              <wp:extent cx="7560310" cy="311785"/>
              <wp:effectExtent l="0" t="0" r="0" b="12065"/>
              <wp:wrapNone/>
              <wp:docPr id="6" name="MSIPCM8ed64e768fa8a42f9c1be93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528D8" w:rsidR="00710CA4" w:rsidP="00710CA4" w:rsidRDefault="00710CA4" w14:paraId="56CA1D14" w14:textId="77777777">
                          <w:pPr>
                            <w:spacing w:before="0" w:after="0"/>
                            <w:jc w:val="center"/>
                            <w:rPr>
                              <w:rFonts w:ascii="Arial Black" w:hAnsi="Arial Black"/>
                              <w:color w:val="000000"/>
                            </w:rPr>
                          </w:pPr>
                          <w:r w:rsidRPr="00F528D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546AF787">
            <v:shapetype id="_x0000_t202" coordsize="21600,21600" o:spt="202" path="m,l,21600r21600,l21600,xe" w14:anchorId="2353A999">
              <v:stroke joinstyle="miter"/>
              <v:path gradientshapeok="t" o:connecttype="rect"/>
            </v:shapetype>
            <v:shape id="_x0000_s1029" style="position:absolute;left:0;text-align:left;margin-left:.85pt;margin-top:795.05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">
              <v:textbox inset=",0,,0">
                <w:txbxContent>
                  <w:p w:rsidRPr="00F528D8" w:rsidR="00710CA4" w:rsidP="00710CA4" w:rsidRDefault="00710CA4" w14:paraId="17D1F485" w14:textId="77777777">
                    <w:pPr>
                      <w:spacing w:before="0" w:after="0"/>
                      <w:jc w:val="center"/>
                      <w:rPr>
                        <w:rFonts w:ascii="Arial Black" w:hAnsi="Arial Black"/>
                        <w:color w:val="000000"/>
                      </w:rPr>
                    </w:pPr>
                    <w:r w:rsidRPr="00F528D8">
                      <w:rPr>
                        <w:rFonts w:ascii="Arial Black" w:hAnsi="Arial Black"/>
                        <w:color w:val="000000"/>
                      </w:rPr>
                      <w:t>OFFICIAL</w:t>
                    </w:r>
                  </w:p>
                </w:txbxContent>
              </v:textbox>
              <w10:wrap anchorx="page" anchory="page"/>
            </v:shape>
          </w:pict>
        </mc:Fallback>
      </mc:AlternateContent>
    </w:r>
    <w:r w:rsidR="00A05FC4">
      <w:rPr>
        <w:noProof w:val="0"/>
      </w:rPr>
      <w:t xml:space="preserve"> </w:t>
    </w:r>
    <w:r w:rsidR="00886AC3">
      <w:rPr>
        <w:noProof w:val="0"/>
        <w:sz w:val="18"/>
        <w:szCs w:val="24"/>
      </w:rPr>
      <w:t>Victorian Du</w:t>
    </w:r>
    <w:r w:rsidR="00CD10A6">
      <w:rPr>
        <w:noProof w:val="0"/>
        <w:sz w:val="18"/>
        <w:szCs w:val="24"/>
      </w:rPr>
      <w:t>ty</w:t>
    </w:r>
    <w:r w:rsidR="00886AC3">
      <w:rPr>
        <w:noProof w:val="0"/>
        <w:sz w:val="18"/>
        <w:szCs w:val="24"/>
      </w:rPr>
      <w:t xml:space="preserve"> of Candour</w:t>
    </w:r>
    <w:r w:rsidR="00411CCD">
      <w:rPr>
        <w:noProof w:val="0"/>
        <w:sz w:val="18"/>
        <w:szCs w:val="24"/>
      </w:rPr>
      <w:t xml:space="preserve"> Framework</w:t>
    </w:r>
    <w:r w:rsidR="00411CCD">
      <w:rPr>
        <w:noProof w:val="0"/>
        <w:sz w:val="18"/>
        <w:szCs w:val="24"/>
      </w:rPr>
      <w:tab/>
    </w:r>
    <w:r w:rsidR="00411CCD">
      <w:rPr>
        <w:noProof w:val="0"/>
        <w:sz w:val="18"/>
        <w:szCs w:val="24"/>
      </w:rPr>
      <w:tab/>
    </w:r>
    <w:r w:rsidR="006B08F0">
      <w:rPr>
        <w:noProof w:val="0"/>
        <w:sz w:val="18"/>
        <w:szCs w:val="24"/>
      </w:rPr>
      <w:t xml:space="preserve">   </w:t>
    </w:r>
    <w:r w:rsidRPr="00EC7F17" w:rsidR="00411CCD">
      <w:rPr>
        <w:b/>
        <w:sz w:val="18"/>
        <w:szCs w:val="24"/>
      </w:rPr>
      <w:t>Safer Care Victoria</w:t>
    </w:r>
    <w:r w:rsidR="006B08F0">
      <w:rPr>
        <w:noProof w:val="0"/>
        <w:sz w:val="18"/>
        <w:szCs w:val="24"/>
      </w:rPr>
      <w:t xml:space="preserve">       </w:t>
    </w:r>
  </w:p>
  <w:p w:rsidRPr="00B65630" w:rsidR="00B26646" w:rsidP="007A58B3" w:rsidRDefault="00B26646" w14:paraId="584F7564" w14:textId="1D67A15F">
    <w:pPr>
      <w:pStyle w:val="Footer"/>
      <w:tabs>
        <w:tab w:val="left" w:pos="1440"/>
        <w:tab w:val="left" w:pos="2160"/>
        <w:tab w:val="left" w:pos="2880"/>
        <w:tab w:val="left" w:pos="3600"/>
        <w:tab w:val="left" w:pos="4320"/>
        <w:tab w:val="left" w:pos="5040"/>
        <w:tab w:val="left" w:pos="5760"/>
        <w:tab w:val="center" w:pos="5936"/>
        <w:tab w:val="left" w:pos="6480"/>
        <w:tab w:val="left" w:pos="7200"/>
        <w:tab w:val="right" w:pos="10432"/>
      </w:tabs>
      <w:ind w:left="272" w:firstLine="1168"/>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D53E93" w:rsidR="000A1EBB" w:rsidP="00D53E93" w:rsidRDefault="000A1EBB" w14:paraId="0F89F829" w14:textId="77777777">
    <w:pPr>
      <w:pStyle w:val="Footer"/>
    </w:pPr>
  </w:p>
  <w:p w:rsidRPr="00A05FC4" w:rsidR="000A1EBB" w:rsidP="00D53E93" w:rsidRDefault="000A1EBB" w14:paraId="3B01F311" w14:textId="2E9BA385">
    <w:pPr>
      <w:pStyle w:val="SCVfooter"/>
      <w:rPr>
        <w:szCs w:val="24"/>
      </w:rPr>
    </w:pPr>
    <w:r w:rsidRPr="00D53E93">
      <w:t xml:space="preserve"> </w:t>
    </w:r>
    <w:r w:rsidR="0026347A">
      <w:tab/>
    </w:r>
    <w:r w:rsidR="0026347A">
      <w:tab/>
    </w:r>
    <w:r w:rsidR="0026347A">
      <w:tab/>
    </w:r>
    <w:r w:rsidR="0026347A">
      <w:tab/>
    </w:r>
    <w:r w:rsidR="0026347A">
      <w:tab/>
    </w:r>
    <w:r>
      <w:rPr>
        <w:noProof w:val="0"/>
        <w:szCs w:val="24"/>
      </w:rPr>
      <w:t xml:space="preserve"> </w:t>
    </w:r>
  </w:p>
  <w:p w:rsidRPr="00B65630" w:rsidR="000A1EBB" w:rsidP="007A58B3" w:rsidRDefault="00AA5D35" w14:paraId="54D6B987" w14:textId="068BB7A9">
    <w:pPr>
      <w:pStyle w:val="Footer"/>
      <w:tabs>
        <w:tab w:val="left" w:pos="1440"/>
        <w:tab w:val="left" w:pos="2160"/>
        <w:tab w:val="left" w:pos="2880"/>
        <w:tab w:val="left" w:pos="3600"/>
        <w:tab w:val="left" w:pos="4320"/>
        <w:tab w:val="left" w:pos="5040"/>
        <w:tab w:val="left" w:pos="5760"/>
        <w:tab w:val="center" w:pos="5936"/>
        <w:tab w:val="left" w:pos="6480"/>
        <w:tab w:val="left" w:pos="7200"/>
        <w:tab w:val="right" w:pos="10432"/>
      </w:tabs>
      <w:ind w:left="272" w:firstLine="1168"/>
      <w:rPr>
        <w:sz w:val="18"/>
      </w:rPr>
    </w:pPr>
    <w:r>
      <w:rPr>
        <w:sz w:val="18"/>
        <w:szCs w:val="24"/>
      </w:rPr>
      <w:tab/>
    </w:r>
    <w:r>
      <w:rPr>
        <w:sz w:val="18"/>
        <w:szCs w:val="24"/>
      </w:rPr>
      <w:tab/>
    </w:r>
    <w:r>
      <w:rPr>
        <w:sz w:val="18"/>
        <w:szCs w:val="24"/>
      </w:rPr>
      <w:tab/>
    </w:r>
    <w:r w:rsidRPr="00D53E93">
      <w:rPr>
        <w:sz w:val="18"/>
        <w:szCs w:val="24"/>
      </w:rPr>
      <w:t>Victorian Duty of Candour Framework</w:t>
    </w:r>
    <w:r w:rsidRPr="00D53E93">
      <w:rPr>
        <w:sz w:val="18"/>
        <w:szCs w:val="24"/>
      </w:rPr>
      <w:tab/>
    </w:r>
    <w:r w:rsidRPr="00D53E93">
      <w:rPr>
        <w:sz w:val="18"/>
        <w:szCs w:val="24"/>
      </w:rPr>
      <w:tab/>
    </w:r>
    <w:r w:rsidRPr="00D53E93">
      <w:rPr>
        <w:sz w:val="18"/>
        <w:szCs w:val="24"/>
      </w:rPr>
      <w:t xml:space="preserve">   </w:t>
    </w:r>
    <w:r w:rsidRPr="00D53E93">
      <w:rPr>
        <w:b/>
        <w:sz w:val="18"/>
        <w:szCs w:val="24"/>
      </w:rPr>
      <w:t xml:space="preserve">Safer Care Victoria </w:t>
    </w:r>
    <w:r w:rsidRPr="00D53E93">
      <w:rPr>
        <w:sz w:val="18"/>
        <w:szCs w:val="24"/>
      </w:rPr>
      <w:t xml:space="preserve"> </w:t>
    </w:r>
    <w:r w:rsidRPr="00D53E93">
      <w:rPr>
        <w:sz w:val="18"/>
        <w:szCs w:val="24"/>
      </w:rPr>
      <w:fldChar w:fldCharType="begin"/>
    </w:r>
    <w:r w:rsidRPr="00D53E93">
      <w:rPr>
        <w:sz w:val="18"/>
        <w:szCs w:val="24"/>
      </w:rPr>
      <w:instrText xml:space="preserve"> PAGE   \* MERGEFORMAT </w:instrText>
    </w:r>
    <w:r w:rsidRPr="00D53E93">
      <w:rPr>
        <w:sz w:val="18"/>
        <w:szCs w:val="24"/>
      </w:rPr>
      <w:fldChar w:fldCharType="separate"/>
    </w:r>
    <w:r w:rsidRPr="00D53E93">
      <w:rPr>
        <w:sz w:val="18"/>
        <w:szCs w:val="24"/>
      </w:rPr>
      <w:t>22</w:t>
    </w:r>
    <w:r w:rsidRPr="00D53E93">
      <w:rPr>
        <w:sz w:val="18"/>
        <w:szCs w:val="24"/>
      </w:rPr>
      <w:fldChar w:fldCharType="end"/>
    </w:r>
    <w:r w:rsidRPr="00D53E93">
      <w:rPr>
        <w:sz w:val="18"/>
        <w:szCs w:val="24"/>
      </w:rPr>
      <w:t xml:space="preserve">     </w:t>
    </w:r>
    <w:r w:rsidRPr="003C6FB3" w:rsidR="008C1A04">
      <mc:AlternateContent>
        <mc:Choice Requires="wps">
          <w:drawing>
            <wp:anchor distT="0" distB="0" distL="114300" distR="114300" simplePos="0" relativeHeight="251658248" behindDoc="0" locked="0" layoutInCell="0" allowOverlap="1" wp14:anchorId="4C984E87" wp14:editId="7590E202">
              <wp:simplePos x="0" y="0"/>
              <wp:positionH relativeFrom="page">
                <wp:align>left</wp:align>
              </wp:positionH>
              <wp:positionV relativeFrom="page">
                <wp:posOffset>10306050</wp:posOffset>
              </wp:positionV>
              <wp:extent cx="7560310" cy="216535"/>
              <wp:effectExtent l="0" t="0" r="0" b="12065"/>
              <wp:wrapNone/>
              <wp:docPr id="7" name="MSIPCM8ed64e768fa8a42f9c1be93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165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528D8" w:rsidR="000A1EBB" w:rsidP="00D53E93" w:rsidRDefault="000A1EBB" w14:paraId="153CA040" w14:textId="77777777">
                          <w:pPr>
                            <w:spacing w:before="0" w:after="0" w:line="240" w:lineRule="auto"/>
                            <w:jc w:val="center"/>
                            <w:rPr>
                              <w:rFonts w:ascii="Arial Black" w:hAnsi="Arial Black"/>
                              <w:color w:val="000000"/>
                            </w:rPr>
                          </w:pPr>
                          <w:r w:rsidRPr="00F528D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w14:anchorId="0E432DAE">
            <v:shapetype id="_x0000_t202" coordsize="21600,21600" o:spt="202" path="m,l,21600r21600,l21600,xe" w14:anchorId="4C984E87">
              <v:stroke joinstyle="miter"/>
              <v:path gradientshapeok="t" o:connecttype="rect"/>
            </v:shapetype>
            <v:shape id="_x0000_s1030" style="position:absolute;left:0;text-align:left;margin-left:0;margin-top:811.5pt;width:595.3pt;height:17.05pt;z-index:251658248;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">
              <v:textbox inset=",0,,0">
                <w:txbxContent>
                  <w:p w:rsidRPr="00F528D8" w:rsidR="000A1EBB" w:rsidP="00D53E93" w:rsidRDefault="000A1EBB" w14:paraId="2CCFEE10" w14:textId="77777777">
                    <w:pPr>
                      <w:spacing w:before="0" w:after="0" w:line="240" w:lineRule="auto"/>
                      <w:jc w:val="center"/>
                      <w:rPr>
                        <w:rFonts w:ascii="Arial Black" w:hAnsi="Arial Black"/>
                        <w:color w:val="000000"/>
                      </w:rPr>
                    </w:pPr>
                    <w:r w:rsidRPr="00F528D8">
                      <w:rPr>
                        <w:rFonts w:ascii="Arial Black" w:hAnsi="Arial Black"/>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25B70" w:rsidRDefault="006A3D39" w14:paraId="7671943D" w14:textId="2DB48E08">
    <w:pPr>
      <w:pStyle w:val="Footer"/>
    </w:pPr>
    <w:r>
      <mc:AlternateContent>
        <mc:Choice Requires="wps">
          <w:drawing>
            <wp:anchor distT="0" distB="0" distL="114300" distR="114300" simplePos="0" relativeHeight="251658246" behindDoc="0" locked="0" layoutInCell="0" allowOverlap="1" wp14:anchorId="7E50DAB9" wp14:editId="7EE3E111">
              <wp:simplePos x="0" y="0"/>
              <wp:positionH relativeFrom="page">
                <wp:posOffset>0</wp:posOffset>
              </wp:positionH>
              <wp:positionV relativeFrom="page">
                <wp:posOffset>10189210</wp:posOffset>
              </wp:positionV>
              <wp:extent cx="7560310" cy="311785"/>
              <wp:effectExtent l="0" t="0" r="0" b="12065"/>
              <wp:wrapNone/>
              <wp:docPr id="1" name="MSIPCM8ed64e768fa8a42f9c1be93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528D8" w:rsidR="006A3D39" w:rsidP="00F528D8" w:rsidRDefault="006A3D39" w14:paraId="7BB8AA7E" w14:textId="77777777">
                          <w:pPr>
                            <w:spacing w:before="0" w:after="0"/>
                            <w:jc w:val="center"/>
                            <w:rPr>
                              <w:rFonts w:ascii="Arial Black" w:hAnsi="Arial Black"/>
                              <w:color w:val="000000"/>
                            </w:rPr>
                          </w:pPr>
                          <w:r w:rsidRPr="00F528D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0F1E298">
            <v:shapetype id="_x0000_t202" coordsize="21600,21600" o:spt="202" path="m,l,21600r21600,l21600,xe" w14:anchorId="7E50DAB9">
              <v:stroke joinstyle="miter"/>
              <v:path gradientshapeok="t" o:connecttype="rect"/>
            </v:shapetype>
            <v:shape id="_x0000_s1031"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v:textbox inset=",0,,0">
                <w:txbxContent>
                  <w:p w:rsidRPr="00F528D8" w:rsidR="006A3D39" w:rsidP="00F528D8" w:rsidRDefault="006A3D39" w14:paraId="09E77742" w14:textId="77777777">
                    <w:pPr>
                      <w:spacing w:before="0" w:after="0"/>
                      <w:jc w:val="center"/>
                      <w:rPr>
                        <w:rFonts w:ascii="Arial Black" w:hAnsi="Arial Black"/>
                        <w:color w:val="000000"/>
                      </w:rPr>
                    </w:pPr>
                    <w:r w:rsidRPr="00F528D8">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46FD" w:rsidP="00E33E08" w:rsidRDefault="007246FD" w14:paraId="70B8F303" w14:textId="77777777">
      <w:pPr>
        <w:spacing w:before="0" w:after="0" w:line="240" w:lineRule="auto"/>
      </w:pPr>
    </w:p>
  </w:footnote>
  <w:footnote w:type="continuationSeparator" w:id="0">
    <w:p w:rsidR="007246FD" w:rsidP="00E33E08" w:rsidRDefault="007246FD" w14:paraId="470C8808" w14:textId="77777777">
      <w:pPr>
        <w:spacing w:before="0" w:after="0" w:line="240" w:lineRule="auto"/>
      </w:pPr>
    </w:p>
  </w:footnote>
  <w:footnote w:type="continuationNotice" w:id="1">
    <w:p w:rsidR="007246FD" w:rsidRDefault="007246FD" w14:paraId="05B252EB" w14:textId="77777777">
      <w:pPr>
        <w:spacing w:before="0" w:after="0" w:line="240" w:lineRule="auto"/>
      </w:pPr>
    </w:p>
  </w:footnote>
  <w:footnote w:id="2">
    <w:p w:rsidR="003A5EFC" w:rsidRDefault="003A5EFC" w14:paraId="52F39D52" w14:textId="274546D2">
      <w:pPr>
        <w:pStyle w:val="FootnoteText"/>
      </w:pPr>
      <w:r>
        <w:rPr>
          <w:rStyle w:val="FootnoteReference"/>
        </w:rPr>
        <w:footnoteRef/>
      </w:r>
      <w:r>
        <w:t xml:space="preserve"> </w:t>
      </w:r>
      <w:r w:rsidR="001876EA">
        <w:t>Australian Commission on Safety and Quality in Health Care (</w:t>
      </w:r>
      <w:r w:rsidR="0041107A">
        <w:t>2021</w:t>
      </w:r>
      <w:r w:rsidR="00244815">
        <w:t>)</w:t>
      </w:r>
      <w:r w:rsidR="0041107A">
        <w:t xml:space="preserve">. </w:t>
      </w:r>
      <w:hyperlink w:history="1" r:id="rId1">
        <w:r w:rsidRPr="0041107A" w:rsidR="0041107A">
          <w:rPr>
            <w:rStyle w:val="Hyperlink"/>
            <w:i/>
            <w:iCs/>
          </w:rPr>
          <w:t>Incident Management Guide</w:t>
        </w:r>
      </w:hyperlink>
      <w:r w:rsidR="0041107A">
        <w:t>. ACSQHC, Sydney.</w:t>
      </w:r>
      <w:r w:rsidR="00244815">
        <w:t xml:space="preserve"> </w:t>
      </w:r>
    </w:p>
  </w:footnote>
  <w:footnote w:id="3">
    <w:p w:rsidR="000C1BA3" w:rsidRDefault="000C1BA3" w14:paraId="169CA7D6" w14:textId="31A039D5">
      <w:pPr>
        <w:pStyle w:val="FootnoteText"/>
      </w:pPr>
      <w:r>
        <w:rPr>
          <w:rStyle w:val="FootnoteReference"/>
        </w:rPr>
        <w:footnoteRef/>
      </w:r>
      <w:r>
        <w:t xml:space="preserve"> s128ZB(1) of the </w:t>
      </w:r>
      <w:r w:rsidRPr="00247308">
        <w:rPr>
          <w:i/>
          <w:iCs/>
        </w:rPr>
        <w:t>Health Services Act 1988</w:t>
      </w:r>
      <w:r>
        <w:rPr>
          <w:i/>
          <w:iCs/>
        </w:rPr>
        <w:t>.</w:t>
      </w:r>
    </w:p>
  </w:footnote>
  <w:footnote w:id="4">
    <w:p w:rsidR="007E71AA" w:rsidRDefault="007E71AA" w14:paraId="298F86BA" w14:textId="1095C66C">
      <w:pPr>
        <w:pStyle w:val="FootnoteText"/>
      </w:pPr>
      <w:r>
        <w:rPr>
          <w:rStyle w:val="FootnoteReference"/>
        </w:rPr>
        <w:footnoteRef/>
      </w:r>
      <w:r>
        <w:t xml:space="preserve"> Victorian Agency for Health Information (2022). </w:t>
      </w:r>
      <w:hyperlink w:history="1" r:id="rId2">
        <w:r w:rsidRPr="00E955EE">
          <w:rPr>
            <w:rStyle w:val="Hyperlink"/>
            <w:i/>
            <w:iCs/>
          </w:rPr>
          <w:t>VHIMS Minimum Dataset Manual 2021-22 (ed</w:t>
        </w:r>
        <w:r w:rsidRPr="0003201C">
          <w:rPr>
            <w:rStyle w:val="Hyperlink"/>
            <w:i/>
            <w:iCs/>
          </w:rPr>
          <w:t>itio</w:t>
        </w:r>
        <w:r w:rsidRPr="00E955EE">
          <w:rPr>
            <w:rStyle w:val="Hyperlink"/>
            <w:i/>
            <w:iCs/>
          </w:rPr>
          <w:t>n 1).</w:t>
        </w:r>
      </w:hyperlink>
      <w:r>
        <w:t xml:space="preserve"> Victorian Department of Health, Melbourne.</w:t>
      </w:r>
    </w:p>
  </w:footnote>
  <w:footnote w:id="5">
    <w:p w:rsidR="00E97E17" w:rsidRDefault="00E97E17" w14:paraId="210863E4" w14:textId="37944492">
      <w:pPr>
        <w:pStyle w:val="FootnoteText"/>
      </w:pPr>
      <w:r>
        <w:rPr>
          <w:rStyle w:val="FootnoteReference"/>
        </w:rPr>
        <w:footnoteRef/>
      </w:r>
      <w:r>
        <w:t xml:space="preserve"> Victorian Agency for Health Information (2022). </w:t>
      </w:r>
      <w:hyperlink w:history="1" r:id="rId3">
        <w:r w:rsidRPr="00E955EE">
          <w:rPr>
            <w:rStyle w:val="Hyperlink"/>
            <w:i/>
            <w:iCs/>
          </w:rPr>
          <w:t>VHIMS Minimum Dataset Manual 2021-22 (ed</w:t>
        </w:r>
        <w:r w:rsidRPr="0003201C">
          <w:rPr>
            <w:rStyle w:val="Hyperlink"/>
            <w:i/>
            <w:iCs/>
          </w:rPr>
          <w:t>itio</w:t>
        </w:r>
        <w:r w:rsidRPr="00E955EE">
          <w:rPr>
            <w:rStyle w:val="Hyperlink"/>
            <w:i/>
            <w:iCs/>
          </w:rPr>
          <w:t>n 1).</w:t>
        </w:r>
      </w:hyperlink>
      <w:r>
        <w:t xml:space="preserve"> Victorian Department of Health, Melbourne.</w:t>
      </w:r>
    </w:p>
  </w:footnote>
  <w:footnote w:id="6">
    <w:p w:rsidR="0050227E" w:rsidRDefault="0050227E" w14:paraId="0C7C20D4" w14:textId="15CF12A6">
      <w:pPr>
        <w:pStyle w:val="FootnoteText"/>
      </w:pPr>
      <w:r>
        <w:rPr>
          <w:rStyle w:val="FootnoteReference"/>
        </w:rPr>
        <w:footnoteRef/>
      </w:r>
      <w:r>
        <w:t xml:space="preserve"> Safer Care Victoria (2022). </w:t>
      </w:r>
      <w:r w:rsidR="001D6237">
        <w:t xml:space="preserve">Just Culture Guide: For health services. </w:t>
      </w:r>
      <w:hyperlink w:history="1" r:id="rId4">
        <w:r w:rsidRPr="004E48A1" w:rsidR="007015E6">
          <w:rPr>
            <w:rStyle w:val="Hyperlink"/>
            <w:i/>
          </w:rPr>
          <w:t>SCV-Just-Culture-Guide-for-Health-Services.pdf (safercare.vic.gov.au)</w:t>
        </w:r>
      </w:hyperlink>
      <w:r w:rsidRPr="004E48A1" w:rsidR="00B007F4">
        <w:rPr>
          <w:i/>
        </w:rPr>
        <w:t xml:space="preserve">. </w:t>
      </w:r>
      <w:r w:rsidR="00AA44A4">
        <w:t>Victorian Department of Health</w:t>
      </w:r>
      <w:r w:rsidR="004E48A1">
        <w:t xml:space="preserve">, Melbourne. </w:t>
      </w:r>
    </w:p>
  </w:footnote>
  <w:footnote w:id="7">
    <w:p w:rsidR="005E3461" w:rsidRDefault="005E3461" w14:paraId="39162F25" w14:textId="68081401">
      <w:pPr>
        <w:pStyle w:val="FootnoteText"/>
      </w:pPr>
      <w:r>
        <w:rPr>
          <w:rStyle w:val="FootnoteReference"/>
        </w:rPr>
        <w:footnoteRef/>
      </w:r>
      <w:r>
        <w:t xml:space="preserve"> Regulation 3A of the </w:t>
      </w:r>
      <w:r w:rsidRPr="00961269">
        <w:rPr>
          <w:i/>
          <w:iCs/>
        </w:rPr>
        <w:t>Health Services (Quality and Safety) Regulations 2020.</w:t>
      </w:r>
    </w:p>
  </w:footnote>
  <w:footnote w:id="8">
    <w:p w:rsidR="007E1530" w:rsidRDefault="007E1530" w14:paraId="26F7AC59" w14:textId="5905DFA6">
      <w:pPr>
        <w:pStyle w:val="FootnoteText"/>
      </w:pPr>
      <w:r>
        <w:rPr>
          <w:rStyle w:val="FootnoteReference"/>
        </w:rPr>
        <w:footnoteRef/>
      </w:r>
      <w:r>
        <w:t xml:space="preserve"> Victorian Agency for Health Information (2022). </w:t>
      </w:r>
      <w:hyperlink w:history="1" r:id="rId5">
        <w:r w:rsidRPr="00E955EE">
          <w:rPr>
            <w:rStyle w:val="Hyperlink"/>
            <w:i/>
            <w:iCs/>
          </w:rPr>
          <w:t>VHIMS Minimum Dataset Manual 2021-22 (ed</w:t>
        </w:r>
        <w:r w:rsidRPr="0003201C">
          <w:rPr>
            <w:rStyle w:val="Hyperlink"/>
            <w:i/>
            <w:iCs/>
          </w:rPr>
          <w:t>itio</w:t>
        </w:r>
        <w:r w:rsidRPr="00E955EE">
          <w:rPr>
            <w:rStyle w:val="Hyperlink"/>
            <w:i/>
            <w:iCs/>
          </w:rPr>
          <w:t>n 1).</w:t>
        </w:r>
      </w:hyperlink>
      <w:r>
        <w:t xml:space="preserve"> Victorian Department of Health, Melbourne.</w:t>
      </w:r>
    </w:p>
  </w:footnote>
  <w:footnote w:id="9">
    <w:p w:rsidR="006F564B" w:rsidP="006F564B" w:rsidRDefault="006F564B" w14:paraId="5B984F96" w14:textId="6DA9454C">
      <w:pPr>
        <w:pStyle w:val="FootnoteText"/>
      </w:pPr>
      <w:r>
        <w:rPr>
          <w:rStyle w:val="FootnoteReference"/>
        </w:rPr>
        <w:footnoteRef/>
      </w:r>
      <w:r>
        <w:t xml:space="preserve"> </w:t>
      </w:r>
      <w:r>
        <w:rPr>
          <w:lang w:val="en-US"/>
        </w:rPr>
        <w:t xml:space="preserve">Section 128ZB of the </w:t>
      </w:r>
      <w:r w:rsidRPr="0017273E">
        <w:rPr>
          <w:i/>
          <w:iCs/>
          <w:lang w:val="en-US"/>
        </w:rPr>
        <w:t>Health Services Act 1988</w:t>
      </w:r>
      <w:r>
        <w:rPr>
          <w:lang w:val="en-US"/>
        </w:rPr>
        <w:t>.</w:t>
      </w:r>
    </w:p>
  </w:footnote>
  <w:footnote w:id="10">
    <w:p w:rsidR="00E701D8" w:rsidRDefault="00E701D8" w14:paraId="471A201A" w14:textId="61AD8800">
      <w:pPr>
        <w:pStyle w:val="FootnoteText"/>
      </w:pPr>
      <w:r>
        <w:rPr>
          <w:rStyle w:val="FootnoteReference"/>
        </w:rPr>
        <w:footnoteRef/>
      </w:r>
      <w:r>
        <w:t xml:space="preserve"> Regulation 3A of the </w:t>
      </w:r>
      <w:r w:rsidRPr="00961269">
        <w:rPr>
          <w:i/>
          <w:iCs/>
        </w:rPr>
        <w:t>Health Services (Quality and Safety) Regulations 2020.</w:t>
      </w:r>
    </w:p>
  </w:footnote>
  <w:footnote w:id="11">
    <w:p w:rsidR="00FF6FC6" w:rsidRDefault="00FF6FC6" w14:paraId="623B5183" w14:textId="7B537487">
      <w:pPr>
        <w:pStyle w:val="FootnoteText"/>
      </w:pPr>
      <w:r>
        <w:rPr>
          <w:rStyle w:val="FootnoteReference"/>
        </w:rPr>
        <w:footnoteRef/>
      </w:r>
      <w:r>
        <w:t xml:space="preserve"> Berman G, </w:t>
      </w:r>
      <w:proofErr w:type="spellStart"/>
      <w:r>
        <w:t>Paradies</w:t>
      </w:r>
      <w:proofErr w:type="spellEnd"/>
      <w:r>
        <w:t xml:space="preserve"> Y. Racism, disadvantage and multiculturalism: towards effective anti-racist praxis. </w:t>
      </w:r>
      <w:proofErr w:type="spellStart"/>
      <w:r>
        <w:t>Ethn</w:t>
      </w:r>
      <w:proofErr w:type="spellEnd"/>
      <w:r>
        <w:t xml:space="preserve"> Racial Stud. 2010;33(2):214–32.</w:t>
      </w:r>
    </w:p>
  </w:footnote>
  <w:footnote w:id="12">
    <w:p w:rsidR="00992307" w:rsidRDefault="00992307" w14:paraId="32B12501" w14:textId="7C9ED096">
      <w:pPr>
        <w:pStyle w:val="FootnoteText"/>
      </w:pPr>
      <w:r>
        <w:rPr>
          <w:rStyle w:val="FootnoteReference"/>
        </w:rPr>
        <w:footnoteRef/>
      </w:r>
      <w:r>
        <w:t xml:space="preserve"> Section 5 of the </w:t>
      </w:r>
      <w:r w:rsidRPr="00166212">
        <w:rPr>
          <w:i/>
          <w:iCs/>
        </w:rPr>
        <w:t>Health Practitioner Regulation National Law Act 2009</w:t>
      </w:r>
      <w:r w:rsidRPr="00992307">
        <w:t xml:space="preserve"> (Qld)</w:t>
      </w:r>
      <w:r w:rsidR="009B3F1A">
        <w:t>.</w:t>
      </w:r>
    </w:p>
  </w:footnote>
  <w:footnote w:id="13">
    <w:p w:rsidR="00B5309B" w:rsidRDefault="00B5309B" w14:paraId="2645EC7E" w14:textId="684BA7F7">
      <w:pPr>
        <w:pStyle w:val="FootnoteText"/>
      </w:pPr>
      <w:r>
        <w:rPr>
          <w:rStyle w:val="FootnoteReference"/>
        </w:rPr>
        <w:footnoteRef/>
      </w:r>
      <w:r>
        <w:t xml:space="preserve"> s3 of the </w:t>
      </w:r>
      <w:r w:rsidRPr="00E97886">
        <w:rPr>
          <w:i/>
          <w:iCs/>
        </w:rPr>
        <w:t>Health Services Act 1988</w:t>
      </w:r>
      <w:r>
        <w:t>.</w:t>
      </w:r>
    </w:p>
  </w:footnote>
  <w:footnote w:id="14">
    <w:p w:rsidR="00315C62" w:rsidP="00315C62" w:rsidRDefault="00315C62" w14:paraId="21130B0D" w14:textId="6E8D6E2B">
      <w:pPr>
        <w:pStyle w:val="FootnoteText"/>
      </w:pPr>
      <w:r>
        <w:rPr>
          <w:rStyle w:val="FootnoteReference"/>
        </w:rPr>
        <w:footnoteRef/>
      </w:r>
      <w:r>
        <w:t xml:space="preserve"> </w:t>
      </w:r>
      <w:r w:rsidR="00522260">
        <w:t>R</w:t>
      </w:r>
      <w:r w:rsidRPr="005E5A77" w:rsidR="00522260">
        <w:t xml:space="preserve">egulation </w:t>
      </w:r>
      <w:r w:rsidR="00522260">
        <w:t>3A</w:t>
      </w:r>
      <w:r w:rsidRPr="005E5A77" w:rsidR="00522260">
        <w:t xml:space="preserve"> of the </w:t>
      </w:r>
      <w:r w:rsidRPr="005E5A77" w:rsidR="00522260">
        <w:rPr>
          <w:i/>
          <w:iCs/>
        </w:rPr>
        <w:t>Health Services (</w:t>
      </w:r>
      <w:r w:rsidR="00522260">
        <w:rPr>
          <w:i/>
          <w:iCs/>
        </w:rPr>
        <w:t>Quality and Safety</w:t>
      </w:r>
      <w:r w:rsidRPr="005E5A77" w:rsidR="00522260">
        <w:rPr>
          <w:i/>
          <w:iCs/>
        </w:rPr>
        <w:t>) Regulations 20</w:t>
      </w:r>
      <w:r w:rsidR="00522260">
        <w:rPr>
          <w:i/>
          <w:iCs/>
        </w:rPr>
        <w:t>20.</w:t>
      </w:r>
    </w:p>
  </w:footnote>
  <w:footnote w:id="15">
    <w:p w:rsidR="000C1BA3" w:rsidRDefault="000C1BA3" w14:paraId="32958FD6" w14:textId="27175C99">
      <w:pPr>
        <w:pStyle w:val="FootnoteText"/>
      </w:pPr>
      <w:r>
        <w:rPr>
          <w:rStyle w:val="FootnoteReference"/>
        </w:rPr>
        <w:footnoteRef/>
      </w:r>
      <w:r>
        <w:t xml:space="preserve"> </w:t>
      </w:r>
      <w:r w:rsidR="007877E9">
        <w:t>For full definition, see R</w:t>
      </w:r>
      <w:r w:rsidRPr="005E5A77" w:rsidR="007877E9">
        <w:t xml:space="preserve">egulation </w:t>
      </w:r>
      <w:r w:rsidR="007877E9">
        <w:t>3B</w:t>
      </w:r>
      <w:r w:rsidRPr="005E5A77" w:rsidR="007877E9">
        <w:t xml:space="preserve"> of the </w:t>
      </w:r>
      <w:r w:rsidRPr="005E5A77" w:rsidR="007877E9">
        <w:rPr>
          <w:i/>
          <w:iCs/>
        </w:rPr>
        <w:t>Health Services (</w:t>
      </w:r>
      <w:r w:rsidR="007877E9">
        <w:rPr>
          <w:i/>
          <w:iCs/>
        </w:rPr>
        <w:t>Quality and Safety</w:t>
      </w:r>
      <w:r w:rsidRPr="005E5A77" w:rsidR="007877E9">
        <w:rPr>
          <w:i/>
          <w:iCs/>
        </w:rPr>
        <w:t>) Regulations 20</w:t>
      </w:r>
      <w:r w:rsidR="007877E9">
        <w:rPr>
          <w:i/>
          <w:iCs/>
        </w:rPr>
        <w:t>20.</w:t>
      </w:r>
    </w:p>
  </w:footnote>
  <w:footnote w:id="16">
    <w:p w:rsidR="00626A72" w:rsidRDefault="00626A72" w14:paraId="2048D72D" w14:textId="38C6F311">
      <w:pPr>
        <w:pStyle w:val="FootnoteText"/>
      </w:pPr>
      <w:r>
        <w:rPr>
          <w:rStyle w:val="FootnoteReference"/>
        </w:rPr>
        <w:footnoteRef/>
      </w:r>
      <w:r>
        <w:t xml:space="preserve"> R</w:t>
      </w:r>
      <w:r w:rsidRPr="005E5A77">
        <w:t xml:space="preserve">egulation </w:t>
      </w:r>
      <w:r>
        <w:t>3A</w:t>
      </w:r>
      <w:r w:rsidRPr="005E5A77">
        <w:t xml:space="preserve"> of the </w:t>
      </w:r>
      <w:r w:rsidRPr="005E5A77">
        <w:rPr>
          <w:i/>
          <w:iCs/>
        </w:rPr>
        <w:t>Health Services (</w:t>
      </w:r>
      <w:r>
        <w:rPr>
          <w:i/>
          <w:iCs/>
        </w:rPr>
        <w:t>Quality and Safety</w:t>
      </w:r>
      <w:r w:rsidRPr="005E5A77">
        <w:rPr>
          <w:i/>
          <w:iCs/>
        </w:rPr>
        <w:t>) Regulations 20</w:t>
      </w:r>
      <w:r>
        <w:rPr>
          <w:i/>
          <w:iCs/>
        </w:rPr>
        <w:t>20.</w:t>
      </w:r>
    </w:p>
  </w:footnote>
  <w:footnote w:id="17">
    <w:p w:rsidR="00C94573" w:rsidRDefault="00C94573" w14:paraId="01BA1030" w14:textId="3C0D7A13">
      <w:pPr>
        <w:pStyle w:val="FootnoteText"/>
      </w:pPr>
      <w:r>
        <w:rPr>
          <w:rStyle w:val="FootnoteReference"/>
        </w:rPr>
        <w:footnoteRef/>
      </w:r>
      <w:r>
        <w:t xml:space="preserve"> </w:t>
      </w:r>
      <w:r w:rsidR="00C73DB6">
        <w:t>Department of He</w:t>
      </w:r>
      <w:r w:rsidR="00432AD2">
        <w:t xml:space="preserve">alth </w:t>
      </w:r>
      <w:r w:rsidR="009E051F">
        <w:t xml:space="preserve">(2012). </w:t>
      </w:r>
      <w:hyperlink w:history="1" r:id="rId6">
        <w:r w:rsidRPr="00464FE7" w:rsidR="003E624D">
          <w:rPr>
            <w:rStyle w:val="Hyperlink"/>
            <w:i/>
            <w:iCs/>
          </w:rPr>
          <w:t>Promoting sexual safety, responding to sexual activity</w:t>
        </w:r>
        <w:r w:rsidRPr="00464FE7" w:rsidR="00891769">
          <w:rPr>
            <w:rStyle w:val="Hyperlink"/>
            <w:i/>
            <w:iCs/>
          </w:rPr>
          <w:t xml:space="preserve">, and managing </w:t>
        </w:r>
        <w:r w:rsidRPr="00464FE7" w:rsidR="000713D8">
          <w:rPr>
            <w:rStyle w:val="Hyperlink"/>
            <w:i/>
            <w:iCs/>
          </w:rPr>
          <w:t>allegations of sexual assault in adult acute inpatient units</w:t>
        </w:r>
      </w:hyperlink>
      <w:r w:rsidR="00C17F92">
        <w:t xml:space="preserve">. </w:t>
      </w:r>
      <w:r w:rsidR="00180A90">
        <w:t>Victorian Government</w:t>
      </w:r>
      <w:r w:rsidR="00625B39">
        <w:t xml:space="preserve">, Melbourne. </w:t>
      </w:r>
    </w:p>
  </w:footnote>
  <w:footnote w:id="18">
    <w:p w:rsidR="006C7031" w:rsidP="006C7031" w:rsidRDefault="006C7031" w14:paraId="171EA5DF" w14:textId="77777777">
      <w:pPr>
        <w:pStyle w:val="FootnoteText"/>
      </w:pPr>
      <w:r>
        <w:rPr>
          <w:rStyle w:val="FootnoteReference"/>
        </w:rPr>
        <w:footnoteRef/>
      </w:r>
      <w:r>
        <w:t xml:space="preserve"> </w:t>
      </w:r>
      <w:r w:rsidRPr="009E0074">
        <w:rPr>
          <w:sz w:val="16"/>
          <w:szCs w:val="16"/>
        </w:rPr>
        <w:t xml:space="preserve">Expert Working Group. (2018). </w:t>
      </w:r>
      <w:r w:rsidRPr="009E0074">
        <w:rPr>
          <w:i/>
          <w:iCs/>
          <w:sz w:val="16"/>
          <w:szCs w:val="16"/>
        </w:rPr>
        <w:t xml:space="preserve">A statutory duty of candour. Report to the Minister for Health. </w:t>
      </w:r>
      <w:r w:rsidRPr="009E0074">
        <w:rPr>
          <w:sz w:val="16"/>
          <w:szCs w:val="16"/>
        </w:rPr>
        <w:t>1 Treasury Place, Vic: Department of Health</w:t>
      </w:r>
      <w:r>
        <w:rPr>
          <w:sz w:val="16"/>
          <w:szCs w:val="16"/>
        </w:rPr>
        <w:t>.</w:t>
      </w:r>
    </w:p>
  </w:footnote>
  <w:footnote w:id="19">
    <w:p w:rsidRPr="004B69C1" w:rsidR="00D554D7" w:rsidP="00D554D7" w:rsidRDefault="00D554D7" w14:paraId="29761918" w14:textId="77777777">
      <w:pPr>
        <w:spacing w:before="0" w:after="0" w:line="240" w:lineRule="auto"/>
        <w:rPr>
          <w:sz w:val="16"/>
          <w:szCs w:val="16"/>
        </w:rPr>
      </w:pPr>
      <w:r w:rsidRPr="004B69C1">
        <w:rPr>
          <w:rStyle w:val="FootnoteReference"/>
          <w:sz w:val="16"/>
          <w:szCs w:val="16"/>
        </w:rPr>
        <w:footnoteRef/>
      </w:r>
      <w:r w:rsidRPr="004B69C1">
        <w:rPr>
          <w:sz w:val="16"/>
          <w:szCs w:val="16"/>
        </w:rPr>
        <w:t xml:space="preserve"> </w:t>
      </w:r>
      <w:r w:rsidRPr="00B716D6">
        <w:rPr>
          <w:sz w:val="16"/>
          <w:szCs w:val="16"/>
        </w:rPr>
        <w:t>Australian Commission on Safety and Quality in Health Care</w:t>
      </w:r>
      <w:r>
        <w:rPr>
          <w:sz w:val="16"/>
          <w:szCs w:val="16"/>
        </w:rPr>
        <w:t xml:space="preserve"> (2021)</w:t>
      </w:r>
      <w:r w:rsidRPr="00B716D6">
        <w:rPr>
          <w:sz w:val="16"/>
          <w:szCs w:val="16"/>
        </w:rPr>
        <w:t xml:space="preserve">. </w:t>
      </w:r>
      <w:r w:rsidRPr="00B716D6">
        <w:rPr>
          <w:i/>
          <w:iCs/>
          <w:sz w:val="16"/>
          <w:szCs w:val="16"/>
        </w:rPr>
        <w:t>National Safety and Quality Health Service (NSQHS) Standards.</w:t>
      </w:r>
      <w:r w:rsidRPr="00B716D6">
        <w:rPr>
          <w:sz w:val="16"/>
          <w:szCs w:val="16"/>
        </w:rPr>
        <w:t xml:space="preserve"> </w:t>
      </w:r>
      <w:r>
        <w:rPr>
          <w:sz w:val="16"/>
          <w:szCs w:val="16"/>
        </w:rPr>
        <w:t xml:space="preserve">ACSQHC, </w:t>
      </w:r>
      <w:r w:rsidRPr="00B716D6">
        <w:rPr>
          <w:sz w:val="16"/>
          <w:szCs w:val="16"/>
        </w:rPr>
        <w:t>Sydney</w:t>
      </w:r>
      <w:r>
        <w:rPr>
          <w:sz w:val="16"/>
          <w:szCs w:val="16"/>
        </w:rPr>
        <w:t>.</w:t>
      </w:r>
    </w:p>
  </w:footnote>
  <w:footnote w:id="20">
    <w:p w:rsidRPr="00E00337" w:rsidR="00D554D7" w:rsidP="00D554D7" w:rsidRDefault="00D554D7" w14:paraId="417D9101" w14:textId="77777777">
      <w:pPr>
        <w:pStyle w:val="SCVbody"/>
        <w:spacing w:before="0" w:after="0" w:line="240" w:lineRule="auto"/>
        <w:rPr>
          <w:sz w:val="16"/>
          <w:szCs w:val="16"/>
        </w:rPr>
      </w:pPr>
      <w:r w:rsidRPr="004B69C1">
        <w:rPr>
          <w:rStyle w:val="FootnoteReference"/>
          <w:sz w:val="16"/>
          <w:szCs w:val="16"/>
        </w:rPr>
        <w:footnoteRef/>
      </w:r>
      <w:r w:rsidRPr="004B69C1">
        <w:rPr>
          <w:sz w:val="16"/>
          <w:szCs w:val="16"/>
        </w:rPr>
        <w:t xml:space="preserve"> </w:t>
      </w:r>
      <w:r w:rsidRPr="00B716D6">
        <w:rPr>
          <w:sz w:val="16"/>
          <w:szCs w:val="16"/>
        </w:rPr>
        <w:t xml:space="preserve">Australian </w:t>
      </w:r>
      <w:r w:rsidRPr="00E00337">
        <w:rPr>
          <w:sz w:val="16"/>
          <w:szCs w:val="16"/>
        </w:rPr>
        <w:t>Commission on Safety and Quality in Health Care</w:t>
      </w:r>
      <w:r>
        <w:rPr>
          <w:sz w:val="16"/>
          <w:szCs w:val="16"/>
        </w:rPr>
        <w:t xml:space="preserve"> (2013)</w:t>
      </w:r>
      <w:r w:rsidRPr="00E00337">
        <w:rPr>
          <w:sz w:val="16"/>
          <w:szCs w:val="16"/>
        </w:rPr>
        <w:t xml:space="preserve">. </w:t>
      </w:r>
      <w:r w:rsidRPr="00E00337">
        <w:rPr>
          <w:i/>
          <w:iCs/>
          <w:sz w:val="16"/>
          <w:szCs w:val="16"/>
        </w:rPr>
        <w:t>Australian Open Disclosure Framework</w:t>
      </w:r>
      <w:r w:rsidRPr="00E00337">
        <w:rPr>
          <w:sz w:val="16"/>
          <w:szCs w:val="16"/>
        </w:rPr>
        <w:t>. ACSQHC, Sydney</w:t>
      </w:r>
      <w:r>
        <w:rPr>
          <w:sz w:val="16"/>
          <w:szCs w:val="16"/>
        </w:rPr>
        <w:t>.</w:t>
      </w:r>
    </w:p>
  </w:footnote>
  <w:footnote w:id="21">
    <w:p w:rsidR="00581C3E" w:rsidP="00581C3E" w:rsidRDefault="00581C3E" w14:paraId="57DFD312" w14:textId="77777777">
      <w:pPr>
        <w:pStyle w:val="FootnoteText"/>
      </w:pPr>
      <w:r>
        <w:rPr>
          <w:rStyle w:val="FootnoteReference"/>
        </w:rPr>
        <w:footnoteRef/>
      </w:r>
      <w:r>
        <w:t xml:space="preserve"> See definition of ‘health service entity’ in s4 of the </w:t>
      </w:r>
      <w:r w:rsidRPr="00E536D7">
        <w:rPr>
          <w:i/>
          <w:iCs/>
        </w:rPr>
        <w:t>Health Services Act 1988</w:t>
      </w:r>
      <w:r>
        <w:rPr>
          <w:i/>
          <w:iCs/>
        </w:rPr>
        <w:t>.</w:t>
      </w:r>
    </w:p>
  </w:footnote>
  <w:footnote w:id="22">
    <w:p w:rsidR="00C0072D" w:rsidP="00C0072D" w:rsidRDefault="00C0072D" w14:paraId="38ACB4FE" w14:textId="77777777">
      <w:pPr>
        <w:pStyle w:val="FootnoteText"/>
        <w:spacing w:after="0" w:line="240" w:lineRule="auto"/>
      </w:pPr>
      <w:r>
        <w:rPr>
          <w:rStyle w:val="FootnoteReference"/>
        </w:rPr>
        <w:footnoteRef/>
      </w:r>
      <w:r>
        <w:t xml:space="preserve"> </w:t>
      </w:r>
      <w:r w:rsidRPr="00D514FB">
        <w:rPr>
          <w:sz w:val="16"/>
          <w:szCs w:val="16"/>
        </w:rPr>
        <w:t xml:space="preserve">Frankel, A. S., Leonard, M. W., &amp; Denham, C. R. (2006). </w:t>
      </w:r>
      <w:r w:rsidRPr="00D514FB">
        <w:rPr>
          <w:i/>
          <w:iCs/>
          <w:sz w:val="16"/>
          <w:szCs w:val="16"/>
        </w:rPr>
        <w:t xml:space="preserve">Fair and just culture, team </w:t>
      </w:r>
      <w:proofErr w:type="spellStart"/>
      <w:r w:rsidRPr="00D514FB">
        <w:rPr>
          <w:i/>
          <w:iCs/>
          <w:sz w:val="16"/>
          <w:szCs w:val="16"/>
        </w:rPr>
        <w:t>behavior</w:t>
      </w:r>
      <w:proofErr w:type="spellEnd"/>
      <w:r w:rsidRPr="00D514FB">
        <w:rPr>
          <w:i/>
          <w:iCs/>
          <w:sz w:val="16"/>
          <w:szCs w:val="16"/>
        </w:rPr>
        <w:t xml:space="preserve">, and leadership engagement: The tools to achieve high reliability. </w:t>
      </w:r>
      <w:r w:rsidRPr="00D514FB">
        <w:rPr>
          <w:sz w:val="16"/>
          <w:szCs w:val="16"/>
        </w:rPr>
        <w:t>Health services research, 41</w:t>
      </w:r>
      <w:r>
        <w:rPr>
          <w:sz w:val="16"/>
          <w:szCs w:val="16"/>
        </w:rPr>
        <w:t xml:space="preserve"> </w:t>
      </w:r>
      <w:r w:rsidRPr="00D514FB">
        <w:rPr>
          <w:sz w:val="16"/>
          <w:szCs w:val="16"/>
        </w:rPr>
        <w:t>(4 Pt 2),</w:t>
      </w:r>
      <w:r>
        <w:rPr>
          <w:sz w:val="16"/>
          <w:szCs w:val="16"/>
        </w:rPr>
        <w:t xml:space="preserve"> pp.</w:t>
      </w:r>
      <w:r w:rsidRPr="00D514FB">
        <w:rPr>
          <w:sz w:val="16"/>
          <w:szCs w:val="16"/>
        </w:rPr>
        <w:t xml:space="preserve"> 1690–1709.</w:t>
      </w:r>
    </w:p>
  </w:footnote>
  <w:footnote w:id="23">
    <w:p w:rsidR="00782C31" w:rsidRDefault="00782C31" w14:paraId="6C0573AD" w14:textId="019DEE1D">
      <w:pPr>
        <w:pStyle w:val="FootnoteText"/>
      </w:pPr>
      <w:r>
        <w:rPr>
          <w:rStyle w:val="FootnoteReference"/>
        </w:rPr>
        <w:footnoteRef/>
      </w:r>
      <w:r>
        <w:t xml:space="preserve"> Adapted from the </w:t>
      </w:r>
      <w:r w:rsidR="002877FA">
        <w:t>Care Quality Commission</w:t>
      </w:r>
      <w:r w:rsidR="00EE6731">
        <w:t xml:space="preserve"> (2022)</w:t>
      </w:r>
      <w:r w:rsidR="003B1130">
        <w:t>, UK.</w:t>
      </w:r>
      <w:r w:rsidR="00242688">
        <w:t xml:space="preserve"> </w:t>
      </w:r>
      <w:hyperlink w:history="1" r:id="rId7">
        <w:r w:rsidRPr="00EF1B90" w:rsidR="00B97A87">
          <w:rPr>
            <w:rStyle w:val="Hyperlink"/>
          </w:rPr>
          <w:t>https://www.cqc.org.uk/sites/default/files/2022-07/20220722-duty-of-candour-pdf-version-FINAL_0.pdf</w:t>
        </w:r>
      </w:hyperlink>
      <w:r w:rsidR="00B97A87">
        <w:t xml:space="preserve"> </w:t>
      </w:r>
    </w:p>
  </w:footnote>
  <w:footnote w:id="24">
    <w:p w:rsidR="004E22BF" w:rsidP="004E22BF" w:rsidRDefault="004E22BF" w14:paraId="70C8D312" w14:textId="77777777">
      <w:pPr>
        <w:pStyle w:val="FootnoteText"/>
      </w:pPr>
      <w:r>
        <w:rPr>
          <w:rStyle w:val="FootnoteReference"/>
        </w:rPr>
        <w:footnoteRef/>
      </w:r>
      <w:r>
        <w:t xml:space="preserve"> NHS.UK (2015). </w:t>
      </w:r>
      <w:r>
        <w:rPr>
          <w:i/>
          <w:iCs/>
        </w:rPr>
        <w:t>Serious Incident Framework</w:t>
      </w:r>
      <w:r>
        <w:t>. NHS, England.</w:t>
      </w:r>
    </w:p>
  </w:footnote>
  <w:footnote w:id="25">
    <w:p w:rsidR="00D8148F" w:rsidRDefault="00D8148F" w14:paraId="56E5F09B" w14:textId="3F9FAF59">
      <w:pPr>
        <w:pStyle w:val="FootnoteText"/>
      </w:pPr>
      <w:r>
        <w:rPr>
          <w:rStyle w:val="FootnoteReference"/>
        </w:rPr>
        <w:footnoteRef/>
      </w:r>
      <w:r>
        <w:t xml:space="preserve"> Department of Health (2017). </w:t>
      </w:r>
      <w:r w:rsidRPr="004336E0" w:rsidR="004336E0">
        <w:t>Victorian Population Health Survey 2017</w:t>
      </w:r>
      <w:r w:rsidR="004336E0">
        <w:t xml:space="preserve">. </w:t>
      </w:r>
      <w:hyperlink w:history="1" r:id="rId8">
        <w:r w:rsidRPr="002227B3" w:rsidR="002227B3">
          <w:rPr>
            <w:rStyle w:val="Hyperlink"/>
            <w:i/>
            <w:iCs/>
          </w:rPr>
          <w:t>https://www.health.vic.gov.au/population-health-systems/victorian-population-health-survey-2017</w:t>
        </w:r>
      </w:hyperlink>
      <w:r w:rsidRPr="002227B3" w:rsidR="002227B3">
        <w:rPr>
          <w:i/>
          <w:iCs/>
        </w:rPr>
        <w:t>.</w:t>
      </w:r>
      <w:r w:rsidR="002227B3">
        <w:t xml:space="preserve"> Victorian Government, Melbourne.</w:t>
      </w:r>
    </w:p>
  </w:footnote>
  <w:footnote w:id="26">
    <w:p w:rsidR="00890867" w:rsidP="00890867" w:rsidRDefault="00890867" w14:paraId="0FA6ACE7" w14:textId="77777777">
      <w:pPr>
        <w:pStyle w:val="FootnoteText"/>
      </w:pPr>
      <w:r>
        <w:rPr>
          <w:rStyle w:val="FootnoteReference"/>
        </w:rPr>
        <w:footnoteRef/>
      </w:r>
      <w:r>
        <w:t xml:space="preserve"> Department of Health and Human Services (2020). </w:t>
      </w:r>
      <w:hyperlink w:history="1" r:id="rId9">
        <w:r w:rsidRPr="00C25F82">
          <w:rPr>
            <w:rStyle w:val="Hyperlink"/>
            <w:i/>
            <w:iCs/>
          </w:rPr>
          <w:t>A statutory duty of candour: report to the minister for health (Expert working group to advise on legislative reforms arising from targeting zero).</w:t>
        </w:r>
      </w:hyperlink>
      <w:r>
        <w:t xml:space="preserve"> Victorian Department of Health, Melbourne.</w:t>
      </w:r>
    </w:p>
  </w:footnote>
  <w:footnote w:id="27">
    <w:p w:rsidR="00030DE7" w:rsidP="00030DE7" w:rsidRDefault="00030DE7" w14:paraId="01451A33" w14:textId="77777777">
      <w:pPr>
        <w:pStyle w:val="FootnoteText"/>
      </w:pPr>
      <w:r>
        <w:rPr>
          <w:rStyle w:val="FootnoteReference"/>
        </w:rPr>
        <w:footnoteRef/>
      </w:r>
      <w:r>
        <w:t xml:space="preserve"> Department of Health and Human Services (2019) </w:t>
      </w:r>
      <w:r w:rsidRPr="00E41108">
        <w:rPr>
          <w:i/>
          <w:iCs/>
        </w:rPr>
        <w:t>Aboriginal and Torres Strait Islander cultural safety framework</w:t>
      </w:r>
      <w:r>
        <w:t>. State Government of Victoria, Melbourne.</w:t>
      </w:r>
    </w:p>
  </w:footnote>
  <w:footnote w:id="28">
    <w:p w:rsidR="006B27F1" w:rsidP="006B27F1" w:rsidRDefault="006B27F1" w14:paraId="259DB4B0" w14:textId="1D3C0B6C">
      <w:pPr>
        <w:spacing w:before="0" w:after="0" w:line="240" w:lineRule="auto"/>
      </w:pPr>
      <w:r>
        <w:rPr>
          <w:rStyle w:val="FootnoteReference"/>
        </w:rPr>
        <w:footnoteRef/>
      </w:r>
      <w:r>
        <w:t xml:space="preserve"> </w:t>
      </w:r>
      <w:r w:rsidRPr="004B69C1">
        <w:rPr>
          <w:sz w:val="16"/>
          <w:szCs w:val="16"/>
        </w:rPr>
        <w:t xml:space="preserve">Harrison R, Walton M, Smith-Merry J, Manias E, </w:t>
      </w:r>
      <w:proofErr w:type="spellStart"/>
      <w:r w:rsidRPr="004B69C1">
        <w:rPr>
          <w:sz w:val="16"/>
          <w:szCs w:val="16"/>
        </w:rPr>
        <w:t>Iedema</w:t>
      </w:r>
      <w:proofErr w:type="spellEnd"/>
      <w:r w:rsidRPr="004B69C1">
        <w:rPr>
          <w:sz w:val="16"/>
          <w:szCs w:val="16"/>
        </w:rPr>
        <w:t xml:space="preserve"> R</w:t>
      </w:r>
      <w:r w:rsidR="001C7BB4">
        <w:rPr>
          <w:sz w:val="16"/>
          <w:szCs w:val="16"/>
        </w:rPr>
        <w:t xml:space="preserve"> (2019)</w:t>
      </w:r>
      <w:r w:rsidRPr="004B69C1">
        <w:rPr>
          <w:sz w:val="16"/>
          <w:szCs w:val="16"/>
        </w:rPr>
        <w:t xml:space="preserve">. </w:t>
      </w:r>
      <w:r w:rsidRPr="008F2234">
        <w:rPr>
          <w:i/>
          <w:iCs/>
          <w:sz w:val="16"/>
          <w:szCs w:val="16"/>
        </w:rPr>
        <w:t>Open disclosure of adverse events: exploring the implications of service and policy structures on practice</w:t>
      </w:r>
      <w:r w:rsidRPr="004B69C1">
        <w:rPr>
          <w:sz w:val="16"/>
          <w:szCs w:val="16"/>
        </w:rPr>
        <w:t xml:space="preserve">. Risk </w:t>
      </w:r>
      <w:proofErr w:type="spellStart"/>
      <w:r w:rsidRPr="004B69C1">
        <w:rPr>
          <w:sz w:val="16"/>
          <w:szCs w:val="16"/>
        </w:rPr>
        <w:t>Manag</w:t>
      </w:r>
      <w:proofErr w:type="spellEnd"/>
      <w:r w:rsidRPr="004B69C1">
        <w:rPr>
          <w:sz w:val="16"/>
          <w:szCs w:val="16"/>
        </w:rPr>
        <w:t xml:space="preserve"> </w:t>
      </w:r>
      <w:proofErr w:type="spellStart"/>
      <w:r w:rsidRPr="004B69C1">
        <w:rPr>
          <w:sz w:val="16"/>
          <w:szCs w:val="16"/>
        </w:rPr>
        <w:t>Healthc</w:t>
      </w:r>
      <w:proofErr w:type="spellEnd"/>
      <w:r w:rsidRPr="004B69C1">
        <w:rPr>
          <w:sz w:val="16"/>
          <w:szCs w:val="16"/>
        </w:rPr>
        <w:t xml:space="preserve"> Policy. 12</w:t>
      </w:r>
      <w:r w:rsidR="006F6B75">
        <w:rPr>
          <w:sz w:val="16"/>
          <w:szCs w:val="16"/>
        </w:rPr>
        <w:t xml:space="preserve">, pp. </w:t>
      </w:r>
      <w:r w:rsidRPr="004B69C1">
        <w:rPr>
          <w:sz w:val="16"/>
          <w:szCs w:val="16"/>
        </w:rPr>
        <w:t>5-12</w:t>
      </w:r>
      <w:r w:rsidR="001C7BB4">
        <w:rPr>
          <w:sz w:val="16"/>
          <w:szCs w:val="16"/>
        </w:rPr>
        <w:t>.</w:t>
      </w:r>
    </w:p>
  </w:footnote>
  <w:footnote w:id="29">
    <w:p w:rsidR="006B27F1" w:rsidP="006B27F1" w:rsidRDefault="006B27F1" w14:paraId="2E2984D4" w14:textId="77777777">
      <w:pPr>
        <w:pStyle w:val="SCVbody"/>
        <w:spacing w:before="0" w:after="0" w:line="240" w:lineRule="auto"/>
      </w:pPr>
      <w:r>
        <w:rPr>
          <w:rStyle w:val="FootnoteReference"/>
        </w:rPr>
        <w:footnoteRef/>
      </w:r>
      <w:r>
        <w:t xml:space="preserve"> </w:t>
      </w:r>
      <w:r w:rsidRPr="004B69C1">
        <w:rPr>
          <w:sz w:val="16"/>
          <w:szCs w:val="16"/>
        </w:rPr>
        <w:t xml:space="preserve">Gunderson AJ, Smith KM, Mayer DB, McDonald T, </w:t>
      </w:r>
      <w:proofErr w:type="spellStart"/>
      <w:r w:rsidRPr="004B69C1">
        <w:rPr>
          <w:sz w:val="16"/>
          <w:szCs w:val="16"/>
        </w:rPr>
        <w:t>Centomani</w:t>
      </w:r>
      <w:proofErr w:type="spellEnd"/>
      <w:r w:rsidRPr="004B69C1">
        <w:rPr>
          <w:sz w:val="16"/>
          <w:szCs w:val="16"/>
        </w:rPr>
        <w:t xml:space="preserve"> N. (2009) Teaching medical students the art of medical error full disclosure: evaluation of a new curriculum. </w:t>
      </w:r>
      <w:r w:rsidRPr="004B69C1">
        <w:rPr>
          <w:i/>
          <w:iCs/>
          <w:sz w:val="16"/>
          <w:szCs w:val="16"/>
        </w:rPr>
        <w:t>Teach Learn Med</w:t>
      </w:r>
      <w:r w:rsidRPr="004B69C1">
        <w:rPr>
          <w:sz w:val="16"/>
          <w:szCs w:val="16"/>
        </w:rPr>
        <w:t>, 21, pp.229–232.</w:t>
      </w:r>
    </w:p>
  </w:footnote>
  <w:footnote w:id="30">
    <w:p w:rsidR="006B27F1" w:rsidP="006B27F1" w:rsidRDefault="006B27F1" w14:paraId="09D97809" w14:textId="77777777">
      <w:pPr>
        <w:pStyle w:val="SCVbody"/>
        <w:spacing w:before="0" w:after="0" w:line="240" w:lineRule="auto"/>
      </w:pPr>
      <w:r>
        <w:rPr>
          <w:rStyle w:val="FootnoteReference"/>
        </w:rPr>
        <w:footnoteRef/>
      </w:r>
      <w:r>
        <w:t xml:space="preserve"> </w:t>
      </w:r>
      <w:proofErr w:type="spellStart"/>
      <w:r w:rsidRPr="004B69C1">
        <w:rPr>
          <w:sz w:val="16"/>
          <w:szCs w:val="16"/>
        </w:rPr>
        <w:t>Bonnema</w:t>
      </w:r>
      <w:proofErr w:type="spellEnd"/>
      <w:r w:rsidRPr="004B69C1">
        <w:rPr>
          <w:sz w:val="16"/>
          <w:szCs w:val="16"/>
        </w:rPr>
        <w:t xml:space="preserve"> RA, </w:t>
      </w:r>
      <w:proofErr w:type="spellStart"/>
      <w:r w:rsidRPr="004B69C1">
        <w:rPr>
          <w:sz w:val="16"/>
          <w:szCs w:val="16"/>
        </w:rPr>
        <w:t>Gosman</w:t>
      </w:r>
      <w:proofErr w:type="spellEnd"/>
      <w:r w:rsidRPr="004B69C1">
        <w:rPr>
          <w:sz w:val="16"/>
          <w:szCs w:val="16"/>
        </w:rPr>
        <w:t xml:space="preserve"> GG, Arnold RM. (2009) Teaching error disclosure to residents: a curricular innovation and pilot study. </w:t>
      </w:r>
      <w:r w:rsidRPr="004B69C1">
        <w:rPr>
          <w:i/>
          <w:iCs/>
          <w:sz w:val="16"/>
          <w:szCs w:val="16"/>
        </w:rPr>
        <w:t>J Grad Med Educ,</w:t>
      </w:r>
      <w:r w:rsidRPr="004B69C1">
        <w:rPr>
          <w:sz w:val="16"/>
          <w:szCs w:val="16"/>
        </w:rPr>
        <w:t xml:space="preserve"> 1, pp. 114–118.</w:t>
      </w:r>
    </w:p>
  </w:footnote>
  <w:footnote w:id="31">
    <w:p w:rsidR="00FB3420" w:rsidP="00FB3420" w:rsidRDefault="00FB3420" w14:paraId="7B829160" w14:textId="77777777">
      <w:pPr>
        <w:pStyle w:val="FootnoteText"/>
        <w:spacing w:after="0" w:line="240" w:lineRule="auto"/>
      </w:pPr>
      <w:r>
        <w:rPr>
          <w:rStyle w:val="FootnoteReference"/>
        </w:rPr>
        <w:footnoteRef/>
      </w:r>
      <w:r>
        <w:t xml:space="preserve"> </w:t>
      </w:r>
      <w:proofErr w:type="spellStart"/>
      <w:r w:rsidRPr="00DC182C">
        <w:rPr>
          <w:sz w:val="16"/>
          <w:szCs w:val="16"/>
        </w:rPr>
        <w:t>Petronio</w:t>
      </w:r>
      <w:proofErr w:type="spellEnd"/>
      <w:r w:rsidRPr="00DC182C">
        <w:rPr>
          <w:sz w:val="16"/>
          <w:szCs w:val="16"/>
        </w:rPr>
        <w:t>, S.,</w:t>
      </w:r>
      <w:r>
        <w:rPr>
          <w:sz w:val="16"/>
          <w:szCs w:val="16"/>
        </w:rPr>
        <w:t xml:space="preserve"> et al</w:t>
      </w:r>
      <w:r w:rsidRPr="00DC182C">
        <w:rPr>
          <w:sz w:val="16"/>
          <w:szCs w:val="16"/>
        </w:rPr>
        <w:t xml:space="preserve">. (2013). </w:t>
      </w:r>
      <w:r w:rsidRPr="00DC182C">
        <w:rPr>
          <w:i/>
          <w:iCs/>
          <w:sz w:val="16"/>
          <w:szCs w:val="16"/>
        </w:rPr>
        <w:t>Disclosing medical mistakes: a communication management plan for physicians.</w:t>
      </w:r>
      <w:r w:rsidRPr="00DC182C">
        <w:rPr>
          <w:sz w:val="16"/>
          <w:szCs w:val="16"/>
        </w:rPr>
        <w:t xml:space="preserve"> The Permanente journal, 17</w:t>
      </w:r>
      <w:r>
        <w:rPr>
          <w:sz w:val="16"/>
          <w:szCs w:val="16"/>
        </w:rPr>
        <w:t xml:space="preserve"> </w:t>
      </w:r>
      <w:r w:rsidRPr="00DC182C">
        <w:rPr>
          <w:sz w:val="16"/>
          <w:szCs w:val="16"/>
        </w:rPr>
        <w:t xml:space="preserve">(2), </w:t>
      </w:r>
      <w:r>
        <w:rPr>
          <w:sz w:val="16"/>
          <w:szCs w:val="16"/>
        </w:rPr>
        <w:t xml:space="preserve">pp. </w:t>
      </w:r>
      <w:r w:rsidRPr="00DC182C">
        <w:rPr>
          <w:sz w:val="16"/>
          <w:szCs w:val="16"/>
        </w:rPr>
        <w:t>73–79.</w:t>
      </w:r>
    </w:p>
  </w:footnote>
  <w:footnote w:id="32">
    <w:p w:rsidRPr="005C052B" w:rsidR="006B27F1" w:rsidP="006B27F1" w:rsidRDefault="006B27F1" w14:paraId="2CB46F04" w14:textId="77777777">
      <w:pPr>
        <w:spacing w:before="60" w:after="60" w:line="276" w:lineRule="auto"/>
        <w:rPr>
          <w:sz w:val="16"/>
          <w:szCs w:val="16"/>
        </w:rPr>
      </w:pPr>
      <w:r w:rsidRPr="00B716D6">
        <w:rPr>
          <w:rStyle w:val="FootnoteReference"/>
          <w:sz w:val="16"/>
          <w:szCs w:val="16"/>
        </w:rPr>
        <w:footnoteRef/>
      </w:r>
      <w:r w:rsidRPr="00947197">
        <w:rPr>
          <w:sz w:val="16"/>
          <w:szCs w:val="16"/>
        </w:rPr>
        <w:t xml:space="preserve"> Birks Y, et al. </w:t>
      </w:r>
      <w:r>
        <w:rPr>
          <w:sz w:val="16"/>
          <w:szCs w:val="16"/>
        </w:rPr>
        <w:t xml:space="preserve">(2014) </w:t>
      </w:r>
      <w:r w:rsidRPr="00947197">
        <w:rPr>
          <w:i/>
          <w:iCs/>
          <w:sz w:val="16"/>
          <w:szCs w:val="16"/>
        </w:rPr>
        <w:t>An exploration of the implementation of open disclosure of adverse events in the UK: a scoping review and qualitative exploration.</w:t>
      </w:r>
      <w:r w:rsidRPr="00947197">
        <w:rPr>
          <w:sz w:val="16"/>
          <w:szCs w:val="16"/>
        </w:rPr>
        <w:t xml:space="preserve"> Health Serv </w:t>
      </w:r>
      <w:proofErr w:type="spellStart"/>
      <w:r w:rsidRPr="00947197">
        <w:rPr>
          <w:sz w:val="16"/>
          <w:szCs w:val="16"/>
        </w:rPr>
        <w:t>Deliv</w:t>
      </w:r>
      <w:proofErr w:type="spellEnd"/>
      <w:r w:rsidRPr="00947197">
        <w:rPr>
          <w:sz w:val="16"/>
          <w:szCs w:val="16"/>
        </w:rPr>
        <w:t xml:space="preserve"> Res</w:t>
      </w:r>
      <w:r>
        <w:rPr>
          <w:sz w:val="16"/>
          <w:szCs w:val="16"/>
        </w:rPr>
        <w:t xml:space="preserve">, </w:t>
      </w:r>
      <w:r w:rsidRPr="00947197">
        <w:rPr>
          <w:sz w:val="16"/>
          <w:szCs w:val="16"/>
        </w:rPr>
        <w:t>2</w:t>
      </w:r>
      <w:r>
        <w:rPr>
          <w:sz w:val="16"/>
          <w:szCs w:val="16"/>
        </w:rPr>
        <w:t xml:space="preserve"> </w:t>
      </w:r>
      <w:r w:rsidRPr="00947197">
        <w:rPr>
          <w:sz w:val="16"/>
          <w:szCs w:val="16"/>
        </w:rPr>
        <w:t>(20)</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0567E" w:rsidRDefault="0020567E" w14:paraId="677FC386" w14:textId="30C1A769">
    <w:pPr>
      <w:pStyle w:val="Header"/>
    </w:pPr>
    <w:r>
      <w:rPr>
        <w:noProof/>
      </w:rPr>
      <w:drawing>
        <wp:anchor distT="0" distB="0" distL="114300" distR="114300" simplePos="0" relativeHeight="251658241" behindDoc="1" locked="1" layoutInCell="1" allowOverlap="1" wp14:anchorId="533076CC" wp14:editId="054A52B8">
          <wp:simplePos x="0" y="0"/>
          <wp:positionH relativeFrom="page">
            <wp:posOffset>467995</wp:posOffset>
          </wp:positionH>
          <wp:positionV relativeFrom="page">
            <wp:posOffset>540385</wp:posOffset>
          </wp:positionV>
          <wp:extent cx="6505200" cy="5670000"/>
          <wp:effectExtent l="0" t="0" r="0" b="6985"/>
          <wp:wrapNone/>
          <wp:docPr id="13"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pic:nvPicPr>
                <pic:blipFill>
                  <a:blip r:embed="rId1">
                    <a:extLst>
                      <a:ext uri="{28A0092B-C50C-407E-A947-70E740481C1C}">
                        <a14:useLocalDpi xmlns:a14="http://schemas.microsoft.com/office/drawing/2010/main" val="0"/>
                      </a:ext>
                    </a:extLst>
                  </a:blip>
                  <a:stretch>
                    <a:fillRect/>
                  </a:stretch>
                </pic:blipFill>
                <pic:spPr>
                  <a:xfrm>
                    <a:off x="0" y="0"/>
                    <a:ext cx="6505200" cy="56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85D03" w:rsidP="007D7A8F" w:rsidRDefault="00D150D1" w14:paraId="045DD920" w14:textId="10403214">
    <w:pPr>
      <w:pStyle w:val="SCVheader"/>
      <w:pBdr>
        <w:bottom w:val="none" w:color="auto" w:sz="0" w:space="0"/>
      </w:pBdr>
      <w:tabs>
        <w:tab w:val="clear" w:pos="4513"/>
        <w:tab w:val="clear" w:pos="9026"/>
        <w:tab w:val="right" w:pos="10432"/>
      </w:tabs>
    </w:pPr>
    <w:r>
      <w:rPr>
        <w:noProof/>
      </w:rPr>
      <w:drawing>
        <wp:anchor distT="0" distB="0" distL="114300" distR="114300" simplePos="0" relativeHeight="251658240" behindDoc="1" locked="1" layoutInCell="1" allowOverlap="1" wp14:anchorId="27646349" wp14:editId="3928E5F5">
          <wp:simplePos x="0" y="0"/>
          <wp:positionH relativeFrom="margin">
            <wp:align>left</wp:align>
          </wp:positionH>
          <wp:positionV relativeFrom="page">
            <wp:align>bottom</wp:align>
          </wp:positionV>
          <wp:extent cx="7563485" cy="10696575"/>
          <wp:effectExtent l="0" t="0" r="0" b="9525"/>
          <wp:wrapNone/>
          <wp:docPr id="14" name="Picture 2"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696575"/>
                  </a:xfrm>
                  <a:prstGeom prst="rect">
                    <a:avLst/>
                  </a:prstGeom>
                </pic:spPr>
              </pic:pic>
            </a:graphicData>
          </a:graphic>
          <wp14:sizeRelH relativeFrom="margin">
            <wp14:pctWidth>0</wp14:pctWidth>
          </wp14:sizeRelH>
          <wp14:sizeRelV relativeFrom="margin">
            <wp14:pctHeight>0</wp14:pctHeight>
          </wp14:sizeRelV>
        </wp:anchor>
      </w:drawing>
    </w:r>
    <w:r w:rsidR="007D7A8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67039" w:rsidP="006D24F5" w:rsidRDefault="00F878A4" w14:paraId="06AA997B" w14:textId="68449318">
    <w:pPr>
      <w:pStyle w:val="Header"/>
      <w:ind w:right="3061"/>
    </w:pPr>
    <w:r>
      <w:rPr>
        <w:noProof/>
      </w:rPr>
      <w:drawing>
        <wp:anchor distT="0" distB="0" distL="114300" distR="114300" simplePos="0" relativeHeight="251658245" behindDoc="1" locked="1" layoutInCell="1" allowOverlap="1" wp14:anchorId="0262C2DD" wp14:editId="3DDCDF72">
          <wp:simplePos x="0" y="0"/>
          <wp:positionH relativeFrom="margin">
            <wp:posOffset>-457200</wp:posOffset>
          </wp:positionH>
          <wp:positionV relativeFrom="page">
            <wp:align>top</wp:align>
          </wp:positionV>
          <wp:extent cx="7563485" cy="10696575"/>
          <wp:effectExtent l="0" t="0" r="0" b="9525"/>
          <wp:wrapNone/>
          <wp:docPr id="15" name="Picture 1"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69657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3059" w:rsidP="00F53059" w:rsidRDefault="00F53059" w14:paraId="65B2A67C" w14:textId="77777777">
    <w:pPr>
      <w:pStyle w:val="SCVheader"/>
    </w:pPr>
  </w:p>
  <w:p w:rsidRPr="00F53059" w:rsidR="00F878A4" w:rsidP="00F53059" w:rsidRDefault="00F878A4" w14:paraId="1E6B2EE9" w14:textId="3F1338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3059" w:rsidP="00F53059" w:rsidRDefault="00F53059" w14:paraId="1E93A584" w14:textId="77777777">
    <w:pPr>
      <w:pStyle w:val="SCVheader"/>
    </w:pPr>
  </w:p>
  <w:p w:rsidR="00F878A4" w:rsidP="007D7A8F" w:rsidRDefault="00F878A4" w14:paraId="42505F51" w14:textId="77777777">
    <w:pPr>
      <w:pStyle w:val="SCVheader"/>
      <w:pBdr>
        <w:bottom w:val="none" w:color="auto" w:sz="0" w:space="0"/>
      </w:pBdr>
      <w:tabs>
        <w:tab w:val="clear" w:pos="4513"/>
        <w:tab w:val="clear" w:pos="9026"/>
        <w:tab w:val="right" w:pos="10432"/>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878A4" w:rsidP="007D7A8F" w:rsidRDefault="00CF337E" w14:paraId="75BF41CF" w14:textId="4A11424C">
    <w:pPr>
      <w:pStyle w:val="SCVheader"/>
      <w:pBdr>
        <w:bottom w:val="none" w:color="auto" w:sz="0" w:space="0"/>
      </w:pBdr>
      <w:tabs>
        <w:tab w:val="clear" w:pos="4513"/>
        <w:tab w:val="clear" w:pos="9026"/>
        <w:tab w:val="right" w:pos="10432"/>
      </w:tabs>
    </w:pPr>
    <w:r>
      <w:rPr>
        <w:noProof/>
      </w:rPr>
      <w:drawing>
        <wp:anchor distT="0" distB="0" distL="114300" distR="114300" simplePos="0" relativeHeight="251658249" behindDoc="1" locked="1" layoutInCell="1" allowOverlap="1" wp14:anchorId="6B97A45B" wp14:editId="4A073C3A">
          <wp:simplePos x="0" y="0"/>
          <wp:positionH relativeFrom="page">
            <wp:align>left</wp:align>
          </wp:positionH>
          <wp:positionV relativeFrom="page">
            <wp:posOffset>6985</wp:posOffset>
          </wp:positionV>
          <wp:extent cx="7559040" cy="10691495"/>
          <wp:effectExtent l="0" t="0" r="3810" b="0"/>
          <wp:wrapNone/>
          <wp:docPr id="10"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91495"/>
                  </a:xfrm>
                  <a:prstGeom prst="rect">
                    <a:avLst/>
                  </a:prstGeom>
                </pic:spPr>
              </pic:pic>
            </a:graphicData>
          </a:graphic>
          <wp14:sizeRelH relativeFrom="margin">
            <wp14:pctWidth>0</wp14:pctWidth>
          </wp14:sizeRelH>
          <wp14:sizeRelV relativeFrom="margin">
            <wp14:pctHeight>0</wp14:pctHeight>
          </wp14:sizeRelV>
        </wp:anchor>
      </w:drawing>
    </w:r>
    <w:r w:rsidR="00F878A4">
      <w:tab/>
    </w:r>
  </w:p>
</w:hdr>
</file>

<file path=word/intelligence2.xml><?xml version="1.0" encoding="utf-8"?>
<int2:intelligence xmlns:int2="http://schemas.microsoft.com/office/intelligence/2020/intelligence" xmlns:oel="http://schemas.microsoft.com/office/2019/extlst">
  <int2:observations>
    <int2:textHash int2:hashCode="OYgvoqo7fEUVcm" int2:id="bnwTwST4">
      <int2:state int2:value="Rejected" int2:type="LegacyProofing"/>
    </int2:textHash>
    <int2:bookmark int2:bookmarkName="_Int_e1ICRZOA" int2:invalidationBookmarkName="" int2:hashCode="SVb63bcP5+AuTv" int2:id="DRWe8Uy0">
      <int2:state int2:value="Rejected" int2:type="LegacyProofing"/>
    </int2:bookmark>
    <int2:bookmark int2:bookmarkName="_Int_d54ePqEW" int2:invalidationBookmarkName="" int2:hashCode="tH82PitDDAZH8U" int2:id="pIJDCmNs">
      <int2:state int2:value="Rejected" int2:type="LegacyProofing"/>
    </int2:bookmark>
    <int2:bookmark int2:bookmarkName="_Int_fBpyJTD8" int2:invalidationBookmarkName="" int2:hashCode="TPW8Wb7p4cRMYl" int2:id="rVnuJGN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D226"/>
    <w:multiLevelType w:val="multilevel"/>
    <w:tmpl w:val="0DFCDC5E"/>
    <w:lvl w:ilvl="0">
      <w:start w:val="1"/>
      <w:numFmt w:val="bullet"/>
      <w:lvlText w:val=""/>
      <w:lvlJc w:val="left"/>
      <w:pPr>
        <w:ind w:left="284" w:hanging="284"/>
      </w:pPr>
      <w:rPr>
        <w:rFonts w:hint="default" w:ascii="Wingdings 2" w:hAnsi="Wingdings 2"/>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5D8F272"/>
    <w:multiLevelType w:val="multilevel"/>
    <w:tmpl w:val="FE54745A"/>
    <w:lvl w:ilvl="0">
      <w:start w:val="1"/>
      <w:numFmt w:val="bullet"/>
      <w:lvlText w:val=""/>
      <w:lvlJc w:val="left"/>
      <w:pPr>
        <w:ind w:left="284" w:hanging="284"/>
      </w:pPr>
      <w:rPr>
        <w:rFonts w:hint="default" w:ascii="Wingdings 2" w:hAnsi="Wingdings 2"/>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8874574"/>
    <w:multiLevelType w:val="hybridMultilevel"/>
    <w:tmpl w:val="6F9E63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B3005CE"/>
    <w:multiLevelType w:val="hybridMultilevel"/>
    <w:tmpl w:val="A5A8915E"/>
    <w:lvl w:ilvl="0" w:tplc="48868DE0">
      <w:start w:val="1"/>
      <w:numFmt w:val="bullet"/>
      <w:lvlText w:val=""/>
      <w:lvlJc w:val="left"/>
      <w:pPr>
        <w:ind w:left="720" w:hanging="360"/>
      </w:pPr>
      <w:rPr>
        <w:rFonts w:hint="default" w:ascii="Symbol" w:hAnsi="Symbol"/>
      </w:rPr>
    </w:lvl>
    <w:lvl w:ilvl="1" w:tplc="666A8220">
      <w:start w:val="1"/>
      <w:numFmt w:val="bullet"/>
      <w:lvlText w:val="o"/>
      <w:lvlJc w:val="left"/>
      <w:pPr>
        <w:ind w:left="1440" w:hanging="360"/>
      </w:pPr>
      <w:rPr>
        <w:rFonts w:hint="default" w:ascii="Courier New" w:hAnsi="Courier New"/>
      </w:rPr>
    </w:lvl>
    <w:lvl w:ilvl="2" w:tplc="6368FF2E">
      <w:start w:val="1"/>
      <w:numFmt w:val="bullet"/>
      <w:lvlText w:val=""/>
      <w:lvlJc w:val="left"/>
      <w:pPr>
        <w:ind w:left="2160" w:hanging="360"/>
      </w:pPr>
      <w:rPr>
        <w:rFonts w:hint="default" w:ascii="Wingdings" w:hAnsi="Wingdings"/>
      </w:rPr>
    </w:lvl>
    <w:lvl w:ilvl="3" w:tplc="2B388998">
      <w:start w:val="1"/>
      <w:numFmt w:val="bullet"/>
      <w:lvlText w:val=""/>
      <w:lvlJc w:val="left"/>
      <w:pPr>
        <w:ind w:left="2880" w:hanging="360"/>
      </w:pPr>
      <w:rPr>
        <w:rFonts w:hint="default" w:ascii="Symbol" w:hAnsi="Symbol"/>
      </w:rPr>
    </w:lvl>
    <w:lvl w:ilvl="4" w:tplc="200CB70E">
      <w:start w:val="1"/>
      <w:numFmt w:val="bullet"/>
      <w:lvlText w:val="o"/>
      <w:lvlJc w:val="left"/>
      <w:pPr>
        <w:ind w:left="3600" w:hanging="360"/>
      </w:pPr>
      <w:rPr>
        <w:rFonts w:hint="default" w:ascii="Courier New" w:hAnsi="Courier New"/>
      </w:rPr>
    </w:lvl>
    <w:lvl w:ilvl="5" w:tplc="0466F944">
      <w:start w:val="1"/>
      <w:numFmt w:val="bullet"/>
      <w:lvlText w:val=""/>
      <w:lvlJc w:val="left"/>
      <w:pPr>
        <w:ind w:left="4320" w:hanging="360"/>
      </w:pPr>
      <w:rPr>
        <w:rFonts w:hint="default" w:ascii="Wingdings" w:hAnsi="Wingdings"/>
      </w:rPr>
    </w:lvl>
    <w:lvl w:ilvl="6" w:tplc="3892BF82">
      <w:start w:val="1"/>
      <w:numFmt w:val="bullet"/>
      <w:lvlText w:val=""/>
      <w:lvlJc w:val="left"/>
      <w:pPr>
        <w:ind w:left="5040" w:hanging="360"/>
      </w:pPr>
      <w:rPr>
        <w:rFonts w:hint="default" w:ascii="Symbol" w:hAnsi="Symbol"/>
      </w:rPr>
    </w:lvl>
    <w:lvl w:ilvl="7" w:tplc="783029EE">
      <w:start w:val="1"/>
      <w:numFmt w:val="bullet"/>
      <w:lvlText w:val="o"/>
      <w:lvlJc w:val="left"/>
      <w:pPr>
        <w:ind w:left="5760" w:hanging="360"/>
      </w:pPr>
      <w:rPr>
        <w:rFonts w:hint="default" w:ascii="Courier New" w:hAnsi="Courier New"/>
      </w:rPr>
    </w:lvl>
    <w:lvl w:ilvl="8" w:tplc="1AE06EA4">
      <w:start w:val="1"/>
      <w:numFmt w:val="bullet"/>
      <w:lvlText w:val=""/>
      <w:lvlJc w:val="left"/>
      <w:pPr>
        <w:ind w:left="6480" w:hanging="360"/>
      </w:pPr>
      <w:rPr>
        <w:rFonts w:hint="default" w:ascii="Wingdings" w:hAnsi="Wingdings"/>
      </w:rPr>
    </w:lvl>
  </w:abstractNum>
  <w:abstractNum w:abstractNumId="4" w15:restartNumberingAfterBreak="0">
    <w:nsid w:val="0D28DB1B"/>
    <w:multiLevelType w:val="hybridMultilevel"/>
    <w:tmpl w:val="FFFFFFFF"/>
    <w:lvl w:ilvl="0" w:tplc="355EA6E0">
      <w:start w:val="1"/>
      <w:numFmt w:val="bullet"/>
      <w:lvlText w:val=""/>
      <w:lvlJc w:val="left"/>
      <w:pPr>
        <w:ind w:left="720" w:hanging="360"/>
      </w:pPr>
      <w:rPr>
        <w:rFonts w:hint="default" w:ascii="Symbol" w:hAnsi="Symbol"/>
      </w:rPr>
    </w:lvl>
    <w:lvl w:ilvl="1" w:tplc="64545FDC">
      <w:start w:val="1"/>
      <w:numFmt w:val="bullet"/>
      <w:lvlText w:val="o"/>
      <w:lvlJc w:val="left"/>
      <w:pPr>
        <w:ind w:left="1440" w:hanging="360"/>
      </w:pPr>
      <w:rPr>
        <w:rFonts w:hint="default" w:ascii="Courier New" w:hAnsi="Courier New"/>
      </w:rPr>
    </w:lvl>
    <w:lvl w:ilvl="2" w:tplc="DE9E0878">
      <w:start w:val="1"/>
      <w:numFmt w:val="bullet"/>
      <w:lvlText w:val=""/>
      <w:lvlJc w:val="left"/>
      <w:pPr>
        <w:ind w:left="2160" w:hanging="360"/>
      </w:pPr>
      <w:rPr>
        <w:rFonts w:hint="default" w:ascii="Wingdings" w:hAnsi="Wingdings"/>
      </w:rPr>
    </w:lvl>
    <w:lvl w:ilvl="3" w:tplc="3DFA0968">
      <w:start w:val="1"/>
      <w:numFmt w:val="bullet"/>
      <w:lvlText w:val=""/>
      <w:lvlJc w:val="left"/>
      <w:pPr>
        <w:ind w:left="2880" w:hanging="360"/>
      </w:pPr>
      <w:rPr>
        <w:rFonts w:hint="default" w:ascii="Symbol" w:hAnsi="Symbol"/>
      </w:rPr>
    </w:lvl>
    <w:lvl w:ilvl="4" w:tplc="1EE0EFBE">
      <w:start w:val="1"/>
      <w:numFmt w:val="bullet"/>
      <w:lvlText w:val="o"/>
      <w:lvlJc w:val="left"/>
      <w:pPr>
        <w:ind w:left="3600" w:hanging="360"/>
      </w:pPr>
      <w:rPr>
        <w:rFonts w:hint="default" w:ascii="Courier New" w:hAnsi="Courier New"/>
      </w:rPr>
    </w:lvl>
    <w:lvl w:ilvl="5" w:tplc="112AB82A">
      <w:start w:val="1"/>
      <w:numFmt w:val="bullet"/>
      <w:lvlText w:val=""/>
      <w:lvlJc w:val="left"/>
      <w:pPr>
        <w:ind w:left="4320" w:hanging="360"/>
      </w:pPr>
      <w:rPr>
        <w:rFonts w:hint="default" w:ascii="Wingdings" w:hAnsi="Wingdings"/>
      </w:rPr>
    </w:lvl>
    <w:lvl w:ilvl="6" w:tplc="9DF6782C">
      <w:start w:val="1"/>
      <w:numFmt w:val="bullet"/>
      <w:lvlText w:val=""/>
      <w:lvlJc w:val="left"/>
      <w:pPr>
        <w:ind w:left="5040" w:hanging="360"/>
      </w:pPr>
      <w:rPr>
        <w:rFonts w:hint="default" w:ascii="Symbol" w:hAnsi="Symbol"/>
      </w:rPr>
    </w:lvl>
    <w:lvl w:ilvl="7" w:tplc="D616A872">
      <w:start w:val="1"/>
      <w:numFmt w:val="bullet"/>
      <w:lvlText w:val="o"/>
      <w:lvlJc w:val="left"/>
      <w:pPr>
        <w:ind w:left="5760" w:hanging="360"/>
      </w:pPr>
      <w:rPr>
        <w:rFonts w:hint="default" w:ascii="Courier New" w:hAnsi="Courier New"/>
      </w:rPr>
    </w:lvl>
    <w:lvl w:ilvl="8" w:tplc="A1E0B614">
      <w:start w:val="1"/>
      <w:numFmt w:val="bullet"/>
      <w:lvlText w:val=""/>
      <w:lvlJc w:val="left"/>
      <w:pPr>
        <w:ind w:left="6480" w:hanging="360"/>
      </w:pPr>
      <w:rPr>
        <w:rFonts w:hint="default" w:ascii="Wingdings" w:hAnsi="Wingdings"/>
      </w:rPr>
    </w:lvl>
  </w:abstractNum>
  <w:abstractNum w:abstractNumId="5" w15:restartNumberingAfterBreak="0">
    <w:nsid w:val="0DEC56B4"/>
    <w:multiLevelType w:val="hybridMultilevel"/>
    <w:tmpl w:val="1D0254F0"/>
    <w:lvl w:ilvl="0" w:tplc="9CB09E94">
      <w:numFmt w:val="bullet"/>
      <w:lvlText w:val="-"/>
      <w:lvlJc w:val="left"/>
      <w:pPr>
        <w:ind w:left="720" w:hanging="36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0E1F7C4C"/>
    <w:multiLevelType w:val="hybridMultilevel"/>
    <w:tmpl w:val="D0A0477C"/>
    <w:lvl w:ilvl="0" w:tplc="DB828508">
      <w:start w:val="1"/>
      <w:numFmt w:val="bullet"/>
      <w:lvlText w:val=""/>
      <w:lvlJc w:val="left"/>
      <w:pPr>
        <w:ind w:left="720" w:hanging="360"/>
      </w:pPr>
      <w:rPr>
        <w:rFonts w:hint="default" w:ascii="Symbol" w:hAnsi="Symbol"/>
      </w:rPr>
    </w:lvl>
    <w:lvl w:ilvl="1" w:tplc="1E3083C0">
      <w:start w:val="1"/>
      <w:numFmt w:val="bullet"/>
      <w:lvlText w:val="o"/>
      <w:lvlJc w:val="left"/>
      <w:pPr>
        <w:ind w:left="1440" w:hanging="360"/>
      </w:pPr>
      <w:rPr>
        <w:rFonts w:hint="default" w:ascii="Courier New" w:hAnsi="Courier New"/>
      </w:rPr>
    </w:lvl>
    <w:lvl w:ilvl="2" w:tplc="EF508A98">
      <w:start w:val="1"/>
      <w:numFmt w:val="bullet"/>
      <w:lvlText w:val=""/>
      <w:lvlJc w:val="left"/>
      <w:pPr>
        <w:ind w:left="2160" w:hanging="360"/>
      </w:pPr>
      <w:rPr>
        <w:rFonts w:hint="default" w:ascii="Wingdings" w:hAnsi="Wingdings"/>
      </w:rPr>
    </w:lvl>
    <w:lvl w:ilvl="3" w:tplc="90CA323A">
      <w:start w:val="1"/>
      <w:numFmt w:val="bullet"/>
      <w:lvlText w:val=""/>
      <w:lvlJc w:val="left"/>
      <w:pPr>
        <w:ind w:left="2880" w:hanging="360"/>
      </w:pPr>
      <w:rPr>
        <w:rFonts w:hint="default" w:ascii="Symbol" w:hAnsi="Symbol"/>
      </w:rPr>
    </w:lvl>
    <w:lvl w:ilvl="4" w:tplc="335CA58A">
      <w:start w:val="1"/>
      <w:numFmt w:val="bullet"/>
      <w:lvlText w:val="o"/>
      <w:lvlJc w:val="left"/>
      <w:pPr>
        <w:ind w:left="3600" w:hanging="360"/>
      </w:pPr>
      <w:rPr>
        <w:rFonts w:hint="default" w:ascii="Courier New" w:hAnsi="Courier New"/>
      </w:rPr>
    </w:lvl>
    <w:lvl w:ilvl="5" w:tplc="3208A244">
      <w:start w:val="1"/>
      <w:numFmt w:val="bullet"/>
      <w:lvlText w:val=""/>
      <w:lvlJc w:val="left"/>
      <w:pPr>
        <w:ind w:left="4320" w:hanging="360"/>
      </w:pPr>
      <w:rPr>
        <w:rFonts w:hint="default" w:ascii="Wingdings" w:hAnsi="Wingdings"/>
      </w:rPr>
    </w:lvl>
    <w:lvl w:ilvl="6" w:tplc="85A20CE8">
      <w:start w:val="1"/>
      <w:numFmt w:val="bullet"/>
      <w:lvlText w:val=""/>
      <w:lvlJc w:val="left"/>
      <w:pPr>
        <w:ind w:left="5040" w:hanging="360"/>
      </w:pPr>
      <w:rPr>
        <w:rFonts w:hint="default" w:ascii="Symbol" w:hAnsi="Symbol"/>
      </w:rPr>
    </w:lvl>
    <w:lvl w:ilvl="7" w:tplc="9D903866">
      <w:start w:val="1"/>
      <w:numFmt w:val="bullet"/>
      <w:lvlText w:val="o"/>
      <w:lvlJc w:val="left"/>
      <w:pPr>
        <w:ind w:left="5760" w:hanging="360"/>
      </w:pPr>
      <w:rPr>
        <w:rFonts w:hint="default" w:ascii="Courier New" w:hAnsi="Courier New"/>
      </w:rPr>
    </w:lvl>
    <w:lvl w:ilvl="8" w:tplc="EE00F976">
      <w:start w:val="1"/>
      <w:numFmt w:val="bullet"/>
      <w:lvlText w:val=""/>
      <w:lvlJc w:val="left"/>
      <w:pPr>
        <w:ind w:left="6480" w:hanging="360"/>
      </w:pPr>
      <w:rPr>
        <w:rFonts w:hint="default" w:ascii="Wingdings" w:hAnsi="Wingdings"/>
      </w:rPr>
    </w:lvl>
  </w:abstractNum>
  <w:abstractNum w:abstractNumId="7" w15:restartNumberingAfterBreak="0">
    <w:nsid w:val="14FFB257"/>
    <w:multiLevelType w:val="hybridMultilevel"/>
    <w:tmpl w:val="CF9AFBB6"/>
    <w:lvl w:ilvl="0" w:tplc="F7BA2380">
      <w:start w:val="1"/>
      <w:numFmt w:val="bullet"/>
      <w:lvlText w:val=""/>
      <w:lvlJc w:val="left"/>
      <w:pPr>
        <w:ind w:left="720" w:hanging="360"/>
      </w:pPr>
      <w:rPr>
        <w:rFonts w:hint="default" w:ascii="Symbol" w:hAnsi="Symbol"/>
      </w:rPr>
    </w:lvl>
    <w:lvl w:ilvl="1" w:tplc="3E50D278">
      <w:start w:val="1"/>
      <w:numFmt w:val="bullet"/>
      <w:lvlText w:val="o"/>
      <w:lvlJc w:val="left"/>
      <w:pPr>
        <w:ind w:left="1440" w:hanging="360"/>
      </w:pPr>
      <w:rPr>
        <w:rFonts w:hint="default" w:ascii="Courier New" w:hAnsi="Courier New"/>
      </w:rPr>
    </w:lvl>
    <w:lvl w:ilvl="2" w:tplc="EAA677C4">
      <w:start w:val="1"/>
      <w:numFmt w:val="bullet"/>
      <w:lvlText w:val=""/>
      <w:lvlJc w:val="left"/>
      <w:pPr>
        <w:ind w:left="2160" w:hanging="360"/>
      </w:pPr>
      <w:rPr>
        <w:rFonts w:hint="default" w:ascii="Wingdings" w:hAnsi="Wingdings"/>
      </w:rPr>
    </w:lvl>
    <w:lvl w:ilvl="3" w:tplc="00CE3378">
      <w:start w:val="1"/>
      <w:numFmt w:val="bullet"/>
      <w:lvlText w:val=""/>
      <w:lvlJc w:val="left"/>
      <w:pPr>
        <w:ind w:left="2880" w:hanging="360"/>
      </w:pPr>
      <w:rPr>
        <w:rFonts w:hint="default" w:ascii="Symbol" w:hAnsi="Symbol"/>
      </w:rPr>
    </w:lvl>
    <w:lvl w:ilvl="4" w:tplc="DAFCB3F2">
      <w:start w:val="1"/>
      <w:numFmt w:val="bullet"/>
      <w:lvlText w:val="o"/>
      <w:lvlJc w:val="left"/>
      <w:pPr>
        <w:ind w:left="3600" w:hanging="360"/>
      </w:pPr>
      <w:rPr>
        <w:rFonts w:hint="default" w:ascii="Courier New" w:hAnsi="Courier New"/>
      </w:rPr>
    </w:lvl>
    <w:lvl w:ilvl="5" w:tplc="F0F80616">
      <w:start w:val="1"/>
      <w:numFmt w:val="bullet"/>
      <w:lvlText w:val=""/>
      <w:lvlJc w:val="left"/>
      <w:pPr>
        <w:ind w:left="4320" w:hanging="360"/>
      </w:pPr>
      <w:rPr>
        <w:rFonts w:hint="default" w:ascii="Wingdings" w:hAnsi="Wingdings"/>
      </w:rPr>
    </w:lvl>
    <w:lvl w:ilvl="6" w:tplc="BF46802A">
      <w:start w:val="1"/>
      <w:numFmt w:val="bullet"/>
      <w:lvlText w:val=""/>
      <w:lvlJc w:val="left"/>
      <w:pPr>
        <w:ind w:left="5040" w:hanging="360"/>
      </w:pPr>
      <w:rPr>
        <w:rFonts w:hint="default" w:ascii="Symbol" w:hAnsi="Symbol"/>
      </w:rPr>
    </w:lvl>
    <w:lvl w:ilvl="7" w:tplc="57DE4B60">
      <w:start w:val="1"/>
      <w:numFmt w:val="bullet"/>
      <w:lvlText w:val="o"/>
      <w:lvlJc w:val="left"/>
      <w:pPr>
        <w:ind w:left="5760" w:hanging="360"/>
      </w:pPr>
      <w:rPr>
        <w:rFonts w:hint="default" w:ascii="Courier New" w:hAnsi="Courier New"/>
      </w:rPr>
    </w:lvl>
    <w:lvl w:ilvl="8" w:tplc="F1B2FA08">
      <w:start w:val="1"/>
      <w:numFmt w:val="bullet"/>
      <w:lvlText w:val=""/>
      <w:lvlJc w:val="left"/>
      <w:pPr>
        <w:ind w:left="6480" w:hanging="360"/>
      </w:pPr>
      <w:rPr>
        <w:rFonts w:hint="default" w:ascii="Wingdings" w:hAnsi="Wingdings"/>
      </w:rPr>
    </w:lvl>
  </w:abstractNum>
  <w:abstractNum w:abstractNumId="8" w15:restartNumberingAfterBreak="0">
    <w:nsid w:val="16172CCC"/>
    <w:multiLevelType w:val="hybridMultilevel"/>
    <w:tmpl w:val="A9161EF2"/>
    <w:lvl w:ilvl="0" w:tplc="E968C5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5F9F18"/>
    <w:multiLevelType w:val="hybridMultilevel"/>
    <w:tmpl w:val="B022B18C"/>
    <w:lvl w:ilvl="0" w:tplc="B94418E6">
      <w:start w:val="1"/>
      <w:numFmt w:val="bullet"/>
      <w:lvlText w:val=""/>
      <w:lvlJc w:val="left"/>
      <w:pPr>
        <w:ind w:left="720" w:hanging="360"/>
      </w:pPr>
      <w:rPr>
        <w:rFonts w:hint="default" w:ascii="Symbol" w:hAnsi="Symbol"/>
      </w:rPr>
    </w:lvl>
    <w:lvl w:ilvl="1" w:tplc="70A624A6">
      <w:start w:val="1"/>
      <w:numFmt w:val="bullet"/>
      <w:lvlText w:val="o"/>
      <w:lvlJc w:val="left"/>
      <w:pPr>
        <w:ind w:left="1440" w:hanging="360"/>
      </w:pPr>
      <w:rPr>
        <w:rFonts w:hint="default" w:ascii="Courier New" w:hAnsi="Courier New"/>
      </w:rPr>
    </w:lvl>
    <w:lvl w:ilvl="2" w:tplc="820A4C8E">
      <w:start w:val="1"/>
      <w:numFmt w:val="bullet"/>
      <w:lvlText w:val=""/>
      <w:lvlJc w:val="left"/>
      <w:pPr>
        <w:ind w:left="2160" w:hanging="360"/>
      </w:pPr>
      <w:rPr>
        <w:rFonts w:hint="default" w:ascii="Wingdings" w:hAnsi="Wingdings"/>
      </w:rPr>
    </w:lvl>
    <w:lvl w:ilvl="3" w:tplc="5F86F37A">
      <w:start w:val="1"/>
      <w:numFmt w:val="bullet"/>
      <w:lvlText w:val=""/>
      <w:lvlJc w:val="left"/>
      <w:pPr>
        <w:ind w:left="2880" w:hanging="360"/>
      </w:pPr>
      <w:rPr>
        <w:rFonts w:hint="default" w:ascii="Symbol" w:hAnsi="Symbol"/>
      </w:rPr>
    </w:lvl>
    <w:lvl w:ilvl="4" w:tplc="49325D68">
      <w:start w:val="1"/>
      <w:numFmt w:val="bullet"/>
      <w:lvlText w:val="o"/>
      <w:lvlJc w:val="left"/>
      <w:pPr>
        <w:ind w:left="3600" w:hanging="360"/>
      </w:pPr>
      <w:rPr>
        <w:rFonts w:hint="default" w:ascii="Courier New" w:hAnsi="Courier New"/>
      </w:rPr>
    </w:lvl>
    <w:lvl w:ilvl="5" w:tplc="D3283C1C">
      <w:start w:val="1"/>
      <w:numFmt w:val="bullet"/>
      <w:lvlText w:val=""/>
      <w:lvlJc w:val="left"/>
      <w:pPr>
        <w:ind w:left="4320" w:hanging="360"/>
      </w:pPr>
      <w:rPr>
        <w:rFonts w:hint="default" w:ascii="Wingdings" w:hAnsi="Wingdings"/>
      </w:rPr>
    </w:lvl>
    <w:lvl w:ilvl="6" w:tplc="66D2DBCE">
      <w:start w:val="1"/>
      <w:numFmt w:val="bullet"/>
      <w:lvlText w:val=""/>
      <w:lvlJc w:val="left"/>
      <w:pPr>
        <w:ind w:left="5040" w:hanging="360"/>
      </w:pPr>
      <w:rPr>
        <w:rFonts w:hint="default" w:ascii="Symbol" w:hAnsi="Symbol"/>
      </w:rPr>
    </w:lvl>
    <w:lvl w:ilvl="7" w:tplc="1E063352">
      <w:start w:val="1"/>
      <w:numFmt w:val="bullet"/>
      <w:lvlText w:val="o"/>
      <w:lvlJc w:val="left"/>
      <w:pPr>
        <w:ind w:left="5760" w:hanging="360"/>
      </w:pPr>
      <w:rPr>
        <w:rFonts w:hint="default" w:ascii="Courier New" w:hAnsi="Courier New"/>
      </w:rPr>
    </w:lvl>
    <w:lvl w:ilvl="8" w:tplc="5418B6D0">
      <w:start w:val="1"/>
      <w:numFmt w:val="bullet"/>
      <w:lvlText w:val=""/>
      <w:lvlJc w:val="left"/>
      <w:pPr>
        <w:ind w:left="6480" w:hanging="360"/>
      </w:pPr>
      <w:rPr>
        <w:rFonts w:hint="default" w:ascii="Wingdings" w:hAnsi="Wingdings"/>
      </w:rPr>
    </w:lvl>
  </w:abstractNum>
  <w:abstractNum w:abstractNumId="10" w15:restartNumberingAfterBreak="0">
    <w:nsid w:val="190E0E11"/>
    <w:multiLevelType w:val="hybridMultilevel"/>
    <w:tmpl w:val="934C3752"/>
    <w:lvl w:ilvl="0" w:tplc="D3FE6C0A">
      <w:start w:val="1"/>
      <w:numFmt w:val="bullet"/>
      <w:lvlText w:val=""/>
      <w:lvlJc w:val="left"/>
      <w:pPr>
        <w:ind w:left="720" w:hanging="360"/>
      </w:pPr>
      <w:rPr>
        <w:rFonts w:hint="default" w:ascii="Symbol" w:hAnsi="Symbol"/>
      </w:rPr>
    </w:lvl>
    <w:lvl w:ilvl="1" w:tplc="4ADE869C">
      <w:start w:val="1"/>
      <w:numFmt w:val="bullet"/>
      <w:lvlText w:val="o"/>
      <w:lvlJc w:val="left"/>
      <w:pPr>
        <w:ind w:left="1440" w:hanging="360"/>
      </w:pPr>
      <w:rPr>
        <w:rFonts w:hint="default" w:ascii="Courier New" w:hAnsi="Courier New"/>
      </w:rPr>
    </w:lvl>
    <w:lvl w:ilvl="2" w:tplc="8B026D38">
      <w:start w:val="1"/>
      <w:numFmt w:val="bullet"/>
      <w:lvlText w:val=""/>
      <w:lvlJc w:val="left"/>
      <w:pPr>
        <w:ind w:left="2160" w:hanging="360"/>
      </w:pPr>
      <w:rPr>
        <w:rFonts w:hint="default" w:ascii="Wingdings" w:hAnsi="Wingdings"/>
      </w:rPr>
    </w:lvl>
    <w:lvl w:ilvl="3" w:tplc="9CDC107C">
      <w:start w:val="1"/>
      <w:numFmt w:val="bullet"/>
      <w:lvlText w:val=""/>
      <w:lvlJc w:val="left"/>
      <w:pPr>
        <w:ind w:left="2880" w:hanging="360"/>
      </w:pPr>
      <w:rPr>
        <w:rFonts w:hint="default" w:ascii="Symbol" w:hAnsi="Symbol"/>
      </w:rPr>
    </w:lvl>
    <w:lvl w:ilvl="4" w:tplc="A7421F60">
      <w:start w:val="1"/>
      <w:numFmt w:val="bullet"/>
      <w:lvlText w:val="o"/>
      <w:lvlJc w:val="left"/>
      <w:pPr>
        <w:ind w:left="3600" w:hanging="360"/>
      </w:pPr>
      <w:rPr>
        <w:rFonts w:hint="default" w:ascii="Courier New" w:hAnsi="Courier New"/>
      </w:rPr>
    </w:lvl>
    <w:lvl w:ilvl="5" w:tplc="0EE609BC">
      <w:start w:val="1"/>
      <w:numFmt w:val="bullet"/>
      <w:lvlText w:val=""/>
      <w:lvlJc w:val="left"/>
      <w:pPr>
        <w:ind w:left="4320" w:hanging="360"/>
      </w:pPr>
      <w:rPr>
        <w:rFonts w:hint="default" w:ascii="Wingdings" w:hAnsi="Wingdings"/>
      </w:rPr>
    </w:lvl>
    <w:lvl w:ilvl="6" w:tplc="B0E60E84">
      <w:start w:val="1"/>
      <w:numFmt w:val="bullet"/>
      <w:lvlText w:val=""/>
      <w:lvlJc w:val="left"/>
      <w:pPr>
        <w:ind w:left="5040" w:hanging="360"/>
      </w:pPr>
      <w:rPr>
        <w:rFonts w:hint="default" w:ascii="Symbol" w:hAnsi="Symbol"/>
      </w:rPr>
    </w:lvl>
    <w:lvl w:ilvl="7" w:tplc="1EB2FA40">
      <w:start w:val="1"/>
      <w:numFmt w:val="bullet"/>
      <w:lvlText w:val="o"/>
      <w:lvlJc w:val="left"/>
      <w:pPr>
        <w:ind w:left="5760" w:hanging="360"/>
      </w:pPr>
      <w:rPr>
        <w:rFonts w:hint="default" w:ascii="Courier New" w:hAnsi="Courier New"/>
      </w:rPr>
    </w:lvl>
    <w:lvl w:ilvl="8" w:tplc="048A88BC">
      <w:start w:val="1"/>
      <w:numFmt w:val="bullet"/>
      <w:lvlText w:val=""/>
      <w:lvlJc w:val="left"/>
      <w:pPr>
        <w:ind w:left="6480" w:hanging="360"/>
      </w:pPr>
      <w:rPr>
        <w:rFonts w:hint="default" w:ascii="Wingdings" w:hAnsi="Wingdings"/>
      </w:rPr>
    </w:lvl>
  </w:abstractNum>
  <w:abstractNum w:abstractNumId="11"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hint="default" w:ascii="Calibri" w:hAnsi="Calibri"/>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FFFB0B0"/>
    <w:multiLevelType w:val="hybridMultilevel"/>
    <w:tmpl w:val="DBECAAE0"/>
    <w:lvl w:ilvl="0" w:tplc="E19A96D4">
      <w:start w:val="1"/>
      <w:numFmt w:val="bullet"/>
      <w:lvlText w:val=""/>
      <w:lvlJc w:val="left"/>
      <w:pPr>
        <w:ind w:left="720" w:hanging="360"/>
      </w:pPr>
      <w:rPr>
        <w:rFonts w:hint="default" w:ascii="Symbol" w:hAnsi="Symbol"/>
      </w:rPr>
    </w:lvl>
    <w:lvl w:ilvl="1" w:tplc="AB1272CC">
      <w:start w:val="1"/>
      <w:numFmt w:val="bullet"/>
      <w:lvlText w:val="o"/>
      <w:lvlJc w:val="left"/>
      <w:pPr>
        <w:ind w:left="1440" w:hanging="360"/>
      </w:pPr>
      <w:rPr>
        <w:rFonts w:hint="default" w:ascii="Courier New" w:hAnsi="Courier New"/>
      </w:rPr>
    </w:lvl>
    <w:lvl w:ilvl="2" w:tplc="8D5CA6A8">
      <w:start w:val="1"/>
      <w:numFmt w:val="bullet"/>
      <w:lvlText w:val=""/>
      <w:lvlJc w:val="left"/>
      <w:pPr>
        <w:ind w:left="2160" w:hanging="360"/>
      </w:pPr>
      <w:rPr>
        <w:rFonts w:hint="default" w:ascii="Wingdings" w:hAnsi="Wingdings"/>
      </w:rPr>
    </w:lvl>
    <w:lvl w:ilvl="3" w:tplc="E6ACF816">
      <w:start w:val="1"/>
      <w:numFmt w:val="bullet"/>
      <w:lvlText w:val=""/>
      <w:lvlJc w:val="left"/>
      <w:pPr>
        <w:ind w:left="2880" w:hanging="360"/>
      </w:pPr>
      <w:rPr>
        <w:rFonts w:hint="default" w:ascii="Symbol" w:hAnsi="Symbol"/>
      </w:rPr>
    </w:lvl>
    <w:lvl w:ilvl="4" w:tplc="05C6EDC4">
      <w:start w:val="1"/>
      <w:numFmt w:val="bullet"/>
      <w:lvlText w:val="o"/>
      <w:lvlJc w:val="left"/>
      <w:pPr>
        <w:ind w:left="3600" w:hanging="360"/>
      </w:pPr>
      <w:rPr>
        <w:rFonts w:hint="default" w:ascii="Courier New" w:hAnsi="Courier New"/>
      </w:rPr>
    </w:lvl>
    <w:lvl w:ilvl="5" w:tplc="3FF04DF6">
      <w:start w:val="1"/>
      <w:numFmt w:val="bullet"/>
      <w:lvlText w:val=""/>
      <w:lvlJc w:val="left"/>
      <w:pPr>
        <w:ind w:left="4320" w:hanging="360"/>
      </w:pPr>
      <w:rPr>
        <w:rFonts w:hint="default" w:ascii="Wingdings" w:hAnsi="Wingdings"/>
      </w:rPr>
    </w:lvl>
    <w:lvl w:ilvl="6" w:tplc="659A62AA">
      <w:start w:val="1"/>
      <w:numFmt w:val="bullet"/>
      <w:lvlText w:val=""/>
      <w:lvlJc w:val="left"/>
      <w:pPr>
        <w:ind w:left="5040" w:hanging="360"/>
      </w:pPr>
      <w:rPr>
        <w:rFonts w:hint="default" w:ascii="Symbol" w:hAnsi="Symbol"/>
      </w:rPr>
    </w:lvl>
    <w:lvl w:ilvl="7" w:tplc="856AAE70">
      <w:start w:val="1"/>
      <w:numFmt w:val="bullet"/>
      <w:lvlText w:val="o"/>
      <w:lvlJc w:val="left"/>
      <w:pPr>
        <w:ind w:left="5760" w:hanging="360"/>
      </w:pPr>
      <w:rPr>
        <w:rFonts w:hint="default" w:ascii="Courier New" w:hAnsi="Courier New"/>
      </w:rPr>
    </w:lvl>
    <w:lvl w:ilvl="8" w:tplc="7BEA558C">
      <w:start w:val="1"/>
      <w:numFmt w:val="bullet"/>
      <w:lvlText w:val=""/>
      <w:lvlJc w:val="left"/>
      <w:pPr>
        <w:ind w:left="6480" w:hanging="360"/>
      </w:pPr>
      <w:rPr>
        <w:rFonts w:hint="default" w:ascii="Wingdings" w:hAnsi="Wingdings"/>
      </w:rPr>
    </w:lvl>
  </w:abstractNum>
  <w:abstractNum w:abstractNumId="13" w15:restartNumberingAfterBreak="0">
    <w:nsid w:val="205A5CF4"/>
    <w:multiLevelType w:val="hybridMultilevel"/>
    <w:tmpl w:val="E03C0702"/>
    <w:lvl w:ilvl="0" w:tplc="45401244">
      <w:start w:val="1"/>
      <w:numFmt w:val="bullet"/>
      <w:lvlText w:val=""/>
      <w:lvlJc w:val="left"/>
      <w:pPr>
        <w:ind w:left="720" w:hanging="360"/>
      </w:pPr>
      <w:rPr>
        <w:rFonts w:hint="default" w:ascii="Symbol" w:hAnsi="Symbol"/>
      </w:rPr>
    </w:lvl>
    <w:lvl w:ilvl="1" w:tplc="02C6C9A6">
      <w:start w:val="1"/>
      <w:numFmt w:val="bullet"/>
      <w:lvlText w:val="o"/>
      <w:lvlJc w:val="left"/>
      <w:pPr>
        <w:ind w:left="1440" w:hanging="360"/>
      </w:pPr>
      <w:rPr>
        <w:rFonts w:hint="default" w:ascii="Courier New" w:hAnsi="Courier New"/>
      </w:rPr>
    </w:lvl>
    <w:lvl w:ilvl="2" w:tplc="921CD0B2">
      <w:start w:val="1"/>
      <w:numFmt w:val="bullet"/>
      <w:lvlText w:val=""/>
      <w:lvlJc w:val="left"/>
      <w:pPr>
        <w:ind w:left="2160" w:hanging="360"/>
      </w:pPr>
      <w:rPr>
        <w:rFonts w:hint="default" w:ascii="Wingdings" w:hAnsi="Wingdings"/>
      </w:rPr>
    </w:lvl>
    <w:lvl w:ilvl="3" w:tplc="D37A7692">
      <w:start w:val="1"/>
      <w:numFmt w:val="bullet"/>
      <w:lvlText w:val=""/>
      <w:lvlJc w:val="left"/>
      <w:pPr>
        <w:ind w:left="2880" w:hanging="360"/>
      </w:pPr>
      <w:rPr>
        <w:rFonts w:hint="default" w:ascii="Symbol" w:hAnsi="Symbol"/>
      </w:rPr>
    </w:lvl>
    <w:lvl w:ilvl="4" w:tplc="5A1EC15C">
      <w:start w:val="1"/>
      <w:numFmt w:val="bullet"/>
      <w:lvlText w:val="o"/>
      <w:lvlJc w:val="left"/>
      <w:pPr>
        <w:ind w:left="3600" w:hanging="360"/>
      </w:pPr>
      <w:rPr>
        <w:rFonts w:hint="default" w:ascii="Courier New" w:hAnsi="Courier New"/>
      </w:rPr>
    </w:lvl>
    <w:lvl w:ilvl="5" w:tplc="8CF626D4">
      <w:start w:val="1"/>
      <w:numFmt w:val="bullet"/>
      <w:lvlText w:val=""/>
      <w:lvlJc w:val="left"/>
      <w:pPr>
        <w:ind w:left="4320" w:hanging="360"/>
      </w:pPr>
      <w:rPr>
        <w:rFonts w:hint="default" w:ascii="Wingdings" w:hAnsi="Wingdings"/>
      </w:rPr>
    </w:lvl>
    <w:lvl w:ilvl="6" w:tplc="135E6FD4">
      <w:start w:val="1"/>
      <w:numFmt w:val="bullet"/>
      <w:lvlText w:val=""/>
      <w:lvlJc w:val="left"/>
      <w:pPr>
        <w:ind w:left="5040" w:hanging="360"/>
      </w:pPr>
      <w:rPr>
        <w:rFonts w:hint="default" w:ascii="Symbol" w:hAnsi="Symbol"/>
      </w:rPr>
    </w:lvl>
    <w:lvl w:ilvl="7" w:tplc="AF34E564">
      <w:start w:val="1"/>
      <w:numFmt w:val="bullet"/>
      <w:lvlText w:val="o"/>
      <w:lvlJc w:val="left"/>
      <w:pPr>
        <w:ind w:left="5760" w:hanging="360"/>
      </w:pPr>
      <w:rPr>
        <w:rFonts w:hint="default" w:ascii="Courier New" w:hAnsi="Courier New"/>
      </w:rPr>
    </w:lvl>
    <w:lvl w:ilvl="8" w:tplc="D3A63F4C">
      <w:start w:val="1"/>
      <w:numFmt w:val="bullet"/>
      <w:lvlText w:val=""/>
      <w:lvlJc w:val="left"/>
      <w:pPr>
        <w:ind w:left="6480" w:hanging="360"/>
      </w:pPr>
      <w:rPr>
        <w:rFonts w:hint="default" w:ascii="Wingdings" w:hAnsi="Wingdings"/>
      </w:rPr>
    </w:lvl>
  </w:abstractNum>
  <w:abstractNum w:abstractNumId="14" w15:restartNumberingAfterBreak="0">
    <w:nsid w:val="2180E7C4"/>
    <w:multiLevelType w:val="hybridMultilevel"/>
    <w:tmpl w:val="FFFFFFFF"/>
    <w:lvl w:ilvl="0" w:tplc="17B85D90">
      <w:start w:val="1"/>
      <w:numFmt w:val="bullet"/>
      <w:lvlText w:val=""/>
      <w:lvlJc w:val="left"/>
      <w:pPr>
        <w:ind w:left="720" w:hanging="360"/>
      </w:pPr>
      <w:rPr>
        <w:rFonts w:hint="default" w:ascii="Symbol" w:hAnsi="Symbol"/>
      </w:rPr>
    </w:lvl>
    <w:lvl w:ilvl="1" w:tplc="D9B22656">
      <w:start w:val="1"/>
      <w:numFmt w:val="bullet"/>
      <w:lvlText w:val="o"/>
      <w:lvlJc w:val="left"/>
      <w:pPr>
        <w:ind w:left="1440" w:hanging="360"/>
      </w:pPr>
      <w:rPr>
        <w:rFonts w:hint="default" w:ascii="Courier New" w:hAnsi="Courier New"/>
      </w:rPr>
    </w:lvl>
    <w:lvl w:ilvl="2" w:tplc="266091CC">
      <w:start w:val="1"/>
      <w:numFmt w:val="bullet"/>
      <w:lvlText w:val=""/>
      <w:lvlJc w:val="left"/>
      <w:pPr>
        <w:ind w:left="2160" w:hanging="360"/>
      </w:pPr>
      <w:rPr>
        <w:rFonts w:hint="default" w:ascii="Wingdings" w:hAnsi="Wingdings"/>
      </w:rPr>
    </w:lvl>
    <w:lvl w:ilvl="3" w:tplc="B41057A4">
      <w:start w:val="1"/>
      <w:numFmt w:val="bullet"/>
      <w:lvlText w:val=""/>
      <w:lvlJc w:val="left"/>
      <w:pPr>
        <w:ind w:left="2880" w:hanging="360"/>
      </w:pPr>
      <w:rPr>
        <w:rFonts w:hint="default" w:ascii="Symbol" w:hAnsi="Symbol"/>
      </w:rPr>
    </w:lvl>
    <w:lvl w:ilvl="4" w:tplc="C51C4EFA">
      <w:start w:val="1"/>
      <w:numFmt w:val="bullet"/>
      <w:lvlText w:val="o"/>
      <w:lvlJc w:val="left"/>
      <w:pPr>
        <w:ind w:left="3600" w:hanging="360"/>
      </w:pPr>
      <w:rPr>
        <w:rFonts w:hint="default" w:ascii="Courier New" w:hAnsi="Courier New"/>
      </w:rPr>
    </w:lvl>
    <w:lvl w:ilvl="5" w:tplc="3A844EDA">
      <w:start w:val="1"/>
      <w:numFmt w:val="bullet"/>
      <w:lvlText w:val=""/>
      <w:lvlJc w:val="left"/>
      <w:pPr>
        <w:ind w:left="4320" w:hanging="360"/>
      </w:pPr>
      <w:rPr>
        <w:rFonts w:hint="default" w:ascii="Wingdings" w:hAnsi="Wingdings"/>
      </w:rPr>
    </w:lvl>
    <w:lvl w:ilvl="6" w:tplc="722C8D78">
      <w:start w:val="1"/>
      <w:numFmt w:val="bullet"/>
      <w:lvlText w:val=""/>
      <w:lvlJc w:val="left"/>
      <w:pPr>
        <w:ind w:left="5040" w:hanging="360"/>
      </w:pPr>
      <w:rPr>
        <w:rFonts w:hint="default" w:ascii="Symbol" w:hAnsi="Symbol"/>
      </w:rPr>
    </w:lvl>
    <w:lvl w:ilvl="7" w:tplc="BE6A8DFA">
      <w:start w:val="1"/>
      <w:numFmt w:val="bullet"/>
      <w:lvlText w:val="o"/>
      <w:lvlJc w:val="left"/>
      <w:pPr>
        <w:ind w:left="5760" w:hanging="360"/>
      </w:pPr>
      <w:rPr>
        <w:rFonts w:hint="default" w:ascii="Courier New" w:hAnsi="Courier New"/>
      </w:rPr>
    </w:lvl>
    <w:lvl w:ilvl="8" w:tplc="135285D4">
      <w:start w:val="1"/>
      <w:numFmt w:val="bullet"/>
      <w:lvlText w:val=""/>
      <w:lvlJc w:val="left"/>
      <w:pPr>
        <w:ind w:left="6480" w:hanging="360"/>
      </w:pPr>
      <w:rPr>
        <w:rFonts w:hint="default" w:ascii="Wingdings" w:hAnsi="Wingdings"/>
      </w:rPr>
    </w:lvl>
  </w:abstractNum>
  <w:abstractNum w:abstractNumId="15" w15:restartNumberingAfterBreak="0">
    <w:nsid w:val="23419282"/>
    <w:multiLevelType w:val="hybridMultilevel"/>
    <w:tmpl w:val="5570F992"/>
    <w:lvl w:ilvl="0" w:tplc="EAFA1DC4">
      <w:start w:val="1"/>
      <w:numFmt w:val="bullet"/>
      <w:lvlText w:val=""/>
      <w:lvlJc w:val="left"/>
      <w:pPr>
        <w:ind w:left="720" w:hanging="360"/>
      </w:pPr>
      <w:rPr>
        <w:rFonts w:hint="default" w:ascii="Symbol" w:hAnsi="Symbol"/>
      </w:rPr>
    </w:lvl>
    <w:lvl w:ilvl="1" w:tplc="4F3047F2">
      <w:start w:val="1"/>
      <w:numFmt w:val="bullet"/>
      <w:lvlText w:val="o"/>
      <w:lvlJc w:val="left"/>
      <w:pPr>
        <w:ind w:left="1440" w:hanging="360"/>
      </w:pPr>
      <w:rPr>
        <w:rFonts w:hint="default" w:ascii="Courier New" w:hAnsi="Courier New"/>
      </w:rPr>
    </w:lvl>
    <w:lvl w:ilvl="2" w:tplc="94B2F074">
      <w:start w:val="1"/>
      <w:numFmt w:val="bullet"/>
      <w:lvlText w:val=""/>
      <w:lvlJc w:val="left"/>
      <w:pPr>
        <w:ind w:left="2160" w:hanging="360"/>
      </w:pPr>
      <w:rPr>
        <w:rFonts w:hint="default" w:ascii="Wingdings" w:hAnsi="Wingdings"/>
      </w:rPr>
    </w:lvl>
    <w:lvl w:ilvl="3" w:tplc="2A5C5050">
      <w:start w:val="1"/>
      <w:numFmt w:val="bullet"/>
      <w:lvlText w:val=""/>
      <w:lvlJc w:val="left"/>
      <w:pPr>
        <w:ind w:left="2880" w:hanging="360"/>
      </w:pPr>
      <w:rPr>
        <w:rFonts w:hint="default" w:ascii="Symbol" w:hAnsi="Symbol"/>
      </w:rPr>
    </w:lvl>
    <w:lvl w:ilvl="4" w:tplc="90487BE6">
      <w:start w:val="1"/>
      <w:numFmt w:val="bullet"/>
      <w:lvlText w:val="o"/>
      <w:lvlJc w:val="left"/>
      <w:pPr>
        <w:ind w:left="3600" w:hanging="360"/>
      </w:pPr>
      <w:rPr>
        <w:rFonts w:hint="default" w:ascii="Courier New" w:hAnsi="Courier New"/>
      </w:rPr>
    </w:lvl>
    <w:lvl w:ilvl="5" w:tplc="A604817E">
      <w:start w:val="1"/>
      <w:numFmt w:val="bullet"/>
      <w:lvlText w:val=""/>
      <w:lvlJc w:val="left"/>
      <w:pPr>
        <w:ind w:left="4320" w:hanging="360"/>
      </w:pPr>
      <w:rPr>
        <w:rFonts w:hint="default" w:ascii="Wingdings" w:hAnsi="Wingdings"/>
      </w:rPr>
    </w:lvl>
    <w:lvl w:ilvl="6" w:tplc="2640ED6E">
      <w:start w:val="1"/>
      <w:numFmt w:val="bullet"/>
      <w:lvlText w:val=""/>
      <w:lvlJc w:val="left"/>
      <w:pPr>
        <w:ind w:left="5040" w:hanging="360"/>
      </w:pPr>
      <w:rPr>
        <w:rFonts w:hint="default" w:ascii="Symbol" w:hAnsi="Symbol"/>
      </w:rPr>
    </w:lvl>
    <w:lvl w:ilvl="7" w:tplc="45E2620C">
      <w:start w:val="1"/>
      <w:numFmt w:val="bullet"/>
      <w:lvlText w:val="o"/>
      <w:lvlJc w:val="left"/>
      <w:pPr>
        <w:ind w:left="5760" w:hanging="360"/>
      </w:pPr>
      <w:rPr>
        <w:rFonts w:hint="default" w:ascii="Courier New" w:hAnsi="Courier New"/>
      </w:rPr>
    </w:lvl>
    <w:lvl w:ilvl="8" w:tplc="D5BE71C2">
      <w:start w:val="1"/>
      <w:numFmt w:val="bullet"/>
      <w:lvlText w:val=""/>
      <w:lvlJc w:val="left"/>
      <w:pPr>
        <w:ind w:left="6480" w:hanging="360"/>
      </w:pPr>
      <w:rPr>
        <w:rFonts w:hint="default" w:ascii="Wingdings" w:hAnsi="Wingdings"/>
      </w:rPr>
    </w:lvl>
  </w:abstractNum>
  <w:abstractNum w:abstractNumId="16" w15:restartNumberingAfterBreak="0">
    <w:nsid w:val="26694650"/>
    <w:multiLevelType w:val="hybridMultilevel"/>
    <w:tmpl w:val="FFFFFFFF"/>
    <w:lvl w:ilvl="0" w:tplc="2F7854AA">
      <w:start w:val="1"/>
      <w:numFmt w:val="bullet"/>
      <w:lvlText w:val=""/>
      <w:lvlJc w:val="left"/>
      <w:pPr>
        <w:ind w:left="720" w:hanging="360"/>
      </w:pPr>
      <w:rPr>
        <w:rFonts w:hint="default" w:ascii="Symbol" w:hAnsi="Symbol"/>
      </w:rPr>
    </w:lvl>
    <w:lvl w:ilvl="1" w:tplc="89B2EAB0">
      <w:start w:val="1"/>
      <w:numFmt w:val="bullet"/>
      <w:lvlText w:val="o"/>
      <w:lvlJc w:val="left"/>
      <w:pPr>
        <w:ind w:left="1440" w:hanging="360"/>
      </w:pPr>
      <w:rPr>
        <w:rFonts w:hint="default" w:ascii="Courier New" w:hAnsi="Courier New"/>
      </w:rPr>
    </w:lvl>
    <w:lvl w:ilvl="2" w:tplc="25B85A88">
      <w:start w:val="1"/>
      <w:numFmt w:val="bullet"/>
      <w:lvlText w:val=""/>
      <w:lvlJc w:val="left"/>
      <w:pPr>
        <w:ind w:left="2160" w:hanging="360"/>
      </w:pPr>
      <w:rPr>
        <w:rFonts w:hint="default" w:ascii="Wingdings" w:hAnsi="Wingdings"/>
      </w:rPr>
    </w:lvl>
    <w:lvl w:ilvl="3" w:tplc="92C405FA">
      <w:start w:val="1"/>
      <w:numFmt w:val="bullet"/>
      <w:lvlText w:val=""/>
      <w:lvlJc w:val="left"/>
      <w:pPr>
        <w:ind w:left="2880" w:hanging="360"/>
      </w:pPr>
      <w:rPr>
        <w:rFonts w:hint="default" w:ascii="Symbol" w:hAnsi="Symbol"/>
      </w:rPr>
    </w:lvl>
    <w:lvl w:ilvl="4" w:tplc="B8FE91B8">
      <w:start w:val="1"/>
      <w:numFmt w:val="bullet"/>
      <w:lvlText w:val="o"/>
      <w:lvlJc w:val="left"/>
      <w:pPr>
        <w:ind w:left="3600" w:hanging="360"/>
      </w:pPr>
      <w:rPr>
        <w:rFonts w:hint="default" w:ascii="Courier New" w:hAnsi="Courier New"/>
      </w:rPr>
    </w:lvl>
    <w:lvl w:ilvl="5" w:tplc="A73C2B8A">
      <w:start w:val="1"/>
      <w:numFmt w:val="bullet"/>
      <w:lvlText w:val=""/>
      <w:lvlJc w:val="left"/>
      <w:pPr>
        <w:ind w:left="4320" w:hanging="360"/>
      </w:pPr>
      <w:rPr>
        <w:rFonts w:hint="default" w:ascii="Wingdings" w:hAnsi="Wingdings"/>
      </w:rPr>
    </w:lvl>
    <w:lvl w:ilvl="6" w:tplc="C33C5A3A">
      <w:start w:val="1"/>
      <w:numFmt w:val="bullet"/>
      <w:lvlText w:val=""/>
      <w:lvlJc w:val="left"/>
      <w:pPr>
        <w:ind w:left="5040" w:hanging="360"/>
      </w:pPr>
      <w:rPr>
        <w:rFonts w:hint="default" w:ascii="Symbol" w:hAnsi="Symbol"/>
      </w:rPr>
    </w:lvl>
    <w:lvl w:ilvl="7" w:tplc="BD948C64">
      <w:start w:val="1"/>
      <w:numFmt w:val="bullet"/>
      <w:lvlText w:val="o"/>
      <w:lvlJc w:val="left"/>
      <w:pPr>
        <w:ind w:left="5760" w:hanging="360"/>
      </w:pPr>
      <w:rPr>
        <w:rFonts w:hint="default" w:ascii="Courier New" w:hAnsi="Courier New"/>
      </w:rPr>
    </w:lvl>
    <w:lvl w:ilvl="8" w:tplc="76728798">
      <w:start w:val="1"/>
      <w:numFmt w:val="bullet"/>
      <w:lvlText w:val=""/>
      <w:lvlJc w:val="left"/>
      <w:pPr>
        <w:ind w:left="6480" w:hanging="360"/>
      </w:pPr>
      <w:rPr>
        <w:rFonts w:hint="default" w:ascii="Wingdings" w:hAnsi="Wingdings"/>
      </w:rPr>
    </w:lvl>
  </w:abstractNum>
  <w:abstractNum w:abstractNumId="17" w15:restartNumberingAfterBreak="0">
    <w:nsid w:val="26F0012A"/>
    <w:multiLevelType w:val="hybridMultilevel"/>
    <w:tmpl w:val="F648E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17BD1E"/>
    <w:multiLevelType w:val="hybridMultilevel"/>
    <w:tmpl w:val="7286ED2A"/>
    <w:lvl w:ilvl="0" w:tplc="26BC4916">
      <w:start w:val="1"/>
      <w:numFmt w:val="bullet"/>
      <w:lvlText w:val=""/>
      <w:lvlJc w:val="left"/>
      <w:pPr>
        <w:ind w:left="720" w:hanging="360"/>
      </w:pPr>
      <w:rPr>
        <w:rFonts w:hint="default" w:ascii="Symbol" w:hAnsi="Symbol"/>
      </w:rPr>
    </w:lvl>
    <w:lvl w:ilvl="1" w:tplc="4A227A10">
      <w:start w:val="1"/>
      <w:numFmt w:val="bullet"/>
      <w:lvlText w:val="o"/>
      <w:lvlJc w:val="left"/>
      <w:pPr>
        <w:ind w:left="1440" w:hanging="360"/>
      </w:pPr>
      <w:rPr>
        <w:rFonts w:hint="default" w:ascii="Courier New" w:hAnsi="Courier New"/>
      </w:rPr>
    </w:lvl>
    <w:lvl w:ilvl="2" w:tplc="2C8676D8">
      <w:start w:val="1"/>
      <w:numFmt w:val="bullet"/>
      <w:lvlText w:val=""/>
      <w:lvlJc w:val="left"/>
      <w:pPr>
        <w:ind w:left="2160" w:hanging="360"/>
      </w:pPr>
      <w:rPr>
        <w:rFonts w:hint="default" w:ascii="Wingdings" w:hAnsi="Wingdings"/>
      </w:rPr>
    </w:lvl>
    <w:lvl w:ilvl="3" w:tplc="AE6ABD56">
      <w:start w:val="1"/>
      <w:numFmt w:val="bullet"/>
      <w:lvlText w:val=""/>
      <w:lvlJc w:val="left"/>
      <w:pPr>
        <w:ind w:left="2880" w:hanging="360"/>
      </w:pPr>
      <w:rPr>
        <w:rFonts w:hint="default" w:ascii="Symbol" w:hAnsi="Symbol"/>
      </w:rPr>
    </w:lvl>
    <w:lvl w:ilvl="4" w:tplc="187CA154">
      <w:start w:val="1"/>
      <w:numFmt w:val="bullet"/>
      <w:lvlText w:val="o"/>
      <w:lvlJc w:val="left"/>
      <w:pPr>
        <w:ind w:left="3600" w:hanging="360"/>
      </w:pPr>
      <w:rPr>
        <w:rFonts w:hint="default" w:ascii="Courier New" w:hAnsi="Courier New"/>
      </w:rPr>
    </w:lvl>
    <w:lvl w:ilvl="5" w:tplc="9524271E">
      <w:start w:val="1"/>
      <w:numFmt w:val="bullet"/>
      <w:lvlText w:val=""/>
      <w:lvlJc w:val="left"/>
      <w:pPr>
        <w:ind w:left="4320" w:hanging="360"/>
      </w:pPr>
      <w:rPr>
        <w:rFonts w:hint="default" w:ascii="Wingdings" w:hAnsi="Wingdings"/>
      </w:rPr>
    </w:lvl>
    <w:lvl w:ilvl="6" w:tplc="10C00C78">
      <w:start w:val="1"/>
      <w:numFmt w:val="bullet"/>
      <w:lvlText w:val=""/>
      <w:lvlJc w:val="left"/>
      <w:pPr>
        <w:ind w:left="5040" w:hanging="360"/>
      </w:pPr>
      <w:rPr>
        <w:rFonts w:hint="default" w:ascii="Symbol" w:hAnsi="Symbol"/>
      </w:rPr>
    </w:lvl>
    <w:lvl w:ilvl="7" w:tplc="A6824056">
      <w:start w:val="1"/>
      <w:numFmt w:val="bullet"/>
      <w:lvlText w:val="o"/>
      <w:lvlJc w:val="left"/>
      <w:pPr>
        <w:ind w:left="5760" w:hanging="360"/>
      </w:pPr>
      <w:rPr>
        <w:rFonts w:hint="default" w:ascii="Courier New" w:hAnsi="Courier New"/>
      </w:rPr>
    </w:lvl>
    <w:lvl w:ilvl="8" w:tplc="80CC927C">
      <w:start w:val="1"/>
      <w:numFmt w:val="bullet"/>
      <w:lvlText w:val=""/>
      <w:lvlJc w:val="left"/>
      <w:pPr>
        <w:ind w:left="6480" w:hanging="360"/>
      </w:pPr>
      <w:rPr>
        <w:rFonts w:hint="default" w:ascii="Wingdings" w:hAnsi="Wingdings"/>
      </w:rPr>
    </w:lvl>
  </w:abstractNum>
  <w:abstractNum w:abstractNumId="19" w15:restartNumberingAfterBreak="0">
    <w:nsid w:val="2AD40B17"/>
    <w:multiLevelType w:val="hybridMultilevel"/>
    <w:tmpl w:val="B7DCEDC2"/>
    <w:lvl w:ilvl="0" w:tplc="C084FB10">
      <w:start w:val="1"/>
      <w:numFmt w:val="bullet"/>
      <w:lvlText w:val=""/>
      <w:lvlJc w:val="left"/>
      <w:pPr>
        <w:ind w:left="720" w:hanging="360"/>
      </w:pPr>
      <w:rPr>
        <w:rFonts w:hint="default" w:ascii="Symbol" w:hAnsi="Symbol"/>
      </w:rPr>
    </w:lvl>
    <w:lvl w:ilvl="1" w:tplc="4CFE136A">
      <w:start w:val="1"/>
      <w:numFmt w:val="bullet"/>
      <w:lvlText w:val="o"/>
      <w:lvlJc w:val="left"/>
      <w:pPr>
        <w:ind w:left="1440" w:hanging="360"/>
      </w:pPr>
      <w:rPr>
        <w:rFonts w:hint="default" w:ascii="Courier New" w:hAnsi="Courier New"/>
      </w:rPr>
    </w:lvl>
    <w:lvl w:ilvl="2" w:tplc="2AC64FB2">
      <w:start w:val="1"/>
      <w:numFmt w:val="bullet"/>
      <w:lvlText w:val=""/>
      <w:lvlJc w:val="left"/>
      <w:pPr>
        <w:ind w:left="2160" w:hanging="360"/>
      </w:pPr>
      <w:rPr>
        <w:rFonts w:hint="default" w:ascii="Wingdings" w:hAnsi="Wingdings"/>
      </w:rPr>
    </w:lvl>
    <w:lvl w:ilvl="3" w:tplc="EC8EC580">
      <w:start w:val="1"/>
      <w:numFmt w:val="bullet"/>
      <w:lvlText w:val=""/>
      <w:lvlJc w:val="left"/>
      <w:pPr>
        <w:ind w:left="2880" w:hanging="360"/>
      </w:pPr>
      <w:rPr>
        <w:rFonts w:hint="default" w:ascii="Symbol" w:hAnsi="Symbol"/>
      </w:rPr>
    </w:lvl>
    <w:lvl w:ilvl="4" w:tplc="7CAC3B68">
      <w:start w:val="1"/>
      <w:numFmt w:val="bullet"/>
      <w:lvlText w:val="o"/>
      <w:lvlJc w:val="left"/>
      <w:pPr>
        <w:ind w:left="3600" w:hanging="360"/>
      </w:pPr>
      <w:rPr>
        <w:rFonts w:hint="default" w:ascii="Courier New" w:hAnsi="Courier New"/>
      </w:rPr>
    </w:lvl>
    <w:lvl w:ilvl="5" w:tplc="73621598">
      <w:start w:val="1"/>
      <w:numFmt w:val="bullet"/>
      <w:lvlText w:val=""/>
      <w:lvlJc w:val="left"/>
      <w:pPr>
        <w:ind w:left="4320" w:hanging="360"/>
      </w:pPr>
      <w:rPr>
        <w:rFonts w:hint="default" w:ascii="Wingdings" w:hAnsi="Wingdings"/>
      </w:rPr>
    </w:lvl>
    <w:lvl w:ilvl="6" w:tplc="CCBC0328">
      <w:start w:val="1"/>
      <w:numFmt w:val="bullet"/>
      <w:lvlText w:val=""/>
      <w:lvlJc w:val="left"/>
      <w:pPr>
        <w:ind w:left="5040" w:hanging="360"/>
      </w:pPr>
      <w:rPr>
        <w:rFonts w:hint="default" w:ascii="Symbol" w:hAnsi="Symbol"/>
      </w:rPr>
    </w:lvl>
    <w:lvl w:ilvl="7" w:tplc="97703566">
      <w:start w:val="1"/>
      <w:numFmt w:val="bullet"/>
      <w:lvlText w:val="o"/>
      <w:lvlJc w:val="left"/>
      <w:pPr>
        <w:ind w:left="5760" w:hanging="360"/>
      </w:pPr>
      <w:rPr>
        <w:rFonts w:hint="default" w:ascii="Courier New" w:hAnsi="Courier New"/>
      </w:rPr>
    </w:lvl>
    <w:lvl w:ilvl="8" w:tplc="E42AD7E2">
      <w:start w:val="1"/>
      <w:numFmt w:val="bullet"/>
      <w:lvlText w:val=""/>
      <w:lvlJc w:val="left"/>
      <w:pPr>
        <w:ind w:left="6480" w:hanging="360"/>
      </w:pPr>
      <w:rPr>
        <w:rFonts w:hint="default" w:ascii="Wingdings" w:hAnsi="Wingdings"/>
      </w:rPr>
    </w:lvl>
  </w:abstractNum>
  <w:abstractNum w:abstractNumId="20" w15:restartNumberingAfterBreak="0">
    <w:nsid w:val="30D378B0"/>
    <w:multiLevelType w:val="hybridMultilevel"/>
    <w:tmpl w:val="D56C0F14"/>
    <w:lvl w:ilvl="0" w:tplc="57E421B0">
      <w:start w:val="1"/>
      <w:numFmt w:val="bullet"/>
      <w:lvlText w:val=""/>
      <w:lvlJc w:val="left"/>
      <w:pPr>
        <w:ind w:left="720" w:hanging="360"/>
      </w:pPr>
      <w:rPr>
        <w:rFonts w:hint="default" w:ascii="Symbol" w:hAnsi="Symbol"/>
      </w:rPr>
    </w:lvl>
    <w:lvl w:ilvl="1" w:tplc="A5BEE984">
      <w:start w:val="1"/>
      <w:numFmt w:val="bullet"/>
      <w:lvlText w:val="o"/>
      <w:lvlJc w:val="left"/>
      <w:pPr>
        <w:ind w:left="1440" w:hanging="360"/>
      </w:pPr>
      <w:rPr>
        <w:rFonts w:hint="default" w:ascii="Courier New" w:hAnsi="Courier New"/>
      </w:rPr>
    </w:lvl>
    <w:lvl w:ilvl="2" w:tplc="F3EADE2E">
      <w:start w:val="1"/>
      <w:numFmt w:val="bullet"/>
      <w:lvlText w:val=""/>
      <w:lvlJc w:val="left"/>
      <w:pPr>
        <w:ind w:left="2160" w:hanging="360"/>
      </w:pPr>
      <w:rPr>
        <w:rFonts w:hint="default" w:ascii="Wingdings" w:hAnsi="Wingdings"/>
      </w:rPr>
    </w:lvl>
    <w:lvl w:ilvl="3" w:tplc="3E3E585E">
      <w:start w:val="1"/>
      <w:numFmt w:val="bullet"/>
      <w:lvlText w:val=""/>
      <w:lvlJc w:val="left"/>
      <w:pPr>
        <w:ind w:left="2880" w:hanging="360"/>
      </w:pPr>
      <w:rPr>
        <w:rFonts w:hint="default" w:ascii="Symbol" w:hAnsi="Symbol"/>
      </w:rPr>
    </w:lvl>
    <w:lvl w:ilvl="4" w:tplc="646E436E">
      <w:start w:val="1"/>
      <w:numFmt w:val="bullet"/>
      <w:lvlText w:val="o"/>
      <w:lvlJc w:val="left"/>
      <w:pPr>
        <w:ind w:left="3600" w:hanging="360"/>
      </w:pPr>
      <w:rPr>
        <w:rFonts w:hint="default" w:ascii="Courier New" w:hAnsi="Courier New"/>
      </w:rPr>
    </w:lvl>
    <w:lvl w:ilvl="5" w:tplc="2E167848">
      <w:start w:val="1"/>
      <w:numFmt w:val="bullet"/>
      <w:lvlText w:val=""/>
      <w:lvlJc w:val="left"/>
      <w:pPr>
        <w:ind w:left="4320" w:hanging="360"/>
      </w:pPr>
      <w:rPr>
        <w:rFonts w:hint="default" w:ascii="Wingdings" w:hAnsi="Wingdings"/>
      </w:rPr>
    </w:lvl>
    <w:lvl w:ilvl="6" w:tplc="E8F6D00E">
      <w:start w:val="1"/>
      <w:numFmt w:val="bullet"/>
      <w:lvlText w:val=""/>
      <w:lvlJc w:val="left"/>
      <w:pPr>
        <w:ind w:left="5040" w:hanging="360"/>
      </w:pPr>
      <w:rPr>
        <w:rFonts w:hint="default" w:ascii="Symbol" w:hAnsi="Symbol"/>
      </w:rPr>
    </w:lvl>
    <w:lvl w:ilvl="7" w:tplc="58AAFC6A">
      <w:start w:val="1"/>
      <w:numFmt w:val="bullet"/>
      <w:lvlText w:val="o"/>
      <w:lvlJc w:val="left"/>
      <w:pPr>
        <w:ind w:left="5760" w:hanging="360"/>
      </w:pPr>
      <w:rPr>
        <w:rFonts w:hint="default" w:ascii="Courier New" w:hAnsi="Courier New"/>
      </w:rPr>
    </w:lvl>
    <w:lvl w:ilvl="8" w:tplc="3AEE4B78">
      <w:start w:val="1"/>
      <w:numFmt w:val="bullet"/>
      <w:lvlText w:val=""/>
      <w:lvlJc w:val="left"/>
      <w:pPr>
        <w:ind w:left="6480" w:hanging="360"/>
      </w:pPr>
      <w:rPr>
        <w:rFonts w:hint="default" w:ascii="Wingdings" w:hAnsi="Wingdings"/>
      </w:rPr>
    </w:lvl>
  </w:abstractNum>
  <w:abstractNum w:abstractNumId="21" w15:restartNumberingAfterBreak="0">
    <w:nsid w:val="314B4C12"/>
    <w:multiLevelType w:val="hybridMultilevel"/>
    <w:tmpl w:val="C504B34E"/>
    <w:lvl w:ilvl="0" w:tplc="1952D026">
      <w:numFmt w:val="bullet"/>
      <w:lvlText w:val="-"/>
      <w:lvlJc w:val="left"/>
      <w:pPr>
        <w:ind w:left="720" w:hanging="36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32303D3E"/>
    <w:multiLevelType w:val="hybridMultilevel"/>
    <w:tmpl w:val="00F87DC8"/>
    <w:lvl w:ilvl="0" w:tplc="E2BCE604">
      <w:start w:val="1"/>
      <w:numFmt w:val="bullet"/>
      <w:lvlText w:val=""/>
      <w:lvlJc w:val="left"/>
      <w:pPr>
        <w:ind w:left="720" w:hanging="360"/>
      </w:pPr>
      <w:rPr>
        <w:rFonts w:hint="default" w:ascii="Symbol" w:hAnsi="Symbol"/>
      </w:rPr>
    </w:lvl>
    <w:lvl w:ilvl="1" w:tplc="CD5E4AE0">
      <w:start w:val="1"/>
      <w:numFmt w:val="bullet"/>
      <w:lvlText w:val="o"/>
      <w:lvlJc w:val="left"/>
      <w:pPr>
        <w:ind w:left="1440" w:hanging="360"/>
      </w:pPr>
      <w:rPr>
        <w:rFonts w:hint="default" w:ascii="Courier New" w:hAnsi="Courier New"/>
      </w:rPr>
    </w:lvl>
    <w:lvl w:ilvl="2" w:tplc="DC46EFCA">
      <w:start w:val="1"/>
      <w:numFmt w:val="bullet"/>
      <w:lvlText w:val=""/>
      <w:lvlJc w:val="left"/>
      <w:pPr>
        <w:ind w:left="2160" w:hanging="360"/>
      </w:pPr>
      <w:rPr>
        <w:rFonts w:hint="default" w:ascii="Wingdings" w:hAnsi="Wingdings"/>
      </w:rPr>
    </w:lvl>
    <w:lvl w:ilvl="3" w:tplc="9C0638F8">
      <w:start w:val="1"/>
      <w:numFmt w:val="bullet"/>
      <w:lvlText w:val=""/>
      <w:lvlJc w:val="left"/>
      <w:pPr>
        <w:ind w:left="2880" w:hanging="360"/>
      </w:pPr>
      <w:rPr>
        <w:rFonts w:hint="default" w:ascii="Symbol" w:hAnsi="Symbol"/>
      </w:rPr>
    </w:lvl>
    <w:lvl w:ilvl="4" w:tplc="F774AE04">
      <w:start w:val="1"/>
      <w:numFmt w:val="bullet"/>
      <w:lvlText w:val="o"/>
      <w:lvlJc w:val="left"/>
      <w:pPr>
        <w:ind w:left="3600" w:hanging="360"/>
      </w:pPr>
      <w:rPr>
        <w:rFonts w:hint="default" w:ascii="Courier New" w:hAnsi="Courier New"/>
      </w:rPr>
    </w:lvl>
    <w:lvl w:ilvl="5" w:tplc="7D5CBB40">
      <w:start w:val="1"/>
      <w:numFmt w:val="bullet"/>
      <w:lvlText w:val=""/>
      <w:lvlJc w:val="left"/>
      <w:pPr>
        <w:ind w:left="4320" w:hanging="360"/>
      </w:pPr>
      <w:rPr>
        <w:rFonts w:hint="default" w:ascii="Wingdings" w:hAnsi="Wingdings"/>
      </w:rPr>
    </w:lvl>
    <w:lvl w:ilvl="6" w:tplc="3824375C">
      <w:start w:val="1"/>
      <w:numFmt w:val="bullet"/>
      <w:lvlText w:val=""/>
      <w:lvlJc w:val="left"/>
      <w:pPr>
        <w:ind w:left="5040" w:hanging="360"/>
      </w:pPr>
      <w:rPr>
        <w:rFonts w:hint="default" w:ascii="Symbol" w:hAnsi="Symbol"/>
      </w:rPr>
    </w:lvl>
    <w:lvl w:ilvl="7" w:tplc="1BC4890A">
      <w:start w:val="1"/>
      <w:numFmt w:val="bullet"/>
      <w:lvlText w:val="o"/>
      <w:lvlJc w:val="left"/>
      <w:pPr>
        <w:ind w:left="5760" w:hanging="360"/>
      </w:pPr>
      <w:rPr>
        <w:rFonts w:hint="default" w:ascii="Courier New" w:hAnsi="Courier New"/>
      </w:rPr>
    </w:lvl>
    <w:lvl w:ilvl="8" w:tplc="D4FA039C">
      <w:start w:val="1"/>
      <w:numFmt w:val="bullet"/>
      <w:lvlText w:val=""/>
      <w:lvlJc w:val="left"/>
      <w:pPr>
        <w:ind w:left="6480" w:hanging="360"/>
      </w:pPr>
      <w:rPr>
        <w:rFonts w:hint="default" w:ascii="Wingdings" w:hAnsi="Wingdings"/>
      </w:rPr>
    </w:lvl>
  </w:abstractNum>
  <w:abstractNum w:abstractNumId="23" w15:restartNumberingAfterBreak="0">
    <w:nsid w:val="35F81F8F"/>
    <w:multiLevelType w:val="hybridMultilevel"/>
    <w:tmpl w:val="2FE4929C"/>
    <w:lvl w:ilvl="0" w:tplc="F0602FAA">
      <w:start w:val="1"/>
      <w:numFmt w:val="bullet"/>
      <w:lvlText w:val=""/>
      <w:lvlJc w:val="left"/>
      <w:pPr>
        <w:ind w:left="720" w:hanging="360"/>
      </w:pPr>
      <w:rPr>
        <w:rFonts w:hint="default" w:ascii="Symbol" w:hAnsi="Symbol"/>
      </w:rPr>
    </w:lvl>
    <w:lvl w:ilvl="1" w:tplc="D6EC9920">
      <w:start w:val="1"/>
      <w:numFmt w:val="bullet"/>
      <w:lvlText w:val="o"/>
      <w:lvlJc w:val="left"/>
      <w:pPr>
        <w:ind w:left="1440" w:hanging="360"/>
      </w:pPr>
      <w:rPr>
        <w:rFonts w:hint="default" w:ascii="Courier New" w:hAnsi="Courier New"/>
      </w:rPr>
    </w:lvl>
    <w:lvl w:ilvl="2" w:tplc="025E4828">
      <w:start w:val="1"/>
      <w:numFmt w:val="bullet"/>
      <w:lvlText w:val=""/>
      <w:lvlJc w:val="left"/>
      <w:pPr>
        <w:ind w:left="2160" w:hanging="360"/>
      </w:pPr>
      <w:rPr>
        <w:rFonts w:hint="default" w:ascii="Wingdings" w:hAnsi="Wingdings"/>
      </w:rPr>
    </w:lvl>
    <w:lvl w:ilvl="3" w:tplc="9F20FDEA">
      <w:start w:val="1"/>
      <w:numFmt w:val="bullet"/>
      <w:lvlText w:val=""/>
      <w:lvlJc w:val="left"/>
      <w:pPr>
        <w:ind w:left="2880" w:hanging="360"/>
      </w:pPr>
      <w:rPr>
        <w:rFonts w:hint="default" w:ascii="Symbol" w:hAnsi="Symbol"/>
      </w:rPr>
    </w:lvl>
    <w:lvl w:ilvl="4" w:tplc="B09C0358">
      <w:start w:val="1"/>
      <w:numFmt w:val="bullet"/>
      <w:lvlText w:val="o"/>
      <w:lvlJc w:val="left"/>
      <w:pPr>
        <w:ind w:left="3600" w:hanging="360"/>
      </w:pPr>
      <w:rPr>
        <w:rFonts w:hint="default" w:ascii="Courier New" w:hAnsi="Courier New"/>
      </w:rPr>
    </w:lvl>
    <w:lvl w:ilvl="5" w:tplc="916AF83A">
      <w:start w:val="1"/>
      <w:numFmt w:val="bullet"/>
      <w:lvlText w:val=""/>
      <w:lvlJc w:val="left"/>
      <w:pPr>
        <w:ind w:left="4320" w:hanging="360"/>
      </w:pPr>
      <w:rPr>
        <w:rFonts w:hint="default" w:ascii="Wingdings" w:hAnsi="Wingdings"/>
      </w:rPr>
    </w:lvl>
    <w:lvl w:ilvl="6" w:tplc="541E9E1E">
      <w:start w:val="1"/>
      <w:numFmt w:val="bullet"/>
      <w:lvlText w:val=""/>
      <w:lvlJc w:val="left"/>
      <w:pPr>
        <w:ind w:left="5040" w:hanging="360"/>
      </w:pPr>
      <w:rPr>
        <w:rFonts w:hint="default" w:ascii="Symbol" w:hAnsi="Symbol"/>
      </w:rPr>
    </w:lvl>
    <w:lvl w:ilvl="7" w:tplc="6EB818DE">
      <w:start w:val="1"/>
      <w:numFmt w:val="bullet"/>
      <w:lvlText w:val="o"/>
      <w:lvlJc w:val="left"/>
      <w:pPr>
        <w:ind w:left="5760" w:hanging="360"/>
      </w:pPr>
      <w:rPr>
        <w:rFonts w:hint="default" w:ascii="Courier New" w:hAnsi="Courier New"/>
      </w:rPr>
    </w:lvl>
    <w:lvl w:ilvl="8" w:tplc="55364BFC">
      <w:start w:val="1"/>
      <w:numFmt w:val="bullet"/>
      <w:lvlText w:val=""/>
      <w:lvlJc w:val="left"/>
      <w:pPr>
        <w:ind w:left="6480" w:hanging="360"/>
      </w:pPr>
      <w:rPr>
        <w:rFonts w:hint="default" w:ascii="Wingdings" w:hAnsi="Wingdings"/>
      </w:rPr>
    </w:lvl>
  </w:abstractNum>
  <w:abstractNum w:abstractNumId="24"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5"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hint="default" w:cs="Times New Roman"/>
      </w:rPr>
    </w:lvl>
    <w:lvl w:ilvl="1">
      <w:start w:val="1"/>
      <w:numFmt w:val="lowerLetter"/>
      <w:pStyle w:val="SCVnumberloweralphaindent"/>
      <w:lvlText w:val="%2."/>
      <w:lvlJc w:val="left"/>
      <w:pPr>
        <w:tabs>
          <w:tab w:val="num" w:pos="794"/>
        </w:tabs>
        <w:ind w:left="794" w:hanging="397"/>
      </w:pPr>
      <w:rPr>
        <w:rFonts w:hint="default" w:cs="Times New Roman"/>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cs="Times New Roman"/>
      </w:rPr>
    </w:lvl>
    <w:lvl w:ilvl="5">
      <w:start w:val="1"/>
      <w:numFmt w:val="none"/>
      <w:lvlRestart w:val="0"/>
      <w:lvlText w:val=""/>
      <w:lvlJc w:val="left"/>
      <w:pPr>
        <w:tabs>
          <w:tab w:val="num" w:pos="0"/>
        </w:tabs>
        <w:ind w:left="0" w:firstLine="0"/>
      </w:pPr>
      <w:rPr>
        <w:rFonts w:hint="default" w:cs="Times New Roman"/>
      </w:rPr>
    </w:lvl>
    <w:lvl w:ilvl="6">
      <w:start w:val="1"/>
      <w:numFmt w:val="none"/>
      <w:lvlRestart w:val="0"/>
      <w:lvlText w:val=""/>
      <w:lvlJc w:val="left"/>
      <w:pPr>
        <w:ind w:left="0" w:firstLine="0"/>
      </w:pPr>
      <w:rPr>
        <w:rFonts w:hint="default" w:cs="Times New Roman"/>
      </w:rPr>
    </w:lvl>
    <w:lvl w:ilvl="7">
      <w:start w:val="1"/>
      <w:numFmt w:val="none"/>
      <w:lvlRestart w:val="0"/>
      <w:lvlText w:val=""/>
      <w:lvlJc w:val="left"/>
      <w:pPr>
        <w:ind w:left="0" w:firstLine="0"/>
      </w:pPr>
      <w:rPr>
        <w:rFonts w:hint="default" w:cs="Times New Roman"/>
      </w:rPr>
    </w:lvl>
    <w:lvl w:ilvl="8">
      <w:start w:val="1"/>
      <w:numFmt w:val="none"/>
      <w:lvlRestart w:val="0"/>
      <w:lvlText w:val=""/>
      <w:lvlJc w:val="right"/>
      <w:pPr>
        <w:ind w:left="0" w:firstLine="0"/>
      </w:pPr>
      <w:rPr>
        <w:rFonts w:hint="default" w:cs="Times New Roman"/>
      </w:rPr>
    </w:lvl>
  </w:abstractNum>
  <w:abstractNum w:abstractNumId="26"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5118F26"/>
    <w:multiLevelType w:val="hybridMultilevel"/>
    <w:tmpl w:val="426236FE"/>
    <w:lvl w:ilvl="0" w:tplc="1E7E0838">
      <w:start w:val="1"/>
      <w:numFmt w:val="bullet"/>
      <w:lvlText w:val=""/>
      <w:lvlJc w:val="left"/>
      <w:pPr>
        <w:ind w:left="720" w:hanging="360"/>
      </w:pPr>
      <w:rPr>
        <w:rFonts w:hint="default" w:ascii="Symbol" w:hAnsi="Symbol"/>
      </w:rPr>
    </w:lvl>
    <w:lvl w:ilvl="1" w:tplc="91DC3508">
      <w:start w:val="1"/>
      <w:numFmt w:val="bullet"/>
      <w:lvlText w:val="o"/>
      <w:lvlJc w:val="left"/>
      <w:pPr>
        <w:ind w:left="1440" w:hanging="360"/>
      </w:pPr>
      <w:rPr>
        <w:rFonts w:hint="default" w:ascii="Courier New" w:hAnsi="Courier New"/>
      </w:rPr>
    </w:lvl>
    <w:lvl w:ilvl="2" w:tplc="CC78C256">
      <w:start w:val="1"/>
      <w:numFmt w:val="bullet"/>
      <w:lvlText w:val=""/>
      <w:lvlJc w:val="left"/>
      <w:pPr>
        <w:ind w:left="2160" w:hanging="360"/>
      </w:pPr>
      <w:rPr>
        <w:rFonts w:hint="default" w:ascii="Wingdings" w:hAnsi="Wingdings"/>
      </w:rPr>
    </w:lvl>
    <w:lvl w:ilvl="3" w:tplc="0FE639A8">
      <w:start w:val="1"/>
      <w:numFmt w:val="bullet"/>
      <w:lvlText w:val=""/>
      <w:lvlJc w:val="left"/>
      <w:pPr>
        <w:ind w:left="2880" w:hanging="360"/>
      </w:pPr>
      <w:rPr>
        <w:rFonts w:hint="default" w:ascii="Symbol" w:hAnsi="Symbol"/>
      </w:rPr>
    </w:lvl>
    <w:lvl w:ilvl="4" w:tplc="2BDCE890">
      <w:start w:val="1"/>
      <w:numFmt w:val="bullet"/>
      <w:lvlText w:val="o"/>
      <w:lvlJc w:val="left"/>
      <w:pPr>
        <w:ind w:left="3600" w:hanging="360"/>
      </w:pPr>
      <w:rPr>
        <w:rFonts w:hint="default" w:ascii="Courier New" w:hAnsi="Courier New"/>
      </w:rPr>
    </w:lvl>
    <w:lvl w:ilvl="5" w:tplc="7A5EFF5A">
      <w:start w:val="1"/>
      <w:numFmt w:val="bullet"/>
      <w:lvlText w:val=""/>
      <w:lvlJc w:val="left"/>
      <w:pPr>
        <w:ind w:left="4320" w:hanging="360"/>
      </w:pPr>
      <w:rPr>
        <w:rFonts w:hint="default" w:ascii="Wingdings" w:hAnsi="Wingdings"/>
      </w:rPr>
    </w:lvl>
    <w:lvl w:ilvl="6" w:tplc="CF64C3EA">
      <w:start w:val="1"/>
      <w:numFmt w:val="bullet"/>
      <w:lvlText w:val=""/>
      <w:lvlJc w:val="left"/>
      <w:pPr>
        <w:ind w:left="5040" w:hanging="360"/>
      </w:pPr>
      <w:rPr>
        <w:rFonts w:hint="default" w:ascii="Symbol" w:hAnsi="Symbol"/>
      </w:rPr>
    </w:lvl>
    <w:lvl w:ilvl="7" w:tplc="8EF86092">
      <w:start w:val="1"/>
      <w:numFmt w:val="bullet"/>
      <w:lvlText w:val="o"/>
      <w:lvlJc w:val="left"/>
      <w:pPr>
        <w:ind w:left="5760" w:hanging="360"/>
      </w:pPr>
      <w:rPr>
        <w:rFonts w:hint="default" w:ascii="Courier New" w:hAnsi="Courier New"/>
      </w:rPr>
    </w:lvl>
    <w:lvl w:ilvl="8" w:tplc="2670FE64">
      <w:start w:val="1"/>
      <w:numFmt w:val="bullet"/>
      <w:lvlText w:val=""/>
      <w:lvlJc w:val="left"/>
      <w:pPr>
        <w:ind w:left="6480" w:hanging="360"/>
      </w:pPr>
      <w:rPr>
        <w:rFonts w:hint="default" w:ascii="Wingdings" w:hAnsi="Wingdings"/>
      </w:rPr>
    </w:lvl>
  </w:abstractNum>
  <w:abstractNum w:abstractNumId="28" w15:restartNumberingAfterBreak="0">
    <w:nsid w:val="452F5055"/>
    <w:multiLevelType w:val="hybridMultilevel"/>
    <w:tmpl w:val="2BFCE0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4914DC92"/>
    <w:multiLevelType w:val="hybridMultilevel"/>
    <w:tmpl w:val="D434615C"/>
    <w:lvl w:ilvl="0" w:tplc="81121C30">
      <w:start w:val="1"/>
      <w:numFmt w:val="bullet"/>
      <w:lvlText w:val=""/>
      <w:lvlJc w:val="left"/>
      <w:pPr>
        <w:ind w:left="720" w:hanging="360"/>
      </w:pPr>
      <w:rPr>
        <w:rFonts w:hint="default" w:ascii="Symbol" w:hAnsi="Symbol"/>
      </w:rPr>
    </w:lvl>
    <w:lvl w:ilvl="1" w:tplc="D930C07A">
      <w:start w:val="1"/>
      <w:numFmt w:val="bullet"/>
      <w:lvlText w:val="o"/>
      <w:lvlJc w:val="left"/>
      <w:pPr>
        <w:ind w:left="1440" w:hanging="360"/>
      </w:pPr>
      <w:rPr>
        <w:rFonts w:hint="default" w:ascii="Courier New" w:hAnsi="Courier New"/>
      </w:rPr>
    </w:lvl>
    <w:lvl w:ilvl="2" w:tplc="9FF86152">
      <w:start w:val="1"/>
      <w:numFmt w:val="bullet"/>
      <w:lvlText w:val=""/>
      <w:lvlJc w:val="left"/>
      <w:pPr>
        <w:ind w:left="2160" w:hanging="360"/>
      </w:pPr>
      <w:rPr>
        <w:rFonts w:hint="default" w:ascii="Wingdings" w:hAnsi="Wingdings"/>
      </w:rPr>
    </w:lvl>
    <w:lvl w:ilvl="3" w:tplc="04D4BC32">
      <w:start w:val="1"/>
      <w:numFmt w:val="bullet"/>
      <w:lvlText w:val=""/>
      <w:lvlJc w:val="left"/>
      <w:pPr>
        <w:ind w:left="2880" w:hanging="360"/>
      </w:pPr>
      <w:rPr>
        <w:rFonts w:hint="default" w:ascii="Symbol" w:hAnsi="Symbol"/>
      </w:rPr>
    </w:lvl>
    <w:lvl w:ilvl="4" w:tplc="59905D7E">
      <w:start w:val="1"/>
      <w:numFmt w:val="bullet"/>
      <w:lvlText w:val="o"/>
      <w:lvlJc w:val="left"/>
      <w:pPr>
        <w:ind w:left="3600" w:hanging="360"/>
      </w:pPr>
      <w:rPr>
        <w:rFonts w:hint="default" w:ascii="Courier New" w:hAnsi="Courier New"/>
      </w:rPr>
    </w:lvl>
    <w:lvl w:ilvl="5" w:tplc="3B6059EC">
      <w:start w:val="1"/>
      <w:numFmt w:val="bullet"/>
      <w:lvlText w:val=""/>
      <w:lvlJc w:val="left"/>
      <w:pPr>
        <w:ind w:left="4320" w:hanging="360"/>
      </w:pPr>
      <w:rPr>
        <w:rFonts w:hint="default" w:ascii="Wingdings" w:hAnsi="Wingdings"/>
      </w:rPr>
    </w:lvl>
    <w:lvl w:ilvl="6" w:tplc="1FAA12AA">
      <w:start w:val="1"/>
      <w:numFmt w:val="bullet"/>
      <w:lvlText w:val=""/>
      <w:lvlJc w:val="left"/>
      <w:pPr>
        <w:ind w:left="5040" w:hanging="360"/>
      </w:pPr>
      <w:rPr>
        <w:rFonts w:hint="default" w:ascii="Symbol" w:hAnsi="Symbol"/>
      </w:rPr>
    </w:lvl>
    <w:lvl w:ilvl="7" w:tplc="5F3C033E">
      <w:start w:val="1"/>
      <w:numFmt w:val="bullet"/>
      <w:lvlText w:val="o"/>
      <w:lvlJc w:val="left"/>
      <w:pPr>
        <w:ind w:left="5760" w:hanging="360"/>
      </w:pPr>
      <w:rPr>
        <w:rFonts w:hint="default" w:ascii="Courier New" w:hAnsi="Courier New"/>
      </w:rPr>
    </w:lvl>
    <w:lvl w:ilvl="8" w:tplc="9FF8962E">
      <w:start w:val="1"/>
      <w:numFmt w:val="bullet"/>
      <w:lvlText w:val=""/>
      <w:lvlJc w:val="left"/>
      <w:pPr>
        <w:ind w:left="6480" w:hanging="360"/>
      </w:pPr>
      <w:rPr>
        <w:rFonts w:hint="default" w:ascii="Wingdings" w:hAnsi="Wingdings"/>
      </w:rPr>
    </w:lvl>
  </w:abstractNum>
  <w:abstractNum w:abstractNumId="30" w15:restartNumberingAfterBreak="0">
    <w:nsid w:val="495F8E87"/>
    <w:multiLevelType w:val="hybridMultilevel"/>
    <w:tmpl w:val="BEA2EFB4"/>
    <w:lvl w:ilvl="0" w:tplc="86365F0E">
      <w:start w:val="1"/>
      <w:numFmt w:val="bullet"/>
      <w:lvlText w:val=""/>
      <w:lvlJc w:val="left"/>
      <w:pPr>
        <w:ind w:left="720" w:hanging="360"/>
      </w:pPr>
      <w:rPr>
        <w:rFonts w:hint="default" w:ascii="Symbol" w:hAnsi="Symbol"/>
      </w:rPr>
    </w:lvl>
    <w:lvl w:ilvl="1" w:tplc="2FFE7D98">
      <w:start w:val="1"/>
      <w:numFmt w:val="bullet"/>
      <w:lvlText w:val="o"/>
      <w:lvlJc w:val="left"/>
      <w:pPr>
        <w:ind w:left="1440" w:hanging="360"/>
      </w:pPr>
      <w:rPr>
        <w:rFonts w:hint="default" w:ascii="Courier New" w:hAnsi="Courier New"/>
      </w:rPr>
    </w:lvl>
    <w:lvl w:ilvl="2" w:tplc="D182FD3E">
      <w:start w:val="1"/>
      <w:numFmt w:val="bullet"/>
      <w:lvlText w:val=""/>
      <w:lvlJc w:val="left"/>
      <w:pPr>
        <w:ind w:left="2160" w:hanging="360"/>
      </w:pPr>
      <w:rPr>
        <w:rFonts w:hint="default" w:ascii="Wingdings" w:hAnsi="Wingdings"/>
      </w:rPr>
    </w:lvl>
    <w:lvl w:ilvl="3" w:tplc="C57223E0">
      <w:start w:val="1"/>
      <w:numFmt w:val="bullet"/>
      <w:lvlText w:val=""/>
      <w:lvlJc w:val="left"/>
      <w:pPr>
        <w:ind w:left="2880" w:hanging="360"/>
      </w:pPr>
      <w:rPr>
        <w:rFonts w:hint="default" w:ascii="Symbol" w:hAnsi="Symbol"/>
      </w:rPr>
    </w:lvl>
    <w:lvl w:ilvl="4" w:tplc="A59CFA2C">
      <w:start w:val="1"/>
      <w:numFmt w:val="bullet"/>
      <w:lvlText w:val="o"/>
      <w:lvlJc w:val="left"/>
      <w:pPr>
        <w:ind w:left="3600" w:hanging="360"/>
      </w:pPr>
      <w:rPr>
        <w:rFonts w:hint="default" w:ascii="Courier New" w:hAnsi="Courier New"/>
      </w:rPr>
    </w:lvl>
    <w:lvl w:ilvl="5" w:tplc="F89891C6">
      <w:start w:val="1"/>
      <w:numFmt w:val="bullet"/>
      <w:lvlText w:val=""/>
      <w:lvlJc w:val="left"/>
      <w:pPr>
        <w:ind w:left="4320" w:hanging="360"/>
      </w:pPr>
      <w:rPr>
        <w:rFonts w:hint="default" w:ascii="Wingdings" w:hAnsi="Wingdings"/>
      </w:rPr>
    </w:lvl>
    <w:lvl w:ilvl="6" w:tplc="F9723C52">
      <w:start w:val="1"/>
      <w:numFmt w:val="bullet"/>
      <w:lvlText w:val=""/>
      <w:lvlJc w:val="left"/>
      <w:pPr>
        <w:ind w:left="5040" w:hanging="360"/>
      </w:pPr>
      <w:rPr>
        <w:rFonts w:hint="default" w:ascii="Symbol" w:hAnsi="Symbol"/>
      </w:rPr>
    </w:lvl>
    <w:lvl w:ilvl="7" w:tplc="9C18F484">
      <w:start w:val="1"/>
      <w:numFmt w:val="bullet"/>
      <w:lvlText w:val="o"/>
      <w:lvlJc w:val="left"/>
      <w:pPr>
        <w:ind w:left="5760" w:hanging="360"/>
      </w:pPr>
      <w:rPr>
        <w:rFonts w:hint="default" w:ascii="Courier New" w:hAnsi="Courier New"/>
      </w:rPr>
    </w:lvl>
    <w:lvl w:ilvl="8" w:tplc="0658C624">
      <w:start w:val="1"/>
      <w:numFmt w:val="bullet"/>
      <w:lvlText w:val=""/>
      <w:lvlJc w:val="left"/>
      <w:pPr>
        <w:ind w:left="6480" w:hanging="360"/>
      </w:pPr>
      <w:rPr>
        <w:rFonts w:hint="default" w:ascii="Wingdings" w:hAnsi="Wingdings"/>
      </w:rPr>
    </w:lvl>
  </w:abstractNum>
  <w:abstractNum w:abstractNumId="31"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4A9C61A8"/>
    <w:multiLevelType w:val="hybridMultilevel"/>
    <w:tmpl w:val="CF5CB326"/>
    <w:lvl w:ilvl="0" w:tplc="30663A02">
      <w:start w:val="1"/>
      <w:numFmt w:val="bullet"/>
      <w:lvlText w:val=""/>
      <w:lvlJc w:val="left"/>
      <w:pPr>
        <w:ind w:left="720" w:hanging="360"/>
      </w:pPr>
      <w:rPr>
        <w:rFonts w:hint="default" w:ascii="Symbol" w:hAnsi="Symbol"/>
      </w:rPr>
    </w:lvl>
    <w:lvl w:ilvl="1" w:tplc="B4080872">
      <w:start w:val="1"/>
      <w:numFmt w:val="bullet"/>
      <w:lvlText w:val="o"/>
      <w:lvlJc w:val="left"/>
      <w:pPr>
        <w:ind w:left="1440" w:hanging="360"/>
      </w:pPr>
      <w:rPr>
        <w:rFonts w:hint="default" w:ascii="Courier New" w:hAnsi="Courier New"/>
      </w:rPr>
    </w:lvl>
    <w:lvl w:ilvl="2" w:tplc="523C44D0">
      <w:start w:val="1"/>
      <w:numFmt w:val="bullet"/>
      <w:lvlText w:val=""/>
      <w:lvlJc w:val="left"/>
      <w:pPr>
        <w:ind w:left="2160" w:hanging="360"/>
      </w:pPr>
      <w:rPr>
        <w:rFonts w:hint="default" w:ascii="Wingdings" w:hAnsi="Wingdings"/>
      </w:rPr>
    </w:lvl>
    <w:lvl w:ilvl="3" w:tplc="5B02F6F6">
      <w:start w:val="1"/>
      <w:numFmt w:val="bullet"/>
      <w:lvlText w:val=""/>
      <w:lvlJc w:val="left"/>
      <w:pPr>
        <w:ind w:left="2880" w:hanging="360"/>
      </w:pPr>
      <w:rPr>
        <w:rFonts w:hint="default" w:ascii="Symbol" w:hAnsi="Symbol"/>
      </w:rPr>
    </w:lvl>
    <w:lvl w:ilvl="4" w:tplc="F04C4666">
      <w:start w:val="1"/>
      <w:numFmt w:val="bullet"/>
      <w:lvlText w:val="o"/>
      <w:lvlJc w:val="left"/>
      <w:pPr>
        <w:ind w:left="3600" w:hanging="360"/>
      </w:pPr>
      <w:rPr>
        <w:rFonts w:hint="default" w:ascii="Courier New" w:hAnsi="Courier New"/>
      </w:rPr>
    </w:lvl>
    <w:lvl w:ilvl="5" w:tplc="39E43C6A">
      <w:start w:val="1"/>
      <w:numFmt w:val="bullet"/>
      <w:lvlText w:val=""/>
      <w:lvlJc w:val="left"/>
      <w:pPr>
        <w:ind w:left="4320" w:hanging="360"/>
      </w:pPr>
      <w:rPr>
        <w:rFonts w:hint="default" w:ascii="Wingdings" w:hAnsi="Wingdings"/>
      </w:rPr>
    </w:lvl>
    <w:lvl w:ilvl="6" w:tplc="32F2B518">
      <w:start w:val="1"/>
      <w:numFmt w:val="bullet"/>
      <w:lvlText w:val=""/>
      <w:lvlJc w:val="left"/>
      <w:pPr>
        <w:ind w:left="5040" w:hanging="360"/>
      </w:pPr>
      <w:rPr>
        <w:rFonts w:hint="default" w:ascii="Symbol" w:hAnsi="Symbol"/>
      </w:rPr>
    </w:lvl>
    <w:lvl w:ilvl="7" w:tplc="FD0678C6">
      <w:start w:val="1"/>
      <w:numFmt w:val="bullet"/>
      <w:lvlText w:val="o"/>
      <w:lvlJc w:val="left"/>
      <w:pPr>
        <w:ind w:left="5760" w:hanging="360"/>
      </w:pPr>
      <w:rPr>
        <w:rFonts w:hint="default" w:ascii="Courier New" w:hAnsi="Courier New"/>
      </w:rPr>
    </w:lvl>
    <w:lvl w:ilvl="8" w:tplc="A4643194">
      <w:start w:val="1"/>
      <w:numFmt w:val="bullet"/>
      <w:lvlText w:val=""/>
      <w:lvlJc w:val="left"/>
      <w:pPr>
        <w:ind w:left="6480" w:hanging="360"/>
      </w:pPr>
      <w:rPr>
        <w:rFonts w:hint="default" w:ascii="Wingdings" w:hAnsi="Wingdings"/>
      </w:rPr>
    </w:lvl>
  </w:abstractNum>
  <w:abstractNum w:abstractNumId="33" w15:restartNumberingAfterBreak="0">
    <w:nsid w:val="4DE32DA4"/>
    <w:multiLevelType w:val="hybridMultilevel"/>
    <w:tmpl w:val="84CE35E6"/>
    <w:lvl w:ilvl="0" w:tplc="2AC8B65A">
      <w:start w:val="1"/>
      <w:numFmt w:val="bullet"/>
      <w:lvlText w:val=""/>
      <w:lvlJc w:val="left"/>
      <w:pPr>
        <w:ind w:left="720" w:hanging="360"/>
      </w:pPr>
      <w:rPr>
        <w:rFonts w:hint="default" w:ascii="Symbol" w:hAnsi="Symbol"/>
      </w:rPr>
    </w:lvl>
    <w:lvl w:ilvl="1" w:tplc="29F640A4">
      <w:start w:val="1"/>
      <w:numFmt w:val="bullet"/>
      <w:lvlText w:val="o"/>
      <w:lvlJc w:val="left"/>
      <w:pPr>
        <w:ind w:left="1440" w:hanging="360"/>
      </w:pPr>
      <w:rPr>
        <w:rFonts w:hint="default" w:ascii="Courier New" w:hAnsi="Courier New"/>
      </w:rPr>
    </w:lvl>
    <w:lvl w:ilvl="2" w:tplc="22FA310A">
      <w:start w:val="1"/>
      <w:numFmt w:val="bullet"/>
      <w:lvlText w:val=""/>
      <w:lvlJc w:val="left"/>
      <w:pPr>
        <w:ind w:left="2160" w:hanging="360"/>
      </w:pPr>
      <w:rPr>
        <w:rFonts w:hint="default" w:ascii="Wingdings" w:hAnsi="Wingdings"/>
      </w:rPr>
    </w:lvl>
    <w:lvl w:ilvl="3" w:tplc="BD9CAED2">
      <w:start w:val="1"/>
      <w:numFmt w:val="bullet"/>
      <w:lvlText w:val=""/>
      <w:lvlJc w:val="left"/>
      <w:pPr>
        <w:ind w:left="2880" w:hanging="360"/>
      </w:pPr>
      <w:rPr>
        <w:rFonts w:hint="default" w:ascii="Symbol" w:hAnsi="Symbol"/>
      </w:rPr>
    </w:lvl>
    <w:lvl w:ilvl="4" w:tplc="6220FA9C">
      <w:start w:val="1"/>
      <w:numFmt w:val="bullet"/>
      <w:lvlText w:val="o"/>
      <w:lvlJc w:val="left"/>
      <w:pPr>
        <w:ind w:left="3600" w:hanging="360"/>
      </w:pPr>
      <w:rPr>
        <w:rFonts w:hint="default" w:ascii="Courier New" w:hAnsi="Courier New"/>
      </w:rPr>
    </w:lvl>
    <w:lvl w:ilvl="5" w:tplc="EA041DAE">
      <w:start w:val="1"/>
      <w:numFmt w:val="bullet"/>
      <w:lvlText w:val=""/>
      <w:lvlJc w:val="left"/>
      <w:pPr>
        <w:ind w:left="4320" w:hanging="360"/>
      </w:pPr>
      <w:rPr>
        <w:rFonts w:hint="default" w:ascii="Wingdings" w:hAnsi="Wingdings"/>
      </w:rPr>
    </w:lvl>
    <w:lvl w:ilvl="6" w:tplc="163C7D9A">
      <w:start w:val="1"/>
      <w:numFmt w:val="bullet"/>
      <w:lvlText w:val=""/>
      <w:lvlJc w:val="left"/>
      <w:pPr>
        <w:ind w:left="5040" w:hanging="360"/>
      </w:pPr>
      <w:rPr>
        <w:rFonts w:hint="default" w:ascii="Symbol" w:hAnsi="Symbol"/>
      </w:rPr>
    </w:lvl>
    <w:lvl w:ilvl="7" w:tplc="E1925DF8">
      <w:start w:val="1"/>
      <w:numFmt w:val="bullet"/>
      <w:lvlText w:val="o"/>
      <w:lvlJc w:val="left"/>
      <w:pPr>
        <w:ind w:left="5760" w:hanging="360"/>
      </w:pPr>
      <w:rPr>
        <w:rFonts w:hint="default" w:ascii="Courier New" w:hAnsi="Courier New"/>
      </w:rPr>
    </w:lvl>
    <w:lvl w:ilvl="8" w:tplc="4C803518">
      <w:start w:val="1"/>
      <w:numFmt w:val="bullet"/>
      <w:lvlText w:val=""/>
      <w:lvlJc w:val="left"/>
      <w:pPr>
        <w:ind w:left="6480" w:hanging="360"/>
      </w:pPr>
      <w:rPr>
        <w:rFonts w:hint="default" w:ascii="Wingdings" w:hAnsi="Wingdings"/>
      </w:rPr>
    </w:lvl>
  </w:abstractNum>
  <w:abstractNum w:abstractNumId="34" w15:restartNumberingAfterBreak="0">
    <w:nsid w:val="4F3A3026"/>
    <w:multiLevelType w:val="hybridMultilevel"/>
    <w:tmpl w:val="32E28CFA"/>
    <w:lvl w:ilvl="0" w:tplc="3682850A">
      <w:numFmt w:val="bullet"/>
      <w:lvlText w:val="-"/>
      <w:lvlJc w:val="left"/>
      <w:pPr>
        <w:ind w:left="720" w:hanging="36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51D7651C"/>
    <w:multiLevelType w:val="hybridMultilevel"/>
    <w:tmpl w:val="FFE6D20C"/>
    <w:lvl w:ilvl="0" w:tplc="66822226">
      <w:start w:val="1"/>
      <w:numFmt w:val="bullet"/>
      <w:pStyle w:val="BBulletnoinden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6" w15:restartNumberingAfterBreak="0">
    <w:nsid w:val="52752099"/>
    <w:multiLevelType w:val="hybridMultilevel"/>
    <w:tmpl w:val="91A4C03C"/>
    <w:lvl w:ilvl="0" w:tplc="0C090001">
      <w:start w:val="1"/>
      <w:numFmt w:val="bullet"/>
      <w:lvlText w:val=""/>
      <w:lvlJc w:val="left"/>
      <w:pPr>
        <w:ind w:left="780" w:hanging="360"/>
      </w:pPr>
      <w:rPr>
        <w:rFonts w:hint="default" w:ascii="Symbol" w:hAnsi="Symbol"/>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37" w15:restartNumberingAfterBreak="0">
    <w:nsid w:val="528943D3"/>
    <w:multiLevelType w:val="multilevel"/>
    <w:tmpl w:val="FFFFFFFF"/>
    <w:lvl w:ilvl="0">
      <w:start w:val="1"/>
      <w:numFmt w:val="bullet"/>
      <w:lvlText w:val=""/>
      <w:lvlJc w:val="left"/>
      <w:pPr>
        <w:ind w:left="284" w:hanging="284"/>
      </w:pPr>
      <w:rPr>
        <w:rFonts w:hint="default" w:ascii="Wingdings 2" w:hAnsi="Wingdings 2"/>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8" w15:restartNumberingAfterBreak="0">
    <w:nsid w:val="52BD6347"/>
    <w:multiLevelType w:val="hybridMultilevel"/>
    <w:tmpl w:val="A07C2AAC"/>
    <w:lvl w:ilvl="0" w:tplc="61765C4C">
      <w:start w:val="1"/>
      <w:numFmt w:val="bullet"/>
      <w:lvlText w:val=""/>
      <w:lvlJc w:val="left"/>
      <w:pPr>
        <w:ind w:left="720" w:hanging="360"/>
      </w:pPr>
      <w:rPr>
        <w:rFonts w:hint="default" w:ascii="Symbol" w:hAnsi="Symbol"/>
      </w:rPr>
    </w:lvl>
    <w:lvl w:ilvl="1" w:tplc="58C29DAC">
      <w:start w:val="1"/>
      <w:numFmt w:val="bullet"/>
      <w:lvlText w:val="o"/>
      <w:lvlJc w:val="left"/>
      <w:pPr>
        <w:ind w:left="1440" w:hanging="360"/>
      </w:pPr>
      <w:rPr>
        <w:rFonts w:hint="default" w:ascii="Courier New" w:hAnsi="Courier New"/>
      </w:rPr>
    </w:lvl>
    <w:lvl w:ilvl="2" w:tplc="7D84D6A6">
      <w:start w:val="1"/>
      <w:numFmt w:val="bullet"/>
      <w:lvlText w:val=""/>
      <w:lvlJc w:val="left"/>
      <w:pPr>
        <w:ind w:left="2160" w:hanging="360"/>
      </w:pPr>
      <w:rPr>
        <w:rFonts w:hint="default" w:ascii="Wingdings" w:hAnsi="Wingdings"/>
      </w:rPr>
    </w:lvl>
    <w:lvl w:ilvl="3" w:tplc="456E1F5E">
      <w:start w:val="1"/>
      <w:numFmt w:val="bullet"/>
      <w:lvlText w:val=""/>
      <w:lvlJc w:val="left"/>
      <w:pPr>
        <w:ind w:left="2880" w:hanging="360"/>
      </w:pPr>
      <w:rPr>
        <w:rFonts w:hint="default" w:ascii="Symbol" w:hAnsi="Symbol"/>
      </w:rPr>
    </w:lvl>
    <w:lvl w:ilvl="4" w:tplc="B0C87CA4">
      <w:start w:val="1"/>
      <w:numFmt w:val="bullet"/>
      <w:lvlText w:val="o"/>
      <w:lvlJc w:val="left"/>
      <w:pPr>
        <w:ind w:left="3600" w:hanging="360"/>
      </w:pPr>
      <w:rPr>
        <w:rFonts w:hint="default" w:ascii="Courier New" w:hAnsi="Courier New"/>
      </w:rPr>
    </w:lvl>
    <w:lvl w:ilvl="5" w:tplc="2E340A48">
      <w:start w:val="1"/>
      <w:numFmt w:val="bullet"/>
      <w:lvlText w:val=""/>
      <w:lvlJc w:val="left"/>
      <w:pPr>
        <w:ind w:left="4320" w:hanging="360"/>
      </w:pPr>
      <w:rPr>
        <w:rFonts w:hint="default" w:ascii="Wingdings" w:hAnsi="Wingdings"/>
      </w:rPr>
    </w:lvl>
    <w:lvl w:ilvl="6" w:tplc="E452DD40">
      <w:start w:val="1"/>
      <w:numFmt w:val="bullet"/>
      <w:lvlText w:val=""/>
      <w:lvlJc w:val="left"/>
      <w:pPr>
        <w:ind w:left="5040" w:hanging="360"/>
      </w:pPr>
      <w:rPr>
        <w:rFonts w:hint="default" w:ascii="Symbol" w:hAnsi="Symbol"/>
      </w:rPr>
    </w:lvl>
    <w:lvl w:ilvl="7" w:tplc="93824634">
      <w:start w:val="1"/>
      <w:numFmt w:val="bullet"/>
      <w:lvlText w:val="o"/>
      <w:lvlJc w:val="left"/>
      <w:pPr>
        <w:ind w:left="5760" w:hanging="360"/>
      </w:pPr>
      <w:rPr>
        <w:rFonts w:hint="default" w:ascii="Courier New" w:hAnsi="Courier New"/>
      </w:rPr>
    </w:lvl>
    <w:lvl w:ilvl="8" w:tplc="B2F86D16">
      <w:start w:val="1"/>
      <w:numFmt w:val="bullet"/>
      <w:lvlText w:val=""/>
      <w:lvlJc w:val="left"/>
      <w:pPr>
        <w:ind w:left="6480" w:hanging="360"/>
      </w:pPr>
      <w:rPr>
        <w:rFonts w:hint="default" w:ascii="Wingdings" w:hAnsi="Wingdings"/>
      </w:rPr>
    </w:lvl>
  </w:abstractNum>
  <w:abstractNum w:abstractNumId="39" w15:restartNumberingAfterBreak="0">
    <w:nsid w:val="52EF5F8E"/>
    <w:multiLevelType w:val="hybridMultilevel"/>
    <w:tmpl w:val="169018E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52F13388"/>
    <w:multiLevelType w:val="hybridMultilevel"/>
    <w:tmpl w:val="270A0CA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hint="default" w:ascii="Calibri" w:hAnsi="Calibri"/>
      </w:rPr>
    </w:lvl>
    <w:lvl w:ilvl="1">
      <w:start w:val="1"/>
      <w:numFmt w:val="bullet"/>
      <w:lvlRestart w:val="0"/>
      <w:pStyle w:val="SCVtablebullet2"/>
      <w:lvlText w:val="–"/>
      <w:lvlJc w:val="left"/>
      <w:pPr>
        <w:tabs>
          <w:tab w:val="num" w:pos="227"/>
        </w:tabs>
        <w:ind w:left="454" w:hanging="227"/>
      </w:pPr>
      <w:rPr>
        <w:rFonts w:hint="default" w:ascii="Calibri" w:hAnsi="Calibri"/>
      </w:rPr>
    </w:lvl>
    <w:lvl w:ilvl="2">
      <w:start w:val="1"/>
      <w:numFmt w:val="none"/>
      <w:lvlRestart w:val="0"/>
      <w:lvlText w:val=""/>
      <w:lvlJc w:val="left"/>
      <w:rPr>
        <w:rFonts w:hint="default" w:cs="Times New Roman"/>
      </w:rPr>
    </w:lvl>
    <w:lvl w:ilvl="3">
      <w:start w:val="1"/>
      <w:numFmt w:val="none"/>
      <w:lvlRestart w:val="0"/>
      <w:lvlText w:val=""/>
      <w:lvlJc w:val="left"/>
      <w:rPr>
        <w:rFonts w:hint="default" w:cs="Times New Roman"/>
      </w:rPr>
    </w:lvl>
    <w:lvl w:ilvl="4">
      <w:start w:val="1"/>
      <w:numFmt w:val="none"/>
      <w:lvlRestart w:val="0"/>
      <w:lvlText w:val=""/>
      <w:lvlJc w:val="left"/>
      <w:rPr>
        <w:rFonts w:hint="default" w:cs="Times New Roman"/>
      </w:rPr>
    </w:lvl>
    <w:lvl w:ilvl="5">
      <w:start w:val="1"/>
      <w:numFmt w:val="none"/>
      <w:lvlRestart w:val="0"/>
      <w:lvlText w:val=""/>
      <w:lvlJc w:val="left"/>
      <w:rPr>
        <w:rFonts w:hint="default" w:cs="Times New Roman"/>
      </w:rPr>
    </w:lvl>
    <w:lvl w:ilvl="6">
      <w:start w:val="1"/>
      <w:numFmt w:val="none"/>
      <w:lvlRestart w:val="0"/>
      <w:lvlText w:val=""/>
      <w:lvlJc w:val="left"/>
      <w:rPr>
        <w:rFonts w:hint="default" w:cs="Times New Roman"/>
      </w:rPr>
    </w:lvl>
    <w:lvl w:ilvl="7">
      <w:start w:val="1"/>
      <w:numFmt w:val="none"/>
      <w:lvlRestart w:val="0"/>
      <w:lvlText w:val=""/>
      <w:lvlJc w:val="left"/>
      <w:rPr>
        <w:rFonts w:hint="default" w:cs="Times New Roman"/>
      </w:rPr>
    </w:lvl>
    <w:lvl w:ilvl="8">
      <w:start w:val="1"/>
      <w:numFmt w:val="none"/>
      <w:lvlRestart w:val="0"/>
      <w:lvlText w:val=""/>
      <w:lvlJc w:val="left"/>
      <w:rPr>
        <w:rFonts w:hint="default" w:cs="Times New Roman"/>
      </w:rPr>
    </w:lvl>
  </w:abstractNum>
  <w:abstractNum w:abstractNumId="42" w15:restartNumberingAfterBreak="0">
    <w:nsid w:val="543C255B"/>
    <w:multiLevelType w:val="hybridMultilevel"/>
    <w:tmpl w:val="FFFFFFFF"/>
    <w:lvl w:ilvl="0" w:tplc="B8AEA4F8">
      <w:start w:val="1"/>
      <w:numFmt w:val="bullet"/>
      <w:lvlText w:val=""/>
      <w:lvlJc w:val="left"/>
      <w:pPr>
        <w:ind w:left="720" w:hanging="360"/>
      </w:pPr>
      <w:rPr>
        <w:rFonts w:hint="default" w:ascii="Symbol" w:hAnsi="Symbol"/>
      </w:rPr>
    </w:lvl>
    <w:lvl w:ilvl="1" w:tplc="2F66D9B8">
      <w:start w:val="1"/>
      <w:numFmt w:val="bullet"/>
      <w:lvlText w:val="o"/>
      <w:lvlJc w:val="left"/>
      <w:pPr>
        <w:ind w:left="1440" w:hanging="360"/>
      </w:pPr>
      <w:rPr>
        <w:rFonts w:hint="default" w:ascii="Courier New" w:hAnsi="Courier New"/>
      </w:rPr>
    </w:lvl>
    <w:lvl w:ilvl="2" w:tplc="1D547C5E">
      <w:start w:val="1"/>
      <w:numFmt w:val="bullet"/>
      <w:lvlText w:val=""/>
      <w:lvlJc w:val="left"/>
      <w:pPr>
        <w:ind w:left="2160" w:hanging="360"/>
      </w:pPr>
      <w:rPr>
        <w:rFonts w:hint="default" w:ascii="Wingdings" w:hAnsi="Wingdings"/>
      </w:rPr>
    </w:lvl>
    <w:lvl w:ilvl="3" w:tplc="C2B63226">
      <w:start w:val="1"/>
      <w:numFmt w:val="bullet"/>
      <w:lvlText w:val=""/>
      <w:lvlJc w:val="left"/>
      <w:pPr>
        <w:ind w:left="2880" w:hanging="360"/>
      </w:pPr>
      <w:rPr>
        <w:rFonts w:hint="default" w:ascii="Symbol" w:hAnsi="Symbol"/>
      </w:rPr>
    </w:lvl>
    <w:lvl w:ilvl="4" w:tplc="25348A70">
      <w:start w:val="1"/>
      <w:numFmt w:val="bullet"/>
      <w:lvlText w:val="o"/>
      <w:lvlJc w:val="left"/>
      <w:pPr>
        <w:ind w:left="3600" w:hanging="360"/>
      </w:pPr>
      <w:rPr>
        <w:rFonts w:hint="default" w:ascii="Courier New" w:hAnsi="Courier New"/>
      </w:rPr>
    </w:lvl>
    <w:lvl w:ilvl="5" w:tplc="58C02AAC">
      <w:start w:val="1"/>
      <w:numFmt w:val="bullet"/>
      <w:lvlText w:val=""/>
      <w:lvlJc w:val="left"/>
      <w:pPr>
        <w:ind w:left="4320" w:hanging="360"/>
      </w:pPr>
      <w:rPr>
        <w:rFonts w:hint="default" w:ascii="Wingdings" w:hAnsi="Wingdings"/>
      </w:rPr>
    </w:lvl>
    <w:lvl w:ilvl="6" w:tplc="744CFE90">
      <w:start w:val="1"/>
      <w:numFmt w:val="bullet"/>
      <w:lvlText w:val=""/>
      <w:lvlJc w:val="left"/>
      <w:pPr>
        <w:ind w:left="5040" w:hanging="360"/>
      </w:pPr>
      <w:rPr>
        <w:rFonts w:hint="default" w:ascii="Symbol" w:hAnsi="Symbol"/>
      </w:rPr>
    </w:lvl>
    <w:lvl w:ilvl="7" w:tplc="74FED2F2">
      <w:start w:val="1"/>
      <w:numFmt w:val="bullet"/>
      <w:lvlText w:val="o"/>
      <w:lvlJc w:val="left"/>
      <w:pPr>
        <w:ind w:left="5760" w:hanging="360"/>
      </w:pPr>
      <w:rPr>
        <w:rFonts w:hint="default" w:ascii="Courier New" w:hAnsi="Courier New"/>
      </w:rPr>
    </w:lvl>
    <w:lvl w:ilvl="8" w:tplc="0AC6B00C">
      <w:start w:val="1"/>
      <w:numFmt w:val="bullet"/>
      <w:lvlText w:val=""/>
      <w:lvlJc w:val="left"/>
      <w:pPr>
        <w:ind w:left="6480" w:hanging="360"/>
      </w:pPr>
      <w:rPr>
        <w:rFonts w:hint="default" w:ascii="Wingdings" w:hAnsi="Wingdings"/>
      </w:rPr>
    </w:lvl>
  </w:abstractNum>
  <w:abstractNum w:abstractNumId="43" w15:restartNumberingAfterBreak="0">
    <w:nsid w:val="55D6482F"/>
    <w:multiLevelType w:val="hybridMultilevel"/>
    <w:tmpl w:val="A1EAFAD2"/>
    <w:lvl w:ilvl="0" w:tplc="89587A42">
      <w:numFmt w:val="bullet"/>
      <w:lvlText w:val="-"/>
      <w:lvlJc w:val="left"/>
      <w:pPr>
        <w:ind w:left="720" w:hanging="36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4" w15:restartNumberingAfterBreak="0">
    <w:nsid w:val="5B2E4F5F"/>
    <w:multiLevelType w:val="hybridMultilevel"/>
    <w:tmpl w:val="6938F9A2"/>
    <w:lvl w:ilvl="0" w:tplc="E968C5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EC3DE86"/>
    <w:multiLevelType w:val="hybridMultilevel"/>
    <w:tmpl w:val="4B569EAA"/>
    <w:lvl w:ilvl="0" w:tplc="5322D938">
      <w:start w:val="1"/>
      <w:numFmt w:val="bullet"/>
      <w:lvlText w:val=""/>
      <w:lvlJc w:val="left"/>
      <w:pPr>
        <w:ind w:left="720" w:hanging="360"/>
      </w:pPr>
      <w:rPr>
        <w:rFonts w:hint="default" w:ascii="Symbol" w:hAnsi="Symbol"/>
      </w:rPr>
    </w:lvl>
    <w:lvl w:ilvl="1" w:tplc="F6A2303A">
      <w:start w:val="1"/>
      <w:numFmt w:val="bullet"/>
      <w:lvlText w:val="o"/>
      <w:lvlJc w:val="left"/>
      <w:pPr>
        <w:ind w:left="1440" w:hanging="360"/>
      </w:pPr>
      <w:rPr>
        <w:rFonts w:hint="default" w:ascii="Courier New" w:hAnsi="Courier New"/>
      </w:rPr>
    </w:lvl>
    <w:lvl w:ilvl="2" w:tplc="664CF706">
      <w:start w:val="1"/>
      <w:numFmt w:val="bullet"/>
      <w:lvlText w:val=""/>
      <w:lvlJc w:val="left"/>
      <w:pPr>
        <w:ind w:left="2160" w:hanging="360"/>
      </w:pPr>
      <w:rPr>
        <w:rFonts w:hint="default" w:ascii="Wingdings" w:hAnsi="Wingdings"/>
      </w:rPr>
    </w:lvl>
    <w:lvl w:ilvl="3" w:tplc="617EBA76">
      <w:start w:val="1"/>
      <w:numFmt w:val="bullet"/>
      <w:lvlText w:val=""/>
      <w:lvlJc w:val="left"/>
      <w:pPr>
        <w:ind w:left="2880" w:hanging="360"/>
      </w:pPr>
      <w:rPr>
        <w:rFonts w:hint="default" w:ascii="Symbol" w:hAnsi="Symbol"/>
      </w:rPr>
    </w:lvl>
    <w:lvl w:ilvl="4" w:tplc="C346FFD6">
      <w:start w:val="1"/>
      <w:numFmt w:val="bullet"/>
      <w:lvlText w:val="o"/>
      <w:lvlJc w:val="left"/>
      <w:pPr>
        <w:ind w:left="3600" w:hanging="360"/>
      </w:pPr>
      <w:rPr>
        <w:rFonts w:hint="default" w:ascii="Courier New" w:hAnsi="Courier New"/>
      </w:rPr>
    </w:lvl>
    <w:lvl w:ilvl="5" w:tplc="61F67F88">
      <w:start w:val="1"/>
      <w:numFmt w:val="bullet"/>
      <w:lvlText w:val=""/>
      <w:lvlJc w:val="left"/>
      <w:pPr>
        <w:ind w:left="4320" w:hanging="360"/>
      </w:pPr>
      <w:rPr>
        <w:rFonts w:hint="default" w:ascii="Wingdings" w:hAnsi="Wingdings"/>
      </w:rPr>
    </w:lvl>
    <w:lvl w:ilvl="6" w:tplc="28245CC6">
      <w:start w:val="1"/>
      <w:numFmt w:val="bullet"/>
      <w:lvlText w:val=""/>
      <w:lvlJc w:val="left"/>
      <w:pPr>
        <w:ind w:left="5040" w:hanging="360"/>
      </w:pPr>
      <w:rPr>
        <w:rFonts w:hint="default" w:ascii="Symbol" w:hAnsi="Symbol"/>
      </w:rPr>
    </w:lvl>
    <w:lvl w:ilvl="7" w:tplc="9E92F140">
      <w:start w:val="1"/>
      <w:numFmt w:val="bullet"/>
      <w:lvlText w:val="o"/>
      <w:lvlJc w:val="left"/>
      <w:pPr>
        <w:ind w:left="5760" w:hanging="360"/>
      </w:pPr>
      <w:rPr>
        <w:rFonts w:hint="default" w:ascii="Courier New" w:hAnsi="Courier New"/>
      </w:rPr>
    </w:lvl>
    <w:lvl w:ilvl="8" w:tplc="ADFAF82A">
      <w:start w:val="1"/>
      <w:numFmt w:val="bullet"/>
      <w:lvlText w:val=""/>
      <w:lvlJc w:val="left"/>
      <w:pPr>
        <w:ind w:left="6480" w:hanging="360"/>
      </w:pPr>
      <w:rPr>
        <w:rFonts w:hint="default" w:ascii="Wingdings" w:hAnsi="Wingdings"/>
      </w:rPr>
    </w:lvl>
  </w:abstractNum>
  <w:abstractNum w:abstractNumId="46" w15:restartNumberingAfterBreak="0">
    <w:nsid w:val="61320433"/>
    <w:multiLevelType w:val="multilevel"/>
    <w:tmpl w:val="69C2D2B4"/>
    <w:styleLink w:val="ZZBullets"/>
    <w:lvl w:ilvl="0">
      <w:start w:val="1"/>
      <w:numFmt w:val="bullet"/>
      <w:pStyle w:val="SCVbullet1"/>
      <w:lvlText w:val=""/>
      <w:lvlJc w:val="left"/>
      <w:pPr>
        <w:ind w:left="284" w:hanging="284"/>
      </w:pPr>
      <w:rPr>
        <w:rFonts w:hint="default" w:ascii="Wingdings 2" w:hAnsi="Wingdings 2"/>
        <w:color w:val="004C97" w:themeColor="accent4"/>
        <w:position w:val="2"/>
        <w:sz w:val="16"/>
      </w:rPr>
    </w:lvl>
    <w:lvl w:ilvl="1">
      <w:start w:val="1"/>
      <w:numFmt w:val="bullet"/>
      <w:pStyle w:val="SCVbullet2"/>
      <w:lvlText w:val="–"/>
      <w:lvlJc w:val="left"/>
      <w:pPr>
        <w:tabs>
          <w:tab w:val="num" w:pos="284"/>
        </w:tabs>
        <w:ind w:left="567" w:hanging="283"/>
      </w:pPr>
      <w:rPr>
        <w:rFonts w:hint="default" w:ascii="Arial Black" w:hAnsi="Arial Black"/>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61361FD0"/>
    <w:multiLevelType w:val="hybridMultilevel"/>
    <w:tmpl w:val="0EDEC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hint="default" w:ascii="Calibri" w:hAnsi="Calibri"/>
        <w:color w:val="007586" w:themeColor="text2"/>
      </w:rPr>
    </w:lvl>
    <w:lvl w:ilvl="1">
      <w:start w:val="1"/>
      <w:numFmt w:val="bullet"/>
      <w:lvlRestart w:val="0"/>
      <w:pStyle w:val="SCVquotebullet2"/>
      <w:lvlText w:val="–"/>
      <w:lvlJc w:val="left"/>
      <w:pPr>
        <w:ind w:left="964" w:hanging="284"/>
      </w:pPr>
      <w:rPr>
        <w:rFonts w:hint="default" w:ascii="Calibri" w:hAnsi="Calibri"/>
        <w:color w:val="007586" w:themeColor="text2"/>
      </w:rPr>
    </w:lvl>
    <w:lvl w:ilvl="2">
      <w:start w:val="1"/>
      <w:numFmt w:val="none"/>
      <w:lvlRestart w:val="0"/>
      <w:lvlText w:val=""/>
      <w:lvlJc w:val="left"/>
      <w:pPr>
        <w:ind w:left="0" w:firstLine="0"/>
      </w:pPr>
      <w:rPr>
        <w:rFonts w:hint="default" w:cs="Times New Roman"/>
      </w:rPr>
    </w:lvl>
    <w:lvl w:ilvl="3">
      <w:start w:val="1"/>
      <w:numFmt w:val="none"/>
      <w:lvlRestart w:val="0"/>
      <w:lvlText w:val=""/>
      <w:lvlJc w:val="left"/>
      <w:pPr>
        <w:ind w:left="0" w:firstLine="0"/>
      </w:pPr>
      <w:rPr>
        <w:rFonts w:hint="default" w:cs="Times New Roman"/>
      </w:rPr>
    </w:lvl>
    <w:lvl w:ilvl="4">
      <w:start w:val="1"/>
      <w:numFmt w:val="none"/>
      <w:lvlRestart w:val="0"/>
      <w:lvlText w:val=""/>
      <w:lvlJc w:val="left"/>
      <w:pPr>
        <w:ind w:left="0" w:firstLine="0"/>
      </w:pPr>
      <w:rPr>
        <w:rFonts w:hint="default" w:cs="Times New Roman"/>
      </w:rPr>
    </w:lvl>
    <w:lvl w:ilvl="5">
      <w:start w:val="1"/>
      <w:numFmt w:val="none"/>
      <w:lvlRestart w:val="0"/>
      <w:lvlText w:val=""/>
      <w:lvlJc w:val="left"/>
      <w:pPr>
        <w:ind w:left="0" w:firstLine="0"/>
      </w:pPr>
      <w:rPr>
        <w:rFonts w:hint="default" w:cs="Times New Roman"/>
      </w:rPr>
    </w:lvl>
    <w:lvl w:ilvl="6">
      <w:start w:val="1"/>
      <w:numFmt w:val="none"/>
      <w:lvlRestart w:val="0"/>
      <w:lvlText w:val=""/>
      <w:lvlJc w:val="left"/>
      <w:pPr>
        <w:ind w:left="0" w:firstLine="0"/>
      </w:pPr>
      <w:rPr>
        <w:rFonts w:hint="default" w:cs="Times New Roman"/>
      </w:rPr>
    </w:lvl>
    <w:lvl w:ilvl="7">
      <w:start w:val="1"/>
      <w:numFmt w:val="none"/>
      <w:lvlRestart w:val="0"/>
      <w:lvlText w:val=""/>
      <w:lvlJc w:val="left"/>
      <w:pPr>
        <w:ind w:left="0" w:firstLine="0"/>
      </w:pPr>
      <w:rPr>
        <w:rFonts w:hint="default" w:cs="Times New Roman"/>
      </w:rPr>
    </w:lvl>
    <w:lvl w:ilvl="8">
      <w:start w:val="1"/>
      <w:numFmt w:val="none"/>
      <w:lvlRestart w:val="0"/>
      <w:lvlText w:val=""/>
      <w:lvlJc w:val="left"/>
      <w:pPr>
        <w:ind w:left="0" w:firstLine="0"/>
      </w:pPr>
      <w:rPr>
        <w:rFonts w:hint="default" w:cs="Times New Roman"/>
      </w:rPr>
    </w:lvl>
  </w:abstractNum>
  <w:abstractNum w:abstractNumId="49" w15:restartNumberingAfterBreak="0">
    <w:nsid w:val="63F1F22A"/>
    <w:multiLevelType w:val="hybridMultilevel"/>
    <w:tmpl w:val="EEDC1406"/>
    <w:lvl w:ilvl="0" w:tplc="80FA53F4">
      <w:start w:val="1"/>
      <w:numFmt w:val="bullet"/>
      <w:lvlText w:val=""/>
      <w:lvlJc w:val="left"/>
      <w:pPr>
        <w:ind w:left="720" w:hanging="360"/>
      </w:pPr>
      <w:rPr>
        <w:rFonts w:hint="default" w:ascii="Symbol" w:hAnsi="Symbol"/>
      </w:rPr>
    </w:lvl>
    <w:lvl w:ilvl="1" w:tplc="0FD6D964">
      <w:start w:val="1"/>
      <w:numFmt w:val="bullet"/>
      <w:lvlText w:val="o"/>
      <w:lvlJc w:val="left"/>
      <w:pPr>
        <w:ind w:left="1440" w:hanging="360"/>
      </w:pPr>
      <w:rPr>
        <w:rFonts w:hint="default" w:ascii="Courier New" w:hAnsi="Courier New"/>
      </w:rPr>
    </w:lvl>
    <w:lvl w:ilvl="2" w:tplc="754A1118">
      <w:start w:val="1"/>
      <w:numFmt w:val="bullet"/>
      <w:lvlText w:val=""/>
      <w:lvlJc w:val="left"/>
      <w:pPr>
        <w:ind w:left="2160" w:hanging="360"/>
      </w:pPr>
      <w:rPr>
        <w:rFonts w:hint="default" w:ascii="Wingdings" w:hAnsi="Wingdings"/>
      </w:rPr>
    </w:lvl>
    <w:lvl w:ilvl="3" w:tplc="2E3E910E">
      <w:start w:val="1"/>
      <w:numFmt w:val="bullet"/>
      <w:lvlText w:val=""/>
      <w:lvlJc w:val="left"/>
      <w:pPr>
        <w:ind w:left="2880" w:hanging="360"/>
      </w:pPr>
      <w:rPr>
        <w:rFonts w:hint="default" w:ascii="Symbol" w:hAnsi="Symbol"/>
      </w:rPr>
    </w:lvl>
    <w:lvl w:ilvl="4" w:tplc="2C80A420">
      <w:start w:val="1"/>
      <w:numFmt w:val="bullet"/>
      <w:lvlText w:val="o"/>
      <w:lvlJc w:val="left"/>
      <w:pPr>
        <w:ind w:left="3600" w:hanging="360"/>
      </w:pPr>
      <w:rPr>
        <w:rFonts w:hint="default" w:ascii="Courier New" w:hAnsi="Courier New"/>
      </w:rPr>
    </w:lvl>
    <w:lvl w:ilvl="5" w:tplc="DBD2C44A">
      <w:start w:val="1"/>
      <w:numFmt w:val="bullet"/>
      <w:lvlText w:val=""/>
      <w:lvlJc w:val="left"/>
      <w:pPr>
        <w:ind w:left="4320" w:hanging="360"/>
      </w:pPr>
      <w:rPr>
        <w:rFonts w:hint="default" w:ascii="Wingdings" w:hAnsi="Wingdings"/>
      </w:rPr>
    </w:lvl>
    <w:lvl w:ilvl="6" w:tplc="D3503A0E">
      <w:start w:val="1"/>
      <w:numFmt w:val="bullet"/>
      <w:lvlText w:val=""/>
      <w:lvlJc w:val="left"/>
      <w:pPr>
        <w:ind w:left="5040" w:hanging="360"/>
      </w:pPr>
      <w:rPr>
        <w:rFonts w:hint="default" w:ascii="Symbol" w:hAnsi="Symbol"/>
      </w:rPr>
    </w:lvl>
    <w:lvl w:ilvl="7" w:tplc="945C0DF4">
      <w:start w:val="1"/>
      <w:numFmt w:val="bullet"/>
      <w:lvlText w:val="o"/>
      <w:lvlJc w:val="left"/>
      <w:pPr>
        <w:ind w:left="5760" w:hanging="360"/>
      </w:pPr>
      <w:rPr>
        <w:rFonts w:hint="default" w:ascii="Courier New" w:hAnsi="Courier New"/>
      </w:rPr>
    </w:lvl>
    <w:lvl w:ilvl="8" w:tplc="8CB8E91A">
      <w:start w:val="1"/>
      <w:numFmt w:val="bullet"/>
      <w:lvlText w:val=""/>
      <w:lvlJc w:val="left"/>
      <w:pPr>
        <w:ind w:left="6480" w:hanging="360"/>
      </w:pPr>
      <w:rPr>
        <w:rFonts w:hint="default" w:ascii="Wingdings" w:hAnsi="Wingdings"/>
      </w:rPr>
    </w:lvl>
  </w:abstractNum>
  <w:abstractNum w:abstractNumId="50" w15:restartNumberingAfterBreak="0">
    <w:nsid w:val="66C67B59"/>
    <w:multiLevelType w:val="multilevel"/>
    <w:tmpl w:val="A0CE9C9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69D8493B"/>
    <w:multiLevelType w:val="hybridMultilevel"/>
    <w:tmpl w:val="55BC91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2" w15:restartNumberingAfterBreak="0">
    <w:nsid w:val="6AF1CF9C"/>
    <w:multiLevelType w:val="hybridMultilevel"/>
    <w:tmpl w:val="7B1C7296"/>
    <w:lvl w:ilvl="0" w:tplc="62B67A80">
      <w:start w:val="1"/>
      <w:numFmt w:val="bullet"/>
      <w:lvlText w:val=""/>
      <w:lvlJc w:val="left"/>
      <w:pPr>
        <w:ind w:left="720" w:hanging="360"/>
      </w:pPr>
      <w:rPr>
        <w:rFonts w:hint="default" w:ascii="Symbol" w:hAnsi="Symbol"/>
      </w:rPr>
    </w:lvl>
    <w:lvl w:ilvl="1" w:tplc="08A03648">
      <w:start w:val="1"/>
      <w:numFmt w:val="bullet"/>
      <w:lvlText w:val="o"/>
      <w:lvlJc w:val="left"/>
      <w:pPr>
        <w:ind w:left="1440" w:hanging="360"/>
      </w:pPr>
      <w:rPr>
        <w:rFonts w:hint="default" w:ascii="Courier New" w:hAnsi="Courier New"/>
      </w:rPr>
    </w:lvl>
    <w:lvl w:ilvl="2" w:tplc="DE74B270">
      <w:start w:val="1"/>
      <w:numFmt w:val="bullet"/>
      <w:lvlText w:val=""/>
      <w:lvlJc w:val="left"/>
      <w:pPr>
        <w:ind w:left="2160" w:hanging="360"/>
      </w:pPr>
      <w:rPr>
        <w:rFonts w:hint="default" w:ascii="Wingdings" w:hAnsi="Wingdings"/>
      </w:rPr>
    </w:lvl>
    <w:lvl w:ilvl="3" w:tplc="11ECE8B4">
      <w:start w:val="1"/>
      <w:numFmt w:val="bullet"/>
      <w:lvlText w:val=""/>
      <w:lvlJc w:val="left"/>
      <w:pPr>
        <w:ind w:left="2880" w:hanging="360"/>
      </w:pPr>
      <w:rPr>
        <w:rFonts w:hint="default" w:ascii="Symbol" w:hAnsi="Symbol"/>
      </w:rPr>
    </w:lvl>
    <w:lvl w:ilvl="4" w:tplc="EA543A0C">
      <w:start w:val="1"/>
      <w:numFmt w:val="bullet"/>
      <w:lvlText w:val="o"/>
      <w:lvlJc w:val="left"/>
      <w:pPr>
        <w:ind w:left="3600" w:hanging="360"/>
      </w:pPr>
      <w:rPr>
        <w:rFonts w:hint="default" w:ascii="Courier New" w:hAnsi="Courier New"/>
      </w:rPr>
    </w:lvl>
    <w:lvl w:ilvl="5" w:tplc="6458D91A">
      <w:start w:val="1"/>
      <w:numFmt w:val="bullet"/>
      <w:lvlText w:val=""/>
      <w:lvlJc w:val="left"/>
      <w:pPr>
        <w:ind w:left="4320" w:hanging="360"/>
      </w:pPr>
      <w:rPr>
        <w:rFonts w:hint="default" w:ascii="Wingdings" w:hAnsi="Wingdings"/>
      </w:rPr>
    </w:lvl>
    <w:lvl w:ilvl="6" w:tplc="32BA5A30">
      <w:start w:val="1"/>
      <w:numFmt w:val="bullet"/>
      <w:lvlText w:val=""/>
      <w:lvlJc w:val="left"/>
      <w:pPr>
        <w:ind w:left="5040" w:hanging="360"/>
      </w:pPr>
      <w:rPr>
        <w:rFonts w:hint="default" w:ascii="Symbol" w:hAnsi="Symbol"/>
      </w:rPr>
    </w:lvl>
    <w:lvl w:ilvl="7" w:tplc="6EB6CBE0">
      <w:start w:val="1"/>
      <w:numFmt w:val="bullet"/>
      <w:lvlText w:val="o"/>
      <w:lvlJc w:val="left"/>
      <w:pPr>
        <w:ind w:left="5760" w:hanging="360"/>
      </w:pPr>
      <w:rPr>
        <w:rFonts w:hint="default" w:ascii="Courier New" w:hAnsi="Courier New"/>
      </w:rPr>
    </w:lvl>
    <w:lvl w:ilvl="8" w:tplc="CD0C01F2">
      <w:start w:val="1"/>
      <w:numFmt w:val="bullet"/>
      <w:lvlText w:val=""/>
      <w:lvlJc w:val="left"/>
      <w:pPr>
        <w:ind w:left="6480" w:hanging="360"/>
      </w:pPr>
      <w:rPr>
        <w:rFonts w:hint="default" w:ascii="Wingdings" w:hAnsi="Wingdings"/>
      </w:rPr>
    </w:lvl>
  </w:abstractNum>
  <w:abstractNum w:abstractNumId="53" w15:restartNumberingAfterBreak="0">
    <w:nsid w:val="7225151D"/>
    <w:multiLevelType w:val="hybridMultilevel"/>
    <w:tmpl w:val="829C1390"/>
    <w:lvl w:ilvl="0" w:tplc="C3A633E2">
      <w:start w:val="1"/>
      <w:numFmt w:val="bullet"/>
      <w:lvlText w:val=""/>
      <w:lvlJc w:val="left"/>
      <w:pPr>
        <w:ind w:left="720" w:hanging="360"/>
      </w:pPr>
      <w:rPr>
        <w:rFonts w:hint="default" w:ascii="Symbol" w:hAnsi="Symbol"/>
      </w:rPr>
    </w:lvl>
    <w:lvl w:ilvl="1" w:tplc="BC221A70">
      <w:start w:val="1"/>
      <w:numFmt w:val="bullet"/>
      <w:lvlText w:val="o"/>
      <w:lvlJc w:val="left"/>
      <w:pPr>
        <w:ind w:left="1440" w:hanging="360"/>
      </w:pPr>
      <w:rPr>
        <w:rFonts w:hint="default" w:ascii="Courier New" w:hAnsi="Courier New"/>
      </w:rPr>
    </w:lvl>
    <w:lvl w:ilvl="2" w:tplc="86EC709A">
      <w:start w:val="1"/>
      <w:numFmt w:val="bullet"/>
      <w:lvlText w:val=""/>
      <w:lvlJc w:val="left"/>
      <w:pPr>
        <w:ind w:left="2160" w:hanging="360"/>
      </w:pPr>
      <w:rPr>
        <w:rFonts w:hint="default" w:ascii="Wingdings" w:hAnsi="Wingdings"/>
      </w:rPr>
    </w:lvl>
    <w:lvl w:ilvl="3" w:tplc="556A5976">
      <w:start w:val="1"/>
      <w:numFmt w:val="bullet"/>
      <w:lvlText w:val=""/>
      <w:lvlJc w:val="left"/>
      <w:pPr>
        <w:ind w:left="2880" w:hanging="360"/>
      </w:pPr>
      <w:rPr>
        <w:rFonts w:hint="default" w:ascii="Symbol" w:hAnsi="Symbol"/>
      </w:rPr>
    </w:lvl>
    <w:lvl w:ilvl="4" w:tplc="8BC69D54">
      <w:start w:val="1"/>
      <w:numFmt w:val="bullet"/>
      <w:lvlText w:val="o"/>
      <w:lvlJc w:val="left"/>
      <w:pPr>
        <w:ind w:left="3600" w:hanging="360"/>
      </w:pPr>
      <w:rPr>
        <w:rFonts w:hint="default" w:ascii="Courier New" w:hAnsi="Courier New"/>
      </w:rPr>
    </w:lvl>
    <w:lvl w:ilvl="5" w:tplc="3452771C">
      <w:start w:val="1"/>
      <w:numFmt w:val="bullet"/>
      <w:lvlText w:val=""/>
      <w:lvlJc w:val="left"/>
      <w:pPr>
        <w:ind w:left="4320" w:hanging="360"/>
      </w:pPr>
      <w:rPr>
        <w:rFonts w:hint="default" w:ascii="Wingdings" w:hAnsi="Wingdings"/>
      </w:rPr>
    </w:lvl>
    <w:lvl w:ilvl="6" w:tplc="06425678">
      <w:start w:val="1"/>
      <w:numFmt w:val="bullet"/>
      <w:lvlText w:val=""/>
      <w:lvlJc w:val="left"/>
      <w:pPr>
        <w:ind w:left="5040" w:hanging="360"/>
      </w:pPr>
      <w:rPr>
        <w:rFonts w:hint="default" w:ascii="Symbol" w:hAnsi="Symbol"/>
      </w:rPr>
    </w:lvl>
    <w:lvl w:ilvl="7" w:tplc="D3AE698A">
      <w:start w:val="1"/>
      <w:numFmt w:val="bullet"/>
      <w:lvlText w:val="o"/>
      <w:lvlJc w:val="left"/>
      <w:pPr>
        <w:ind w:left="5760" w:hanging="360"/>
      </w:pPr>
      <w:rPr>
        <w:rFonts w:hint="default" w:ascii="Courier New" w:hAnsi="Courier New"/>
      </w:rPr>
    </w:lvl>
    <w:lvl w:ilvl="8" w:tplc="479220C2">
      <w:start w:val="1"/>
      <w:numFmt w:val="bullet"/>
      <w:lvlText w:val=""/>
      <w:lvlJc w:val="left"/>
      <w:pPr>
        <w:ind w:left="6480" w:hanging="360"/>
      </w:pPr>
      <w:rPr>
        <w:rFonts w:hint="default" w:ascii="Wingdings" w:hAnsi="Wingdings"/>
      </w:rPr>
    </w:lvl>
  </w:abstractNum>
  <w:abstractNum w:abstractNumId="54" w15:restartNumberingAfterBreak="0">
    <w:nsid w:val="73EB610C"/>
    <w:multiLevelType w:val="hybridMultilevel"/>
    <w:tmpl w:val="AFF48EE6"/>
    <w:lvl w:ilvl="0" w:tplc="0C090003">
      <w:start w:val="1"/>
      <w:numFmt w:val="bullet"/>
      <w:lvlText w:val="o"/>
      <w:lvlJc w:val="left"/>
      <w:pPr>
        <w:ind w:left="1080" w:hanging="360"/>
      </w:pPr>
      <w:rPr>
        <w:rFonts w:hint="default" w:ascii="Courier New" w:hAnsi="Courier New" w:cs="Courier New"/>
      </w:rPr>
    </w:lvl>
    <w:lvl w:ilvl="1" w:tplc="FFFFFFFF">
      <w:start w:val="1"/>
      <w:numFmt w:val="bullet"/>
      <w:lvlText w:val="o"/>
      <w:lvlJc w:val="left"/>
      <w:pPr>
        <w:ind w:left="1800" w:hanging="360"/>
      </w:pPr>
      <w:rPr>
        <w:rFonts w:hint="default" w:ascii="Courier New" w:hAnsi="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start w:val="1"/>
      <w:numFmt w:val="bullet"/>
      <w:lvlText w:val="o"/>
      <w:lvlJc w:val="left"/>
      <w:pPr>
        <w:ind w:left="3960" w:hanging="360"/>
      </w:pPr>
      <w:rPr>
        <w:rFonts w:hint="default" w:ascii="Courier New" w:hAnsi="Courier New"/>
      </w:rPr>
    </w:lvl>
    <w:lvl w:ilvl="5" w:tplc="FFFFFFFF">
      <w:start w:val="1"/>
      <w:numFmt w:val="bullet"/>
      <w:lvlText w:val=""/>
      <w:lvlJc w:val="left"/>
      <w:pPr>
        <w:ind w:left="4680" w:hanging="360"/>
      </w:pPr>
      <w:rPr>
        <w:rFonts w:hint="default" w:ascii="Wingdings" w:hAnsi="Wingdings"/>
      </w:rPr>
    </w:lvl>
    <w:lvl w:ilvl="6" w:tplc="FFFFFFFF">
      <w:start w:val="1"/>
      <w:numFmt w:val="bullet"/>
      <w:lvlText w:val=""/>
      <w:lvlJc w:val="left"/>
      <w:pPr>
        <w:ind w:left="5400" w:hanging="360"/>
      </w:pPr>
      <w:rPr>
        <w:rFonts w:hint="default" w:ascii="Symbol" w:hAnsi="Symbol"/>
      </w:rPr>
    </w:lvl>
    <w:lvl w:ilvl="7" w:tplc="FFFFFFFF">
      <w:start w:val="1"/>
      <w:numFmt w:val="bullet"/>
      <w:lvlText w:val="o"/>
      <w:lvlJc w:val="left"/>
      <w:pPr>
        <w:ind w:left="6120" w:hanging="360"/>
      </w:pPr>
      <w:rPr>
        <w:rFonts w:hint="default" w:ascii="Courier New" w:hAnsi="Courier New"/>
      </w:rPr>
    </w:lvl>
    <w:lvl w:ilvl="8" w:tplc="FFFFFFFF">
      <w:start w:val="1"/>
      <w:numFmt w:val="bullet"/>
      <w:lvlText w:val=""/>
      <w:lvlJc w:val="left"/>
      <w:pPr>
        <w:ind w:left="6840" w:hanging="360"/>
      </w:pPr>
      <w:rPr>
        <w:rFonts w:hint="default" w:ascii="Wingdings" w:hAnsi="Wingdings"/>
      </w:rPr>
    </w:lvl>
  </w:abstractNum>
  <w:abstractNum w:abstractNumId="55" w15:restartNumberingAfterBreak="0">
    <w:nsid w:val="74E70303"/>
    <w:multiLevelType w:val="hybridMultilevel"/>
    <w:tmpl w:val="88640D62"/>
    <w:lvl w:ilvl="0" w:tplc="B57270B6">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5F92FB3"/>
    <w:multiLevelType w:val="hybridMultilevel"/>
    <w:tmpl w:val="D5467BFA"/>
    <w:lvl w:ilvl="0" w:tplc="86BA19AA">
      <w:start w:val="1"/>
      <w:numFmt w:val="bullet"/>
      <w:lvlText w:val=""/>
      <w:lvlJc w:val="left"/>
      <w:pPr>
        <w:ind w:left="720" w:hanging="360"/>
      </w:pPr>
      <w:rPr>
        <w:rFonts w:hint="default" w:ascii="Symbol" w:hAnsi="Symbol"/>
      </w:rPr>
    </w:lvl>
    <w:lvl w:ilvl="1" w:tplc="E762181A">
      <w:start w:val="1"/>
      <w:numFmt w:val="bullet"/>
      <w:lvlText w:val="o"/>
      <w:lvlJc w:val="left"/>
      <w:pPr>
        <w:ind w:left="1440" w:hanging="360"/>
      </w:pPr>
      <w:rPr>
        <w:rFonts w:hint="default" w:ascii="Courier New" w:hAnsi="Courier New"/>
      </w:rPr>
    </w:lvl>
    <w:lvl w:ilvl="2" w:tplc="26A86A70">
      <w:start w:val="1"/>
      <w:numFmt w:val="bullet"/>
      <w:lvlText w:val=""/>
      <w:lvlJc w:val="left"/>
      <w:pPr>
        <w:ind w:left="2160" w:hanging="360"/>
      </w:pPr>
      <w:rPr>
        <w:rFonts w:hint="default" w:ascii="Wingdings" w:hAnsi="Wingdings"/>
      </w:rPr>
    </w:lvl>
    <w:lvl w:ilvl="3" w:tplc="DBBC3F5E">
      <w:start w:val="1"/>
      <w:numFmt w:val="bullet"/>
      <w:lvlText w:val=""/>
      <w:lvlJc w:val="left"/>
      <w:pPr>
        <w:ind w:left="2880" w:hanging="360"/>
      </w:pPr>
      <w:rPr>
        <w:rFonts w:hint="default" w:ascii="Symbol" w:hAnsi="Symbol"/>
      </w:rPr>
    </w:lvl>
    <w:lvl w:ilvl="4" w:tplc="461059CE">
      <w:start w:val="1"/>
      <w:numFmt w:val="bullet"/>
      <w:lvlText w:val="o"/>
      <w:lvlJc w:val="left"/>
      <w:pPr>
        <w:ind w:left="3600" w:hanging="360"/>
      </w:pPr>
      <w:rPr>
        <w:rFonts w:hint="default" w:ascii="Courier New" w:hAnsi="Courier New"/>
      </w:rPr>
    </w:lvl>
    <w:lvl w:ilvl="5" w:tplc="89562B52">
      <w:start w:val="1"/>
      <w:numFmt w:val="bullet"/>
      <w:lvlText w:val=""/>
      <w:lvlJc w:val="left"/>
      <w:pPr>
        <w:ind w:left="4320" w:hanging="360"/>
      </w:pPr>
      <w:rPr>
        <w:rFonts w:hint="default" w:ascii="Wingdings" w:hAnsi="Wingdings"/>
      </w:rPr>
    </w:lvl>
    <w:lvl w:ilvl="6" w:tplc="3A344436">
      <w:start w:val="1"/>
      <w:numFmt w:val="bullet"/>
      <w:lvlText w:val=""/>
      <w:lvlJc w:val="left"/>
      <w:pPr>
        <w:ind w:left="5040" w:hanging="360"/>
      </w:pPr>
      <w:rPr>
        <w:rFonts w:hint="default" w:ascii="Symbol" w:hAnsi="Symbol"/>
      </w:rPr>
    </w:lvl>
    <w:lvl w:ilvl="7" w:tplc="22661154">
      <w:start w:val="1"/>
      <w:numFmt w:val="bullet"/>
      <w:lvlText w:val="o"/>
      <w:lvlJc w:val="left"/>
      <w:pPr>
        <w:ind w:left="5760" w:hanging="360"/>
      </w:pPr>
      <w:rPr>
        <w:rFonts w:hint="default" w:ascii="Courier New" w:hAnsi="Courier New"/>
      </w:rPr>
    </w:lvl>
    <w:lvl w:ilvl="8" w:tplc="0DA019AA">
      <w:start w:val="1"/>
      <w:numFmt w:val="bullet"/>
      <w:lvlText w:val=""/>
      <w:lvlJc w:val="left"/>
      <w:pPr>
        <w:ind w:left="6480" w:hanging="360"/>
      </w:pPr>
      <w:rPr>
        <w:rFonts w:hint="default" w:ascii="Wingdings" w:hAnsi="Wingdings"/>
      </w:rPr>
    </w:lvl>
  </w:abstractNum>
  <w:abstractNum w:abstractNumId="57" w15:restartNumberingAfterBreak="0">
    <w:nsid w:val="76BE06CD"/>
    <w:multiLevelType w:val="hybridMultilevel"/>
    <w:tmpl w:val="BF62A5E6"/>
    <w:lvl w:ilvl="0" w:tplc="EB281968">
      <w:start w:val="1"/>
      <w:numFmt w:val="bullet"/>
      <w:lvlText w:val=""/>
      <w:lvlJc w:val="left"/>
      <w:pPr>
        <w:ind w:left="720" w:hanging="360"/>
      </w:pPr>
      <w:rPr>
        <w:rFonts w:hint="default" w:ascii="Symbol" w:hAnsi="Symbol"/>
      </w:rPr>
    </w:lvl>
    <w:lvl w:ilvl="1" w:tplc="09BA7F3A">
      <w:start w:val="1"/>
      <w:numFmt w:val="bullet"/>
      <w:lvlText w:val="o"/>
      <w:lvlJc w:val="left"/>
      <w:pPr>
        <w:ind w:left="1440" w:hanging="360"/>
      </w:pPr>
      <w:rPr>
        <w:rFonts w:hint="default" w:ascii="Courier New" w:hAnsi="Courier New"/>
      </w:rPr>
    </w:lvl>
    <w:lvl w:ilvl="2" w:tplc="468CC14A">
      <w:start w:val="1"/>
      <w:numFmt w:val="bullet"/>
      <w:lvlText w:val=""/>
      <w:lvlJc w:val="left"/>
      <w:pPr>
        <w:ind w:left="2160" w:hanging="360"/>
      </w:pPr>
      <w:rPr>
        <w:rFonts w:hint="default" w:ascii="Wingdings" w:hAnsi="Wingdings"/>
      </w:rPr>
    </w:lvl>
    <w:lvl w:ilvl="3" w:tplc="E4A08710">
      <w:start w:val="1"/>
      <w:numFmt w:val="bullet"/>
      <w:lvlText w:val=""/>
      <w:lvlJc w:val="left"/>
      <w:pPr>
        <w:ind w:left="2880" w:hanging="360"/>
      </w:pPr>
      <w:rPr>
        <w:rFonts w:hint="default" w:ascii="Symbol" w:hAnsi="Symbol"/>
      </w:rPr>
    </w:lvl>
    <w:lvl w:ilvl="4" w:tplc="F340765C">
      <w:start w:val="1"/>
      <w:numFmt w:val="bullet"/>
      <w:lvlText w:val="o"/>
      <w:lvlJc w:val="left"/>
      <w:pPr>
        <w:ind w:left="3600" w:hanging="360"/>
      </w:pPr>
      <w:rPr>
        <w:rFonts w:hint="default" w:ascii="Courier New" w:hAnsi="Courier New"/>
      </w:rPr>
    </w:lvl>
    <w:lvl w:ilvl="5" w:tplc="3A2E7CD0">
      <w:start w:val="1"/>
      <w:numFmt w:val="bullet"/>
      <w:lvlText w:val=""/>
      <w:lvlJc w:val="left"/>
      <w:pPr>
        <w:ind w:left="4320" w:hanging="360"/>
      </w:pPr>
      <w:rPr>
        <w:rFonts w:hint="default" w:ascii="Wingdings" w:hAnsi="Wingdings"/>
      </w:rPr>
    </w:lvl>
    <w:lvl w:ilvl="6" w:tplc="94B0B3A2">
      <w:start w:val="1"/>
      <w:numFmt w:val="bullet"/>
      <w:lvlText w:val=""/>
      <w:lvlJc w:val="left"/>
      <w:pPr>
        <w:ind w:left="5040" w:hanging="360"/>
      </w:pPr>
      <w:rPr>
        <w:rFonts w:hint="default" w:ascii="Symbol" w:hAnsi="Symbol"/>
      </w:rPr>
    </w:lvl>
    <w:lvl w:ilvl="7" w:tplc="D0B8CF98">
      <w:start w:val="1"/>
      <w:numFmt w:val="bullet"/>
      <w:lvlText w:val="o"/>
      <w:lvlJc w:val="left"/>
      <w:pPr>
        <w:ind w:left="5760" w:hanging="360"/>
      </w:pPr>
      <w:rPr>
        <w:rFonts w:hint="default" w:ascii="Courier New" w:hAnsi="Courier New"/>
      </w:rPr>
    </w:lvl>
    <w:lvl w:ilvl="8" w:tplc="6EC02326">
      <w:start w:val="1"/>
      <w:numFmt w:val="bullet"/>
      <w:lvlText w:val=""/>
      <w:lvlJc w:val="left"/>
      <w:pPr>
        <w:ind w:left="6480" w:hanging="360"/>
      </w:pPr>
      <w:rPr>
        <w:rFonts w:hint="default" w:ascii="Wingdings" w:hAnsi="Wingdings"/>
      </w:rPr>
    </w:lvl>
  </w:abstractNum>
  <w:abstractNum w:abstractNumId="58"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9" w15:restartNumberingAfterBreak="0">
    <w:nsid w:val="7AB11ACE"/>
    <w:multiLevelType w:val="hybridMultilevel"/>
    <w:tmpl w:val="F648EE06"/>
    <w:lvl w:ilvl="0" w:tplc="E968C5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AEF02D7"/>
    <w:multiLevelType w:val="hybridMultilevel"/>
    <w:tmpl w:val="2BA8340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1" w15:restartNumberingAfterBreak="0">
    <w:nsid w:val="7B08D2D1"/>
    <w:multiLevelType w:val="hybridMultilevel"/>
    <w:tmpl w:val="9D9CE6C8"/>
    <w:lvl w:ilvl="0" w:tplc="4300DB76">
      <w:start w:val="1"/>
      <w:numFmt w:val="bullet"/>
      <w:lvlText w:val=""/>
      <w:lvlJc w:val="left"/>
      <w:pPr>
        <w:ind w:left="720" w:hanging="360"/>
      </w:pPr>
      <w:rPr>
        <w:rFonts w:hint="default" w:ascii="Symbol" w:hAnsi="Symbol"/>
      </w:rPr>
    </w:lvl>
    <w:lvl w:ilvl="1" w:tplc="F63C0116">
      <w:start w:val="1"/>
      <w:numFmt w:val="bullet"/>
      <w:lvlText w:val="o"/>
      <w:lvlJc w:val="left"/>
      <w:pPr>
        <w:ind w:left="1440" w:hanging="360"/>
      </w:pPr>
      <w:rPr>
        <w:rFonts w:hint="default" w:ascii="Courier New" w:hAnsi="Courier New"/>
      </w:rPr>
    </w:lvl>
    <w:lvl w:ilvl="2" w:tplc="2B246360">
      <w:start w:val="1"/>
      <w:numFmt w:val="bullet"/>
      <w:lvlText w:val=""/>
      <w:lvlJc w:val="left"/>
      <w:pPr>
        <w:ind w:left="2160" w:hanging="360"/>
      </w:pPr>
      <w:rPr>
        <w:rFonts w:hint="default" w:ascii="Wingdings" w:hAnsi="Wingdings"/>
      </w:rPr>
    </w:lvl>
    <w:lvl w:ilvl="3" w:tplc="F75C1D02">
      <w:start w:val="1"/>
      <w:numFmt w:val="bullet"/>
      <w:lvlText w:val=""/>
      <w:lvlJc w:val="left"/>
      <w:pPr>
        <w:ind w:left="2880" w:hanging="360"/>
      </w:pPr>
      <w:rPr>
        <w:rFonts w:hint="default" w:ascii="Symbol" w:hAnsi="Symbol"/>
      </w:rPr>
    </w:lvl>
    <w:lvl w:ilvl="4" w:tplc="4E187E06">
      <w:start w:val="1"/>
      <w:numFmt w:val="bullet"/>
      <w:lvlText w:val="o"/>
      <w:lvlJc w:val="left"/>
      <w:pPr>
        <w:ind w:left="3600" w:hanging="360"/>
      </w:pPr>
      <w:rPr>
        <w:rFonts w:hint="default" w:ascii="Courier New" w:hAnsi="Courier New"/>
      </w:rPr>
    </w:lvl>
    <w:lvl w:ilvl="5" w:tplc="2C3A029E">
      <w:start w:val="1"/>
      <w:numFmt w:val="bullet"/>
      <w:lvlText w:val=""/>
      <w:lvlJc w:val="left"/>
      <w:pPr>
        <w:ind w:left="4320" w:hanging="360"/>
      </w:pPr>
      <w:rPr>
        <w:rFonts w:hint="default" w:ascii="Wingdings" w:hAnsi="Wingdings"/>
      </w:rPr>
    </w:lvl>
    <w:lvl w:ilvl="6" w:tplc="B91875D0">
      <w:start w:val="1"/>
      <w:numFmt w:val="bullet"/>
      <w:lvlText w:val=""/>
      <w:lvlJc w:val="left"/>
      <w:pPr>
        <w:ind w:left="5040" w:hanging="360"/>
      </w:pPr>
      <w:rPr>
        <w:rFonts w:hint="default" w:ascii="Symbol" w:hAnsi="Symbol"/>
      </w:rPr>
    </w:lvl>
    <w:lvl w:ilvl="7" w:tplc="0F64F458">
      <w:start w:val="1"/>
      <w:numFmt w:val="bullet"/>
      <w:lvlText w:val="o"/>
      <w:lvlJc w:val="left"/>
      <w:pPr>
        <w:ind w:left="5760" w:hanging="360"/>
      </w:pPr>
      <w:rPr>
        <w:rFonts w:hint="default" w:ascii="Courier New" w:hAnsi="Courier New"/>
      </w:rPr>
    </w:lvl>
    <w:lvl w:ilvl="8" w:tplc="9B024A8E">
      <w:start w:val="1"/>
      <w:numFmt w:val="bullet"/>
      <w:lvlText w:val=""/>
      <w:lvlJc w:val="left"/>
      <w:pPr>
        <w:ind w:left="6480" w:hanging="360"/>
      </w:pPr>
      <w:rPr>
        <w:rFonts w:hint="default" w:ascii="Wingdings" w:hAnsi="Wingdings"/>
      </w:rPr>
    </w:lvl>
  </w:abstractNum>
  <w:abstractNum w:abstractNumId="62"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504979516">
    <w:abstractNumId w:val="6"/>
  </w:num>
  <w:num w:numId="2" w16cid:durableId="2098210759">
    <w:abstractNumId w:val="30"/>
  </w:num>
  <w:num w:numId="3" w16cid:durableId="784425407">
    <w:abstractNumId w:val="13"/>
  </w:num>
  <w:num w:numId="4" w16cid:durableId="777725638">
    <w:abstractNumId w:val="57"/>
  </w:num>
  <w:num w:numId="5" w16cid:durableId="876624295">
    <w:abstractNumId w:val="19"/>
  </w:num>
  <w:num w:numId="6" w16cid:durableId="227572743">
    <w:abstractNumId w:val="61"/>
  </w:num>
  <w:num w:numId="7" w16cid:durableId="1833333741">
    <w:abstractNumId w:val="52"/>
  </w:num>
  <w:num w:numId="8" w16cid:durableId="259262010">
    <w:abstractNumId w:val="22"/>
  </w:num>
  <w:num w:numId="9" w16cid:durableId="189223187">
    <w:abstractNumId w:val="9"/>
  </w:num>
  <w:num w:numId="10" w16cid:durableId="2142116441">
    <w:abstractNumId w:val="12"/>
  </w:num>
  <w:num w:numId="11" w16cid:durableId="176584527">
    <w:abstractNumId w:val="15"/>
  </w:num>
  <w:num w:numId="12" w16cid:durableId="1683244372">
    <w:abstractNumId w:val="3"/>
  </w:num>
  <w:num w:numId="13" w16cid:durableId="1781534236">
    <w:abstractNumId w:val="20"/>
  </w:num>
  <w:num w:numId="14" w16cid:durableId="67389740">
    <w:abstractNumId w:val="7"/>
  </w:num>
  <w:num w:numId="15" w16cid:durableId="1607689700">
    <w:abstractNumId w:val="10"/>
  </w:num>
  <w:num w:numId="16" w16cid:durableId="584732621">
    <w:abstractNumId w:val="32"/>
  </w:num>
  <w:num w:numId="17" w16cid:durableId="797378023">
    <w:abstractNumId w:val="18"/>
  </w:num>
  <w:num w:numId="18" w16cid:durableId="436797490">
    <w:abstractNumId w:val="45"/>
  </w:num>
  <w:num w:numId="19" w16cid:durableId="458450111">
    <w:abstractNumId w:val="49"/>
  </w:num>
  <w:num w:numId="20" w16cid:durableId="1192035658">
    <w:abstractNumId w:val="23"/>
  </w:num>
  <w:num w:numId="21" w16cid:durableId="618685103">
    <w:abstractNumId w:val="53"/>
  </w:num>
  <w:num w:numId="22" w16cid:durableId="206140174">
    <w:abstractNumId w:val="0"/>
  </w:num>
  <w:num w:numId="23" w16cid:durableId="715545600">
    <w:abstractNumId w:val="38"/>
  </w:num>
  <w:num w:numId="24" w16cid:durableId="972910385">
    <w:abstractNumId w:val="33"/>
  </w:num>
  <w:num w:numId="25" w16cid:durableId="2049643329">
    <w:abstractNumId w:val="27"/>
  </w:num>
  <w:num w:numId="26" w16cid:durableId="1625890564">
    <w:abstractNumId w:val="29"/>
  </w:num>
  <w:num w:numId="27" w16cid:durableId="235746747">
    <w:abstractNumId w:val="56"/>
  </w:num>
  <w:num w:numId="28" w16cid:durableId="2036416763">
    <w:abstractNumId w:val="1"/>
  </w:num>
  <w:num w:numId="29" w16cid:durableId="411008913">
    <w:abstractNumId w:val="42"/>
  </w:num>
  <w:num w:numId="30" w16cid:durableId="830874273">
    <w:abstractNumId w:val="4"/>
  </w:num>
  <w:num w:numId="31" w16cid:durableId="1124689543">
    <w:abstractNumId w:val="16"/>
  </w:num>
  <w:num w:numId="32" w16cid:durableId="237327857">
    <w:abstractNumId w:val="46"/>
  </w:num>
  <w:num w:numId="33" w16cid:durableId="1236010695">
    <w:abstractNumId w:val="25"/>
  </w:num>
  <w:num w:numId="34" w16cid:durableId="1062943019">
    <w:abstractNumId w:val="48"/>
  </w:num>
  <w:num w:numId="35" w16cid:durableId="1876959524">
    <w:abstractNumId w:val="41"/>
  </w:num>
  <w:num w:numId="36" w16cid:durableId="2082245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83082">
    <w:abstractNumId w:val="31"/>
  </w:num>
  <w:num w:numId="38" w16cid:durableId="7099607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2603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9449330">
    <w:abstractNumId w:val="58"/>
  </w:num>
  <w:num w:numId="41" w16cid:durableId="1003896388">
    <w:abstractNumId w:val="11"/>
  </w:num>
  <w:num w:numId="42" w16cid:durableId="20829481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532961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2118104">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33442760">
    <w:abstractNumId w:val="36"/>
  </w:num>
  <w:num w:numId="46" w16cid:durableId="1054163640">
    <w:abstractNumId w:val="40"/>
  </w:num>
  <w:num w:numId="47" w16cid:durableId="1074090075">
    <w:abstractNumId w:val="21"/>
  </w:num>
  <w:num w:numId="48" w16cid:durableId="1847286521">
    <w:abstractNumId w:val="62"/>
  </w:num>
  <w:num w:numId="49" w16cid:durableId="1341666115">
    <w:abstractNumId w:val="26"/>
  </w:num>
  <w:num w:numId="50" w16cid:durableId="1578443190">
    <w:abstractNumId w:val="5"/>
  </w:num>
  <w:num w:numId="51" w16cid:durableId="121312866">
    <w:abstractNumId w:val="46"/>
  </w:num>
  <w:num w:numId="52" w16cid:durableId="1913807601">
    <w:abstractNumId w:val="34"/>
  </w:num>
  <w:num w:numId="53" w16cid:durableId="1986857308">
    <w:abstractNumId w:val="43"/>
  </w:num>
  <w:num w:numId="54" w16cid:durableId="932788499">
    <w:abstractNumId w:val="46"/>
  </w:num>
  <w:num w:numId="55" w16cid:durableId="1336613488">
    <w:abstractNumId w:val="50"/>
  </w:num>
  <w:num w:numId="56" w16cid:durableId="2102331872">
    <w:abstractNumId w:val="46"/>
  </w:num>
  <w:num w:numId="57" w16cid:durableId="180315082">
    <w:abstractNumId w:val="28"/>
  </w:num>
  <w:num w:numId="58" w16cid:durableId="207764243">
    <w:abstractNumId w:val="35"/>
  </w:num>
  <w:num w:numId="59" w16cid:durableId="2031758992">
    <w:abstractNumId w:val="46"/>
  </w:num>
  <w:num w:numId="60" w16cid:durableId="294411566">
    <w:abstractNumId w:val="47"/>
  </w:num>
  <w:num w:numId="61" w16cid:durableId="165874294">
    <w:abstractNumId w:val="44"/>
  </w:num>
  <w:num w:numId="62" w16cid:durableId="217665150">
    <w:abstractNumId w:val="59"/>
  </w:num>
  <w:num w:numId="63" w16cid:durableId="159926530">
    <w:abstractNumId w:val="8"/>
  </w:num>
  <w:num w:numId="64" w16cid:durableId="294484954">
    <w:abstractNumId w:val="51"/>
  </w:num>
  <w:num w:numId="65" w16cid:durableId="628517448">
    <w:abstractNumId w:val="17"/>
  </w:num>
  <w:num w:numId="66" w16cid:durableId="402608657">
    <w:abstractNumId w:val="14"/>
  </w:num>
  <w:num w:numId="67" w16cid:durableId="475877050">
    <w:abstractNumId w:val="37"/>
  </w:num>
  <w:num w:numId="68" w16cid:durableId="1993946551">
    <w:abstractNumId w:val="55"/>
  </w:num>
  <w:num w:numId="69" w16cid:durableId="1786844601">
    <w:abstractNumId w:val="39"/>
  </w:num>
  <w:num w:numId="70" w16cid:durableId="476528926">
    <w:abstractNumId w:val="54"/>
  </w:num>
  <w:num w:numId="71" w16cid:durableId="1362508843">
    <w:abstractNumId w:val="2"/>
  </w:num>
  <w:num w:numId="72" w16cid:durableId="2108035804">
    <w:abstractNumId w:val="60"/>
  </w:num>
  <w:numIdMacAtCleanup w:val="6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attachedTemplate r:id="rId1"/>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F6"/>
    <w:rsid w:val="00000254"/>
    <w:rsid w:val="0000075A"/>
    <w:rsid w:val="0000197E"/>
    <w:rsid w:val="00001CCC"/>
    <w:rsid w:val="00001EFF"/>
    <w:rsid w:val="0000226E"/>
    <w:rsid w:val="00003AB9"/>
    <w:rsid w:val="00003DB0"/>
    <w:rsid w:val="00003E2E"/>
    <w:rsid w:val="00003F74"/>
    <w:rsid w:val="00004A28"/>
    <w:rsid w:val="00004C86"/>
    <w:rsid w:val="000059C5"/>
    <w:rsid w:val="00006B04"/>
    <w:rsid w:val="00006EFF"/>
    <w:rsid w:val="00006FE6"/>
    <w:rsid w:val="0000791B"/>
    <w:rsid w:val="00010034"/>
    <w:rsid w:val="00010B13"/>
    <w:rsid w:val="00010BEC"/>
    <w:rsid w:val="000110F2"/>
    <w:rsid w:val="00011248"/>
    <w:rsid w:val="00011842"/>
    <w:rsid w:val="00011DB4"/>
    <w:rsid w:val="00012F6F"/>
    <w:rsid w:val="00013D86"/>
    <w:rsid w:val="00013F00"/>
    <w:rsid w:val="00014213"/>
    <w:rsid w:val="00014B55"/>
    <w:rsid w:val="0001534E"/>
    <w:rsid w:val="0001550F"/>
    <w:rsid w:val="00015C95"/>
    <w:rsid w:val="00017C0E"/>
    <w:rsid w:val="00017F66"/>
    <w:rsid w:val="0001ADB0"/>
    <w:rsid w:val="00020260"/>
    <w:rsid w:val="00020E3E"/>
    <w:rsid w:val="000210AF"/>
    <w:rsid w:val="000217F6"/>
    <w:rsid w:val="000219CD"/>
    <w:rsid w:val="00022685"/>
    <w:rsid w:val="00022706"/>
    <w:rsid w:val="00022E95"/>
    <w:rsid w:val="0002328B"/>
    <w:rsid w:val="000239FF"/>
    <w:rsid w:val="00023BF3"/>
    <w:rsid w:val="00023DD1"/>
    <w:rsid w:val="00024184"/>
    <w:rsid w:val="0002462A"/>
    <w:rsid w:val="00025539"/>
    <w:rsid w:val="000267C4"/>
    <w:rsid w:val="00026811"/>
    <w:rsid w:val="00026F9A"/>
    <w:rsid w:val="0002729B"/>
    <w:rsid w:val="00027BD8"/>
    <w:rsid w:val="00027E78"/>
    <w:rsid w:val="00027F92"/>
    <w:rsid w:val="0003021B"/>
    <w:rsid w:val="00030404"/>
    <w:rsid w:val="00030526"/>
    <w:rsid w:val="00030DE7"/>
    <w:rsid w:val="00030FD2"/>
    <w:rsid w:val="00031BC3"/>
    <w:rsid w:val="00031C5C"/>
    <w:rsid w:val="00031CE8"/>
    <w:rsid w:val="0003201C"/>
    <w:rsid w:val="00033237"/>
    <w:rsid w:val="000345C1"/>
    <w:rsid w:val="000350DD"/>
    <w:rsid w:val="00035981"/>
    <w:rsid w:val="00035D37"/>
    <w:rsid w:val="00036F77"/>
    <w:rsid w:val="0003778F"/>
    <w:rsid w:val="000402F0"/>
    <w:rsid w:val="0004185E"/>
    <w:rsid w:val="000420EF"/>
    <w:rsid w:val="00042658"/>
    <w:rsid w:val="00042FA7"/>
    <w:rsid w:val="000431F6"/>
    <w:rsid w:val="00043996"/>
    <w:rsid w:val="00043D05"/>
    <w:rsid w:val="00043DDB"/>
    <w:rsid w:val="00044537"/>
    <w:rsid w:val="0004479D"/>
    <w:rsid w:val="00044A8C"/>
    <w:rsid w:val="0004609F"/>
    <w:rsid w:val="000464F5"/>
    <w:rsid w:val="00046798"/>
    <w:rsid w:val="000467AB"/>
    <w:rsid w:val="0004698F"/>
    <w:rsid w:val="00046CA2"/>
    <w:rsid w:val="000476C2"/>
    <w:rsid w:val="000477DC"/>
    <w:rsid w:val="00047CF3"/>
    <w:rsid w:val="0005039A"/>
    <w:rsid w:val="00050725"/>
    <w:rsid w:val="00050C39"/>
    <w:rsid w:val="00051451"/>
    <w:rsid w:val="00051810"/>
    <w:rsid w:val="00052B12"/>
    <w:rsid w:val="00053AF8"/>
    <w:rsid w:val="00054E14"/>
    <w:rsid w:val="00054E6E"/>
    <w:rsid w:val="00055B72"/>
    <w:rsid w:val="00055FE8"/>
    <w:rsid w:val="00056988"/>
    <w:rsid w:val="0006030D"/>
    <w:rsid w:val="00062BC2"/>
    <w:rsid w:val="00063031"/>
    <w:rsid w:val="00063520"/>
    <w:rsid w:val="000649E9"/>
    <w:rsid w:val="000657F4"/>
    <w:rsid w:val="00065884"/>
    <w:rsid w:val="00066103"/>
    <w:rsid w:val="000704EF"/>
    <w:rsid w:val="0007125E"/>
    <w:rsid w:val="000713D8"/>
    <w:rsid w:val="000716BF"/>
    <w:rsid w:val="000719EE"/>
    <w:rsid w:val="000720BA"/>
    <w:rsid w:val="00072194"/>
    <w:rsid w:val="000721FE"/>
    <w:rsid w:val="00072279"/>
    <w:rsid w:val="00072559"/>
    <w:rsid w:val="000729CD"/>
    <w:rsid w:val="0007413D"/>
    <w:rsid w:val="00075895"/>
    <w:rsid w:val="000758DF"/>
    <w:rsid w:val="00075E6C"/>
    <w:rsid w:val="00075FC5"/>
    <w:rsid w:val="0007639E"/>
    <w:rsid w:val="000763EC"/>
    <w:rsid w:val="00076A7C"/>
    <w:rsid w:val="00076CAB"/>
    <w:rsid w:val="00077932"/>
    <w:rsid w:val="00077CE7"/>
    <w:rsid w:val="000803B0"/>
    <w:rsid w:val="00080530"/>
    <w:rsid w:val="0008053E"/>
    <w:rsid w:val="000807A0"/>
    <w:rsid w:val="000809E7"/>
    <w:rsid w:val="00080A1C"/>
    <w:rsid w:val="00081693"/>
    <w:rsid w:val="00081C12"/>
    <w:rsid w:val="0008271B"/>
    <w:rsid w:val="00082932"/>
    <w:rsid w:val="000831FA"/>
    <w:rsid w:val="00083AA7"/>
    <w:rsid w:val="000851F8"/>
    <w:rsid w:val="00085C80"/>
    <w:rsid w:val="0008674A"/>
    <w:rsid w:val="00087801"/>
    <w:rsid w:val="00087A8C"/>
    <w:rsid w:val="00087AB2"/>
    <w:rsid w:val="00087D42"/>
    <w:rsid w:val="0009065D"/>
    <w:rsid w:val="00090762"/>
    <w:rsid w:val="00090C42"/>
    <w:rsid w:val="000916DA"/>
    <w:rsid w:val="0009285A"/>
    <w:rsid w:val="0009302F"/>
    <w:rsid w:val="0009308E"/>
    <w:rsid w:val="00093415"/>
    <w:rsid w:val="0009358D"/>
    <w:rsid w:val="000935BF"/>
    <w:rsid w:val="00094184"/>
    <w:rsid w:val="0009457E"/>
    <w:rsid w:val="000945A5"/>
    <w:rsid w:val="00095631"/>
    <w:rsid w:val="000963CD"/>
    <w:rsid w:val="00097545"/>
    <w:rsid w:val="00097E0C"/>
    <w:rsid w:val="00097FCE"/>
    <w:rsid w:val="000A0729"/>
    <w:rsid w:val="000A079C"/>
    <w:rsid w:val="000A0E2B"/>
    <w:rsid w:val="000A162D"/>
    <w:rsid w:val="000A1B32"/>
    <w:rsid w:val="000A1EBB"/>
    <w:rsid w:val="000A1F51"/>
    <w:rsid w:val="000A2620"/>
    <w:rsid w:val="000A2B60"/>
    <w:rsid w:val="000A2F79"/>
    <w:rsid w:val="000A30B3"/>
    <w:rsid w:val="000A3255"/>
    <w:rsid w:val="000A3F65"/>
    <w:rsid w:val="000A4619"/>
    <w:rsid w:val="000A4A31"/>
    <w:rsid w:val="000A5854"/>
    <w:rsid w:val="000A5C3E"/>
    <w:rsid w:val="000A621C"/>
    <w:rsid w:val="000A62DC"/>
    <w:rsid w:val="000A6728"/>
    <w:rsid w:val="000A71E3"/>
    <w:rsid w:val="000A7543"/>
    <w:rsid w:val="000A7DC7"/>
    <w:rsid w:val="000B0E67"/>
    <w:rsid w:val="000B1C8B"/>
    <w:rsid w:val="000B29AD"/>
    <w:rsid w:val="000B2C34"/>
    <w:rsid w:val="000B3001"/>
    <w:rsid w:val="000B4216"/>
    <w:rsid w:val="000B51B9"/>
    <w:rsid w:val="000B61D5"/>
    <w:rsid w:val="000B6571"/>
    <w:rsid w:val="000B7E18"/>
    <w:rsid w:val="000C1A65"/>
    <w:rsid w:val="000C1BA3"/>
    <w:rsid w:val="000C21C0"/>
    <w:rsid w:val="000C234D"/>
    <w:rsid w:val="000C2477"/>
    <w:rsid w:val="000C5458"/>
    <w:rsid w:val="000C6372"/>
    <w:rsid w:val="000C743A"/>
    <w:rsid w:val="000C7A1A"/>
    <w:rsid w:val="000D01B1"/>
    <w:rsid w:val="000D06EB"/>
    <w:rsid w:val="000D1042"/>
    <w:rsid w:val="000D1358"/>
    <w:rsid w:val="000D1EC2"/>
    <w:rsid w:val="000D29AA"/>
    <w:rsid w:val="000D2A3D"/>
    <w:rsid w:val="000D2C0D"/>
    <w:rsid w:val="000D33AE"/>
    <w:rsid w:val="000D34AF"/>
    <w:rsid w:val="000D4D8D"/>
    <w:rsid w:val="000D579E"/>
    <w:rsid w:val="000D5D2C"/>
    <w:rsid w:val="000D62F9"/>
    <w:rsid w:val="000D6902"/>
    <w:rsid w:val="000D6D69"/>
    <w:rsid w:val="000D7841"/>
    <w:rsid w:val="000D7890"/>
    <w:rsid w:val="000E034B"/>
    <w:rsid w:val="000E06E9"/>
    <w:rsid w:val="000E0F69"/>
    <w:rsid w:val="000E108D"/>
    <w:rsid w:val="000E28E1"/>
    <w:rsid w:val="000E29D6"/>
    <w:rsid w:val="000E392D"/>
    <w:rsid w:val="000E39B0"/>
    <w:rsid w:val="000E39B6"/>
    <w:rsid w:val="000E3D05"/>
    <w:rsid w:val="000E4072"/>
    <w:rsid w:val="000E46B8"/>
    <w:rsid w:val="000E5148"/>
    <w:rsid w:val="000E6155"/>
    <w:rsid w:val="000E7567"/>
    <w:rsid w:val="000F034E"/>
    <w:rsid w:val="000F08D7"/>
    <w:rsid w:val="000F0F23"/>
    <w:rsid w:val="000F120C"/>
    <w:rsid w:val="000F1462"/>
    <w:rsid w:val="000F3CB2"/>
    <w:rsid w:val="000F4288"/>
    <w:rsid w:val="000F46DB"/>
    <w:rsid w:val="000F483F"/>
    <w:rsid w:val="000F656A"/>
    <w:rsid w:val="000F6616"/>
    <w:rsid w:val="000F67A7"/>
    <w:rsid w:val="000F7013"/>
    <w:rsid w:val="000F7165"/>
    <w:rsid w:val="000F7208"/>
    <w:rsid w:val="000F745F"/>
    <w:rsid w:val="0010015B"/>
    <w:rsid w:val="001002D0"/>
    <w:rsid w:val="00100361"/>
    <w:rsid w:val="00101713"/>
    <w:rsid w:val="00102379"/>
    <w:rsid w:val="00103722"/>
    <w:rsid w:val="0010437F"/>
    <w:rsid w:val="00104391"/>
    <w:rsid w:val="0010445C"/>
    <w:rsid w:val="001049E0"/>
    <w:rsid w:val="00104EDE"/>
    <w:rsid w:val="001059E5"/>
    <w:rsid w:val="00105A19"/>
    <w:rsid w:val="00105EB8"/>
    <w:rsid w:val="001065D6"/>
    <w:rsid w:val="001066F3"/>
    <w:rsid w:val="001068D5"/>
    <w:rsid w:val="00107251"/>
    <w:rsid w:val="00110254"/>
    <w:rsid w:val="00110FD6"/>
    <w:rsid w:val="00111082"/>
    <w:rsid w:val="00111BE5"/>
    <w:rsid w:val="00112623"/>
    <w:rsid w:val="00112DD2"/>
    <w:rsid w:val="001130FC"/>
    <w:rsid w:val="001137F9"/>
    <w:rsid w:val="00113919"/>
    <w:rsid w:val="00113F0F"/>
    <w:rsid w:val="00114368"/>
    <w:rsid w:val="0011478E"/>
    <w:rsid w:val="00114BE0"/>
    <w:rsid w:val="00115AF8"/>
    <w:rsid w:val="00115E1C"/>
    <w:rsid w:val="00115E22"/>
    <w:rsid w:val="00115FCF"/>
    <w:rsid w:val="0011647F"/>
    <w:rsid w:val="00117382"/>
    <w:rsid w:val="001177A1"/>
    <w:rsid w:val="00117F5F"/>
    <w:rsid w:val="00120547"/>
    <w:rsid w:val="00121252"/>
    <w:rsid w:val="001214C7"/>
    <w:rsid w:val="0012274B"/>
    <w:rsid w:val="0012277E"/>
    <w:rsid w:val="00123DB6"/>
    <w:rsid w:val="00124609"/>
    <w:rsid w:val="00124699"/>
    <w:rsid w:val="0012471F"/>
    <w:rsid w:val="00124F64"/>
    <w:rsid w:val="0012524B"/>
    <w:rsid w:val="001254CE"/>
    <w:rsid w:val="00126095"/>
    <w:rsid w:val="00126ACC"/>
    <w:rsid w:val="00126E87"/>
    <w:rsid w:val="00131D01"/>
    <w:rsid w:val="001322B4"/>
    <w:rsid w:val="00134FC4"/>
    <w:rsid w:val="00135CB6"/>
    <w:rsid w:val="00136336"/>
    <w:rsid w:val="0013778F"/>
    <w:rsid w:val="001379E1"/>
    <w:rsid w:val="00137C26"/>
    <w:rsid w:val="00137C60"/>
    <w:rsid w:val="00137E7F"/>
    <w:rsid w:val="0014020B"/>
    <w:rsid w:val="00140D85"/>
    <w:rsid w:val="00141A80"/>
    <w:rsid w:val="001422CC"/>
    <w:rsid w:val="001425A3"/>
    <w:rsid w:val="00142664"/>
    <w:rsid w:val="00142CC3"/>
    <w:rsid w:val="00143C51"/>
    <w:rsid w:val="00144C1A"/>
    <w:rsid w:val="00145346"/>
    <w:rsid w:val="00145533"/>
    <w:rsid w:val="001455ED"/>
    <w:rsid w:val="00145939"/>
    <w:rsid w:val="00145FA2"/>
    <w:rsid w:val="001470E6"/>
    <w:rsid w:val="00150333"/>
    <w:rsid w:val="001515E5"/>
    <w:rsid w:val="00152589"/>
    <w:rsid w:val="00152605"/>
    <w:rsid w:val="00152D55"/>
    <w:rsid w:val="00152D90"/>
    <w:rsid w:val="00153AE9"/>
    <w:rsid w:val="001557F6"/>
    <w:rsid w:val="0015589B"/>
    <w:rsid w:val="00156F63"/>
    <w:rsid w:val="00157A7C"/>
    <w:rsid w:val="00159E64"/>
    <w:rsid w:val="001601DB"/>
    <w:rsid w:val="00160327"/>
    <w:rsid w:val="00160638"/>
    <w:rsid w:val="001617B6"/>
    <w:rsid w:val="00161F08"/>
    <w:rsid w:val="001622D9"/>
    <w:rsid w:val="00162476"/>
    <w:rsid w:val="001626A6"/>
    <w:rsid w:val="0016291C"/>
    <w:rsid w:val="00163069"/>
    <w:rsid w:val="001630FB"/>
    <w:rsid w:val="0016326D"/>
    <w:rsid w:val="001634C5"/>
    <w:rsid w:val="00165123"/>
    <w:rsid w:val="0016531B"/>
    <w:rsid w:val="00165B75"/>
    <w:rsid w:val="00165DD5"/>
    <w:rsid w:val="00165E66"/>
    <w:rsid w:val="00166212"/>
    <w:rsid w:val="00166BCC"/>
    <w:rsid w:val="001677D0"/>
    <w:rsid w:val="00167E47"/>
    <w:rsid w:val="001707E2"/>
    <w:rsid w:val="00170DCB"/>
    <w:rsid w:val="00170ECF"/>
    <w:rsid w:val="00171256"/>
    <w:rsid w:val="0017125B"/>
    <w:rsid w:val="00171268"/>
    <w:rsid w:val="00172F73"/>
    <w:rsid w:val="00173607"/>
    <w:rsid w:val="0017426A"/>
    <w:rsid w:val="0017429B"/>
    <w:rsid w:val="00174579"/>
    <w:rsid w:val="00174D2E"/>
    <w:rsid w:val="00174EC4"/>
    <w:rsid w:val="00174F38"/>
    <w:rsid w:val="001766A5"/>
    <w:rsid w:val="001768C1"/>
    <w:rsid w:val="001768F0"/>
    <w:rsid w:val="001770FB"/>
    <w:rsid w:val="001773A2"/>
    <w:rsid w:val="00177461"/>
    <w:rsid w:val="00177B0C"/>
    <w:rsid w:val="00177C6A"/>
    <w:rsid w:val="00177D41"/>
    <w:rsid w:val="0018054E"/>
    <w:rsid w:val="00180A90"/>
    <w:rsid w:val="00181217"/>
    <w:rsid w:val="001825E1"/>
    <w:rsid w:val="00182922"/>
    <w:rsid w:val="00183D87"/>
    <w:rsid w:val="00183EAF"/>
    <w:rsid w:val="0018470F"/>
    <w:rsid w:val="00184795"/>
    <w:rsid w:val="001848F9"/>
    <w:rsid w:val="001849FD"/>
    <w:rsid w:val="00185A20"/>
    <w:rsid w:val="00185C2C"/>
    <w:rsid w:val="00185F7A"/>
    <w:rsid w:val="00186516"/>
    <w:rsid w:val="001868CF"/>
    <w:rsid w:val="001869C3"/>
    <w:rsid w:val="00186D52"/>
    <w:rsid w:val="001874F9"/>
    <w:rsid w:val="001876EA"/>
    <w:rsid w:val="00187AFC"/>
    <w:rsid w:val="00190304"/>
    <w:rsid w:val="00190650"/>
    <w:rsid w:val="001915B4"/>
    <w:rsid w:val="00191625"/>
    <w:rsid w:val="0019170C"/>
    <w:rsid w:val="001918E0"/>
    <w:rsid w:val="0019351B"/>
    <w:rsid w:val="00193B87"/>
    <w:rsid w:val="001940C8"/>
    <w:rsid w:val="0019477D"/>
    <w:rsid w:val="00194927"/>
    <w:rsid w:val="00194B79"/>
    <w:rsid w:val="00194BA6"/>
    <w:rsid w:val="00194DEE"/>
    <w:rsid w:val="00194E9B"/>
    <w:rsid w:val="001955E2"/>
    <w:rsid w:val="00195788"/>
    <w:rsid w:val="00195B33"/>
    <w:rsid w:val="00195D10"/>
    <w:rsid w:val="00195DF5"/>
    <w:rsid w:val="00196143"/>
    <w:rsid w:val="00196AB0"/>
    <w:rsid w:val="00197C20"/>
    <w:rsid w:val="001A0A8E"/>
    <w:rsid w:val="001A0AA4"/>
    <w:rsid w:val="001A1402"/>
    <w:rsid w:val="001A16DD"/>
    <w:rsid w:val="001A1EDE"/>
    <w:rsid w:val="001A1FDB"/>
    <w:rsid w:val="001A24B3"/>
    <w:rsid w:val="001A24FC"/>
    <w:rsid w:val="001A472F"/>
    <w:rsid w:val="001A4A18"/>
    <w:rsid w:val="001A52E5"/>
    <w:rsid w:val="001A5A96"/>
    <w:rsid w:val="001A5D8B"/>
    <w:rsid w:val="001A6CB5"/>
    <w:rsid w:val="001A71F1"/>
    <w:rsid w:val="001A78F8"/>
    <w:rsid w:val="001A7FB7"/>
    <w:rsid w:val="001B0810"/>
    <w:rsid w:val="001B1817"/>
    <w:rsid w:val="001B1CF0"/>
    <w:rsid w:val="001B225C"/>
    <w:rsid w:val="001B319F"/>
    <w:rsid w:val="001B3441"/>
    <w:rsid w:val="001B4223"/>
    <w:rsid w:val="001B46EF"/>
    <w:rsid w:val="001B4E16"/>
    <w:rsid w:val="001B5624"/>
    <w:rsid w:val="001B580C"/>
    <w:rsid w:val="001B6088"/>
    <w:rsid w:val="001B70D6"/>
    <w:rsid w:val="001C0755"/>
    <w:rsid w:val="001C0BBE"/>
    <w:rsid w:val="001C1378"/>
    <w:rsid w:val="001C1D63"/>
    <w:rsid w:val="001C4601"/>
    <w:rsid w:val="001C5AE8"/>
    <w:rsid w:val="001C6C97"/>
    <w:rsid w:val="001C6C9A"/>
    <w:rsid w:val="001C6DCB"/>
    <w:rsid w:val="001C7BAE"/>
    <w:rsid w:val="001C7BB4"/>
    <w:rsid w:val="001D04AA"/>
    <w:rsid w:val="001D113B"/>
    <w:rsid w:val="001D1C00"/>
    <w:rsid w:val="001D272D"/>
    <w:rsid w:val="001D2EA7"/>
    <w:rsid w:val="001D3D9E"/>
    <w:rsid w:val="001D47A7"/>
    <w:rsid w:val="001D50DE"/>
    <w:rsid w:val="001D52CE"/>
    <w:rsid w:val="001D6237"/>
    <w:rsid w:val="001D678B"/>
    <w:rsid w:val="001D71F7"/>
    <w:rsid w:val="001E03E8"/>
    <w:rsid w:val="001E0B2F"/>
    <w:rsid w:val="001E1246"/>
    <w:rsid w:val="001E19DF"/>
    <w:rsid w:val="001E1CB8"/>
    <w:rsid w:val="001E21DE"/>
    <w:rsid w:val="001E2C8F"/>
    <w:rsid w:val="001E318D"/>
    <w:rsid w:val="001E31FA"/>
    <w:rsid w:val="001E3559"/>
    <w:rsid w:val="001E37A5"/>
    <w:rsid w:val="001E3875"/>
    <w:rsid w:val="001E48F9"/>
    <w:rsid w:val="001E5831"/>
    <w:rsid w:val="001E5A6A"/>
    <w:rsid w:val="001E5D07"/>
    <w:rsid w:val="001E5FE0"/>
    <w:rsid w:val="001E61DB"/>
    <w:rsid w:val="001E6466"/>
    <w:rsid w:val="001E64F6"/>
    <w:rsid w:val="001E7AEB"/>
    <w:rsid w:val="001E7C74"/>
    <w:rsid w:val="001E7F35"/>
    <w:rsid w:val="001F1348"/>
    <w:rsid w:val="001F1CB4"/>
    <w:rsid w:val="001F34D7"/>
    <w:rsid w:val="001F395F"/>
    <w:rsid w:val="001F3A44"/>
    <w:rsid w:val="001F40DA"/>
    <w:rsid w:val="001F472F"/>
    <w:rsid w:val="001F473B"/>
    <w:rsid w:val="001F54CF"/>
    <w:rsid w:val="001F55CD"/>
    <w:rsid w:val="001F599E"/>
    <w:rsid w:val="001F5E15"/>
    <w:rsid w:val="001F6971"/>
    <w:rsid w:val="001F73BF"/>
    <w:rsid w:val="0020001D"/>
    <w:rsid w:val="00200243"/>
    <w:rsid w:val="00201AE3"/>
    <w:rsid w:val="0020293B"/>
    <w:rsid w:val="00202973"/>
    <w:rsid w:val="00203A7D"/>
    <w:rsid w:val="00204971"/>
    <w:rsid w:val="00204B82"/>
    <w:rsid w:val="0020567E"/>
    <w:rsid w:val="00205C68"/>
    <w:rsid w:val="00205E65"/>
    <w:rsid w:val="00205ECD"/>
    <w:rsid w:val="00206D48"/>
    <w:rsid w:val="002076A1"/>
    <w:rsid w:val="00207D7A"/>
    <w:rsid w:val="002104D6"/>
    <w:rsid w:val="00211433"/>
    <w:rsid w:val="002115EE"/>
    <w:rsid w:val="002123FF"/>
    <w:rsid w:val="00213217"/>
    <w:rsid w:val="00213D94"/>
    <w:rsid w:val="002140CE"/>
    <w:rsid w:val="00214410"/>
    <w:rsid w:val="00216843"/>
    <w:rsid w:val="00216C23"/>
    <w:rsid w:val="00217AD9"/>
    <w:rsid w:val="002200BA"/>
    <w:rsid w:val="0022085E"/>
    <w:rsid w:val="002208AC"/>
    <w:rsid w:val="002211A8"/>
    <w:rsid w:val="002215A6"/>
    <w:rsid w:val="0022181A"/>
    <w:rsid w:val="002227B3"/>
    <w:rsid w:val="00222BEB"/>
    <w:rsid w:val="00222BF6"/>
    <w:rsid w:val="00222D40"/>
    <w:rsid w:val="00223217"/>
    <w:rsid w:val="0022368E"/>
    <w:rsid w:val="0022375C"/>
    <w:rsid w:val="002238CC"/>
    <w:rsid w:val="00223E8D"/>
    <w:rsid w:val="002243AD"/>
    <w:rsid w:val="002244F1"/>
    <w:rsid w:val="00225279"/>
    <w:rsid w:val="00225506"/>
    <w:rsid w:val="002257FB"/>
    <w:rsid w:val="00225885"/>
    <w:rsid w:val="00225E58"/>
    <w:rsid w:val="00225E60"/>
    <w:rsid w:val="00227462"/>
    <w:rsid w:val="0022775F"/>
    <w:rsid w:val="00227CC3"/>
    <w:rsid w:val="00227E51"/>
    <w:rsid w:val="00227FF9"/>
    <w:rsid w:val="002304D5"/>
    <w:rsid w:val="00230AE5"/>
    <w:rsid w:val="00230BBB"/>
    <w:rsid w:val="00230DEA"/>
    <w:rsid w:val="0023114B"/>
    <w:rsid w:val="00231334"/>
    <w:rsid w:val="0023202C"/>
    <w:rsid w:val="002327D4"/>
    <w:rsid w:val="002329FE"/>
    <w:rsid w:val="002338BD"/>
    <w:rsid w:val="00234253"/>
    <w:rsid w:val="00234619"/>
    <w:rsid w:val="00234DE7"/>
    <w:rsid w:val="0023614D"/>
    <w:rsid w:val="00236277"/>
    <w:rsid w:val="00236970"/>
    <w:rsid w:val="00236D1F"/>
    <w:rsid w:val="00236EE6"/>
    <w:rsid w:val="00237470"/>
    <w:rsid w:val="0023780D"/>
    <w:rsid w:val="00237BD6"/>
    <w:rsid w:val="00240C93"/>
    <w:rsid w:val="00240E20"/>
    <w:rsid w:val="00240E6C"/>
    <w:rsid w:val="00241068"/>
    <w:rsid w:val="00242688"/>
    <w:rsid w:val="002427F5"/>
    <w:rsid w:val="0024409B"/>
    <w:rsid w:val="0024460D"/>
    <w:rsid w:val="00244815"/>
    <w:rsid w:val="00244BE0"/>
    <w:rsid w:val="00245043"/>
    <w:rsid w:val="002453C5"/>
    <w:rsid w:val="002469D9"/>
    <w:rsid w:val="0024717F"/>
    <w:rsid w:val="00247426"/>
    <w:rsid w:val="00251150"/>
    <w:rsid w:val="0025128A"/>
    <w:rsid w:val="002516D7"/>
    <w:rsid w:val="00251D34"/>
    <w:rsid w:val="00252CA2"/>
    <w:rsid w:val="00253E8E"/>
    <w:rsid w:val="00254C55"/>
    <w:rsid w:val="00254ED7"/>
    <w:rsid w:val="00255524"/>
    <w:rsid w:val="0025578B"/>
    <w:rsid w:val="002558BA"/>
    <w:rsid w:val="00255A2A"/>
    <w:rsid w:val="00255C66"/>
    <w:rsid w:val="00256A77"/>
    <w:rsid w:val="00256BAA"/>
    <w:rsid w:val="002570BD"/>
    <w:rsid w:val="00257925"/>
    <w:rsid w:val="00257FD0"/>
    <w:rsid w:val="0026002B"/>
    <w:rsid w:val="0026028E"/>
    <w:rsid w:val="0026088B"/>
    <w:rsid w:val="00260AD7"/>
    <w:rsid w:val="0026149E"/>
    <w:rsid w:val="0026270B"/>
    <w:rsid w:val="0026347A"/>
    <w:rsid w:val="00264015"/>
    <w:rsid w:val="00264C51"/>
    <w:rsid w:val="00264F8D"/>
    <w:rsid w:val="002653EA"/>
    <w:rsid w:val="00265DD1"/>
    <w:rsid w:val="00266354"/>
    <w:rsid w:val="00266F1D"/>
    <w:rsid w:val="0026736A"/>
    <w:rsid w:val="00267D39"/>
    <w:rsid w:val="00267FF7"/>
    <w:rsid w:val="00270EB2"/>
    <w:rsid w:val="002714E0"/>
    <w:rsid w:val="002716C1"/>
    <w:rsid w:val="00272EC4"/>
    <w:rsid w:val="0027360A"/>
    <w:rsid w:val="00273BBF"/>
    <w:rsid w:val="00274187"/>
    <w:rsid w:val="00274579"/>
    <w:rsid w:val="002746E2"/>
    <w:rsid w:val="002748F9"/>
    <w:rsid w:val="0027521C"/>
    <w:rsid w:val="00275B51"/>
    <w:rsid w:val="00275FF0"/>
    <w:rsid w:val="002763B5"/>
    <w:rsid w:val="00276717"/>
    <w:rsid w:val="00276CC1"/>
    <w:rsid w:val="002776DB"/>
    <w:rsid w:val="00280D3D"/>
    <w:rsid w:val="00281E2C"/>
    <w:rsid w:val="00282118"/>
    <w:rsid w:val="0028221B"/>
    <w:rsid w:val="00283421"/>
    <w:rsid w:val="002846C1"/>
    <w:rsid w:val="00284FA2"/>
    <w:rsid w:val="0028501E"/>
    <w:rsid w:val="00285A8E"/>
    <w:rsid w:val="00286657"/>
    <w:rsid w:val="002876D1"/>
    <w:rsid w:val="002877FA"/>
    <w:rsid w:val="00287931"/>
    <w:rsid w:val="0028F17A"/>
    <w:rsid w:val="00290438"/>
    <w:rsid w:val="00290D47"/>
    <w:rsid w:val="0029108A"/>
    <w:rsid w:val="00291145"/>
    <w:rsid w:val="00292D36"/>
    <w:rsid w:val="00292D80"/>
    <w:rsid w:val="00292F56"/>
    <w:rsid w:val="0029300C"/>
    <w:rsid w:val="00293083"/>
    <w:rsid w:val="00293DC6"/>
    <w:rsid w:val="00294A5A"/>
    <w:rsid w:val="00294C02"/>
    <w:rsid w:val="00295960"/>
    <w:rsid w:val="0029675D"/>
    <w:rsid w:val="00296961"/>
    <w:rsid w:val="00296AE1"/>
    <w:rsid w:val="00296B65"/>
    <w:rsid w:val="00297281"/>
    <w:rsid w:val="002978C2"/>
    <w:rsid w:val="00297A47"/>
    <w:rsid w:val="00297F39"/>
    <w:rsid w:val="002A00F2"/>
    <w:rsid w:val="002A11E2"/>
    <w:rsid w:val="002A27CD"/>
    <w:rsid w:val="002A2F16"/>
    <w:rsid w:val="002A37C2"/>
    <w:rsid w:val="002A4303"/>
    <w:rsid w:val="002A46CE"/>
    <w:rsid w:val="002A4AD5"/>
    <w:rsid w:val="002A5891"/>
    <w:rsid w:val="002A6834"/>
    <w:rsid w:val="002A6B1D"/>
    <w:rsid w:val="002A7213"/>
    <w:rsid w:val="002A797F"/>
    <w:rsid w:val="002B03F1"/>
    <w:rsid w:val="002B0960"/>
    <w:rsid w:val="002B128D"/>
    <w:rsid w:val="002B244F"/>
    <w:rsid w:val="002B26D6"/>
    <w:rsid w:val="002B2BF3"/>
    <w:rsid w:val="002B4CE2"/>
    <w:rsid w:val="002B4F8D"/>
    <w:rsid w:val="002B5468"/>
    <w:rsid w:val="002B5E2B"/>
    <w:rsid w:val="002B64F6"/>
    <w:rsid w:val="002B6DAA"/>
    <w:rsid w:val="002C1140"/>
    <w:rsid w:val="002C164B"/>
    <w:rsid w:val="002C1D61"/>
    <w:rsid w:val="002C261D"/>
    <w:rsid w:val="002C302D"/>
    <w:rsid w:val="002C3A2B"/>
    <w:rsid w:val="002C431F"/>
    <w:rsid w:val="002C462C"/>
    <w:rsid w:val="002C49AC"/>
    <w:rsid w:val="002C4F7F"/>
    <w:rsid w:val="002C5635"/>
    <w:rsid w:val="002C5E17"/>
    <w:rsid w:val="002C6BE7"/>
    <w:rsid w:val="002C7172"/>
    <w:rsid w:val="002C7F66"/>
    <w:rsid w:val="002D028B"/>
    <w:rsid w:val="002D07D3"/>
    <w:rsid w:val="002D101F"/>
    <w:rsid w:val="002D1746"/>
    <w:rsid w:val="002D1806"/>
    <w:rsid w:val="002D2542"/>
    <w:rsid w:val="002D2758"/>
    <w:rsid w:val="002D27C6"/>
    <w:rsid w:val="002D28A3"/>
    <w:rsid w:val="002D5A6E"/>
    <w:rsid w:val="002D5BB5"/>
    <w:rsid w:val="002D5D71"/>
    <w:rsid w:val="002D5EE8"/>
    <w:rsid w:val="002D6448"/>
    <w:rsid w:val="002D68CA"/>
    <w:rsid w:val="002D6D02"/>
    <w:rsid w:val="002D6F3C"/>
    <w:rsid w:val="002D70F7"/>
    <w:rsid w:val="002D711A"/>
    <w:rsid w:val="002D7336"/>
    <w:rsid w:val="002D7EB8"/>
    <w:rsid w:val="002E0EDD"/>
    <w:rsid w:val="002E0F76"/>
    <w:rsid w:val="002E11F0"/>
    <w:rsid w:val="002E14D3"/>
    <w:rsid w:val="002E1B31"/>
    <w:rsid w:val="002E1CC5"/>
    <w:rsid w:val="002E1CE6"/>
    <w:rsid w:val="002E1D25"/>
    <w:rsid w:val="002E2603"/>
    <w:rsid w:val="002E3396"/>
    <w:rsid w:val="002E53B3"/>
    <w:rsid w:val="002E5BD5"/>
    <w:rsid w:val="002E6144"/>
    <w:rsid w:val="002E6A97"/>
    <w:rsid w:val="002F00FB"/>
    <w:rsid w:val="002F1C64"/>
    <w:rsid w:val="002F26F3"/>
    <w:rsid w:val="002F2953"/>
    <w:rsid w:val="002F351E"/>
    <w:rsid w:val="002F369E"/>
    <w:rsid w:val="002F4173"/>
    <w:rsid w:val="002F41D6"/>
    <w:rsid w:val="002F54B3"/>
    <w:rsid w:val="002F5CF8"/>
    <w:rsid w:val="002F5F28"/>
    <w:rsid w:val="002F7033"/>
    <w:rsid w:val="002F795F"/>
    <w:rsid w:val="002F7B83"/>
    <w:rsid w:val="002F7ED8"/>
    <w:rsid w:val="003032F0"/>
    <w:rsid w:val="00303571"/>
    <w:rsid w:val="00303765"/>
    <w:rsid w:val="003038B6"/>
    <w:rsid w:val="00303E66"/>
    <w:rsid w:val="00303F96"/>
    <w:rsid w:val="00304D62"/>
    <w:rsid w:val="00305094"/>
    <w:rsid w:val="00305914"/>
    <w:rsid w:val="00306499"/>
    <w:rsid w:val="00306CB0"/>
    <w:rsid w:val="00311350"/>
    <w:rsid w:val="0031149C"/>
    <w:rsid w:val="003117A1"/>
    <w:rsid w:val="00311D76"/>
    <w:rsid w:val="00312190"/>
    <w:rsid w:val="0031239D"/>
    <w:rsid w:val="003145E8"/>
    <w:rsid w:val="00315B8F"/>
    <w:rsid w:val="00315C62"/>
    <w:rsid w:val="003164E5"/>
    <w:rsid w:val="00316647"/>
    <w:rsid w:val="0031697B"/>
    <w:rsid w:val="00316BF0"/>
    <w:rsid w:val="00316FC9"/>
    <w:rsid w:val="00317272"/>
    <w:rsid w:val="00317915"/>
    <w:rsid w:val="00320169"/>
    <w:rsid w:val="00320201"/>
    <w:rsid w:val="00321B42"/>
    <w:rsid w:val="00322CD3"/>
    <w:rsid w:val="00322E47"/>
    <w:rsid w:val="00324694"/>
    <w:rsid w:val="00324B5F"/>
    <w:rsid w:val="00325950"/>
    <w:rsid w:val="00325E21"/>
    <w:rsid w:val="00327EE9"/>
    <w:rsid w:val="00330558"/>
    <w:rsid w:val="00330E68"/>
    <w:rsid w:val="003310B3"/>
    <w:rsid w:val="0033194F"/>
    <w:rsid w:val="00331BC9"/>
    <w:rsid w:val="00331DDD"/>
    <w:rsid w:val="0033202B"/>
    <w:rsid w:val="0033301B"/>
    <w:rsid w:val="0033317F"/>
    <w:rsid w:val="003331F6"/>
    <w:rsid w:val="00333427"/>
    <w:rsid w:val="00333447"/>
    <w:rsid w:val="00333810"/>
    <w:rsid w:val="00333958"/>
    <w:rsid w:val="00334574"/>
    <w:rsid w:val="00335F4F"/>
    <w:rsid w:val="0034036A"/>
    <w:rsid w:val="00340491"/>
    <w:rsid w:val="0034056E"/>
    <w:rsid w:val="00340A4A"/>
    <w:rsid w:val="0034208B"/>
    <w:rsid w:val="00343EFE"/>
    <w:rsid w:val="00345934"/>
    <w:rsid w:val="00345B45"/>
    <w:rsid w:val="00345F0B"/>
    <w:rsid w:val="00346332"/>
    <w:rsid w:val="0034708E"/>
    <w:rsid w:val="00350149"/>
    <w:rsid w:val="00350355"/>
    <w:rsid w:val="00350441"/>
    <w:rsid w:val="00350819"/>
    <w:rsid w:val="00351054"/>
    <w:rsid w:val="00351536"/>
    <w:rsid w:val="0035166F"/>
    <w:rsid w:val="00352176"/>
    <w:rsid w:val="003523C6"/>
    <w:rsid w:val="00352EC8"/>
    <w:rsid w:val="00353219"/>
    <w:rsid w:val="00354018"/>
    <w:rsid w:val="00354BD7"/>
    <w:rsid w:val="00354D98"/>
    <w:rsid w:val="00354F49"/>
    <w:rsid w:val="003550F0"/>
    <w:rsid w:val="0035512B"/>
    <w:rsid w:val="00355881"/>
    <w:rsid w:val="00355A26"/>
    <w:rsid w:val="003566B8"/>
    <w:rsid w:val="00357114"/>
    <w:rsid w:val="0035782D"/>
    <w:rsid w:val="0035788B"/>
    <w:rsid w:val="00357A44"/>
    <w:rsid w:val="00361D52"/>
    <w:rsid w:val="00361F78"/>
    <w:rsid w:val="00362317"/>
    <w:rsid w:val="00362969"/>
    <w:rsid w:val="00363198"/>
    <w:rsid w:val="00363C23"/>
    <w:rsid w:val="003643A7"/>
    <w:rsid w:val="00364494"/>
    <w:rsid w:val="00364AC8"/>
    <w:rsid w:val="00364E55"/>
    <w:rsid w:val="0036501D"/>
    <w:rsid w:val="00367157"/>
    <w:rsid w:val="0036778F"/>
    <w:rsid w:val="00367BF9"/>
    <w:rsid w:val="00367FA6"/>
    <w:rsid w:val="003718AB"/>
    <w:rsid w:val="00372415"/>
    <w:rsid w:val="003733B4"/>
    <w:rsid w:val="003737F1"/>
    <w:rsid w:val="0037430B"/>
    <w:rsid w:val="00374550"/>
    <w:rsid w:val="0037501F"/>
    <w:rsid w:val="00375D75"/>
    <w:rsid w:val="00376B5F"/>
    <w:rsid w:val="0037775A"/>
    <w:rsid w:val="00377B45"/>
    <w:rsid w:val="00377E33"/>
    <w:rsid w:val="00380D76"/>
    <w:rsid w:val="003817EB"/>
    <w:rsid w:val="003817FC"/>
    <w:rsid w:val="00381871"/>
    <w:rsid w:val="00381C2D"/>
    <w:rsid w:val="00382204"/>
    <w:rsid w:val="00382310"/>
    <w:rsid w:val="003831A4"/>
    <w:rsid w:val="00383307"/>
    <w:rsid w:val="00384F49"/>
    <w:rsid w:val="003852F9"/>
    <w:rsid w:val="00385D03"/>
    <w:rsid w:val="00385F7D"/>
    <w:rsid w:val="0038771C"/>
    <w:rsid w:val="00387A10"/>
    <w:rsid w:val="00387D41"/>
    <w:rsid w:val="0039098A"/>
    <w:rsid w:val="0039114C"/>
    <w:rsid w:val="00391203"/>
    <w:rsid w:val="003917AD"/>
    <w:rsid w:val="00393AE6"/>
    <w:rsid w:val="0039402D"/>
    <w:rsid w:val="00395D59"/>
    <w:rsid w:val="0039607D"/>
    <w:rsid w:val="003969DA"/>
    <w:rsid w:val="00396EC0"/>
    <w:rsid w:val="003A0BEB"/>
    <w:rsid w:val="003A0E2E"/>
    <w:rsid w:val="003A1157"/>
    <w:rsid w:val="003A1714"/>
    <w:rsid w:val="003A1F48"/>
    <w:rsid w:val="003A210B"/>
    <w:rsid w:val="003A234D"/>
    <w:rsid w:val="003A239C"/>
    <w:rsid w:val="003A2A9C"/>
    <w:rsid w:val="003A3B19"/>
    <w:rsid w:val="003A430B"/>
    <w:rsid w:val="003A48AD"/>
    <w:rsid w:val="003A4EF0"/>
    <w:rsid w:val="003A5043"/>
    <w:rsid w:val="003A541A"/>
    <w:rsid w:val="003A5EFC"/>
    <w:rsid w:val="003A6923"/>
    <w:rsid w:val="003A7494"/>
    <w:rsid w:val="003A77B4"/>
    <w:rsid w:val="003A7D84"/>
    <w:rsid w:val="003A7E36"/>
    <w:rsid w:val="003B0EA4"/>
    <w:rsid w:val="003B1130"/>
    <w:rsid w:val="003B1BDB"/>
    <w:rsid w:val="003B21A5"/>
    <w:rsid w:val="003B258F"/>
    <w:rsid w:val="003B2A42"/>
    <w:rsid w:val="003B2E90"/>
    <w:rsid w:val="003B3A3A"/>
    <w:rsid w:val="003B4C2E"/>
    <w:rsid w:val="003B5D73"/>
    <w:rsid w:val="003B6DC1"/>
    <w:rsid w:val="003B7FAB"/>
    <w:rsid w:val="003C03D9"/>
    <w:rsid w:val="003C0BA9"/>
    <w:rsid w:val="003C1098"/>
    <w:rsid w:val="003C231C"/>
    <w:rsid w:val="003C2AFC"/>
    <w:rsid w:val="003C2C67"/>
    <w:rsid w:val="003C2C6B"/>
    <w:rsid w:val="003C2D4C"/>
    <w:rsid w:val="003C2ED6"/>
    <w:rsid w:val="003C2F52"/>
    <w:rsid w:val="003C32EA"/>
    <w:rsid w:val="003C3B3A"/>
    <w:rsid w:val="003C412F"/>
    <w:rsid w:val="003C41E8"/>
    <w:rsid w:val="003C4A60"/>
    <w:rsid w:val="003C5BA4"/>
    <w:rsid w:val="003C5C3F"/>
    <w:rsid w:val="003C5C9A"/>
    <w:rsid w:val="003C67A5"/>
    <w:rsid w:val="003C6FB3"/>
    <w:rsid w:val="003C7A62"/>
    <w:rsid w:val="003C7FB6"/>
    <w:rsid w:val="003D10EE"/>
    <w:rsid w:val="003D39DD"/>
    <w:rsid w:val="003D41F3"/>
    <w:rsid w:val="003D4E60"/>
    <w:rsid w:val="003D565F"/>
    <w:rsid w:val="003D5971"/>
    <w:rsid w:val="003D69D8"/>
    <w:rsid w:val="003D7652"/>
    <w:rsid w:val="003D78B4"/>
    <w:rsid w:val="003D7EB2"/>
    <w:rsid w:val="003E0690"/>
    <w:rsid w:val="003E1120"/>
    <w:rsid w:val="003E1B50"/>
    <w:rsid w:val="003E20AC"/>
    <w:rsid w:val="003E280E"/>
    <w:rsid w:val="003E320C"/>
    <w:rsid w:val="003E3810"/>
    <w:rsid w:val="003E3E26"/>
    <w:rsid w:val="003E4984"/>
    <w:rsid w:val="003E5789"/>
    <w:rsid w:val="003E5946"/>
    <w:rsid w:val="003E60BC"/>
    <w:rsid w:val="003E624D"/>
    <w:rsid w:val="003F1295"/>
    <w:rsid w:val="003F1ADE"/>
    <w:rsid w:val="003F1BDD"/>
    <w:rsid w:val="003F1EB2"/>
    <w:rsid w:val="003F239C"/>
    <w:rsid w:val="003F3036"/>
    <w:rsid w:val="003F31A2"/>
    <w:rsid w:val="003F42FF"/>
    <w:rsid w:val="003F46A4"/>
    <w:rsid w:val="003F498B"/>
    <w:rsid w:val="003F5102"/>
    <w:rsid w:val="003F5C7B"/>
    <w:rsid w:val="003F622E"/>
    <w:rsid w:val="003F6A10"/>
    <w:rsid w:val="003F76FC"/>
    <w:rsid w:val="003F77D5"/>
    <w:rsid w:val="003F7E2F"/>
    <w:rsid w:val="004002EB"/>
    <w:rsid w:val="00401B4D"/>
    <w:rsid w:val="00401FE6"/>
    <w:rsid w:val="00402AD3"/>
    <w:rsid w:val="004030ED"/>
    <w:rsid w:val="004039E8"/>
    <w:rsid w:val="00404C14"/>
    <w:rsid w:val="0040545D"/>
    <w:rsid w:val="004055EC"/>
    <w:rsid w:val="00406582"/>
    <w:rsid w:val="00406A6E"/>
    <w:rsid w:val="00406DDB"/>
    <w:rsid w:val="00407A79"/>
    <w:rsid w:val="00410315"/>
    <w:rsid w:val="004105AD"/>
    <w:rsid w:val="004107EA"/>
    <w:rsid w:val="004108A6"/>
    <w:rsid w:val="00410A84"/>
    <w:rsid w:val="0041107A"/>
    <w:rsid w:val="00411B5F"/>
    <w:rsid w:val="00411CCD"/>
    <w:rsid w:val="00411E67"/>
    <w:rsid w:val="0041306D"/>
    <w:rsid w:val="00415038"/>
    <w:rsid w:val="00415722"/>
    <w:rsid w:val="00415B4C"/>
    <w:rsid w:val="00415FB1"/>
    <w:rsid w:val="00415FE8"/>
    <w:rsid w:val="004178FC"/>
    <w:rsid w:val="004202B4"/>
    <w:rsid w:val="00420E85"/>
    <w:rsid w:val="00421D28"/>
    <w:rsid w:val="00422CBE"/>
    <w:rsid w:val="00422DDC"/>
    <w:rsid w:val="00423174"/>
    <w:rsid w:val="00423175"/>
    <w:rsid w:val="004231B5"/>
    <w:rsid w:val="004234DE"/>
    <w:rsid w:val="004236C8"/>
    <w:rsid w:val="00423A46"/>
    <w:rsid w:val="004245F3"/>
    <w:rsid w:val="00424AB3"/>
    <w:rsid w:val="00424F9B"/>
    <w:rsid w:val="00425DE8"/>
    <w:rsid w:val="00425E78"/>
    <w:rsid w:val="0042601F"/>
    <w:rsid w:val="00426A76"/>
    <w:rsid w:val="00426A7E"/>
    <w:rsid w:val="00426B37"/>
    <w:rsid w:val="004272EA"/>
    <w:rsid w:val="00427681"/>
    <w:rsid w:val="00427883"/>
    <w:rsid w:val="00427D21"/>
    <w:rsid w:val="00432053"/>
    <w:rsid w:val="00432AD2"/>
    <w:rsid w:val="0043314B"/>
    <w:rsid w:val="004335A4"/>
    <w:rsid w:val="004336E0"/>
    <w:rsid w:val="00433DB7"/>
    <w:rsid w:val="004346F5"/>
    <w:rsid w:val="0043499F"/>
    <w:rsid w:val="004349A3"/>
    <w:rsid w:val="00434BDC"/>
    <w:rsid w:val="00435947"/>
    <w:rsid w:val="00436708"/>
    <w:rsid w:val="0043696B"/>
    <w:rsid w:val="0043704D"/>
    <w:rsid w:val="004378A9"/>
    <w:rsid w:val="004379C6"/>
    <w:rsid w:val="00437BA1"/>
    <w:rsid w:val="00437BC4"/>
    <w:rsid w:val="00442281"/>
    <w:rsid w:val="004435E6"/>
    <w:rsid w:val="00443E20"/>
    <w:rsid w:val="00444334"/>
    <w:rsid w:val="00444457"/>
    <w:rsid w:val="004445FE"/>
    <w:rsid w:val="00445C68"/>
    <w:rsid w:val="00446C2A"/>
    <w:rsid w:val="00446D2F"/>
    <w:rsid w:val="00446F12"/>
    <w:rsid w:val="004473B5"/>
    <w:rsid w:val="004511D4"/>
    <w:rsid w:val="0045132B"/>
    <w:rsid w:val="004513A6"/>
    <w:rsid w:val="00451A12"/>
    <w:rsid w:val="0045258F"/>
    <w:rsid w:val="00452650"/>
    <w:rsid w:val="0045271E"/>
    <w:rsid w:val="00452FB7"/>
    <w:rsid w:val="00453054"/>
    <w:rsid w:val="00453545"/>
    <w:rsid w:val="00453750"/>
    <w:rsid w:val="00453F04"/>
    <w:rsid w:val="00456097"/>
    <w:rsid w:val="004560E1"/>
    <w:rsid w:val="00456514"/>
    <w:rsid w:val="00456941"/>
    <w:rsid w:val="00456E74"/>
    <w:rsid w:val="004575CB"/>
    <w:rsid w:val="004577F9"/>
    <w:rsid w:val="00457A6D"/>
    <w:rsid w:val="00457CEA"/>
    <w:rsid w:val="0046084F"/>
    <w:rsid w:val="004610BD"/>
    <w:rsid w:val="00461CE8"/>
    <w:rsid w:val="004626E6"/>
    <w:rsid w:val="00462D48"/>
    <w:rsid w:val="00462F33"/>
    <w:rsid w:val="004632CA"/>
    <w:rsid w:val="00463C5A"/>
    <w:rsid w:val="004643C0"/>
    <w:rsid w:val="00464E90"/>
    <w:rsid w:val="00464FE7"/>
    <w:rsid w:val="00465B39"/>
    <w:rsid w:val="0046703F"/>
    <w:rsid w:val="004702EA"/>
    <w:rsid w:val="0047221C"/>
    <w:rsid w:val="004730D4"/>
    <w:rsid w:val="004739ED"/>
    <w:rsid w:val="00474220"/>
    <w:rsid w:val="00475996"/>
    <w:rsid w:val="00475BF9"/>
    <w:rsid w:val="004761E2"/>
    <w:rsid w:val="004765C3"/>
    <w:rsid w:val="0047698A"/>
    <w:rsid w:val="00477653"/>
    <w:rsid w:val="004777DB"/>
    <w:rsid w:val="0048080E"/>
    <w:rsid w:val="00480915"/>
    <w:rsid w:val="00480A25"/>
    <w:rsid w:val="00481BEA"/>
    <w:rsid w:val="00481EC5"/>
    <w:rsid w:val="00481F8C"/>
    <w:rsid w:val="00482279"/>
    <w:rsid w:val="00482463"/>
    <w:rsid w:val="0048259C"/>
    <w:rsid w:val="004825CC"/>
    <w:rsid w:val="00482D02"/>
    <w:rsid w:val="00484326"/>
    <w:rsid w:val="0048486A"/>
    <w:rsid w:val="004859C3"/>
    <w:rsid w:val="00485B34"/>
    <w:rsid w:val="004875FF"/>
    <w:rsid w:val="004878F5"/>
    <w:rsid w:val="00490369"/>
    <w:rsid w:val="004906E2"/>
    <w:rsid w:val="00490DB6"/>
    <w:rsid w:val="00491028"/>
    <w:rsid w:val="00491344"/>
    <w:rsid w:val="00491B6A"/>
    <w:rsid w:val="00491BEC"/>
    <w:rsid w:val="00492105"/>
    <w:rsid w:val="00492244"/>
    <w:rsid w:val="00492B8F"/>
    <w:rsid w:val="00492C8D"/>
    <w:rsid w:val="00493422"/>
    <w:rsid w:val="004936F4"/>
    <w:rsid w:val="004947C6"/>
    <w:rsid w:val="00496B2A"/>
    <w:rsid w:val="00497ADD"/>
    <w:rsid w:val="00497EB0"/>
    <w:rsid w:val="004A0176"/>
    <w:rsid w:val="004A073A"/>
    <w:rsid w:val="004A11D9"/>
    <w:rsid w:val="004A2C9D"/>
    <w:rsid w:val="004A2D96"/>
    <w:rsid w:val="004A3582"/>
    <w:rsid w:val="004A3C50"/>
    <w:rsid w:val="004A422C"/>
    <w:rsid w:val="004A55ED"/>
    <w:rsid w:val="004A6003"/>
    <w:rsid w:val="004A69A2"/>
    <w:rsid w:val="004A69DC"/>
    <w:rsid w:val="004A6BA0"/>
    <w:rsid w:val="004A6F7B"/>
    <w:rsid w:val="004A6FC2"/>
    <w:rsid w:val="004A7519"/>
    <w:rsid w:val="004A8176"/>
    <w:rsid w:val="004B0C78"/>
    <w:rsid w:val="004B0F7D"/>
    <w:rsid w:val="004B104F"/>
    <w:rsid w:val="004B106F"/>
    <w:rsid w:val="004B14AD"/>
    <w:rsid w:val="004B1A70"/>
    <w:rsid w:val="004B3D1F"/>
    <w:rsid w:val="004B41EE"/>
    <w:rsid w:val="004B5BB8"/>
    <w:rsid w:val="004B5BC8"/>
    <w:rsid w:val="004B5C1C"/>
    <w:rsid w:val="004B64B1"/>
    <w:rsid w:val="004B67AE"/>
    <w:rsid w:val="004B68AD"/>
    <w:rsid w:val="004B6DFB"/>
    <w:rsid w:val="004B7477"/>
    <w:rsid w:val="004B795C"/>
    <w:rsid w:val="004C10D6"/>
    <w:rsid w:val="004C1471"/>
    <w:rsid w:val="004C319E"/>
    <w:rsid w:val="004C3BDF"/>
    <w:rsid w:val="004C3C1C"/>
    <w:rsid w:val="004C4D89"/>
    <w:rsid w:val="004C54CD"/>
    <w:rsid w:val="004C61C2"/>
    <w:rsid w:val="004D01AC"/>
    <w:rsid w:val="004D0929"/>
    <w:rsid w:val="004D15B5"/>
    <w:rsid w:val="004D22A4"/>
    <w:rsid w:val="004D2526"/>
    <w:rsid w:val="004D27EE"/>
    <w:rsid w:val="004D30A8"/>
    <w:rsid w:val="004D34BC"/>
    <w:rsid w:val="004D3518"/>
    <w:rsid w:val="004D4152"/>
    <w:rsid w:val="004D4C7C"/>
    <w:rsid w:val="004D5101"/>
    <w:rsid w:val="004D569E"/>
    <w:rsid w:val="004D5883"/>
    <w:rsid w:val="004D5DC1"/>
    <w:rsid w:val="004D6004"/>
    <w:rsid w:val="004D62D6"/>
    <w:rsid w:val="004D62E7"/>
    <w:rsid w:val="004D6898"/>
    <w:rsid w:val="004D6E75"/>
    <w:rsid w:val="004D703E"/>
    <w:rsid w:val="004D729D"/>
    <w:rsid w:val="004D7778"/>
    <w:rsid w:val="004D7877"/>
    <w:rsid w:val="004E0327"/>
    <w:rsid w:val="004E146F"/>
    <w:rsid w:val="004E14FD"/>
    <w:rsid w:val="004E15E0"/>
    <w:rsid w:val="004E1BA9"/>
    <w:rsid w:val="004E1CEA"/>
    <w:rsid w:val="004E22BF"/>
    <w:rsid w:val="004E284E"/>
    <w:rsid w:val="004E317F"/>
    <w:rsid w:val="004E36BF"/>
    <w:rsid w:val="004E4176"/>
    <w:rsid w:val="004E48A1"/>
    <w:rsid w:val="004E639A"/>
    <w:rsid w:val="004E6529"/>
    <w:rsid w:val="004E6989"/>
    <w:rsid w:val="004E7585"/>
    <w:rsid w:val="004E7A28"/>
    <w:rsid w:val="004E7D2E"/>
    <w:rsid w:val="004E7DC1"/>
    <w:rsid w:val="004F08C2"/>
    <w:rsid w:val="004F1195"/>
    <w:rsid w:val="004F1669"/>
    <w:rsid w:val="004F1D37"/>
    <w:rsid w:val="004F2019"/>
    <w:rsid w:val="004F2A97"/>
    <w:rsid w:val="004F2B75"/>
    <w:rsid w:val="004F3120"/>
    <w:rsid w:val="004F3223"/>
    <w:rsid w:val="004F3F4E"/>
    <w:rsid w:val="004F484C"/>
    <w:rsid w:val="004F4D48"/>
    <w:rsid w:val="004F5ECC"/>
    <w:rsid w:val="004F7E84"/>
    <w:rsid w:val="00500038"/>
    <w:rsid w:val="0050021F"/>
    <w:rsid w:val="00500749"/>
    <w:rsid w:val="00500822"/>
    <w:rsid w:val="00500A0F"/>
    <w:rsid w:val="00501C34"/>
    <w:rsid w:val="00501DA9"/>
    <w:rsid w:val="0050227E"/>
    <w:rsid w:val="00502D16"/>
    <w:rsid w:val="0050302F"/>
    <w:rsid w:val="0050344D"/>
    <w:rsid w:val="00503792"/>
    <w:rsid w:val="00503E08"/>
    <w:rsid w:val="00503F6B"/>
    <w:rsid w:val="0050572A"/>
    <w:rsid w:val="00505AC1"/>
    <w:rsid w:val="0050690D"/>
    <w:rsid w:val="005069D4"/>
    <w:rsid w:val="00506A54"/>
    <w:rsid w:val="00506AFD"/>
    <w:rsid w:val="00507102"/>
    <w:rsid w:val="0050766A"/>
    <w:rsid w:val="005079B2"/>
    <w:rsid w:val="00510167"/>
    <w:rsid w:val="00510796"/>
    <w:rsid w:val="00510CBA"/>
    <w:rsid w:val="00511136"/>
    <w:rsid w:val="0051169A"/>
    <w:rsid w:val="0051190D"/>
    <w:rsid w:val="00511939"/>
    <w:rsid w:val="00511E12"/>
    <w:rsid w:val="005126C8"/>
    <w:rsid w:val="005128B1"/>
    <w:rsid w:val="00512D7A"/>
    <w:rsid w:val="00512F30"/>
    <w:rsid w:val="0051317C"/>
    <w:rsid w:val="00513E86"/>
    <w:rsid w:val="00514061"/>
    <w:rsid w:val="00514D9D"/>
    <w:rsid w:val="00514EC8"/>
    <w:rsid w:val="00515030"/>
    <w:rsid w:val="00515958"/>
    <w:rsid w:val="00515D93"/>
    <w:rsid w:val="00515E59"/>
    <w:rsid w:val="00516CD9"/>
    <w:rsid w:val="00517609"/>
    <w:rsid w:val="005200D0"/>
    <w:rsid w:val="005206C5"/>
    <w:rsid w:val="005210B1"/>
    <w:rsid w:val="00521CA5"/>
    <w:rsid w:val="00521D1A"/>
    <w:rsid w:val="00522260"/>
    <w:rsid w:val="00522638"/>
    <w:rsid w:val="00523E77"/>
    <w:rsid w:val="0052412B"/>
    <w:rsid w:val="00524252"/>
    <w:rsid w:val="00525901"/>
    <w:rsid w:val="00525CD7"/>
    <w:rsid w:val="00526069"/>
    <w:rsid w:val="0052643B"/>
    <w:rsid w:val="005272BA"/>
    <w:rsid w:val="005277EE"/>
    <w:rsid w:val="00530175"/>
    <w:rsid w:val="005301E1"/>
    <w:rsid w:val="005306A2"/>
    <w:rsid w:val="00531A4C"/>
    <w:rsid w:val="00531BB6"/>
    <w:rsid w:val="00532A78"/>
    <w:rsid w:val="00532DF8"/>
    <w:rsid w:val="00533B8C"/>
    <w:rsid w:val="0053416C"/>
    <w:rsid w:val="00534A4C"/>
    <w:rsid w:val="00534E78"/>
    <w:rsid w:val="0053572F"/>
    <w:rsid w:val="0053670B"/>
    <w:rsid w:val="0054009A"/>
    <w:rsid w:val="0054048E"/>
    <w:rsid w:val="00540D8E"/>
    <w:rsid w:val="005416D7"/>
    <w:rsid w:val="005417F6"/>
    <w:rsid w:val="005419CC"/>
    <w:rsid w:val="00541C2F"/>
    <w:rsid w:val="00541FA0"/>
    <w:rsid w:val="005420F1"/>
    <w:rsid w:val="005437D7"/>
    <w:rsid w:val="00544730"/>
    <w:rsid w:val="00544CC8"/>
    <w:rsid w:val="005450D9"/>
    <w:rsid w:val="005458BD"/>
    <w:rsid w:val="005459EA"/>
    <w:rsid w:val="005466D9"/>
    <w:rsid w:val="00546A0D"/>
    <w:rsid w:val="00546E3B"/>
    <w:rsid w:val="005472AA"/>
    <w:rsid w:val="005479C4"/>
    <w:rsid w:val="00547A71"/>
    <w:rsid w:val="00550682"/>
    <w:rsid w:val="00550DD3"/>
    <w:rsid w:val="00551498"/>
    <w:rsid w:val="005529ED"/>
    <w:rsid w:val="00552DA8"/>
    <w:rsid w:val="00552DE4"/>
    <w:rsid w:val="00553886"/>
    <w:rsid w:val="00553BA4"/>
    <w:rsid w:val="00554A31"/>
    <w:rsid w:val="00554B1D"/>
    <w:rsid w:val="00557401"/>
    <w:rsid w:val="00557427"/>
    <w:rsid w:val="00557E29"/>
    <w:rsid w:val="00560293"/>
    <w:rsid w:val="00560465"/>
    <w:rsid w:val="005619BB"/>
    <w:rsid w:val="00561A76"/>
    <w:rsid w:val="00562B6A"/>
    <w:rsid w:val="00562F09"/>
    <w:rsid w:val="0056341D"/>
    <w:rsid w:val="00563527"/>
    <w:rsid w:val="0056353F"/>
    <w:rsid w:val="0056383A"/>
    <w:rsid w:val="0056472D"/>
    <w:rsid w:val="00564B72"/>
    <w:rsid w:val="00564F78"/>
    <w:rsid w:val="0056511F"/>
    <w:rsid w:val="005654BC"/>
    <w:rsid w:val="00566335"/>
    <w:rsid w:val="00566F5C"/>
    <w:rsid w:val="00567577"/>
    <w:rsid w:val="00567722"/>
    <w:rsid w:val="00567A32"/>
    <w:rsid w:val="00567DE9"/>
    <w:rsid w:val="00570535"/>
    <w:rsid w:val="00570DA3"/>
    <w:rsid w:val="0057117F"/>
    <w:rsid w:val="0057138E"/>
    <w:rsid w:val="00571565"/>
    <w:rsid w:val="00573E2F"/>
    <w:rsid w:val="00574013"/>
    <w:rsid w:val="0057407A"/>
    <w:rsid w:val="00574370"/>
    <w:rsid w:val="00574480"/>
    <w:rsid w:val="0057483C"/>
    <w:rsid w:val="0057535F"/>
    <w:rsid w:val="00575782"/>
    <w:rsid w:val="005757FD"/>
    <w:rsid w:val="0057618C"/>
    <w:rsid w:val="00576382"/>
    <w:rsid w:val="005778DB"/>
    <w:rsid w:val="00577B69"/>
    <w:rsid w:val="00580179"/>
    <w:rsid w:val="00580EE5"/>
    <w:rsid w:val="005810A7"/>
    <w:rsid w:val="0058124E"/>
    <w:rsid w:val="0058148A"/>
    <w:rsid w:val="0058166E"/>
    <w:rsid w:val="00581C3E"/>
    <w:rsid w:val="00581DE8"/>
    <w:rsid w:val="00584403"/>
    <w:rsid w:val="005848A5"/>
    <w:rsid w:val="00584CDA"/>
    <w:rsid w:val="00584D7F"/>
    <w:rsid w:val="00586722"/>
    <w:rsid w:val="00586EBB"/>
    <w:rsid w:val="005872BA"/>
    <w:rsid w:val="005875A3"/>
    <w:rsid w:val="00587711"/>
    <w:rsid w:val="0058799E"/>
    <w:rsid w:val="00587A88"/>
    <w:rsid w:val="00590846"/>
    <w:rsid w:val="00591258"/>
    <w:rsid w:val="0059255A"/>
    <w:rsid w:val="00592E19"/>
    <w:rsid w:val="00593A04"/>
    <w:rsid w:val="0059506D"/>
    <w:rsid w:val="005953EA"/>
    <w:rsid w:val="005956D3"/>
    <w:rsid w:val="005960B3"/>
    <w:rsid w:val="005963DB"/>
    <w:rsid w:val="00596460"/>
    <w:rsid w:val="00596583"/>
    <w:rsid w:val="00596BEC"/>
    <w:rsid w:val="00596F25"/>
    <w:rsid w:val="00596FA4"/>
    <w:rsid w:val="0059778D"/>
    <w:rsid w:val="005978DC"/>
    <w:rsid w:val="00597BCD"/>
    <w:rsid w:val="005A0382"/>
    <w:rsid w:val="005A1FF4"/>
    <w:rsid w:val="005A200B"/>
    <w:rsid w:val="005A207F"/>
    <w:rsid w:val="005A2C0E"/>
    <w:rsid w:val="005A3416"/>
    <w:rsid w:val="005A467C"/>
    <w:rsid w:val="005A4768"/>
    <w:rsid w:val="005A4EFC"/>
    <w:rsid w:val="005A50FC"/>
    <w:rsid w:val="005A5FC1"/>
    <w:rsid w:val="005A615D"/>
    <w:rsid w:val="005A6419"/>
    <w:rsid w:val="005A6C0F"/>
    <w:rsid w:val="005A6E30"/>
    <w:rsid w:val="005A7F6C"/>
    <w:rsid w:val="005A8DA4"/>
    <w:rsid w:val="005B0060"/>
    <w:rsid w:val="005B0111"/>
    <w:rsid w:val="005B01E9"/>
    <w:rsid w:val="005B02EC"/>
    <w:rsid w:val="005B0700"/>
    <w:rsid w:val="005B1126"/>
    <w:rsid w:val="005B27FE"/>
    <w:rsid w:val="005B2C9A"/>
    <w:rsid w:val="005B354C"/>
    <w:rsid w:val="005B39CB"/>
    <w:rsid w:val="005B3AD0"/>
    <w:rsid w:val="005B4457"/>
    <w:rsid w:val="005B5D5F"/>
    <w:rsid w:val="005B5DF2"/>
    <w:rsid w:val="005B6231"/>
    <w:rsid w:val="005B64CF"/>
    <w:rsid w:val="005B6D47"/>
    <w:rsid w:val="005B76DF"/>
    <w:rsid w:val="005B79CB"/>
    <w:rsid w:val="005C0462"/>
    <w:rsid w:val="005C04F0"/>
    <w:rsid w:val="005C0693"/>
    <w:rsid w:val="005C0953"/>
    <w:rsid w:val="005C0E91"/>
    <w:rsid w:val="005C12A8"/>
    <w:rsid w:val="005C1632"/>
    <w:rsid w:val="005C2200"/>
    <w:rsid w:val="005C250B"/>
    <w:rsid w:val="005C31EC"/>
    <w:rsid w:val="005C38C6"/>
    <w:rsid w:val="005C3FE6"/>
    <w:rsid w:val="005C43D2"/>
    <w:rsid w:val="005C4931"/>
    <w:rsid w:val="005C5210"/>
    <w:rsid w:val="005C52C3"/>
    <w:rsid w:val="005C594A"/>
    <w:rsid w:val="005C59BA"/>
    <w:rsid w:val="005C5CD2"/>
    <w:rsid w:val="005C75CC"/>
    <w:rsid w:val="005D027A"/>
    <w:rsid w:val="005D07D2"/>
    <w:rsid w:val="005D107B"/>
    <w:rsid w:val="005D212C"/>
    <w:rsid w:val="005D2615"/>
    <w:rsid w:val="005D30AB"/>
    <w:rsid w:val="005D33BD"/>
    <w:rsid w:val="005D37A3"/>
    <w:rsid w:val="005D3DA4"/>
    <w:rsid w:val="005D3F85"/>
    <w:rsid w:val="005D4086"/>
    <w:rsid w:val="005D5220"/>
    <w:rsid w:val="005D569A"/>
    <w:rsid w:val="005D5899"/>
    <w:rsid w:val="005D5F33"/>
    <w:rsid w:val="005D61FB"/>
    <w:rsid w:val="005D6563"/>
    <w:rsid w:val="005D6ED2"/>
    <w:rsid w:val="005D703E"/>
    <w:rsid w:val="005D724D"/>
    <w:rsid w:val="005D7EA1"/>
    <w:rsid w:val="005E08D7"/>
    <w:rsid w:val="005E0C97"/>
    <w:rsid w:val="005E18BE"/>
    <w:rsid w:val="005E208E"/>
    <w:rsid w:val="005E287E"/>
    <w:rsid w:val="005E3069"/>
    <w:rsid w:val="005E3461"/>
    <w:rsid w:val="005E362E"/>
    <w:rsid w:val="005E3FA0"/>
    <w:rsid w:val="005E4923"/>
    <w:rsid w:val="005E4C16"/>
    <w:rsid w:val="005E4C64"/>
    <w:rsid w:val="005E57E1"/>
    <w:rsid w:val="005E5947"/>
    <w:rsid w:val="005E5D6E"/>
    <w:rsid w:val="005E6387"/>
    <w:rsid w:val="005E795D"/>
    <w:rsid w:val="005E7EB8"/>
    <w:rsid w:val="005F18E8"/>
    <w:rsid w:val="005F1B9F"/>
    <w:rsid w:val="005F1BE4"/>
    <w:rsid w:val="005F2016"/>
    <w:rsid w:val="005F2B3F"/>
    <w:rsid w:val="005F2C16"/>
    <w:rsid w:val="005F2FC9"/>
    <w:rsid w:val="005F38B0"/>
    <w:rsid w:val="005F515E"/>
    <w:rsid w:val="005F5B4D"/>
    <w:rsid w:val="005F5C3B"/>
    <w:rsid w:val="005F61DF"/>
    <w:rsid w:val="005F6835"/>
    <w:rsid w:val="005F6FAC"/>
    <w:rsid w:val="00600418"/>
    <w:rsid w:val="00600D26"/>
    <w:rsid w:val="0060163A"/>
    <w:rsid w:val="006023F9"/>
    <w:rsid w:val="006024B3"/>
    <w:rsid w:val="0060280D"/>
    <w:rsid w:val="00602BC3"/>
    <w:rsid w:val="00603055"/>
    <w:rsid w:val="0060330C"/>
    <w:rsid w:val="00603396"/>
    <w:rsid w:val="00603458"/>
    <w:rsid w:val="00603466"/>
    <w:rsid w:val="00603593"/>
    <w:rsid w:val="006046A2"/>
    <w:rsid w:val="006047E8"/>
    <w:rsid w:val="006049E1"/>
    <w:rsid w:val="00605B2E"/>
    <w:rsid w:val="00605B99"/>
    <w:rsid w:val="00607AE4"/>
    <w:rsid w:val="00607C1C"/>
    <w:rsid w:val="00607CE5"/>
    <w:rsid w:val="0060AEB0"/>
    <w:rsid w:val="006101F4"/>
    <w:rsid w:val="006103F8"/>
    <w:rsid w:val="00610409"/>
    <w:rsid w:val="00610559"/>
    <w:rsid w:val="00610F06"/>
    <w:rsid w:val="006111F7"/>
    <w:rsid w:val="006114CE"/>
    <w:rsid w:val="0061161E"/>
    <w:rsid w:val="006121E3"/>
    <w:rsid w:val="006139FD"/>
    <w:rsid w:val="00613CF1"/>
    <w:rsid w:val="00613DBD"/>
    <w:rsid w:val="00614076"/>
    <w:rsid w:val="006142DA"/>
    <w:rsid w:val="0061430E"/>
    <w:rsid w:val="00614593"/>
    <w:rsid w:val="00615179"/>
    <w:rsid w:val="006154B2"/>
    <w:rsid w:val="00615760"/>
    <w:rsid w:val="00616087"/>
    <w:rsid w:val="006164E5"/>
    <w:rsid w:val="00616565"/>
    <w:rsid w:val="00616A04"/>
    <w:rsid w:val="00617180"/>
    <w:rsid w:val="0061745E"/>
    <w:rsid w:val="00617BB5"/>
    <w:rsid w:val="00620867"/>
    <w:rsid w:val="006208C4"/>
    <w:rsid w:val="00620CB9"/>
    <w:rsid w:val="00621153"/>
    <w:rsid w:val="00621BD7"/>
    <w:rsid w:val="00621DC0"/>
    <w:rsid w:val="0062230C"/>
    <w:rsid w:val="00622398"/>
    <w:rsid w:val="00623738"/>
    <w:rsid w:val="006243D5"/>
    <w:rsid w:val="0062474B"/>
    <w:rsid w:val="00624879"/>
    <w:rsid w:val="006249C8"/>
    <w:rsid w:val="006249D5"/>
    <w:rsid w:val="00625238"/>
    <w:rsid w:val="00625B39"/>
    <w:rsid w:val="0062667E"/>
    <w:rsid w:val="0062685E"/>
    <w:rsid w:val="00626A72"/>
    <w:rsid w:val="00627A71"/>
    <w:rsid w:val="00630055"/>
    <w:rsid w:val="006311FF"/>
    <w:rsid w:val="00632F2E"/>
    <w:rsid w:val="006332F6"/>
    <w:rsid w:val="00633856"/>
    <w:rsid w:val="00633C69"/>
    <w:rsid w:val="00634261"/>
    <w:rsid w:val="00634AC0"/>
    <w:rsid w:val="00634EB4"/>
    <w:rsid w:val="00635A2F"/>
    <w:rsid w:val="00635D03"/>
    <w:rsid w:val="00636867"/>
    <w:rsid w:val="00636930"/>
    <w:rsid w:val="0064073B"/>
    <w:rsid w:val="00640CA1"/>
    <w:rsid w:val="006413F2"/>
    <w:rsid w:val="00641933"/>
    <w:rsid w:val="00641F3F"/>
    <w:rsid w:val="00642F42"/>
    <w:rsid w:val="00642F96"/>
    <w:rsid w:val="00643271"/>
    <w:rsid w:val="00643408"/>
    <w:rsid w:val="00644012"/>
    <w:rsid w:val="006440EC"/>
    <w:rsid w:val="0064429C"/>
    <w:rsid w:val="0064430C"/>
    <w:rsid w:val="00644684"/>
    <w:rsid w:val="00644BB6"/>
    <w:rsid w:val="00645357"/>
    <w:rsid w:val="006453F0"/>
    <w:rsid w:val="00645E9B"/>
    <w:rsid w:val="006478DA"/>
    <w:rsid w:val="00647D0D"/>
    <w:rsid w:val="00651DBA"/>
    <w:rsid w:val="00651E26"/>
    <w:rsid w:val="00651F54"/>
    <w:rsid w:val="006525EB"/>
    <w:rsid w:val="00652659"/>
    <w:rsid w:val="00652D79"/>
    <w:rsid w:val="006534B2"/>
    <w:rsid w:val="00653561"/>
    <w:rsid w:val="0065416C"/>
    <w:rsid w:val="006541CC"/>
    <w:rsid w:val="00654539"/>
    <w:rsid w:val="00654C2C"/>
    <w:rsid w:val="00654C6C"/>
    <w:rsid w:val="00654FF0"/>
    <w:rsid w:val="006552E9"/>
    <w:rsid w:val="006555BA"/>
    <w:rsid w:val="0065569C"/>
    <w:rsid w:val="00655AB5"/>
    <w:rsid w:val="00655E63"/>
    <w:rsid w:val="0065615D"/>
    <w:rsid w:val="006561F2"/>
    <w:rsid w:val="0065692D"/>
    <w:rsid w:val="00656A23"/>
    <w:rsid w:val="00657011"/>
    <w:rsid w:val="006570C4"/>
    <w:rsid w:val="00657C51"/>
    <w:rsid w:val="00657F38"/>
    <w:rsid w:val="006624FB"/>
    <w:rsid w:val="00662619"/>
    <w:rsid w:val="00662D50"/>
    <w:rsid w:val="0066345D"/>
    <w:rsid w:val="00663C16"/>
    <w:rsid w:val="00664C92"/>
    <w:rsid w:val="006650B5"/>
    <w:rsid w:val="006651B1"/>
    <w:rsid w:val="00665778"/>
    <w:rsid w:val="00665D02"/>
    <w:rsid w:val="0066730C"/>
    <w:rsid w:val="006677CE"/>
    <w:rsid w:val="006704EE"/>
    <w:rsid w:val="0067189C"/>
    <w:rsid w:val="00671A55"/>
    <w:rsid w:val="00671F5A"/>
    <w:rsid w:val="00672423"/>
    <w:rsid w:val="006732C1"/>
    <w:rsid w:val="00674574"/>
    <w:rsid w:val="00674F25"/>
    <w:rsid w:val="00675BD0"/>
    <w:rsid w:val="006769F5"/>
    <w:rsid w:val="00676E5F"/>
    <w:rsid w:val="006770BE"/>
    <w:rsid w:val="00677911"/>
    <w:rsid w:val="0067AA04"/>
    <w:rsid w:val="0068162B"/>
    <w:rsid w:val="00682E19"/>
    <w:rsid w:val="00682F32"/>
    <w:rsid w:val="0068343B"/>
    <w:rsid w:val="00683E95"/>
    <w:rsid w:val="00684C9E"/>
    <w:rsid w:val="00685352"/>
    <w:rsid w:val="00685DEB"/>
    <w:rsid w:val="00686230"/>
    <w:rsid w:val="00686BC8"/>
    <w:rsid w:val="006871D3"/>
    <w:rsid w:val="00687A98"/>
    <w:rsid w:val="00687EC4"/>
    <w:rsid w:val="00690274"/>
    <w:rsid w:val="00690328"/>
    <w:rsid w:val="0069093E"/>
    <w:rsid w:val="00690E53"/>
    <w:rsid w:val="006916B0"/>
    <w:rsid w:val="006932C6"/>
    <w:rsid w:val="00694205"/>
    <w:rsid w:val="006945CA"/>
    <w:rsid w:val="006948EB"/>
    <w:rsid w:val="006959C7"/>
    <w:rsid w:val="006966EC"/>
    <w:rsid w:val="006966ED"/>
    <w:rsid w:val="00696D3A"/>
    <w:rsid w:val="00697638"/>
    <w:rsid w:val="00697D9D"/>
    <w:rsid w:val="006A04B5"/>
    <w:rsid w:val="006A08B2"/>
    <w:rsid w:val="006A0946"/>
    <w:rsid w:val="006A0952"/>
    <w:rsid w:val="006A0E4F"/>
    <w:rsid w:val="006A2386"/>
    <w:rsid w:val="006A3309"/>
    <w:rsid w:val="006A3A5A"/>
    <w:rsid w:val="006A3C4E"/>
    <w:rsid w:val="006A3D39"/>
    <w:rsid w:val="006A40D9"/>
    <w:rsid w:val="006A442E"/>
    <w:rsid w:val="006A4CB7"/>
    <w:rsid w:val="006A528D"/>
    <w:rsid w:val="006A559D"/>
    <w:rsid w:val="006A5B34"/>
    <w:rsid w:val="006A5C9C"/>
    <w:rsid w:val="006A5EEA"/>
    <w:rsid w:val="006A6241"/>
    <w:rsid w:val="006A736D"/>
    <w:rsid w:val="006A7903"/>
    <w:rsid w:val="006B00AC"/>
    <w:rsid w:val="006B08F0"/>
    <w:rsid w:val="006B0C12"/>
    <w:rsid w:val="006B1775"/>
    <w:rsid w:val="006B200E"/>
    <w:rsid w:val="006B210E"/>
    <w:rsid w:val="006B27F1"/>
    <w:rsid w:val="006B337A"/>
    <w:rsid w:val="006B44C5"/>
    <w:rsid w:val="006B48FA"/>
    <w:rsid w:val="006B60BD"/>
    <w:rsid w:val="006B6358"/>
    <w:rsid w:val="006B6A70"/>
    <w:rsid w:val="006B7347"/>
    <w:rsid w:val="006B73F4"/>
    <w:rsid w:val="006B7AD1"/>
    <w:rsid w:val="006C012B"/>
    <w:rsid w:val="006C0EFB"/>
    <w:rsid w:val="006C1D58"/>
    <w:rsid w:val="006C2185"/>
    <w:rsid w:val="006C43B1"/>
    <w:rsid w:val="006C4B0E"/>
    <w:rsid w:val="006C54B7"/>
    <w:rsid w:val="006C5535"/>
    <w:rsid w:val="006C5F50"/>
    <w:rsid w:val="006C62EB"/>
    <w:rsid w:val="006C7031"/>
    <w:rsid w:val="006C7643"/>
    <w:rsid w:val="006C77A9"/>
    <w:rsid w:val="006C7B42"/>
    <w:rsid w:val="006C7F13"/>
    <w:rsid w:val="006D0BE0"/>
    <w:rsid w:val="006D10CC"/>
    <w:rsid w:val="006D16F0"/>
    <w:rsid w:val="006D1B70"/>
    <w:rsid w:val="006D1D01"/>
    <w:rsid w:val="006D21D3"/>
    <w:rsid w:val="006D24F5"/>
    <w:rsid w:val="006D2F4D"/>
    <w:rsid w:val="006D31E0"/>
    <w:rsid w:val="006D384A"/>
    <w:rsid w:val="006D4083"/>
    <w:rsid w:val="006D42B6"/>
    <w:rsid w:val="006D4720"/>
    <w:rsid w:val="006D4869"/>
    <w:rsid w:val="006D51A1"/>
    <w:rsid w:val="006D5A41"/>
    <w:rsid w:val="006D5B85"/>
    <w:rsid w:val="006D6A36"/>
    <w:rsid w:val="006D7274"/>
    <w:rsid w:val="006D79E0"/>
    <w:rsid w:val="006E054D"/>
    <w:rsid w:val="006E1423"/>
    <w:rsid w:val="006E4440"/>
    <w:rsid w:val="006E4DCA"/>
    <w:rsid w:val="006E54CB"/>
    <w:rsid w:val="006E55B7"/>
    <w:rsid w:val="006E6C9A"/>
    <w:rsid w:val="006E6CDF"/>
    <w:rsid w:val="006E6F82"/>
    <w:rsid w:val="006E7537"/>
    <w:rsid w:val="006E7C80"/>
    <w:rsid w:val="006F0961"/>
    <w:rsid w:val="006F23B6"/>
    <w:rsid w:val="006F2F8E"/>
    <w:rsid w:val="006F37F2"/>
    <w:rsid w:val="006F444D"/>
    <w:rsid w:val="006F454D"/>
    <w:rsid w:val="006F5522"/>
    <w:rsid w:val="006F564B"/>
    <w:rsid w:val="006F5B51"/>
    <w:rsid w:val="006F6693"/>
    <w:rsid w:val="006F6AE8"/>
    <w:rsid w:val="006F6B75"/>
    <w:rsid w:val="006F73C3"/>
    <w:rsid w:val="006F7B62"/>
    <w:rsid w:val="00700381"/>
    <w:rsid w:val="0070088A"/>
    <w:rsid w:val="007009CA"/>
    <w:rsid w:val="007011EC"/>
    <w:rsid w:val="007015E6"/>
    <w:rsid w:val="00703E35"/>
    <w:rsid w:val="00703FB9"/>
    <w:rsid w:val="00704AA9"/>
    <w:rsid w:val="00704C7E"/>
    <w:rsid w:val="00704EAC"/>
    <w:rsid w:val="00704F03"/>
    <w:rsid w:val="0070586E"/>
    <w:rsid w:val="0070623C"/>
    <w:rsid w:val="007068D0"/>
    <w:rsid w:val="00706D7B"/>
    <w:rsid w:val="00707FE8"/>
    <w:rsid w:val="00710CA4"/>
    <w:rsid w:val="00711458"/>
    <w:rsid w:val="007114F6"/>
    <w:rsid w:val="00711D0C"/>
    <w:rsid w:val="007124E3"/>
    <w:rsid w:val="00712DF0"/>
    <w:rsid w:val="00713B50"/>
    <w:rsid w:val="0071412C"/>
    <w:rsid w:val="0071452F"/>
    <w:rsid w:val="00714855"/>
    <w:rsid w:val="00714AAE"/>
    <w:rsid w:val="0071690F"/>
    <w:rsid w:val="00717E09"/>
    <w:rsid w:val="007207B6"/>
    <w:rsid w:val="00721210"/>
    <w:rsid w:val="007222A7"/>
    <w:rsid w:val="0072285C"/>
    <w:rsid w:val="00722B1D"/>
    <w:rsid w:val="007232C1"/>
    <w:rsid w:val="007246FD"/>
    <w:rsid w:val="00724962"/>
    <w:rsid w:val="00724A0F"/>
    <w:rsid w:val="00725317"/>
    <w:rsid w:val="00725B84"/>
    <w:rsid w:val="0072621C"/>
    <w:rsid w:val="00726D2F"/>
    <w:rsid w:val="007274EA"/>
    <w:rsid w:val="00730A11"/>
    <w:rsid w:val="0073243D"/>
    <w:rsid w:val="00732557"/>
    <w:rsid w:val="0073260E"/>
    <w:rsid w:val="00734731"/>
    <w:rsid w:val="00734F0A"/>
    <w:rsid w:val="0073503D"/>
    <w:rsid w:val="00735138"/>
    <w:rsid w:val="00736732"/>
    <w:rsid w:val="00737063"/>
    <w:rsid w:val="00737494"/>
    <w:rsid w:val="007374D2"/>
    <w:rsid w:val="00740019"/>
    <w:rsid w:val="007400F4"/>
    <w:rsid w:val="00740421"/>
    <w:rsid w:val="00741E29"/>
    <w:rsid w:val="0074244C"/>
    <w:rsid w:val="00742C09"/>
    <w:rsid w:val="00742EA3"/>
    <w:rsid w:val="007432F9"/>
    <w:rsid w:val="007437B8"/>
    <w:rsid w:val="00743F0A"/>
    <w:rsid w:val="00744402"/>
    <w:rsid w:val="00744621"/>
    <w:rsid w:val="0074469E"/>
    <w:rsid w:val="00744F87"/>
    <w:rsid w:val="0074515F"/>
    <w:rsid w:val="0074518D"/>
    <w:rsid w:val="00745682"/>
    <w:rsid w:val="00746426"/>
    <w:rsid w:val="00746B7C"/>
    <w:rsid w:val="00746EF4"/>
    <w:rsid w:val="00747107"/>
    <w:rsid w:val="00747C87"/>
    <w:rsid w:val="00750BF9"/>
    <w:rsid w:val="00750CBE"/>
    <w:rsid w:val="007515C5"/>
    <w:rsid w:val="00751804"/>
    <w:rsid w:val="00752A33"/>
    <w:rsid w:val="00752B59"/>
    <w:rsid w:val="0075306D"/>
    <w:rsid w:val="0075311D"/>
    <w:rsid w:val="00753139"/>
    <w:rsid w:val="007536B6"/>
    <w:rsid w:val="00753948"/>
    <w:rsid w:val="00753BAC"/>
    <w:rsid w:val="007542AD"/>
    <w:rsid w:val="00754D93"/>
    <w:rsid w:val="0075578B"/>
    <w:rsid w:val="00755B9B"/>
    <w:rsid w:val="007560C7"/>
    <w:rsid w:val="007564D0"/>
    <w:rsid w:val="00756765"/>
    <w:rsid w:val="007606D7"/>
    <w:rsid w:val="0076176C"/>
    <w:rsid w:val="007630FB"/>
    <w:rsid w:val="00763C6B"/>
    <w:rsid w:val="00763CAD"/>
    <w:rsid w:val="0076414E"/>
    <w:rsid w:val="007650D2"/>
    <w:rsid w:val="0076510E"/>
    <w:rsid w:val="00765520"/>
    <w:rsid w:val="00765616"/>
    <w:rsid w:val="0076613D"/>
    <w:rsid w:val="00766B5A"/>
    <w:rsid w:val="00767AFF"/>
    <w:rsid w:val="00767B8C"/>
    <w:rsid w:val="00770FBE"/>
    <w:rsid w:val="00771777"/>
    <w:rsid w:val="00771FE6"/>
    <w:rsid w:val="00772209"/>
    <w:rsid w:val="0077227D"/>
    <w:rsid w:val="0077260A"/>
    <w:rsid w:val="007754A6"/>
    <w:rsid w:val="007770A5"/>
    <w:rsid w:val="00777ABD"/>
    <w:rsid w:val="00777D1A"/>
    <w:rsid w:val="007808B7"/>
    <w:rsid w:val="00780D77"/>
    <w:rsid w:val="007810E3"/>
    <w:rsid w:val="0078145A"/>
    <w:rsid w:val="00781529"/>
    <w:rsid w:val="00781CC7"/>
    <w:rsid w:val="0078256D"/>
    <w:rsid w:val="00782571"/>
    <w:rsid w:val="00782C31"/>
    <w:rsid w:val="00783105"/>
    <w:rsid w:val="007834F2"/>
    <w:rsid w:val="0078357E"/>
    <w:rsid w:val="0078429D"/>
    <w:rsid w:val="0078432C"/>
    <w:rsid w:val="0078475E"/>
    <w:rsid w:val="007850E6"/>
    <w:rsid w:val="00785331"/>
    <w:rsid w:val="00785774"/>
    <w:rsid w:val="007861B5"/>
    <w:rsid w:val="00786FB0"/>
    <w:rsid w:val="007877E9"/>
    <w:rsid w:val="00790181"/>
    <w:rsid w:val="00791020"/>
    <w:rsid w:val="00791303"/>
    <w:rsid w:val="0079145A"/>
    <w:rsid w:val="00791821"/>
    <w:rsid w:val="00791C54"/>
    <w:rsid w:val="00791C75"/>
    <w:rsid w:val="0079267C"/>
    <w:rsid w:val="00792913"/>
    <w:rsid w:val="00792DBF"/>
    <w:rsid w:val="00792F18"/>
    <w:rsid w:val="0079310F"/>
    <w:rsid w:val="007933FB"/>
    <w:rsid w:val="0079398E"/>
    <w:rsid w:val="00793E7B"/>
    <w:rsid w:val="00793F51"/>
    <w:rsid w:val="00794985"/>
    <w:rsid w:val="00794C25"/>
    <w:rsid w:val="00795615"/>
    <w:rsid w:val="007958DC"/>
    <w:rsid w:val="00795C89"/>
    <w:rsid w:val="00795E50"/>
    <w:rsid w:val="00796484"/>
    <w:rsid w:val="00796D48"/>
    <w:rsid w:val="0079738C"/>
    <w:rsid w:val="007A033B"/>
    <w:rsid w:val="007A04D2"/>
    <w:rsid w:val="007A17A9"/>
    <w:rsid w:val="007A19A0"/>
    <w:rsid w:val="007A1AFE"/>
    <w:rsid w:val="007A1EC6"/>
    <w:rsid w:val="007A20B6"/>
    <w:rsid w:val="007A2754"/>
    <w:rsid w:val="007A42C9"/>
    <w:rsid w:val="007A4F64"/>
    <w:rsid w:val="007A5202"/>
    <w:rsid w:val="007A58B3"/>
    <w:rsid w:val="007A5C1B"/>
    <w:rsid w:val="007A5F82"/>
    <w:rsid w:val="007B05D4"/>
    <w:rsid w:val="007B091A"/>
    <w:rsid w:val="007B0E29"/>
    <w:rsid w:val="007B1244"/>
    <w:rsid w:val="007B17D9"/>
    <w:rsid w:val="007B19B7"/>
    <w:rsid w:val="007B1DC6"/>
    <w:rsid w:val="007B2142"/>
    <w:rsid w:val="007B2B3C"/>
    <w:rsid w:val="007B2DAE"/>
    <w:rsid w:val="007B4483"/>
    <w:rsid w:val="007B4E0D"/>
    <w:rsid w:val="007B526A"/>
    <w:rsid w:val="007B548A"/>
    <w:rsid w:val="007B55C7"/>
    <w:rsid w:val="007B5DE5"/>
    <w:rsid w:val="007B6086"/>
    <w:rsid w:val="007B6389"/>
    <w:rsid w:val="007B7879"/>
    <w:rsid w:val="007B78BB"/>
    <w:rsid w:val="007B7C63"/>
    <w:rsid w:val="007B7D29"/>
    <w:rsid w:val="007C11BB"/>
    <w:rsid w:val="007C17C1"/>
    <w:rsid w:val="007C1C2A"/>
    <w:rsid w:val="007C3C71"/>
    <w:rsid w:val="007C3F8C"/>
    <w:rsid w:val="007C45F3"/>
    <w:rsid w:val="007C4CE6"/>
    <w:rsid w:val="007C5A75"/>
    <w:rsid w:val="007C651A"/>
    <w:rsid w:val="007C6A33"/>
    <w:rsid w:val="007C6BE7"/>
    <w:rsid w:val="007C6E3E"/>
    <w:rsid w:val="007C6FE3"/>
    <w:rsid w:val="007C714A"/>
    <w:rsid w:val="007C7B96"/>
    <w:rsid w:val="007C7EF0"/>
    <w:rsid w:val="007D11D1"/>
    <w:rsid w:val="007D1281"/>
    <w:rsid w:val="007D1674"/>
    <w:rsid w:val="007D1D61"/>
    <w:rsid w:val="007D292B"/>
    <w:rsid w:val="007D42AC"/>
    <w:rsid w:val="007D4436"/>
    <w:rsid w:val="007D46A4"/>
    <w:rsid w:val="007D46AA"/>
    <w:rsid w:val="007D481B"/>
    <w:rsid w:val="007D4E4A"/>
    <w:rsid w:val="007D547C"/>
    <w:rsid w:val="007D5F9E"/>
    <w:rsid w:val="007D6713"/>
    <w:rsid w:val="007D7A8F"/>
    <w:rsid w:val="007D7D1B"/>
    <w:rsid w:val="007E098F"/>
    <w:rsid w:val="007E0B61"/>
    <w:rsid w:val="007E0B76"/>
    <w:rsid w:val="007E1530"/>
    <w:rsid w:val="007E1A77"/>
    <w:rsid w:val="007E1A94"/>
    <w:rsid w:val="007E28F7"/>
    <w:rsid w:val="007E309B"/>
    <w:rsid w:val="007E3B30"/>
    <w:rsid w:val="007E3BA2"/>
    <w:rsid w:val="007E435F"/>
    <w:rsid w:val="007E4561"/>
    <w:rsid w:val="007E45B9"/>
    <w:rsid w:val="007E4893"/>
    <w:rsid w:val="007E4A74"/>
    <w:rsid w:val="007E4ED9"/>
    <w:rsid w:val="007E5936"/>
    <w:rsid w:val="007E5D52"/>
    <w:rsid w:val="007E67DE"/>
    <w:rsid w:val="007E6CEF"/>
    <w:rsid w:val="007E71AA"/>
    <w:rsid w:val="007E734E"/>
    <w:rsid w:val="007E7968"/>
    <w:rsid w:val="007E7FB1"/>
    <w:rsid w:val="007F187E"/>
    <w:rsid w:val="007F1A4C"/>
    <w:rsid w:val="007F2669"/>
    <w:rsid w:val="007F347D"/>
    <w:rsid w:val="007F37FE"/>
    <w:rsid w:val="007F3809"/>
    <w:rsid w:val="007F385C"/>
    <w:rsid w:val="007F4BB5"/>
    <w:rsid w:val="007F539E"/>
    <w:rsid w:val="007F63C6"/>
    <w:rsid w:val="007F6DC4"/>
    <w:rsid w:val="007F723F"/>
    <w:rsid w:val="007F7A4D"/>
    <w:rsid w:val="00800A3F"/>
    <w:rsid w:val="00800E20"/>
    <w:rsid w:val="00801000"/>
    <w:rsid w:val="008017F9"/>
    <w:rsid w:val="00801B07"/>
    <w:rsid w:val="00801F77"/>
    <w:rsid w:val="008022C3"/>
    <w:rsid w:val="008030FD"/>
    <w:rsid w:val="00803A71"/>
    <w:rsid w:val="00803DC1"/>
    <w:rsid w:val="0080419A"/>
    <w:rsid w:val="008041E6"/>
    <w:rsid w:val="00804722"/>
    <w:rsid w:val="00804ADD"/>
    <w:rsid w:val="00804B2B"/>
    <w:rsid w:val="00805E70"/>
    <w:rsid w:val="008065D2"/>
    <w:rsid w:val="00806D46"/>
    <w:rsid w:val="00810658"/>
    <w:rsid w:val="00811403"/>
    <w:rsid w:val="00811AA7"/>
    <w:rsid w:val="00811D28"/>
    <w:rsid w:val="0081219F"/>
    <w:rsid w:val="00812542"/>
    <w:rsid w:val="008126BB"/>
    <w:rsid w:val="00812DB8"/>
    <w:rsid w:val="0081399B"/>
    <w:rsid w:val="00813BAA"/>
    <w:rsid w:val="00813BF9"/>
    <w:rsid w:val="0081452D"/>
    <w:rsid w:val="00814CB1"/>
    <w:rsid w:val="00814F12"/>
    <w:rsid w:val="00815046"/>
    <w:rsid w:val="00815464"/>
    <w:rsid w:val="008154E1"/>
    <w:rsid w:val="00815902"/>
    <w:rsid w:val="00815A8A"/>
    <w:rsid w:val="00815D57"/>
    <w:rsid w:val="008170A4"/>
    <w:rsid w:val="008171B5"/>
    <w:rsid w:val="008171C3"/>
    <w:rsid w:val="008179AA"/>
    <w:rsid w:val="0082194C"/>
    <w:rsid w:val="00821ADC"/>
    <w:rsid w:val="008222FF"/>
    <w:rsid w:val="008225B7"/>
    <w:rsid w:val="00822B56"/>
    <w:rsid w:val="0082372F"/>
    <w:rsid w:val="008238AA"/>
    <w:rsid w:val="008241FF"/>
    <w:rsid w:val="008247FA"/>
    <w:rsid w:val="00824B35"/>
    <w:rsid w:val="0082593C"/>
    <w:rsid w:val="0082704B"/>
    <w:rsid w:val="0082704C"/>
    <w:rsid w:val="00827454"/>
    <w:rsid w:val="0082747B"/>
    <w:rsid w:val="00827BB4"/>
    <w:rsid w:val="00830BA4"/>
    <w:rsid w:val="00830CCB"/>
    <w:rsid w:val="00830D80"/>
    <w:rsid w:val="00830F37"/>
    <w:rsid w:val="0083105A"/>
    <w:rsid w:val="00831452"/>
    <w:rsid w:val="008317D9"/>
    <w:rsid w:val="00831976"/>
    <w:rsid w:val="00833ADA"/>
    <w:rsid w:val="0083456F"/>
    <w:rsid w:val="0083462D"/>
    <w:rsid w:val="008348E6"/>
    <w:rsid w:val="0083539D"/>
    <w:rsid w:val="00835E27"/>
    <w:rsid w:val="00836054"/>
    <w:rsid w:val="00836CC9"/>
    <w:rsid w:val="008374EC"/>
    <w:rsid w:val="008411E9"/>
    <w:rsid w:val="008413A8"/>
    <w:rsid w:val="00841617"/>
    <w:rsid w:val="00841D60"/>
    <w:rsid w:val="0084200F"/>
    <w:rsid w:val="0084204C"/>
    <w:rsid w:val="008421AA"/>
    <w:rsid w:val="00842389"/>
    <w:rsid w:val="00842451"/>
    <w:rsid w:val="00842B43"/>
    <w:rsid w:val="00842E8F"/>
    <w:rsid w:val="00843B2C"/>
    <w:rsid w:val="00844BBB"/>
    <w:rsid w:val="00844F16"/>
    <w:rsid w:val="00845C08"/>
    <w:rsid w:val="00846A4D"/>
    <w:rsid w:val="00847745"/>
    <w:rsid w:val="00847A82"/>
    <w:rsid w:val="00847B27"/>
    <w:rsid w:val="008502A1"/>
    <w:rsid w:val="00850ECF"/>
    <w:rsid w:val="008515B0"/>
    <w:rsid w:val="0085254F"/>
    <w:rsid w:val="00853D2F"/>
    <w:rsid w:val="00854201"/>
    <w:rsid w:val="0085466A"/>
    <w:rsid w:val="008551C8"/>
    <w:rsid w:val="0085590E"/>
    <w:rsid w:val="00855B07"/>
    <w:rsid w:val="00855C0C"/>
    <w:rsid w:val="00855FF9"/>
    <w:rsid w:val="008572DF"/>
    <w:rsid w:val="0085746F"/>
    <w:rsid w:val="00857B53"/>
    <w:rsid w:val="00860237"/>
    <w:rsid w:val="008626AE"/>
    <w:rsid w:val="0086277A"/>
    <w:rsid w:val="00862F4B"/>
    <w:rsid w:val="008633AC"/>
    <w:rsid w:val="008634B3"/>
    <w:rsid w:val="00863567"/>
    <w:rsid w:val="0086367A"/>
    <w:rsid w:val="008636C2"/>
    <w:rsid w:val="00863851"/>
    <w:rsid w:val="00863BE6"/>
    <w:rsid w:val="008655E8"/>
    <w:rsid w:val="00865A5B"/>
    <w:rsid w:val="00865E30"/>
    <w:rsid w:val="00865F48"/>
    <w:rsid w:val="00865F57"/>
    <w:rsid w:val="008668A8"/>
    <w:rsid w:val="00870781"/>
    <w:rsid w:val="00870998"/>
    <w:rsid w:val="008719DF"/>
    <w:rsid w:val="00872B9A"/>
    <w:rsid w:val="00873415"/>
    <w:rsid w:val="00873B95"/>
    <w:rsid w:val="00873CCA"/>
    <w:rsid w:val="0087427E"/>
    <w:rsid w:val="00874EDB"/>
    <w:rsid w:val="008751DB"/>
    <w:rsid w:val="00876171"/>
    <w:rsid w:val="008762B8"/>
    <w:rsid w:val="0087651D"/>
    <w:rsid w:val="008768AD"/>
    <w:rsid w:val="00876E4F"/>
    <w:rsid w:val="008771D3"/>
    <w:rsid w:val="008774C3"/>
    <w:rsid w:val="00877841"/>
    <w:rsid w:val="008778C2"/>
    <w:rsid w:val="00877B2D"/>
    <w:rsid w:val="008807FB"/>
    <w:rsid w:val="00880995"/>
    <w:rsid w:val="00880AC4"/>
    <w:rsid w:val="008813B1"/>
    <w:rsid w:val="00882FC1"/>
    <w:rsid w:val="008830CC"/>
    <w:rsid w:val="008837BE"/>
    <w:rsid w:val="00883EEA"/>
    <w:rsid w:val="00883F0F"/>
    <w:rsid w:val="00886AC3"/>
    <w:rsid w:val="008877F4"/>
    <w:rsid w:val="0088785C"/>
    <w:rsid w:val="00887910"/>
    <w:rsid w:val="00887AB8"/>
    <w:rsid w:val="00887E7D"/>
    <w:rsid w:val="00890040"/>
    <w:rsid w:val="008906C9"/>
    <w:rsid w:val="00890867"/>
    <w:rsid w:val="00890EDE"/>
    <w:rsid w:val="00891769"/>
    <w:rsid w:val="0089258D"/>
    <w:rsid w:val="00892E06"/>
    <w:rsid w:val="008943E6"/>
    <w:rsid w:val="00895BD4"/>
    <w:rsid w:val="00895F4E"/>
    <w:rsid w:val="00896173"/>
    <w:rsid w:val="008966ED"/>
    <w:rsid w:val="00897447"/>
    <w:rsid w:val="00897DF2"/>
    <w:rsid w:val="008A04F0"/>
    <w:rsid w:val="008A06BD"/>
    <w:rsid w:val="008A0D6C"/>
    <w:rsid w:val="008A143A"/>
    <w:rsid w:val="008A1501"/>
    <w:rsid w:val="008A1A4B"/>
    <w:rsid w:val="008A400C"/>
    <w:rsid w:val="008A4900"/>
    <w:rsid w:val="008A4C2F"/>
    <w:rsid w:val="008A53E0"/>
    <w:rsid w:val="008A55FE"/>
    <w:rsid w:val="008A642D"/>
    <w:rsid w:val="008AEE3F"/>
    <w:rsid w:val="008B02BD"/>
    <w:rsid w:val="008B04F0"/>
    <w:rsid w:val="008B09A6"/>
    <w:rsid w:val="008B1151"/>
    <w:rsid w:val="008B146D"/>
    <w:rsid w:val="008B18D6"/>
    <w:rsid w:val="008B1A86"/>
    <w:rsid w:val="008B1DF9"/>
    <w:rsid w:val="008B2216"/>
    <w:rsid w:val="008B3744"/>
    <w:rsid w:val="008B3ACA"/>
    <w:rsid w:val="008B3EC4"/>
    <w:rsid w:val="008B42AD"/>
    <w:rsid w:val="008B4A49"/>
    <w:rsid w:val="008B5666"/>
    <w:rsid w:val="008B5E22"/>
    <w:rsid w:val="008B5EFB"/>
    <w:rsid w:val="008B60B6"/>
    <w:rsid w:val="008B62F3"/>
    <w:rsid w:val="008B65E9"/>
    <w:rsid w:val="008B6D93"/>
    <w:rsid w:val="008C07E7"/>
    <w:rsid w:val="008C14EC"/>
    <w:rsid w:val="008C157F"/>
    <w:rsid w:val="008C1704"/>
    <w:rsid w:val="008C1A04"/>
    <w:rsid w:val="008C2512"/>
    <w:rsid w:val="008C33D2"/>
    <w:rsid w:val="008C38B9"/>
    <w:rsid w:val="008C5184"/>
    <w:rsid w:val="008C5722"/>
    <w:rsid w:val="008D0065"/>
    <w:rsid w:val="008D007C"/>
    <w:rsid w:val="008D0281"/>
    <w:rsid w:val="008D0BB7"/>
    <w:rsid w:val="008D16CD"/>
    <w:rsid w:val="008D2066"/>
    <w:rsid w:val="008D214B"/>
    <w:rsid w:val="008D23F4"/>
    <w:rsid w:val="008D2457"/>
    <w:rsid w:val="008D285E"/>
    <w:rsid w:val="008D2CA7"/>
    <w:rsid w:val="008D2D17"/>
    <w:rsid w:val="008D3AF7"/>
    <w:rsid w:val="008D4443"/>
    <w:rsid w:val="008D4555"/>
    <w:rsid w:val="008D4E03"/>
    <w:rsid w:val="008D4E50"/>
    <w:rsid w:val="008D4EEC"/>
    <w:rsid w:val="008D532F"/>
    <w:rsid w:val="008D6299"/>
    <w:rsid w:val="008D6959"/>
    <w:rsid w:val="008D6AAC"/>
    <w:rsid w:val="008D6AEE"/>
    <w:rsid w:val="008D74D5"/>
    <w:rsid w:val="008E00D3"/>
    <w:rsid w:val="008E0EEC"/>
    <w:rsid w:val="008E12CB"/>
    <w:rsid w:val="008E173C"/>
    <w:rsid w:val="008E1EE4"/>
    <w:rsid w:val="008E2348"/>
    <w:rsid w:val="008E2BB3"/>
    <w:rsid w:val="008E347D"/>
    <w:rsid w:val="008E43FB"/>
    <w:rsid w:val="008E46E7"/>
    <w:rsid w:val="008E4A2B"/>
    <w:rsid w:val="008E4DFC"/>
    <w:rsid w:val="008E4EB9"/>
    <w:rsid w:val="008E539B"/>
    <w:rsid w:val="008E56D4"/>
    <w:rsid w:val="008E5A3C"/>
    <w:rsid w:val="008E5E52"/>
    <w:rsid w:val="008E65FF"/>
    <w:rsid w:val="008E665A"/>
    <w:rsid w:val="008E6FFF"/>
    <w:rsid w:val="008E7187"/>
    <w:rsid w:val="008E7A01"/>
    <w:rsid w:val="008E7E58"/>
    <w:rsid w:val="008F04C8"/>
    <w:rsid w:val="008F0AF1"/>
    <w:rsid w:val="008F103E"/>
    <w:rsid w:val="008F2234"/>
    <w:rsid w:val="008F2489"/>
    <w:rsid w:val="008F2774"/>
    <w:rsid w:val="008F3D5A"/>
    <w:rsid w:val="008F4275"/>
    <w:rsid w:val="008F4736"/>
    <w:rsid w:val="008F5683"/>
    <w:rsid w:val="008F68E9"/>
    <w:rsid w:val="008F6D45"/>
    <w:rsid w:val="00900E16"/>
    <w:rsid w:val="00901005"/>
    <w:rsid w:val="00903F5A"/>
    <w:rsid w:val="00903F81"/>
    <w:rsid w:val="0090550F"/>
    <w:rsid w:val="00905E6A"/>
    <w:rsid w:val="0090618F"/>
    <w:rsid w:val="009062DF"/>
    <w:rsid w:val="009068A9"/>
    <w:rsid w:val="00907445"/>
    <w:rsid w:val="00907654"/>
    <w:rsid w:val="00907AC5"/>
    <w:rsid w:val="00907D75"/>
    <w:rsid w:val="00907FF7"/>
    <w:rsid w:val="00910E37"/>
    <w:rsid w:val="009124F1"/>
    <w:rsid w:val="00913731"/>
    <w:rsid w:val="00913766"/>
    <w:rsid w:val="00913AD6"/>
    <w:rsid w:val="00913C84"/>
    <w:rsid w:val="00913F24"/>
    <w:rsid w:val="009157E9"/>
    <w:rsid w:val="00916033"/>
    <w:rsid w:val="00916437"/>
    <w:rsid w:val="00916FB6"/>
    <w:rsid w:val="00917431"/>
    <w:rsid w:val="009175E5"/>
    <w:rsid w:val="00917C4E"/>
    <w:rsid w:val="00917C9A"/>
    <w:rsid w:val="00917D37"/>
    <w:rsid w:val="00920089"/>
    <w:rsid w:val="00920E37"/>
    <w:rsid w:val="00921C94"/>
    <w:rsid w:val="00921FF4"/>
    <w:rsid w:val="00922571"/>
    <w:rsid w:val="00922944"/>
    <w:rsid w:val="00922E2A"/>
    <w:rsid w:val="00925198"/>
    <w:rsid w:val="009270F5"/>
    <w:rsid w:val="00928DA6"/>
    <w:rsid w:val="0093104E"/>
    <w:rsid w:val="00931FD9"/>
    <w:rsid w:val="009322B1"/>
    <w:rsid w:val="009322BA"/>
    <w:rsid w:val="00932935"/>
    <w:rsid w:val="00933499"/>
    <w:rsid w:val="009336F4"/>
    <w:rsid w:val="00933B70"/>
    <w:rsid w:val="0093411E"/>
    <w:rsid w:val="00934C41"/>
    <w:rsid w:val="00934DD0"/>
    <w:rsid w:val="009357AE"/>
    <w:rsid w:val="00935980"/>
    <w:rsid w:val="00935AF8"/>
    <w:rsid w:val="00935DAF"/>
    <w:rsid w:val="00935DDB"/>
    <w:rsid w:val="00936479"/>
    <w:rsid w:val="009369C8"/>
    <w:rsid w:val="00937089"/>
    <w:rsid w:val="00937A10"/>
    <w:rsid w:val="00937E55"/>
    <w:rsid w:val="0094100E"/>
    <w:rsid w:val="009414DE"/>
    <w:rsid w:val="009414FB"/>
    <w:rsid w:val="00942B0C"/>
    <w:rsid w:val="00942C5C"/>
    <w:rsid w:val="009433B4"/>
    <w:rsid w:val="009434FB"/>
    <w:rsid w:val="009438B5"/>
    <w:rsid w:val="009449EC"/>
    <w:rsid w:val="00945224"/>
    <w:rsid w:val="00945291"/>
    <w:rsid w:val="00945531"/>
    <w:rsid w:val="009456E5"/>
    <w:rsid w:val="009464B0"/>
    <w:rsid w:val="0094666C"/>
    <w:rsid w:val="00946932"/>
    <w:rsid w:val="00946A66"/>
    <w:rsid w:val="00946CBF"/>
    <w:rsid w:val="00947A0F"/>
    <w:rsid w:val="00947DD7"/>
    <w:rsid w:val="00950210"/>
    <w:rsid w:val="00950472"/>
    <w:rsid w:val="009506E4"/>
    <w:rsid w:val="00950781"/>
    <w:rsid w:val="009507DB"/>
    <w:rsid w:val="00950925"/>
    <w:rsid w:val="00950964"/>
    <w:rsid w:val="00950E42"/>
    <w:rsid w:val="009510D0"/>
    <w:rsid w:val="0095238D"/>
    <w:rsid w:val="00952F8B"/>
    <w:rsid w:val="00953253"/>
    <w:rsid w:val="00953622"/>
    <w:rsid w:val="009550B5"/>
    <w:rsid w:val="009556F0"/>
    <w:rsid w:val="0095660C"/>
    <w:rsid w:val="00956846"/>
    <w:rsid w:val="00956925"/>
    <w:rsid w:val="009579EA"/>
    <w:rsid w:val="00957C84"/>
    <w:rsid w:val="00960DC8"/>
    <w:rsid w:val="00960DFA"/>
    <w:rsid w:val="009612EF"/>
    <w:rsid w:val="00961516"/>
    <w:rsid w:val="00961640"/>
    <w:rsid w:val="0096259C"/>
    <w:rsid w:val="00962C70"/>
    <w:rsid w:val="00962EF6"/>
    <w:rsid w:val="00963570"/>
    <w:rsid w:val="009643FA"/>
    <w:rsid w:val="0096448F"/>
    <w:rsid w:val="0096464B"/>
    <w:rsid w:val="00965C7E"/>
    <w:rsid w:val="00966115"/>
    <w:rsid w:val="009664AB"/>
    <w:rsid w:val="009668E1"/>
    <w:rsid w:val="0096691D"/>
    <w:rsid w:val="00967D1D"/>
    <w:rsid w:val="009702F5"/>
    <w:rsid w:val="00972594"/>
    <w:rsid w:val="00972812"/>
    <w:rsid w:val="009734E7"/>
    <w:rsid w:val="009741CC"/>
    <w:rsid w:val="00974314"/>
    <w:rsid w:val="00974578"/>
    <w:rsid w:val="00975595"/>
    <w:rsid w:val="00975B7C"/>
    <w:rsid w:val="009768F5"/>
    <w:rsid w:val="00976E33"/>
    <w:rsid w:val="009815B1"/>
    <w:rsid w:val="00981D5D"/>
    <w:rsid w:val="00981F50"/>
    <w:rsid w:val="00982452"/>
    <w:rsid w:val="00982CAB"/>
    <w:rsid w:val="009834C0"/>
    <w:rsid w:val="009834C4"/>
    <w:rsid w:val="009835B6"/>
    <w:rsid w:val="0098413F"/>
    <w:rsid w:val="009843C3"/>
    <w:rsid w:val="0098698E"/>
    <w:rsid w:val="00986AAC"/>
    <w:rsid w:val="0098703E"/>
    <w:rsid w:val="0098787A"/>
    <w:rsid w:val="00987DC1"/>
    <w:rsid w:val="00987E0F"/>
    <w:rsid w:val="00990276"/>
    <w:rsid w:val="009905FA"/>
    <w:rsid w:val="00990822"/>
    <w:rsid w:val="00991773"/>
    <w:rsid w:val="00992307"/>
    <w:rsid w:val="00992683"/>
    <w:rsid w:val="0099321D"/>
    <w:rsid w:val="00993B69"/>
    <w:rsid w:val="00994B72"/>
    <w:rsid w:val="00994CB0"/>
    <w:rsid w:val="00994FD7"/>
    <w:rsid w:val="00995526"/>
    <w:rsid w:val="00995DED"/>
    <w:rsid w:val="0099617D"/>
    <w:rsid w:val="00997ED6"/>
    <w:rsid w:val="009A0481"/>
    <w:rsid w:val="009A0E50"/>
    <w:rsid w:val="009A18BC"/>
    <w:rsid w:val="009A1DA2"/>
    <w:rsid w:val="009A2F0F"/>
    <w:rsid w:val="009A35AA"/>
    <w:rsid w:val="009A3704"/>
    <w:rsid w:val="009A4235"/>
    <w:rsid w:val="009A4739"/>
    <w:rsid w:val="009A49E6"/>
    <w:rsid w:val="009A5144"/>
    <w:rsid w:val="009A5740"/>
    <w:rsid w:val="009A5A8F"/>
    <w:rsid w:val="009A5DE3"/>
    <w:rsid w:val="009A6423"/>
    <w:rsid w:val="009A674F"/>
    <w:rsid w:val="009A6916"/>
    <w:rsid w:val="009A6D22"/>
    <w:rsid w:val="009A6D6E"/>
    <w:rsid w:val="009A7C2E"/>
    <w:rsid w:val="009B0D96"/>
    <w:rsid w:val="009B1457"/>
    <w:rsid w:val="009B199C"/>
    <w:rsid w:val="009B1A9B"/>
    <w:rsid w:val="009B2782"/>
    <w:rsid w:val="009B28E4"/>
    <w:rsid w:val="009B3849"/>
    <w:rsid w:val="009B3F1A"/>
    <w:rsid w:val="009B402C"/>
    <w:rsid w:val="009B57E2"/>
    <w:rsid w:val="009B58D6"/>
    <w:rsid w:val="009B5979"/>
    <w:rsid w:val="009B6188"/>
    <w:rsid w:val="009B61F1"/>
    <w:rsid w:val="009B6257"/>
    <w:rsid w:val="009B62E0"/>
    <w:rsid w:val="009B7758"/>
    <w:rsid w:val="009B7CAE"/>
    <w:rsid w:val="009B7D80"/>
    <w:rsid w:val="009B7ED9"/>
    <w:rsid w:val="009C0ADB"/>
    <w:rsid w:val="009C0BDB"/>
    <w:rsid w:val="009C0EBA"/>
    <w:rsid w:val="009C115B"/>
    <w:rsid w:val="009C186D"/>
    <w:rsid w:val="009C192F"/>
    <w:rsid w:val="009C19A4"/>
    <w:rsid w:val="009C1CB7"/>
    <w:rsid w:val="009C21E4"/>
    <w:rsid w:val="009C225A"/>
    <w:rsid w:val="009C3177"/>
    <w:rsid w:val="009C33B0"/>
    <w:rsid w:val="009C3791"/>
    <w:rsid w:val="009C382B"/>
    <w:rsid w:val="009C39C4"/>
    <w:rsid w:val="009C3D88"/>
    <w:rsid w:val="009C44CE"/>
    <w:rsid w:val="009C5272"/>
    <w:rsid w:val="009C5732"/>
    <w:rsid w:val="009C5965"/>
    <w:rsid w:val="009C7927"/>
    <w:rsid w:val="009C7CCE"/>
    <w:rsid w:val="009D076C"/>
    <w:rsid w:val="009D0912"/>
    <w:rsid w:val="009D0A7D"/>
    <w:rsid w:val="009D1193"/>
    <w:rsid w:val="009D17FC"/>
    <w:rsid w:val="009D1BDE"/>
    <w:rsid w:val="009D2245"/>
    <w:rsid w:val="009D24D0"/>
    <w:rsid w:val="009D2D2E"/>
    <w:rsid w:val="009D2F6C"/>
    <w:rsid w:val="009D3B15"/>
    <w:rsid w:val="009D5923"/>
    <w:rsid w:val="009D5DF6"/>
    <w:rsid w:val="009D6057"/>
    <w:rsid w:val="009D71E4"/>
    <w:rsid w:val="009E0151"/>
    <w:rsid w:val="009E0167"/>
    <w:rsid w:val="009E051F"/>
    <w:rsid w:val="009E08CD"/>
    <w:rsid w:val="009E0ECD"/>
    <w:rsid w:val="009E1579"/>
    <w:rsid w:val="009E1651"/>
    <w:rsid w:val="009E253C"/>
    <w:rsid w:val="009E37AE"/>
    <w:rsid w:val="009E3858"/>
    <w:rsid w:val="009E467D"/>
    <w:rsid w:val="009E5F48"/>
    <w:rsid w:val="009E6219"/>
    <w:rsid w:val="009E6768"/>
    <w:rsid w:val="009E70DD"/>
    <w:rsid w:val="009E79CB"/>
    <w:rsid w:val="009F136D"/>
    <w:rsid w:val="009F1571"/>
    <w:rsid w:val="009F1CF0"/>
    <w:rsid w:val="009F1D46"/>
    <w:rsid w:val="009F1ED5"/>
    <w:rsid w:val="009F2B95"/>
    <w:rsid w:val="009F2ED9"/>
    <w:rsid w:val="009F2FAE"/>
    <w:rsid w:val="009F3112"/>
    <w:rsid w:val="009F3231"/>
    <w:rsid w:val="009F47F1"/>
    <w:rsid w:val="009F55D7"/>
    <w:rsid w:val="009F5AA4"/>
    <w:rsid w:val="009F5C58"/>
    <w:rsid w:val="009F60B5"/>
    <w:rsid w:val="009F6544"/>
    <w:rsid w:val="009F6DAD"/>
    <w:rsid w:val="009F7010"/>
    <w:rsid w:val="009F784E"/>
    <w:rsid w:val="00A00465"/>
    <w:rsid w:val="00A008EB"/>
    <w:rsid w:val="00A00FC4"/>
    <w:rsid w:val="00A020F5"/>
    <w:rsid w:val="00A023A0"/>
    <w:rsid w:val="00A02D1E"/>
    <w:rsid w:val="00A034F7"/>
    <w:rsid w:val="00A03F7D"/>
    <w:rsid w:val="00A04379"/>
    <w:rsid w:val="00A044E8"/>
    <w:rsid w:val="00A0507D"/>
    <w:rsid w:val="00A05208"/>
    <w:rsid w:val="00A055BC"/>
    <w:rsid w:val="00A05AC0"/>
    <w:rsid w:val="00A05EBC"/>
    <w:rsid w:val="00A05FC4"/>
    <w:rsid w:val="00A060F5"/>
    <w:rsid w:val="00A07168"/>
    <w:rsid w:val="00A07CA0"/>
    <w:rsid w:val="00A07F35"/>
    <w:rsid w:val="00A07FF4"/>
    <w:rsid w:val="00A10083"/>
    <w:rsid w:val="00A1016B"/>
    <w:rsid w:val="00A1124B"/>
    <w:rsid w:val="00A11380"/>
    <w:rsid w:val="00A11C4F"/>
    <w:rsid w:val="00A12F28"/>
    <w:rsid w:val="00A13143"/>
    <w:rsid w:val="00A14298"/>
    <w:rsid w:val="00A14D1B"/>
    <w:rsid w:val="00A14DEF"/>
    <w:rsid w:val="00A1562B"/>
    <w:rsid w:val="00A1582C"/>
    <w:rsid w:val="00A1663F"/>
    <w:rsid w:val="00A170F4"/>
    <w:rsid w:val="00A17585"/>
    <w:rsid w:val="00A208E8"/>
    <w:rsid w:val="00A20E51"/>
    <w:rsid w:val="00A21408"/>
    <w:rsid w:val="00A21CFD"/>
    <w:rsid w:val="00A2275E"/>
    <w:rsid w:val="00A22A88"/>
    <w:rsid w:val="00A238AC"/>
    <w:rsid w:val="00A23BA4"/>
    <w:rsid w:val="00A23ECC"/>
    <w:rsid w:val="00A25B78"/>
    <w:rsid w:val="00A268CB"/>
    <w:rsid w:val="00A26F4F"/>
    <w:rsid w:val="00A26FBD"/>
    <w:rsid w:val="00A27570"/>
    <w:rsid w:val="00A27B01"/>
    <w:rsid w:val="00A30DF3"/>
    <w:rsid w:val="00A312A6"/>
    <w:rsid w:val="00A31A6E"/>
    <w:rsid w:val="00A31AA7"/>
    <w:rsid w:val="00A31C3A"/>
    <w:rsid w:val="00A31FD8"/>
    <w:rsid w:val="00A32172"/>
    <w:rsid w:val="00A3252A"/>
    <w:rsid w:val="00A32BF4"/>
    <w:rsid w:val="00A336BF"/>
    <w:rsid w:val="00A34BF3"/>
    <w:rsid w:val="00A35A51"/>
    <w:rsid w:val="00A35D74"/>
    <w:rsid w:val="00A37B7B"/>
    <w:rsid w:val="00A40075"/>
    <w:rsid w:val="00A400CC"/>
    <w:rsid w:val="00A40403"/>
    <w:rsid w:val="00A40495"/>
    <w:rsid w:val="00A40820"/>
    <w:rsid w:val="00A421AA"/>
    <w:rsid w:val="00A425B3"/>
    <w:rsid w:val="00A42CC6"/>
    <w:rsid w:val="00A439D3"/>
    <w:rsid w:val="00A44144"/>
    <w:rsid w:val="00A4456D"/>
    <w:rsid w:val="00A451EB"/>
    <w:rsid w:val="00A45782"/>
    <w:rsid w:val="00A45CB0"/>
    <w:rsid w:val="00A45D5F"/>
    <w:rsid w:val="00A46288"/>
    <w:rsid w:val="00A46513"/>
    <w:rsid w:val="00A46605"/>
    <w:rsid w:val="00A469C9"/>
    <w:rsid w:val="00A46BA8"/>
    <w:rsid w:val="00A47634"/>
    <w:rsid w:val="00A5094C"/>
    <w:rsid w:val="00A51035"/>
    <w:rsid w:val="00A52392"/>
    <w:rsid w:val="00A52C2F"/>
    <w:rsid w:val="00A53296"/>
    <w:rsid w:val="00A53982"/>
    <w:rsid w:val="00A5441B"/>
    <w:rsid w:val="00A557DF"/>
    <w:rsid w:val="00A564B8"/>
    <w:rsid w:val="00A56775"/>
    <w:rsid w:val="00A5694A"/>
    <w:rsid w:val="00A56BE8"/>
    <w:rsid w:val="00A5729E"/>
    <w:rsid w:val="00A57E74"/>
    <w:rsid w:val="00A57FBA"/>
    <w:rsid w:val="00A60634"/>
    <w:rsid w:val="00A60A13"/>
    <w:rsid w:val="00A60AEC"/>
    <w:rsid w:val="00A60C7C"/>
    <w:rsid w:val="00A60C9E"/>
    <w:rsid w:val="00A612AE"/>
    <w:rsid w:val="00A612FE"/>
    <w:rsid w:val="00A62EA8"/>
    <w:rsid w:val="00A64915"/>
    <w:rsid w:val="00A6526A"/>
    <w:rsid w:val="00A65D11"/>
    <w:rsid w:val="00A65DFF"/>
    <w:rsid w:val="00A66F4D"/>
    <w:rsid w:val="00A67E9D"/>
    <w:rsid w:val="00A70213"/>
    <w:rsid w:val="00A703B3"/>
    <w:rsid w:val="00A70B49"/>
    <w:rsid w:val="00A71A41"/>
    <w:rsid w:val="00A72FA1"/>
    <w:rsid w:val="00A73141"/>
    <w:rsid w:val="00A733A1"/>
    <w:rsid w:val="00A740D4"/>
    <w:rsid w:val="00A74410"/>
    <w:rsid w:val="00A74484"/>
    <w:rsid w:val="00A74884"/>
    <w:rsid w:val="00A74938"/>
    <w:rsid w:val="00A76A64"/>
    <w:rsid w:val="00A76FCF"/>
    <w:rsid w:val="00A77099"/>
    <w:rsid w:val="00A77128"/>
    <w:rsid w:val="00A77EF7"/>
    <w:rsid w:val="00A80608"/>
    <w:rsid w:val="00A8084F"/>
    <w:rsid w:val="00A80BB6"/>
    <w:rsid w:val="00A80DBB"/>
    <w:rsid w:val="00A81DFF"/>
    <w:rsid w:val="00A81E85"/>
    <w:rsid w:val="00A831D5"/>
    <w:rsid w:val="00A83AB4"/>
    <w:rsid w:val="00A84624"/>
    <w:rsid w:val="00A84684"/>
    <w:rsid w:val="00A849AB"/>
    <w:rsid w:val="00A84D90"/>
    <w:rsid w:val="00A850D2"/>
    <w:rsid w:val="00A86295"/>
    <w:rsid w:val="00A90385"/>
    <w:rsid w:val="00A904B4"/>
    <w:rsid w:val="00A90521"/>
    <w:rsid w:val="00A90C35"/>
    <w:rsid w:val="00A90F7B"/>
    <w:rsid w:val="00A921B3"/>
    <w:rsid w:val="00A92D94"/>
    <w:rsid w:val="00A947FE"/>
    <w:rsid w:val="00A94E4B"/>
    <w:rsid w:val="00A952BF"/>
    <w:rsid w:val="00A960AE"/>
    <w:rsid w:val="00A966B0"/>
    <w:rsid w:val="00A96864"/>
    <w:rsid w:val="00A9754A"/>
    <w:rsid w:val="00A97703"/>
    <w:rsid w:val="00A977C7"/>
    <w:rsid w:val="00A97B57"/>
    <w:rsid w:val="00AA05F1"/>
    <w:rsid w:val="00AA0F47"/>
    <w:rsid w:val="00AA0F53"/>
    <w:rsid w:val="00AA16DC"/>
    <w:rsid w:val="00AA1FFE"/>
    <w:rsid w:val="00AA26B8"/>
    <w:rsid w:val="00AA4288"/>
    <w:rsid w:val="00AA44A4"/>
    <w:rsid w:val="00AA4907"/>
    <w:rsid w:val="00AA5090"/>
    <w:rsid w:val="00AA519E"/>
    <w:rsid w:val="00AA5A01"/>
    <w:rsid w:val="00AA5A51"/>
    <w:rsid w:val="00AA5D35"/>
    <w:rsid w:val="00AA5DFC"/>
    <w:rsid w:val="00AA621B"/>
    <w:rsid w:val="00AA62C5"/>
    <w:rsid w:val="00AA7906"/>
    <w:rsid w:val="00AA7D0C"/>
    <w:rsid w:val="00AB042B"/>
    <w:rsid w:val="00AB0C39"/>
    <w:rsid w:val="00AB0C3B"/>
    <w:rsid w:val="00AB1090"/>
    <w:rsid w:val="00AB1252"/>
    <w:rsid w:val="00AB1B76"/>
    <w:rsid w:val="00AB24E4"/>
    <w:rsid w:val="00AB2F9C"/>
    <w:rsid w:val="00AB382F"/>
    <w:rsid w:val="00AB3B10"/>
    <w:rsid w:val="00AB45F6"/>
    <w:rsid w:val="00AB54AC"/>
    <w:rsid w:val="00AB6D66"/>
    <w:rsid w:val="00AB73EC"/>
    <w:rsid w:val="00AB777A"/>
    <w:rsid w:val="00AB7EA4"/>
    <w:rsid w:val="00AC0B87"/>
    <w:rsid w:val="00AC1051"/>
    <w:rsid w:val="00AC229F"/>
    <w:rsid w:val="00AC2624"/>
    <w:rsid w:val="00AC2C6C"/>
    <w:rsid w:val="00AC32A8"/>
    <w:rsid w:val="00AC352F"/>
    <w:rsid w:val="00AC3E0C"/>
    <w:rsid w:val="00AC3EFB"/>
    <w:rsid w:val="00AC4722"/>
    <w:rsid w:val="00AC48E1"/>
    <w:rsid w:val="00AC4A57"/>
    <w:rsid w:val="00AC4C45"/>
    <w:rsid w:val="00AC5522"/>
    <w:rsid w:val="00AC5E20"/>
    <w:rsid w:val="00AC78D1"/>
    <w:rsid w:val="00AD0825"/>
    <w:rsid w:val="00AD1351"/>
    <w:rsid w:val="00AD211A"/>
    <w:rsid w:val="00AD21A1"/>
    <w:rsid w:val="00AD23D9"/>
    <w:rsid w:val="00AD2636"/>
    <w:rsid w:val="00AD2DA4"/>
    <w:rsid w:val="00AD410E"/>
    <w:rsid w:val="00AD4528"/>
    <w:rsid w:val="00AD4AB9"/>
    <w:rsid w:val="00AD5285"/>
    <w:rsid w:val="00AD575B"/>
    <w:rsid w:val="00AD5C31"/>
    <w:rsid w:val="00AD61B1"/>
    <w:rsid w:val="00AD62B9"/>
    <w:rsid w:val="00AD62F0"/>
    <w:rsid w:val="00AD6A1C"/>
    <w:rsid w:val="00AD6FCE"/>
    <w:rsid w:val="00AD7C80"/>
    <w:rsid w:val="00AD7E4E"/>
    <w:rsid w:val="00AE0C12"/>
    <w:rsid w:val="00AE124A"/>
    <w:rsid w:val="00AE1304"/>
    <w:rsid w:val="00AE1E1E"/>
    <w:rsid w:val="00AE1FEB"/>
    <w:rsid w:val="00AE271D"/>
    <w:rsid w:val="00AE2BEF"/>
    <w:rsid w:val="00AE2D9C"/>
    <w:rsid w:val="00AE2E58"/>
    <w:rsid w:val="00AE34D6"/>
    <w:rsid w:val="00AE3F46"/>
    <w:rsid w:val="00AE5E04"/>
    <w:rsid w:val="00AE62C6"/>
    <w:rsid w:val="00AE6E96"/>
    <w:rsid w:val="00AE7DDA"/>
    <w:rsid w:val="00AF02B1"/>
    <w:rsid w:val="00AF0448"/>
    <w:rsid w:val="00AF088D"/>
    <w:rsid w:val="00AF0B87"/>
    <w:rsid w:val="00AF12C5"/>
    <w:rsid w:val="00AF4D58"/>
    <w:rsid w:val="00AF6666"/>
    <w:rsid w:val="00AF6E45"/>
    <w:rsid w:val="00AF7BC5"/>
    <w:rsid w:val="00B007F4"/>
    <w:rsid w:val="00B00A6E"/>
    <w:rsid w:val="00B00BDA"/>
    <w:rsid w:val="00B0127F"/>
    <w:rsid w:val="00B013CB"/>
    <w:rsid w:val="00B013DF"/>
    <w:rsid w:val="00B02CE6"/>
    <w:rsid w:val="00B033C6"/>
    <w:rsid w:val="00B03B91"/>
    <w:rsid w:val="00B042BA"/>
    <w:rsid w:val="00B04454"/>
    <w:rsid w:val="00B046FF"/>
    <w:rsid w:val="00B0520C"/>
    <w:rsid w:val="00B05297"/>
    <w:rsid w:val="00B05D83"/>
    <w:rsid w:val="00B060D5"/>
    <w:rsid w:val="00B0644A"/>
    <w:rsid w:val="00B0659F"/>
    <w:rsid w:val="00B06C88"/>
    <w:rsid w:val="00B06CA8"/>
    <w:rsid w:val="00B0723D"/>
    <w:rsid w:val="00B08C16"/>
    <w:rsid w:val="00B1051C"/>
    <w:rsid w:val="00B10CD5"/>
    <w:rsid w:val="00B116E3"/>
    <w:rsid w:val="00B12355"/>
    <w:rsid w:val="00B12740"/>
    <w:rsid w:val="00B139C9"/>
    <w:rsid w:val="00B141C4"/>
    <w:rsid w:val="00B154DB"/>
    <w:rsid w:val="00B15592"/>
    <w:rsid w:val="00B157F6"/>
    <w:rsid w:val="00B16D2B"/>
    <w:rsid w:val="00B16F3A"/>
    <w:rsid w:val="00B177C5"/>
    <w:rsid w:val="00B17B20"/>
    <w:rsid w:val="00B17C4C"/>
    <w:rsid w:val="00B20237"/>
    <w:rsid w:val="00B207B2"/>
    <w:rsid w:val="00B216D1"/>
    <w:rsid w:val="00B219E8"/>
    <w:rsid w:val="00B22B3C"/>
    <w:rsid w:val="00B22F97"/>
    <w:rsid w:val="00B23AE9"/>
    <w:rsid w:val="00B24116"/>
    <w:rsid w:val="00B24480"/>
    <w:rsid w:val="00B24D81"/>
    <w:rsid w:val="00B25029"/>
    <w:rsid w:val="00B2633C"/>
    <w:rsid w:val="00B26646"/>
    <w:rsid w:val="00B26F26"/>
    <w:rsid w:val="00B273D4"/>
    <w:rsid w:val="00B303B1"/>
    <w:rsid w:val="00B3056A"/>
    <w:rsid w:val="00B30708"/>
    <w:rsid w:val="00B30772"/>
    <w:rsid w:val="00B31BB3"/>
    <w:rsid w:val="00B335D7"/>
    <w:rsid w:val="00B3482A"/>
    <w:rsid w:val="00B34A9D"/>
    <w:rsid w:val="00B34B9A"/>
    <w:rsid w:val="00B3541A"/>
    <w:rsid w:val="00B35865"/>
    <w:rsid w:val="00B358FF"/>
    <w:rsid w:val="00B35DEB"/>
    <w:rsid w:val="00B37513"/>
    <w:rsid w:val="00B37E65"/>
    <w:rsid w:val="00B37FF8"/>
    <w:rsid w:val="00B3957A"/>
    <w:rsid w:val="00B40BFA"/>
    <w:rsid w:val="00B40E8A"/>
    <w:rsid w:val="00B4111A"/>
    <w:rsid w:val="00B41AF2"/>
    <w:rsid w:val="00B41DEC"/>
    <w:rsid w:val="00B42422"/>
    <w:rsid w:val="00B430B1"/>
    <w:rsid w:val="00B43690"/>
    <w:rsid w:val="00B44259"/>
    <w:rsid w:val="00B4511A"/>
    <w:rsid w:val="00B4572D"/>
    <w:rsid w:val="00B459C9"/>
    <w:rsid w:val="00B46832"/>
    <w:rsid w:val="00B4735E"/>
    <w:rsid w:val="00B47369"/>
    <w:rsid w:val="00B47635"/>
    <w:rsid w:val="00B47FA5"/>
    <w:rsid w:val="00B5031D"/>
    <w:rsid w:val="00B509A6"/>
    <w:rsid w:val="00B51464"/>
    <w:rsid w:val="00B515DB"/>
    <w:rsid w:val="00B516C5"/>
    <w:rsid w:val="00B51C51"/>
    <w:rsid w:val="00B51CD6"/>
    <w:rsid w:val="00B529DC"/>
    <w:rsid w:val="00B52B2E"/>
    <w:rsid w:val="00B5309B"/>
    <w:rsid w:val="00B555EE"/>
    <w:rsid w:val="00B556E1"/>
    <w:rsid w:val="00B557E5"/>
    <w:rsid w:val="00B55A42"/>
    <w:rsid w:val="00B5797A"/>
    <w:rsid w:val="00B57E40"/>
    <w:rsid w:val="00B6131E"/>
    <w:rsid w:val="00B617EC"/>
    <w:rsid w:val="00B62C1D"/>
    <w:rsid w:val="00B6350E"/>
    <w:rsid w:val="00B63AD8"/>
    <w:rsid w:val="00B63F23"/>
    <w:rsid w:val="00B641E7"/>
    <w:rsid w:val="00B65548"/>
    <w:rsid w:val="00B65630"/>
    <w:rsid w:val="00B66750"/>
    <w:rsid w:val="00B673BB"/>
    <w:rsid w:val="00B6794E"/>
    <w:rsid w:val="00B67C58"/>
    <w:rsid w:val="00B67CEF"/>
    <w:rsid w:val="00B67EC6"/>
    <w:rsid w:val="00B67FDA"/>
    <w:rsid w:val="00B70191"/>
    <w:rsid w:val="00B70BA3"/>
    <w:rsid w:val="00B71BB1"/>
    <w:rsid w:val="00B7275E"/>
    <w:rsid w:val="00B72BC1"/>
    <w:rsid w:val="00B72CF3"/>
    <w:rsid w:val="00B72D42"/>
    <w:rsid w:val="00B73450"/>
    <w:rsid w:val="00B73B9C"/>
    <w:rsid w:val="00B74B22"/>
    <w:rsid w:val="00B751D6"/>
    <w:rsid w:val="00B752F6"/>
    <w:rsid w:val="00B75B62"/>
    <w:rsid w:val="00B75C8D"/>
    <w:rsid w:val="00B76301"/>
    <w:rsid w:val="00B764C6"/>
    <w:rsid w:val="00B77819"/>
    <w:rsid w:val="00B8083B"/>
    <w:rsid w:val="00B808E8"/>
    <w:rsid w:val="00B815A3"/>
    <w:rsid w:val="00B81B44"/>
    <w:rsid w:val="00B82E8A"/>
    <w:rsid w:val="00B83583"/>
    <w:rsid w:val="00B83A53"/>
    <w:rsid w:val="00B83D28"/>
    <w:rsid w:val="00B846B1"/>
    <w:rsid w:val="00B85209"/>
    <w:rsid w:val="00B85624"/>
    <w:rsid w:val="00B86191"/>
    <w:rsid w:val="00B86D1B"/>
    <w:rsid w:val="00B86D7E"/>
    <w:rsid w:val="00B870DD"/>
    <w:rsid w:val="00B876D1"/>
    <w:rsid w:val="00B876EC"/>
    <w:rsid w:val="00B87AC9"/>
    <w:rsid w:val="00B87E4B"/>
    <w:rsid w:val="00B90399"/>
    <w:rsid w:val="00B9053B"/>
    <w:rsid w:val="00B92729"/>
    <w:rsid w:val="00B931A3"/>
    <w:rsid w:val="00B94846"/>
    <w:rsid w:val="00B949FF"/>
    <w:rsid w:val="00B94BD9"/>
    <w:rsid w:val="00B9580E"/>
    <w:rsid w:val="00B958DA"/>
    <w:rsid w:val="00B96281"/>
    <w:rsid w:val="00B9777C"/>
    <w:rsid w:val="00B979A6"/>
    <w:rsid w:val="00B97A87"/>
    <w:rsid w:val="00B97DBE"/>
    <w:rsid w:val="00BA0745"/>
    <w:rsid w:val="00BA0C37"/>
    <w:rsid w:val="00BA1698"/>
    <w:rsid w:val="00BA2481"/>
    <w:rsid w:val="00BA30ED"/>
    <w:rsid w:val="00BA340D"/>
    <w:rsid w:val="00BA3439"/>
    <w:rsid w:val="00BA3782"/>
    <w:rsid w:val="00BA3CC9"/>
    <w:rsid w:val="00BA4A09"/>
    <w:rsid w:val="00BA5A86"/>
    <w:rsid w:val="00BA5BEB"/>
    <w:rsid w:val="00BA624B"/>
    <w:rsid w:val="00BA6A97"/>
    <w:rsid w:val="00BA6BA0"/>
    <w:rsid w:val="00BA74D9"/>
    <w:rsid w:val="00BB0655"/>
    <w:rsid w:val="00BB091A"/>
    <w:rsid w:val="00BB393C"/>
    <w:rsid w:val="00BB4061"/>
    <w:rsid w:val="00BB42A4"/>
    <w:rsid w:val="00BB4C52"/>
    <w:rsid w:val="00BB4D98"/>
    <w:rsid w:val="00BB4EBF"/>
    <w:rsid w:val="00BB51F6"/>
    <w:rsid w:val="00BB59E0"/>
    <w:rsid w:val="00BB652D"/>
    <w:rsid w:val="00BB7CEA"/>
    <w:rsid w:val="00BB7DF0"/>
    <w:rsid w:val="00BB9EC8"/>
    <w:rsid w:val="00BC00C1"/>
    <w:rsid w:val="00BC2809"/>
    <w:rsid w:val="00BC2B14"/>
    <w:rsid w:val="00BC2E22"/>
    <w:rsid w:val="00BC328C"/>
    <w:rsid w:val="00BC3422"/>
    <w:rsid w:val="00BC433F"/>
    <w:rsid w:val="00BC437C"/>
    <w:rsid w:val="00BC4AB2"/>
    <w:rsid w:val="00BC5AFC"/>
    <w:rsid w:val="00BC6008"/>
    <w:rsid w:val="00BC6499"/>
    <w:rsid w:val="00BC6933"/>
    <w:rsid w:val="00BC6D54"/>
    <w:rsid w:val="00BC6E19"/>
    <w:rsid w:val="00BD0543"/>
    <w:rsid w:val="00BD05FA"/>
    <w:rsid w:val="00BD0A06"/>
    <w:rsid w:val="00BD0B31"/>
    <w:rsid w:val="00BD0BF6"/>
    <w:rsid w:val="00BD28FD"/>
    <w:rsid w:val="00BD38E3"/>
    <w:rsid w:val="00BD4DE4"/>
    <w:rsid w:val="00BD4FF1"/>
    <w:rsid w:val="00BD5018"/>
    <w:rsid w:val="00BD5706"/>
    <w:rsid w:val="00BD6A4B"/>
    <w:rsid w:val="00BD6D73"/>
    <w:rsid w:val="00BD6FDB"/>
    <w:rsid w:val="00BD764A"/>
    <w:rsid w:val="00BD79CA"/>
    <w:rsid w:val="00BD960E"/>
    <w:rsid w:val="00BE00FD"/>
    <w:rsid w:val="00BE1608"/>
    <w:rsid w:val="00BE245B"/>
    <w:rsid w:val="00BE34D6"/>
    <w:rsid w:val="00BE3517"/>
    <w:rsid w:val="00BE4EDC"/>
    <w:rsid w:val="00BE528C"/>
    <w:rsid w:val="00BE52F8"/>
    <w:rsid w:val="00BE5A95"/>
    <w:rsid w:val="00BE5ADC"/>
    <w:rsid w:val="00BE5F1C"/>
    <w:rsid w:val="00BE67C2"/>
    <w:rsid w:val="00BE6E5C"/>
    <w:rsid w:val="00BE7521"/>
    <w:rsid w:val="00BE763E"/>
    <w:rsid w:val="00BE76E3"/>
    <w:rsid w:val="00BE7B93"/>
    <w:rsid w:val="00BF025D"/>
    <w:rsid w:val="00BF13F6"/>
    <w:rsid w:val="00BF1427"/>
    <w:rsid w:val="00BF2435"/>
    <w:rsid w:val="00BF2692"/>
    <w:rsid w:val="00BF2F0C"/>
    <w:rsid w:val="00BF33E4"/>
    <w:rsid w:val="00BF3FB4"/>
    <w:rsid w:val="00BF40B7"/>
    <w:rsid w:val="00BF45BD"/>
    <w:rsid w:val="00BF49A7"/>
    <w:rsid w:val="00BF4F96"/>
    <w:rsid w:val="00BF5170"/>
    <w:rsid w:val="00BF5650"/>
    <w:rsid w:val="00BF598F"/>
    <w:rsid w:val="00BF6095"/>
    <w:rsid w:val="00BF697D"/>
    <w:rsid w:val="00BF6D1A"/>
    <w:rsid w:val="00BF6FD3"/>
    <w:rsid w:val="00C0025B"/>
    <w:rsid w:val="00C0072D"/>
    <w:rsid w:val="00C015B9"/>
    <w:rsid w:val="00C01C57"/>
    <w:rsid w:val="00C022F9"/>
    <w:rsid w:val="00C0271A"/>
    <w:rsid w:val="00C02FEF"/>
    <w:rsid w:val="00C031CD"/>
    <w:rsid w:val="00C032EA"/>
    <w:rsid w:val="00C03545"/>
    <w:rsid w:val="00C0396D"/>
    <w:rsid w:val="00C03C0B"/>
    <w:rsid w:val="00C04032"/>
    <w:rsid w:val="00C04461"/>
    <w:rsid w:val="00C0446B"/>
    <w:rsid w:val="00C0575B"/>
    <w:rsid w:val="00C05769"/>
    <w:rsid w:val="00C06264"/>
    <w:rsid w:val="00C06EB5"/>
    <w:rsid w:val="00C07362"/>
    <w:rsid w:val="00C077D0"/>
    <w:rsid w:val="00C07EC5"/>
    <w:rsid w:val="00C10224"/>
    <w:rsid w:val="00C110CD"/>
    <w:rsid w:val="00C1145F"/>
    <w:rsid w:val="00C118EF"/>
    <w:rsid w:val="00C11BDD"/>
    <w:rsid w:val="00C11C87"/>
    <w:rsid w:val="00C11CD1"/>
    <w:rsid w:val="00C121CE"/>
    <w:rsid w:val="00C13276"/>
    <w:rsid w:val="00C1352B"/>
    <w:rsid w:val="00C13F21"/>
    <w:rsid w:val="00C1401D"/>
    <w:rsid w:val="00C14B53"/>
    <w:rsid w:val="00C15701"/>
    <w:rsid w:val="00C15AB4"/>
    <w:rsid w:val="00C15DBE"/>
    <w:rsid w:val="00C15FF7"/>
    <w:rsid w:val="00C17F92"/>
    <w:rsid w:val="00C2000A"/>
    <w:rsid w:val="00C203F7"/>
    <w:rsid w:val="00C20CEA"/>
    <w:rsid w:val="00C214C2"/>
    <w:rsid w:val="00C218D7"/>
    <w:rsid w:val="00C2223E"/>
    <w:rsid w:val="00C226BE"/>
    <w:rsid w:val="00C22818"/>
    <w:rsid w:val="00C22BF0"/>
    <w:rsid w:val="00C22E8B"/>
    <w:rsid w:val="00C22EEF"/>
    <w:rsid w:val="00C246F6"/>
    <w:rsid w:val="00C24FBA"/>
    <w:rsid w:val="00C25874"/>
    <w:rsid w:val="00C258F2"/>
    <w:rsid w:val="00C25F82"/>
    <w:rsid w:val="00C268DE"/>
    <w:rsid w:val="00C2715F"/>
    <w:rsid w:val="00C27ED1"/>
    <w:rsid w:val="00C27F6C"/>
    <w:rsid w:val="00C30590"/>
    <w:rsid w:val="00C30C79"/>
    <w:rsid w:val="00C30E6A"/>
    <w:rsid w:val="00C312EA"/>
    <w:rsid w:val="00C31925"/>
    <w:rsid w:val="00C31F68"/>
    <w:rsid w:val="00C32100"/>
    <w:rsid w:val="00C326CF"/>
    <w:rsid w:val="00C32D49"/>
    <w:rsid w:val="00C33A1C"/>
    <w:rsid w:val="00C33AD3"/>
    <w:rsid w:val="00C347D0"/>
    <w:rsid w:val="00C34B80"/>
    <w:rsid w:val="00C3551F"/>
    <w:rsid w:val="00C35C87"/>
    <w:rsid w:val="00C35EDE"/>
    <w:rsid w:val="00C3698E"/>
    <w:rsid w:val="00C372D0"/>
    <w:rsid w:val="00C376C2"/>
    <w:rsid w:val="00C37E8B"/>
    <w:rsid w:val="00C407D1"/>
    <w:rsid w:val="00C41A5A"/>
    <w:rsid w:val="00C41B3C"/>
    <w:rsid w:val="00C41E6D"/>
    <w:rsid w:val="00C43414"/>
    <w:rsid w:val="00C43836"/>
    <w:rsid w:val="00C43F06"/>
    <w:rsid w:val="00C44C64"/>
    <w:rsid w:val="00C4568F"/>
    <w:rsid w:val="00C45702"/>
    <w:rsid w:val="00C45A11"/>
    <w:rsid w:val="00C45A58"/>
    <w:rsid w:val="00C46667"/>
    <w:rsid w:val="00C46D29"/>
    <w:rsid w:val="00C47503"/>
    <w:rsid w:val="00C50393"/>
    <w:rsid w:val="00C50A2B"/>
    <w:rsid w:val="00C50D27"/>
    <w:rsid w:val="00C510FB"/>
    <w:rsid w:val="00C511AC"/>
    <w:rsid w:val="00C51514"/>
    <w:rsid w:val="00C516CF"/>
    <w:rsid w:val="00C51C01"/>
    <w:rsid w:val="00C5231E"/>
    <w:rsid w:val="00C52325"/>
    <w:rsid w:val="00C52753"/>
    <w:rsid w:val="00C529D0"/>
    <w:rsid w:val="00C52E8B"/>
    <w:rsid w:val="00C5319A"/>
    <w:rsid w:val="00C53838"/>
    <w:rsid w:val="00C539DC"/>
    <w:rsid w:val="00C53FEF"/>
    <w:rsid w:val="00C556E5"/>
    <w:rsid w:val="00C561E5"/>
    <w:rsid w:val="00C57427"/>
    <w:rsid w:val="00C57CA8"/>
    <w:rsid w:val="00C6171B"/>
    <w:rsid w:val="00C62DD0"/>
    <w:rsid w:val="00C637E1"/>
    <w:rsid w:val="00C64A4E"/>
    <w:rsid w:val="00C64AE1"/>
    <w:rsid w:val="00C64BD7"/>
    <w:rsid w:val="00C64CB0"/>
    <w:rsid w:val="00C64E93"/>
    <w:rsid w:val="00C65004"/>
    <w:rsid w:val="00C66269"/>
    <w:rsid w:val="00C67C44"/>
    <w:rsid w:val="00C67EAC"/>
    <w:rsid w:val="00C6EEF2"/>
    <w:rsid w:val="00C70136"/>
    <w:rsid w:val="00C70BFD"/>
    <w:rsid w:val="00C70CAF"/>
    <w:rsid w:val="00C70D50"/>
    <w:rsid w:val="00C70FCB"/>
    <w:rsid w:val="00C71940"/>
    <w:rsid w:val="00C72252"/>
    <w:rsid w:val="00C72CD9"/>
    <w:rsid w:val="00C7318C"/>
    <w:rsid w:val="00C73191"/>
    <w:rsid w:val="00C73AC0"/>
    <w:rsid w:val="00C73DB6"/>
    <w:rsid w:val="00C73F34"/>
    <w:rsid w:val="00C743F2"/>
    <w:rsid w:val="00C7472B"/>
    <w:rsid w:val="00C74E13"/>
    <w:rsid w:val="00C75C66"/>
    <w:rsid w:val="00C75E74"/>
    <w:rsid w:val="00C76033"/>
    <w:rsid w:val="00C7672B"/>
    <w:rsid w:val="00C76934"/>
    <w:rsid w:val="00C80522"/>
    <w:rsid w:val="00C81050"/>
    <w:rsid w:val="00C812C1"/>
    <w:rsid w:val="00C81C1B"/>
    <w:rsid w:val="00C82775"/>
    <w:rsid w:val="00C844AC"/>
    <w:rsid w:val="00C852D6"/>
    <w:rsid w:val="00C852FC"/>
    <w:rsid w:val="00C85E55"/>
    <w:rsid w:val="00C8657D"/>
    <w:rsid w:val="00C866E0"/>
    <w:rsid w:val="00C86977"/>
    <w:rsid w:val="00C869C2"/>
    <w:rsid w:val="00C87662"/>
    <w:rsid w:val="00C87724"/>
    <w:rsid w:val="00C8794A"/>
    <w:rsid w:val="00C87B54"/>
    <w:rsid w:val="00C87EB1"/>
    <w:rsid w:val="00C901B6"/>
    <w:rsid w:val="00C907D7"/>
    <w:rsid w:val="00C90B2A"/>
    <w:rsid w:val="00C90EFD"/>
    <w:rsid w:val="00C91329"/>
    <w:rsid w:val="00C91FDC"/>
    <w:rsid w:val="00C92338"/>
    <w:rsid w:val="00C928E0"/>
    <w:rsid w:val="00C92E46"/>
    <w:rsid w:val="00C92E47"/>
    <w:rsid w:val="00C93E09"/>
    <w:rsid w:val="00C94309"/>
    <w:rsid w:val="00C9443C"/>
    <w:rsid w:val="00C94573"/>
    <w:rsid w:val="00C947A0"/>
    <w:rsid w:val="00C94B70"/>
    <w:rsid w:val="00C94C70"/>
    <w:rsid w:val="00C94D95"/>
    <w:rsid w:val="00C94EEB"/>
    <w:rsid w:val="00C959F3"/>
    <w:rsid w:val="00C95A92"/>
    <w:rsid w:val="00C95C15"/>
    <w:rsid w:val="00C95E66"/>
    <w:rsid w:val="00C96051"/>
    <w:rsid w:val="00C96DE3"/>
    <w:rsid w:val="00C97630"/>
    <w:rsid w:val="00C97688"/>
    <w:rsid w:val="00C976B5"/>
    <w:rsid w:val="00C978A0"/>
    <w:rsid w:val="00C9795A"/>
    <w:rsid w:val="00C97A91"/>
    <w:rsid w:val="00C97AE6"/>
    <w:rsid w:val="00C97B86"/>
    <w:rsid w:val="00C97F89"/>
    <w:rsid w:val="00C9B81E"/>
    <w:rsid w:val="00CA05DC"/>
    <w:rsid w:val="00CA0883"/>
    <w:rsid w:val="00CA0885"/>
    <w:rsid w:val="00CA0A92"/>
    <w:rsid w:val="00CA0EEC"/>
    <w:rsid w:val="00CA1C1E"/>
    <w:rsid w:val="00CA24D9"/>
    <w:rsid w:val="00CA295B"/>
    <w:rsid w:val="00CA2E4C"/>
    <w:rsid w:val="00CA2FB7"/>
    <w:rsid w:val="00CA3936"/>
    <w:rsid w:val="00CA4205"/>
    <w:rsid w:val="00CA4610"/>
    <w:rsid w:val="00CA4D08"/>
    <w:rsid w:val="00CA5267"/>
    <w:rsid w:val="00CA5726"/>
    <w:rsid w:val="00CA5814"/>
    <w:rsid w:val="00CA591B"/>
    <w:rsid w:val="00CA59D3"/>
    <w:rsid w:val="00CA67BD"/>
    <w:rsid w:val="00CA7564"/>
    <w:rsid w:val="00CA78D4"/>
    <w:rsid w:val="00CA7B47"/>
    <w:rsid w:val="00CA7D7D"/>
    <w:rsid w:val="00CA7FFE"/>
    <w:rsid w:val="00CB1DD6"/>
    <w:rsid w:val="00CB2F73"/>
    <w:rsid w:val="00CB3372"/>
    <w:rsid w:val="00CB3976"/>
    <w:rsid w:val="00CB3A8B"/>
    <w:rsid w:val="00CB441A"/>
    <w:rsid w:val="00CB45F5"/>
    <w:rsid w:val="00CB4C03"/>
    <w:rsid w:val="00CB4E90"/>
    <w:rsid w:val="00CB5EFB"/>
    <w:rsid w:val="00CB5F1B"/>
    <w:rsid w:val="00CB63C0"/>
    <w:rsid w:val="00CB69C6"/>
    <w:rsid w:val="00CC00E0"/>
    <w:rsid w:val="00CC0FBA"/>
    <w:rsid w:val="00CC20A6"/>
    <w:rsid w:val="00CC2A00"/>
    <w:rsid w:val="00CC2B30"/>
    <w:rsid w:val="00CC2E58"/>
    <w:rsid w:val="00CC308F"/>
    <w:rsid w:val="00CC31E3"/>
    <w:rsid w:val="00CC3263"/>
    <w:rsid w:val="00CC377E"/>
    <w:rsid w:val="00CC37BA"/>
    <w:rsid w:val="00CC3A3A"/>
    <w:rsid w:val="00CC3D25"/>
    <w:rsid w:val="00CC4480"/>
    <w:rsid w:val="00CC48EB"/>
    <w:rsid w:val="00CC5660"/>
    <w:rsid w:val="00CC6087"/>
    <w:rsid w:val="00CC6401"/>
    <w:rsid w:val="00CC6A0E"/>
    <w:rsid w:val="00CC735A"/>
    <w:rsid w:val="00CC77C2"/>
    <w:rsid w:val="00CC79D3"/>
    <w:rsid w:val="00CD0307"/>
    <w:rsid w:val="00CD06E4"/>
    <w:rsid w:val="00CD10A6"/>
    <w:rsid w:val="00CD10EF"/>
    <w:rsid w:val="00CD177C"/>
    <w:rsid w:val="00CD17AA"/>
    <w:rsid w:val="00CD1C48"/>
    <w:rsid w:val="00CD209D"/>
    <w:rsid w:val="00CD27BE"/>
    <w:rsid w:val="00CD2B89"/>
    <w:rsid w:val="00CD3D07"/>
    <w:rsid w:val="00CD3D1B"/>
    <w:rsid w:val="00CD548C"/>
    <w:rsid w:val="00CD56B0"/>
    <w:rsid w:val="00CD657F"/>
    <w:rsid w:val="00CD6B76"/>
    <w:rsid w:val="00CD6ED6"/>
    <w:rsid w:val="00CD7227"/>
    <w:rsid w:val="00CD7799"/>
    <w:rsid w:val="00CE083F"/>
    <w:rsid w:val="00CE0A5B"/>
    <w:rsid w:val="00CE122C"/>
    <w:rsid w:val="00CE1A84"/>
    <w:rsid w:val="00CE1C65"/>
    <w:rsid w:val="00CE1E87"/>
    <w:rsid w:val="00CE2512"/>
    <w:rsid w:val="00CE251F"/>
    <w:rsid w:val="00CE25DF"/>
    <w:rsid w:val="00CE26A0"/>
    <w:rsid w:val="00CE2B02"/>
    <w:rsid w:val="00CE3052"/>
    <w:rsid w:val="00CE37F8"/>
    <w:rsid w:val="00CE3880"/>
    <w:rsid w:val="00CE481A"/>
    <w:rsid w:val="00CE49F1"/>
    <w:rsid w:val="00CE4C42"/>
    <w:rsid w:val="00CE5036"/>
    <w:rsid w:val="00CE5EDD"/>
    <w:rsid w:val="00CE6939"/>
    <w:rsid w:val="00CE6AA8"/>
    <w:rsid w:val="00CE6BC1"/>
    <w:rsid w:val="00CE70FB"/>
    <w:rsid w:val="00CE7B31"/>
    <w:rsid w:val="00CF0545"/>
    <w:rsid w:val="00CF05BB"/>
    <w:rsid w:val="00CF107D"/>
    <w:rsid w:val="00CF122D"/>
    <w:rsid w:val="00CF1A46"/>
    <w:rsid w:val="00CF1C77"/>
    <w:rsid w:val="00CF2474"/>
    <w:rsid w:val="00CF2E5B"/>
    <w:rsid w:val="00CF2EB5"/>
    <w:rsid w:val="00CF337E"/>
    <w:rsid w:val="00CF3A0E"/>
    <w:rsid w:val="00CF3FB1"/>
    <w:rsid w:val="00CF5270"/>
    <w:rsid w:val="00CF52B1"/>
    <w:rsid w:val="00CF58CC"/>
    <w:rsid w:val="00CF644E"/>
    <w:rsid w:val="00CF6D0D"/>
    <w:rsid w:val="00CF6EC4"/>
    <w:rsid w:val="00CF71E2"/>
    <w:rsid w:val="00CF73E2"/>
    <w:rsid w:val="00CF7633"/>
    <w:rsid w:val="00D002A2"/>
    <w:rsid w:val="00D00AFE"/>
    <w:rsid w:val="00D01201"/>
    <w:rsid w:val="00D02264"/>
    <w:rsid w:val="00D02663"/>
    <w:rsid w:val="00D02684"/>
    <w:rsid w:val="00D02E39"/>
    <w:rsid w:val="00D030BD"/>
    <w:rsid w:val="00D031D1"/>
    <w:rsid w:val="00D03759"/>
    <w:rsid w:val="00D03807"/>
    <w:rsid w:val="00D04454"/>
    <w:rsid w:val="00D04B3F"/>
    <w:rsid w:val="00D0562B"/>
    <w:rsid w:val="00D057B3"/>
    <w:rsid w:val="00D05B92"/>
    <w:rsid w:val="00D0633E"/>
    <w:rsid w:val="00D07107"/>
    <w:rsid w:val="00D07433"/>
    <w:rsid w:val="00D0752B"/>
    <w:rsid w:val="00D10DCF"/>
    <w:rsid w:val="00D10E38"/>
    <w:rsid w:val="00D10F5F"/>
    <w:rsid w:val="00D11199"/>
    <w:rsid w:val="00D12B3A"/>
    <w:rsid w:val="00D12E74"/>
    <w:rsid w:val="00D1386F"/>
    <w:rsid w:val="00D143BB"/>
    <w:rsid w:val="00D14BA2"/>
    <w:rsid w:val="00D14D74"/>
    <w:rsid w:val="00D150D1"/>
    <w:rsid w:val="00D15455"/>
    <w:rsid w:val="00D15955"/>
    <w:rsid w:val="00D16341"/>
    <w:rsid w:val="00D16831"/>
    <w:rsid w:val="00D16CCD"/>
    <w:rsid w:val="00D16DD1"/>
    <w:rsid w:val="00D16DD4"/>
    <w:rsid w:val="00D17DA9"/>
    <w:rsid w:val="00D201AC"/>
    <w:rsid w:val="00D20325"/>
    <w:rsid w:val="00D21360"/>
    <w:rsid w:val="00D21AD2"/>
    <w:rsid w:val="00D21B50"/>
    <w:rsid w:val="00D21DBC"/>
    <w:rsid w:val="00D21F4C"/>
    <w:rsid w:val="00D22313"/>
    <w:rsid w:val="00D22431"/>
    <w:rsid w:val="00D22501"/>
    <w:rsid w:val="00D228FB"/>
    <w:rsid w:val="00D22AB3"/>
    <w:rsid w:val="00D2312F"/>
    <w:rsid w:val="00D23487"/>
    <w:rsid w:val="00D2380C"/>
    <w:rsid w:val="00D23B04"/>
    <w:rsid w:val="00D24B28"/>
    <w:rsid w:val="00D258DA"/>
    <w:rsid w:val="00D25B70"/>
    <w:rsid w:val="00D25CBF"/>
    <w:rsid w:val="00D264CD"/>
    <w:rsid w:val="00D269C1"/>
    <w:rsid w:val="00D270C7"/>
    <w:rsid w:val="00D274E6"/>
    <w:rsid w:val="00D27944"/>
    <w:rsid w:val="00D27D64"/>
    <w:rsid w:val="00D30690"/>
    <w:rsid w:val="00D309E0"/>
    <w:rsid w:val="00D30B13"/>
    <w:rsid w:val="00D32CBC"/>
    <w:rsid w:val="00D33034"/>
    <w:rsid w:val="00D337B1"/>
    <w:rsid w:val="00D34BD6"/>
    <w:rsid w:val="00D361BA"/>
    <w:rsid w:val="00D3625F"/>
    <w:rsid w:val="00D375F8"/>
    <w:rsid w:val="00D379C3"/>
    <w:rsid w:val="00D403E2"/>
    <w:rsid w:val="00D40D8B"/>
    <w:rsid w:val="00D4162B"/>
    <w:rsid w:val="00D41B2F"/>
    <w:rsid w:val="00D42696"/>
    <w:rsid w:val="00D42DDD"/>
    <w:rsid w:val="00D43948"/>
    <w:rsid w:val="00D43CBD"/>
    <w:rsid w:val="00D43D70"/>
    <w:rsid w:val="00D44631"/>
    <w:rsid w:val="00D447AE"/>
    <w:rsid w:val="00D44953"/>
    <w:rsid w:val="00D453F6"/>
    <w:rsid w:val="00D457C9"/>
    <w:rsid w:val="00D462C8"/>
    <w:rsid w:val="00D469A7"/>
    <w:rsid w:val="00D46B35"/>
    <w:rsid w:val="00D472EB"/>
    <w:rsid w:val="00D5006B"/>
    <w:rsid w:val="00D50A32"/>
    <w:rsid w:val="00D511A0"/>
    <w:rsid w:val="00D51C0E"/>
    <w:rsid w:val="00D52530"/>
    <w:rsid w:val="00D52D69"/>
    <w:rsid w:val="00D53126"/>
    <w:rsid w:val="00D53C5B"/>
    <w:rsid w:val="00D53D93"/>
    <w:rsid w:val="00D53E93"/>
    <w:rsid w:val="00D542F3"/>
    <w:rsid w:val="00D54513"/>
    <w:rsid w:val="00D548C2"/>
    <w:rsid w:val="00D548F0"/>
    <w:rsid w:val="00D54AAE"/>
    <w:rsid w:val="00D54D77"/>
    <w:rsid w:val="00D552EE"/>
    <w:rsid w:val="00D554D7"/>
    <w:rsid w:val="00D556E8"/>
    <w:rsid w:val="00D5644B"/>
    <w:rsid w:val="00D56667"/>
    <w:rsid w:val="00D56E25"/>
    <w:rsid w:val="00D572D4"/>
    <w:rsid w:val="00D57707"/>
    <w:rsid w:val="00D57E44"/>
    <w:rsid w:val="00D57E89"/>
    <w:rsid w:val="00D60547"/>
    <w:rsid w:val="00D60E1A"/>
    <w:rsid w:val="00D619EC"/>
    <w:rsid w:val="00D61FEB"/>
    <w:rsid w:val="00D626D8"/>
    <w:rsid w:val="00D632B8"/>
    <w:rsid w:val="00D638D1"/>
    <w:rsid w:val="00D63FCF"/>
    <w:rsid w:val="00D643A7"/>
    <w:rsid w:val="00D65143"/>
    <w:rsid w:val="00D6560D"/>
    <w:rsid w:val="00D65765"/>
    <w:rsid w:val="00D65D77"/>
    <w:rsid w:val="00D66253"/>
    <w:rsid w:val="00D662E0"/>
    <w:rsid w:val="00D67C0B"/>
    <w:rsid w:val="00D7008A"/>
    <w:rsid w:val="00D7015A"/>
    <w:rsid w:val="00D704BC"/>
    <w:rsid w:val="00D70FD4"/>
    <w:rsid w:val="00D71307"/>
    <w:rsid w:val="00D718D7"/>
    <w:rsid w:val="00D71D5C"/>
    <w:rsid w:val="00D72540"/>
    <w:rsid w:val="00D732AE"/>
    <w:rsid w:val="00D74583"/>
    <w:rsid w:val="00D74C3E"/>
    <w:rsid w:val="00D7530A"/>
    <w:rsid w:val="00D75C01"/>
    <w:rsid w:val="00D7694A"/>
    <w:rsid w:val="00D770F4"/>
    <w:rsid w:val="00D7765A"/>
    <w:rsid w:val="00D7DAFA"/>
    <w:rsid w:val="00D802F9"/>
    <w:rsid w:val="00D80522"/>
    <w:rsid w:val="00D8148F"/>
    <w:rsid w:val="00D814B7"/>
    <w:rsid w:val="00D81BFC"/>
    <w:rsid w:val="00D8268E"/>
    <w:rsid w:val="00D838C3"/>
    <w:rsid w:val="00D843FD"/>
    <w:rsid w:val="00D844C1"/>
    <w:rsid w:val="00D84CC3"/>
    <w:rsid w:val="00D853E9"/>
    <w:rsid w:val="00D863EB"/>
    <w:rsid w:val="00D87F35"/>
    <w:rsid w:val="00D90688"/>
    <w:rsid w:val="00D911B0"/>
    <w:rsid w:val="00D91475"/>
    <w:rsid w:val="00D91D37"/>
    <w:rsid w:val="00D91F3F"/>
    <w:rsid w:val="00D92FA0"/>
    <w:rsid w:val="00D93B9A"/>
    <w:rsid w:val="00D94626"/>
    <w:rsid w:val="00D95B63"/>
    <w:rsid w:val="00D96CA8"/>
    <w:rsid w:val="00D97277"/>
    <w:rsid w:val="00D97323"/>
    <w:rsid w:val="00DA05AB"/>
    <w:rsid w:val="00DA0F9A"/>
    <w:rsid w:val="00DA1174"/>
    <w:rsid w:val="00DA15A6"/>
    <w:rsid w:val="00DA2A5C"/>
    <w:rsid w:val="00DA3200"/>
    <w:rsid w:val="00DA3AAD"/>
    <w:rsid w:val="00DA3C78"/>
    <w:rsid w:val="00DA3D81"/>
    <w:rsid w:val="00DA41BD"/>
    <w:rsid w:val="00DA45DE"/>
    <w:rsid w:val="00DA472C"/>
    <w:rsid w:val="00DA4D88"/>
    <w:rsid w:val="00DA5250"/>
    <w:rsid w:val="00DA57B2"/>
    <w:rsid w:val="00DA626C"/>
    <w:rsid w:val="00DA6ED9"/>
    <w:rsid w:val="00DA6F36"/>
    <w:rsid w:val="00DA766F"/>
    <w:rsid w:val="00DA7A42"/>
    <w:rsid w:val="00DA7EA7"/>
    <w:rsid w:val="00DB00F9"/>
    <w:rsid w:val="00DB0804"/>
    <w:rsid w:val="00DB0DAC"/>
    <w:rsid w:val="00DB1078"/>
    <w:rsid w:val="00DB22C6"/>
    <w:rsid w:val="00DB24AF"/>
    <w:rsid w:val="00DB2516"/>
    <w:rsid w:val="00DB2552"/>
    <w:rsid w:val="00DB2B85"/>
    <w:rsid w:val="00DB2DB4"/>
    <w:rsid w:val="00DB312B"/>
    <w:rsid w:val="00DB3399"/>
    <w:rsid w:val="00DB69D3"/>
    <w:rsid w:val="00DB6ACA"/>
    <w:rsid w:val="00DB6B78"/>
    <w:rsid w:val="00DB706D"/>
    <w:rsid w:val="00DC0234"/>
    <w:rsid w:val="00DC0721"/>
    <w:rsid w:val="00DC183D"/>
    <w:rsid w:val="00DC196C"/>
    <w:rsid w:val="00DC2ED8"/>
    <w:rsid w:val="00DC3D6E"/>
    <w:rsid w:val="00DC5024"/>
    <w:rsid w:val="00DC5654"/>
    <w:rsid w:val="00DC5A97"/>
    <w:rsid w:val="00DC5F31"/>
    <w:rsid w:val="00DC6111"/>
    <w:rsid w:val="00DC658F"/>
    <w:rsid w:val="00DC674A"/>
    <w:rsid w:val="00DC7B35"/>
    <w:rsid w:val="00DC7FE0"/>
    <w:rsid w:val="00DD1220"/>
    <w:rsid w:val="00DD1EC0"/>
    <w:rsid w:val="00DD2124"/>
    <w:rsid w:val="00DD235A"/>
    <w:rsid w:val="00DD282B"/>
    <w:rsid w:val="00DD29A5"/>
    <w:rsid w:val="00DD34D3"/>
    <w:rsid w:val="00DD411B"/>
    <w:rsid w:val="00DD6383"/>
    <w:rsid w:val="00DD69B5"/>
    <w:rsid w:val="00DD7094"/>
    <w:rsid w:val="00DD7209"/>
    <w:rsid w:val="00DD776C"/>
    <w:rsid w:val="00DD7953"/>
    <w:rsid w:val="00DD7FAE"/>
    <w:rsid w:val="00DE00D7"/>
    <w:rsid w:val="00DE0E4E"/>
    <w:rsid w:val="00DE1AD2"/>
    <w:rsid w:val="00DE22C2"/>
    <w:rsid w:val="00DE285E"/>
    <w:rsid w:val="00DE4B91"/>
    <w:rsid w:val="00DE572F"/>
    <w:rsid w:val="00DE584D"/>
    <w:rsid w:val="00DE5DD2"/>
    <w:rsid w:val="00DE60CC"/>
    <w:rsid w:val="00DE7915"/>
    <w:rsid w:val="00DF0DF4"/>
    <w:rsid w:val="00DF124B"/>
    <w:rsid w:val="00DF1630"/>
    <w:rsid w:val="00DF354F"/>
    <w:rsid w:val="00DF3D48"/>
    <w:rsid w:val="00DF52CC"/>
    <w:rsid w:val="00DF530D"/>
    <w:rsid w:val="00DF5415"/>
    <w:rsid w:val="00DF5A8F"/>
    <w:rsid w:val="00DF5CA2"/>
    <w:rsid w:val="00DF5FE9"/>
    <w:rsid w:val="00DF6F16"/>
    <w:rsid w:val="00DF7005"/>
    <w:rsid w:val="00E0013E"/>
    <w:rsid w:val="00E01DE7"/>
    <w:rsid w:val="00E01EB2"/>
    <w:rsid w:val="00E0234A"/>
    <w:rsid w:val="00E026D8"/>
    <w:rsid w:val="00E0277A"/>
    <w:rsid w:val="00E02EEC"/>
    <w:rsid w:val="00E0345F"/>
    <w:rsid w:val="00E04AE6"/>
    <w:rsid w:val="00E063B4"/>
    <w:rsid w:val="00E06416"/>
    <w:rsid w:val="00E06A82"/>
    <w:rsid w:val="00E07BC0"/>
    <w:rsid w:val="00E07BF7"/>
    <w:rsid w:val="00E10390"/>
    <w:rsid w:val="00E11DDC"/>
    <w:rsid w:val="00E12A4E"/>
    <w:rsid w:val="00E13920"/>
    <w:rsid w:val="00E13DE7"/>
    <w:rsid w:val="00E14358"/>
    <w:rsid w:val="00E14590"/>
    <w:rsid w:val="00E14E22"/>
    <w:rsid w:val="00E14ECE"/>
    <w:rsid w:val="00E14FC1"/>
    <w:rsid w:val="00E153BC"/>
    <w:rsid w:val="00E162E1"/>
    <w:rsid w:val="00E16671"/>
    <w:rsid w:val="00E167D0"/>
    <w:rsid w:val="00E16CBF"/>
    <w:rsid w:val="00E16EDE"/>
    <w:rsid w:val="00E17F88"/>
    <w:rsid w:val="00E200AB"/>
    <w:rsid w:val="00E2035F"/>
    <w:rsid w:val="00E20691"/>
    <w:rsid w:val="00E2096A"/>
    <w:rsid w:val="00E20A2C"/>
    <w:rsid w:val="00E2154E"/>
    <w:rsid w:val="00E22A20"/>
    <w:rsid w:val="00E22D17"/>
    <w:rsid w:val="00E23922"/>
    <w:rsid w:val="00E24739"/>
    <w:rsid w:val="00E24CAE"/>
    <w:rsid w:val="00E24DE6"/>
    <w:rsid w:val="00E25BB7"/>
    <w:rsid w:val="00E26260"/>
    <w:rsid w:val="00E267DC"/>
    <w:rsid w:val="00E26B32"/>
    <w:rsid w:val="00E27393"/>
    <w:rsid w:val="00E30FB0"/>
    <w:rsid w:val="00E317AB"/>
    <w:rsid w:val="00E31CD4"/>
    <w:rsid w:val="00E31E60"/>
    <w:rsid w:val="00E32933"/>
    <w:rsid w:val="00E3344E"/>
    <w:rsid w:val="00E33AE3"/>
    <w:rsid w:val="00E33E08"/>
    <w:rsid w:val="00E34EAF"/>
    <w:rsid w:val="00E3610D"/>
    <w:rsid w:val="00E36B7A"/>
    <w:rsid w:val="00E36C2D"/>
    <w:rsid w:val="00E3703A"/>
    <w:rsid w:val="00E37416"/>
    <w:rsid w:val="00E374AE"/>
    <w:rsid w:val="00E407B6"/>
    <w:rsid w:val="00E41193"/>
    <w:rsid w:val="00E41548"/>
    <w:rsid w:val="00E417C8"/>
    <w:rsid w:val="00E41EF1"/>
    <w:rsid w:val="00E42258"/>
    <w:rsid w:val="00E4259A"/>
    <w:rsid w:val="00E4268C"/>
    <w:rsid w:val="00E42942"/>
    <w:rsid w:val="00E42E43"/>
    <w:rsid w:val="00E431CA"/>
    <w:rsid w:val="00E431DF"/>
    <w:rsid w:val="00E44A35"/>
    <w:rsid w:val="00E44D1F"/>
    <w:rsid w:val="00E44F10"/>
    <w:rsid w:val="00E4508C"/>
    <w:rsid w:val="00E45841"/>
    <w:rsid w:val="00E463ED"/>
    <w:rsid w:val="00E46A89"/>
    <w:rsid w:val="00E46FF8"/>
    <w:rsid w:val="00E472C3"/>
    <w:rsid w:val="00E4776E"/>
    <w:rsid w:val="00E47A96"/>
    <w:rsid w:val="00E47D23"/>
    <w:rsid w:val="00E502FE"/>
    <w:rsid w:val="00E50356"/>
    <w:rsid w:val="00E505B3"/>
    <w:rsid w:val="00E51001"/>
    <w:rsid w:val="00E51319"/>
    <w:rsid w:val="00E51385"/>
    <w:rsid w:val="00E51C5A"/>
    <w:rsid w:val="00E52C7B"/>
    <w:rsid w:val="00E53B2C"/>
    <w:rsid w:val="00E53C83"/>
    <w:rsid w:val="00E54023"/>
    <w:rsid w:val="00E543D9"/>
    <w:rsid w:val="00E5467F"/>
    <w:rsid w:val="00E555B1"/>
    <w:rsid w:val="00E55ACA"/>
    <w:rsid w:val="00E56085"/>
    <w:rsid w:val="00E56FF1"/>
    <w:rsid w:val="00E576D1"/>
    <w:rsid w:val="00E57A47"/>
    <w:rsid w:val="00E57CDE"/>
    <w:rsid w:val="00E61742"/>
    <w:rsid w:val="00E621B0"/>
    <w:rsid w:val="00E623CC"/>
    <w:rsid w:val="00E62BB7"/>
    <w:rsid w:val="00E62C8A"/>
    <w:rsid w:val="00E631CF"/>
    <w:rsid w:val="00E63B93"/>
    <w:rsid w:val="00E63F92"/>
    <w:rsid w:val="00E65A0A"/>
    <w:rsid w:val="00E6684A"/>
    <w:rsid w:val="00E66F00"/>
    <w:rsid w:val="00E701D8"/>
    <w:rsid w:val="00E70F37"/>
    <w:rsid w:val="00E71BDF"/>
    <w:rsid w:val="00E72D88"/>
    <w:rsid w:val="00E72E8A"/>
    <w:rsid w:val="00E739E4"/>
    <w:rsid w:val="00E73AB3"/>
    <w:rsid w:val="00E73D76"/>
    <w:rsid w:val="00E75683"/>
    <w:rsid w:val="00E75AF8"/>
    <w:rsid w:val="00E75B67"/>
    <w:rsid w:val="00E75CCB"/>
    <w:rsid w:val="00E75F68"/>
    <w:rsid w:val="00E766FE"/>
    <w:rsid w:val="00E76B70"/>
    <w:rsid w:val="00E76D83"/>
    <w:rsid w:val="00E771EB"/>
    <w:rsid w:val="00E7721D"/>
    <w:rsid w:val="00E77BA5"/>
    <w:rsid w:val="00E77D93"/>
    <w:rsid w:val="00E77F26"/>
    <w:rsid w:val="00E77FC8"/>
    <w:rsid w:val="00E77FD4"/>
    <w:rsid w:val="00E80521"/>
    <w:rsid w:val="00E816E8"/>
    <w:rsid w:val="00E818E7"/>
    <w:rsid w:val="00E8245B"/>
    <w:rsid w:val="00E82893"/>
    <w:rsid w:val="00E82C21"/>
    <w:rsid w:val="00E82F59"/>
    <w:rsid w:val="00E83CA7"/>
    <w:rsid w:val="00E83D18"/>
    <w:rsid w:val="00E84F56"/>
    <w:rsid w:val="00E8569C"/>
    <w:rsid w:val="00E85D19"/>
    <w:rsid w:val="00E85E47"/>
    <w:rsid w:val="00E86149"/>
    <w:rsid w:val="00E86D3C"/>
    <w:rsid w:val="00E8781F"/>
    <w:rsid w:val="00E878BC"/>
    <w:rsid w:val="00E87F6D"/>
    <w:rsid w:val="00E91529"/>
    <w:rsid w:val="00E916E6"/>
    <w:rsid w:val="00E92192"/>
    <w:rsid w:val="00E9288F"/>
    <w:rsid w:val="00E92927"/>
    <w:rsid w:val="00E92A97"/>
    <w:rsid w:val="00E932D8"/>
    <w:rsid w:val="00E93BF7"/>
    <w:rsid w:val="00E9415B"/>
    <w:rsid w:val="00E955EE"/>
    <w:rsid w:val="00E958A4"/>
    <w:rsid w:val="00E9595A"/>
    <w:rsid w:val="00E95A71"/>
    <w:rsid w:val="00E95EEA"/>
    <w:rsid w:val="00E95F53"/>
    <w:rsid w:val="00E9619A"/>
    <w:rsid w:val="00E96A8E"/>
    <w:rsid w:val="00E96B6F"/>
    <w:rsid w:val="00E9721B"/>
    <w:rsid w:val="00E97E17"/>
    <w:rsid w:val="00EA00B9"/>
    <w:rsid w:val="00EA030C"/>
    <w:rsid w:val="00EA0994"/>
    <w:rsid w:val="00EA0AD5"/>
    <w:rsid w:val="00EA0BE4"/>
    <w:rsid w:val="00EA1055"/>
    <w:rsid w:val="00EA17E5"/>
    <w:rsid w:val="00EA1B7D"/>
    <w:rsid w:val="00EA23E6"/>
    <w:rsid w:val="00EA2748"/>
    <w:rsid w:val="00EA2B81"/>
    <w:rsid w:val="00EA306F"/>
    <w:rsid w:val="00EA42EF"/>
    <w:rsid w:val="00EA44A5"/>
    <w:rsid w:val="00EA4D8A"/>
    <w:rsid w:val="00EA4F03"/>
    <w:rsid w:val="00EA565B"/>
    <w:rsid w:val="00EA5761"/>
    <w:rsid w:val="00EA5C15"/>
    <w:rsid w:val="00EA6CCB"/>
    <w:rsid w:val="00EA7C6E"/>
    <w:rsid w:val="00EA7F63"/>
    <w:rsid w:val="00EB0497"/>
    <w:rsid w:val="00EB1080"/>
    <w:rsid w:val="00EB1F30"/>
    <w:rsid w:val="00EB1F78"/>
    <w:rsid w:val="00EB252C"/>
    <w:rsid w:val="00EB2CAE"/>
    <w:rsid w:val="00EB363A"/>
    <w:rsid w:val="00EB3892"/>
    <w:rsid w:val="00EB47D9"/>
    <w:rsid w:val="00EB6068"/>
    <w:rsid w:val="00EB62B9"/>
    <w:rsid w:val="00EB631D"/>
    <w:rsid w:val="00EB7014"/>
    <w:rsid w:val="00EB761F"/>
    <w:rsid w:val="00EB7DDD"/>
    <w:rsid w:val="00EC0837"/>
    <w:rsid w:val="00EC0C67"/>
    <w:rsid w:val="00EC0FF4"/>
    <w:rsid w:val="00EC1099"/>
    <w:rsid w:val="00EC113D"/>
    <w:rsid w:val="00EC1F5A"/>
    <w:rsid w:val="00EC2B12"/>
    <w:rsid w:val="00EC322D"/>
    <w:rsid w:val="00EC3248"/>
    <w:rsid w:val="00EC3698"/>
    <w:rsid w:val="00EC4B9A"/>
    <w:rsid w:val="00EC4F55"/>
    <w:rsid w:val="00EC556C"/>
    <w:rsid w:val="00EC571C"/>
    <w:rsid w:val="00EC5CDE"/>
    <w:rsid w:val="00EC6325"/>
    <w:rsid w:val="00EC6EEE"/>
    <w:rsid w:val="00EC7164"/>
    <w:rsid w:val="00EC72AE"/>
    <w:rsid w:val="00EC76E6"/>
    <w:rsid w:val="00EC7F17"/>
    <w:rsid w:val="00ED00CF"/>
    <w:rsid w:val="00ED18C9"/>
    <w:rsid w:val="00ED2EBB"/>
    <w:rsid w:val="00ED2F2F"/>
    <w:rsid w:val="00ED3077"/>
    <w:rsid w:val="00ED361D"/>
    <w:rsid w:val="00ED487E"/>
    <w:rsid w:val="00ED5898"/>
    <w:rsid w:val="00ED6049"/>
    <w:rsid w:val="00ED6431"/>
    <w:rsid w:val="00ED64F1"/>
    <w:rsid w:val="00ED656C"/>
    <w:rsid w:val="00ED7CD6"/>
    <w:rsid w:val="00ED7F40"/>
    <w:rsid w:val="00EE07DC"/>
    <w:rsid w:val="00EE07F7"/>
    <w:rsid w:val="00EE2A65"/>
    <w:rsid w:val="00EE2BE7"/>
    <w:rsid w:val="00EE33A1"/>
    <w:rsid w:val="00EE3503"/>
    <w:rsid w:val="00EE3710"/>
    <w:rsid w:val="00EE4A15"/>
    <w:rsid w:val="00EE4EA9"/>
    <w:rsid w:val="00EE6731"/>
    <w:rsid w:val="00EE69C9"/>
    <w:rsid w:val="00EE6DD9"/>
    <w:rsid w:val="00EE70DC"/>
    <w:rsid w:val="00EE713B"/>
    <w:rsid w:val="00EE7A0D"/>
    <w:rsid w:val="00EE7AB0"/>
    <w:rsid w:val="00EE7D1E"/>
    <w:rsid w:val="00EE7D82"/>
    <w:rsid w:val="00EF0002"/>
    <w:rsid w:val="00EF10C8"/>
    <w:rsid w:val="00EF13C1"/>
    <w:rsid w:val="00EF1859"/>
    <w:rsid w:val="00EF1CCE"/>
    <w:rsid w:val="00EF1E25"/>
    <w:rsid w:val="00EF295D"/>
    <w:rsid w:val="00EF2A13"/>
    <w:rsid w:val="00EF2F64"/>
    <w:rsid w:val="00EF317A"/>
    <w:rsid w:val="00EF3CC1"/>
    <w:rsid w:val="00EF4286"/>
    <w:rsid w:val="00EF42F0"/>
    <w:rsid w:val="00EF4911"/>
    <w:rsid w:val="00EF5362"/>
    <w:rsid w:val="00EF54CD"/>
    <w:rsid w:val="00EF607E"/>
    <w:rsid w:val="00EF6F48"/>
    <w:rsid w:val="00F0029B"/>
    <w:rsid w:val="00F00DF0"/>
    <w:rsid w:val="00F01B71"/>
    <w:rsid w:val="00F01C46"/>
    <w:rsid w:val="00F0222C"/>
    <w:rsid w:val="00F02332"/>
    <w:rsid w:val="00F024AD"/>
    <w:rsid w:val="00F02824"/>
    <w:rsid w:val="00F02EAE"/>
    <w:rsid w:val="00F033E3"/>
    <w:rsid w:val="00F0359D"/>
    <w:rsid w:val="00F03A6D"/>
    <w:rsid w:val="00F0445D"/>
    <w:rsid w:val="00F04ABB"/>
    <w:rsid w:val="00F050E6"/>
    <w:rsid w:val="00F0563D"/>
    <w:rsid w:val="00F05A57"/>
    <w:rsid w:val="00F05F89"/>
    <w:rsid w:val="00F0644D"/>
    <w:rsid w:val="00F06DF5"/>
    <w:rsid w:val="00F07939"/>
    <w:rsid w:val="00F1021F"/>
    <w:rsid w:val="00F11342"/>
    <w:rsid w:val="00F11604"/>
    <w:rsid w:val="00F12312"/>
    <w:rsid w:val="00F12796"/>
    <w:rsid w:val="00F131D4"/>
    <w:rsid w:val="00F136BE"/>
    <w:rsid w:val="00F13824"/>
    <w:rsid w:val="00F13D8A"/>
    <w:rsid w:val="00F14E68"/>
    <w:rsid w:val="00F14E6C"/>
    <w:rsid w:val="00F16324"/>
    <w:rsid w:val="00F16F57"/>
    <w:rsid w:val="00F17750"/>
    <w:rsid w:val="00F177C7"/>
    <w:rsid w:val="00F17AA6"/>
    <w:rsid w:val="00F17C83"/>
    <w:rsid w:val="00F17CE1"/>
    <w:rsid w:val="00F20387"/>
    <w:rsid w:val="00F2115C"/>
    <w:rsid w:val="00F21F0B"/>
    <w:rsid w:val="00F22ABA"/>
    <w:rsid w:val="00F2367C"/>
    <w:rsid w:val="00F23AFC"/>
    <w:rsid w:val="00F23DE6"/>
    <w:rsid w:val="00F23F80"/>
    <w:rsid w:val="00F24557"/>
    <w:rsid w:val="00F249F5"/>
    <w:rsid w:val="00F24AE1"/>
    <w:rsid w:val="00F25DDE"/>
    <w:rsid w:val="00F25E24"/>
    <w:rsid w:val="00F269B3"/>
    <w:rsid w:val="00F27418"/>
    <w:rsid w:val="00F27A79"/>
    <w:rsid w:val="00F27A8B"/>
    <w:rsid w:val="00F30E84"/>
    <w:rsid w:val="00F3168F"/>
    <w:rsid w:val="00F319BE"/>
    <w:rsid w:val="00F322CC"/>
    <w:rsid w:val="00F3351B"/>
    <w:rsid w:val="00F3387A"/>
    <w:rsid w:val="00F33B2D"/>
    <w:rsid w:val="00F33E8B"/>
    <w:rsid w:val="00F3421B"/>
    <w:rsid w:val="00F349C9"/>
    <w:rsid w:val="00F34CF7"/>
    <w:rsid w:val="00F3560E"/>
    <w:rsid w:val="00F358F5"/>
    <w:rsid w:val="00F360F5"/>
    <w:rsid w:val="00F361F8"/>
    <w:rsid w:val="00F36362"/>
    <w:rsid w:val="00F36B12"/>
    <w:rsid w:val="00F37200"/>
    <w:rsid w:val="00F3729A"/>
    <w:rsid w:val="00F37310"/>
    <w:rsid w:val="00F37B5D"/>
    <w:rsid w:val="00F37C24"/>
    <w:rsid w:val="00F40999"/>
    <w:rsid w:val="00F41268"/>
    <w:rsid w:val="00F414AC"/>
    <w:rsid w:val="00F41D40"/>
    <w:rsid w:val="00F4287D"/>
    <w:rsid w:val="00F43482"/>
    <w:rsid w:val="00F45307"/>
    <w:rsid w:val="00F458FD"/>
    <w:rsid w:val="00F462A8"/>
    <w:rsid w:val="00F467A0"/>
    <w:rsid w:val="00F47C64"/>
    <w:rsid w:val="00F47F07"/>
    <w:rsid w:val="00F504CA"/>
    <w:rsid w:val="00F50502"/>
    <w:rsid w:val="00F5117A"/>
    <w:rsid w:val="00F518A5"/>
    <w:rsid w:val="00F51CC0"/>
    <w:rsid w:val="00F51F84"/>
    <w:rsid w:val="00F51FCF"/>
    <w:rsid w:val="00F51FD0"/>
    <w:rsid w:val="00F528D8"/>
    <w:rsid w:val="00F52A40"/>
    <w:rsid w:val="00F53059"/>
    <w:rsid w:val="00F53B43"/>
    <w:rsid w:val="00F542AD"/>
    <w:rsid w:val="00F54415"/>
    <w:rsid w:val="00F545E0"/>
    <w:rsid w:val="00F54D85"/>
    <w:rsid w:val="00F55335"/>
    <w:rsid w:val="00F55438"/>
    <w:rsid w:val="00F56095"/>
    <w:rsid w:val="00F5624F"/>
    <w:rsid w:val="00F563DD"/>
    <w:rsid w:val="00F565AD"/>
    <w:rsid w:val="00F56A78"/>
    <w:rsid w:val="00F56E4F"/>
    <w:rsid w:val="00F574E9"/>
    <w:rsid w:val="00F60C8C"/>
    <w:rsid w:val="00F60F9F"/>
    <w:rsid w:val="00F6142D"/>
    <w:rsid w:val="00F61736"/>
    <w:rsid w:val="00F62866"/>
    <w:rsid w:val="00F62990"/>
    <w:rsid w:val="00F630DC"/>
    <w:rsid w:val="00F635D9"/>
    <w:rsid w:val="00F6363D"/>
    <w:rsid w:val="00F63860"/>
    <w:rsid w:val="00F63A34"/>
    <w:rsid w:val="00F63DCF"/>
    <w:rsid w:val="00F64BF3"/>
    <w:rsid w:val="00F64F08"/>
    <w:rsid w:val="00F65BA5"/>
    <w:rsid w:val="00F667FA"/>
    <w:rsid w:val="00F66CE8"/>
    <w:rsid w:val="00F67039"/>
    <w:rsid w:val="00F67991"/>
    <w:rsid w:val="00F70055"/>
    <w:rsid w:val="00F7038C"/>
    <w:rsid w:val="00F7052A"/>
    <w:rsid w:val="00F709E1"/>
    <w:rsid w:val="00F70B0B"/>
    <w:rsid w:val="00F710C5"/>
    <w:rsid w:val="00F71150"/>
    <w:rsid w:val="00F711DF"/>
    <w:rsid w:val="00F71D46"/>
    <w:rsid w:val="00F72FB8"/>
    <w:rsid w:val="00F733C4"/>
    <w:rsid w:val="00F734F5"/>
    <w:rsid w:val="00F73B5B"/>
    <w:rsid w:val="00F7472D"/>
    <w:rsid w:val="00F7595B"/>
    <w:rsid w:val="00F76D21"/>
    <w:rsid w:val="00F7729D"/>
    <w:rsid w:val="00F80549"/>
    <w:rsid w:val="00F8154C"/>
    <w:rsid w:val="00F82004"/>
    <w:rsid w:val="00F8278C"/>
    <w:rsid w:val="00F82E98"/>
    <w:rsid w:val="00F838D7"/>
    <w:rsid w:val="00F8647D"/>
    <w:rsid w:val="00F86514"/>
    <w:rsid w:val="00F86676"/>
    <w:rsid w:val="00F86917"/>
    <w:rsid w:val="00F878A4"/>
    <w:rsid w:val="00F9020D"/>
    <w:rsid w:val="00F909C3"/>
    <w:rsid w:val="00F90EA5"/>
    <w:rsid w:val="00F91F5A"/>
    <w:rsid w:val="00F92461"/>
    <w:rsid w:val="00F928E1"/>
    <w:rsid w:val="00F93429"/>
    <w:rsid w:val="00F938B6"/>
    <w:rsid w:val="00F946FB"/>
    <w:rsid w:val="00F95DB1"/>
    <w:rsid w:val="00F95DD5"/>
    <w:rsid w:val="00F966B1"/>
    <w:rsid w:val="00F9739B"/>
    <w:rsid w:val="00F97AA1"/>
    <w:rsid w:val="00F97D48"/>
    <w:rsid w:val="00FA0250"/>
    <w:rsid w:val="00FA0311"/>
    <w:rsid w:val="00FA0AE5"/>
    <w:rsid w:val="00FA1005"/>
    <w:rsid w:val="00FA1489"/>
    <w:rsid w:val="00FA1ED5"/>
    <w:rsid w:val="00FA39E1"/>
    <w:rsid w:val="00FA39E5"/>
    <w:rsid w:val="00FA40F3"/>
    <w:rsid w:val="00FA4AAD"/>
    <w:rsid w:val="00FA4BD2"/>
    <w:rsid w:val="00FA53C4"/>
    <w:rsid w:val="00FA5662"/>
    <w:rsid w:val="00FA5A94"/>
    <w:rsid w:val="00FA6638"/>
    <w:rsid w:val="00FA71B3"/>
    <w:rsid w:val="00FA7F9D"/>
    <w:rsid w:val="00FB04D4"/>
    <w:rsid w:val="00FB0CED"/>
    <w:rsid w:val="00FB0F62"/>
    <w:rsid w:val="00FB1C93"/>
    <w:rsid w:val="00FB2C6E"/>
    <w:rsid w:val="00FB2CD5"/>
    <w:rsid w:val="00FB2DDA"/>
    <w:rsid w:val="00FB3396"/>
    <w:rsid w:val="00FB3420"/>
    <w:rsid w:val="00FB396D"/>
    <w:rsid w:val="00FB44D5"/>
    <w:rsid w:val="00FB4603"/>
    <w:rsid w:val="00FB4BC1"/>
    <w:rsid w:val="00FB692F"/>
    <w:rsid w:val="00FB6B23"/>
    <w:rsid w:val="00FB75A2"/>
    <w:rsid w:val="00FB75E7"/>
    <w:rsid w:val="00FB7A0E"/>
    <w:rsid w:val="00FB7A5C"/>
    <w:rsid w:val="00FC0D98"/>
    <w:rsid w:val="00FC2507"/>
    <w:rsid w:val="00FC2BBC"/>
    <w:rsid w:val="00FC2DFD"/>
    <w:rsid w:val="00FC356C"/>
    <w:rsid w:val="00FC364C"/>
    <w:rsid w:val="00FC3BD8"/>
    <w:rsid w:val="00FC3FE0"/>
    <w:rsid w:val="00FC412E"/>
    <w:rsid w:val="00FC559D"/>
    <w:rsid w:val="00FC645F"/>
    <w:rsid w:val="00FC685A"/>
    <w:rsid w:val="00FC6B03"/>
    <w:rsid w:val="00FC71C4"/>
    <w:rsid w:val="00FD06C2"/>
    <w:rsid w:val="00FD0E2C"/>
    <w:rsid w:val="00FD29E0"/>
    <w:rsid w:val="00FD342A"/>
    <w:rsid w:val="00FD3579"/>
    <w:rsid w:val="00FD4C26"/>
    <w:rsid w:val="00FD4F06"/>
    <w:rsid w:val="00FD50F0"/>
    <w:rsid w:val="00FD5686"/>
    <w:rsid w:val="00FD5CF6"/>
    <w:rsid w:val="00FD5ECE"/>
    <w:rsid w:val="00FD5F7A"/>
    <w:rsid w:val="00FD640F"/>
    <w:rsid w:val="00FD6B4C"/>
    <w:rsid w:val="00FD7069"/>
    <w:rsid w:val="00FD7AF5"/>
    <w:rsid w:val="00FE0132"/>
    <w:rsid w:val="00FE0553"/>
    <w:rsid w:val="00FE082C"/>
    <w:rsid w:val="00FE15A1"/>
    <w:rsid w:val="00FE17D2"/>
    <w:rsid w:val="00FE20C6"/>
    <w:rsid w:val="00FE25D0"/>
    <w:rsid w:val="00FE2DE0"/>
    <w:rsid w:val="00FE2E28"/>
    <w:rsid w:val="00FE2E31"/>
    <w:rsid w:val="00FE3BF3"/>
    <w:rsid w:val="00FE448B"/>
    <w:rsid w:val="00FE46D2"/>
    <w:rsid w:val="00FE4A68"/>
    <w:rsid w:val="00FE5191"/>
    <w:rsid w:val="00FE5DFE"/>
    <w:rsid w:val="00FE68D8"/>
    <w:rsid w:val="00FE6CB3"/>
    <w:rsid w:val="00FE6D1F"/>
    <w:rsid w:val="00FE7165"/>
    <w:rsid w:val="00FE7459"/>
    <w:rsid w:val="00FE761D"/>
    <w:rsid w:val="00FE7681"/>
    <w:rsid w:val="00FE77E6"/>
    <w:rsid w:val="00FF0C86"/>
    <w:rsid w:val="00FF112C"/>
    <w:rsid w:val="00FF1BC1"/>
    <w:rsid w:val="00FF1EE0"/>
    <w:rsid w:val="00FF2E4F"/>
    <w:rsid w:val="00FF3D2C"/>
    <w:rsid w:val="00FF411C"/>
    <w:rsid w:val="00FF437E"/>
    <w:rsid w:val="00FF4CBD"/>
    <w:rsid w:val="00FF4DB3"/>
    <w:rsid w:val="00FF4E99"/>
    <w:rsid w:val="00FF4EA4"/>
    <w:rsid w:val="00FF56C4"/>
    <w:rsid w:val="00FF5830"/>
    <w:rsid w:val="00FF5D3B"/>
    <w:rsid w:val="00FF6234"/>
    <w:rsid w:val="00FF6EE2"/>
    <w:rsid w:val="00FF6FC6"/>
    <w:rsid w:val="00FF7093"/>
    <w:rsid w:val="00FF7F0F"/>
    <w:rsid w:val="0108E4FB"/>
    <w:rsid w:val="010C2996"/>
    <w:rsid w:val="010C3FAB"/>
    <w:rsid w:val="0118164F"/>
    <w:rsid w:val="011CEE91"/>
    <w:rsid w:val="01332A50"/>
    <w:rsid w:val="013D8BED"/>
    <w:rsid w:val="01444559"/>
    <w:rsid w:val="0145760B"/>
    <w:rsid w:val="01481FD7"/>
    <w:rsid w:val="014DCF27"/>
    <w:rsid w:val="015A0CF3"/>
    <w:rsid w:val="015EEAC1"/>
    <w:rsid w:val="0160CC74"/>
    <w:rsid w:val="016AB6FB"/>
    <w:rsid w:val="016B42C9"/>
    <w:rsid w:val="01742CF8"/>
    <w:rsid w:val="01792A80"/>
    <w:rsid w:val="017B949C"/>
    <w:rsid w:val="017D864E"/>
    <w:rsid w:val="019FF5F1"/>
    <w:rsid w:val="01A69469"/>
    <w:rsid w:val="01B2F52B"/>
    <w:rsid w:val="01B48561"/>
    <w:rsid w:val="01CAEBC5"/>
    <w:rsid w:val="01CF6656"/>
    <w:rsid w:val="01D72D8C"/>
    <w:rsid w:val="01E15B6B"/>
    <w:rsid w:val="01FA2882"/>
    <w:rsid w:val="0209DD3E"/>
    <w:rsid w:val="02146F80"/>
    <w:rsid w:val="021B3191"/>
    <w:rsid w:val="021CCA54"/>
    <w:rsid w:val="022141FE"/>
    <w:rsid w:val="022D362B"/>
    <w:rsid w:val="023006C8"/>
    <w:rsid w:val="023B59CA"/>
    <w:rsid w:val="0240E92A"/>
    <w:rsid w:val="024A50B0"/>
    <w:rsid w:val="02510E8D"/>
    <w:rsid w:val="025BD6BC"/>
    <w:rsid w:val="027060BD"/>
    <w:rsid w:val="02788DD7"/>
    <w:rsid w:val="027D036A"/>
    <w:rsid w:val="0292FD61"/>
    <w:rsid w:val="02978C60"/>
    <w:rsid w:val="029D3C00"/>
    <w:rsid w:val="02A4A51F"/>
    <w:rsid w:val="02A7B642"/>
    <w:rsid w:val="02A83B0A"/>
    <w:rsid w:val="02AF3A33"/>
    <w:rsid w:val="02B32456"/>
    <w:rsid w:val="02CD6CF6"/>
    <w:rsid w:val="02D50365"/>
    <w:rsid w:val="02E7D4E3"/>
    <w:rsid w:val="02EADC31"/>
    <w:rsid w:val="02EE14EE"/>
    <w:rsid w:val="02F5C53F"/>
    <w:rsid w:val="0307659F"/>
    <w:rsid w:val="031CDC79"/>
    <w:rsid w:val="0329C3BA"/>
    <w:rsid w:val="033CCB40"/>
    <w:rsid w:val="033D202D"/>
    <w:rsid w:val="033D9067"/>
    <w:rsid w:val="033EF5E2"/>
    <w:rsid w:val="035127B3"/>
    <w:rsid w:val="0353C081"/>
    <w:rsid w:val="035FCBBA"/>
    <w:rsid w:val="037F38B2"/>
    <w:rsid w:val="0384CD8D"/>
    <w:rsid w:val="03863DBB"/>
    <w:rsid w:val="038984CE"/>
    <w:rsid w:val="039AE9EF"/>
    <w:rsid w:val="03A6AEB0"/>
    <w:rsid w:val="03AB6090"/>
    <w:rsid w:val="03B05D38"/>
    <w:rsid w:val="03B2A8E9"/>
    <w:rsid w:val="03B68250"/>
    <w:rsid w:val="03BEB146"/>
    <w:rsid w:val="03C853EB"/>
    <w:rsid w:val="03CE7BA7"/>
    <w:rsid w:val="03E0C2EE"/>
    <w:rsid w:val="03E2813F"/>
    <w:rsid w:val="03EB1750"/>
    <w:rsid w:val="03EF4FEA"/>
    <w:rsid w:val="03F3B332"/>
    <w:rsid w:val="03FEC094"/>
    <w:rsid w:val="0402E58B"/>
    <w:rsid w:val="04034064"/>
    <w:rsid w:val="0408E7D3"/>
    <w:rsid w:val="04136027"/>
    <w:rsid w:val="0426013D"/>
    <w:rsid w:val="04384019"/>
    <w:rsid w:val="043846D4"/>
    <w:rsid w:val="043FCDDF"/>
    <w:rsid w:val="0442EED1"/>
    <w:rsid w:val="045D1659"/>
    <w:rsid w:val="045EFBB4"/>
    <w:rsid w:val="04609225"/>
    <w:rsid w:val="047105B5"/>
    <w:rsid w:val="0471EE4E"/>
    <w:rsid w:val="0492037D"/>
    <w:rsid w:val="049BF36F"/>
    <w:rsid w:val="04AEA696"/>
    <w:rsid w:val="04BB34D9"/>
    <w:rsid w:val="04BC99C7"/>
    <w:rsid w:val="04C3C804"/>
    <w:rsid w:val="04CB13BA"/>
    <w:rsid w:val="04CC7FFA"/>
    <w:rsid w:val="04CE9D1D"/>
    <w:rsid w:val="04E299B7"/>
    <w:rsid w:val="04E8972A"/>
    <w:rsid w:val="04F1209A"/>
    <w:rsid w:val="04F3CB92"/>
    <w:rsid w:val="04F910FA"/>
    <w:rsid w:val="04F9F6D4"/>
    <w:rsid w:val="04FB58FD"/>
    <w:rsid w:val="05045A79"/>
    <w:rsid w:val="0504ACDD"/>
    <w:rsid w:val="05052BAD"/>
    <w:rsid w:val="0513AADF"/>
    <w:rsid w:val="0515505D"/>
    <w:rsid w:val="053BF6F6"/>
    <w:rsid w:val="053C12B3"/>
    <w:rsid w:val="05416F75"/>
    <w:rsid w:val="05417E00"/>
    <w:rsid w:val="05452A6E"/>
    <w:rsid w:val="05484288"/>
    <w:rsid w:val="05560A33"/>
    <w:rsid w:val="055A88EB"/>
    <w:rsid w:val="055F6C2D"/>
    <w:rsid w:val="056209CC"/>
    <w:rsid w:val="057BC835"/>
    <w:rsid w:val="05816C88"/>
    <w:rsid w:val="0582CE49"/>
    <w:rsid w:val="058A5369"/>
    <w:rsid w:val="05A742C9"/>
    <w:rsid w:val="05A8B1BB"/>
    <w:rsid w:val="05B1BD07"/>
    <w:rsid w:val="05B4BCAA"/>
    <w:rsid w:val="05C1D2AD"/>
    <w:rsid w:val="05C39EB1"/>
    <w:rsid w:val="05D1B72A"/>
    <w:rsid w:val="05D1CE4A"/>
    <w:rsid w:val="05D90F5F"/>
    <w:rsid w:val="05DC77AA"/>
    <w:rsid w:val="05E148C7"/>
    <w:rsid w:val="05EEEFBD"/>
    <w:rsid w:val="05FE8045"/>
    <w:rsid w:val="060787C9"/>
    <w:rsid w:val="0624D123"/>
    <w:rsid w:val="06262C2C"/>
    <w:rsid w:val="0628152C"/>
    <w:rsid w:val="062DCB6C"/>
    <w:rsid w:val="06319753"/>
    <w:rsid w:val="06330868"/>
    <w:rsid w:val="0636112E"/>
    <w:rsid w:val="0640EEEF"/>
    <w:rsid w:val="06423E53"/>
    <w:rsid w:val="064CECAE"/>
    <w:rsid w:val="064D7811"/>
    <w:rsid w:val="064DBCA0"/>
    <w:rsid w:val="0658D359"/>
    <w:rsid w:val="06611EA4"/>
    <w:rsid w:val="0679FA70"/>
    <w:rsid w:val="067B399A"/>
    <w:rsid w:val="068BA855"/>
    <w:rsid w:val="06A1DCB4"/>
    <w:rsid w:val="06A25FCE"/>
    <w:rsid w:val="06A7FFE0"/>
    <w:rsid w:val="06A848A4"/>
    <w:rsid w:val="06B92F8E"/>
    <w:rsid w:val="06C2A5FA"/>
    <w:rsid w:val="06C78977"/>
    <w:rsid w:val="06C8BD94"/>
    <w:rsid w:val="06CA885C"/>
    <w:rsid w:val="06DA0A63"/>
    <w:rsid w:val="06E37F82"/>
    <w:rsid w:val="06E563D5"/>
    <w:rsid w:val="06F905FD"/>
    <w:rsid w:val="07018C76"/>
    <w:rsid w:val="070243FC"/>
    <w:rsid w:val="0709FA3D"/>
    <w:rsid w:val="070C363B"/>
    <w:rsid w:val="070ED177"/>
    <w:rsid w:val="0716AA86"/>
    <w:rsid w:val="072094E9"/>
    <w:rsid w:val="0724B3CD"/>
    <w:rsid w:val="0733C708"/>
    <w:rsid w:val="073EF721"/>
    <w:rsid w:val="0747AD72"/>
    <w:rsid w:val="074E7485"/>
    <w:rsid w:val="0755578E"/>
    <w:rsid w:val="076EAFD0"/>
    <w:rsid w:val="07754FF7"/>
    <w:rsid w:val="077C1A2B"/>
    <w:rsid w:val="07B6698B"/>
    <w:rsid w:val="07BCCC11"/>
    <w:rsid w:val="07C3C55F"/>
    <w:rsid w:val="07C87333"/>
    <w:rsid w:val="07D0F4F3"/>
    <w:rsid w:val="07DE6EC4"/>
    <w:rsid w:val="07F992D5"/>
    <w:rsid w:val="07FEC3E7"/>
    <w:rsid w:val="081518B8"/>
    <w:rsid w:val="081FCF46"/>
    <w:rsid w:val="082CDA11"/>
    <w:rsid w:val="0838CD0D"/>
    <w:rsid w:val="083B7761"/>
    <w:rsid w:val="083C55FF"/>
    <w:rsid w:val="0840ACB5"/>
    <w:rsid w:val="08423D27"/>
    <w:rsid w:val="08436407"/>
    <w:rsid w:val="084415F4"/>
    <w:rsid w:val="08441F7D"/>
    <w:rsid w:val="084DFCAE"/>
    <w:rsid w:val="085738BF"/>
    <w:rsid w:val="0868459C"/>
    <w:rsid w:val="088A43B9"/>
    <w:rsid w:val="08CB1195"/>
    <w:rsid w:val="08D0BD1A"/>
    <w:rsid w:val="08D22399"/>
    <w:rsid w:val="08E75246"/>
    <w:rsid w:val="08F3AF86"/>
    <w:rsid w:val="08FB332A"/>
    <w:rsid w:val="08FDAA55"/>
    <w:rsid w:val="0911661B"/>
    <w:rsid w:val="0914F615"/>
    <w:rsid w:val="0914FE8D"/>
    <w:rsid w:val="09198014"/>
    <w:rsid w:val="091C15A9"/>
    <w:rsid w:val="092646F6"/>
    <w:rsid w:val="0929097D"/>
    <w:rsid w:val="092EA45D"/>
    <w:rsid w:val="0931346C"/>
    <w:rsid w:val="0938B0F7"/>
    <w:rsid w:val="094088F5"/>
    <w:rsid w:val="094A2E9E"/>
    <w:rsid w:val="095349AD"/>
    <w:rsid w:val="096B6BB7"/>
    <w:rsid w:val="09736F03"/>
    <w:rsid w:val="0979BEFC"/>
    <w:rsid w:val="097CE9A9"/>
    <w:rsid w:val="097D9A1A"/>
    <w:rsid w:val="097E08CE"/>
    <w:rsid w:val="09966650"/>
    <w:rsid w:val="099CCB97"/>
    <w:rsid w:val="09A13810"/>
    <w:rsid w:val="09A4D741"/>
    <w:rsid w:val="09A84E95"/>
    <w:rsid w:val="09B44999"/>
    <w:rsid w:val="09B7066E"/>
    <w:rsid w:val="09C2379B"/>
    <w:rsid w:val="09C9D116"/>
    <w:rsid w:val="09D2F631"/>
    <w:rsid w:val="09D4D10E"/>
    <w:rsid w:val="09D92A8C"/>
    <w:rsid w:val="09DA2CC1"/>
    <w:rsid w:val="09E77CC1"/>
    <w:rsid w:val="09EB35A4"/>
    <w:rsid w:val="09FE894D"/>
    <w:rsid w:val="0A0F5B8A"/>
    <w:rsid w:val="0A15A601"/>
    <w:rsid w:val="0A23081D"/>
    <w:rsid w:val="0A2E1DB5"/>
    <w:rsid w:val="0A3F6667"/>
    <w:rsid w:val="0A4C6281"/>
    <w:rsid w:val="0A5F9B6A"/>
    <w:rsid w:val="0A6AA693"/>
    <w:rsid w:val="0A6FFD73"/>
    <w:rsid w:val="0A7A0580"/>
    <w:rsid w:val="0A7FC836"/>
    <w:rsid w:val="0A827C27"/>
    <w:rsid w:val="0A87D2A4"/>
    <w:rsid w:val="0A8B4BB2"/>
    <w:rsid w:val="0A920E8B"/>
    <w:rsid w:val="0A983BA7"/>
    <w:rsid w:val="0AB25317"/>
    <w:rsid w:val="0AB2F7F8"/>
    <w:rsid w:val="0AC2F9C7"/>
    <w:rsid w:val="0AC88852"/>
    <w:rsid w:val="0AD51574"/>
    <w:rsid w:val="0AD8652D"/>
    <w:rsid w:val="0B0FA874"/>
    <w:rsid w:val="0B1492B4"/>
    <w:rsid w:val="0B149ECA"/>
    <w:rsid w:val="0B1C181C"/>
    <w:rsid w:val="0B1E9484"/>
    <w:rsid w:val="0B25BD9A"/>
    <w:rsid w:val="0B2977E8"/>
    <w:rsid w:val="0B2E805C"/>
    <w:rsid w:val="0B2FB3EB"/>
    <w:rsid w:val="0B490346"/>
    <w:rsid w:val="0B51F915"/>
    <w:rsid w:val="0B53DA97"/>
    <w:rsid w:val="0B5674DF"/>
    <w:rsid w:val="0B60326A"/>
    <w:rsid w:val="0B8A6D8C"/>
    <w:rsid w:val="0B9744FB"/>
    <w:rsid w:val="0BA31DF3"/>
    <w:rsid w:val="0BA3B658"/>
    <w:rsid w:val="0BA8782C"/>
    <w:rsid w:val="0BAF1842"/>
    <w:rsid w:val="0BC11342"/>
    <w:rsid w:val="0BD44B85"/>
    <w:rsid w:val="0BD62B37"/>
    <w:rsid w:val="0BED78AE"/>
    <w:rsid w:val="0BF9224B"/>
    <w:rsid w:val="0BF95ED1"/>
    <w:rsid w:val="0C0A22A3"/>
    <w:rsid w:val="0C0B4355"/>
    <w:rsid w:val="0C0CE402"/>
    <w:rsid w:val="0C113210"/>
    <w:rsid w:val="0C13EA27"/>
    <w:rsid w:val="0C15A866"/>
    <w:rsid w:val="0C1B1BD8"/>
    <w:rsid w:val="0C20FCE8"/>
    <w:rsid w:val="0C468D63"/>
    <w:rsid w:val="0C52DC6B"/>
    <w:rsid w:val="0C67B9FC"/>
    <w:rsid w:val="0C68566C"/>
    <w:rsid w:val="0C925DF1"/>
    <w:rsid w:val="0C947AAA"/>
    <w:rsid w:val="0C96B74A"/>
    <w:rsid w:val="0C96C128"/>
    <w:rsid w:val="0C9E2C4E"/>
    <w:rsid w:val="0CACBA86"/>
    <w:rsid w:val="0CF16E12"/>
    <w:rsid w:val="0CF4E821"/>
    <w:rsid w:val="0CFAD3DB"/>
    <w:rsid w:val="0D045211"/>
    <w:rsid w:val="0D070AF3"/>
    <w:rsid w:val="0D0E2881"/>
    <w:rsid w:val="0D0E2D5A"/>
    <w:rsid w:val="0D10A239"/>
    <w:rsid w:val="0D14FC46"/>
    <w:rsid w:val="0D15743C"/>
    <w:rsid w:val="0D1B2C8F"/>
    <w:rsid w:val="0D1DEA47"/>
    <w:rsid w:val="0D23EAC3"/>
    <w:rsid w:val="0D2557A5"/>
    <w:rsid w:val="0D2DB9EE"/>
    <w:rsid w:val="0D303988"/>
    <w:rsid w:val="0D36F12D"/>
    <w:rsid w:val="0D3F046C"/>
    <w:rsid w:val="0D4E8DB6"/>
    <w:rsid w:val="0D52A41E"/>
    <w:rsid w:val="0D5AC017"/>
    <w:rsid w:val="0D62D774"/>
    <w:rsid w:val="0D726E76"/>
    <w:rsid w:val="0D7CCDCE"/>
    <w:rsid w:val="0D8447B7"/>
    <w:rsid w:val="0D8D2CAF"/>
    <w:rsid w:val="0D94B013"/>
    <w:rsid w:val="0D964CD0"/>
    <w:rsid w:val="0DA62638"/>
    <w:rsid w:val="0DA976E9"/>
    <w:rsid w:val="0DBB8B53"/>
    <w:rsid w:val="0DC56ADA"/>
    <w:rsid w:val="0DCCD1B5"/>
    <w:rsid w:val="0DCD83BB"/>
    <w:rsid w:val="0DCFF2B1"/>
    <w:rsid w:val="0DD057FA"/>
    <w:rsid w:val="0DD3A062"/>
    <w:rsid w:val="0DECD843"/>
    <w:rsid w:val="0DEF27E1"/>
    <w:rsid w:val="0DFB44A6"/>
    <w:rsid w:val="0E00224E"/>
    <w:rsid w:val="0E02B0FC"/>
    <w:rsid w:val="0E12BBE2"/>
    <w:rsid w:val="0E2BC870"/>
    <w:rsid w:val="0E461DBF"/>
    <w:rsid w:val="0E471A94"/>
    <w:rsid w:val="0E4D6563"/>
    <w:rsid w:val="0E4E8165"/>
    <w:rsid w:val="0E53F234"/>
    <w:rsid w:val="0E6340E8"/>
    <w:rsid w:val="0E7B46BF"/>
    <w:rsid w:val="0E82F368"/>
    <w:rsid w:val="0E8679ED"/>
    <w:rsid w:val="0E8F9189"/>
    <w:rsid w:val="0E9346DE"/>
    <w:rsid w:val="0E994127"/>
    <w:rsid w:val="0EA615B3"/>
    <w:rsid w:val="0EAE5033"/>
    <w:rsid w:val="0EB0173B"/>
    <w:rsid w:val="0EB093E2"/>
    <w:rsid w:val="0EBE4D7C"/>
    <w:rsid w:val="0EC3ECB9"/>
    <w:rsid w:val="0ECE3F90"/>
    <w:rsid w:val="0EE4D73A"/>
    <w:rsid w:val="0F0055C0"/>
    <w:rsid w:val="0F0569FD"/>
    <w:rsid w:val="0F0E8348"/>
    <w:rsid w:val="0F13CDF7"/>
    <w:rsid w:val="0F205C56"/>
    <w:rsid w:val="0F21C7C5"/>
    <w:rsid w:val="0F22E376"/>
    <w:rsid w:val="0F28D20C"/>
    <w:rsid w:val="0F346CF6"/>
    <w:rsid w:val="0F3653EF"/>
    <w:rsid w:val="0F39DD39"/>
    <w:rsid w:val="0F4D1149"/>
    <w:rsid w:val="0F4D617F"/>
    <w:rsid w:val="0F4DBEB9"/>
    <w:rsid w:val="0F51E3B5"/>
    <w:rsid w:val="0F6B7D56"/>
    <w:rsid w:val="0F741103"/>
    <w:rsid w:val="0F868D05"/>
    <w:rsid w:val="0F8C6915"/>
    <w:rsid w:val="0F96AFB6"/>
    <w:rsid w:val="0F983AE4"/>
    <w:rsid w:val="0FE1DC1C"/>
    <w:rsid w:val="0FFD3269"/>
    <w:rsid w:val="0FFED0F2"/>
    <w:rsid w:val="1002EB12"/>
    <w:rsid w:val="1005EA15"/>
    <w:rsid w:val="100A2DC4"/>
    <w:rsid w:val="10102428"/>
    <w:rsid w:val="101465A7"/>
    <w:rsid w:val="10170559"/>
    <w:rsid w:val="101CFE49"/>
    <w:rsid w:val="102104F0"/>
    <w:rsid w:val="1022CF3B"/>
    <w:rsid w:val="102B2189"/>
    <w:rsid w:val="1049C457"/>
    <w:rsid w:val="1050ADCE"/>
    <w:rsid w:val="1054B12D"/>
    <w:rsid w:val="1057F9D1"/>
    <w:rsid w:val="10626777"/>
    <w:rsid w:val="1067A4AE"/>
    <w:rsid w:val="1072466B"/>
    <w:rsid w:val="107C8F6E"/>
    <w:rsid w:val="10838CD2"/>
    <w:rsid w:val="108470DB"/>
    <w:rsid w:val="1085B9F1"/>
    <w:rsid w:val="1088AC98"/>
    <w:rsid w:val="109069AB"/>
    <w:rsid w:val="10907716"/>
    <w:rsid w:val="1091D11E"/>
    <w:rsid w:val="10978455"/>
    <w:rsid w:val="1098EB97"/>
    <w:rsid w:val="109C3E24"/>
    <w:rsid w:val="10A4FE81"/>
    <w:rsid w:val="10A8D7F8"/>
    <w:rsid w:val="10AAB76A"/>
    <w:rsid w:val="10B0DE7E"/>
    <w:rsid w:val="10BFC8DE"/>
    <w:rsid w:val="10C4DF5C"/>
    <w:rsid w:val="110765E1"/>
    <w:rsid w:val="111365FD"/>
    <w:rsid w:val="11222ECD"/>
    <w:rsid w:val="11234872"/>
    <w:rsid w:val="11371E63"/>
    <w:rsid w:val="115C9F33"/>
    <w:rsid w:val="1162613D"/>
    <w:rsid w:val="116D3D87"/>
    <w:rsid w:val="116F66FE"/>
    <w:rsid w:val="1180E00A"/>
    <w:rsid w:val="11837A4E"/>
    <w:rsid w:val="11880BF3"/>
    <w:rsid w:val="118D68A2"/>
    <w:rsid w:val="118D773A"/>
    <w:rsid w:val="118E80AF"/>
    <w:rsid w:val="119B1FB5"/>
    <w:rsid w:val="119B79F9"/>
    <w:rsid w:val="119CEF59"/>
    <w:rsid w:val="11AFE428"/>
    <w:rsid w:val="11B10F52"/>
    <w:rsid w:val="11B3A380"/>
    <w:rsid w:val="11B6F2BF"/>
    <w:rsid w:val="11C52D30"/>
    <w:rsid w:val="11D70B12"/>
    <w:rsid w:val="11E55091"/>
    <w:rsid w:val="11EBC516"/>
    <w:rsid w:val="11EFAB71"/>
    <w:rsid w:val="11F6DF47"/>
    <w:rsid w:val="11FC2E0A"/>
    <w:rsid w:val="1216D6A1"/>
    <w:rsid w:val="12197CCC"/>
    <w:rsid w:val="122F4AE3"/>
    <w:rsid w:val="123F0B7A"/>
    <w:rsid w:val="12432EC7"/>
    <w:rsid w:val="124ADBE4"/>
    <w:rsid w:val="124EC35D"/>
    <w:rsid w:val="124F9F47"/>
    <w:rsid w:val="1254C108"/>
    <w:rsid w:val="125DBB47"/>
    <w:rsid w:val="12658DDA"/>
    <w:rsid w:val="1275C0AB"/>
    <w:rsid w:val="129E55D4"/>
    <w:rsid w:val="12A7EA67"/>
    <w:rsid w:val="12B4D6BB"/>
    <w:rsid w:val="12BA3746"/>
    <w:rsid w:val="12D58C52"/>
    <w:rsid w:val="12D67F4F"/>
    <w:rsid w:val="12DA06E5"/>
    <w:rsid w:val="12E3CD63"/>
    <w:rsid w:val="12ECB302"/>
    <w:rsid w:val="12EF2CB8"/>
    <w:rsid w:val="12F4F29F"/>
    <w:rsid w:val="12FFCF44"/>
    <w:rsid w:val="1309C28B"/>
    <w:rsid w:val="13473072"/>
    <w:rsid w:val="134782DE"/>
    <w:rsid w:val="1357E325"/>
    <w:rsid w:val="136CF403"/>
    <w:rsid w:val="137DE4B5"/>
    <w:rsid w:val="13861D13"/>
    <w:rsid w:val="13951F5F"/>
    <w:rsid w:val="1399A1CF"/>
    <w:rsid w:val="13B95D2B"/>
    <w:rsid w:val="13BA0A67"/>
    <w:rsid w:val="13C971E0"/>
    <w:rsid w:val="13CAB05D"/>
    <w:rsid w:val="13CEDB6F"/>
    <w:rsid w:val="13D0A7E2"/>
    <w:rsid w:val="13D4EFA1"/>
    <w:rsid w:val="13EA168E"/>
    <w:rsid w:val="13EE61F3"/>
    <w:rsid w:val="13F16F7C"/>
    <w:rsid w:val="13F4BB4B"/>
    <w:rsid w:val="13F78E1C"/>
    <w:rsid w:val="13F859C4"/>
    <w:rsid w:val="14162E3E"/>
    <w:rsid w:val="1416D0D8"/>
    <w:rsid w:val="142F21A6"/>
    <w:rsid w:val="143B4224"/>
    <w:rsid w:val="14433507"/>
    <w:rsid w:val="14562156"/>
    <w:rsid w:val="145D2A4D"/>
    <w:rsid w:val="145EA49A"/>
    <w:rsid w:val="14696EDB"/>
    <w:rsid w:val="147314E2"/>
    <w:rsid w:val="147BE72B"/>
    <w:rsid w:val="147CAFB1"/>
    <w:rsid w:val="1484DC08"/>
    <w:rsid w:val="148E42BB"/>
    <w:rsid w:val="149058DD"/>
    <w:rsid w:val="1491C9C0"/>
    <w:rsid w:val="149FE098"/>
    <w:rsid w:val="14A3D9E3"/>
    <w:rsid w:val="14A626B6"/>
    <w:rsid w:val="14B386BE"/>
    <w:rsid w:val="14B8F6BA"/>
    <w:rsid w:val="14BC0AE1"/>
    <w:rsid w:val="14BCF1CC"/>
    <w:rsid w:val="14C4EDDA"/>
    <w:rsid w:val="14CBD5F3"/>
    <w:rsid w:val="14D5A575"/>
    <w:rsid w:val="14E04745"/>
    <w:rsid w:val="14E44AFE"/>
    <w:rsid w:val="1501F4FD"/>
    <w:rsid w:val="1509849B"/>
    <w:rsid w:val="1509D532"/>
    <w:rsid w:val="150D2F42"/>
    <w:rsid w:val="1510CCE2"/>
    <w:rsid w:val="151B477B"/>
    <w:rsid w:val="152342F0"/>
    <w:rsid w:val="152B1BF0"/>
    <w:rsid w:val="1535A485"/>
    <w:rsid w:val="1535B9AC"/>
    <w:rsid w:val="15431035"/>
    <w:rsid w:val="1550DC5A"/>
    <w:rsid w:val="15566BF8"/>
    <w:rsid w:val="155B9C44"/>
    <w:rsid w:val="155DB80A"/>
    <w:rsid w:val="1561060D"/>
    <w:rsid w:val="15618675"/>
    <w:rsid w:val="15623EA4"/>
    <w:rsid w:val="15655E8C"/>
    <w:rsid w:val="156F562E"/>
    <w:rsid w:val="156F9744"/>
    <w:rsid w:val="1572A119"/>
    <w:rsid w:val="157614C4"/>
    <w:rsid w:val="158E8BB5"/>
    <w:rsid w:val="158F8AEC"/>
    <w:rsid w:val="15B02BCF"/>
    <w:rsid w:val="15B3C103"/>
    <w:rsid w:val="15B41A4C"/>
    <w:rsid w:val="15B4D6FD"/>
    <w:rsid w:val="15B713F3"/>
    <w:rsid w:val="15C7063C"/>
    <w:rsid w:val="15DFC912"/>
    <w:rsid w:val="15E246BE"/>
    <w:rsid w:val="15F30B43"/>
    <w:rsid w:val="15F55D30"/>
    <w:rsid w:val="15FE6314"/>
    <w:rsid w:val="1602FE9B"/>
    <w:rsid w:val="16063158"/>
    <w:rsid w:val="1606CB04"/>
    <w:rsid w:val="16076858"/>
    <w:rsid w:val="160F4DA2"/>
    <w:rsid w:val="160F6A88"/>
    <w:rsid w:val="1612C22C"/>
    <w:rsid w:val="16165F00"/>
    <w:rsid w:val="161DFFE6"/>
    <w:rsid w:val="16323C60"/>
    <w:rsid w:val="16347242"/>
    <w:rsid w:val="16412829"/>
    <w:rsid w:val="164CD617"/>
    <w:rsid w:val="167737E3"/>
    <w:rsid w:val="16787BA8"/>
    <w:rsid w:val="16801B5F"/>
    <w:rsid w:val="1681218B"/>
    <w:rsid w:val="1682659C"/>
    <w:rsid w:val="169AA8BC"/>
    <w:rsid w:val="16ACCFB1"/>
    <w:rsid w:val="16C6C513"/>
    <w:rsid w:val="16CDF75C"/>
    <w:rsid w:val="16EB4EDC"/>
    <w:rsid w:val="16EB52B5"/>
    <w:rsid w:val="16F267B6"/>
    <w:rsid w:val="16F4AF9B"/>
    <w:rsid w:val="16FBA134"/>
    <w:rsid w:val="1704F2D4"/>
    <w:rsid w:val="170BE459"/>
    <w:rsid w:val="17132D0A"/>
    <w:rsid w:val="17164F53"/>
    <w:rsid w:val="171D1CC4"/>
    <w:rsid w:val="171FBB56"/>
    <w:rsid w:val="1721B750"/>
    <w:rsid w:val="172C861A"/>
    <w:rsid w:val="173B1B41"/>
    <w:rsid w:val="1743D058"/>
    <w:rsid w:val="1747FF42"/>
    <w:rsid w:val="174CD111"/>
    <w:rsid w:val="174E927A"/>
    <w:rsid w:val="17508EAC"/>
    <w:rsid w:val="17568C70"/>
    <w:rsid w:val="177382AE"/>
    <w:rsid w:val="1777BDF4"/>
    <w:rsid w:val="1786FEBF"/>
    <w:rsid w:val="178DCFFD"/>
    <w:rsid w:val="178E184F"/>
    <w:rsid w:val="179DCA88"/>
    <w:rsid w:val="17A12071"/>
    <w:rsid w:val="17A43A33"/>
    <w:rsid w:val="17C967FD"/>
    <w:rsid w:val="17CFF8D2"/>
    <w:rsid w:val="17D80695"/>
    <w:rsid w:val="17DFEB07"/>
    <w:rsid w:val="17E1913B"/>
    <w:rsid w:val="17E71068"/>
    <w:rsid w:val="17E7D47C"/>
    <w:rsid w:val="17E933F0"/>
    <w:rsid w:val="17F72CC8"/>
    <w:rsid w:val="17FAD517"/>
    <w:rsid w:val="17FF0143"/>
    <w:rsid w:val="17FFB9A2"/>
    <w:rsid w:val="180D6684"/>
    <w:rsid w:val="1816393C"/>
    <w:rsid w:val="1816E588"/>
    <w:rsid w:val="1819CD46"/>
    <w:rsid w:val="182355B8"/>
    <w:rsid w:val="18370DCF"/>
    <w:rsid w:val="18397475"/>
    <w:rsid w:val="1839DBBF"/>
    <w:rsid w:val="1841D9D0"/>
    <w:rsid w:val="1843D619"/>
    <w:rsid w:val="1845A52A"/>
    <w:rsid w:val="1845C089"/>
    <w:rsid w:val="18563CA0"/>
    <w:rsid w:val="1860BCC7"/>
    <w:rsid w:val="186C2D99"/>
    <w:rsid w:val="18763F6C"/>
    <w:rsid w:val="187E8AF0"/>
    <w:rsid w:val="18811BCA"/>
    <w:rsid w:val="18898228"/>
    <w:rsid w:val="188C33C9"/>
    <w:rsid w:val="189DCBCE"/>
    <w:rsid w:val="189E5F4D"/>
    <w:rsid w:val="189FCBFC"/>
    <w:rsid w:val="18A09BF7"/>
    <w:rsid w:val="18AB55A1"/>
    <w:rsid w:val="18AD1E0E"/>
    <w:rsid w:val="18BB271F"/>
    <w:rsid w:val="18C15281"/>
    <w:rsid w:val="18C16340"/>
    <w:rsid w:val="18D65252"/>
    <w:rsid w:val="18F022E8"/>
    <w:rsid w:val="1903884E"/>
    <w:rsid w:val="19078BED"/>
    <w:rsid w:val="1923B398"/>
    <w:rsid w:val="19260805"/>
    <w:rsid w:val="192C5147"/>
    <w:rsid w:val="192D1EE2"/>
    <w:rsid w:val="1941129A"/>
    <w:rsid w:val="19426D7A"/>
    <w:rsid w:val="195F0F3B"/>
    <w:rsid w:val="196EADE8"/>
    <w:rsid w:val="1977F94D"/>
    <w:rsid w:val="197BDF96"/>
    <w:rsid w:val="19854673"/>
    <w:rsid w:val="198DA259"/>
    <w:rsid w:val="19A4E76C"/>
    <w:rsid w:val="19A86D63"/>
    <w:rsid w:val="19B70873"/>
    <w:rsid w:val="19C7E319"/>
    <w:rsid w:val="19D526F9"/>
    <w:rsid w:val="19DCD2C7"/>
    <w:rsid w:val="19E7BDC7"/>
    <w:rsid w:val="19F20C50"/>
    <w:rsid w:val="19F55E97"/>
    <w:rsid w:val="19FBE074"/>
    <w:rsid w:val="1A036E05"/>
    <w:rsid w:val="1A06F651"/>
    <w:rsid w:val="1A287F44"/>
    <w:rsid w:val="1A3171A1"/>
    <w:rsid w:val="1A36E39A"/>
    <w:rsid w:val="1A67B4E7"/>
    <w:rsid w:val="1A74BAFC"/>
    <w:rsid w:val="1A8C3067"/>
    <w:rsid w:val="1A8EABB4"/>
    <w:rsid w:val="1A94D071"/>
    <w:rsid w:val="1A96107F"/>
    <w:rsid w:val="1A9A727C"/>
    <w:rsid w:val="1A9A8D7B"/>
    <w:rsid w:val="1A9E86B8"/>
    <w:rsid w:val="1AA21E96"/>
    <w:rsid w:val="1ABC3A8C"/>
    <w:rsid w:val="1ABF062D"/>
    <w:rsid w:val="1AC60359"/>
    <w:rsid w:val="1AC6688B"/>
    <w:rsid w:val="1ACE90A5"/>
    <w:rsid w:val="1AD4E3DF"/>
    <w:rsid w:val="1AE7F395"/>
    <w:rsid w:val="1B136F00"/>
    <w:rsid w:val="1B264487"/>
    <w:rsid w:val="1B29BD5C"/>
    <w:rsid w:val="1B2AFFCA"/>
    <w:rsid w:val="1B33CC52"/>
    <w:rsid w:val="1B3FE424"/>
    <w:rsid w:val="1B434318"/>
    <w:rsid w:val="1B490BDC"/>
    <w:rsid w:val="1B4E2FD4"/>
    <w:rsid w:val="1B4F5AF3"/>
    <w:rsid w:val="1B55D8C4"/>
    <w:rsid w:val="1B5D0522"/>
    <w:rsid w:val="1B5E496C"/>
    <w:rsid w:val="1B5F9F56"/>
    <w:rsid w:val="1B6387A5"/>
    <w:rsid w:val="1B645159"/>
    <w:rsid w:val="1B6510C5"/>
    <w:rsid w:val="1B7092C7"/>
    <w:rsid w:val="1B718ED2"/>
    <w:rsid w:val="1B855A39"/>
    <w:rsid w:val="1B9792FE"/>
    <w:rsid w:val="1BAE7B1C"/>
    <w:rsid w:val="1BB5ED09"/>
    <w:rsid w:val="1BB642B7"/>
    <w:rsid w:val="1BC64DD0"/>
    <w:rsid w:val="1BCE352A"/>
    <w:rsid w:val="1BD2B64E"/>
    <w:rsid w:val="1BE36B43"/>
    <w:rsid w:val="1BE8EDF0"/>
    <w:rsid w:val="1BF62150"/>
    <w:rsid w:val="1BFC34DA"/>
    <w:rsid w:val="1BFE7DAA"/>
    <w:rsid w:val="1C0E3757"/>
    <w:rsid w:val="1C10BA7E"/>
    <w:rsid w:val="1C159D68"/>
    <w:rsid w:val="1C170BA8"/>
    <w:rsid w:val="1C178621"/>
    <w:rsid w:val="1C218845"/>
    <w:rsid w:val="1C2E6E7F"/>
    <w:rsid w:val="1C2F5F7C"/>
    <w:rsid w:val="1C3FC696"/>
    <w:rsid w:val="1C43EF3E"/>
    <w:rsid w:val="1C4FFA23"/>
    <w:rsid w:val="1C56D7F4"/>
    <w:rsid w:val="1C596D0D"/>
    <w:rsid w:val="1C5A2CA6"/>
    <w:rsid w:val="1C5A996D"/>
    <w:rsid w:val="1C60B1E2"/>
    <w:rsid w:val="1C65768C"/>
    <w:rsid w:val="1C6FE268"/>
    <w:rsid w:val="1C790ACD"/>
    <w:rsid w:val="1C8935D1"/>
    <w:rsid w:val="1C89CA49"/>
    <w:rsid w:val="1C92F3EC"/>
    <w:rsid w:val="1CA7BFFD"/>
    <w:rsid w:val="1CA85A13"/>
    <w:rsid w:val="1CACA6A8"/>
    <w:rsid w:val="1CBCDBE8"/>
    <w:rsid w:val="1CBF1BFD"/>
    <w:rsid w:val="1CD2E603"/>
    <w:rsid w:val="1CD44646"/>
    <w:rsid w:val="1CDEFFF0"/>
    <w:rsid w:val="1D012967"/>
    <w:rsid w:val="1D06AB35"/>
    <w:rsid w:val="1D085283"/>
    <w:rsid w:val="1D1ADC73"/>
    <w:rsid w:val="1D1D674B"/>
    <w:rsid w:val="1D3E7B5F"/>
    <w:rsid w:val="1D40AC9C"/>
    <w:rsid w:val="1D4A1E2A"/>
    <w:rsid w:val="1D4E7DFE"/>
    <w:rsid w:val="1D56E9BD"/>
    <w:rsid w:val="1D59BCC1"/>
    <w:rsid w:val="1D73EA93"/>
    <w:rsid w:val="1D8CF66A"/>
    <w:rsid w:val="1D987D33"/>
    <w:rsid w:val="1D98D072"/>
    <w:rsid w:val="1D9F68D8"/>
    <w:rsid w:val="1DA64CA3"/>
    <w:rsid w:val="1DAF7198"/>
    <w:rsid w:val="1DB5F5F0"/>
    <w:rsid w:val="1DB793EB"/>
    <w:rsid w:val="1DC6A121"/>
    <w:rsid w:val="1DCAFF89"/>
    <w:rsid w:val="1DD232AF"/>
    <w:rsid w:val="1DD7E324"/>
    <w:rsid w:val="1DD96B93"/>
    <w:rsid w:val="1DE714B2"/>
    <w:rsid w:val="1DF0EE06"/>
    <w:rsid w:val="1DF2D221"/>
    <w:rsid w:val="1DF97DBB"/>
    <w:rsid w:val="1DFB2E89"/>
    <w:rsid w:val="1DFE9CAF"/>
    <w:rsid w:val="1E0F0191"/>
    <w:rsid w:val="1E212E93"/>
    <w:rsid w:val="1E220ED5"/>
    <w:rsid w:val="1E3E1B59"/>
    <w:rsid w:val="1E5168E4"/>
    <w:rsid w:val="1E596804"/>
    <w:rsid w:val="1E5A53F0"/>
    <w:rsid w:val="1E60AED5"/>
    <w:rsid w:val="1E65A84D"/>
    <w:rsid w:val="1E6AF1F5"/>
    <w:rsid w:val="1E89EAC2"/>
    <w:rsid w:val="1E8A65E3"/>
    <w:rsid w:val="1E8B8DE2"/>
    <w:rsid w:val="1E9408AF"/>
    <w:rsid w:val="1EA78C50"/>
    <w:rsid w:val="1EBE23AE"/>
    <w:rsid w:val="1EC75033"/>
    <w:rsid w:val="1ED85E5B"/>
    <w:rsid w:val="1EE442C4"/>
    <w:rsid w:val="1F134791"/>
    <w:rsid w:val="1F13BDC1"/>
    <w:rsid w:val="1F21E1A0"/>
    <w:rsid w:val="1F253CAE"/>
    <w:rsid w:val="1F287317"/>
    <w:rsid w:val="1F32BCF8"/>
    <w:rsid w:val="1F3B1B56"/>
    <w:rsid w:val="1F462EA9"/>
    <w:rsid w:val="1F4CAFB3"/>
    <w:rsid w:val="1F5243B9"/>
    <w:rsid w:val="1F5EBB22"/>
    <w:rsid w:val="1F65CF61"/>
    <w:rsid w:val="1F665BE8"/>
    <w:rsid w:val="1F7A6110"/>
    <w:rsid w:val="1F823357"/>
    <w:rsid w:val="1F966854"/>
    <w:rsid w:val="1F9BFB1F"/>
    <w:rsid w:val="1FACEE38"/>
    <w:rsid w:val="1FC38184"/>
    <w:rsid w:val="1FD38613"/>
    <w:rsid w:val="1FE14628"/>
    <w:rsid w:val="1FE89A23"/>
    <w:rsid w:val="1FF6E239"/>
    <w:rsid w:val="20214089"/>
    <w:rsid w:val="202638DA"/>
    <w:rsid w:val="20274FA4"/>
    <w:rsid w:val="20287BCB"/>
    <w:rsid w:val="20299E77"/>
    <w:rsid w:val="202B7C96"/>
    <w:rsid w:val="203BB460"/>
    <w:rsid w:val="20451204"/>
    <w:rsid w:val="20469E24"/>
    <w:rsid w:val="205EA8FA"/>
    <w:rsid w:val="206C76E1"/>
    <w:rsid w:val="206DBA53"/>
    <w:rsid w:val="20842129"/>
    <w:rsid w:val="20875714"/>
    <w:rsid w:val="2089B3DD"/>
    <w:rsid w:val="208C9337"/>
    <w:rsid w:val="209ECE60"/>
    <w:rsid w:val="209F15CA"/>
    <w:rsid w:val="20B6F427"/>
    <w:rsid w:val="20BC9DE2"/>
    <w:rsid w:val="20BE19A8"/>
    <w:rsid w:val="20BF5F9A"/>
    <w:rsid w:val="20C4B855"/>
    <w:rsid w:val="20CF38E9"/>
    <w:rsid w:val="20D6EBB7"/>
    <w:rsid w:val="20D79F09"/>
    <w:rsid w:val="20E66D08"/>
    <w:rsid w:val="20F2E616"/>
    <w:rsid w:val="20F71890"/>
    <w:rsid w:val="21036DDE"/>
    <w:rsid w:val="210C03D9"/>
    <w:rsid w:val="21112CBD"/>
    <w:rsid w:val="2114B015"/>
    <w:rsid w:val="211B0909"/>
    <w:rsid w:val="212E4AAB"/>
    <w:rsid w:val="212EB615"/>
    <w:rsid w:val="21300C28"/>
    <w:rsid w:val="216354F8"/>
    <w:rsid w:val="2173B972"/>
    <w:rsid w:val="217656BA"/>
    <w:rsid w:val="219F6FEB"/>
    <w:rsid w:val="21AA8488"/>
    <w:rsid w:val="21B7A7FD"/>
    <w:rsid w:val="21BC616F"/>
    <w:rsid w:val="21D0BB30"/>
    <w:rsid w:val="21D71D63"/>
    <w:rsid w:val="21DB41BF"/>
    <w:rsid w:val="21E30AFC"/>
    <w:rsid w:val="21E466C3"/>
    <w:rsid w:val="21F73831"/>
    <w:rsid w:val="21FB2EE2"/>
    <w:rsid w:val="21FDE8CC"/>
    <w:rsid w:val="22174F09"/>
    <w:rsid w:val="2217CE7E"/>
    <w:rsid w:val="223869C8"/>
    <w:rsid w:val="223A7C8D"/>
    <w:rsid w:val="223D9E01"/>
    <w:rsid w:val="224BA780"/>
    <w:rsid w:val="2258CFFB"/>
    <w:rsid w:val="2266F539"/>
    <w:rsid w:val="228B0546"/>
    <w:rsid w:val="22901273"/>
    <w:rsid w:val="229DC674"/>
    <w:rsid w:val="22A53EA8"/>
    <w:rsid w:val="22C69B91"/>
    <w:rsid w:val="22CD0B79"/>
    <w:rsid w:val="22D49DE1"/>
    <w:rsid w:val="22E7E24F"/>
    <w:rsid w:val="22E93DBC"/>
    <w:rsid w:val="22F1ABD0"/>
    <w:rsid w:val="22F65FCA"/>
    <w:rsid w:val="22FA6DA2"/>
    <w:rsid w:val="2300E91D"/>
    <w:rsid w:val="2302CE1F"/>
    <w:rsid w:val="230A14CE"/>
    <w:rsid w:val="23131BC9"/>
    <w:rsid w:val="23310A67"/>
    <w:rsid w:val="2338FE85"/>
    <w:rsid w:val="23408AC8"/>
    <w:rsid w:val="2344B795"/>
    <w:rsid w:val="2345C373"/>
    <w:rsid w:val="234783ED"/>
    <w:rsid w:val="234C3507"/>
    <w:rsid w:val="235A4211"/>
    <w:rsid w:val="2369425E"/>
    <w:rsid w:val="23715FE1"/>
    <w:rsid w:val="237535C9"/>
    <w:rsid w:val="2380DE10"/>
    <w:rsid w:val="2381B23A"/>
    <w:rsid w:val="23853547"/>
    <w:rsid w:val="23907056"/>
    <w:rsid w:val="239F0956"/>
    <w:rsid w:val="239FB984"/>
    <w:rsid w:val="23A4A810"/>
    <w:rsid w:val="23A50EB1"/>
    <w:rsid w:val="23B8E0D2"/>
    <w:rsid w:val="23B9E75F"/>
    <w:rsid w:val="23B9F1FA"/>
    <w:rsid w:val="23C877DC"/>
    <w:rsid w:val="23D22066"/>
    <w:rsid w:val="23D438F5"/>
    <w:rsid w:val="23D66872"/>
    <w:rsid w:val="23D8F4B3"/>
    <w:rsid w:val="23E33317"/>
    <w:rsid w:val="23ECADA9"/>
    <w:rsid w:val="23F2910E"/>
    <w:rsid w:val="23F2E4D7"/>
    <w:rsid w:val="23F6B756"/>
    <w:rsid w:val="23F6D1C4"/>
    <w:rsid w:val="240A8CA8"/>
    <w:rsid w:val="240CBA6A"/>
    <w:rsid w:val="240D3BFA"/>
    <w:rsid w:val="240D6ECB"/>
    <w:rsid w:val="241378A1"/>
    <w:rsid w:val="241EB800"/>
    <w:rsid w:val="241EFB45"/>
    <w:rsid w:val="24283A81"/>
    <w:rsid w:val="244D9B05"/>
    <w:rsid w:val="2451EBDA"/>
    <w:rsid w:val="2452BDAE"/>
    <w:rsid w:val="245FC1CE"/>
    <w:rsid w:val="2479A081"/>
    <w:rsid w:val="247BC0D1"/>
    <w:rsid w:val="2483B2B0"/>
    <w:rsid w:val="2490F9A6"/>
    <w:rsid w:val="24A267AA"/>
    <w:rsid w:val="24AAC2BC"/>
    <w:rsid w:val="24AB2D34"/>
    <w:rsid w:val="24CFEE68"/>
    <w:rsid w:val="24CFF72D"/>
    <w:rsid w:val="24E871CE"/>
    <w:rsid w:val="24FB5CB7"/>
    <w:rsid w:val="2500C434"/>
    <w:rsid w:val="2506B417"/>
    <w:rsid w:val="250AA570"/>
    <w:rsid w:val="2514BB2B"/>
    <w:rsid w:val="254748A8"/>
    <w:rsid w:val="2550C1C1"/>
    <w:rsid w:val="25516694"/>
    <w:rsid w:val="25649799"/>
    <w:rsid w:val="256678C9"/>
    <w:rsid w:val="257631AC"/>
    <w:rsid w:val="2580F6EA"/>
    <w:rsid w:val="2582B71A"/>
    <w:rsid w:val="2583B240"/>
    <w:rsid w:val="258558C5"/>
    <w:rsid w:val="2587C59D"/>
    <w:rsid w:val="2597E9AE"/>
    <w:rsid w:val="259AC4C1"/>
    <w:rsid w:val="259CB7EB"/>
    <w:rsid w:val="259DF8A2"/>
    <w:rsid w:val="25A58086"/>
    <w:rsid w:val="25ADB21D"/>
    <w:rsid w:val="25AE375E"/>
    <w:rsid w:val="25B24E37"/>
    <w:rsid w:val="25B83F2D"/>
    <w:rsid w:val="25BDDE7A"/>
    <w:rsid w:val="25E85EA1"/>
    <w:rsid w:val="26127016"/>
    <w:rsid w:val="26153F50"/>
    <w:rsid w:val="261CDD50"/>
    <w:rsid w:val="261DEBF9"/>
    <w:rsid w:val="261E8387"/>
    <w:rsid w:val="262627BB"/>
    <w:rsid w:val="262DE565"/>
    <w:rsid w:val="26453063"/>
    <w:rsid w:val="264B310F"/>
    <w:rsid w:val="264EA18D"/>
    <w:rsid w:val="265367E5"/>
    <w:rsid w:val="26616E69"/>
    <w:rsid w:val="266534F5"/>
    <w:rsid w:val="266830F2"/>
    <w:rsid w:val="26833AD9"/>
    <w:rsid w:val="268AAA20"/>
    <w:rsid w:val="2699FDD6"/>
    <w:rsid w:val="269E1FCD"/>
    <w:rsid w:val="26BA531C"/>
    <w:rsid w:val="26CB7B8F"/>
    <w:rsid w:val="26CCACB0"/>
    <w:rsid w:val="26CDD082"/>
    <w:rsid w:val="26D09873"/>
    <w:rsid w:val="26D0D972"/>
    <w:rsid w:val="26D78075"/>
    <w:rsid w:val="26E0100B"/>
    <w:rsid w:val="26E27879"/>
    <w:rsid w:val="26E68B9A"/>
    <w:rsid w:val="26EA0AFF"/>
    <w:rsid w:val="26EE611D"/>
    <w:rsid w:val="26F3FD33"/>
    <w:rsid w:val="26F4D339"/>
    <w:rsid w:val="26F69CEA"/>
    <w:rsid w:val="26FC23DE"/>
    <w:rsid w:val="2702D6C5"/>
    <w:rsid w:val="270C7C0A"/>
    <w:rsid w:val="270EFCF5"/>
    <w:rsid w:val="2710D9CB"/>
    <w:rsid w:val="272FF57A"/>
    <w:rsid w:val="2739318B"/>
    <w:rsid w:val="275A9A1E"/>
    <w:rsid w:val="2761491A"/>
    <w:rsid w:val="276E8883"/>
    <w:rsid w:val="277271B6"/>
    <w:rsid w:val="2778AFCB"/>
    <w:rsid w:val="277DB5E5"/>
    <w:rsid w:val="27808C74"/>
    <w:rsid w:val="2780C866"/>
    <w:rsid w:val="279BA5FA"/>
    <w:rsid w:val="27A0544F"/>
    <w:rsid w:val="27AD60A2"/>
    <w:rsid w:val="27B90D81"/>
    <w:rsid w:val="27BA7AD0"/>
    <w:rsid w:val="27BA7D6D"/>
    <w:rsid w:val="27C0E9C2"/>
    <w:rsid w:val="27C47137"/>
    <w:rsid w:val="27C94B2A"/>
    <w:rsid w:val="27CF8349"/>
    <w:rsid w:val="27E5450C"/>
    <w:rsid w:val="27EB6D6D"/>
    <w:rsid w:val="281B27E1"/>
    <w:rsid w:val="282E2417"/>
    <w:rsid w:val="2831C329"/>
    <w:rsid w:val="28540C68"/>
    <w:rsid w:val="2854A028"/>
    <w:rsid w:val="2858FA52"/>
    <w:rsid w:val="286350C1"/>
    <w:rsid w:val="2864B257"/>
    <w:rsid w:val="2872A365"/>
    <w:rsid w:val="2873419B"/>
    <w:rsid w:val="28784384"/>
    <w:rsid w:val="287B6399"/>
    <w:rsid w:val="287D9CBD"/>
    <w:rsid w:val="287E33F7"/>
    <w:rsid w:val="2888C2C7"/>
    <w:rsid w:val="288DC305"/>
    <w:rsid w:val="28A29100"/>
    <w:rsid w:val="28D5DD75"/>
    <w:rsid w:val="28D68E12"/>
    <w:rsid w:val="28D75F98"/>
    <w:rsid w:val="28E9BEF1"/>
    <w:rsid w:val="28ECB9E2"/>
    <w:rsid w:val="28F54350"/>
    <w:rsid w:val="28FA6FBE"/>
    <w:rsid w:val="2917C243"/>
    <w:rsid w:val="29192605"/>
    <w:rsid w:val="291BAE84"/>
    <w:rsid w:val="2934EBF8"/>
    <w:rsid w:val="29369FB5"/>
    <w:rsid w:val="293FAE0B"/>
    <w:rsid w:val="2943F1D7"/>
    <w:rsid w:val="29484C8B"/>
    <w:rsid w:val="294C15C9"/>
    <w:rsid w:val="2957D0BC"/>
    <w:rsid w:val="295D1A6A"/>
    <w:rsid w:val="295E0B2D"/>
    <w:rsid w:val="2962DBE6"/>
    <w:rsid w:val="296C7C31"/>
    <w:rsid w:val="296D6118"/>
    <w:rsid w:val="2977AD3C"/>
    <w:rsid w:val="297C77CE"/>
    <w:rsid w:val="298202E0"/>
    <w:rsid w:val="298DB857"/>
    <w:rsid w:val="299601A2"/>
    <w:rsid w:val="299637B7"/>
    <w:rsid w:val="299D12D7"/>
    <w:rsid w:val="299F6193"/>
    <w:rsid w:val="29A27D40"/>
    <w:rsid w:val="29A42572"/>
    <w:rsid w:val="29A68DE9"/>
    <w:rsid w:val="29D55807"/>
    <w:rsid w:val="29E258E4"/>
    <w:rsid w:val="29E399B3"/>
    <w:rsid w:val="29F130A1"/>
    <w:rsid w:val="29FFD33D"/>
    <w:rsid w:val="29FFFCD9"/>
    <w:rsid w:val="2A25B395"/>
    <w:rsid w:val="2A2C6C18"/>
    <w:rsid w:val="2A320A5D"/>
    <w:rsid w:val="2A3BC7AA"/>
    <w:rsid w:val="2A42FA3B"/>
    <w:rsid w:val="2A570380"/>
    <w:rsid w:val="2A59BB09"/>
    <w:rsid w:val="2A65BC38"/>
    <w:rsid w:val="2A66B7BB"/>
    <w:rsid w:val="2A6B6DAE"/>
    <w:rsid w:val="2A7F1ECA"/>
    <w:rsid w:val="2A8D09D5"/>
    <w:rsid w:val="2A8F34E4"/>
    <w:rsid w:val="2A91F176"/>
    <w:rsid w:val="2A93BDE7"/>
    <w:rsid w:val="2AA3B524"/>
    <w:rsid w:val="2AB3D2F4"/>
    <w:rsid w:val="2AB4B314"/>
    <w:rsid w:val="2ABF743E"/>
    <w:rsid w:val="2ABFB3A3"/>
    <w:rsid w:val="2AC0C017"/>
    <w:rsid w:val="2AC469C5"/>
    <w:rsid w:val="2ACEE561"/>
    <w:rsid w:val="2ACF126E"/>
    <w:rsid w:val="2AD23E2D"/>
    <w:rsid w:val="2AE977E9"/>
    <w:rsid w:val="2AFA4722"/>
    <w:rsid w:val="2B015073"/>
    <w:rsid w:val="2B097001"/>
    <w:rsid w:val="2B118AA8"/>
    <w:rsid w:val="2B185D78"/>
    <w:rsid w:val="2B2817BC"/>
    <w:rsid w:val="2B34D9DA"/>
    <w:rsid w:val="2B39D317"/>
    <w:rsid w:val="2B3F38BA"/>
    <w:rsid w:val="2B46FBDB"/>
    <w:rsid w:val="2B513AB7"/>
    <w:rsid w:val="2B56B694"/>
    <w:rsid w:val="2B56D57F"/>
    <w:rsid w:val="2B5A6C5B"/>
    <w:rsid w:val="2B5E72C5"/>
    <w:rsid w:val="2B6002E5"/>
    <w:rsid w:val="2B6143D7"/>
    <w:rsid w:val="2B6B60FD"/>
    <w:rsid w:val="2B799DF8"/>
    <w:rsid w:val="2B80BECA"/>
    <w:rsid w:val="2B90C3AC"/>
    <w:rsid w:val="2B94B9F0"/>
    <w:rsid w:val="2BA353BD"/>
    <w:rsid w:val="2BA79A99"/>
    <w:rsid w:val="2BA96C53"/>
    <w:rsid w:val="2BB12BAB"/>
    <w:rsid w:val="2BB9E9B9"/>
    <w:rsid w:val="2BBFF10A"/>
    <w:rsid w:val="2BC638A8"/>
    <w:rsid w:val="2BCBD2D2"/>
    <w:rsid w:val="2BE95B46"/>
    <w:rsid w:val="2BE9A533"/>
    <w:rsid w:val="2BF2834A"/>
    <w:rsid w:val="2BFAEE96"/>
    <w:rsid w:val="2C0FE72C"/>
    <w:rsid w:val="2C14876F"/>
    <w:rsid w:val="2C1B8FF6"/>
    <w:rsid w:val="2C299D9E"/>
    <w:rsid w:val="2C2CE2E8"/>
    <w:rsid w:val="2C2F3829"/>
    <w:rsid w:val="2C3250CF"/>
    <w:rsid w:val="2C34D77D"/>
    <w:rsid w:val="2C365C19"/>
    <w:rsid w:val="2C4027B7"/>
    <w:rsid w:val="2C46A8C2"/>
    <w:rsid w:val="2C4B3874"/>
    <w:rsid w:val="2C4EEC78"/>
    <w:rsid w:val="2C563F5F"/>
    <w:rsid w:val="2C61229C"/>
    <w:rsid w:val="2C655FCA"/>
    <w:rsid w:val="2C6B1C9A"/>
    <w:rsid w:val="2C83B89E"/>
    <w:rsid w:val="2C88E5E9"/>
    <w:rsid w:val="2C8F424B"/>
    <w:rsid w:val="2C95B990"/>
    <w:rsid w:val="2CA7C61E"/>
    <w:rsid w:val="2CBC00E5"/>
    <w:rsid w:val="2CC07F26"/>
    <w:rsid w:val="2CD30DCD"/>
    <w:rsid w:val="2CDE1A94"/>
    <w:rsid w:val="2CEC20A0"/>
    <w:rsid w:val="2CEF4DA8"/>
    <w:rsid w:val="2CFF4313"/>
    <w:rsid w:val="2D089438"/>
    <w:rsid w:val="2D155724"/>
    <w:rsid w:val="2D1C6599"/>
    <w:rsid w:val="2D221FCF"/>
    <w:rsid w:val="2D2501FE"/>
    <w:rsid w:val="2D3165DA"/>
    <w:rsid w:val="2D46B2BE"/>
    <w:rsid w:val="2D69A1C5"/>
    <w:rsid w:val="2D7C82F1"/>
    <w:rsid w:val="2D7E3156"/>
    <w:rsid w:val="2D915435"/>
    <w:rsid w:val="2D99FABF"/>
    <w:rsid w:val="2D9B8EDC"/>
    <w:rsid w:val="2D9CE1AF"/>
    <w:rsid w:val="2DAE5599"/>
    <w:rsid w:val="2DAF75B6"/>
    <w:rsid w:val="2DB349B7"/>
    <w:rsid w:val="2DBBCC8E"/>
    <w:rsid w:val="2DC2A4F7"/>
    <w:rsid w:val="2DC44D82"/>
    <w:rsid w:val="2DC81168"/>
    <w:rsid w:val="2DCD309F"/>
    <w:rsid w:val="2DCD9341"/>
    <w:rsid w:val="2DD22C7A"/>
    <w:rsid w:val="2DDB38BA"/>
    <w:rsid w:val="2DE5E21A"/>
    <w:rsid w:val="2DF3EF48"/>
    <w:rsid w:val="2E0671C5"/>
    <w:rsid w:val="2E076FFC"/>
    <w:rsid w:val="2E10B6CB"/>
    <w:rsid w:val="2E112F1C"/>
    <w:rsid w:val="2E19D7C5"/>
    <w:rsid w:val="2E21E6ED"/>
    <w:rsid w:val="2E24A1B3"/>
    <w:rsid w:val="2E2A5779"/>
    <w:rsid w:val="2E5B5F95"/>
    <w:rsid w:val="2E5D4BA6"/>
    <w:rsid w:val="2E6622B7"/>
    <w:rsid w:val="2E6C98ED"/>
    <w:rsid w:val="2E70594A"/>
    <w:rsid w:val="2E741217"/>
    <w:rsid w:val="2E83B7CE"/>
    <w:rsid w:val="2E884849"/>
    <w:rsid w:val="2EBD06C3"/>
    <w:rsid w:val="2EC18B0A"/>
    <w:rsid w:val="2EC8550D"/>
    <w:rsid w:val="2ECDB606"/>
    <w:rsid w:val="2ED7FA72"/>
    <w:rsid w:val="2EED94A6"/>
    <w:rsid w:val="2F0B598E"/>
    <w:rsid w:val="2F2214C1"/>
    <w:rsid w:val="2F25C337"/>
    <w:rsid w:val="2F2652C9"/>
    <w:rsid w:val="2F287999"/>
    <w:rsid w:val="2F31E1D7"/>
    <w:rsid w:val="2F3A4944"/>
    <w:rsid w:val="2F4DB97F"/>
    <w:rsid w:val="2F646C83"/>
    <w:rsid w:val="2F6891C1"/>
    <w:rsid w:val="2F6A884D"/>
    <w:rsid w:val="2F75B326"/>
    <w:rsid w:val="2F85C0C5"/>
    <w:rsid w:val="2F8CFC83"/>
    <w:rsid w:val="2FB1E761"/>
    <w:rsid w:val="2FB4C419"/>
    <w:rsid w:val="2FD7B611"/>
    <w:rsid w:val="2FDC30A9"/>
    <w:rsid w:val="2FDE3A74"/>
    <w:rsid w:val="2FE6CEED"/>
    <w:rsid w:val="2FE8FD08"/>
    <w:rsid w:val="2FED6C6E"/>
    <w:rsid w:val="2FF6AB7F"/>
    <w:rsid w:val="2FFCE2E7"/>
    <w:rsid w:val="2FFECB5F"/>
    <w:rsid w:val="30010287"/>
    <w:rsid w:val="300A83A4"/>
    <w:rsid w:val="300A9B75"/>
    <w:rsid w:val="30299E5D"/>
    <w:rsid w:val="302B4E3B"/>
    <w:rsid w:val="302DF063"/>
    <w:rsid w:val="303D6D54"/>
    <w:rsid w:val="30470B93"/>
    <w:rsid w:val="30563EC1"/>
    <w:rsid w:val="305A9EEF"/>
    <w:rsid w:val="305BB30C"/>
    <w:rsid w:val="3077DD8F"/>
    <w:rsid w:val="307A86D3"/>
    <w:rsid w:val="307F8FD3"/>
    <w:rsid w:val="3086F07C"/>
    <w:rsid w:val="308A5F0C"/>
    <w:rsid w:val="3093A534"/>
    <w:rsid w:val="3096D2D2"/>
    <w:rsid w:val="309D50CA"/>
    <w:rsid w:val="30A02C05"/>
    <w:rsid w:val="30A0AE65"/>
    <w:rsid w:val="30A42CD2"/>
    <w:rsid w:val="30AFB614"/>
    <w:rsid w:val="30B3E363"/>
    <w:rsid w:val="30B9FD2F"/>
    <w:rsid w:val="30C4F524"/>
    <w:rsid w:val="30CAEA99"/>
    <w:rsid w:val="30D1F9B5"/>
    <w:rsid w:val="30D944F4"/>
    <w:rsid w:val="30E21C45"/>
    <w:rsid w:val="30E9DE3E"/>
    <w:rsid w:val="30EA609B"/>
    <w:rsid w:val="30EEEDF7"/>
    <w:rsid w:val="30F229A9"/>
    <w:rsid w:val="30F3BDF7"/>
    <w:rsid w:val="310B3E9B"/>
    <w:rsid w:val="3112FB91"/>
    <w:rsid w:val="31197C8F"/>
    <w:rsid w:val="31198A64"/>
    <w:rsid w:val="312B8442"/>
    <w:rsid w:val="3133E0E5"/>
    <w:rsid w:val="31385DA2"/>
    <w:rsid w:val="314CED92"/>
    <w:rsid w:val="31555E7B"/>
    <w:rsid w:val="3155807D"/>
    <w:rsid w:val="3155DCD0"/>
    <w:rsid w:val="315DFA9A"/>
    <w:rsid w:val="31639125"/>
    <w:rsid w:val="319569B2"/>
    <w:rsid w:val="31982C5F"/>
    <w:rsid w:val="31B774D7"/>
    <w:rsid w:val="31BAFAC8"/>
    <w:rsid w:val="31BE1EFB"/>
    <w:rsid w:val="31C67267"/>
    <w:rsid w:val="31D306CE"/>
    <w:rsid w:val="31D66915"/>
    <w:rsid w:val="31D95598"/>
    <w:rsid w:val="31D994FE"/>
    <w:rsid w:val="31DFC7F4"/>
    <w:rsid w:val="31E2004C"/>
    <w:rsid w:val="31F7F14E"/>
    <w:rsid w:val="31FF4F9C"/>
    <w:rsid w:val="3203EAB5"/>
    <w:rsid w:val="320D852B"/>
    <w:rsid w:val="3221C809"/>
    <w:rsid w:val="3222783A"/>
    <w:rsid w:val="32343169"/>
    <w:rsid w:val="323A95E2"/>
    <w:rsid w:val="3259F8A4"/>
    <w:rsid w:val="326DF27A"/>
    <w:rsid w:val="326F314F"/>
    <w:rsid w:val="32763F8B"/>
    <w:rsid w:val="3279AF14"/>
    <w:rsid w:val="327AB542"/>
    <w:rsid w:val="328AE258"/>
    <w:rsid w:val="32981461"/>
    <w:rsid w:val="329C2ED1"/>
    <w:rsid w:val="329C40BD"/>
    <w:rsid w:val="32A8EBCA"/>
    <w:rsid w:val="32CD5811"/>
    <w:rsid w:val="32D47604"/>
    <w:rsid w:val="32E94EBE"/>
    <w:rsid w:val="32EE04B6"/>
    <w:rsid w:val="32F9CAFB"/>
    <w:rsid w:val="32FDC89C"/>
    <w:rsid w:val="33081FDB"/>
    <w:rsid w:val="330906CD"/>
    <w:rsid w:val="330A89E0"/>
    <w:rsid w:val="330EEAF5"/>
    <w:rsid w:val="3312318C"/>
    <w:rsid w:val="332259CA"/>
    <w:rsid w:val="3327CB89"/>
    <w:rsid w:val="333C38AC"/>
    <w:rsid w:val="333C8553"/>
    <w:rsid w:val="333CDF53"/>
    <w:rsid w:val="3344EA25"/>
    <w:rsid w:val="3347B27B"/>
    <w:rsid w:val="334ED636"/>
    <w:rsid w:val="335429A5"/>
    <w:rsid w:val="33577A7D"/>
    <w:rsid w:val="335D949C"/>
    <w:rsid w:val="3363FB1A"/>
    <w:rsid w:val="3371F446"/>
    <w:rsid w:val="337E1F75"/>
    <w:rsid w:val="3384D1D7"/>
    <w:rsid w:val="3386CBB1"/>
    <w:rsid w:val="338C9054"/>
    <w:rsid w:val="338EA50D"/>
    <w:rsid w:val="33A9F5AA"/>
    <w:rsid w:val="33BBB11E"/>
    <w:rsid w:val="33C1964B"/>
    <w:rsid w:val="33C26BEB"/>
    <w:rsid w:val="33C43456"/>
    <w:rsid w:val="33D13B18"/>
    <w:rsid w:val="33E8FBF9"/>
    <w:rsid w:val="33EE92AD"/>
    <w:rsid w:val="33FD63F3"/>
    <w:rsid w:val="3412E1CB"/>
    <w:rsid w:val="341CDBCC"/>
    <w:rsid w:val="34201467"/>
    <w:rsid w:val="3429B2BA"/>
    <w:rsid w:val="34367214"/>
    <w:rsid w:val="343735E4"/>
    <w:rsid w:val="3438FA0E"/>
    <w:rsid w:val="345A8816"/>
    <w:rsid w:val="345F736E"/>
    <w:rsid w:val="34618AF4"/>
    <w:rsid w:val="34713898"/>
    <w:rsid w:val="34744908"/>
    <w:rsid w:val="3479C782"/>
    <w:rsid w:val="348070A0"/>
    <w:rsid w:val="3483DABB"/>
    <w:rsid w:val="3484C397"/>
    <w:rsid w:val="348F7A32"/>
    <w:rsid w:val="349104C4"/>
    <w:rsid w:val="34980625"/>
    <w:rsid w:val="349C89AD"/>
    <w:rsid w:val="349F6ACA"/>
    <w:rsid w:val="34A08320"/>
    <w:rsid w:val="34B53EBD"/>
    <w:rsid w:val="34B6B8C1"/>
    <w:rsid w:val="34BA0F3A"/>
    <w:rsid w:val="34D165A1"/>
    <w:rsid w:val="34DEF9E6"/>
    <w:rsid w:val="34E76585"/>
    <w:rsid w:val="34EC32C6"/>
    <w:rsid w:val="34FD672B"/>
    <w:rsid w:val="34FF4AD9"/>
    <w:rsid w:val="350124AF"/>
    <w:rsid w:val="35060D46"/>
    <w:rsid w:val="35107A2D"/>
    <w:rsid w:val="3533AD26"/>
    <w:rsid w:val="3534B7AA"/>
    <w:rsid w:val="353CA2ED"/>
    <w:rsid w:val="354352FA"/>
    <w:rsid w:val="354CA18E"/>
    <w:rsid w:val="354DE471"/>
    <w:rsid w:val="354E6AA4"/>
    <w:rsid w:val="3562CAD1"/>
    <w:rsid w:val="35637FFE"/>
    <w:rsid w:val="356EDB2B"/>
    <w:rsid w:val="35742E06"/>
    <w:rsid w:val="3574844A"/>
    <w:rsid w:val="3582ED6E"/>
    <w:rsid w:val="3584CC5A"/>
    <w:rsid w:val="358593BB"/>
    <w:rsid w:val="3588AFC3"/>
    <w:rsid w:val="358C34E6"/>
    <w:rsid w:val="35922FD2"/>
    <w:rsid w:val="35AEC542"/>
    <w:rsid w:val="35B442DE"/>
    <w:rsid w:val="35B9C04C"/>
    <w:rsid w:val="35BA6D96"/>
    <w:rsid w:val="35C60969"/>
    <w:rsid w:val="35CB1676"/>
    <w:rsid w:val="35DA0287"/>
    <w:rsid w:val="35DAC6AC"/>
    <w:rsid w:val="35E2FFCB"/>
    <w:rsid w:val="35E54647"/>
    <w:rsid w:val="35E9B096"/>
    <w:rsid w:val="35F4D0B9"/>
    <w:rsid w:val="35F6610A"/>
    <w:rsid w:val="360C5F69"/>
    <w:rsid w:val="3613F4B5"/>
    <w:rsid w:val="361EB305"/>
    <w:rsid w:val="362946BB"/>
    <w:rsid w:val="362E0D18"/>
    <w:rsid w:val="363BC647"/>
    <w:rsid w:val="3646D80E"/>
    <w:rsid w:val="3649130E"/>
    <w:rsid w:val="3654B033"/>
    <w:rsid w:val="365D48D7"/>
    <w:rsid w:val="3676C538"/>
    <w:rsid w:val="36776126"/>
    <w:rsid w:val="367EE3EF"/>
    <w:rsid w:val="36A7254C"/>
    <w:rsid w:val="36A8F45E"/>
    <w:rsid w:val="36AD18B7"/>
    <w:rsid w:val="36AF216E"/>
    <w:rsid w:val="36C45B3D"/>
    <w:rsid w:val="36C73867"/>
    <w:rsid w:val="36CD9DCA"/>
    <w:rsid w:val="36D4C21C"/>
    <w:rsid w:val="36DDFB2A"/>
    <w:rsid w:val="36DF4C6F"/>
    <w:rsid w:val="36EC6BBB"/>
    <w:rsid w:val="36FE0671"/>
    <w:rsid w:val="37042F18"/>
    <w:rsid w:val="37084A3C"/>
    <w:rsid w:val="371849E0"/>
    <w:rsid w:val="3722D616"/>
    <w:rsid w:val="3724F9C4"/>
    <w:rsid w:val="3725C4C5"/>
    <w:rsid w:val="373311F2"/>
    <w:rsid w:val="37365531"/>
    <w:rsid w:val="3748D940"/>
    <w:rsid w:val="374BE3E3"/>
    <w:rsid w:val="3758EF52"/>
    <w:rsid w:val="375921F8"/>
    <w:rsid w:val="375949F4"/>
    <w:rsid w:val="3766CE68"/>
    <w:rsid w:val="37713BAA"/>
    <w:rsid w:val="37724224"/>
    <w:rsid w:val="377FC184"/>
    <w:rsid w:val="379A47FE"/>
    <w:rsid w:val="37AA603D"/>
    <w:rsid w:val="37BC8790"/>
    <w:rsid w:val="37C21556"/>
    <w:rsid w:val="37CBA25D"/>
    <w:rsid w:val="37CFE834"/>
    <w:rsid w:val="37E00263"/>
    <w:rsid w:val="37ED020F"/>
    <w:rsid w:val="38023A7B"/>
    <w:rsid w:val="380D7BE1"/>
    <w:rsid w:val="3826CA52"/>
    <w:rsid w:val="38277087"/>
    <w:rsid w:val="38483354"/>
    <w:rsid w:val="384879E2"/>
    <w:rsid w:val="38528659"/>
    <w:rsid w:val="38696D1C"/>
    <w:rsid w:val="387128E0"/>
    <w:rsid w:val="3873A19F"/>
    <w:rsid w:val="3878F6AA"/>
    <w:rsid w:val="388C9B48"/>
    <w:rsid w:val="3896B5E3"/>
    <w:rsid w:val="38A73190"/>
    <w:rsid w:val="38A876A9"/>
    <w:rsid w:val="38ACB80F"/>
    <w:rsid w:val="38AF1EED"/>
    <w:rsid w:val="38AFCE75"/>
    <w:rsid w:val="38C92F95"/>
    <w:rsid w:val="38D079F8"/>
    <w:rsid w:val="38DB5BDB"/>
    <w:rsid w:val="38E10E1C"/>
    <w:rsid w:val="38E326A1"/>
    <w:rsid w:val="38E8AD77"/>
    <w:rsid w:val="38EE4074"/>
    <w:rsid w:val="38F363DA"/>
    <w:rsid w:val="38FBB7BF"/>
    <w:rsid w:val="39117BA2"/>
    <w:rsid w:val="3916C8F1"/>
    <w:rsid w:val="39172719"/>
    <w:rsid w:val="392C408A"/>
    <w:rsid w:val="392E6878"/>
    <w:rsid w:val="3937E995"/>
    <w:rsid w:val="3939CB2A"/>
    <w:rsid w:val="3941695C"/>
    <w:rsid w:val="394D8E21"/>
    <w:rsid w:val="39558AC4"/>
    <w:rsid w:val="3971791D"/>
    <w:rsid w:val="399794C6"/>
    <w:rsid w:val="39A31F70"/>
    <w:rsid w:val="39AF8144"/>
    <w:rsid w:val="39BFF049"/>
    <w:rsid w:val="39C8CAC0"/>
    <w:rsid w:val="39CDF6E5"/>
    <w:rsid w:val="39D2DE0F"/>
    <w:rsid w:val="39D6EFBF"/>
    <w:rsid w:val="3A0EFCD8"/>
    <w:rsid w:val="3A297D86"/>
    <w:rsid w:val="3A2B79B7"/>
    <w:rsid w:val="3A3A059A"/>
    <w:rsid w:val="3A487997"/>
    <w:rsid w:val="3A4D0E81"/>
    <w:rsid w:val="3A4DFE1A"/>
    <w:rsid w:val="3A509955"/>
    <w:rsid w:val="3A57568E"/>
    <w:rsid w:val="3A5C884B"/>
    <w:rsid w:val="3A815A01"/>
    <w:rsid w:val="3A832644"/>
    <w:rsid w:val="3A84AA72"/>
    <w:rsid w:val="3A860C33"/>
    <w:rsid w:val="3A861B87"/>
    <w:rsid w:val="3A8AC885"/>
    <w:rsid w:val="3AAD38C9"/>
    <w:rsid w:val="3AAFAEB9"/>
    <w:rsid w:val="3AB3D244"/>
    <w:rsid w:val="3AE1DD76"/>
    <w:rsid w:val="3AEDA557"/>
    <w:rsid w:val="3AFED7B3"/>
    <w:rsid w:val="3B1B1661"/>
    <w:rsid w:val="3B1BD521"/>
    <w:rsid w:val="3B1D8F0B"/>
    <w:rsid w:val="3B250E58"/>
    <w:rsid w:val="3B28C55F"/>
    <w:rsid w:val="3B2B119E"/>
    <w:rsid w:val="3B2FC604"/>
    <w:rsid w:val="3B3DA47B"/>
    <w:rsid w:val="3B436762"/>
    <w:rsid w:val="3B464048"/>
    <w:rsid w:val="3B5E4132"/>
    <w:rsid w:val="3B6E8C5D"/>
    <w:rsid w:val="3B6F4452"/>
    <w:rsid w:val="3B73EDCF"/>
    <w:rsid w:val="3B741A41"/>
    <w:rsid w:val="3B8D4AD7"/>
    <w:rsid w:val="3B8F4DE0"/>
    <w:rsid w:val="3BAB24AC"/>
    <w:rsid w:val="3BB37E90"/>
    <w:rsid w:val="3BB539B5"/>
    <w:rsid w:val="3BBAFAE6"/>
    <w:rsid w:val="3BC89C0B"/>
    <w:rsid w:val="3BD94D1F"/>
    <w:rsid w:val="3BF0F7B6"/>
    <w:rsid w:val="3BF36DFF"/>
    <w:rsid w:val="3BF40AB1"/>
    <w:rsid w:val="3BFD0701"/>
    <w:rsid w:val="3C06B378"/>
    <w:rsid w:val="3C085206"/>
    <w:rsid w:val="3C08CD00"/>
    <w:rsid w:val="3C0D6E9E"/>
    <w:rsid w:val="3C183B01"/>
    <w:rsid w:val="3C3258F5"/>
    <w:rsid w:val="3C3A8D14"/>
    <w:rsid w:val="3C43B05C"/>
    <w:rsid w:val="3C471D5C"/>
    <w:rsid w:val="3C4F3130"/>
    <w:rsid w:val="3C65431D"/>
    <w:rsid w:val="3C670559"/>
    <w:rsid w:val="3C710C75"/>
    <w:rsid w:val="3C73856B"/>
    <w:rsid w:val="3C740337"/>
    <w:rsid w:val="3C7747CC"/>
    <w:rsid w:val="3C81A963"/>
    <w:rsid w:val="3C827A88"/>
    <w:rsid w:val="3C845F48"/>
    <w:rsid w:val="3CA155C9"/>
    <w:rsid w:val="3CA6272C"/>
    <w:rsid w:val="3CAD67FD"/>
    <w:rsid w:val="3CAF5647"/>
    <w:rsid w:val="3CD603EA"/>
    <w:rsid w:val="3CD87D1F"/>
    <w:rsid w:val="3CDA2BB4"/>
    <w:rsid w:val="3CE9046F"/>
    <w:rsid w:val="3D0BEBB6"/>
    <w:rsid w:val="3D2EE8CE"/>
    <w:rsid w:val="3D38802A"/>
    <w:rsid w:val="3D4B10BF"/>
    <w:rsid w:val="3D4E3FC9"/>
    <w:rsid w:val="3D5E3C37"/>
    <w:rsid w:val="3D60EF6A"/>
    <w:rsid w:val="3D667287"/>
    <w:rsid w:val="3D7B6794"/>
    <w:rsid w:val="3DA1EC5F"/>
    <w:rsid w:val="3DAB6339"/>
    <w:rsid w:val="3DAC5E1A"/>
    <w:rsid w:val="3DB07FB4"/>
    <w:rsid w:val="3DC7312D"/>
    <w:rsid w:val="3DCFB26F"/>
    <w:rsid w:val="3DD771AD"/>
    <w:rsid w:val="3DDD154D"/>
    <w:rsid w:val="3DE334A1"/>
    <w:rsid w:val="3DF161B0"/>
    <w:rsid w:val="3DF6C5E2"/>
    <w:rsid w:val="3DF6DAE5"/>
    <w:rsid w:val="3E09DEF2"/>
    <w:rsid w:val="3E0D905F"/>
    <w:rsid w:val="3E127AF5"/>
    <w:rsid w:val="3E1D1D6E"/>
    <w:rsid w:val="3E32365B"/>
    <w:rsid w:val="3E551513"/>
    <w:rsid w:val="3E6D1270"/>
    <w:rsid w:val="3E70B077"/>
    <w:rsid w:val="3E78ED35"/>
    <w:rsid w:val="3E8444BA"/>
    <w:rsid w:val="3E906BA3"/>
    <w:rsid w:val="3E974851"/>
    <w:rsid w:val="3EA5BFA3"/>
    <w:rsid w:val="3EAF3D79"/>
    <w:rsid w:val="3EAF8946"/>
    <w:rsid w:val="3EC159B7"/>
    <w:rsid w:val="3ECEF800"/>
    <w:rsid w:val="3ED30288"/>
    <w:rsid w:val="3EE347CA"/>
    <w:rsid w:val="3EF261D2"/>
    <w:rsid w:val="3EF94233"/>
    <w:rsid w:val="3F0DCDC7"/>
    <w:rsid w:val="3F1BABA3"/>
    <w:rsid w:val="3F2EEB25"/>
    <w:rsid w:val="3F363D5F"/>
    <w:rsid w:val="3F379AD0"/>
    <w:rsid w:val="3F3B202E"/>
    <w:rsid w:val="3F3D212E"/>
    <w:rsid w:val="3F3EDE32"/>
    <w:rsid w:val="3F438C09"/>
    <w:rsid w:val="3F4B7240"/>
    <w:rsid w:val="3F53F643"/>
    <w:rsid w:val="3F55F566"/>
    <w:rsid w:val="3F57FEC2"/>
    <w:rsid w:val="3F5D0835"/>
    <w:rsid w:val="3F5F5E87"/>
    <w:rsid w:val="3F69F323"/>
    <w:rsid w:val="3F6A1AF2"/>
    <w:rsid w:val="3F6DC2F5"/>
    <w:rsid w:val="3F76BEAF"/>
    <w:rsid w:val="3FA0EB92"/>
    <w:rsid w:val="3FA93D3F"/>
    <w:rsid w:val="3FAE5AED"/>
    <w:rsid w:val="3FC32347"/>
    <w:rsid w:val="3FCBF6A3"/>
    <w:rsid w:val="3FCF9B1A"/>
    <w:rsid w:val="3FD29504"/>
    <w:rsid w:val="3FD56A44"/>
    <w:rsid w:val="3FD63329"/>
    <w:rsid w:val="3FE65D0E"/>
    <w:rsid w:val="3FEC15F4"/>
    <w:rsid w:val="3FF084BD"/>
    <w:rsid w:val="3FF6C3D6"/>
    <w:rsid w:val="40019A9B"/>
    <w:rsid w:val="40087E2A"/>
    <w:rsid w:val="4010F296"/>
    <w:rsid w:val="401FD67D"/>
    <w:rsid w:val="402B0AB8"/>
    <w:rsid w:val="403A10F4"/>
    <w:rsid w:val="40446F5D"/>
    <w:rsid w:val="40465F83"/>
    <w:rsid w:val="404E6821"/>
    <w:rsid w:val="404FD6A4"/>
    <w:rsid w:val="40572DA5"/>
    <w:rsid w:val="40585C2E"/>
    <w:rsid w:val="4059095D"/>
    <w:rsid w:val="4059C8EE"/>
    <w:rsid w:val="4063FF3F"/>
    <w:rsid w:val="40661304"/>
    <w:rsid w:val="406A0D0A"/>
    <w:rsid w:val="406BF751"/>
    <w:rsid w:val="40747F01"/>
    <w:rsid w:val="407E0908"/>
    <w:rsid w:val="4083B88D"/>
    <w:rsid w:val="408EF23C"/>
    <w:rsid w:val="40A14F34"/>
    <w:rsid w:val="40A16D48"/>
    <w:rsid w:val="40A193BB"/>
    <w:rsid w:val="40A9FDD4"/>
    <w:rsid w:val="40AC56A7"/>
    <w:rsid w:val="40B0729B"/>
    <w:rsid w:val="40BE5D60"/>
    <w:rsid w:val="40CDF38A"/>
    <w:rsid w:val="40D3BE3C"/>
    <w:rsid w:val="40D411D1"/>
    <w:rsid w:val="40DE3E2E"/>
    <w:rsid w:val="40E65D8A"/>
    <w:rsid w:val="40F5C235"/>
    <w:rsid w:val="411D609D"/>
    <w:rsid w:val="4120D178"/>
    <w:rsid w:val="4126BC92"/>
    <w:rsid w:val="413811F4"/>
    <w:rsid w:val="41454624"/>
    <w:rsid w:val="415AED1D"/>
    <w:rsid w:val="415B402B"/>
    <w:rsid w:val="415EF3A8"/>
    <w:rsid w:val="415FD321"/>
    <w:rsid w:val="418C2276"/>
    <w:rsid w:val="4190BD24"/>
    <w:rsid w:val="41911F09"/>
    <w:rsid w:val="41A7F994"/>
    <w:rsid w:val="41AA7E82"/>
    <w:rsid w:val="41AD279E"/>
    <w:rsid w:val="41B4289C"/>
    <w:rsid w:val="41BCA3AE"/>
    <w:rsid w:val="41BEFC50"/>
    <w:rsid w:val="41D4CB75"/>
    <w:rsid w:val="41E0BE7D"/>
    <w:rsid w:val="41F1344A"/>
    <w:rsid w:val="42050FE8"/>
    <w:rsid w:val="4207F783"/>
    <w:rsid w:val="4217A1C3"/>
    <w:rsid w:val="422BD648"/>
    <w:rsid w:val="4247BBA0"/>
    <w:rsid w:val="424BC5CD"/>
    <w:rsid w:val="425197A1"/>
    <w:rsid w:val="4253D9F8"/>
    <w:rsid w:val="42947E9C"/>
    <w:rsid w:val="429533B8"/>
    <w:rsid w:val="429549F8"/>
    <w:rsid w:val="429BA1F9"/>
    <w:rsid w:val="429F31C1"/>
    <w:rsid w:val="429FB425"/>
    <w:rsid w:val="42AC8A27"/>
    <w:rsid w:val="42BD1590"/>
    <w:rsid w:val="42C0C528"/>
    <w:rsid w:val="42C22E71"/>
    <w:rsid w:val="42C818A0"/>
    <w:rsid w:val="42C90B0F"/>
    <w:rsid w:val="42D0F8B7"/>
    <w:rsid w:val="42D56BC4"/>
    <w:rsid w:val="42DB38E9"/>
    <w:rsid w:val="42F03888"/>
    <w:rsid w:val="42F0F096"/>
    <w:rsid w:val="4305A10E"/>
    <w:rsid w:val="430B3B1D"/>
    <w:rsid w:val="430C1EC3"/>
    <w:rsid w:val="4319C033"/>
    <w:rsid w:val="431F417E"/>
    <w:rsid w:val="4323B2EF"/>
    <w:rsid w:val="4325F34F"/>
    <w:rsid w:val="432F85B8"/>
    <w:rsid w:val="4334649A"/>
    <w:rsid w:val="433DD1F5"/>
    <w:rsid w:val="433F50B3"/>
    <w:rsid w:val="43503464"/>
    <w:rsid w:val="435F6FB1"/>
    <w:rsid w:val="4366DC8B"/>
    <w:rsid w:val="43674888"/>
    <w:rsid w:val="4369D573"/>
    <w:rsid w:val="437D857E"/>
    <w:rsid w:val="437FD679"/>
    <w:rsid w:val="43B30401"/>
    <w:rsid w:val="43B58E1F"/>
    <w:rsid w:val="43CA26D3"/>
    <w:rsid w:val="43D09E45"/>
    <w:rsid w:val="43D5B2FC"/>
    <w:rsid w:val="43DF9322"/>
    <w:rsid w:val="43F16571"/>
    <w:rsid w:val="4408F6C3"/>
    <w:rsid w:val="440E4F42"/>
    <w:rsid w:val="44102073"/>
    <w:rsid w:val="4413442A"/>
    <w:rsid w:val="4416B4B4"/>
    <w:rsid w:val="441A7A1A"/>
    <w:rsid w:val="442CCB7F"/>
    <w:rsid w:val="442D9E97"/>
    <w:rsid w:val="4437725A"/>
    <w:rsid w:val="4440A4E5"/>
    <w:rsid w:val="44633EE6"/>
    <w:rsid w:val="4471E568"/>
    <w:rsid w:val="4473B79E"/>
    <w:rsid w:val="447EA8EE"/>
    <w:rsid w:val="4481240E"/>
    <w:rsid w:val="4482CB6F"/>
    <w:rsid w:val="448A68B9"/>
    <w:rsid w:val="4495E689"/>
    <w:rsid w:val="44986EF0"/>
    <w:rsid w:val="449FE3EC"/>
    <w:rsid w:val="44A413E3"/>
    <w:rsid w:val="44BF776B"/>
    <w:rsid w:val="44CCA8C4"/>
    <w:rsid w:val="44D051C5"/>
    <w:rsid w:val="44D2D0D8"/>
    <w:rsid w:val="44D84C19"/>
    <w:rsid w:val="44DB2B3E"/>
    <w:rsid w:val="44DCF775"/>
    <w:rsid w:val="44F13061"/>
    <w:rsid w:val="44F84957"/>
    <w:rsid w:val="44F9DD34"/>
    <w:rsid w:val="44FD321B"/>
    <w:rsid w:val="45024EFC"/>
    <w:rsid w:val="4502606C"/>
    <w:rsid w:val="451E4EFB"/>
    <w:rsid w:val="4520F940"/>
    <w:rsid w:val="45286B26"/>
    <w:rsid w:val="4529A4AE"/>
    <w:rsid w:val="452EC8D6"/>
    <w:rsid w:val="453199C6"/>
    <w:rsid w:val="453751BE"/>
    <w:rsid w:val="453B3F7E"/>
    <w:rsid w:val="4543AC57"/>
    <w:rsid w:val="4545A1EF"/>
    <w:rsid w:val="455A851E"/>
    <w:rsid w:val="4562F0AF"/>
    <w:rsid w:val="456E0DBF"/>
    <w:rsid w:val="4572E58C"/>
    <w:rsid w:val="45763ED2"/>
    <w:rsid w:val="45806BE7"/>
    <w:rsid w:val="4583E3FE"/>
    <w:rsid w:val="4587C8AE"/>
    <w:rsid w:val="4589E280"/>
    <w:rsid w:val="458A575D"/>
    <w:rsid w:val="45BB5F79"/>
    <w:rsid w:val="45C382DD"/>
    <w:rsid w:val="45C8A207"/>
    <w:rsid w:val="45E27DF0"/>
    <w:rsid w:val="45ECA786"/>
    <w:rsid w:val="45EF7EF0"/>
    <w:rsid w:val="45F71879"/>
    <w:rsid w:val="45F96187"/>
    <w:rsid w:val="45FA6086"/>
    <w:rsid w:val="460B8ABA"/>
    <w:rsid w:val="460F634C"/>
    <w:rsid w:val="46269C97"/>
    <w:rsid w:val="4629DD1B"/>
    <w:rsid w:val="462C7CA8"/>
    <w:rsid w:val="46312021"/>
    <w:rsid w:val="46451C9A"/>
    <w:rsid w:val="464E2A38"/>
    <w:rsid w:val="4651F246"/>
    <w:rsid w:val="46548579"/>
    <w:rsid w:val="4657B246"/>
    <w:rsid w:val="4659554D"/>
    <w:rsid w:val="4675B223"/>
    <w:rsid w:val="4677E5EF"/>
    <w:rsid w:val="468591FE"/>
    <w:rsid w:val="469092ED"/>
    <w:rsid w:val="46959833"/>
    <w:rsid w:val="46BFE364"/>
    <w:rsid w:val="46C43B87"/>
    <w:rsid w:val="46C989E7"/>
    <w:rsid w:val="46D414A2"/>
    <w:rsid w:val="46DF1167"/>
    <w:rsid w:val="46E249D7"/>
    <w:rsid w:val="46EB5410"/>
    <w:rsid w:val="46EEC59F"/>
    <w:rsid w:val="46F95376"/>
    <w:rsid w:val="46FAB4E3"/>
    <w:rsid w:val="4715E439"/>
    <w:rsid w:val="4722062C"/>
    <w:rsid w:val="47287FEE"/>
    <w:rsid w:val="472B2CE2"/>
    <w:rsid w:val="472FAE2E"/>
    <w:rsid w:val="4731BD07"/>
    <w:rsid w:val="473AC17A"/>
    <w:rsid w:val="47403962"/>
    <w:rsid w:val="474B7632"/>
    <w:rsid w:val="474E8D16"/>
    <w:rsid w:val="475CE2CB"/>
    <w:rsid w:val="47717F3F"/>
    <w:rsid w:val="47774E39"/>
    <w:rsid w:val="477A3820"/>
    <w:rsid w:val="4785BA8E"/>
    <w:rsid w:val="479E43AE"/>
    <w:rsid w:val="47A13B36"/>
    <w:rsid w:val="47A47412"/>
    <w:rsid w:val="47AAFDC6"/>
    <w:rsid w:val="47BD1DA3"/>
    <w:rsid w:val="47C94D34"/>
    <w:rsid w:val="480D1999"/>
    <w:rsid w:val="480E9894"/>
    <w:rsid w:val="482129DC"/>
    <w:rsid w:val="48244EEF"/>
    <w:rsid w:val="48252337"/>
    <w:rsid w:val="482854BC"/>
    <w:rsid w:val="482F1CC0"/>
    <w:rsid w:val="482F5776"/>
    <w:rsid w:val="482F8A59"/>
    <w:rsid w:val="483EF700"/>
    <w:rsid w:val="4843B898"/>
    <w:rsid w:val="484C9623"/>
    <w:rsid w:val="484F4DFC"/>
    <w:rsid w:val="487D6ABD"/>
    <w:rsid w:val="48860197"/>
    <w:rsid w:val="488E9FF6"/>
    <w:rsid w:val="48A3B986"/>
    <w:rsid w:val="48B2DF2B"/>
    <w:rsid w:val="48B4DCE8"/>
    <w:rsid w:val="48D478F6"/>
    <w:rsid w:val="48D4F2CA"/>
    <w:rsid w:val="48D4F3C0"/>
    <w:rsid w:val="48EA6F24"/>
    <w:rsid w:val="48EAAD1F"/>
    <w:rsid w:val="48F7941A"/>
    <w:rsid w:val="48FAE9EB"/>
    <w:rsid w:val="490AE470"/>
    <w:rsid w:val="4924920A"/>
    <w:rsid w:val="49290DB6"/>
    <w:rsid w:val="4938DBC5"/>
    <w:rsid w:val="49395BB6"/>
    <w:rsid w:val="49764140"/>
    <w:rsid w:val="497FFB6C"/>
    <w:rsid w:val="4988C2A3"/>
    <w:rsid w:val="49987EAF"/>
    <w:rsid w:val="4998C45F"/>
    <w:rsid w:val="499DFCDF"/>
    <w:rsid w:val="49B1A25D"/>
    <w:rsid w:val="49BABFFB"/>
    <w:rsid w:val="49BB98FB"/>
    <w:rsid w:val="49E33DD2"/>
    <w:rsid w:val="49E4AB20"/>
    <w:rsid w:val="49E873D7"/>
    <w:rsid w:val="4A11132F"/>
    <w:rsid w:val="4A132594"/>
    <w:rsid w:val="4A322612"/>
    <w:rsid w:val="4A3E12E0"/>
    <w:rsid w:val="4A44A023"/>
    <w:rsid w:val="4A50A8E6"/>
    <w:rsid w:val="4A5E74A1"/>
    <w:rsid w:val="4A607E04"/>
    <w:rsid w:val="4A6E9BEC"/>
    <w:rsid w:val="4A6FA48D"/>
    <w:rsid w:val="4A71406D"/>
    <w:rsid w:val="4A76437D"/>
    <w:rsid w:val="4A8400DA"/>
    <w:rsid w:val="4A8479DA"/>
    <w:rsid w:val="4A8CF15D"/>
    <w:rsid w:val="4A90F0C9"/>
    <w:rsid w:val="4A98FB37"/>
    <w:rsid w:val="4AA79D90"/>
    <w:rsid w:val="4ABDC05C"/>
    <w:rsid w:val="4ABDF2E6"/>
    <w:rsid w:val="4AC29F2F"/>
    <w:rsid w:val="4AD9A79B"/>
    <w:rsid w:val="4AEA3FDC"/>
    <w:rsid w:val="4AEF3A95"/>
    <w:rsid w:val="4AF0BBF1"/>
    <w:rsid w:val="4AFEB296"/>
    <w:rsid w:val="4B0756C4"/>
    <w:rsid w:val="4B0B6B2D"/>
    <w:rsid w:val="4B15EA23"/>
    <w:rsid w:val="4B1FD641"/>
    <w:rsid w:val="4B232883"/>
    <w:rsid w:val="4B2791CC"/>
    <w:rsid w:val="4B2BBD89"/>
    <w:rsid w:val="4B35BE88"/>
    <w:rsid w:val="4B40CE66"/>
    <w:rsid w:val="4B4C5038"/>
    <w:rsid w:val="4B66DE47"/>
    <w:rsid w:val="4B6D4311"/>
    <w:rsid w:val="4B6F8625"/>
    <w:rsid w:val="4B748394"/>
    <w:rsid w:val="4B7BFD3B"/>
    <w:rsid w:val="4B9ADF6B"/>
    <w:rsid w:val="4B9BE474"/>
    <w:rsid w:val="4BA02EC1"/>
    <w:rsid w:val="4BAA7A22"/>
    <w:rsid w:val="4BB1BED2"/>
    <w:rsid w:val="4BC30CBC"/>
    <w:rsid w:val="4BD07796"/>
    <w:rsid w:val="4BD67E96"/>
    <w:rsid w:val="4BF24795"/>
    <w:rsid w:val="4BFAD091"/>
    <w:rsid w:val="4BFB8B6D"/>
    <w:rsid w:val="4BFF877C"/>
    <w:rsid w:val="4C011D18"/>
    <w:rsid w:val="4C08A4FC"/>
    <w:rsid w:val="4C0ECFFD"/>
    <w:rsid w:val="4C1F4636"/>
    <w:rsid w:val="4C2D05C5"/>
    <w:rsid w:val="4C36204A"/>
    <w:rsid w:val="4C3EEF31"/>
    <w:rsid w:val="4C542AAA"/>
    <w:rsid w:val="4C5C3CBC"/>
    <w:rsid w:val="4C657F25"/>
    <w:rsid w:val="4C6A75EA"/>
    <w:rsid w:val="4C6DE014"/>
    <w:rsid w:val="4C7067CB"/>
    <w:rsid w:val="4C826859"/>
    <w:rsid w:val="4C9B0292"/>
    <w:rsid w:val="4CA51DC9"/>
    <w:rsid w:val="4CA7BF28"/>
    <w:rsid w:val="4CAAF49B"/>
    <w:rsid w:val="4CC37343"/>
    <w:rsid w:val="4CC5DADB"/>
    <w:rsid w:val="4CC6CED4"/>
    <w:rsid w:val="4CC85A0A"/>
    <w:rsid w:val="4CCB5C23"/>
    <w:rsid w:val="4CD6D8A5"/>
    <w:rsid w:val="4CE19C0A"/>
    <w:rsid w:val="4CE44951"/>
    <w:rsid w:val="4CEBD78C"/>
    <w:rsid w:val="4CEE9401"/>
    <w:rsid w:val="4CF8FBB5"/>
    <w:rsid w:val="4D132F64"/>
    <w:rsid w:val="4D1651B4"/>
    <w:rsid w:val="4D16AC06"/>
    <w:rsid w:val="4D17C5F3"/>
    <w:rsid w:val="4D1D856A"/>
    <w:rsid w:val="4D470387"/>
    <w:rsid w:val="4D4F2F10"/>
    <w:rsid w:val="4D575F12"/>
    <w:rsid w:val="4D5B5A9A"/>
    <w:rsid w:val="4D695346"/>
    <w:rsid w:val="4D75F754"/>
    <w:rsid w:val="4D95862B"/>
    <w:rsid w:val="4D97A582"/>
    <w:rsid w:val="4D9EF61E"/>
    <w:rsid w:val="4DBE03F1"/>
    <w:rsid w:val="4DC253AA"/>
    <w:rsid w:val="4DCC57B1"/>
    <w:rsid w:val="4DD1B4A4"/>
    <w:rsid w:val="4DDC9148"/>
    <w:rsid w:val="4DEB02DD"/>
    <w:rsid w:val="4DFDB496"/>
    <w:rsid w:val="4DFE0122"/>
    <w:rsid w:val="4E028539"/>
    <w:rsid w:val="4E0ECFAF"/>
    <w:rsid w:val="4E233687"/>
    <w:rsid w:val="4E24D84E"/>
    <w:rsid w:val="4E31ECB4"/>
    <w:rsid w:val="4E33CE55"/>
    <w:rsid w:val="4E35B758"/>
    <w:rsid w:val="4E38ABB5"/>
    <w:rsid w:val="4E3E3D9C"/>
    <w:rsid w:val="4E45BDB5"/>
    <w:rsid w:val="4E70EFAD"/>
    <w:rsid w:val="4E78396D"/>
    <w:rsid w:val="4E7FE907"/>
    <w:rsid w:val="4E885DD3"/>
    <w:rsid w:val="4E89EAEB"/>
    <w:rsid w:val="4E924FA6"/>
    <w:rsid w:val="4E983FAE"/>
    <w:rsid w:val="4E98A310"/>
    <w:rsid w:val="4E9A2620"/>
    <w:rsid w:val="4E9D2AC6"/>
    <w:rsid w:val="4EA17461"/>
    <w:rsid w:val="4EAFCB25"/>
    <w:rsid w:val="4EBCE861"/>
    <w:rsid w:val="4EBCF9A3"/>
    <w:rsid w:val="4EC6616D"/>
    <w:rsid w:val="4EC9CB58"/>
    <w:rsid w:val="4ECFE259"/>
    <w:rsid w:val="4ED0AF2D"/>
    <w:rsid w:val="4ED12F25"/>
    <w:rsid w:val="4EE51767"/>
    <w:rsid w:val="4EF4A44B"/>
    <w:rsid w:val="4F02389A"/>
    <w:rsid w:val="4F146226"/>
    <w:rsid w:val="4F1C8D26"/>
    <w:rsid w:val="4F2EDFC1"/>
    <w:rsid w:val="4F316E1C"/>
    <w:rsid w:val="4F65AA70"/>
    <w:rsid w:val="4F664C04"/>
    <w:rsid w:val="4F7BCD79"/>
    <w:rsid w:val="4F861FD3"/>
    <w:rsid w:val="4FA05B57"/>
    <w:rsid w:val="4FA68EDF"/>
    <w:rsid w:val="4FA73693"/>
    <w:rsid w:val="4FAAB046"/>
    <w:rsid w:val="4FB501F5"/>
    <w:rsid w:val="4FC229D5"/>
    <w:rsid w:val="4FC5D334"/>
    <w:rsid w:val="4FD5F2E3"/>
    <w:rsid w:val="4FDB09CC"/>
    <w:rsid w:val="4FEF5D61"/>
    <w:rsid w:val="4FF9DC25"/>
    <w:rsid w:val="50000B37"/>
    <w:rsid w:val="500217D3"/>
    <w:rsid w:val="5020ED6A"/>
    <w:rsid w:val="5023F9E3"/>
    <w:rsid w:val="5025BB4C"/>
    <w:rsid w:val="502A3B26"/>
    <w:rsid w:val="503A7BF4"/>
    <w:rsid w:val="504BF424"/>
    <w:rsid w:val="50590E6D"/>
    <w:rsid w:val="5059A63F"/>
    <w:rsid w:val="505F3195"/>
    <w:rsid w:val="506CB9F7"/>
    <w:rsid w:val="5072BBF0"/>
    <w:rsid w:val="50821890"/>
    <w:rsid w:val="5099E5A7"/>
    <w:rsid w:val="50BF5C33"/>
    <w:rsid w:val="50CA59CE"/>
    <w:rsid w:val="50CECFA8"/>
    <w:rsid w:val="50E4EA5D"/>
    <w:rsid w:val="50FA3EF2"/>
    <w:rsid w:val="50FC7263"/>
    <w:rsid w:val="50FE27B6"/>
    <w:rsid w:val="512F9E83"/>
    <w:rsid w:val="513F903B"/>
    <w:rsid w:val="51533A3A"/>
    <w:rsid w:val="5159F5A6"/>
    <w:rsid w:val="515DE9BF"/>
    <w:rsid w:val="515ED1AC"/>
    <w:rsid w:val="5165494F"/>
    <w:rsid w:val="516E27BD"/>
    <w:rsid w:val="5173FF5C"/>
    <w:rsid w:val="51759902"/>
    <w:rsid w:val="5176ED15"/>
    <w:rsid w:val="517E74B7"/>
    <w:rsid w:val="5181B4C8"/>
    <w:rsid w:val="51858941"/>
    <w:rsid w:val="5187CB98"/>
    <w:rsid w:val="519C4DDA"/>
    <w:rsid w:val="51A0CE8E"/>
    <w:rsid w:val="51AE0D14"/>
    <w:rsid w:val="51AF45A9"/>
    <w:rsid w:val="51BE32BC"/>
    <w:rsid w:val="51CFB7B5"/>
    <w:rsid w:val="51D323FD"/>
    <w:rsid w:val="51E45452"/>
    <w:rsid w:val="51E899C8"/>
    <w:rsid w:val="52000C07"/>
    <w:rsid w:val="5202C8DC"/>
    <w:rsid w:val="52078D2B"/>
    <w:rsid w:val="520B9F5D"/>
    <w:rsid w:val="52173B8D"/>
    <w:rsid w:val="52204CD7"/>
    <w:rsid w:val="52205C1A"/>
    <w:rsid w:val="522693ED"/>
    <w:rsid w:val="52278C34"/>
    <w:rsid w:val="52315BFA"/>
    <w:rsid w:val="523A691B"/>
    <w:rsid w:val="523EEE29"/>
    <w:rsid w:val="52430B11"/>
    <w:rsid w:val="52569142"/>
    <w:rsid w:val="52623A07"/>
    <w:rsid w:val="5262AD95"/>
    <w:rsid w:val="526C8323"/>
    <w:rsid w:val="526E28F5"/>
    <w:rsid w:val="528E3A1B"/>
    <w:rsid w:val="5299BDCB"/>
    <w:rsid w:val="529DD6C3"/>
    <w:rsid w:val="52A9875C"/>
    <w:rsid w:val="52AA1FBA"/>
    <w:rsid w:val="52C2D98E"/>
    <w:rsid w:val="52C4CA7C"/>
    <w:rsid w:val="52C740A6"/>
    <w:rsid w:val="52C98CC8"/>
    <w:rsid w:val="52D01A12"/>
    <w:rsid w:val="52D85F66"/>
    <w:rsid w:val="5308C986"/>
    <w:rsid w:val="533AAEEC"/>
    <w:rsid w:val="5345CC2E"/>
    <w:rsid w:val="53470301"/>
    <w:rsid w:val="5349D9A2"/>
    <w:rsid w:val="534BEF54"/>
    <w:rsid w:val="534F5308"/>
    <w:rsid w:val="5360646A"/>
    <w:rsid w:val="536332D5"/>
    <w:rsid w:val="5367446A"/>
    <w:rsid w:val="5374E9D3"/>
    <w:rsid w:val="5376B2BE"/>
    <w:rsid w:val="5386B115"/>
    <w:rsid w:val="538B2EF6"/>
    <w:rsid w:val="538F5E2E"/>
    <w:rsid w:val="539D5EEF"/>
    <w:rsid w:val="53ADAE04"/>
    <w:rsid w:val="53B855D3"/>
    <w:rsid w:val="53BA90DB"/>
    <w:rsid w:val="53C62243"/>
    <w:rsid w:val="53D0DE64"/>
    <w:rsid w:val="53D121DB"/>
    <w:rsid w:val="53D177F2"/>
    <w:rsid w:val="53DED5D7"/>
    <w:rsid w:val="53DFDBDB"/>
    <w:rsid w:val="53E41553"/>
    <w:rsid w:val="53EF7C0A"/>
    <w:rsid w:val="5407001C"/>
    <w:rsid w:val="5407F9B8"/>
    <w:rsid w:val="54183AFC"/>
    <w:rsid w:val="541AC019"/>
    <w:rsid w:val="541C4A24"/>
    <w:rsid w:val="5461BCBE"/>
    <w:rsid w:val="5464681C"/>
    <w:rsid w:val="54647B41"/>
    <w:rsid w:val="54664419"/>
    <w:rsid w:val="546FC970"/>
    <w:rsid w:val="547AEA05"/>
    <w:rsid w:val="54841F5B"/>
    <w:rsid w:val="548DC8FC"/>
    <w:rsid w:val="548EA055"/>
    <w:rsid w:val="549A649D"/>
    <w:rsid w:val="549CDE23"/>
    <w:rsid w:val="549FD1D3"/>
    <w:rsid w:val="54A29AE8"/>
    <w:rsid w:val="54A422EC"/>
    <w:rsid w:val="54B58533"/>
    <w:rsid w:val="54B9831D"/>
    <w:rsid w:val="54C5C564"/>
    <w:rsid w:val="54C8D32F"/>
    <w:rsid w:val="54CC66B8"/>
    <w:rsid w:val="54CD610A"/>
    <w:rsid w:val="54E5ADD6"/>
    <w:rsid w:val="5504E62B"/>
    <w:rsid w:val="550E2269"/>
    <w:rsid w:val="551FA312"/>
    <w:rsid w:val="5529AC73"/>
    <w:rsid w:val="5530CA88"/>
    <w:rsid w:val="5534CF60"/>
    <w:rsid w:val="55369A05"/>
    <w:rsid w:val="553C904D"/>
    <w:rsid w:val="5546E352"/>
    <w:rsid w:val="554C9385"/>
    <w:rsid w:val="554D3EE9"/>
    <w:rsid w:val="55611AC6"/>
    <w:rsid w:val="5561405C"/>
    <w:rsid w:val="5564F384"/>
    <w:rsid w:val="557D7C9E"/>
    <w:rsid w:val="557DF9A2"/>
    <w:rsid w:val="5585AF90"/>
    <w:rsid w:val="55874E4B"/>
    <w:rsid w:val="5598B163"/>
    <w:rsid w:val="559EA941"/>
    <w:rsid w:val="559FC0BA"/>
    <w:rsid w:val="55A8A62A"/>
    <w:rsid w:val="55A98C0A"/>
    <w:rsid w:val="55AABF16"/>
    <w:rsid w:val="55B31EAA"/>
    <w:rsid w:val="55BACC27"/>
    <w:rsid w:val="55BF2C4B"/>
    <w:rsid w:val="55C3CB9B"/>
    <w:rsid w:val="55C6C435"/>
    <w:rsid w:val="55CF1EBE"/>
    <w:rsid w:val="55D630B3"/>
    <w:rsid w:val="55EF6F68"/>
    <w:rsid w:val="55FDED13"/>
    <w:rsid w:val="560348C5"/>
    <w:rsid w:val="561AFD80"/>
    <w:rsid w:val="561FB52F"/>
    <w:rsid w:val="5621366F"/>
    <w:rsid w:val="563E6731"/>
    <w:rsid w:val="564952DE"/>
    <w:rsid w:val="564FE047"/>
    <w:rsid w:val="56615131"/>
    <w:rsid w:val="567DEE6F"/>
    <w:rsid w:val="5683F13E"/>
    <w:rsid w:val="5689E26A"/>
    <w:rsid w:val="568AADC2"/>
    <w:rsid w:val="5695ABD6"/>
    <w:rsid w:val="56987E6F"/>
    <w:rsid w:val="5698E15B"/>
    <w:rsid w:val="569E82E7"/>
    <w:rsid w:val="56AB1736"/>
    <w:rsid w:val="56B47C71"/>
    <w:rsid w:val="56BC1F7F"/>
    <w:rsid w:val="56BEF9BB"/>
    <w:rsid w:val="56BFCFC9"/>
    <w:rsid w:val="56C7D73C"/>
    <w:rsid w:val="56CD1A06"/>
    <w:rsid w:val="56D7E599"/>
    <w:rsid w:val="56E7A991"/>
    <w:rsid w:val="56F004F7"/>
    <w:rsid w:val="570209F9"/>
    <w:rsid w:val="571E65B0"/>
    <w:rsid w:val="57201222"/>
    <w:rsid w:val="5731F232"/>
    <w:rsid w:val="573DE8A0"/>
    <w:rsid w:val="57408500"/>
    <w:rsid w:val="5749AE24"/>
    <w:rsid w:val="575532F9"/>
    <w:rsid w:val="577B31CB"/>
    <w:rsid w:val="578129C4"/>
    <w:rsid w:val="57955F89"/>
    <w:rsid w:val="579B98C9"/>
    <w:rsid w:val="57A68A2A"/>
    <w:rsid w:val="57C5F0AD"/>
    <w:rsid w:val="57C77480"/>
    <w:rsid w:val="57CB215E"/>
    <w:rsid w:val="57CD9DB7"/>
    <w:rsid w:val="57D1540A"/>
    <w:rsid w:val="57D25047"/>
    <w:rsid w:val="57D4EC35"/>
    <w:rsid w:val="57DB6FB5"/>
    <w:rsid w:val="57E5233F"/>
    <w:rsid w:val="57EA7C67"/>
    <w:rsid w:val="57EBA870"/>
    <w:rsid w:val="57EFA17D"/>
    <w:rsid w:val="57FAD8D8"/>
    <w:rsid w:val="58036EC6"/>
    <w:rsid w:val="580A2929"/>
    <w:rsid w:val="5811B1E3"/>
    <w:rsid w:val="5811DD36"/>
    <w:rsid w:val="5812CD69"/>
    <w:rsid w:val="58161206"/>
    <w:rsid w:val="581A3F24"/>
    <w:rsid w:val="581F7B23"/>
    <w:rsid w:val="582F4085"/>
    <w:rsid w:val="58308DF0"/>
    <w:rsid w:val="58387132"/>
    <w:rsid w:val="584E4F97"/>
    <w:rsid w:val="5854A9B5"/>
    <w:rsid w:val="5859BEF4"/>
    <w:rsid w:val="585D337E"/>
    <w:rsid w:val="58672529"/>
    <w:rsid w:val="58708971"/>
    <w:rsid w:val="58767B4F"/>
    <w:rsid w:val="58847AE8"/>
    <w:rsid w:val="588994F5"/>
    <w:rsid w:val="588BD8D1"/>
    <w:rsid w:val="589C8D25"/>
    <w:rsid w:val="58A81CB8"/>
    <w:rsid w:val="58AF7F38"/>
    <w:rsid w:val="58C37CCC"/>
    <w:rsid w:val="58CA5AC5"/>
    <w:rsid w:val="58CF9CC2"/>
    <w:rsid w:val="58DA50DD"/>
    <w:rsid w:val="58F00FAA"/>
    <w:rsid w:val="58F1035A"/>
    <w:rsid w:val="58F18580"/>
    <w:rsid w:val="58F8291F"/>
    <w:rsid w:val="58FB5642"/>
    <w:rsid w:val="5904E85B"/>
    <w:rsid w:val="593F5370"/>
    <w:rsid w:val="59515574"/>
    <w:rsid w:val="59543BA4"/>
    <w:rsid w:val="595849AF"/>
    <w:rsid w:val="595D24BD"/>
    <w:rsid w:val="596CE66A"/>
    <w:rsid w:val="596F0A2E"/>
    <w:rsid w:val="596FB51C"/>
    <w:rsid w:val="59723447"/>
    <w:rsid w:val="59790278"/>
    <w:rsid w:val="5979BDA2"/>
    <w:rsid w:val="598BCA33"/>
    <w:rsid w:val="599DE468"/>
    <w:rsid w:val="599FD439"/>
    <w:rsid w:val="59AA6C78"/>
    <w:rsid w:val="59AE9DCA"/>
    <w:rsid w:val="59B3861D"/>
    <w:rsid w:val="59E11919"/>
    <w:rsid w:val="5A1C6577"/>
    <w:rsid w:val="5A1EED64"/>
    <w:rsid w:val="5A1FC242"/>
    <w:rsid w:val="5A257C64"/>
    <w:rsid w:val="5A3449AD"/>
    <w:rsid w:val="5A38FF5F"/>
    <w:rsid w:val="5A4EC6EA"/>
    <w:rsid w:val="5A530AD1"/>
    <w:rsid w:val="5A5D3849"/>
    <w:rsid w:val="5A604F50"/>
    <w:rsid w:val="5A669D4C"/>
    <w:rsid w:val="5A71E60F"/>
    <w:rsid w:val="5A8134F7"/>
    <w:rsid w:val="5A84AFB9"/>
    <w:rsid w:val="5A8DB00A"/>
    <w:rsid w:val="5A9369BC"/>
    <w:rsid w:val="5A97C5BA"/>
    <w:rsid w:val="5A9C526F"/>
    <w:rsid w:val="5AA338A6"/>
    <w:rsid w:val="5AA48BCC"/>
    <w:rsid w:val="5AA92EF5"/>
    <w:rsid w:val="5AACB8A0"/>
    <w:rsid w:val="5AB67239"/>
    <w:rsid w:val="5AC4C621"/>
    <w:rsid w:val="5AD7A426"/>
    <w:rsid w:val="5ADACA89"/>
    <w:rsid w:val="5ADB5AAB"/>
    <w:rsid w:val="5ADC49BF"/>
    <w:rsid w:val="5AE4CEB4"/>
    <w:rsid w:val="5AF5AE6E"/>
    <w:rsid w:val="5AF62B1A"/>
    <w:rsid w:val="5AFD3A12"/>
    <w:rsid w:val="5B034787"/>
    <w:rsid w:val="5B171E99"/>
    <w:rsid w:val="5B18FE47"/>
    <w:rsid w:val="5B297037"/>
    <w:rsid w:val="5B2C0C8F"/>
    <w:rsid w:val="5B30B3AB"/>
    <w:rsid w:val="5B3BB872"/>
    <w:rsid w:val="5B498DFF"/>
    <w:rsid w:val="5B4B6CA5"/>
    <w:rsid w:val="5B4F5BC1"/>
    <w:rsid w:val="5B60905B"/>
    <w:rsid w:val="5B6FB529"/>
    <w:rsid w:val="5B7378AB"/>
    <w:rsid w:val="5B7925A9"/>
    <w:rsid w:val="5B7C2BF1"/>
    <w:rsid w:val="5B7F0D85"/>
    <w:rsid w:val="5B83BF1B"/>
    <w:rsid w:val="5B86C362"/>
    <w:rsid w:val="5BA02172"/>
    <w:rsid w:val="5BA331D6"/>
    <w:rsid w:val="5BACF12D"/>
    <w:rsid w:val="5BB34374"/>
    <w:rsid w:val="5BBAD849"/>
    <w:rsid w:val="5BC2BDC7"/>
    <w:rsid w:val="5BC2EB7D"/>
    <w:rsid w:val="5BC38933"/>
    <w:rsid w:val="5BDF1149"/>
    <w:rsid w:val="5BE0906D"/>
    <w:rsid w:val="5BE4A06B"/>
    <w:rsid w:val="5BF143A3"/>
    <w:rsid w:val="5BF8362C"/>
    <w:rsid w:val="5BFED536"/>
    <w:rsid w:val="5C10710C"/>
    <w:rsid w:val="5C218359"/>
    <w:rsid w:val="5C24BD13"/>
    <w:rsid w:val="5C24C8E6"/>
    <w:rsid w:val="5C2BDFF8"/>
    <w:rsid w:val="5C2F75B3"/>
    <w:rsid w:val="5C3C003F"/>
    <w:rsid w:val="5C40ED5F"/>
    <w:rsid w:val="5C45207E"/>
    <w:rsid w:val="5C49C372"/>
    <w:rsid w:val="5C4CFF3E"/>
    <w:rsid w:val="5C4D8CB0"/>
    <w:rsid w:val="5C5223E4"/>
    <w:rsid w:val="5C54396F"/>
    <w:rsid w:val="5C5457DD"/>
    <w:rsid w:val="5C56B7B7"/>
    <w:rsid w:val="5C605D64"/>
    <w:rsid w:val="5C797F03"/>
    <w:rsid w:val="5C828BEF"/>
    <w:rsid w:val="5C9FC2B4"/>
    <w:rsid w:val="5CAA84BB"/>
    <w:rsid w:val="5CBA06AD"/>
    <w:rsid w:val="5CC4F3F4"/>
    <w:rsid w:val="5CD4C281"/>
    <w:rsid w:val="5CD5691C"/>
    <w:rsid w:val="5CD788D3"/>
    <w:rsid w:val="5CE5DA37"/>
    <w:rsid w:val="5CE9121E"/>
    <w:rsid w:val="5CF42184"/>
    <w:rsid w:val="5CF64CA8"/>
    <w:rsid w:val="5CFBF7DB"/>
    <w:rsid w:val="5D07ECB0"/>
    <w:rsid w:val="5D196220"/>
    <w:rsid w:val="5D1E9B64"/>
    <w:rsid w:val="5D23167E"/>
    <w:rsid w:val="5D234309"/>
    <w:rsid w:val="5D25CA3A"/>
    <w:rsid w:val="5D2D302D"/>
    <w:rsid w:val="5D41A778"/>
    <w:rsid w:val="5D48D596"/>
    <w:rsid w:val="5D60694D"/>
    <w:rsid w:val="5D66A247"/>
    <w:rsid w:val="5D75AACB"/>
    <w:rsid w:val="5D7BEE8F"/>
    <w:rsid w:val="5D7C7C22"/>
    <w:rsid w:val="5D7D0BA2"/>
    <w:rsid w:val="5D8317C1"/>
    <w:rsid w:val="5D84BF92"/>
    <w:rsid w:val="5D860A86"/>
    <w:rsid w:val="5D869458"/>
    <w:rsid w:val="5D99DF37"/>
    <w:rsid w:val="5DA6E0D2"/>
    <w:rsid w:val="5DCE45DB"/>
    <w:rsid w:val="5DD35FD2"/>
    <w:rsid w:val="5DE39FBE"/>
    <w:rsid w:val="5DE792CC"/>
    <w:rsid w:val="5DECCC47"/>
    <w:rsid w:val="5DF8C5F2"/>
    <w:rsid w:val="5DFA3774"/>
    <w:rsid w:val="5DFC038E"/>
    <w:rsid w:val="5E00EE11"/>
    <w:rsid w:val="5E095F2E"/>
    <w:rsid w:val="5E0ACEDA"/>
    <w:rsid w:val="5E0D0F41"/>
    <w:rsid w:val="5E0EFD83"/>
    <w:rsid w:val="5E149226"/>
    <w:rsid w:val="5E207AC0"/>
    <w:rsid w:val="5E280144"/>
    <w:rsid w:val="5E3797DE"/>
    <w:rsid w:val="5E3A445B"/>
    <w:rsid w:val="5E3B9567"/>
    <w:rsid w:val="5E41F74F"/>
    <w:rsid w:val="5E560FE8"/>
    <w:rsid w:val="5E5637E1"/>
    <w:rsid w:val="5E6DC405"/>
    <w:rsid w:val="5E6F77F1"/>
    <w:rsid w:val="5E70B84D"/>
    <w:rsid w:val="5E727EA1"/>
    <w:rsid w:val="5E790552"/>
    <w:rsid w:val="5E79E314"/>
    <w:rsid w:val="5E99224D"/>
    <w:rsid w:val="5E9EA434"/>
    <w:rsid w:val="5EA30522"/>
    <w:rsid w:val="5EA8FA4A"/>
    <w:rsid w:val="5EAA5D0D"/>
    <w:rsid w:val="5EBA932E"/>
    <w:rsid w:val="5EBDDF16"/>
    <w:rsid w:val="5EBE292E"/>
    <w:rsid w:val="5EC9F68F"/>
    <w:rsid w:val="5ED2D394"/>
    <w:rsid w:val="5ED56227"/>
    <w:rsid w:val="5EDDF797"/>
    <w:rsid w:val="5EDEB1AA"/>
    <w:rsid w:val="5EE84A28"/>
    <w:rsid w:val="5EEA640F"/>
    <w:rsid w:val="5F004F07"/>
    <w:rsid w:val="5F0B1C86"/>
    <w:rsid w:val="5F0D12AB"/>
    <w:rsid w:val="5F339833"/>
    <w:rsid w:val="5F358771"/>
    <w:rsid w:val="5F4B3FBC"/>
    <w:rsid w:val="5F5075A1"/>
    <w:rsid w:val="5F619323"/>
    <w:rsid w:val="5F8623A9"/>
    <w:rsid w:val="5F89C4A6"/>
    <w:rsid w:val="5F9146D8"/>
    <w:rsid w:val="5F93D79D"/>
    <w:rsid w:val="5FA1B8B9"/>
    <w:rsid w:val="5FA34B6A"/>
    <w:rsid w:val="5FA8AAEB"/>
    <w:rsid w:val="5FBEDFD6"/>
    <w:rsid w:val="5FCB45AF"/>
    <w:rsid w:val="5FCDA852"/>
    <w:rsid w:val="5FDAB585"/>
    <w:rsid w:val="5FDBFFD7"/>
    <w:rsid w:val="5FDF0AD7"/>
    <w:rsid w:val="5FE57B56"/>
    <w:rsid w:val="5FF28E5C"/>
    <w:rsid w:val="600A0ECC"/>
    <w:rsid w:val="600BE605"/>
    <w:rsid w:val="602EB325"/>
    <w:rsid w:val="605855F8"/>
    <w:rsid w:val="6065B3FE"/>
    <w:rsid w:val="606C306D"/>
    <w:rsid w:val="606C9315"/>
    <w:rsid w:val="6084EDB2"/>
    <w:rsid w:val="608CE79A"/>
    <w:rsid w:val="608CEDC3"/>
    <w:rsid w:val="60A1F063"/>
    <w:rsid w:val="60AC1314"/>
    <w:rsid w:val="60B57B7B"/>
    <w:rsid w:val="60B72BE6"/>
    <w:rsid w:val="60BB599D"/>
    <w:rsid w:val="60BC0EB1"/>
    <w:rsid w:val="60BE513A"/>
    <w:rsid w:val="60C4BA01"/>
    <w:rsid w:val="60CCC4FA"/>
    <w:rsid w:val="60D1F2F7"/>
    <w:rsid w:val="60DC9A7F"/>
    <w:rsid w:val="60E630CC"/>
    <w:rsid w:val="60E67CC0"/>
    <w:rsid w:val="60E7C2FE"/>
    <w:rsid w:val="60E9FCEE"/>
    <w:rsid w:val="60EA3149"/>
    <w:rsid w:val="61013BA0"/>
    <w:rsid w:val="6104562E"/>
    <w:rsid w:val="6112EEA4"/>
    <w:rsid w:val="611347B7"/>
    <w:rsid w:val="61259507"/>
    <w:rsid w:val="61375730"/>
    <w:rsid w:val="6146F7A5"/>
    <w:rsid w:val="61520B1B"/>
    <w:rsid w:val="61577A81"/>
    <w:rsid w:val="61581E82"/>
    <w:rsid w:val="6169947A"/>
    <w:rsid w:val="617A4E72"/>
    <w:rsid w:val="61B96E99"/>
    <w:rsid w:val="61BAE64C"/>
    <w:rsid w:val="61C66950"/>
    <w:rsid w:val="61C92BD7"/>
    <w:rsid w:val="61D5725A"/>
    <w:rsid w:val="61DC2658"/>
    <w:rsid w:val="61DEFED8"/>
    <w:rsid w:val="61E74E40"/>
    <w:rsid w:val="61E7BC94"/>
    <w:rsid w:val="61E97676"/>
    <w:rsid w:val="61EF7A0D"/>
    <w:rsid w:val="61F7466E"/>
    <w:rsid w:val="6206B3C2"/>
    <w:rsid w:val="620EEC14"/>
    <w:rsid w:val="62154603"/>
    <w:rsid w:val="6215B157"/>
    <w:rsid w:val="621C9EC7"/>
    <w:rsid w:val="622A288C"/>
    <w:rsid w:val="622B3673"/>
    <w:rsid w:val="623171F8"/>
    <w:rsid w:val="6236DA60"/>
    <w:rsid w:val="623E24CA"/>
    <w:rsid w:val="624D2568"/>
    <w:rsid w:val="62508246"/>
    <w:rsid w:val="6261D711"/>
    <w:rsid w:val="62709179"/>
    <w:rsid w:val="627D0244"/>
    <w:rsid w:val="62936427"/>
    <w:rsid w:val="6296BC36"/>
    <w:rsid w:val="6297A181"/>
    <w:rsid w:val="62A02952"/>
    <w:rsid w:val="62A307B7"/>
    <w:rsid w:val="62AA8652"/>
    <w:rsid w:val="62ACD5B5"/>
    <w:rsid w:val="62B24A0D"/>
    <w:rsid w:val="62B62E42"/>
    <w:rsid w:val="62C0E8C8"/>
    <w:rsid w:val="62C57C48"/>
    <w:rsid w:val="62DED6B3"/>
    <w:rsid w:val="62E76ED1"/>
    <w:rsid w:val="62EC4113"/>
    <w:rsid w:val="62EFC896"/>
    <w:rsid w:val="62F272F0"/>
    <w:rsid w:val="62F33AF6"/>
    <w:rsid w:val="6315488B"/>
    <w:rsid w:val="632C4AC0"/>
    <w:rsid w:val="632D6324"/>
    <w:rsid w:val="6331F46B"/>
    <w:rsid w:val="633AB5D4"/>
    <w:rsid w:val="634382A9"/>
    <w:rsid w:val="6357ED8F"/>
    <w:rsid w:val="635998C5"/>
    <w:rsid w:val="6365BBD9"/>
    <w:rsid w:val="63686EC8"/>
    <w:rsid w:val="6388242C"/>
    <w:rsid w:val="639A6AB9"/>
    <w:rsid w:val="63A38954"/>
    <w:rsid w:val="63A704DD"/>
    <w:rsid w:val="63BAD252"/>
    <w:rsid w:val="63C58212"/>
    <w:rsid w:val="63C71270"/>
    <w:rsid w:val="63D1B5E6"/>
    <w:rsid w:val="63DD1AEE"/>
    <w:rsid w:val="63E093C5"/>
    <w:rsid w:val="63E2EB7E"/>
    <w:rsid w:val="63E392F5"/>
    <w:rsid w:val="63E66A38"/>
    <w:rsid w:val="63EDBED6"/>
    <w:rsid w:val="63F1D79E"/>
    <w:rsid w:val="63F48B7F"/>
    <w:rsid w:val="640993B9"/>
    <w:rsid w:val="640C66CA"/>
    <w:rsid w:val="6425CC04"/>
    <w:rsid w:val="6426C97B"/>
    <w:rsid w:val="6427AE54"/>
    <w:rsid w:val="642903C5"/>
    <w:rsid w:val="642DC4B7"/>
    <w:rsid w:val="6434BB98"/>
    <w:rsid w:val="643A4CBE"/>
    <w:rsid w:val="644AA3C9"/>
    <w:rsid w:val="64539C27"/>
    <w:rsid w:val="6460F374"/>
    <w:rsid w:val="646AAC48"/>
    <w:rsid w:val="64869631"/>
    <w:rsid w:val="6489C126"/>
    <w:rsid w:val="648B3144"/>
    <w:rsid w:val="648F27CC"/>
    <w:rsid w:val="649BA596"/>
    <w:rsid w:val="649FAE58"/>
    <w:rsid w:val="64A67E2E"/>
    <w:rsid w:val="64A6EB8F"/>
    <w:rsid w:val="64ABD057"/>
    <w:rsid w:val="64C203F5"/>
    <w:rsid w:val="64C5F10A"/>
    <w:rsid w:val="64CB4767"/>
    <w:rsid w:val="64DFBC71"/>
    <w:rsid w:val="64EC0C52"/>
    <w:rsid w:val="64F05A9C"/>
    <w:rsid w:val="64F3BA09"/>
    <w:rsid w:val="64F467FE"/>
    <w:rsid w:val="64F590EA"/>
    <w:rsid w:val="64F95139"/>
    <w:rsid w:val="652739BA"/>
    <w:rsid w:val="654E58D0"/>
    <w:rsid w:val="6551DEF3"/>
    <w:rsid w:val="6563287F"/>
    <w:rsid w:val="65646E20"/>
    <w:rsid w:val="65687B42"/>
    <w:rsid w:val="65759B6A"/>
    <w:rsid w:val="6578282D"/>
    <w:rsid w:val="6578CF32"/>
    <w:rsid w:val="657BA40D"/>
    <w:rsid w:val="657CEADF"/>
    <w:rsid w:val="65832D38"/>
    <w:rsid w:val="6587AFCF"/>
    <w:rsid w:val="658F51D0"/>
    <w:rsid w:val="659448F7"/>
    <w:rsid w:val="65A6C1D4"/>
    <w:rsid w:val="65B21350"/>
    <w:rsid w:val="65B97860"/>
    <w:rsid w:val="65BCC745"/>
    <w:rsid w:val="65C1AE07"/>
    <w:rsid w:val="65DFDDCD"/>
    <w:rsid w:val="65E4DA5C"/>
    <w:rsid w:val="65EBB822"/>
    <w:rsid w:val="65F6199F"/>
    <w:rsid w:val="65FF027A"/>
    <w:rsid w:val="66095406"/>
    <w:rsid w:val="6616DBE1"/>
    <w:rsid w:val="66192600"/>
    <w:rsid w:val="662902A1"/>
    <w:rsid w:val="6629BAC8"/>
    <w:rsid w:val="66365688"/>
    <w:rsid w:val="6643CDB7"/>
    <w:rsid w:val="66450C8A"/>
    <w:rsid w:val="66475BA8"/>
    <w:rsid w:val="6647EB08"/>
    <w:rsid w:val="6653CA94"/>
    <w:rsid w:val="6656A357"/>
    <w:rsid w:val="665AD4BB"/>
    <w:rsid w:val="66637109"/>
    <w:rsid w:val="66700BCD"/>
    <w:rsid w:val="6678D5C1"/>
    <w:rsid w:val="667BF84C"/>
    <w:rsid w:val="667E172B"/>
    <w:rsid w:val="6680E00F"/>
    <w:rsid w:val="668A047C"/>
    <w:rsid w:val="66929234"/>
    <w:rsid w:val="66992BF3"/>
    <w:rsid w:val="669FF19E"/>
    <w:rsid w:val="66A740C0"/>
    <w:rsid w:val="66AB1406"/>
    <w:rsid w:val="66AD8090"/>
    <w:rsid w:val="66B262EC"/>
    <w:rsid w:val="66BC2116"/>
    <w:rsid w:val="66D4ADC2"/>
    <w:rsid w:val="66E4F729"/>
    <w:rsid w:val="66EB9966"/>
    <w:rsid w:val="66FE1818"/>
    <w:rsid w:val="66FE7966"/>
    <w:rsid w:val="6705DA97"/>
    <w:rsid w:val="6706541F"/>
    <w:rsid w:val="67067CE0"/>
    <w:rsid w:val="670C2827"/>
    <w:rsid w:val="670D2446"/>
    <w:rsid w:val="671495EE"/>
    <w:rsid w:val="6718DB49"/>
    <w:rsid w:val="671D23E1"/>
    <w:rsid w:val="6728A36A"/>
    <w:rsid w:val="6744836D"/>
    <w:rsid w:val="67498F92"/>
    <w:rsid w:val="674A5DAD"/>
    <w:rsid w:val="674BDDDB"/>
    <w:rsid w:val="675CBEA3"/>
    <w:rsid w:val="67600D0F"/>
    <w:rsid w:val="676D3430"/>
    <w:rsid w:val="6774FF1E"/>
    <w:rsid w:val="6794AE52"/>
    <w:rsid w:val="679535D0"/>
    <w:rsid w:val="67B6F736"/>
    <w:rsid w:val="67CD2408"/>
    <w:rsid w:val="67D3BF12"/>
    <w:rsid w:val="67D9B2CC"/>
    <w:rsid w:val="67E199BD"/>
    <w:rsid w:val="67F29035"/>
    <w:rsid w:val="67F88599"/>
    <w:rsid w:val="67FEA3D4"/>
    <w:rsid w:val="6822BD53"/>
    <w:rsid w:val="68257351"/>
    <w:rsid w:val="6828C8F1"/>
    <w:rsid w:val="68308F85"/>
    <w:rsid w:val="6839EED0"/>
    <w:rsid w:val="683A5996"/>
    <w:rsid w:val="683C11A0"/>
    <w:rsid w:val="6841AF52"/>
    <w:rsid w:val="6842881C"/>
    <w:rsid w:val="68497927"/>
    <w:rsid w:val="684EB4B6"/>
    <w:rsid w:val="68613CF8"/>
    <w:rsid w:val="687B2BFF"/>
    <w:rsid w:val="6899B382"/>
    <w:rsid w:val="689D29AC"/>
    <w:rsid w:val="68AD4126"/>
    <w:rsid w:val="68C0B1A4"/>
    <w:rsid w:val="68DD04DC"/>
    <w:rsid w:val="68DE25C7"/>
    <w:rsid w:val="68E674B4"/>
    <w:rsid w:val="68E97D4E"/>
    <w:rsid w:val="68EB0A40"/>
    <w:rsid w:val="68F4213E"/>
    <w:rsid w:val="68FBE903"/>
    <w:rsid w:val="69018FDE"/>
    <w:rsid w:val="6916A064"/>
    <w:rsid w:val="69177E8F"/>
    <w:rsid w:val="691E14EC"/>
    <w:rsid w:val="69221648"/>
    <w:rsid w:val="692451A2"/>
    <w:rsid w:val="69285112"/>
    <w:rsid w:val="6928EC37"/>
    <w:rsid w:val="693F9C93"/>
    <w:rsid w:val="69472D53"/>
    <w:rsid w:val="694A401A"/>
    <w:rsid w:val="694A9F82"/>
    <w:rsid w:val="6956BB2D"/>
    <w:rsid w:val="696FB426"/>
    <w:rsid w:val="697043BF"/>
    <w:rsid w:val="6978C9EF"/>
    <w:rsid w:val="699B84A2"/>
    <w:rsid w:val="69A723AD"/>
    <w:rsid w:val="69ADDE03"/>
    <w:rsid w:val="69C575B2"/>
    <w:rsid w:val="69C8DA49"/>
    <w:rsid w:val="69D0F45D"/>
    <w:rsid w:val="69DF62BA"/>
    <w:rsid w:val="69F2E049"/>
    <w:rsid w:val="69F6FE09"/>
    <w:rsid w:val="6A084A0D"/>
    <w:rsid w:val="6A0AB1BD"/>
    <w:rsid w:val="6A40D5D0"/>
    <w:rsid w:val="6A4B60B4"/>
    <w:rsid w:val="6A64A542"/>
    <w:rsid w:val="6A71E669"/>
    <w:rsid w:val="6A778864"/>
    <w:rsid w:val="6A79D74E"/>
    <w:rsid w:val="6A7C5B2F"/>
    <w:rsid w:val="6A9E11B0"/>
    <w:rsid w:val="6AA07AD0"/>
    <w:rsid w:val="6AA408AA"/>
    <w:rsid w:val="6ABD3107"/>
    <w:rsid w:val="6ABF00CD"/>
    <w:rsid w:val="6ACF834E"/>
    <w:rsid w:val="6AD9B45F"/>
    <w:rsid w:val="6AF51FF3"/>
    <w:rsid w:val="6B01EDFA"/>
    <w:rsid w:val="6B074762"/>
    <w:rsid w:val="6B0F17E1"/>
    <w:rsid w:val="6B1773DF"/>
    <w:rsid w:val="6B18E1B9"/>
    <w:rsid w:val="6B2B39E3"/>
    <w:rsid w:val="6B2E8B19"/>
    <w:rsid w:val="6B4C4BE3"/>
    <w:rsid w:val="6B5428AA"/>
    <w:rsid w:val="6B57C850"/>
    <w:rsid w:val="6B67F99C"/>
    <w:rsid w:val="6B687F7B"/>
    <w:rsid w:val="6B6FE722"/>
    <w:rsid w:val="6B891A17"/>
    <w:rsid w:val="6B969269"/>
    <w:rsid w:val="6B9B1688"/>
    <w:rsid w:val="6BA08732"/>
    <w:rsid w:val="6BA0E166"/>
    <w:rsid w:val="6BB0C328"/>
    <w:rsid w:val="6BB6D854"/>
    <w:rsid w:val="6BBCC2F1"/>
    <w:rsid w:val="6BCD63A8"/>
    <w:rsid w:val="6BD5CF20"/>
    <w:rsid w:val="6BD661F5"/>
    <w:rsid w:val="6BD7030F"/>
    <w:rsid w:val="6BD9DB68"/>
    <w:rsid w:val="6BDDB4C9"/>
    <w:rsid w:val="6BEF6368"/>
    <w:rsid w:val="6BFAE516"/>
    <w:rsid w:val="6C0D8261"/>
    <w:rsid w:val="6C1121D4"/>
    <w:rsid w:val="6C11F6D8"/>
    <w:rsid w:val="6C158517"/>
    <w:rsid w:val="6C2807D7"/>
    <w:rsid w:val="6C309B2E"/>
    <w:rsid w:val="6C33F4BD"/>
    <w:rsid w:val="6C391A48"/>
    <w:rsid w:val="6C43C891"/>
    <w:rsid w:val="6C4BE9DE"/>
    <w:rsid w:val="6C4DDB31"/>
    <w:rsid w:val="6C5161F8"/>
    <w:rsid w:val="6C59B0B1"/>
    <w:rsid w:val="6C6286C9"/>
    <w:rsid w:val="6C71AA1E"/>
    <w:rsid w:val="6C7FA11E"/>
    <w:rsid w:val="6C8125FC"/>
    <w:rsid w:val="6C86C973"/>
    <w:rsid w:val="6C8C0F6D"/>
    <w:rsid w:val="6C90CAE5"/>
    <w:rsid w:val="6C9B5B09"/>
    <w:rsid w:val="6C9E9C66"/>
    <w:rsid w:val="6CA6F9CD"/>
    <w:rsid w:val="6CBF0D3F"/>
    <w:rsid w:val="6CD75918"/>
    <w:rsid w:val="6CDD72CB"/>
    <w:rsid w:val="6CFEA1FE"/>
    <w:rsid w:val="6D08DA5B"/>
    <w:rsid w:val="6D08E09A"/>
    <w:rsid w:val="6D10B82F"/>
    <w:rsid w:val="6D11D8CA"/>
    <w:rsid w:val="6D1425FC"/>
    <w:rsid w:val="6D19EBBD"/>
    <w:rsid w:val="6D19F227"/>
    <w:rsid w:val="6D32F7FD"/>
    <w:rsid w:val="6D43220B"/>
    <w:rsid w:val="6D49DF8C"/>
    <w:rsid w:val="6D4B898B"/>
    <w:rsid w:val="6D4B8D8D"/>
    <w:rsid w:val="6D56350C"/>
    <w:rsid w:val="6D66ADDC"/>
    <w:rsid w:val="6D730A88"/>
    <w:rsid w:val="6D7B69AB"/>
    <w:rsid w:val="6D83CBF4"/>
    <w:rsid w:val="6D8A0536"/>
    <w:rsid w:val="6D8EA91F"/>
    <w:rsid w:val="6DA6E0E8"/>
    <w:rsid w:val="6DAE0EEF"/>
    <w:rsid w:val="6DB3CB56"/>
    <w:rsid w:val="6DB684A0"/>
    <w:rsid w:val="6DBB50AC"/>
    <w:rsid w:val="6DBF8AAD"/>
    <w:rsid w:val="6DCDE065"/>
    <w:rsid w:val="6DD1326A"/>
    <w:rsid w:val="6DDC4664"/>
    <w:rsid w:val="6DE11F63"/>
    <w:rsid w:val="6DF2CCB9"/>
    <w:rsid w:val="6E0C74E8"/>
    <w:rsid w:val="6E15E4C0"/>
    <w:rsid w:val="6E1CEF95"/>
    <w:rsid w:val="6E1E51BB"/>
    <w:rsid w:val="6E3D9DC7"/>
    <w:rsid w:val="6E3E5E3E"/>
    <w:rsid w:val="6E40CE68"/>
    <w:rsid w:val="6E47C5C6"/>
    <w:rsid w:val="6E4A4E78"/>
    <w:rsid w:val="6E4B2654"/>
    <w:rsid w:val="6E535679"/>
    <w:rsid w:val="6E65D2A1"/>
    <w:rsid w:val="6E66F168"/>
    <w:rsid w:val="6E705B81"/>
    <w:rsid w:val="6E75A62B"/>
    <w:rsid w:val="6E780111"/>
    <w:rsid w:val="6E909B72"/>
    <w:rsid w:val="6E91F804"/>
    <w:rsid w:val="6E9B8FD3"/>
    <w:rsid w:val="6E9FC252"/>
    <w:rsid w:val="6EB9E035"/>
    <w:rsid w:val="6EC8CE5F"/>
    <w:rsid w:val="6ED29188"/>
    <w:rsid w:val="6ED5D2E5"/>
    <w:rsid w:val="6EE16E7F"/>
    <w:rsid w:val="6EEFD545"/>
    <w:rsid w:val="6EF4C440"/>
    <w:rsid w:val="6EF7DFE8"/>
    <w:rsid w:val="6EFC9EB1"/>
    <w:rsid w:val="6F06891B"/>
    <w:rsid w:val="6F27956D"/>
    <w:rsid w:val="6F4BA854"/>
    <w:rsid w:val="6F58BED2"/>
    <w:rsid w:val="6F607A7A"/>
    <w:rsid w:val="6F657F87"/>
    <w:rsid w:val="6F7901D6"/>
    <w:rsid w:val="6F7F5152"/>
    <w:rsid w:val="6F857BF3"/>
    <w:rsid w:val="6F91C723"/>
    <w:rsid w:val="6F94F720"/>
    <w:rsid w:val="6F990C81"/>
    <w:rsid w:val="6F9A304E"/>
    <w:rsid w:val="6FA4ED94"/>
    <w:rsid w:val="6FAADBAC"/>
    <w:rsid w:val="6FCF017E"/>
    <w:rsid w:val="6FDD2D1D"/>
    <w:rsid w:val="6FE0D94F"/>
    <w:rsid w:val="70096CFF"/>
    <w:rsid w:val="700B4AC6"/>
    <w:rsid w:val="70162566"/>
    <w:rsid w:val="70183FCB"/>
    <w:rsid w:val="70257983"/>
    <w:rsid w:val="70307369"/>
    <w:rsid w:val="7068FF33"/>
    <w:rsid w:val="7070CF30"/>
    <w:rsid w:val="7071EFC3"/>
    <w:rsid w:val="70733AE9"/>
    <w:rsid w:val="70774BA2"/>
    <w:rsid w:val="7078FFB8"/>
    <w:rsid w:val="7079497E"/>
    <w:rsid w:val="70884138"/>
    <w:rsid w:val="70939BC9"/>
    <w:rsid w:val="709C1735"/>
    <w:rsid w:val="709E4DF2"/>
    <w:rsid w:val="709F9050"/>
    <w:rsid w:val="709FC226"/>
    <w:rsid w:val="70A00E42"/>
    <w:rsid w:val="70A05339"/>
    <w:rsid w:val="70A614B5"/>
    <w:rsid w:val="70CC8066"/>
    <w:rsid w:val="70E7E33D"/>
    <w:rsid w:val="70F5C9AA"/>
    <w:rsid w:val="70FC8B84"/>
    <w:rsid w:val="710B2940"/>
    <w:rsid w:val="71204957"/>
    <w:rsid w:val="712A23EB"/>
    <w:rsid w:val="71322D1C"/>
    <w:rsid w:val="71387193"/>
    <w:rsid w:val="713AB512"/>
    <w:rsid w:val="713B99BD"/>
    <w:rsid w:val="713EDA61"/>
    <w:rsid w:val="7141355D"/>
    <w:rsid w:val="716C8F9E"/>
    <w:rsid w:val="716EC368"/>
    <w:rsid w:val="717A3025"/>
    <w:rsid w:val="718341E7"/>
    <w:rsid w:val="718B1F79"/>
    <w:rsid w:val="71904076"/>
    <w:rsid w:val="7191E72A"/>
    <w:rsid w:val="71A76F39"/>
    <w:rsid w:val="71B61916"/>
    <w:rsid w:val="71B6AF37"/>
    <w:rsid w:val="71B75CC8"/>
    <w:rsid w:val="71BE8E0A"/>
    <w:rsid w:val="71C533D3"/>
    <w:rsid w:val="71CCBAE5"/>
    <w:rsid w:val="71CDE265"/>
    <w:rsid w:val="71D1834D"/>
    <w:rsid w:val="71DD1F1C"/>
    <w:rsid w:val="71ED6DED"/>
    <w:rsid w:val="71FDECCE"/>
    <w:rsid w:val="7204B88C"/>
    <w:rsid w:val="7205F809"/>
    <w:rsid w:val="7208D389"/>
    <w:rsid w:val="720B9CB5"/>
    <w:rsid w:val="72173783"/>
    <w:rsid w:val="7217B42D"/>
    <w:rsid w:val="7225EB4E"/>
    <w:rsid w:val="72270F35"/>
    <w:rsid w:val="7228D3DB"/>
    <w:rsid w:val="72413A1D"/>
    <w:rsid w:val="725A68F1"/>
    <w:rsid w:val="725A925E"/>
    <w:rsid w:val="72644479"/>
    <w:rsid w:val="72790A7C"/>
    <w:rsid w:val="72877CDC"/>
    <w:rsid w:val="728D6975"/>
    <w:rsid w:val="7292DD55"/>
    <w:rsid w:val="72952486"/>
    <w:rsid w:val="729C28F4"/>
    <w:rsid w:val="72B52E29"/>
    <w:rsid w:val="72C9A0C5"/>
    <w:rsid w:val="72D03EC7"/>
    <w:rsid w:val="72D3EB92"/>
    <w:rsid w:val="72E2BA0B"/>
    <w:rsid w:val="72E87F19"/>
    <w:rsid w:val="7312FE8A"/>
    <w:rsid w:val="731D4313"/>
    <w:rsid w:val="734BF22C"/>
    <w:rsid w:val="73623BBB"/>
    <w:rsid w:val="736E210E"/>
    <w:rsid w:val="7379AC38"/>
    <w:rsid w:val="73884B54"/>
    <w:rsid w:val="7393CFB9"/>
    <w:rsid w:val="7394FEA9"/>
    <w:rsid w:val="7395AF2C"/>
    <w:rsid w:val="7397D1EE"/>
    <w:rsid w:val="73A6D8CE"/>
    <w:rsid w:val="73A76D16"/>
    <w:rsid w:val="73AF50F7"/>
    <w:rsid w:val="73B2DCCC"/>
    <w:rsid w:val="73B2F371"/>
    <w:rsid w:val="73B7F0BA"/>
    <w:rsid w:val="73C53598"/>
    <w:rsid w:val="73C551C4"/>
    <w:rsid w:val="73CAD194"/>
    <w:rsid w:val="73D3DB5A"/>
    <w:rsid w:val="73DE1961"/>
    <w:rsid w:val="73DFD3A9"/>
    <w:rsid w:val="73E26A04"/>
    <w:rsid w:val="73E4392F"/>
    <w:rsid w:val="73E997F2"/>
    <w:rsid w:val="73EE9DDF"/>
    <w:rsid w:val="73F64CF1"/>
    <w:rsid w:val="740624CD"/>
    <w:rsid w:val="740E750C"/>
    <w:rsid w:val="741AB9B7"/>
    <w:rsid w:val="741DBD97"/>
    <w:rsid w:val="74205F85"/>
    <w:rsid w:val="7433274E"/>
    <w:rsid w:val="7437600A"/>
    <w:rsid w:val="7437B226"/>
    <w:rsid w:val="7442A496"/>
    <w:rsid w:val="74453BC5"/>
    <w:rsid w:val="7446C7F7"/>
    <w:rsid w:val="748DDC09"/>
    <w:rsid w:val="749E3C39"/>
    <w:rsid w:val="74A06B92"/>
    <w:rsid w:val="74A1E4FA"/>
    <w:rsid w:val="74A8A875"/>
    <w:rsid w:val="74ABFDA3"/>
    <w:rsid w:val="74AF614D"/>
    <w:rsid w:val="74B16900"/>
    <w:rsid w:val="74B93023"/>
    <w:rsid w:val="74D1645D"/>
    <w:rsid w:val="74DB1900"/>
    <w:rsid w:val="74E11A81"/>
    <w:rsid w:val="750A03F1"/>
    <w:rsid w:val="750C4BE5"/>
    <w:rsid w:val="750D103D"/>
    <w:rsid w:val="75267521"/>
    <w:rsid w:val="752B246C"/>
    <w:rsid w:val="75378AA6"/>
    <w:rsid w:val="753CDA58"/>
    <w:rsid w:val="75422937"/>
    <w:rsid w:val="754CAB5B"/>
    <w:rsid w:val="754F20F6"/>
    <w:rsid w:val="755C47B0"/>
    <w:rsid w:val="755EFF48"/>
    <w:rsid w:val="756DC439"/>
    <w:rsid w:val="7571E648"/>
    <w:rsid w:val="757474A0"/>
    <w:rsid w:val="7574C5C6"/>
    <w:rsid w:val="757E0F2C"/>
    <w:rsid w:val="75807693"/>
    <w:rsid w:val="7585262E"/>
    <w:rsid w:val="75A8CACC"/>
    <w:rsid w:val="75ABDD8F"/>
    <w:rsid w:val="75B0EB5E"/>
    <w:rsid w:val="75B5A7BB"/>
    <w:rsid w:val="75BAECBF"/>
    <w:rsid w:val="75BF90E9"/>
    <w:rsid w:val="75C0EB07"/>
    <w:rsid w:val="75E823F4"/>
    <w:rsid w:val="75E8C8C1"/>
    <w:rsid w:val="75EADDA8"/>
    <w:rsid w:val="75FEF7D2"/>
    <w:rsid w:val="761E9EC2"/>
    <w:rsid w:val="762091FE"/>
    <w:rsid w:val="762B8709"/>
    <w:rsid w:val="763057FF"/>
    <w:rsid w:val="7631EE61"/>
    <w:rsid w:val="7634FB45"/>
    <w:rsid w:val="763987A2"/>
    <w:rsid w:val="763D5F54"/>
    <w:rsid w:val="763EF7BC"/>
    <w:rsid w:val="764D5432"/>
    <w:rsid w:val="7653BC50"/>
    <w:rsid w:val="76571FD8"/>
    <w:rsid w:val="765DCACB"/>
    <w:rsid w:val="76683480"/>
    <w:rsid w:val="766AEF63"/>
    <w:rsid w:val="767EF8B2"/>
    <w:rsid w:val="7689D18C"/>
    <w:rsid w:val="7690A525"/>
    <w:rsid w:val="7692BCAD"/>
    <w:rsid w:val="769E400C"/>
    <w:rsid w:val="76B81556"/>
    <w:rsid w:val="76BDFDD5"/>
    <w:rsid w:val="76BE116C"/>
    <w:rsid w:val="76BE1FBE"/>
    <w:rsid w:val="76C4FF87"/>
    <w:rsid w:val="76CA1C19"/>
    <w:rsid w:val="76D5F350"/>
    <w:rsid w:val="76D6B506"/>
    <w:rsid w:val="76DCFE01"/>
    <w:rsid w:val="76F119E4"/>
    <w:rsid w:val="77060405"/>
    <w:rsid w:val="770963A5"/>
    <w:rsid w:val="77267B9D"/>
    <w:rsid w:val="775AA737"/>
    <w:rsid w:val="775CFC68"/>
    <w:rsid w:val="7766B9F3"/>
    <w:rsid w:val="7769BD16"/>
    <w:rsid w:val="77719875"/>
    <w:rsid w:val="77742AAB"/>
    <w:rsid w:val="7774597E"/>
    <w:rsid w:val="77C3E3C5"/>
    <w:rsid w:val="77CECD16"/>
    <w:rsid w:val="77D7E692"/>
    <w:rsid w:val="77DC6CD3"/>
    <w:rsid w:val="77E643A1"/>
    <w:rsid w:val="77E6A380"/>
    <w:rsid w:val="780509D6"/>
    <w:rsid w:val="7808BD8E"/>
    <w:rsid w:val="780C0078"/>
    <w:rsid w:val="780E0F70"/>
    <w:rsid w:val="781C22B7"/>
    <w:rsid w:val="78235315"/>
    <w:rsid w:val="783DE289"/>
    <w:rsid w:val="785762C7"/>
    <w:rsid w:val="786F1A7C"/>
    <w:rsid w:val="78756F56"/>
    <w:rsid w:val="787AAA02"/>
    <w:rsid w:val="7882F735"/>
    <w:rsid w:val="78A2EB2D"/>
    <w:rsid w:val="78B7DDFE"/>
    <w:rsid w:val="78C13A97"/>
    <w:rsid w:val="78C9F571"/>
    <w:rsid w:val="78D20E0C"/>
    <w:rsid w:val="78D2DD0C"/>
    <w:rsid w:val="78D369EC"/>
    <w:rsid w:val="78D59AB5"/>
    <w:rsid w:val="78DB9091"/>
    <w:rsid w:val="78DFCFB6"/>
    <w:rsid w:val="78E380A5"/>
    <w:rsid w:val="78F35328"/>
    <w:rsid w:val="78F81D27"/>
    <w:rsid w:val="78F9A016"/>
    <w:rsid w:val="78FC19D5"/>
    <w:rsid w:val="790248A4"/>
    <w:rsid w:val="790A100C"/>
    <w:rsid w:val="791B1FEA"/>
    <w:rsid w:val="79364E95"/>
    <w:rsid w:val="795836A0"/>
    <w:rsid w:val="795C87F4"/>
    <w:rsid w:val="795E8922"/>
    <w:rsid w:val="79610A57"/>
    <w:rsid w:val="7963DDEE"/>
    <w:rsid w:val="7975234C"/>
    <w:rsid w:val="79901225"/>
    <w:rsid w:val="7992D126"/>
    <w:rsid w:val="7994254C"/>
    <w:rsid w:val="79A39BF0"/>
    <w:rsid w:val="79AB5DC7"/>
    <w:rsid w:val="79B33467"/>
    <w:rsid w:val="79C71A1E"/>
    <w:rsid w:val="79CA0F2E"/>
    <w:rsid w:val="79D14265"/>
    <w:rsid w:val="79D1D3C8"/>
    <w:rsid w:val="79E4954D"/>
    <w:rsid w:val="79E4D507"/>
    <w:rsid w:val="79F2D285"/>
    <w:rsid w:val="79F8A1B8"/>
    <w:rsid w:val="7A016F4D"/>
    <w:rsid w:val="7A047E49"/>
    <w:rsid w:val="7A078A95"/>
    <w:rsid w:val="7A0F828D"/>
    <w:rsid w:val="7A1994F8"/>
    <w:rsid w:val="7A1E9761"/>
    <w:rsid w:val="7A1FC1AE"/>
    <w:rsid w:val="7A27CE12"/>
    <w:rsid w:val="7A2B5746"/>
    <w:rsid w:val="7A376E6A"/>
    <w:rsid w:val="7A4C9D75"/>
    <w:rsid w:val="7A60AEE3"/>
    <w:rsid w:val="7A76815E"/>
    <w:rsid w:val="7A8BA230"/>
    <w:rsid w:val="7A8EF515"/>
    <w:rsid w:val="7AA56525"/>
    <w:rsid w:val="7AA5C102"/>
    <w:rsid w:val="7AB59B08"/>
    <w:rsid w:val="7AB66C05"/>
    <w:rsid w:val="7AB7DDD4"/>
    <w:rsid w:val="7AC158CC"/>
    <w:rsid w:val="7AC2C208"/>
    <w:rsid w:val="7AD8DCD4"/>
    <w:rsid w:val="7AE0B756"/>
    <w:rsid w:val="7AE4FCE2"/>
    <w:rsid w:val="7AEACBC9"/>
    <w:rsid w:val="7AEF69E8"/>
    <w:rsid w:val="7AFDA3B2"/>
    <w:rsid w:val="7B000052"/>
    <w:rsid w:val="7B253C4C"/>
    <w:rsid w:val="7B34ED0D"/>
    <w:rsid w:val="7B3F478A"/>
    <w:rsid w:val="7B595329"/>
    <w:rsid w:val="7B5E6FAE"/>
    <w:rsid w:val="7B5F1709"/>
    <w:rsid w:val="7B6437FE"/>
    <w:rsid w:val="7B64DF05"/>
    <w:rsid w:val="7B6B6E29"/>
    <w:rsid w:val="7B6CE669"/>
    <w:rsid w:val="7BABF578"/>
    <w:rsid w:val="7BC05838"/>
    <w:rsid w:val="7BC6E68C"/>
    <w:rsid w:val="7BD07A47"/>
    <w:rsid w:val="7BD4EB04"/>
    <w:rsid w:val="7BDE8644"/>
    <w:rsid w:val="7BE1D032"/>
    <w:rsid w:val="7BE2EB12"/>
    <w:rsid w:val="7BE5B4C7"/>
    <w:rsid w:val="7BEB63EC"/>
    <w:rsid w:val="7BEC588C"/>
    <w:rsid w:val="7C1AF066"/>
    <w:rsid w:val="7C1B6583"/>
    <w:rsid w:val="7C29EA86"/>
    <w:rsid w:val="7C2C7572"/>
    <w:rsid w:val="7C2E8D3C"/>
    <w:rsid w:val="7C33782C"/>
    <w:rsid w:val="7C3ACCE5"/>
    <w:rsid w:val="7C503E3C"/>
    <w:rsid w:val="7C55BF06"/>
    <w:rsid w:val="7C7DED23"/>
    <w:rsid w:val="7C831FBA"/>
    <w:rsid w:val="7C83C49B"/>
    <w:rsid w:val="7C9AA919"/>
    <w:rsid w:val="7CA446D4"/>
    <w:rsid w:val="7CADE321"/>
    <w:rsid w:val="7CAF429D"/>
    <w:rsid w:val="7CB027C4"/>
    <w:rsid w:val="7CB09B24"/>
    <w:rsid w:val="7CB7E75E"/>
    <w:rsid w:val="7CC78A9A"/>
    <w:rsid w:val="7CDC4A92"/>
    <w:rsid w:val="7CF3181A"/>
    <w:rsid w:val="7CF732DE"/>
    <w:rsid w:val="7D0B410A"/>
    <w:rsid w:val="7D109F37"/>
    <w:rsid w:val="7D1A864B"/>
    <w:rsid w:val="7D202545"/>
    <w:rsid w:val="7D26B75E"/>
    <w:rsid w:val="7D3A1EBC"/>
    <w:rsid w:val="7D43C52E"/>
    <w:rsid w:val="7D4A00DE"/>
    <w:rsid w:val="7D61D15F"/>
    <w:rsid w:val="7D6B59F6"/>
    <w:rsid w:val="7D6C7141"/>
    <w:rsid w:val="7D7CA386"/>
    <w:rsid w:val="7D805EFA"/>
    <w:rsid w:val="7D8663CF"/>
    <w:rsid w:val="7D9FB849"/>
    <w:rsid w:val="7DBB7B43"/>
    <w:rsid w:val="7DC19775"/>
    <w:rsid w:val="7DC76822"/>
    <w:rsid w:val="7DCB6ED8"/>
    <w:rsid w:val="7DD4E351"/>
    <w:rsid w:val="7DD7C60A"/>
    <w:rsid w:val="7DE24BEE"/>
    <w:rsid w:val="7DE455E8"/>
    <w:rsid w:val="7DEAFD60"/>
    <w:rsid w:val="7DED5960"/>
    <w:rsid w:val="7DFEC985"/>
    <w:rsid w:val="7E14D2BE"/>
    <w:rsid w:val="7E269376"/>
    <w:rsid w:val="7E26A8CF"/>
    <w:rsid w:val="7E3743E0"/>
    <w:rsid w:val="7E4B738F"/>
    <w:rsid w:val="7E5739C1"/>
    <w:rsid w:val="7E5F75CB"/>
    <w:rsid w:val="7E6FDA7E"/>
    <w:rsid w:val="7E78FB87"/>
    <w:rsid w:val="7E802C2E"/>
    <w:rsid w:val="7E97E090"/>
    <w:rsid w:val="7EA19989"/>
    <w:rsid w:val="7EA4A1CD"/>
    <w:rsid w:val="7EA7C23C"/>
    <w:rsid w:val="7EA990F5"/>
    <w:rsid w:val="7EB4DD41"/>
    <w:rsid w:val="7EB52FE5"/>
    <w:rsid w:val="7EC66167"/>
    <w:rsid w:val="7EC8D9F2"/>
    <w:rsid w:val="7EE14D42"/>
    <w:rsid w:val="7EE86239"/>
    <w:rsid w:val="7EEBC768"/>
    <w:rsid w:val="7EEF605C"/>
    <w:rsid w:val="7EFA2904"/>
    <w:rsid w:val="7F10E4ED"/>
    <w:rsid w:val="7F120B1D"/>
    <w:rsid w:val="7F1226FF"/>
    <w:rsid w:val="7F1F7C5F"/>
    <w:rsid w:val="7F25EB11"/>
    <w:rsid w:val="7F2B5498"/>
    <w:rsid w:val="7F395881"/>
    <w:rsid w:val="7F3A26A1"/>
    <w:rsid w:val="7F4C05E6"/>
    <w:rsid w:val="7F527097"/>
    <w:rsid w:val="7F605A52"/>
    <w:rsid w:val="7F72F7A1"/>
    <w:rsid w:val="7F74C06E"/>
    <w:rsid w:val="7F76D022"/>
    <w:rsid w:val="7F79BD12"/>
    <w:rsid w:val="7F927173"/>
    <w:rsid w:val="7FA4A92A"/>
    <w:rsid w:val="7FAC5214"/>
    <w:rsid w:val="7FB17F9E"/>
    <w:rsid w:val="7FC086F5"/>
    <w:rsid w:val="7FC58127"/>
    <w:rsid w:val="7FC85882"/>
    <w:rsid w:val="7FC980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D0903"/>
  <w15:docId w15:val="{7AF2F22C-5251-40CB-8F2C-E9F6317971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semiHidden="1"/>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semiHidden="1" w:qFormat="1"/>
    <w:lsdException w:name="footnote text" w:uiPriority="8" w:semiHidden="1"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uiPriority="2"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uiPriority="2" w:semiHidden="1" w:unhideWhenUsed="1"/>
    <w:lsdException w:name="macro" w:semiHidden="1" w:unhideWhenUsed="1"/>
    <w:lsdException w:name="toa heading" w:uiPriority="99"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uiPriority="99"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uiPriority="99" w:semiHidden="1" w:unhideWhenUsed="1"/>
    <w:lsdException w:name="Table Grid" w:uiPriority="39"/>
    <w:lsdException w:name="Table Theme" w:uiPriority="99" w:semiHidden="1" w:unhideWhenUsed="1"/>
    <w:lsdException w:name="Placeholder Text" w:semiHidden="1"/>
    <w:lsdException w:name="No Spacing" w:uiPriority="0"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hAnsiTheme="majorHAnsi" w:eastAsiaTheme="majorEastAsia"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hAnsiTheme="majorHAnsi" w:eastAsiaTheme="majorEastAsia"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hAnsiTheme="majorHAnsi" w:eastAsiaTheme="majorEastAsia"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hAnsiTheme="majorHAnsi" w:eastAsiaTheme="majorEastAsia"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hAnsiTheme="majorHAnsi" w:eastAsiaTheme="majorEastAsia" w:cstheme="majorBidi"/>
      <w:color w:val="141A1F"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color="80808B" w:sz="2" w:space="0"/>
        <w:bottom w:val="single" w:color="80808B" w:sz="2" w:space="0"/>
        <w:insideH w:val="single" w:color="80808B" w:sz="2" w:space="0"/>
      </w:tblBorders>
    </w:tblPr>
    <w:tblStylePr w:type="firstRow">
      <w:tblPr/>
      <w:tcPr>
        <w:tcBorders>
          <w:top w:val="nil"/>
          <w:left w:val="nil"/>
          <w:bottom w:val="single" w:color="CCCCD0" w:sz="24" w:space="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color="004C97" w:themeColor="accent4" w:sz="6" w:space="0"/>
          <w:left w:val="single" w:color="004C97" w:themeColor="accent4" w:sz="8" w:space="0"/>
          <w:bottom w:val="single" w:color="004C97" w:themeColor="accent4" w:sz="8" w:space="0"/>
          <w:right w:val="single" w:color="004C97" w:themeColor="accent4" w:sz="8" w:space="0"/>
        </w:tcBorders>
      </w:tcPr>
    </w:tblStylePr>
    <w:tblStylePr w:type="firstCol">
      <w:rPr>
        <w:b/>
        <w:bCs/>
      </w:rPr>
    </w:tblStylePr>
    <w:tblStylePr w:type="lastCol">
      <w:rPr>
        <w:b/>
        <w:bCs/>
      </w:rPr>
    </w:tblStylePr>
    <w:tblStylePr w:type="band1Vert">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tcPr>
    </w:tblStylePr>
    <w:tblStylePr w:type="band1Horz">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color="1B242A" w:themeColor="accent1" w:sz="6" w:space="0"/>
          <w:left w:val="single" w:color="1B242A" w:themeColor="accent1" w:sz="8" w:space="0"/>
          <w:bottom w:val="single" w:color="1B242A" w:themeColor="accent1" w:sz="8" w:space="0"/>
          <w:right w:val="single" w:color="1B242A" w:themeColor="accent1" w:sz="8" w:space="0"/>
        </w:tcBorders>
      </w:tcPr>
    </w:tblStylePr>
    <w:tblStylePr w:type="firstCol">
      <w:rPr>
        <w:b/>
        <w:bCs/>
      </w:rPr>
    </w:tblStylePr>
    <w:tblStylePr w:type="lastCol">
      <w:rPr>
        <w:b/>
        <w:bCs/>
      </w:rPr>
    </w:tblStylePr>
    <w:tblStylePr w:type="band1Vert">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tcPr>
    </w:tblStylePr>
    <w:tblStylePr w:type="band1Horz">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tcPr>
    </w:tblStylePr>
  </w:style>
  <w:style w:type="paragraph" w:styleId="TOC1">
    <w:name w:val="toc 1"/>
    <w:basedOn w:val="Normal"/>
    <w:next w:val="Normal"/>
    <w:uiPriority w:val="39"/>
    <w:rsid w:val="00994B72"/>
    <w:pPr>
      <w:keepNext/>
      <w:keepLines/>
      <w:pBdr>
        <w:bottom w:val="single" w:color="000016" w:sz="2" w:space="1"/>
        <w:between w:val="single" w:color="000000" w:themeColor="text1" w:sz="2" w:space="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color="000000" w:themeColor="text1" w:sz="2" w:space="1"/>
        <w:between w:val="single" w:color="000000" w:themeColor="text1" w:sz="2" w:space="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styleId="Heading1Char" w:customStyle="1">
    <w:name w:val="Heading 1 Char"/>
    <w:basedOn w:val="DefaultParagraphFont"/>
    <w:link w:val="Heading1"/>
    <w:rsid w:val="00C15DBE"/>
    <w:rPr>
      <w:rFonts w:asciiTheme="majorHAnsi" w:hAnsiTheme="majorHAnsi" w:eastAsiaTheme="majorEastAsia" w:cstheme="majorBidi"/>
      <w:b/>
      <w:bCs/>
      <w:color w:val="007586" w:themeColor="text2"/>
      <w:sz w:val="32"/>
      <w:szCs w:val="32"/>
    </w:rPr>
  </w:style>
  <w:style w:type="character" w:styleId="Heading2Char" w:customStyle="1">
    <w:name w:val="Heading 2 Char"/>
    <w:basedOn w:val="DefaultParagraphFont"/>
    <w:link w:val="Heading2"/>
    <w:rsid w:val="00385D03"/>
    <w:rPr>
      <w:rFonts w:asciiTheme="majorHAnsi" w:hAnsiTheme="majorHAnsi" w:eastAsiaTheme="majorEastAsia" w:cstheme="majorBidi"/>
      <w:b/>
      <w:bCs/>
      <w:sz w:val="26"/>
      <w:szCs w:val="26"/>
    </w:rPr>
  </w:style>
  <w:style w:type="paragraph" w:styleId="SCVbullet1" w:customStyle="1">
    <w:name w:val="SCV bullet 1"/>
    <w:basedOn w:val="SCVbody"/>
    <w:uiPriority w:val="9"/>
    <w:qFormat/>
    <w:rsid w:val="00316FC9"/>
    <w:pPr>
      <w:numPr>
        <w:numId w:val="32"/>
      </w:numPr>
      <w:spacing w:before="60" w:after="60"/>
    </w:pPr>
  </w:style>
  <w:style w:type="paragraph" w:styleId="SCVbullet2" w:customStyle="1">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styleId="SCVbody" w:customStyle="1">
    <w:name w:val="SCV body"/>
    <w:basedOn w:val="Normal"/>
    <w:link w:val="SCVbodyChar"/>
    <w:qFormat/>
    <w:rsid w:val="000D1042"/>
  </w:style>
  <w:style w:type="paragraph" w:styleId="SCVfigurecaption" w:customStyle="1">
    <w:name w:val="SCV figure caption"/>
    <w:basedOn w:val="SCVtablecaption"/>
    <w:uiPriority w:val="14"/>
    <w:qFormat/>
    <w:rsid w:val="00B15592"/>
    <w:pPr>
      <w:spacing w:before="300"/>
    </w:pPr>
  </w:style>
  <w:style w:type="paragraph" w:styleId="SCVbodyafterheading" w:customStyle="1">
    <w:name w:val="SCV body after heading"/>
    <w:basedOn w:val="SCVbody"/>
    <w:qFormat/>
    <w:rsid w:val="00CC6087"/>
    <w:pPr>
      <w:spacing w:before="0"/>
    </w:pPr>
  </w:style>
  <w:style w:type="character" w:styleId="Heading3Char" w:customStyle="1">
    <w:name w:val="Heading 3 Char"/>
    <w:basedOn w:val="DefaultParagraphFont"/>
    <w:link w:val="Heading3"/>
    <w:rsid w:val="00385D03"/>
    <w:rPr>
      <w:rFonts w:asciiTheme="majorHAnsi" w:hAnsiTheme="majorHAnsi" w:eastAsiaTheme="majorEastAsia" w:cstheme="majorBidi"/>
      <w:b/>
      <w:bCs/>
      <w:color w:val="007586" w:themeColor="text2"/>
      <w:sz w:val="24"/>
      <w:szCs w:val="22"/>
    </w:rPr>
  </w:style>
  <w:style w:type="numbering" w:styleId="ZZBullets" w:customStyle="1">
    <w:name w:val="ZZ Bullets"/>
    <w:basedOn w:val="NoList"/>
    <w:uiPriority w:val="99"/>
    <w:rsid w:val="00E739E4"/>
    <w:pPr>
      <w:numPr>
        <w:numId w:val="32"/>
      </w:numPr>
    </w:pPr>
  </w:style>
  <w:style w:type="character" w:styleId="Heading4Char" w:customStyle="1">
    <w:name w:val="Heading 4 Char"/>
    <w:basedOn w:val="DefaultParagraphFont"/>
    <w:link w:val="Heading4"/>
    <w:rsid w:val="00515958"/>
    <w:rPr>
      <w:rFonts w:asciiTheme="majorHAnsi" w:hAnsiTheme="majorHAnsi" w:eastAsiaTheme="majorEastAsia" w:cstheme="majorBidi"/>
      <w:b/>
      <w:bCs/>
      <w:iCs/>
      <w:color w:val="000000" w:themeColor="text1"/>
    </w:rPr>
  </w:style>
  <w:style w:type="paragraph" w:styleId="SCVfactsheettitle" w:customStyle="1">
    <w:name w:val="SCV factsheet title"/>
    <w:uiPriority w:val="29"/>
    <w:rsid w:val="00521CA5"/>
    <w:pPr>
      <w:keepLines/>
      <w:suppressAutoHyphens/>
      <w:spacing w:line="216" w:lineRule="auto"/>
    </w:pPr>
    <w:rPr>
      <w:rFonts w:eastAsia="Times New Roman" w:asciiTheme="majorHAnsi" w:hAnsiTheme="majorHAnsi" w:cstheme="majorHAnsi"/>
      <w:b/>
      <w:color w:val="007586" w:themeColor="text2"/>
      <w:spacing w:val="-2"/>
      <w:sz w:val="48"/>
      <w:szCs w:val="48"/>
    </w:rPr>
  </w:style>
  <w:style w:type="paragraph" w:styleId="SCVtablefigurenote" w:customStyle="1">
    <w:name w:val="SCV table/figure note"/>
    <w:basedOn w:val="Normal"/>
    <w:uiPriority w:val="29"/>
    <w:rsid w:val="002D6F3C"/>
    <w:pPr>
      <w:spacing w:before="80" w:after="80" w:line="264" w:lineRule="auto"/>
    </w:pPr>
    <w:rPr>
      <w:sz w:val="17"/>
      <w:szCs w:val="17"/>
    </w:rPr>
  </w:style>
  <w:style w:type="paragraph" w:styleId="Spacer" w:customStyle="1">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hAnchor="margin" w:vAnchor="page" w:y="11965"/>
      <w:spacing w:before="0" w:after="0" w:line="240" w:lineRule="auto"/>
      <w:suppressOverlap/>
    </w:pPr>
    <w:rPr>
      <w:rFonts w:eastAsia="Times New Roman" w:asciiTheme="majorHAnsi" w:hAnsiTheme="majorHAnsi" w:cstheme="majorHAnsi"/>
      <w:color w:val="000000" w:themeColor="text1"/>
      <w:spacing w:val="-2"/>
      <w:sz w:val="50"/>
      <w:szCs w:val="24"/>
    </w:rPr>
  </w:style>
  <w:style w:type="character" w:styleId="SubtitleChar" w:customStyle="1">
    <w:name w:val="Subtitle Char"/>
    <w:basedOn w:val="DefaultParagraphFont"/>
    <w:link w:val="Subtitle"/>
    <w:uiPriority w:val="99"/>
    <w:semiHidden/>
    <w:rsid w:val="00345B45"/>
    <w:rPr>
      <w:rFonts w:eastAsia="Times New Roman" w:asciiTheme="majorHAnsi"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hAnchor="page" w:vAnchor="page" w:x="455" w:y="12021"/>
      <w:spacing w:before="0" w:after="40" w:line="240" w:lineRule="auto"/>
      <w:ind w:right="284"/>
      <w:contextualSpacing/>
      <w:suppressOverlap/>
    </w:pPr>
    <w:rPr>
      <w:rFonts w:eastAsia="Times New Roman" w:asciiTheme="majorHAnsi" w:hAnsiTheme="majorHAnsi" w:cstheme="majorHAnsi"/>
      <w:b/>
      <w:color w:val="007586" w:themeColor="text2"/>
      <w:spacing w:val="-2"/>
      <w:sz w:val="76"/>
      <w:szCs w:val="22"/>
    </w:rPr>
  </w:style>
  <w:style w:type="character" w:styleId="TitleChar" w:customStyle="1">
    <w:name w:val="Title Char"/>
    <w:basedOn w:val="DefaultParagraphFont"/>
    <w:link w:val="Title"/>
    <w:uiPriority w:val="99"/>
    <w:semiHidden/>
    <w:rsid w:val="00345B45"/>
    <w:rPr>
      <w:rFonts w:eastAsia="Times New Roman" w:asciiTheme="majorHAnsi"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1"/>
    <w:semiHidden/>
    <w:rsid w:val="00A05EBC"/>
    <w:rPr>
      <w:rFonts w:ascii="Tahoma" w:hAnsi="Tahoma" w:cs="Tahoma"/>
      <w:sz w:val="16"/>
      <w:szCs w:val="16"/>
    </w:rPr>
  </w:style>
  <w:style w:type="character" w:styleId="QuoteChar" w:customStyle="1">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hAnsiTheme="majorHAnsi" w:eastAsiaTheme="majorEastAsia"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styleId="HeaderChar" w:customStyle="1">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styleId="FooterChar" w:customStyle="1">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styleId="NormalTight" w:customStyle="1">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hAnsi="Calibri" w:eastAsia="Times New Roman" w:cs="Calibri"/>
      <w:sz w:val="22"/>
      <w:szCs w:val="22"/>
    </w:rPr>
  </w:style>
  <w:style w:type="character" w:styleId="BodyTextChar" w:customStyle="1">
    <w:name w:val="Body Text Char"/>
    <w:basedOn w:val="DefaultParagraphFont"/>
    <w:link w:val="BodyText"/>
    <w:uiPriority w:val="1"/>
    <w:semiHidden/>
    <w:rsid w:val="00A05EBC"/>
    <w:rPr>
      <w:rFonts w:ascii="Calibri" w:hAnsi="Calibri" w:eastAsia="Times New Roman" w:cs="Calibri"/>
      <w:sz w:val="22"/>
      <w:szCs w:val="22"/>
    </w:rPr>
  </w:style>
  <w:style w:type="paragraph" w:styleId="Insidecoverspacer" w:customStyle="1">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styleId="SCVfactsheetsubtitle" w:customStyle="1">
    <w:name w:val="SCV factsheet subtitle"/>
    <w:uiPriority w:val="29"/>
    <w:rsid w:val="00521CA5"/>
    <w:pPr>
      <w:keepLines/>
      <w:spacing w:before="0" w:line="240" w:lineRule="auto"/>
    </w:pPr>
    <w:rPr>
      <w:rFonts w:eastAsia="Times New Roman" w:asciiTheme="majorHAnsi" w:hAnsiTheme="majorHAnsi" w:cstheme="majorHAnsi"/>
      <w:color w:val="000000" w:themeColor="text1"/>
      <w:sz w:val="36"/>
      <w:szCs w:val="36"/>
    </w:rPr>
  </w:style>
  <w:style w:type="paragraph" w:styleId="SCVfooterempty" w:customStyle="1">
    <w:name w:val="SCV footer empty"/>
    <w:basedOn w:val="SCVfooter"/>
    <w:uiPriority w:val="98"/>
    <w:rsid w:val="006B337A"/>
    <w:pPr>
      <w:pBdr>
        <w:top w:val="none" w:color="auto" w:sz="0" w:space="0"/>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styleId="FootnoteTextChar" w:customStyle="1">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styleId="SCVtablecaption" w:customStyle="1">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styleId="SCVfooter" w:customStyle="1">
    <w:name w:val="SCV footer"/>
    <w:basedOn w:val="Footer"/>
    <w:uiPriority w:val="99"/>
    <w:rsid w:val="009905FA"/>
    <w:pPr>
      <w:pBdr>
        <w:top w:val="single" w:color="CCCCD0" w:sz="8" w:space="6"/>
      </w:pBdr>
      <w:spacing w:line="240" w:lineRule="auto"/>
    </w:pPr>
    <w:rPr>
      <w:sz w:val="18"/>
    </w:rPr>
  </w:style>
  <w:style w:type="paragraph" w:styleId="SCVintroductorytext" w:customStyle="1">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5D6B" w:themeFill="accent2" w:themeFillShade="CC"/>
      </w:tcPr>
    </w:tblStylePr>
    <w:tblStylePr w:type="lastRow">
      <w:rPr>
        <w:b/>
        <w:bCs/>
        <w:color w:val="005D6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color="FFFFFF" w:themeColor="background1" w:sz="12" w:space="0"/>
        </w:tcBorders>
        <w:shd w:val="clear" w:color="auto" w:fill="005D6B" w:themeFill="accent2" w:themeFillShade="CC"/>
      </w:tcPr>
    </w:tblStylePr>
    <w:tblStylePr w:type="lastRow">
      <w:rPr>
        <w:b/>
        <w:bCs/>
        <w:color w:val="005D6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color="FFFFFF" w:themeColor="background1" w:sz="12" w:space="0"/>
        </w:tcBorders>
        <w:shd w:val="clear" w:color="auto" w:fill="005D6B" w:themeFill="accent2" w:themeFillShade="CC"/>
      </w:tcPr>
    </w:tblStylePr>
    <w:tblStylePr w:type="lastRow">
      <w:rPr>
        <w:b/>
        <w:bCs/>
        <w:color w:val="005D6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color="FFFFFF" w:themeColor="background1" w:sz="12" w:space="0"/>
        </w:tcBorders>
        <w:shd w:val="clear" w:color="auto" w:fill="003C78" w:themeFill="accent4" w:themeFillShade="CC"/>
      </w:tcPr>
    </w:tblStylePr>
    <w:tblStylePr w:type="lastRow">
      <w:rPr>
        <w:b/>
        <w:bCs/>
        <w:color w:val="003C7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color="FFFFFF" w:themeColor="background1" w:sz="12" w:space="0"/>
        </w:tcBorders>
        <w:shd w:val="clear" w:color="auto" w:fill="20A0E4" w:themeFill="accent3" w:themeFillShade="CC"/>
      </w:tcPr>
    </w:tblStylePr>
    <w:tblStylePr w:type="lastRow">
      <w:rPr>
        <w:b/>
        <w:bCs/>
        <w:color w:val="20A0E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color="FFFFFF" w:themeColor="background1" w:sz="12" w:space="0"/>
        </w:tcBorders>
        <w:shd w:val="clear" w:color="auto" w:fill="CD441A" w:themeFill="accent6" w:themeFillShade="CC"/>
      </w:tcPr>
    </w:tblStylePr>
    <w:tblStylePr w:type="lastRow">
      <w:rPr>
        <w:b/>
        <w:bCs/>
        <w:color w:val="CD441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color="FFFFFF" w:themeColor="background1" w:sz="12" w:space="0"/>
        </w:tcBorders>
        <w:shd w:val="clear" w:color="auto" w:fill="46894E" w:themeFill="accent5" w:themeFillShade="CC"/>
      </w:tcPr>
    </w:tblStylePr>
    <w:tblStylePr w:type="lastRow">
      <w:rPr>
        <w:b/>
        <w:bCs/>
        <w:color w:val="46894E"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color="00758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color="007586" w:themeColor="accent2" w:sz="24" w:space="0"/>
        <w:left w:val="single" w:color="1B242A" w:themeColor="accent1" w:sz="4" w:space="0"/>
        <w:bottom w:val="single" w:color="1B242A" w:themeColor="accent1" w:sz="4" w:space="0"/>
        <w:right w:val="single" w:color="1B242A" w:themeColor="accent1" w:sz="4" w:space="0"/>
        <w:insideH w:val="single" w:color="FFFFFF" w:themeColor="background1" w:sz="4" w:space="0"/>
        <w:insideV w:val="single" w:color="FFFFFF" w:themeColor="background1" w:sz="4" w:space="0"/>
      </w:tblBorders>
    </w:tblPr>
    <w:tcPr>
      <w:shd w:val="clear" w:color="auto" w:fill="E4EAEE" w:themeFill="accent1" w:themeFillTint="19"/>
    </w:tcPr>
    <w:tblStylePr w:type="firstRow">
      <w:rPr>
        <w:b/>
        <w:bCs/>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color="101519" w:themeColor="accent1" w:themeShade="99" w:sz="4" w:space="0"/>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color="007586" w:themeColor="accent2" w:sz="24" w:space="0"/>
        <w:left w:val="single" w:color="007586" w:themeColor="accent2" w:sz="4" w:space="0"/>
        <w:bottom w:val="single" w:color="007586" w:themeColor="accent2" w:sz="4" w:space="0"/>
        <w:right w:val="single" w:color="007586" w:themeColor="accent2" w:sz="4" w:space="0"/>
        <w:insideH w:val="single" w:color="FFFFFF" w:themeColor="background1" w:sz="4" w:space="0"/>
        <w:insideV w:val="single" w:color="FFFFFF" w:themeColor="background1" w:sz="4" w:space="0"/>
      </w:tblBorders>
    </w:tblPr>
    <w:tcPr>
      <w:shd w:val="clear" w:color="auto" w:fill="DAFAFF" w:themeFill="accent2" w:themeFillTint="19"/>
    </w:tcPr>
    <w:tblStylePr w:type="firstRow">
      <w:rPr>
        <w:b/>
        <w:bCs/>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color="004550" w:themeColor="accent2" w:themeShade="99" w:sz="4" w:space="0"/>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color="004C97" w:themeColor="accent4" w:sz="24" w:space="0"/>
        <w:left w:val="single" w:color="5AB9EB" w:themeColor="accent3" w:sz="4" w:space="0"/>
        <w:bottom w:val="single" w:color="5AB9EB" w:themeColor="accent3" w:sz="4" w:space="0"/>
        <w:right w:val="single" w:color="5AB9EB" w:themeColor="accent3" w:sz="4" w:space="0"/>
        <w:insideH w:val="single" w:color="FFFFFF" w:themeColor="background1" w:sz="4" w:space="0"/>
        <w:insideV w:val="single" w:color="FFFFFF" w:themeColor="background1" w:sz="4" w:space="0"/>
      </w:tblBorders>
    </w:tblPr>
    <w:tcPr>
      <w:shd w:val="clear" w:color="auto" w:fill="EEF8FD" w:themeFill="accent3" w:themeFillTint="19"/>
    </w:tcPr>
    <w:tblStylePr w:type="firstRow">
      <w:rPr>
        <w:b/>
        <w:bCs/>
      </w:rPr>
      <w:tblPr/>
      <w:tcPr>
        <w:tcBorders>
          <w:top w:val="nil"/>
          <w:left w:val="nil"/>
          <w:bottom w:val="single" w:color="004C97"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color="1579AD" w:themeColor="accent3" w:themeShade="99" w:sz="4" w:space="0"/>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color="5AB9EB" w:themeColor="accent3" w:sz="24" w:space="0"/>
        <w:left w:val="single" w:color="004C97" w:themeColor="accent4" w:sz="4" w:space="0"/>
        <w:bottom w:val="single" w:color="004C97" w:themeColor="accent4" w:sz="4" w:space="0"/>
        <w:right w:val="single" w:color="004C97" w:themeColor="accent4" w:sz="4" w:space="0"/>
        <w:insideH w:val="single" w:color="FFFFFF" w:themeColor="background1" w:sz="4" w:space="0"/>
        <w:insideV w:val="single" w:color="FFFFFF" w:themeColor="background1" w:sz="4" w:space="0"/>
      </w:tblBorders>
    </w:tblPr>
    <w:tcPr>
      <w:shd w:val="clear" w:color="auto" w:fill="DBEDFF" w:themeFill="accent4" w:themeFillTint="19"/>
    </w:tcPr>
    <w:tblStylePr w:type="firstRow">
      <w:rPr>
        <w:b/>
        <w:bCs/>
      </w:rPr>
      <w:tblPr/>
      <w:tcPr>
        <w:tcBorders>
          <w:top w:val="nil"/>
          <w:left w:val="nil"/>
          <w:bottom w:val="single" w:color="5AB9EB"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color="002D5A" w:themeColor="accent4" w:themeShade="99" w:sz="4" w:space="0"/>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color="E6643C" w:themeColor="accent6" w:sz="24" w:space="0"/>
        <w:left w:val="single" w:color="5AAA64" w:themeColor="accent5" w:sz="4" w:space="0"/>
        <w:bottom w:val="single" w:color="5AAA64" w:themeColor="accent5" w:sz="4" w:space="0"/>
        <w:right w:val="single" w:color="5AAA64" w:themeColor="accent5" w:sz="4" w:space="0"/>
        <w:insideH w:val="single" w:color="FFFFFF" w:themeColor="background1" w:sz="4" w:space="0"/>
        <w:insideV w:val="single" w:color="FFFFFF" w:themeColor="background1" w:sz="4" w:space="0"/>
      </w:tblBorders>
    </w:tblPr>
    <w:tcPr>
      <w:shd w:val="clear" w:color="auto" w:fill="EEF6EF" w:themeFill="accent5" w:themeFillTint="19"/>
    </w:tcPr>
    <w:tblStylePr w:type="firstRow">
      <w:rPr>
        <w:b/>
        <w:bCs/>
      </w:rPr>
      <w:tblPr/>
      <w:tcPr>
        <w:tcBorders>
          <w:top w:val="nil"/>
          <w:left w:val="nil"/>
          <w:bottom w:val="single" w:color="E6643C"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color="35663B" w:themeColor="accent5" w:themeShade="99" w:sz="4" w:space="0"/>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color="5AAA64" w:themeColor="accent5" w:sz="24" w:space="0"/>
        <w:left w:val="single" w:color="E6643C" w:themeColor="accent6" w:sz="4" w:space="0"/>
        <w:bottom w:val="single" w:color="E6643C" w:themeColor="accent6" w:sz="4" w:space="0"/>
        <w:right w:val="single" w:color="E6643C" w:themeColor="accent6" w:sz="4" w:space="0"/>
        <w:insideH w:val="single" w:color="FFFFFF" w:themeColor="background1" w:sz="4" w:space="0"/>
        <w:insideV w:val="single" w:color="FFFFFF" w:themeColor="background1" w:sz="4" w:space="0"/>
      </w:tblBorders>
    </w:tblPr>
    <w:tcPr>
      <w:shd w:val="clear" w:color="auto" w:fill="FCEFEB" w:themeFill="accent6" w:themeFillTint="19"/>
    </w:tcPr>
    <w:tblStylePr w:type="firstRow">
      <w:rPr>
        <w:b/>
        <w:bCs/>
      </w:rPr>
      <w:tblPr/>
      <w:tcPr>
        <w:tcBorders>
          <w:top w:val="nil"/>
          <w:left w:val="nil"/>
          <w:bottom w:val="single" w:color="5AAA64"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color="9A3313" w:themeColor="accent6" w:themeShade="99" w:sz="4" w:space="0"/>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41A1F"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576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A97D9"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03871"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42804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C0401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color="93AABA" w:themeColor="accent1" w:themeTint="66" w:sz="4" w:space="0"/>
        <w:left w:val="single" w:color="93AABA" w:themeColor="accent1" w:themeTint="66" w:sz="4" w:space="0"/>
        <w:bottom w:val="single" w:color="93AABA" w:themeColor="accent1" w:themeTint="66" w:sz="4" w:space="0"/>
        <w:right w:val="single" w:color="93AABA" w:themeColor="accent1" w:themeTint="66" w:sz="4" w:space="0"/>
        <w:insideH w:val="single" w:color="93AABA" w:themeColor="accent1" w:themeTint="66" w:sz="4" w:space="0"/>
        <w:insideV w:val="single" w:color="93AABA" w:themeColor="accent1" w:themeTint="66" w:sz="4" w:space="0"/>
      </w:tblBorders>
    </w:tblPr>
    <w:tblStylePr w:type="firstRow">
      <w:rPr>
        <w:b/>
        <w:bCs/>
      </w:rPr>
      <w:tblPr/>
      <w:tcPr>
        <w:tcBorders>
          <w:bottom w:val="single" w:color="607F95" w:themeColor="accent1" w:themeTint="99" w:sz="12" w:space="0"/>
        </w:tcBorders>
      </w:tcPr>
    </w:tblStylePr>
    <w:tblStylePr w:type="lastRow">
      <w:rPr>
        <w:b/>
        <w:bCs/>
      </w:rPr>
      <w:tblPr/>
      <w:tcPr>
        <w:tcBorders>
          <w:top w:val="double" w:color="607F95"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color="68EBFF" w:themeColor="accent2" w:themeTint="66" w:sz="4" w:space="0"/>
        <w:left w:val="single" w:color="68EBFF" w:themeColor="accent2" w:themeTint="66" w:sz="4" w:space="0"/>
        <w:bottom w:val="single" w:color="68EBFF" w:themeColor="accent2" w:themeTint="66" w:sz="4" w:space="0"/>
        <w:right w:val="single" w:color="68EBFF" w:themeColor="accent2" w:themeTint="66" w:sz="4" w:space="0"/>
        <w:insideH w:val="single" w:color="68EBFF" w:themeColor="accent2" w:themeTint="66" w:sz="4" w:space="0"/>
        <w:insideV w:val="single" w:color="68EBFF" w:themeColor="accent2" w:themeTint="66" w:sz="4" w:space="0"/>
      </w:tblBorders>
    </w:tblPr>
    <w:tblStylePr w:type="firstRow">
      <w:rPr>
        <w:b/>
        <w:bCs/>
      </w:rPr>
      <w:tblPr/>
      <w:tcPr>
        <w:tcBorders>
          <w:bottom w:val="single" w:color="1DE1FF" w:themeColor="accent2" w:themeTint="99" w:sz="12" w:space="0"/>
        </w:tcBorders>
      </w:tcPr>
    </w:tblStylePr>
    <w:tblStylePr w:type="lastRow">
      <w:rPr>
        <w:b/>
        <w:bCs/>
      </w:rPr>
      <w:tblPr/>
      <w:tcPr>
        <w:tcBorders>
          <w:top w:val="double" w:color="1DE1F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color="BDE2F7" w:themeColor="accent3" w:themeTint="66" w:sz="4" w:space="0"/>
        <w:left w:val="single" w:color="BDE2F7" w:themeColor="accent3" w:themeTint="66" w:sz="4" w:space="0"/>
        <w:bottom w:val="single" w:color="BDE2F7" w:themeColor="accent3" w:themeTint="66" w:sz="4" w:space="0"/>
        <w:right w:val="single" w:color="BDE2F7" w:themeColor="accent3" w:themeTint="66" w:sz="4" w:space="0"/>
        <w:insideH w:val="single" w:color="BDE2F7" w:themeColor="accent3" w:themeTint="66" w:sz="4" w:space="0"/>
        <w:insideV w:val="single" w:color="BDE2F7" w:themeColor="accent3" w:themeTint="66" w:sz="4" w:space="0"/>
      </w:tblBorders>
    </w:tblPr>
    <w:tblStylePr w:type="firstRow">
      <w:rPr>
        <w:b/>
        <w:bCs/>
      </w:rPr>
      <w:tblPr/>
      <w:tcPr>
        <w:tcBorders>
          <w:bottom w:val="single" w:color="9CD4F3" w:themeColor="accent3" w:themeTint="99" w:sz="12" w:space="0"/>
        </w:tcBorders>
      </w:tcPr>
    </w:tblStylePr>
    <w:tblStylePr w:type="lastRow">
      <w:rPr>
        <w:b/>
        <w:bCs/>
      </w:rPr>
      <w:tblPr/>
      <w:tcPr>
        <w:tcBorders>
          <w:top w:val="double" w:color="9CD4F3"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color="6FB7FF" w:themeColor="accent4" w:themeTint="66" w:sz="4" w:space="0"/>
        <w:left w:val="single" w:color="6FB7FF" w:themeColor="accent4" w:themeTint="66" w:sz="4" w:space="0"/>
        <w:bottom w:val="single" w:color="6FB7FF" w:themeColor="accent4" w:themeTint="66" w:sz="4" w:space="0"/>
        <w:right w:val="single" w:color="6FB7FF" w:themeColor="accent4" w:themeTint="66" w:sz="4" w:space="0"/>
        <w:insideH w:val="single" w:color="6FB7FF" w:themeColor="accent4" w:themeTint="66" w:sz="4" w:space="0"/>
        <w:insideV w:val="single" w:color="6FB7FF" w:themeColor="accent4" w:themeTint="66" w:sz="4" w:space="0"/>
      </w:tblBorders>
    </w:tblPr>
    <w:tblStylePr w:type="firstRow">
      <w:rPr>
        <w:b/>
        <w:bCs/>
      </w:rPr>
      <w:tblPr/>
      <w:tcPr>
        <w:tcBorders>
          <w:bottom w:val="single" w:color="2793FF" w:themeColor="accent4" w:themeTint="99" w:sz="12" w:space="0"/>
        </w:tcBorders>
      </w:tcPr>
    </w:tblStylePr>
    <w:tblStylePr w:type="lastRow">
      <w:rPr>
        <w:b/>
        <w:bCs/>
      </w:rPr>
      <w:tblPr/>
      <w:tcPr>
        <w:tcBorders>
          <w:top w:val="double" w:color="2793FF"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color="BDDDC0" w:themeColor="accent5" w:themeTint="66" w:sz="4" w:space="0"/>
        <w:left w:val="single" w:color="BDDDC0" w:themeColor="accent5" w:themeTint="66" w:sz="4" w:space="0"/>
        <w:bottom w:val="single" w:color="BDDDC0" w:themeColor="accent5" w:themeTint="66" w:sz="4" w:space="0"/>
        <w:right w:val="single" w:color="BDDDC0" w:themeColor="accent5" w:themeTint="66" w:sz="4" w:space="0"/>
        <w:insideH w:val="single" w:color="BDDDC0" w:themeColor="accent5" w:themeTint="66" w:sz="4" w:space="0"/>
        <w:insideV w:val="single" w:color="BDDDC0" w:themeColor="accent5" w:themeTint="66" w:sz="4" w:space="0"/>
      </w:tblBorders>
    </w:tblPr>
    <w:tblStylePr w:type="firstRow">
      <w:rPr>
        <w:b/>
        <w:bCs/>
      </w:rPr>
      <w:tblPr/>
      <w:tcPr>
        <w:tcBorders>
          <w:bottom w:val="single" w:color="9CCCA1" w:themeColor="accent5" w:themeTint="99" w:sz="12" w:space="0"/>
        </w:tcBorders>
      </w:tcPr>
    </w:tblStylePr>
    <w:tblStylePr w:type="lastRow">
      <w:rPr>
        <w:b/>
        <w:bCs/>
      </w:rPr>
      <w:tblPr/>
      <w:tcPr>
        <w:tcBorders>
          <w:top w:val="double" w:color="9CCCA1"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color="F5C1B1" w:themeColor="accent6" w:themeTint="66" w:sz="4" w:space="0"/>
        <w:left w:val="single" w:color="F5C1B1" w:themeColor="accent6" w:themeTint="66" w:sz="4" w:space="0"/>
        <w:bottom w:val="single" w:color="F5C1B1" w:themeColor="accent6" w:themeTint="66" w:sz="4" w:space="0"/>
        <w:right w:val="single" w:color="F5C1B1" w:themeColor="accent6" w:themeTint="66" w:sz="4" w:space="0"/>
        <w:insideH w:val="single" w:color="F5C1B1" w:themeColor="accent6" w:themeTint="66" w:sz="4" w:space="0"/>
        <w:insideV w:val="single" w:color="F5C1B1" w:themeColor="accent6" w:themeTint="66" w:sz="4" w:space="0"/>
      </w:tblBorders>
    </w:tblPr>
    <w:tblStylePr w:type="firstRow">
      <w:rPr>
        <w:b/>
        <w:bCs/>
      </w:rPr>
      <w:tblPr/>
      <w:tcPr>
        <w:tcBorders>
          <w:bottom w:val="single" w:color="F0A28A" w:themeColor="accent6" w:themeTint="99" w:sz="12" w:space="0"/>
        </w:tcBorders>
      </w:tcPr>
    </w:tblStylePr>
    <w:tblStylePr w:type="lastRow">
      <w:rPr>
        <w:b/>
        <w:bCs/>
      </w:rPr>
      <w:tblPr/>
      <w:tcPr>
        <w:tcBorders>
          <w:top w:val="double" w:color="F0A28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color="607F95" w:themeColor="accent1" w:themeTint="99" w:sz="2" w:space="0"/>
        <w:bottom w:val="single" w:color="607F95" w:themeColor="accent1" w:themeTint="99" w:sz="2" w:space="0"/>
        <w:insideH w:val="single" w:color="607F95" w:themeColor="accent1" w:themeTint="99" w:sz="2" w:space="0"/>
        <w:insideV w:val="single" w:color="607F95" w:themeColor="accent1" w:themeTint="99" w:sz="2" w:space="0"/>
      </w:tblBorders>
    </w:tblPr>
    <w:tblStylePr w:type="firstRow">
      <w:rPr>
        <w:b/>
        <w:bCs/>
      </w:rPr>
      <w:tblPr/>
      <w:tcPr>
        <w:tcBorders>
          <w:top w:val="nil"/>
          <w:bottom w:val="single" w:color="607F95" w:themeColor="accent1" w:themeTint="99" w:sz="12" w:space="0"/>
          <w:insideH w:val="nil"/>
          <w:insideV w:val="nil"/>
        </w:tcBorders>
        <w:shd w:val="clear" w:color="auto" w:fill="FFFFFF" w:themeFill="background1"/>
      </w:tcPr>
    </w:tblStylePr>
    <w:tblStylePr w:type="lastRow">
      <w:rPr>
        <w:b/>
        <w:bCs/>
      </w:rPr>
      <w:tblPr/>
      <w:tcPr>
        <w:tcBorders>
          <w:top w:val="double" w:color="607F9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color="1DE1FF" w:themeColor="accent2" w:themeTint="99" w:sz="2" w:space="0"/>
        <w:bottom w:val="single" w:color="1DE1FF" w:themeColor="accent2" w:themeTint="99" w:sz="2" w:space="0"/>
        <w:insideH w:val="single" w:color="1DE1FF" w:themeColor="accent2" w:themeTint="99" w:sz="2" w:space="0"/>
        <w:insideV w:val="single" w:color="1DE1FF" w:themeColor="accent2" w:themeTint="99" w:sz="2" w:space="0"/>
      </w:tblBorders>
    </w:tblPr>
    <w:tblStylePr w:type="firstRow">
      <w:rPr>
        <w:b/>
        <w:bCs/>
      </w:rPr>
      <w:tblPr/>
      <w:tcPr>
        <w:tcBorders>
          <w:top w:val="nil"/>
          <w:bottom w:val="single" w:color="1DE1FF" w:themeColor="accent2" w:themeTint="99" w:sz="12" w:space="0"/>
          <w:insideH w:val="nil"/>
          <w:insideV w:val="nil"/>
        </w:tcBorders>
        <w:shd w:val="clear" w:color="auto" w:fill="FFFFFF" w:themeFill="background1"/>
      </w:tcPr>
    </w:tblStylePr>
    <w:tblStylePr w:type="lastRow">
      <w:rPr>
        <w:b/>
        <w:bCs/>
      </w:rPr>
      <w:tblPr/>
      <w:tcPr>
        <w:tcBorders>
          <w:top w:val="double" w:color="1DE1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color="9CD4F3" w:themeColor="accent3" w:themeTint="99" w:sz="2" w:space="0"/>
        <w:bottom w:val="single" w:color="9CD4F3" w:themeColor="accent3" w:themeTint="99" w:sz="2" w:space="0"/>
        <w:insideH w:val="single" w:color="9CD4F3" w:themeColor="accent3" w:themeTint="99" w:sz="2" w:space="0"/>
        <w:insideV w:val="single" w:color="9CD4F3" w:themeColor="accent3" w:themeTint="99" w:sz="2" w:space="0"/>
      </w:tblBorders>
    </w:tblPr>
    <w:tblStylePr w:type="firstRow">
      <w:rPr>
        <w:b/>
        <w:bCs/>
      </w:rPr>
      <w:tblPr/>
      <w:tcPr>
        <w:tcBorders>
          <w:top w:val="nil"/>
          <w:bottom w:val="single" w:color="9CD4F3" w:themeColor="accent3" w:themeTint="99" w:sz="12" w:space="0"/>
          <w:insideH w:val="nil"/>
          <w:insideV w:val="nil"/>
        </w:tcBorders>
        <w:shd w:val="clear" w:color="auto" w:fill="FFFFFF" w:themeFill="background1"/>
      </w:tcPr>
    </w:tblStylePr>
    <w:tblStylePr w:type="lastRow">
      <w:rPr>
        <w:b/>
        <w:bCs/>
      </w:rPr>
      <w:tblPr/>
      <w:tcPr>
        <w:tcBorders>
          <w:top w:val="double" w:color="9CD4F3"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color="2793FF" w:themeColor="accent4" w:themeTint="99" w:sz="2" w:space="0"/>
        <w:bottom w:val="single" w:color="2793FF" w:themeColor="accent4" w:themeTint="99" w:sz="2" w:space="0"/>
        <w:insideH w:val="single" w:color="2793FF" w:themeColor="accent4" w:themeTint="99" w:sz="2" w:space="0"/>
        <w:insideV w:val="single" w:color="2793FF" w:themeColor="accent4" w:themeTint="99" w:sz="2" w:space="0"/>
      </w:tblBorders>
    </w:tblPr>
    <w:tblStylePr w:type="firstRow">
      <w:rPr>
        <w:b/>
        <w:bCs/>
      </w:rPr>
      <w:tblPr/>
      <w:tcPr>
        <w:tcBorders>
          <w:top w:val="nil"/>
          <w:bottom w:val="single" w:color="2793FF" w:themeColor="accent4" w:themeTint="99" w:sz="12" w:space="0"/>
          <w:insideH w:val="nil"/>
          <w:insideV w:val="nil"/>
        </w:tcBorders>
        <w:shd w:val="clear" w:color="auto" w:fill="FFFFFF" w:themeFill="background1"/>
      </w:tcPr>
    </w:tblStylePr>
    <w:tblStylePr w:type="lastRow">
      <w:rPr>
        <w:b/>
        <w:bCs/>
      </w:rPr>
      <w:tblPr/>
      <w:tcPr>
        <w:tcBorders>
          <w:top w:val="double" w:color="2793FF"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color="9CCCA1" w:themeColor="accent5" w:themeTint="99" w:sz="2" w:space="0"/>
        <w:bottom w:val="single" w:color="9CCCA1" w:themeColor="accent5" w:themeTint="99" w:sz="2" w:space="0"/>
        <w:insideH w:val="single" w:color="9CCCA1" w:themeColor="accent5" w:themeTint="99" w:sz="2" w:space="0"/>
        <w:insideV w:val="single" w:color="9CCCA1" w:themeColor="accent5" w:themeTint="99" w:sz="2" w:space="0"/>
      </w:tblBorders>
    </w:tblPr>
    <w:tblStylePr w:type="firstRow">
      <w:rPr>
        <w:b/>
        <w:bCs/>
      </w:rPr>
      <w:tblPr/>
      <w:tcPr>
        <w:tcBorders>
          <w:top w:val="nil"/>
          <w:bottom w:val="single" w:color="9CCCA1" w:themeColor="accent5" w:themeTint="99" w:sz="12" w:space="0"/>
          <w:insideH w:val="nil"/>
          <w:insideV w:val="nil"/>
        </w:tcBorders>
        <w:shd w:val="clear" w:color="auto" w:fill="FFFFFF" w:themeFill="background1"/>
      </w:tcPr>
    </w:tblStylePr>
    <w:tblStylePr w:type="lastRow">
      <w:rPr>
        <w:b/>
        <w:bCs/>
      </w:rPr>
      <w:tblPr/>
      <w:tcPr>
        <w:tcBorders>
          <w:top w:val="double" w:color="9CCCA1"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color="F0A28A" w:themeColor="accent6" w:themeTint="99" w:sz="2" w:space="0"/>
        <w:bottom w:val="single" w:color="F0A28A" w:themeColor="accent6" w:themeTint="99" w:sz="2" w:space="0"/>
        <w:insideH w:val="single" w:color="F0A28A" w:themeColor="accent6" w:themeTint="99" w:sz="2" w:space="0"/>
        <w:insideV w:val="single" w:color="F0A28A" w:themeColor="accent6" w:themeTint="99" w:sz="2" w:space="0"/>
      </w:tblBorders>
    </w:tblPr>
    <w:tblStylePr w:type="firstRow">
      <w:rPr>
        <w:b/>
        <w:bCs/>
      </w:rPr>
      <w:tblPr/>
      <w:tcPr>
        <w:tcBorders>
          <w:top w:val="nil"/>
          <w:bottom w:val="single" w:color="F0A28A" w:themeColor="accent6" w:themeTint="99" w:sz="12" w:space="0"/>
          <w:insideH w:val="nil"/>
          <w:insideV w:val="nil"/>
        </w:tcBorders>
        <w:shd w:val="clear" w:color="auto" w:fill="FFFFFF" w:themeFill="background1"/>
      </w:tcPr>
    </w:tblStylePr>
    <w:tblStylePr w:type="lastRow">
      <w:rPr>
        <w:b/>
        <w:bCs/>
      </w:rPr>
      <w:tblPr/>
      <w:tcPr>
        <w:tcBorders>
          <w:top w:val="double" w:color="F0A28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color="607F95" w:themeColor="accent1" w:themeTint="99" w:sz="4" w:space="0"/>
        </w:tcBorders>
      </w:tcPr>
    </w:tblStylePr>
    <w:tblStylePr w:type="nwCell">
      <w:tblPr/>
      <w:tcPr>
        <w:tcBorders>
          <w:bottom w:val="single" w:color="607F95" w:themeColor="accent1" w:themeTint="99" w:sz="4" w:space="0"/>
        </w:tcBorders>
      </w:tcPr>
    </w:tblStylePr>
    <w:tblStylePr w:type="seCell">
      <w:tblPr/>
      <w:tcPr>
        <w:tcBorders>
          <w:top w:val="single" w:color="607F95" w:themeColor="accent1" w:themeTint="99" w:sz="4" w:space="0"/>
        </w:tcBorders>
      </w:tcPr>
    </w:tblStylePr>
    <w:tblStylePr w:type="swCell">
      <w:tblPr/>
      <w:tcPr>
        <w:tcBorders>
          <w:top w:val="single" w:color="607F95" w:themeColor="accent1" w:themeTint="99" w:sz="4" w:space="0"/>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color="1DE1FF" w:themeColor="accent2" w:themeTint="99" w:sz="4" w:space="0"/>
        </w:tcBorders>
      </w:tcPr>
    </w:tblStylePr>
    <w:tblStylePr w:type="nwCell">
      <w:tblPr/>
      <w:tcPr>
        <w:tcBorders>
          <w:bottom w:val="single" w:color="1DE1FF" w:themeColor="accent2" w:themeTint="99" w:sz="4" w:space="0"/>
        </w:tcBorders>
      </w:tcPr>
    </w:tblStylePr>
    <w:tblStylePr w:type="seCell">
      <w:tblPr/>
      <w:tcPr>
        <w:tcBorders>
          <w:top w:val="single" w:color="1DE1FF" w:themeColor="accent2" w:themeTint="99" w:sz="4" w:space="0"/>
        </w:tcBorders>
      </w:tcPr>
    </w:tblStylePr>
    <w:tblStylePr w:type="swCell">
      <w:tblPr/>
      <w:tcPr>
        <w:tcBorders>
          <w:top w:val="single" w:color="1DE1FF" w:themeColor="accent2" w:themeTint="99" w:sz="4" w:space="0"/>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color="9CD4F3" w:themeColor="accent3" w:themeTint="99" w:sz="4" w:space="0"/>
        </w:tcBorders>
      </w:tcPr>
    </w:tblStylePr>
    <w:tblStylePr w:type="nwCell">
      <w:tblPr/>
      <w:tcPr>
        <w:tcBorders>
          <w:bottom w:val="single" w:color="9CD4F3" w:themeColor="accent3" w:themeTint="99" w:sz="4" w:space="0"/>
        </w:tcBorders>
      </w:tcPr>
    </w:tblStylePr>
    <w:tblStylePr w:type="seCell">
      <w:tblPr/>
      <w:tcPr>
        <w:tcBorders>
          <w:top w:val="single" w:color="9CD4F3" w:themeColor="accent3" w:themeTint="99" w:sz="4" w:space="0"/>
        </w:tcBorders>
      </w:tcPr>
    </w:tblStylePr>
    <w:tblStylePr w:type="swCell">
      <w:tblPr/>
      <w:tcPr>
        <w:tcBorders>
          <w:top w:val="single" w:color="9CD4F3" w:themeColor="accent3" w:themeTint="99" w:sz="4" w:space="0"/>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color="2793FF" w:themeColor="accent4" w:themeTint="99" w:sz="4" w:space="0"/>
        </w:tcBorders>
      </w:tcPr>
    </w:tblStylePr>
    <w:tblStylePr w:type="nwCell">
      <w:tblPr/>
      <w:tcPr>
        <w:tcBorders>
          <w:bottom w:val="single" w:color="2793FF" w:themeColor="accent4" w:themeTint="99" w:sz="4" w:space="0"/>
        </w:tcBorders>
      </w:tcPr>
    </w:tblStylePr>
    <w:tblStylePr w:type="seCell">
      <w:tblPr/>
      <w:tcPr>
        <w:tcBorders>
          <w:top w:val="single" w:color="2793FF" w:themeColor="accent4" w:themeTint="99" w:sz="4" w:space="0"/>
        </w:tcBorders>
      </w:tcPr>
    </w:tblStylePr>
    <w:tblStylePr w:type="swCell">
      <w:tblPr/>
      <w:tcPr>
        <w:tcBorders>
          <w:top w:val="single" w:color="2793FF" w:themeColor="accent4" w:themeTint="99" w:sz="4" w:space="0"/>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color="9CCCA1" w:themeColor="accent5" w:themeTint="99" w:sz="4" w:space="0"/>
        </w:tcBorders>
      </w:tcPr>
    </w:tblStylePr>
    <w:tblStylePr w:type="nwCell">
      <w:tblPr/>
      <w:tcPr>
        <w:tcBorders>
          <w:bottom w:val="single" w:color="9CCCA1" w:themeColor="accent5" w:themeTint="99" w:sz="4" w:space="0"/>
        </w:tcBorders>
      </w:tcPr>
    </w:tblStylePr>
    <w:tblStylePr w:type="seCell">
      <w:tblPr/>
      <w:tcPr>
        <w:tcBorders>
          <w:top w:val="single" w:color="9CCCA1" w:themeColor="accent5" w:themeTint="99" w:sz="4" w:space="0"/>
        </w:tcBorders>
      </w:tcPr>
    </w:tblStylePr>
    <w:tblStylePr w:type="swCell">
      <w:tblPr/>
      <w:tcPr>
        <w:tcBorders>
          <w:top w:val="single" w:color="9CCCA1" w:themeColor="accent5" w:themeTint="99" w:sz="4" w:space="0"/>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color="F0A28A" w:themeColor="accent6" w:themeTint="99" w:sz="4" w:space="0"/>
        </w:tcBorders>
      </w:tcPr>
    </w:tblStylePr>
    <w:tblStylePr w:type="nwCell">
      <w:tblPr/>
      <w:tcPr>
        <w:tcBorders>
          <w:bottom w:val="single" w:color="F0A28A" w:themeColor="accent6" w:themeTint="99" w:sz="4" w:space="0"/>
        </w:tcBorders>
      </w:tcPr>
    </w:tblStylePr>
    <w:tblStylePr w:type="seCell">
      <w:tblPr/>
      <w:tcPr>
        <w:tcBorders>
          <w:top w:val="single" w:color="F0A28A" w:themeColor="accent6" w:themeTint="99" w:sz="4" w:space="0"/>
        </w:tcBorders>
      </w:tcPr>
    </w:tblStylePr>
    <w:tblStylePr w:type="swCell">
      <w:tblPr/>
      <w:tcPr>
        <w:tcBorders>
          <w:top w:val="single" w:color="F0A28A" w:themeColor="accent6" w:themeTint="99" w:sz="4" w:space="0"/>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color w:val="FFFFFF" w:themeColor="background1"/>
      </w:rPr>
      <w:tblPr/>
      <w:tcPr>
        <w:tcBorders>
          <w:top w:val="single" w:color="1B242A" w:themeColor="accent1" w:sz="4" w:space="0"/>
          <w:left w:val="single" w:color="1B242A" w:themeColor="accent1" w:sz="4" w:space="0"/>
          <w:bottom w:val="single" w:color="1B242A" w:themeColor="accent1" w:sz="4" w:space="0"/>
          <w:right w:val="single" w:color="1B242A" w:themeColor="accent1" w:sz="4" w:space="0"/>
          <w:insideH w:val="nil"/>
          <w:insideV w:val="nil"/>
        </w:tcBorders>
        <w:shd w:val="clear" w:color="auto" w:fill="1B242A" w:themeFill="accent1"/>
      </w:tcPr>
    </w:tblStylePr>
    <w:tblStylePr w:type="lastRow">
      <w:rPr>
        <w:b/>
        <w:bCs/>
      </w:rPr>
      <w:tblPr/>
      <w:tcPr>
        <w:tcBorders>
          <w:top w:val="double" w:color="1B242A" w:themeColor="accent1"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color w:val="FFFFFF" w:themeColor="background1"/>
      </w:rPr>
      <w:tblPr/>
      <w:tcPr>
        <w:tcBorders>
          <w:top w:val="single" w:color="007586" w:themeColor="accent2" w:sz="4" w:space="0"/>
          <w:left w:val="single" w:color="007586" w:themeColor="accent2" w:sz="4" w:space="0"/>
          <w:bottom w:val="single" w:color="007586" w:themeColor="accent2" w:sz="4" w:space="0"/>
          <w:right w:val="single" w:color="007586" w:themeColor="accent2" w:sz="4" w:space="0"/>
          <w:insideH w:val="nil"/>
          <w:insideV w:val="nil"/>
        </w:tcBorders>
        <w:shd w:val="clear" w:color="auto" w:fill="007586" w:themeFill="accent2"/>
      </w:tcPr>
    </w:tblStylePr>
    <w:tblStylePr w:type="lastRow">
      <w:rPr>
        <w:b/>
        <w:bCs/>
      </w:rPr>
      <w:tblPr/>
      <w:tcPr>
        <w:tcBorders>
          <w:top w:val="double" w:color="007586" w:themeColor="accent2"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color w:val="FFFFFF" w:themeColor="background1"/>
      </w:rPr>
      <w:tblPr/>
      <w:tcPr>
        <w:tcBorders>
          <w:top w:val="single" w:color="5AB9EB" w:themeColor="accent3" w:sz="4" w:space="0"/>
          <w:left w:val="single" w:color="5AB9EB" w:themeColor="accent3" w:sz="4" w:space="0"/>
          <w:bottom w:val="single" w:color="5AB9EB" w:themeColor="accent3" w:sz="4" w:space="0"/>
          <w:right w:val="single" w:color="5AB9EB" w:themeColor="accent3" w:sz="4" w:space="0"/>
          <w:insideH w:val="nil"/>
          <w:insideV w:val="nil"/>
        </w:tcBorders>
        <w:shd w:val="clear" w:color="auto" w:fill="5AB9EB" w:themeFill="accent3"/>
      </w:tcPr>
    </w:tblStylePr>
    <w:tblStylePr w:type="lastRow">
      <w:rPr>
        <w:b/>
        <w:bCs/>
      </w:rPr>
      <w:tblPr/>
      <w:tcPr>
        <w:tcBorders>
          <w:top w:val="double" w:color="5AB9EB" w:themeColor="accent3"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color w:val="FFFFFF" w:themeColor="background1"/>
      </w:rPr>
      <w:tblPr/>
      <w:tcPr>
        <w:tcBorders>
          <w:top w:val="single" w:color="004C97" w:themeColor="accent4" w:sz="4" w:space="0"/>
          <w:left w:val="single" w:color="004C97" w:themeColor="accent4" w:sz="4" w:space="0"/>
          <w:bottom w:val="single" w:color="004C97" w:themeColor="accent4" w:sz="4" w:space="0"/>
          <w:right w:val="single" w:color="004C97" w:themeColor="accent4" w:sz="4" w:space="0"/>
          <w:insideH w:val="nil"/>
          <w:insideV w:val="nil"/>
        </w:tcBorders>
        <w:shd w:val="clear" w:color="auto" w:fill="004C97" w:themeFill="accent4"/>
      </w:tcPr>
    </w:tblStylePr>
    <w:tblStylePr w:type="lastRow">
      <w:rPr>
        <w:b/>
        <w:bCs/>
      </w:rPr>
      <w:tblPr/>
      <w:tcPr>
        <w:tcBorders>
          <w:top w:val="double" w:color="004C97" w:themeColor="accent4"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color w:val="FFFFFF" w:themeColor="background1"/>
      </w:rPr>
      <w:tblPr/>
      <w:tcPr>
        <w:tcBorders>
          <w:top w:val="single" w:color="5AAA64" w:themeColor="accent5" w:sz="4" w:space="0"/>
          <w:left w:val="single" w:color="5AAA64" w:themeColor="accent5" w:sz="4" w:space="0"/>
          <w:bottom w:val="single" w:color="5AAA64" w:themeColor="accent5" w:sz="4" w:space="0"/>
          <w:right w:val="single" w:color="5AAA64" w:themeColor="accent5" w:sz="4" w:space="0"/>
          <w:insideH w:val="nil"/>
          <w:insideV w:val="nil"/>
        </w:tcBorders>
        <w:shd w:val="clear" w:color="auto" w:fill="5AAA64" w:themeFill="accent5"/>
      </w:tcPr>
    </w:tblStylePr>
    <w:tblStylePr w:type="lastRow">
      <w:rPr>
        <w:b/>
        <w:bCs/>
      </w:rPr>
      <w:tblPr/>
      <w:tcPr>
        <w:tcBorders>
          <w:top w:val="double" w:color="5AAA64" w:themeColor="accent5"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color w:val="FFFFFF" w:themeColor="background1"/>
      </w:rPr>
      <w:tblPr/>
      <w:tcPr>
        <w:tcBorders>
          <w:top w:val="single" w:color="E6643C" w:themeColor="accent6" w:sz="4" w:space="0"/>
          <w:left w:val="single" w:color="E6643C" w:themeColor="accent6" w:sz="4" w:space="0"/>
          <w:bottom w:val="single" w:color="E6643C" w:themeColor="accent6" w:sz="4" w:space="0"/>
          <w:right w:val="single" w:color="E6643C" w:themeColor="accent6" w:sz="4" w:space="0"/>
          <w:insideH w:val="nil"/>
          <w:insideV w:val="nil"/>
        </w:tcBorders>
        <w:shd w:val="clear" w:color="auto" w:fill="E6643C" w:themeFill="accent6"/>
      </w:tcPr>
    </w:tblStylePr>
    <w:tblStylePr w:type="lastRow">
      <w:rPr>
        <w:b/>
        <w:bCs/>
      </w:rPr>
      <w:tblPr/>
      <w:tcPr>
        <w:tcBorders>
          <w:top w:val="double" w:color="E6643C" w:themeColor="accent6"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9D4DC"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B242A"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B242A"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B242A"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3F5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758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758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758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F0FB"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AB9EB"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AB9EB"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AB9EB"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7DBFF"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4C97"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4C97"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4C97"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EDF"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AAA64"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AAA64"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AAA64"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AE0D8"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6643C"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6643C"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6643C"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rPr>
      <w:tblPr/>
      <w:tcPr>
        <w:tcBorders>
          <w:bottom w:val="single" w:color="607F95" w:themeColor="accent1" w:themeTint="99" w:sz="12" w:space="0"/>
        </w:tcBorders>
      </w:tcPr>
    </w:tblStylePr>
    <w:tblStylePr w:type="lastRow">
      <w:rPr>
        <w:b/>
        <w:bCs/>
      </w:rPr>
      <w:tblPr/>
      <w:tcPr>
        <w:tcBorders>
          <w:top w:val="double" w:color="607F95" w:themeColor="accent1" w:themeTint="99"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rPr>
      <w:tblPr/>
      <w:tcPr>
        <w:tcBorders>
          <w:bottom w:val="single" w:color="1DE1FF" w:themeColor="accent2" w:themeTint="99" w:sz="12" w:space="0"/>
        </w:tcBorders>
      </w:tcPr>
    </w:tblStylePr>
    <w:tblStylePr w:type="lastRow">
      <w:rPr>
        <w:b/>
        <w:bCs/>
      </w:rPr>
      <w:tblPr/>
      <w:tcPr>
        <w:tcBorders>
          <w:top w:val="double" w:color="1DE1FF" w:themeColor="accent2" w:themeTint="99"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rPr>
      <w:tblPr/>
      <w:tcPr>
        <w:tcBorders>
          <w:bottom w:val="single" w:color="9CD4F3" w:themeColor="accent3" w:themeTint="99" w:sz="12" w:space="0"/>
        </w:tcBorders>
      </w:tcPr>
    </w:tblStylePr>
    <w:tblStylePr w:type="lastRow">
      <w:rPr>
        <w:b/>
        <w:bCs/>
      </w:rPr>
      <w:tblPr/>
      <w:tcPr>
        <w:tcBorders>
          <w:top w:val="double" w:color="9CD4F3" w:themeColor="accent3" w:themeTint="99"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rPr>
      <w:tblPr/>
      <w:tcPr>
        <w:tcBorders>
          <w:bottom w:val="single" w:color="2793FF" w:themeColor="accent4" w:themeTint="99" w:sz="12" w:space="0"/>
        </w:tcBorders>
      </w:tcPr>
    </w:tblStylePr>
    <w:tblStylePr w:type="lastRow">
      <w:rPr>
        <w:b/>
        <w:bCs/>
      </w:rPr>
      <w:tblPr/>
      <w:tcPr>
        <w:tcBorders>
          <w:top w:val="double" w:color="2793FF" w:themeColor="accent4" w:themeTint="99"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rPr>
      <w:tblPr/>
      <w:tcPr>
        <w:tcBorders>
          <w:bottom w:val="single" w:color="9CCCA1" w:themeColor="accent5" w:themeTint="99" w:sz="12" w:space="0"/>
        </w:tcBorders>
      </w:tcPr>
    </w:tblStylePr>
    <w:tblStylePr w:type="lastRow">
      <w:rPr>
        <w:b/>
        <w:bCs/>
      </w:rPr>
      <w:tblPr/>
      <w:tcPr>
        <w:tcBorders>
          <w:top w:val="double" w:color="9CCCA1" w:themeColor="accent5" w:themeTint="99"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rPr>
      <w:tblPr/>
      <w:tcPr>
        <w:tcBorders>
          <w:bottom w:val="single" w:color="F0A28A" w:themeColor="accent6" w:themeTint="99" w:sz="12" w:space="0"/>
        </w:tcBorders>
      </w:tcPr>
    </w:tblStylePr>
    <w:tblStylePr w:type="lastRow">
      <w:rPr>
        <w:b/>
        <w:bCs/>
      </w:rPr>
      <w:tblPr/>
      <w:tcPr>
        <w:tcBorders>
          <w:top w:val="double" w:color="F0A28A" w:themeColor="accent6" w:themeTint="99"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color="607F95" w:themeColor="accent1" w:themeTint="99" w:sz="4" w:space="0"/>
        </w:tcBorders>
      </w:tcPr>
    </w:tblStylePr>
    <w:tblStylePr w:type="nwCell">
      <w:tblPr/>
      <w:tcPr>
        <w:tcBorders>
          <w:bottom w:val="single" w:color="607F95" w:themeColor="accent1" w:themeTint="99" w:sz="4" w:space="0"/>
        </w:tcBorders>
      </w:tcPr>
    </w:tblStylePr>
    <w:tblStylePr w:type="seCell">
      <w:tblPr/>
      <w:tcPr>
        <w:tcBorders>
          <w:top w:val="single" w:color="607F95" w:themeColor="accent1" w:themeTint="99" w:sz="4" w:space="0"/>
        </w:tcBorders>
      </w:tcPr>
    </w:tblStylePr>
    <w:tblStylePr w:type="swCell">
      <w:tblPr/>
      <w:tcPr>
        <w:tcBorders>
          <w:top w:val="single" w:color="607F95" w:themeColor="accent1" w:themeTint="99" w:sz="4" w:space="0"/>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color="1DE1FF" w:themeColor="accent2" w:themeTint="99" w:sz="4" w:space="0"/>
        </w:tcBorders>
      </w:tcPr>
    </w:tblStylePr>
    <w:tblStylePr w:type="nwCell">
      <w:tblPr/>
      <w:tcPr>
        <w:tcBorders>
          <w:bottom w:val="single" w:color="1DE1FF" w:themeColor="accent2" w:themeTint="99" w:sz="4" w:space="0"/>
        </w:tcBorders>
      </w:tcPr>
    </w:tblStylePr>
    <w:tblStylePr w:type="seCell">
      <w:tblPr/>
      <w:tcPr>
        <w:tcBorders>
          <w:top w:val="single" w:color="1DE1FF" w:themeColor="accent2" w:themeTint="99" w:sz="4" w:space="0"/>
        </w:tcBorders>
      </w:tcPr>
    </w:tblStylePr>
    <w:tblStylePr w:type="swCell">
      <w:tblPr/>
      <w:tcPr>
        <w:tcBorders>
          <w:top w:val="single" w:color="1DE1FF" w:themeColor="accent2" w:themeTint="99" w:sz="4" w:space="0"/>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color="9CD4F3" w:themeColor="accent3" w:themeTint="99" w:sz="4" w:space="0"/>
        </w:tcBorders>
      </w:tcPr>
    </w:tblStylePr>
    <w:tblStylePr w:type="nwCell">
      <w:tblPr/>
      <w:tcPr>
        <w:tcBorders>
          <w:bottom w:val="single" w:color="9CD4F3" w:themeColor="accent3" w:themeTint="99" w:sz="4" w:space="0"/>
        </w:tcBorders>
      </w:tcPr>
    </w:tblStylePr>
    <w:tblStylePr w:type="seCell">
      <w:tblPr/>
      <w:tcPr>
        <w:tcBorders>
          <w:top w:val="single" w:color="9CD4F3" w:themeColor="accent3" w:themeTint="99" w:sz="4" w:space="0"/>
        </w:tcBorders>
      </w:tcPr>
    </w:tblStylePr>
    <w:tblStylePr w:type="swCell">
      <w:tblPr/>
      <w:tcPr>
        <w:tcBorders>
          <w:top w:val="single" w:color="9CD4F3" w:themeColor="accent3" w:themeTint="99" w:sz="4" w:space="0"/>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color="2793FF" w:themeColor="accent4" w:themeTint="99" w:sz="4" w:space="0"/>
        </w:tcBorders>
      </w:tcPr>
    </w:tblStylePr>
    <w:tblStylePr w:type="nwCell">
      <w:tblPr/>
      <w:tcPr>
        <w:tcBorders>
          <w:bottom w:val="single" w:color="2793FF" w:themeColor="accent4" w:themeTint="99" w:sz="4" w:space="0"/>
        </w:tcBorders>
      </w:tcPr>
    </w:tblStylePr>
    <w:tblStylePr w:type="seCell">
      <w:tblPr/>
      <w:tcPr>
        <w:tcBorders>
          <w:top w:val="single" w:color="2793FF" w:themeColor="accent4" w:themeTint="99" w:sz="4" w:space="0"/>
        </w:tcBorders>
      </w:tcPr>
    </w:tblStylePr>
    <w:tblStylePr w:type="swCell">
      <w:tblPr/>
      <w:tcPr>
        <w:tcBorders>
          <w:top w:val="single" w:color="2793FF" w:themeColor="accent4" w:themeTint="99" w:sz="4" w:space="0"/>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color="9CCCA1" w:themeColor="accent5" w:themeTint="99" w:sz="4" w:space="0"/>
        </w:tcBorders>
      </w:tcPr>
    </w:tblStylePr>
    <w:tblStylePr w:type="nwCell">
      <w:tblPr/>
      <w:tcPr>
        <w:tcBorders>
          <w:bottom w:val="single" w:color="9CCCA1" w:themeColor="accent5" w:themeTint="99" w:sz="4" w:space="0"/>
        </w:tcBorders>
      </w:tcPr>
    </w:tblStylePr>
    <w:tblStylePr w:type="seCell">
      <w:tblPr/>
      <w:tcPr>
        <w:tcBorders>
          <w:top w:val="single" w:color="9CCCA1" w:themeColor="accent5" w:themeTint="99" w:sz="4" w:space="0"/>
        </w:tcBorders>
      </w:tcPr>
    </w:tblStylePr>
    <w:tblStylePr w:type="swCell">
      <w:tblPr/>
      <w:tcPr>
        <w:tcBorders>
          <w:top w:val="single" w:color="9CCCA1" w:themeColor="accent5" w:themeTint="99" w:sz="4" w:space="0"/>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color="F0A28A" w:themeColor="accent6" w:themeTint="99" w:sz="4" w:space="0"/>
        </w:tcBorders>
      </w:tcPr>
    </w:tblStylePr>
    <w:tblStylePr w:type="nwCell">
      <w:tblPr/>
      <w:tcPr>
        <w:tcBorders>
          <w:bottom w:val="single" w:color="F0A28A" w:themeColor="accent6" w:themeTint="99" w:sz="4" w:space="0"/>
        </w:tcBorders>
      </w:tcPr>
    </w:tblStylePr>
    <w:tblStylePr w:type="seCell">
      <w:tblPr/>
      <w:tcPr>
        <w:tcBorders>
          <w:top w:val="single" w:color="F0A28A" w:themeColor="accent6" w:themeTint="99" w:sz="4" w:space="0"/>
        </w:tcBorders>
      </w:tcPr>
    </w:tblStylePr>
    <w:tblStylePr w:type="swCell">
      <w:tblPr/>
      <w:tcPr>
        <w:tcBorders>
          <w:top w:val="single" w:color="F0A28A" w:themeColor="accent6" w:themeTint="99" w:sz="4" w:space="0"/>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insideH w:val="single" w:color="1B242A" w:themeColor="accent1" w:sz="8" w:space="0"/>
        <w:insideV w:val="single" w:color="1B242A"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B242A" w:themeColor="accent1" w:sz="8" w:space="0"/>
          <w:left w:val="single" w:color="1B242A" w:themeColor="accent1" w:sz="8" w:space="0"/>
          <w:bottom w:val="single" w:color="1B242A" w:themeColor="accent1" w:sz="18" w:space="0"/>
          <w:right w:val="single" w:color="1B242A" w:themeColor="accent1" w:sz="8" w:space="0"/>
          <w:insideH w:val="nil"/>
          <w:insideV w:val="single" w:color="1B242A"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B242A" w:themeColor="accent1" w:sz="6" w:space="0"/>
          <w:left w:val="single" w:color="1B242A" w:themeColor="accent1" w:sz="8" w:space="0"/>
          <w:bottom w:val="single" w:color="1B242A" w:themeColor="accent1" w:sz="8" w:space="0"/>
          <w:right w:val="single" w:color="1B242A" w:themeColor="accent1" w:sz="8" w:space="0"/>
          <w:insideH w:val="nil"/>
          <w:insideV w:val="single" w:color="1B242A"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tcPr>
    </w:tblStylePr>
    <w:tblStylePr w:type="band1Vert">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shd w:val="clear" w:color="auto" w:fill="BCCAD4" w:themeFill="accent1" w:themeFillTint="3F"/>
      </w:tcPr>
    </w:tblStylePr>
    <w:tblStylePr w:type="band1Horz">
      <w:tblPr/>
      <w:tcPr>
        <w:tcBorders>
          <w:top w:val="single" w:color="1B242A" w:themeColor="accent1" w:sz="8" w:space="0"/>
          <w:left w:val="single" w:color="1B242A" w:themeColor="accent1" w:sz="8" w:space="0"/>
          <w:bottom w:val="single" w:color="1B242A" w:themeColor="accent1" w:sz="8" w:space="0"/>
          <w:right w:val="single" w:color="1B242A" w:themeColor="accent1" w:sz="8" w:space="0"/>
          <w:insideV w:val="single" w:color="1B242A" w:themeColor="accent1" w:sz="8" w:space="0"/>
        </w:tcBorders>
        <w:shd w:val="clear" w:color="auto" w:fill="BCCAD4" w:themeFill="accent1" w:themeFillTint="3F"/>
      </w:tcPr>
    </w:tblStylePr>
    <w:tblStylePr w:type="band2Horz">
      <w:tblPr/>
      <w:tcPr>
        <w:tcBorders>
          <w:top w:val="single" w:color="1B242A" w:themeColor="accent1" w:sz="8" w:space="0"/>
          <w:left w:val="single" w:color="1B242A" w:themeColor="accent1" w:sz="8" w:space="0"/>
          <w:bottom w:val="single" w:color="1B242A" w:themeColor="accent1" w:sz="8" w:space="0"/>
          <w:right w:val="single" w:color="1B242A" w:themeColor="accent1" w:sz="8" w:space="0"/>
          <w:insideV w:val="single" w:color="1B242A" w:themeColor="accent1" w:sz="8" w:space="0"/>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insideH w:val="single" w:color="007586" w:themeColor="accent2" w:sz="8" w:space="0"/>
        <w:insideV w:val="single" w:color="00758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7586" w:themeColor="accent2" w:sz="8" w:space="0"/>
          <w:left w:val="single" w:color="007586" w:themeColor="accent2" w:sz="8" w:space="0"/>
          <w:bottom w:val="single" w:color="007586" w:themeColor="accent2" w:sz="18" w:space="0"/>
          <w:right w:val="single" w:color="007586" w:themeColor="accent2" w:sz="8" w:space="0"/>
          <w:insideH w:val="nil"/>
          <w:insideV w:val="single" w:color="00758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7586" w:themeColor="accent2" w:sz="6" w:space="0"/>
          <w:left w:val="single" w:color="007586" w:themeColor="accent2" w:sz="8" w:space="0"/>
          <w:bottom w:val="single" w:color="007586" w:themeColor="accent2" w:sz="8" w:space="0"/>
          <w:right w:val="single" w:color="007586" w:themeColor="accent2" w:sz="8" w:space="0"/>
          <w:insideH w:val="nil"/>
          <w:insideV w:val="single" w:color="00758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tcPr>
    </w:tblStylePr>
    <w:tblStylePr w:type="band1Vert">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shd w:val="clear" w:color="auto" w:fill="A2F2FF" w:themeFill="accent2" w:themeFillTint="3F"/>
      </w:tcPr>
    </w:tblStylePr>
    <w:tblStylePr w:type="band1Horz">
      <w:tblPr/>
      <w:tcPr>
        <w:tcBorders>
          <w:top w:val="single" w:color="007586" w:themeColor="accent2" w:sz="8" w:space="0"/>
          <w:left w:val="single" w:color="007586" w:themeColor="accent2" w:sz="8" w:space="0"/>
          <w:bottom w:val="single" w:color="007586" w:themeColor="accent2" w:sz="8" w:space="0"/>
          <w:right w:val="single" w:color="007586" w:themeColor="accent2" w:sz="8" w:space="0"/>
          <w:insideV w:val="single" w:color="007586" w:themeColor="accent2" w:sz="8" w:space="0"/>
        </w:tcBorders>
        <w:shd w:val="clear" w:color="auto" w:fill="A2F2FF" w:themeFill="accent2" w:themeFillTint="3F"/>
      </w:tcPr>
    </w:tblStylePr>
    <w:tblStylePr w:type="band2Horz">
      <w:tblPr/>
      <w:tcPr>
        <w:tcBorders>
          <w:top w:val="single" w:color="007586" w:themeColor="accent2" w:sz="8" w:space="0"/>
          <w:left w:val="single" w:color="007586" w:themeColor="accent2" w:sz="8" w:space="0"/>
          <w:bottom w:val="single" w:color="007586" w:themeColor="accent2" w:sz="8" w:space="0"/>
          <w:right w:val="single" w:color="007586" w:themeColor="accent2" w:sz="8" w:space="0"/>
          <w:insideV w:val="single" w:color="007586" w:themeColor="accent2" w:sz="8" w:space="0"/>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insideH w:val="single" w:color="5AB9EB" w:themeColor="accent3" w:sz="8" w:space="0"/>
        <w:insideV w:val="single" w:color="5AB9EB"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AB9EB" w:themeColor="accent3" w:sz="8" w:space="0"/>
          <w:left w:val="single" w:color="5AB9EB" w:themeColor="accent3" w:sz="8" w:space="0"/>
          <w:bottom w:val="single" w:color="5AB9EB" w:themeColor="accent3" w:sz="18" w:space="0"/>
          <w:right w:val="single" w:color="5AB9EB" w:themeColor="accent3" w:sz="8" w:space="0"/>
          <w:insideH w:val="nil"/>
          <w:insideV w:val="single" w:color="5AB9EB"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AB9EB" w:themeColor="accent3" w:sz="6" w:space="0"/>
          <w:left w:val="single" w:color="5AB9EB" w:themeColor="accent3" w:sz="8" w:space="0"/>
          <w:bottom w:val="single" w:color="5AB9EB" w:themeColor="accent3" w:sz="8" w:space="0"/>
          <w:right w:val="single" w:color="5AB9EB" w:themeColor="accent3" w:sz="8" w:space="0"/>
          <w:insideH w:val="nil"/>
          <w:insideV w:val="single" w:color="5AB9EB"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tcPr>
    </w:tblStylePr>
    <w:tblStylePr w:type="band1Vert">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shd w:val="clear" w:color="auto" w:fill="D5EDFA" w:themeFill="accent3" w:themeFillTint="3F"/>
      </w:tcPr>
    </w:tblStylePr>
    <w:tblStylePr w:type="band1Horz">
      <w:tblPr/>
      <w:tcPr>
        <w:tcBorders>
          <w:top w:val="single" w:color="5AB9EB" w:themeColor="accent3" w:sz="8" w:space="0"/>
          <w:left w:val="single" w:color="5AB9EB" w:themeColor="accent3" w:sz="8" w:space="0"/>
          <w:bottom w:val="single" w:color="5AB9EB" w:themeColor="accent3" w:sz="8" w:space="0"/>
          <w:right w:val="single" w:color="5AB9EB" w:themeColor="accent3" w:sz="8" w:space="0"/>
          <w:insideV w:val="single" w:color="5AB9EB" w:themeColor="accent3" w:sz="8" w:space="0"/>
        </w:tcBorders>
        <w:shd w:val="clear" w:color="auto" w:fill="D5EDFA" w:themeFill="accent3" w:themeFillTint="3F"/>
      </w:tcPr>
    </w:tblStylePr>
    <w:tblStylePr w:type="band2Horz">
      <w:tblPr/>
      <w:tcPr>
        <w:tcBorders>
          <w:top w:val="single" w:color="5AB9EB" w:themeColor="accent3" w:sz="8" w:space="0"/>
          <w:left w:val="single" w:color="5AB9EB" w:themeColor="accent3" w:sz="8" w:space="0"/>
          <w:bottom w:val="single" w:color="5AB9EB" w:themeColor="accent3" w:sz="8" w:space="0"/>
          <w:right w:val="single" w:color="5AB9EB" w:themeColor="accent3" w:sz="8" w:space="0"/>
          <w:insideV w:val="single" w:color="5AB9EB" w:themeColor="accent3" w:sz="8" w:space="0"/>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insideH w:val="single" w:color="004C97" w:themeColor="accent4" w:sz="8" w:space="0"/>
        <w:insideV w:val="single" w:color="004C97"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4C97" w:themeColor="accent4" w:sz="8" w:space="0"/>
          <w:left w:val="single" w:color="004C97" w:themeColor="accent4" w:sz="8" w:space="0"/>
          <w:bottom w:val="single" w:color="004C97" w:themeColor="accent4" w:sz="18" w:space="0"/>
          <w:right w:val="single" w:color="004C97" w:themeColor="accent4" w:sz="8" w:space="0"/>
          <w:insideH w:val="nil"/>
          <w:insideV w:val="single" w:color="004C97"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4C97" w:themeColor="accent4" w:sz="6" w:space="0"/>
          <w:left w:val="single" w:color="004C97" w:themeColor="accent4" w:sz="8" w:space="0"/>
          <w:bottom w:val="single" w:color="004C97" w:themeColor="accent4" w:sz="8" w:space="0"/>
          <w:right w:val="single" w:color="004C97" w:themeColor="accent4" w:sz="8" w:space="0"/>
          <w:insideH w:val="nil"/>
          <w:insideV w:val="single" w:color="004C97"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tcPr>
    </w:tblStylePr>
    <w:tblStylePr w:type="band1Vert">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shd w:val="clear" w:color="auto" w:fill="A6D2FF" w:themeFill="accent4" w:themeFillTint="3F"/>
      </w:tcPr>
    </w:tblStylePr>
    <w:tblStylePr w:type="band1Horz">
      <w:tblPr/>
      <w:tcPr>
        <w:tcBorders>
          <w:top w:val="single" w:color="004C97" w:themeColor="accent4" w:sz="8" w:space="0"/>
          <w:left w:val="single" w:color="004C97" w:themeColor="accent4" w:sz="8" w:space="0"/>
          <w:bottom w:val="single" w:color="004C97" w:themeColor="accent4" w:sz="8" w:space="0"/>
          <w:right w:val="single" w:color="004C97" w:themeColor="accent4" w:sz="8" w:space="0"/>
          <w:insideV w:val="single" w:color="004C97" w:themeColor="accent4" w:sz="8" w:space="0"/>
        </w:tcBorders>
        <w:shd w:val="clear" w:color="auto" w:fill="A6D2FF" w:themeFill="accent4" w:themeFillTint="3F"/>
      </w:tcPr>
    </w:tblStylePr>
    <w:tblStylePr w:type="band2Horz">
      <w:tblPr/>
      <w:tcPr>
        <w:tcBorders>
          <w:top w:val="single" w:color="004C97" w:themeColor="accent4" w:sz="8" w:space="0"/>
          <w:left w:val="single" w:color="004C97" w:themeColor="accent4" w:sz="8" w:space="0"/>
          <w:bottom w:val="single" w:color="004C97" w:themeColor="accent4" w:sz="8" w:space="0"/>
          <w:right w:val="single" w:color="004C97" w:themeColor="accent4" w:sz="8" w:space="0"/>
          <w:insideV w:val="single" w:color="004C97" w:themeColor="accent4" w:sz="8" w:space="0"/>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insideH w:val="single" w:color="5AAA64" w:themeColor="accent5" w:sz="8" w:space="0"/>
        <w:insideV w:val="single" w:color="5AAA6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AAA64" w:themeColor="accent5" w:sz="8" w:space="0"/>
          <w:left w:val="single" w:color="5AAA64" w:themeColor="accent5" w:sz="8" w:space="0"/>
          <w:bottom w:val="single" w:color="5AAA64" w:themeColor="accent5" w:sz="18" w:space="0"/>
          <w:right w:val="single" w:color="5AAA64" w:themeColor="accent5" w:sz="8" w:space="0"/>
          <w:insideH w:val="nil"/>
          <w:insideV w:val="single" w:color="5AAA64"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AAA64" w:themeColor="accent5" w:sz="6" w:space="0"/>
          <w:left w:val="single" w:color="5AAA64" w:themeColor="accent5" w:sz="8" w:space="0"/>
          <w:bottom w:val="single" w:color="5AAA64" w:themeColor="accent5" w:sz="8" w:space="0"/>
          <w:right w:val="single" w:color="5AAA64" w:themeColor="accent5" w:sz="8" w:space="0"/>
          <w:insideH w:val="nil"/>
          <w:insideV w:val="single" w:color="5AAA64"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tcPr>
    </w:tblStylePr>
    <w:tblStylePr w:type="band1Vert">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shd w:val="clear" w:color="auto" w:fill="D6EAD8" w:themeFill="accent5" w:themeFillTint="3F"/>
      </w:tcPr>
    </w:tblStylePr>
    <w:tblStylePr w:type="band1Horz">
      <w:tblPr/>
      <w:tcPr>
        <w:tcBorders>
          <w:top w:val="single" w:color="5AAA64" w:themeColor="accent5" w:sz="8" w:space="0"/>
          <w:left w:val="single" w:color="5AAA64" w:themeColor="accent5" w:sz="8" w:space="0"/>
          <w:bottom w:val="single" w:color="5AAA64" w:themeColor="accent5" w:sz="8" w:space="0"/>
          <w:right w:val="single" w:color="5AAA64" w:themeColor="accent5" w:sz="8" w:space="0"/>
          <w:insideV w:val="single" w:color="5AAA64" w:themeColor="accent5" w:sz="8" w:space="0"/>
        </w:tcBorders>
        <w:shd w:val="clear" w:color="auto" w:fill="D6EAD8" w:themeFill="accent5" w:themeFillTint="3F"/>
      </w:tcPr>
    </w:tblStylePr>
    <w:tblStylePr w:type="band2Horz">
      <w:tblPr/>
      <w:tcPr>
        <w:tcBorders>
          <w:top w:val="single" w:color="5AAA64" w:themeColor="accent5" w:sz="8" w:space="0"/>
          <w:left w:val="single" w:color="5AAA64" w:themeColor="accent5" w:sz="8" w:space="0"/>
          <w:bottom w:val="single" w:color="5AAA64" w:themeColor="accent5" w:sz="8" w:space="0"/>
          <w:right w:val="single" w:color="5AAA64" w:themeColor="accent5" w:sz="8" w:space="0"/>
          <w:insideV w:val="single" w:color="5AAA64" w:themeColor="accent5" w:sz="8" w:space="0"/>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insideH w:val="single" w:color="E6643C" w:themeColor="accent6" w:sz="8" w:space="0"/>
        <w:insideV w:val="single" w:color="E6643C"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6643C" w:themeColor="accent6" w:sz="8" w:space="0"/>
          <w:left w:val="single" w:color="E6643C" w:themeColor="accent6" w:sz="8" w:space="0"/>
          <w:bottom w:val="single" w:color="E6643C" w:themeColor="accent6" w:sz="18" w:space="0"/>
          <w:right w:val="single" w:color="E6643C" w:themeColor="accent6" w:sz="8" w:space="0"/>
          <w:insideH w:val="nil"/>
          <w:insideV w:val="single" w:color="E6643C"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6643C" w:themeColor="accent6" w:sz="6" w:space="0"/>
          <w:left w:val="single" w:color="E6643C" w:themeColor="accent6" w:sz="8" w:space="0"/>
          <w:bottom w:val="single" w:color="E6643C" w:themeColor="accent6" w:sz="8" w:space="0"/>
          <w:right w:val="single" w:color="E6643C" w:themeColor="accent6" w:sz="8" w:space="0"/>
          <w:insideH w:val="nil"/>
          <w:insideV w:val="single" w:color="E6643C"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tcPr>
    </w:tblStylePr>
    <w:tblStylePr w:type="band1Vert">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shd w:val="clear" w:color="auto" w:fill="F8D8CE" w:themeFill="accent6" w:themeFillTint="3F"/>
      </w:tcPr>
    </w:tblStylePr>
    <w:tblStylePr w:type="band1Horz">
      <w:tblPr/>
      <w:tcPr>
        <w:tcBorders>
          <w:top w:val="single" w:color="E6643C" w:themeColor="accent6" w:sz="8" w:space="0"/>
          <w:left w:val="single" w:color="E6643C" w:themeColor="accent6" w:sz="8" w:space="0"/>
          <w:bottom w:val="single" w:color="E6643C" w:themeColor="accent6" w:sz="8" w:space="0"/>
          <w:right w:val="single" w:color="E6643C" w:themeColor="accent6" w:sz="8" w:space="0"/>
          <w:insideV w:val="single" w:color="E6643C" w:themeColor="accent6" w:sz="8" w:space="0"/>
        </w:tcBorders>
        <w:shd w:val="clear" w:color="auto" w:fill="F8D8CE" w:themeFill="accent6" w:themeFillTint="3F"/>
      </w:tcPr>
    </w:tblStylePr>
    <w:tblStylePr w:type="band2Horz">
      <w:tblPr/>
      <w:tcPr>
        <w:tcBorders>
          <w:top w:val="single" w:color="E6643C" w:themeColor="accent6" w:sz="8" w:space="0"/>
          <w:left w:val="single" w:color="E6643C" w:themeColor="accent6" w:sz="8" w:space="0"/>
          <w:bottom w:val="single" w:color="E6643C" w:themeColor="accent6" w:sz="8" w:space="0"/>
          <w:right w:val="single" w:color="E6643C" w:themeColor="accent6" w:sz="8" w:space="0"/>
          <w:insideV w:val="single" w:color="E6643C" w:themeColor="accent6" w:sz="8" w:space="0"/>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color="007586" w:themeColor="accent2" w:sz="6" w:space="0"/>
          <w:left w:val="single" w:color="007586" w:themeColor="accent2" w:sz="8" w:space="0"/>
          <w:bottom w:val="single" w:color="007586" w:themeColor="accent2" w:sz="8" w:space="0"/>
          <w:right w:val="single" w:color="007586" w:themeColor="accent2" w:sz="8" w:space="0"/>
        </w:tcBorders>
      </w:tcPr>
    </w:tblStylePr>
    <w:tblStylePr w:type="firstCol">
      <w:rPr>
        <w:b/>
        <w:bCs/>
      </w:rPr>
    </w:tblStylePr>
    <w:tblStylePr w:type="lastCol">
      <w:rPr>
        <w:b/>
        <w:bCs/>
      </w:rPr>
    </w:tblStylePr>
    <w:tblStylePr w:type="band1Vert">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tcPr>
    </w:tblStylePr>
    <w:tblStylePr w:type="band1Horz">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color="5AB9EB" w:themeColor="accent3" w:sz="6" w:space="0"/>
          <w:left w:val="single" w:color="5AB9EB" w:themeColor="accent3" w:sz="8" w:space="0"/>
          <w:bottom w:val="single" w:color="5AB9EB" w:themeColor="accent3" w:sz="8" w:space="0"/>
          <w:right w:val="single" w:color="5AB9EB" w:themeColor="accent3" w:sz="8" w:space="0"/>
        </w:tcBorders>
      </w:tcPr>
    </w:tblStylePr>
    <w:tblStylePr w:type="firstCol">
      <w:rPr>
        <w:b/>
        <w:bCs/>
      </w:rPr>
    </w:tblStylePr>
    <w:tblStylePr w:type="lastCol">
      <w:rPr>
        <w:b/>
        <w:bCs/>
      </w:rPr>
    </w:tblStylePr>
    <w:tblStylePr w:type="band1Vert">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tcPr>
    </w:tblStylePr>
    <w:tblStylePr w:type="band1Horz">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color="5AAA64" w:themeColor="accent5" w:sz="6" w:space="0"/>
          <w:left w:val="single" w:color="5AAA64" w:themeColor="accent5" w:sz="8" w:space="0"/>
          <w:bottom w:val="single" w:color="5AAA64" w:themeColor="accent5" w:sz="8" w:space="0"/>
          <w:right w:val="single" w:color="5AAA64" w:themeColor="accent5" w:sz="8" w:space="0"/>
        </w:tcBorders>
      </w:tcPr>
    </w:tblStylePr>
    <w:tblStylePr w:type="firstCol">
      <w:rPr>
        <w:b/>
        <w:bCs/>
      </w:rPr>
    </w:tblStylePr>
    <w:tblStylePr w:type="lastCol">
      <w:rPr>
        <w:b/>
        <w:bCs/>
      </w:rPr>
    </w:tblStylePr>
    <w:tblStylePr w:type="band1Vert">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tcPr>
    </w:tblStylePr>
    <w:tblStylePr w:type="band1Horz">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color="E6643C" w:themeColor="accent6" w:sz="6" w:space="0"/>
          <w:left w:val="single" w:color="E6643C" w:themeColor="accent6" w:sz="8" w:space="0"/>
          <w:bottom w:val="single" w:color="E6643C" w:themeColor="accent6" w:sz="8" w:space="0"/>
          <w:right w:val="single" w:color="E6643C" w:themeColor="accent6" w:sz="8" w:space="0"/>
        </w:tcBorders>
      </w:tcPr>
    </w:tblStylePr>
    <w:tblStylePr w:type="firstCol">
      <w:rPr>
        <w:b/>
        <w:bCs/>
      </w:rPr>
    </w:tblStylePr>
    <w:tblStylePr w:type="lastCol">
      <w:rPr>
        <w:b/>
        <w:bCs/>
      </w:rPr>
    </w:tblStylePr>
    <w:tblStylePr w:type="band1Vert">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tcPr>
    </w:tblStylePr>
    <w:tblStylePr w:type="band1Horz">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color="1B242A" w:themeColor="accent1" w:sz="8" w:space="0"/>
        <w:bottom w:val="single" w:color="1B242A" w:themeColor="accent1" w:sz="8" w:space="0"/>
      </w:tblBorders>
    </w:tblPr>
    <w:tblStylePr w:type="firstRow">
      <w:pPr>
        <w:spacing w:before="0" w:after="0" w:line="240" w:lineRule="auto"/>
      </w:pPr>
      <w:rPr>
        <w:b/>
        <w:bCs/>
      </w:rPr>
      <w:tblPr/>
      <w:tcPr>
        <w:tcBorders>
          <w:top w:val="single" w:color="1B242A" w:themeColor="accent1" w:sz="8" w:space="0"/>
          <w:left w:val="nil"/>
          <w:bottom w:val="single" w:color="1B242A" w:themeColor="accent1" w:sz="8" w:space="0"/>
          <w:right w:val="nil"/>
          <w:insideH w:val="nil"/>
          <w:insideV w:val="nil"/>
        </w:tcBorders>
      </w:tcPr>
    </w:tblStylePr>
    <w:tblStylePr w:type="lastRow">
      <w:pPr>
        <w:spacing w:before="0" w:after="0" w:line="240" w:lineRule="auto"/>
      </w:pPr>
      <w:rPr>
        <w:b/>
        <w:bCs/>
      </w:rPr>
      <w:tblPr/>
      <w:tcPr>
        <w:tcBorders>
          <w:top w:val="single" w:color="1B242A" w:themeColor="accent1" w:sz="8" w:space="0"/>
          <w:left w:val="nil"/>
          <w:bottom w:val="single" w:color="1B242A"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color="007586" w:themeColor="accent2" w:sz="8" w:space="0"/>
        <w:bottom w:val="single" w:color="007586" w:themeColor="accent2" w:sz="8" w:space="0"/>
      </w:tblBorders>
    </w:tblPr>
    <w:tblStylePr w:type="firstRow">
      <w:pPr>
        <w:spacing w:before="0" w:after="0" w:line="240" w:lineRule="auto"/>
      </w:pPr>
      <w:rPr>
        <w:b/>
        <w:bCs/>
      </w:rPr>
      <w:tblPr/>
      <w:tcPr>
        <w:tcBorders>
          <w:top w:val="single" w:color="007586" w:themeColor="accent2" w:sz="8" w:space="0"/>
          <w:left w:val="nil"/>
          <w:bottom w:val="single" w:color="007586" w:themeColor="accent2" w:sz="8" w:space="0"/>
          <w:right w:val="nil"/>
          <w:insideH w:val="nil"/>
          <w:insideV w:val="nil"/>
        </w:tcBorders>
      </w:tcPr>
    </w:tblStylePr>
    <w:tblStylePr w:type="lastRow">
      <w:pPr>
        <w:spacing w:before="0" w:after="0" w:line="240" w:lineRule="auto"/>
      </w:pPr>
      <w:rPr>
        <w:b/>
        <w:bCs/>
      </w:rPr>
      <w:tblPr/>
      <w:tcPr>
        <w:tcBorders>
          <w:top w:val="single" w:color="007586" w:themeColor="accent2" w:sz="8" w:space="0"/>
          <w:left w:val="nil"/>
          <w:bottom w:val="single" w:color="00758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color="5AB9EB" w:themeColor="accent3" w:sz="8" w:space="0"/>
        <w:bottom w:val="single" w:color="5AB9EB" w:themeColor="accent3" w:sz="8" w:space="0"/>
      </w:tblBorders>
    </w:tblPr>
    <w:tblStylePr w:type="firstRow">
      <w:pPr>
        <w:spacing w:before="0" w:after="0" w:line="240" w:lineRule="auto"/>
      </w:pPr>
      <w:rPr>
        <w:b/>
        <w:bCs/>
      </w:rPr>
      <w:tblPr/>
      <w:tcPr>
        <w:tcBorders>
          <w:top w:val="single" w:color="5AB9EB" w:themeColor="accent3" w:sz="8" w:space="0"/>
          <w:left w:val="nil"/>
          <w:bottom w:val="single" w:color="5AB9EB" w:themeColor="accent3" w:sz="8" w:space="0"/>
          <w:right w:val="nil"/>
          <w:insideH w:val="nil"/>
          <w:insideV w:val="nil"/>
        </w:tcBorders>
      </w:tcPr>
    </w:tblStylePr>
    <w:tblStylePr w:type="lastRow">
      <w:pPr>
        <w:spacing w:before="0" w:after="0" w:line="240" w:lineRule="auto"/>
      </w:pPr>
      <w:rPr>
        <w:b/>
        <w:bCs/>
      </w:rPr>
      <w:tblPr/>
      <w:tcPr>
        <w:tcBorders>
          <w:top w:val="single" w:color="5AB9EB" w:themeColor="accent3" w:sz="8" w:space="0"/>
          <w:left w:val="nil"/>
          <w:bottom w:val="single" w:color="5AB9EB"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color="004C97" w:themeColor="accent4" w:sz="8" w:space="0"/>
        <w:bottom w:val="single" w:color="004C97" w:themeColor="accent4" w:sz="8" w:space="0"/>
      </w:tblBorders>
    </w:tblPr>
    <w:tblStylePr w:type="firstRow">
      <w:pPr>
        <w:spacing w:before="0" w:after="0" w:line="240" w:lineRule="auto"/>
      </w:pPr>
      <w:rPr>
        <w:b/>
        <w:bCs/>
      </w:rPr>
      <w:tblPr/>
      <w:tcPr>
        <w:tcBorders>
          <w:top w:val="single" w:color="004C97" w:themeColor="accent4" w:sz="8" w:space="0"/>
          <w:left w:val="nil"/>
          <w:bottom w:val="single" w:color="004C97" w:themeColor="accent4" w:sz="8" w:space="0"/>
          <w:right w:val="nil"/>
          <w:insideH w:val="nil"/>
          <w:insideV w:val="nil"/>
        </w:tcBorders>
      </w:tcPr>
    </w:tblStylePr>
    <w:tblStylePr w:type="lastRow">
      <w:pPr>
        <w:spacing w:before="0" w:after="0" w:line="240" w:lineRule="auto"/>
      </w:pPr>
      <w:rPr>
        <w:b/>
        <w:bCs/>
      </w:rPr>
      <w:tblPr/>
      <w:tcPr>
        <w:tcBorders>
          <w:top w:val="single" w:color="004C97" w:themeColor="accent4" w:sz="8" w:space="0"/>
          <w:left w:val="nil"/>
          <w:bottom w:val="single" w:color="004C9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color="5AAA64" w:themeColor="accent5" w:sz="8" w:space="0"/>
        <w:bottom w:val="single" w:color="5AAA64" w:themeColor="accent5" w:sz="8" w:space="0"/>
      </w:tblBorders>
    </w:tblPr>
    <w:tblStylePr w:type="firstRow">
      <w:pPr>
        <w:spacing w:before="0" w:after="0" w:line="240" w:lineRule="auto"/>
      </w:pPr>
      <w:rPr>
        <w:b/>
        <w:bCs/>
      </w:rPr>
      <w:tblPr/>
      <w:tcPr>
        <w:tcBorders>
          <w:top w:val="single" w:color="5AAA64" w:themeColor="accent5" w:sz="8" w:space="0"/>
          <w:left w:val="nil"/>
          <w:bottom w:val="single" w:color="5AAA64" w:themeColor="accent5" w:sz="8" w:space="0"/>
          <w:right w:val="nil"/>
          <w:insideH w:val="nil"/>
          <w:insideV w:val="nil"/>
        </w:tcBorders>
      </w:tcPr>
    </w:tblStylePr>
    <w:tblStylePr w:type="lastRow">
      <w:pPr>
        <w:spacing w:before="0" w:after="0" w:line="240" w:lineRule="auto"/>
      </w:pPr>
      <w:rPr>
        <w:b/>
        <w:bCs/>
      </w:rPr>
      <w:tblPr/>
      <w:tcPr>
        <w:tcBorders>
          <w:top w:val="single" w:color="5AAA64" w:themeColor="accent5" w:sz="8" w:space="0"/>
          <w:left w:val="nil"/>
          <w:bottom w:val="single" w:color="5AAA6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color="E6643C" w:themeColor="accent6" w:sz="8" w:space="0"/>
        <w:bottom w:val="single" w:color="E6643C" w:themeColor="accent6" w:sz="8" w:space="0"/>
      </w:tblBorders>
    </w:tblPr>
    <w:tblStylePr w:type="firstRow">
      <w:pPr>
        <w:spacing w:before="0" w:after="0" w:line="240" w:lineRule="auto"/>
      </w:pPr>
      <w:rPr>
        <w:b/>
        <w:bCs/>
      </w:rPr>
      <w:tblPr/>
      <w:tcPr>
        <w:tcBorders>
          <w:top w:val="single" w:color="E6643C" w:themeColor="accent6" w:sz="8" w:space="0"/>
          <w:left w:val="nil"/>
          <w:bottom w:val="single" w:color="E6643C" w:themeColor="accent6" w:sz="8" w:space="0"/>
          <w:right w:val="nil"/>
          <w:insideH w:val="nil"/>
          <w:insideV w:val="nil"/>
        </w:tcBorders>
      </w:tcPr>
    </w:tblStylePr>
    <w:tblStylePr w:type="lastRow">
      <w:pPr>
        <w:spacing w:before="0" w:after="0" w:line="240" w:lineRule="auto"/>
      </w:pPr>
      <w:rPr>
        <w:b/>
        <w:bCs/>
      </w:rPr>
      <w:tblPr/>
      <w:tcPr>
        <w:tcBorders>
          <w:top w:val="single" w:color="E6643C" w:themeColor="accent6" w:sz="8" w:space="0"/>
          <w:left w:val="nil"/>
          <w:bottom w:val="single" w:color="E6643C"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607F95" w:themeColor="accent1" w:themeTint="99" w:sz="4" w:space="0"/>
        </w:tcBorders>
      </w:tcPr>
    </w:tblStylePr>
    <w:tblStylePr w:type="lastRow">
      <w:rPr>
        <w:b/>
        <w:bCs/>
      </w:rPr>
      <w:tblPr/>
      <w:tcPr>
        <w:tcBorders>
          <w:top w:val="single" w:color="607F95" w:themeColor="accent1" w:themeTint="99"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1DE1FF" w:themeColor="accent2" w:themeTint="99" w:sz="4" w:space="0"/>
        </w:tcBorders>
      </w:tcPr>
    </w:tblStylePr>
    <w:tblStylePr w:type="lastRow">
      <w:rPr>
        <w:b/>
        <w:bCs/>
      </w:rPr>
      <w:tblPr/>
      <w:tcPr>
        <w:tcBorders>
          <w:top w:val="single" w:color="1DE1FF" w:themeColor="accent2" w:themeTint="99"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9CD4F3" w:themeColor="accent3" w:themeTint="99" w:sz="4" w:space="0"/>
        </w:tcBorders>
      </w:tcPr>
    </w:tblStylePr>
    <w:tblStylePr w:type="lastRow">
      <w:rPr>
        <w:b/>
        <w:bCs/>
      </w:rPr>
      <w:tblPr/>
      <w:tcPr>
        <w:tcBorders>
          <w:top w:val="single" w:color="9CD4F3" w:themeColor="accent3" w:themeTint="99"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2793FF" w:themeColor="accent4" w:themeTint="99" w:sz="4" w:space="0"/>
        </w:tcBorders>
      </w:tcPr>
    </w:tblStylePr>
    <w:tblStylePr w:type="lastRow">
      <w:rPr>
        <w:b/>
        <w:bCs/>
      </w:rPr>
      <w:tblPr/>
      <w:tcPr>
        <w:tcBorders>
          <w:top w:val="single" w:color="2793FF" w:themeColor="accent4" w:themeTint="99"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9CCCA1" w:themeColor="accent5" w:themeTint="99" w:sz="4" w:space="0"/>
        </w:tcBorders>
      </w:tcPr>
    </w:tblStylePr>
    <w:tblStylePr w:type="lastRow">
      <w:rPr>
        <w:b/>
        <w:bCs/>
      </w:rPr>
      <w:tblPr/>
      <w:tcPr>
        <w:tcBorders>
          <w:top w:val="single" w:color="9CCCA1" w:themeColor="accent5" w:themeTint="99"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F0A28A" w:themeColor="accent6" w:themeTint="99" w:sz="4" w:space="0"/>
        </w:tcBorders>
      </w:tcPr>
    </w:tblStylePr>
    <w:tblStylePr w:type="lastRow">
      <w:rPr>
        <w:b/>
        <w:bCs/>
      </w:rPr>
      <w:tblPr/>
      <w:tcPr>
        <w:tcBorders>
          <w:top w:val="single" w:color="F0A28A" w:themeColor="accent6" w:themeTint="99"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color="607F95" w:themeColor="accent1" w:themeTint="99" w:sz="4" w:space="0"/>
        <w:bottom w:val="single" w:color="607F95" w:themeColor="accent1" w:themeTint="99" w:sz="4" w:space="0"/>
        <w:insideH w:val="single" w:color="607F9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color="1DE1FF" w:themeColor="accent2" w:themeTint="99" w:sz="4" w:space="0"/>
        <w:bottom w:val="single" w:color="1DE1FF" w:themeColor="accent2" w:themeTint="99" w:sz="4" w:space="0"/>
        <w:insideH w:val="single" w:color="1DE1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color="9CD4F3" w:themeColor="accent3" w:themeTint="99" w:sz="4" w:space="0"/>
        <w:bottom w:val="single" w:color="9CD4F3" w:themeColor="accent3" w:themeTint="99" w:sz="4" w:space="0"/>
        <w:insideH w:val="single" w:color="9CD4F3"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color="2793FF" w:themeColor="accent4" w:themeTint="99" w:sz="4" w:space="0"/>
        <w:bottom w:val="single" w:color="2793FF" w:themeColor="accent4" w:themeTint="99" w:sz="4" w:space="0"/>
        <w:insideH w:val="single" w:color="2793FF"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color="9CCCA1" w:themeColor="accent5" w:themeTint="99" w:sz="4" w:space="0"/>
        <w:bottom w:val="single" w:color="9CCCA1" w:themeColor="accent5" w:themeTint="99" w:sz="4" w:space="0"/>
        <w:insideH w:val="single" w:color="9CCCA1"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color="F0A28A" w:themeColor="accent6" w:themeTint="99" w:sz="4" w:space="0"/>
        <w:bottom w:val="single" w:color="F0A28A" w:themeColor="accent6" w:themeTint="99" w:sz="4" w:space="0"/>
        <w:insideH w:val="single" w:color="F0A28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color="1B242A" w:themeColor="accent1" w:sz="4" w:space="0"/>
        <w:left w:val="single" w:color="1B242A" w:themeColor="accent1" w:sz="4" w:space="0"/>
        <w:bottom w:val="single" w:color="1B242A" w:themeColor="accent1" w:sz="4" w:space="0"/>
        <w:right w:val="single" w:color="1B242A" w:themeColor="accent1" w:sz="4" w:space="0"/>
      </w:tblBorders>
    </w:tblPr>
    <w:tblStylePr w:type="firstRow">
      <w:rPr>
        <w:b/>
        <w:bCs/>
        <w:color w:val="FFFFFF" w:themeColor="background1"/>
      </w:rPr>
      <w:tblPr/>
      <w:tcPr>
        <w:shd w:val="clear" w:color="auto" w:fill="1B242A" w:themeFill="accent1"/>
      </w:tcPr>
    </w:tblStylePr>
    <w:tblStylePr w:type="lastRow">
      <w:rPr>
        <w:b/>
        <w:bCs/>
      </w:rPr>
      <w:tblPr/>
      <w:tcPr>
        <w:tcBorders>
          <w:top w:val="double" w:color="1B242A"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B242A" w:themeColor="accent1" w:sz="4" w:space="0"/>
          <w:right w:val="single" w:color="1B242A" w:themeColor="accent1" w:sz="4" w:space="0"/>
        </w:tcBorders>
      </w:tcPr>
    </w:tblStylePr>
    <w:tblStylePr w:type="band1Horz">
      <w:tblPr/>
      <w:tcPr>
        <w:tcBorders>
          <w:top w:val="single" w:color="1B242A" w:themeColor="accent1" w:sz="4" w:space="0"/>
          <w:bottom w:val="single" w:color="1B242A"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B242A" w:themeColor="accent1" w:sz="4" w:space="0"/>
          <w:left w:val="nil"/>
        </w:tcBorders>
      </w:tcPr>
    </w:tblStylePr>
    <w:tblStylePr w:type="swCell">
      <w:tblPr/>
      <w:tcPr>
        <w:tcBorders>
          <w:top w:val="double" w:color="1B242A" w:themeColor="accent1" w:sz="4" w:space="0"/>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color="007586" w:themeColor="accent2" w:sz="4" w:space="0"/>
        <w:left w:val="single" w:color="007586" w:themeColor="accent2" w:sz="4" w:space="0"/>
        <w:bottom w:val="single" w:color="007586" w:themeColor="accent2" w:sz="4" w:space="0"/>
        <w:right w:val="single" w:color="007586" w:themeColor="accent2" w:sz="4" w:space="0"/>
      </w:tblBorders>
    </w:tblPr>
    <w:tblStylePr w:type="firstRow">
      <w:rPr>
        <w:b/>
        <w:bCs/>
        <w:color w:val="FFFFFF" w:themeColor="background1"/>
      </w:rPr>
      <w:tblPr/>
      <w:tcPr>
        <w:shd w:val="clear" w:color="auto" w:fill="007586" w:themeFill="accent2"/>
      </w:tcPr>
    </w:tblStylePr>
    <w:tblStylePr w:type="lastRow">
      <w:rPr>
        <w:b/>
        <w:bCs/>
      </w:rPr>
      <w:tblPr/>
      <w:tcPr>
        <w:tcBorders>
          <w:top w:val="double" w:color="00758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7586" w:themeColor="accent2" w:sz="4" w:space="0"/>
          <w:right w:val="single" w:color="007586" w:themeColor="accent2" w:sz="4" w:space="0"/>
        </w:tcBorders>
      </w:tcPr>
    </w:tblStylePr>
    <w:tblStylePr w:type="band1Horz">
      <w:tblPr/>
      <w:tcPr>
        <w:tcBorders>
          <w:top w:val="single" w:color="007586" w:themeColor="accent2" w:sz="4" w:space="0"/>
          <w:bottom w:val="single" w:color="00758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7586" w:themeColor="accent2" w:sz="4" w:space="0"/>
          <w:left w:val="nil"/>
        </w:tcBorders>
      </w:tcPr>
    </w:tblStylePr>
    <w:tblStylePr w:type="swCell">
      <w:tblPr/>
      <w:tcPr>
        <w:tcBorders>
          <w:top w:val="double" w:color="007586" w:themeColor="accent2" w:sz="4" w:space="0"/>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color="5AB9EB" w:themeColor="accent3" w:sz="4" w:space="0"/>
        <w:left w:val="single" w:color="5AB9EB" w:themeColor="accent3" w:sz="4" w:space="0"/>
        <w:bottom w:val="single" w:color="5AB9EB" w:themeColor="accent3" w:sz="4" w:space="0"/>
        <w:right w:val="single" w:color="5AB9EB" w:themeColor="accent3" w:sz="4" w:space="0"/>
      </w:tblBorders>
    </w:tblPr>
    <w:tblStylePr w:type="firstRow">
      <w:rPr>
        <w:b/>
        <w:bCs/>
        <w:color w:val="FFFFFF" w:themeColor="background1"/>
      </w:rPr>
      <w:tblPr/>
      <w:tcPr>
        <w:shd w:val="clear" w:color="auto" w:fill="5AB9EB" w:themeFill="accent3"/>
      </w:tcPr>
    </w:tblStylePr>
    <w:tblStylePr w:type="lastRow">
      <w:rPr>
        <w:b/>
        <w:bCs/>
      </w:rPr>
      <w:tblPr/>
      <w:tcPr>
        <w:tcBorders>
          <w:top w:val="double" w:color="5AB9EB"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AB9EB" w:themeColor="accent3" w:sz="4" w:space="0"/>
          <w:right w:val="single" w:color="5AB9EB" w:themeColor="accent3" w:sz="4" w:space="0"/>
        </w:tcBorders>
      </w:tcPr>
    </w:tblStylePr>
    <w:tblStylePr w:type="band1Horz">
      <w:tblPr/>
      <w:tcPr>
        <w:tcBorders>
          <w:top w:val="single" w:color="5AB9EB" w:themeColor="accent3" w:sz="4" w:space="0"/>
          <w:bottom w:val="single" w:color="5AB9EB"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AB9EB" w:themeColor="accent3" w:sz="4" w:space="0"/>
          <w:left w:val="nil"/>
        </w:tcBorders>
      </w:tcPr>
    </w:tblStylePr>
    <w:tblStylePr w:type="swCell">
      <w:tblPr/>
      <w:tcPr>
        <w:tcBorders>
          <w:top w:val="double" w:color="5AB9EB" w:themeColor="accent3" w:sz="4" w:space="0"/>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color="004C97" w:themeColor="accent4" w:sz="4" w:space="0"/>
        <w:left w:val="single" w:color="004C97" w:themeColor="accent4" w:sz="4" w:space="0"/>
        <w:bottom w:val="single" w:color="004C97" w:themeColor="accent4" w:sz="4" w:space="0"/>
        <w:right w:val="single" w:color="004C97" w:themeColor="accent4" w:sz="4" w:space="0"/>
      </w:tblBorders>
    </w:tblPr>
    <w:tblStylePr w:type="firstRow">
      <w:rPr>
        <w:b/>
        <w:bCs/>
        <w:color w:val="FFFFFF" w:themeColor="background1"/>
      </w:rPr>
      <w:tblPr/>
      <w:tcPr>
        <w:shd w:val="clear" w:color="auto" w:fill="004C97" w:themeFill="accent4"/>
      </w:tcPr>
    </w:tblStylePr>
    <w:tblStylePr w:type="lastRow">
      <w:rPr>
        <w:b/>
        <w:bCs/>
      </w:rPr>
      <w:tblPr/>
      <w:tcPr>
        <w:tcBorders>
          <w:top w:val="double" w:color="004C97"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4C97" w:themeColor="accent4" w:sz="4" w:space="0"/>
          <w:right w:val="single" w:color="004C97" w:themeColor="accent4" w:sz="4" w:space="0"/>
        </w:tcBorders>
      </w:tcPr>
    </w:tblStylePr>
    <w:tblStylePr w:type="band1Horz">
      <w:tblPr/>
      <w:tcPr>
        <w:tcBorders>
          <w:top w:val="single" w:color="004C97" w:themeColor="accent4" w:sz="4" w:space="0"/>
          <w:bottom w:val="single" w:color="004C97"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4C97" w:themeColor="accent4" w:sz="4" w:space="0"/>
          <w:left w:val="nil"/>
        </w:tcBorders>
      </w:tcPr>
    </w:tblStylePr>
    <w:tblStylePr w:type="swCell">
      <w:tblPr/>
      <w:tcPr>
        <w:tcBorders>
          <w:top w:val="double" w:color="004C97" w:themeColor="accent4" w:sz="4" w:space="0"/>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color="5AAA64" w:themeColor="accent5" w:sz="4" w:space="0"/>
        <w:left w:val="single" w:color="5AAA64" w:themeColor="accent5" w:sz="4" w:space="0"/>
        <w:bottom w:val="single" w:color="5AAA64" w:themeColor="accent5" w:sz="4" w:space="0"/>
        <w:right w:val="single" w:color="5AAA64" w:themeColor="accent5" w:sz="4" w:space="0"/>
      </w:tblBorders>
    </w:tblPr>
    <w:tblStylePr w:type="firstRow">
      <w:rPr>
        <w:b/>
        <w:bCs/>
        <w:color w:val="FFFFFF" w:themeColor="background1"/>
      </w:rPr>
      <w:tblPr/>
      <w:tcPr>
        <w:shd w:val="clear" w:color="auto" w:fill="5AAA64" w:themeFill="accent5"/>
      </w:tcPr>
    </w:tblStylePr>
    <w:tblStylePr w:type="lastRow">
      <w:rPr>
        <w:b/>
        <w:bCs/>
      </w:rPr>
      <w:tblPr/>
      <w:tcPr>
        <w:tcBorders>
          <w:top w:val="double" w:color="5AAA64"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AAA64" w:themeColor="accent5" w:sz="4" w:space="0"/>
          <w:right w:val="single" w:color="5AAA64" w:themeColor="accent5" w:sz="4" w:space="0"/>
        </w:tcBorders>
      </w:tcPr>
    </w:tblStylePr>
    <w:tblStylePr w:type="band1Horz">
      <w:tblPr/>
      <w:tcPr>
        <w:tcBorders>
          <w:top w:val="single" w:color="5AAA64" w:themeColor="accent5" w:sz="4" w:space="0"/>
          <w:bottom w:val="single" w:color="5AAA64"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AAA64" w:themeColor="accent5" w:sz="4" w:space="0"/>
          <w:left w:val="nil"/>
        </w:tcBorders>
      </w:tcPr>
    </w:tblStylePr>
    <w:tblStylePr w:type="swCell">
      <w:tblPr/>
      <w:tcPr>
        <w:tcBorders>
          <w:top w:val="double" w:color="5AAA64" w:themeColor="accent5" w:sz="4" w:space="0"/>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color="E6643C" w:themeColor="accent6" w:sz="4" w:space="0"/>
        <w:left w:val="single" w:color="E6643C" w:themeColor="accent6" w:sz="4" w:space="0"/>
        <w:bottom w:val="single" w:color="E6643C" w:themeColor="accent6" w:sz="4" w:space="0"/>
        <w:right w:val="single" w:color="E6643C" w:themeColor="accent6" w:sz="4" w:space="0"/>
      </w:tblBorders>
    </w:tblPr>
    <w:tblStylePr w:type="firstRow">
      <w:rPr>
        <w:b/>
        <w:bCs/>
        <w:color w:val="FFFFFF" w:themeColor="background1"/>
      </w:rPr>
      <w:tblPr/>
      <w:tcPr>
        <w:shd w:val="clear" w:color="auto" w:fill="E6643C" w:themeFill="accent6"/>
      </w:tcPr>
    </w:tblStylePr>
    <w:tblStylePr w:type="lastRow">
      <w:rPr>
        <w:b/>
        <w:bCs/>
      </w:rPr>
      <w:tblPr/>
      <w:tcPr>
        <w:tcBorders>
          <w:top w:val="double" w:color="E6643C"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6643C" w:themeColor="accent6" w:sz="4" w:space="0"/>
          <w:right w:val="single" w:color="E6643C" w:themeColor="accent6" w:sz="4" w:space="0"/>
        </w:tcBorders>
      </w:tcPr>
    </w:tblStylePr>
    <w:tblStylePr w:type="band1Horz">
      <w:tblPr/>
      <w:tcPr>
        <w:tcBorders>
          <w:top w:val="single" w:color="E6643C" w:themeColor="accent6" w:sz="4" w:space="0"/>
          <w:bottom w:val="single" w:color="E6643C"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6643C" w:themeColor="accent6" w:sz="4" w:space="0"/>
          <w:left w:val="nil"/>
        </w:tcBorders>
      </w:tcPr>
    </w:tblStylePr>
    <w:tblStylePr w:type="swCell">
      <w:tblPr/>
      <w:tcPr>
        <w:tcBorders>
          <w:top w:val="double" w:color="E6643C" w:themeColor="accent6" w:sz="4" w:space="0"/>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tblBorders>
    </w:tblPr>
    <w:tblStylePr w:type="firstRow">
      <w:rPr>
        <w:b/>
        <w:bCs/>
        <w:color w:val="FFFFFF" w:themeColor="background1"/>
      </w:rPr>
      <w:tblPr/>
      <w:tcPr>
        <w:tcBorders>
          <w:top w:val="single" w:color="1B242A" w:themeColor="accent1" w:sz="4" w:space="0"/>
          <w:left w:val="single" w:color="1B242A" w:themeColor="accent1" w:sz="4" w:space="0"/>
          <w:bottom w:val="single" w:color="1B242A" w:themeColor="accent1" w:sz="4" w:space="0"/>
          <w:right w:val="single" w:color="1B242A" w:themeColor="accent1" w:sz="4" w:space="0"/>
          <w:insideH w:val="nil"/>
        </w:tcBorders>
        <w:shd w:val="clear" w:color="auto" w:fill="1B242A" w:themeFill="accent1"/>
      </w:tcPr>
    </w:tblStylePr>
    <w:tblStylePr w:type="lastRow">
      <w:rPr>
        <w:b/>
        <w:bCs/>
      </w:rPr>
      <w:tblPr/>
      <w:tcPr>
        <w:tcBorders>
          <w:top w:val="double" w:color="607F95" w:themeColor="accent1" w:themeTint="99"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tblBorders>
    </w:tblPr>
    <w:tblStylePr w:type="firstRow">
      <w:rPr>
        <w:b/>
        <w:bCs/>
        <w:color w:val="FFFFFF" w:themeColor="background1"/>
      </w:rPr>
      <w:tblPr/>
      <w:tcPr>
        <w:tcBorders>
          <w:top w:val="single" w:color="007586" w:themeColor="accent2" w:sz="4" w:space="0"/>
          <w:left w:val="single" w:color="007586" w:themeColor="accent2" w:sz="4" w:space="0"/>
          <w:bottom w:val="single" w:color="007586" w:themeColor="accent2" w:sz="4" w:space="0"/>
          <w:right w:val="single" w:color="007586" w:themeColor="accent2" w:sz="4" w:space="0"/>
          <w:insideH w:val="nil"/>
        </w:tcBorders>
        <w:shd w:val="clear" w:color="auto" w:fill="007586" w:themeFill="accent2"/>
      </w:tcPr>
    </w:tblStylePr>
    <w:tblStylePr w:type="lastRow">
      <w:rPr>
        <w:b/>
        <w:bCs/>
      </w:rPr>
      <w:tblPr/>
      <w:tcPr>
        <w:tcBorders>
          <w:top w:val="double" w:color="1DE1FF" w:themeColor="accent2" w:themeTint="99"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tblBorders>
    </w:tblPr>
    <w:tblStylePr w:type="firstRow">
      <w:rPr>
        <w:b/>
        <w:bCs/>
        <w:color w:val="FFFFFF" w:themeColor="background1"/>
      </w:rPr>
      <w:tblPr/>
      <w:tcPr>
        <w:tcBorders>
          <w:top w:val="single" w:color="5AB9EB" w:themeColor="accent3" w:sz="4" w:space="0"/>
          <w:left w:val="single" w:color="5AB9EB" w:themeColor="accent3" w:sz="4" w:space="0"/>
          <w:bottom w:val="single" w:color="5AB9EB" w:themeColor="accent3" w:sz="4" w:space="0"/>
          <w:right w:val="single" w:color="5AB9EB" w:themeColor="accent3" w:sz="4" w:space="0"/>
          <w:insideH w:val="nil"/>
        </w:tcBorders>
        <w:shd w:val="clear" w:color="auto" w:fill="5AB9EB" w:themeFill="accent3"/>
      </w:tcPr>
    </w:tblStylePr>
    <w:tblStylePr w:type="lastRow">
      <w:rPr>
        <w:b/>
        <w:bCs/>
      </w:rPr>
      <w:tblPr/>
      <w:tcPr>
        <w:tcBorders>
          <w:top w:val="double" w:color="9CD4F3" w:themeColor="accent3" w:themeTint="99"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tblBorders>
    </w:tblPr>
    <w:tblStylePr w:type="firstRow">
      <w:rPr>
        <w:b/>
        <w:bCs/>
        <w:color w:val="FFFFFF" w:themeColor="background1"/>
      </w:rPr>
      <w:tblPr/>
      <w:tcPr>
        <w:tcBorders>
          <w:top w:val="single" w:color="004C97" w:themeColor="accent4" w:sz="4" w:space="0"/>
          <w:left w:val="single" w:color="004C97" w:themeColor="accent4" w:sz="4" w:space="0"/>
          <w:bottom w:val="single" w:color="004C97" w:themeColor="accent4" w:sz="4" w:space="0"/>
          <w:right w:val="single" w:color="004C97" w:themeColor="accent4" w:sz="4" w:space="0"/>
          <w:insideH w:val="nil"/>
        </w:tcBorders>
        <w:shd w:val="clear" w:color="auto" w:fill="004C97" w:themeFill="accent4"/>
      </w:tcPr>
    </w:tblStylePr>
    <w:tblStylePr w:type="lastRow">
      <w:rPr>
        <w:b/>
        <w:bCs/>
      </w:rPr>
      <w:tblPr/>
      <w:tcPr>
        <w:tcBorders>
          <w:top w:val="double" w:color="2793FF" w:themeColor="accent4" w:themeTint="99"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tblBorders>
    </w:tblPr>
    <w:tblStylePr w:type="firstRow">
      <w:rPr>
        <w:b/>
        <w:bCs/>
        <w:color w:val="FFFFFF" w:themeColor="background1"/>
      </w:rPr>
      <w:tblPr/>
      <w:tcPr>
        <w:tcBorders>
          <w:top w:val="single" w:color="5AAA64" w:themeColor="accent5" w:sz="4" w:space="0"/>
          <w:left w:val="single" w:color="5AAA64" w:themeColor="accent5" w:sz="4" w:space="0"/>
          <w:bottom w:val="single" w:color="5AAA64" w:themeColor="accent5" w:sz="4" w:space="0"/>
          <w:right w:val="single" w:color="5AAA64" w:themeColor="accent5" w:sz="4" w:space="0"/>
          <w:insideH w:val="nil"/>
        </w:tcBorders>
        <w:shd w:val="clear" w:color="auto" w:fill="5AAA64" w:themeFill="accent5"/>
      </w:tcPr>
    </w:tblStylePr>
    <w:tblStylePr w:type="lastRow">
      <w:rPr>
        <w:b/>
        <w:bCs/>
      </w:rPr>
      <w:tblPr/>
      <w:tcPr>
        <w:tcBorders>
          <w:top w:val="double" w:color="9CCCA1" w:themeColor="accent5" w:themeTint="99"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tblBorders>
    </w:tblPr>
    <w:tblStylePr w:type="firstRow">
      <w:rPr>
        <w:b/>
        <w:bCs/>
        <w:color w:val="FFFFFF" w:themeColor="background1"/>
      </w:rPr>
      <w:tblPr/>
      <w:tcPr>
        <w:tcBorders>
          <w:top w:val="single" w:color="E6643C" w:themeColor="accent6" w:sz="4" w:space="0"/>
          <w:left w:val="single" w:color="E6643C" w:themeColor="accent6" w:sz="4" w:space="0"/>
          <w:bottom w:val="single" w:color="E6643C" w:themeColor="accent6" w:sz="4" w:space="0"/>
          <w:right w:val="single" w:color="E6643C" w:themeColor="accent6" w:sz="4" w:space="0"/>
          <w:insideH w:val="nil"/>
        </w:tcBorders>
        <w:shd w:val="clear" w:color="auto" w:fill="E6643C" w:themeFill="accent6"/>
      </w:tcPr>
    </w:tblStylePr>
    <w:tblStylePr w:type="lastRow">
      <w:rPr>
        <w:b/>
        <w:bCs/>
      </w:rPr>
      <w:tblPr/>
      <w:tcPr>
        <w:tcBorders>
          <w:top w:val="double" w:color="F0A28A" w:themeColor="accent6" w:themeTint="99"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color="1B242A" w:themeColor="accent1" w:sz="24" w:space="0"/>
        <w:left w:val="single" w:color="1B242A" w:themeColor="accent1" w:sz="24" w:space="0"/>
        <w:bottom w:val="single" w:color="1B242A" w:themeColor="accent1" w:sz="24" w:space="0"/>
        <w:right w:val="single" w:color="1B242A" w:themeColor="accent1" w:sz="24" w:space="0"/>
      </w:tblBorders>
    </w:tblPr>
    <w:tcPr>
      <w:shd w:val="clear" w:color="auto" w:fill="1B242A"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color="007586" w:themeColor="accent2" w:sz="24" w:space="0"/>
        <w:left w:val="single" w:color="007586" w:themeColor="accent2" w:sz="24" w:space="0"/>
        <w:bottom w:val="single" w:color="007586" w:themeColor="accent2" w:sz="24" w:space="0"/>
        <w:right w:val="single" w:color="007586" w:themeColor="accent2" w:sz="24" w:space="0"/>
      </w:tblBorders>
    </w:tblPr>
    <w:tcPr>
      <w:shd w:val="clear" w:color="auto" w:fill="00758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color="5AB9EB" w:themeColor="accent3" w:sz="24" w:space="0"/>
        <w:left w:val="single" w:color="5AB9EB" w:themeColor="accent3" w:sz="24" w:space="0"/>
        <w:bottom w:val="single" w:color="5AB9EB" w:themeColor="accent3" w:sz="24" w:space="0"/>
        <w:right w:val="single" w:color="5AB9EB" w:themeColor="accent3" w:sz="24" w:space="0"/>
      </w:tblBorders>
    </w:tblPr>
    <w:tcPr>
      <w:shd w:val="clear" w:color="auto" w:fill="5AB9EB"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color="004C97" w:themeColor="accent4" w:sz="24" w:space="0"/>
        <w:left w:val="single" w:color="004C97" w:themeColor="accent4" w:sz="24" w:space="0"/>
        <w:bottom w:val="single" w:color="004C97" w:themeColor="accent4" w:sz="24" w:space="0"/>
        <w:right w:val="single" w:color="004C97" w:themeColor="accent4" w:sz="24" w:space="0"/>
      </w:tblBorders>
    </w:tblPr>
    <w:tcPr>
      <w:shd w:val="clear" w:color="auto" w:fill="004C97"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color="5AAA64" w:themeColor="accent5" w:sz="24" w:space="0"/>
        <w:left w:val="single" w:color="5AAA64" w:themeColor="accent5" w:sz="24" w:space="0"/>
        <w:bottom w:val="single" w:color="5AAA64" w:themeColor="accent5" w:sz="24" w:space="0"/>
        <w:right w:val="single" w:color="5AAA64" w:themeColor="accent5" w:sz="24" w:space="0"/>
      </w:tblBorders>
    </w:tblPr>
    <w:tcPr>
      <w:shd w:val="clear" w:color="auto" w:fill="5AAA64"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color="E6643C" w:themeColor="accent6" w:sz="24" w:space="0"/>
        <w:left w:val="single" w:color="E6643C" w:themeColor="accent6" w:sz="24" w:space="0"/>
        <w:bottom w:val="single" w:color="E6643C" w:themeColor="accent6" w:sz="24" w:space="0"/>
        <w:right w:val="single" w:color="E6643C" w:themeColor="accent6" w:sz="24" w:space="0"/>
      </w:tblBorders>
    </w:tblPr>
    <w:tcPr>
      <w:shd w:val="clear" w:color="auto" w:fill="E6643C"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color="1B242A" w:themeColor="accent1" w:sz="4" w:space="0"/>
        <w:bottom w:val="single" w:color="1B242A" w:themeColor="accent1" w:sz="4" w:space="0"/>
      </w:tblBorders>
    </w:tblPr>
    <w:tblStylePr w:type="firstRow">
      <w:rPr>
        <w:b/>
        <w:bCs/>
      </w:rPr>
      <w:tblPr/>
      <w:tcPr>
        <w:tcBorders>
          <w:bottom w:val="single" w:color="1B242A" w:themeColor="accent1" w:sz="4" w:space="0"/>
        </w:tcBorders>
      </w:tcPr>
    </w:tblStylePr>
    <w:tblStylePr w:type="lastRow">
      <w:rPr>
        <w:b/>
        <w:bCs/>
      </w:rPr>
      <w:tblPr/>
      <w:tcPr>
        <w:tcBorders>
          <w:top w:val="double" w:color="1B242A" w:themeColor="accent1"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color="007586" w:themeColor="accent2" w:sz="4" w:space="0"/>
        <w:bottom w:val="single" w:color="007586" w:themeColor="accent2" w:sz="4" w:space="0"/>
      </w:tblBorders>
    </w:tblPr>
    <w:tblStylePr w:type="firstRow">
      <w:rPr>
        <w:b/>
        <w:bCs/>
      </w:rPr>
      <w:tblPr/>
      <w:tcPr>
        <w:tcBorders>
          <w:bottom w:val="single" w:color="007586" w:themeColor="accent2" w:sz="4" w:space="0"/>
        </w:tcBorders>
      </w:tcPr>
    </w:tblStylePr>
    <w:tblStylePr w:type="lastRow">
      <w:rPr>
        <w:b/>
        <w:bCs/>
      </w:rPr>
      <w:tblPr/>
      <w:tcPr>
        <w:tcBorders>
          <w:top w:val="double" w:color="007586" w:themeColor="accent2"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color="5AB9EB" w:themeColor="accent3" w:sz="4" w:space="0"/>
        <w:bottom w:val="single" w:color="5AB9EB" w:themeColor="accent3" w:sz="4" w:space="0"/>
      </w:tblBorders>
    </w:tblPr>
    <w:tblStylePr w:type="firstRow">
      <w:rPr>
        <w:b/>
        <w:bCs/>
      </w:rPr>
      <w:tblPr/>
      <w:tcPr>
        <w:tcBorders>
          <w:bottom w:val="single" w:color="5AB9EB" w:themeColor="accent3" w:sz="4" w:space="0"/>
        </w:tcBorders>
      </w:tcPr>
    </w:tblStylePr>
    <w:tblStylePr w:type="lastRow">
      <w:rPr>
        <w:b/>
        <w:bCs/>
      </w:rPr>
      <w:tblPr/>
      <w:tcPr>
        <w:tcBorders>
          <w:top w:val="double" w:color="5AB9EB" w:themeColor="accent3"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color="004C97" w:themeColor="accent4" w:sz="4" w:space="0"/>
        <w:bottom w:val="single" w:color="004C97" w:themeColor="accent4" w:sz="4" w:space="0"/>
      </w:tblBorders>
    </w:tblPr>
    <w:tblStylePr w:type="firstRow">
      <w:rPr>
        <w:b/>
        <w:bCs/>
      </w:rPr>
      <w:tblPr/>
      <w:tcPr>
        <w:tcBorders>
          <w:bottom w:val="single" w:color="004C97" w:themeColor="accent4" w:sz="4" w:space="0"/>
        </w:tcBorders>
      </w:tcPr>
    </w:tblStylePr>
    <w:tblStylePr w:type="lastRow">
      <w:rPr>
        <w:b/>
        <w:bCs/>
      </w:rPr>
      <w:tblPr/>
      <w:tcPr>
        <w:tcBorders>
          <w:top w:val="double" w:color="004C97" w:themeColor="accent4"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color="5AAA64" w:themeColor="accent5" w:sz="4" w:space="0"/>
        <w:bottom w:val="single" w:color="5AAA64" w:themeColor="accent5" w:sz="4" w:space="0"/>
      </w:tblBorders>
    </w:tblPr>
    <w:tblStylePr w:type="firstRow">
      <w:rPr>
        <w:b/>
        <w:bCs/>
      </w:rPr>
      <w:tblPr/>
      <w:tcPr>
        <w:tcBorders>
          <w:bottom w:val="single" w:color="5AAA64" w:themeColor="accent5" w:sz="4" w:space="0"/>
        </w:tcBorders>
      </w:tcPr>
    </w:tblStylePr>
    <w:tblStylePr w:type="lastRow">
      <w:rPr>
        <w:b/>
        <w:bCs/>
      </w:rPr>
      <w:tblPr/>
      <w:tcPr>
        <w:tcBorders>
          <w:top w:val="double" w:color="5AAA64" w:themeColor="accent5"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color="E6643C" w:themeColor="accent6" w:sz="4" w:space="0"/>
        <w:bottom w:val="single" w:color="E6643C" w:themeColor="accent6" w:sz="4" w:space="0"/>
      </w:tblBorders>
    </w:tblPr>
    <w:tblStylePr w:type="firstRow">
      <w:rPr>
        <w:b/>
        <w:bCs/>
      </w:rPr>
      <w:tblPr/>
      <w:tcPr>
        <w:tcBorders>
          <w:bottom w:val="single" w:color="E6643C" w:themeColor="accent6" w:sz="4" w:space="0"/>
        </w:tcBorders>
      </w:tcPr>
    </w:tblStylePr>
    <w:tblStylePr w:type="lastRow">
      <w:rPr>
        <w:b/>
        <w:bCs/>
      </w:rPr>
      <w:tblPr/>
      <w:tcPr>
        <w:tcBorders>
          <w:top w:val="double" w:color="E6643C" w:themeColor="accent6"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B242A"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B242A"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B242A"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B242A" w:themeColor="accent1" w:sz="4" w:space="0"/>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758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758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758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7586" w:themeColor="accent2" w:sz="4" w:space="0"/>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AB9EB"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AB9EB"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AB9EB"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AB9EB" w:themeColor="accent3" w:sz="4" w:space="0"/>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4C97"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4C97"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4C97"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4C97" w:themeColor="accent4" w:sz="4" w:space="0"/>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AAA64"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AAA6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AAA64"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AAA64" w:themeColor="accent5" w:sz="4" w:space="0"/>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6643C"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6643C"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6643C"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6643C" w:themeColor="accent6" w:sz="4" w:space="0"/>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color="465D6D" w:themeColor="accent1" w:themeTint="BF" w:sz="8" w:space="0"/>
        <w:left w:val="single" w:color="465D6D" w:themeColor="accent1" w:themeTint="BF" w:sz="8" w:space="0"/>
        <w:bottom w:val="single" w:color="465D6D" w:themeColor="accent1" w:themeTint="BF" w:sz="8" w:space="0"/>
        <w:right w:val="single" w:color="465D6D" w:themeColor="accent1" w:themeTint="BF" w:sz="8" w:space="0"/>
        <w:insideH w:val="single" w:color="465D6D" w:themeColor="accent1" w:themeTint="BF" w:sz="8" w:space="0"/>
        <w:insideV w:val="single" w:color="465D6D" w:themeColor="accent1" w:themeTint="BF" w:sz="8" w:space="0"/>
      </w:tblBorders>
    </w:tblPr>
    <w:tcPr>
      <w:shd w:val="clear" w:color="auto" w:fill="BCCAD4" w:themeFill="accent1" w:themeFillTint="3F"/>
    </w:tcPr>
    <w:tblStylePr w:type="firstRow">
      <w:rPr>
        <w:b/>
        <w:bCs/>
      </w:rPr>
    </w:tblStylePr>
    <w:tblStylePr w:type="lastRow">
      <w:rPr>
        <w:b/>
        <w:bCs/>
      </w:rPr>
      <w:tblPr/>
      <w:tcPr>
        <w:tcBorders>
          <w:top w:val="single" w:color="465D6D" w:themeColor="accent1" w:themeTint="BF" w:sz="18" w:space="0"/>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color="00C6E4" w:themeColor="accent2" w:themeTint="BF" w:sz="8" w:space="0"/>
        <w:left w:val="single" w:color="00C6E4" w:themeColor="accent2" w:themeTint="BF" w:sz="8" w:space="0"/>
        <w:bottom w:val="single" w:color="00C6E4" w:themeColor="accent2" w:themeTint="BF" w:sz="8" w:space="0"/>
        <w:right w:val="single" w:color="00C6E4" w:themeColor="accent2" w:themeTint="BF" w:sz="8" w:space="0"/>
        <w:insideH w:val="single" w:color="00C6E4" w:themeColor="accent2" w:themeTint="BF" w:sz="8" w:space="0"/>
        <w:insideV w:val="single" w:color="00C6E4" w:themeColor="accent2" w:themeTint="BF" w:sz="8" w:space="0"/>
      </w:tblBorders>
    </w:tblPr>
    <w:tcPr>
      <w:shd w:val="clear" w:color="auto" w:fill="A2F2FF" w:themeFill="accent2" w:themeFillTint="3F"/>
    </w:tcPr>
    <w:tblStylePr w:type="firstRow">
      <w:rPr>
        <w:b/>
        <w:bCs/>
      </w:rPr>
    </w:tblStylePr>
    <w:tblStylePr w:type="lastRow">
      <w:rPr>
        <w:b/>
        <w:bCs/>
      </w:rPr>
      <w:tblPr/>
      <w:tcPr>
        <w:tcBorders>
          <w:top w:val="single" w:color="00C6E4" w:themeColor="accent2" w:themeTint="BF" w:sz="18" w:space="0"/>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color="83CAF0" w:themeColor="accent3" w:themeTint="BF" w:sz="8" w:space="0"/>
        <w:left w:val="single" w:color="83CAF0" w:themeColor="accent3" w:themeTint="BF" w:sz="8" w:space="0"/>
        <w:bottom w:val="single" w:color="83CAF0" w:themeColor="accent3" w:themeTint="BF" w:sz="8" w:space="0"/>
        <w:right w:val="single" w:color="83CAF0" w:themeColor="accent3" w:themeTint="BF" w:sz="8" w:space="0"/>
        <w:insideH w:val="single" w:color="83CAF0" w:themeColor="accent3" w:themeTint="BF" w:sz="8" w:space="0"/>
        <w:insideV w:val="single" w:color="83CAF0" w:themeColor="accent3" w:themeTint="BF" w:sz="8" w:space="0"/>
      </w:tblBorders>
    </w:tblPr>
    <w:tcPr>
      <w:shd w:val="clear" w:color="auto" w:fill="D5EDFA" w:themeFill="accent3" w:themeFillTint="3F"/>
    </w:tcPr>
    <w:tblStylePr w:type="firstRow">
      <w:rPr>
        <w:b/>
        <w:bCs/>
      </w:rPr>
    </w:tblStylePr>
    <w:tblStylePr w:type="lastRow">
      <w:rPr>
        <w:b/>
        <w:bCs/>
      </w:rPr>
      <w:tblPr/>
      <w:tcPr>
        <w:tcBorders>
          <w:top w:val="single" w:color="83CAF0" w:themeColor="accent3" w:themeTint="BF" w:sz="18" w:space="0"/>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color="0078F1" w:themeColor="accent4" w:themeTint="BF" w:sz="8" w:space="0"/>
        <w:left w:val="single" w:color="0078F1" w:themeColor="accent4" w:themeTint="BF" w:sz="8" w:space="0"/>
        <w:bottom w:val="single" w:color="0078F1" w:themeColor="accent4" w:themeTint="BF" w:sz="8" w:space="0"/>
        <w:right w:val="single" w:color="0078F1" w:themeColor="accent4" w:themeTint="BF" w:sz="8" w:space="0"/>
        <w:insideH w:val="single" w:color="0078F1" w:themeColor="accent4" w:themeTint="BF" w:sz="8" w:space="0"/>
        <w:insideV w:val="single" w:color="0078F1" w:themeColor="accent4" w:themeTint="BF" w:sz="8" w:space="0"/>
      </w:tblBorders>
    </w:tblPr>
    <w:tcPr>
      <w:shd w:val="clear" w:color="auto" w:fill="A6D2FF" w:themeFill="accent4" w:themeFillTint="3F"/>
    </w:tcPr>
    <w:tblStylePr w:type="firstRow">
      <w:rPr>
        <w:b/>
        <w:bCs/>
      </w:rPr>
    </w:tblStylePr>
    <w:tblStylePr w:type="lastRow">
      <w:rPr>
        <w:b/>
        <w:bCs/>
      </w:rPr>
      <w:tblPr/>
      <w:tcPr>
        <w:tcBorders>
          <w:top w:val="single" w:color="0078F1" w:themeColor="accent4" w:themeTint="BF" w:sz="18" w:space="0"/>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color="83BF8A" w:themeColor="accent5" w:themeTint="BF" w:sz="8" w:space="0"/>
        <w:left w:val="single" w:color="83BF8A" w:themeColor="accent5" w:themeTint="BF" w:sz="8" w:space="0"/>
        <w:bottom w:val="single" w:color="83BF8A" w:themeColor="accent5" w:themeTint="BF" w:sz="8" w:space="0"/>
        <w:right w:val="single" w:color="83BF8A" w:themeColor="accent5" w:themeTint="BF" w:sz="8" w:space="0"/>
        <w:insideH w:val="single" w:color="83BF8A" w:themeColor="accent5" w:themeTint="BF" w:sz="8" w:space="0"/>
        <w:insideV w:val="single" w:color="83BF8A" w:themeColor="accent5" w:themeTint="BF" w:sz="8" w:space="0"/>
      </w:tblBorders>
    </w:tblPr>
    <w:tcPr>
      <w:shd w:val="clear" w:color="auto" w:fill="D6EAD8" w:themeFill="accent5" w:themeFillTint="3F"/>
    </w:tcPr>
    <w:tblStylePr w:type="firstRow">
      <w:rPr>
        <w:b/>
        <w:bCs/>
      </w:rPr>
    </w:tblStylePr>
    <w:tblStylePr w:type="lastRow">
      <w:rPr>
        <w:b/>
        <w:bCs/>
      </w:rPr>
      <w:tblPr/>
      <w:tcPr>
        <w:tcBorders>
          <w:top w:val="single" w:color="83BF8A" w:themeColor="accent5" w:themeTint="BF" w:sz="18" w:space="0"/>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color="EC8A6C" w:themeColor="accent6" w:themeTint="BF" w:sz="8" w:space="0"/>
        <w:left w:val="single" w:color="EC8A6C" w:themeColor="accent6" w:themeTint="BF" w:sz="8" w:space="0"/>
        <w:bottom w:val="single" w:color="EC8A6C" w:themeColor="accent6" w:themeTint="BF" w:sz="8" w:space="0"/>
        <w:right w:val="single" w:color="EC8A6C" w:themeColor="accent6" w:themeTint="BF" w:sz="8" w:space="0"/>
        <w:insideH w:val="single" w:color="EC8A6C" w:themeColor="accent6" w:themeTint="BF" w:sz="8" w:space="0"/>
        <w:insideV w:val="single" w:color="EC8A6C" w:themeColor="accent6" w:themeTint="BF" w:sz="8" w:space="0"/>
      </w:tblBorders>
    </w:tblPr>
    <w:tcPr>
      <w:shd w:val="clear" w:color="auto" w:fill="F8D8CE" w:themeFill="accent6" w:themeFillTint="3F"/>
    </w:tcPr>
    <w:tblStylePr w:type="firstRow">
      <w:rPr>
        <w:b/>
        <w:bCs/>
      </w:rPr>
    </w:tblStylePr>
    <w:tblStylePr w:type="lastRow">
      <w:rPr>
        <w:b/>
        <w:bCs/>
      </w:rPr>
      <w:tblPr/>
      <w:tcPr>
        <w:tcBorders>
          <w:top w:val="single" w:color="EC8A6C" w:themeColor="accent6" w:themeTint="BF" w:sz="18" w:space="0"/>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insideH w:val="single" w:color="1B242A" w:themeColor="accent1" w:sz="8" w:space="0"/>
        <w:insideV w:val="single" w:color="1B242A" w:themeColor="accent1" w:sz="8" w:space="0"/>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color="1B242A" w:themeColor="accent1" w:sz="6" w:space="0"/>
          <w:insideV w:val="single" w:color="1B242A" w:themeColor="accent1" w:sz="6" w:space="0"/>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insideH w:val="single" w:color="007586" w:themeColor="accent2" w:sz="8" w:space="0"/>
        <w:insideV w:val="single" w:color="007586" w:themeColor="accent2" w:sz="8" w:space="0"/>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color="007586" w:themeColor="accent2" w:sz="6" w:space="0"/>
          <w:insideV w:val="single" w:color="007586" w:themeColor="accent2" w:sz="6" w:space="0"/>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insideH w:val="single" w:color="5AB9EB" w:themeColor="accent3" w:sz="8" w:space="0"/>
        <w:insideV w:val="single" w:color="5AB9EB" w:themeColor="accent3" w:sz="8" w:space="0"/>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color="5AB9EB" w:themeColor="accent3" w:sz="6" w:space="0"/>
          <w:insideV w:val="single" w:color="5AB9EB" w:themeColor="accent3" w:sz="6" w:space="0"/>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insideH w:val="single" w:color="004C97" w:themeColor="accent4" w:sz="8" w:space="0"/>
        <w:insideV w:val="single" w:color="004C97" w:themeColor="accent4" w:sz="8" w:space="0"/>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color="004C97" w:themeColor="accent4" w:sz="6" w:space="0"/>
          <w:insideV w:val="single" w:color="004C97" w:themeColor="accent4" w:sz="6" w:space="0"/>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insideH w:val="single" w:color="5AAA64" w:themeColor="accent5" w:sz="8" w:space="0"/>
        <w:insideV w:val="single" w:color="5AAA64" w:themeColor="accent5" w:sz="8" w:space="0"/>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color="5AAA64" w:themeColor="accent5" w:sz="6" w:space="0"/>
          <w:insideV w:val="single" w:color="5AAA64" w:themeColor="accent5" w:sz="6" w:space="0"/>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insideH w:val="single" w:color="E6643C" w:themeColor="accent6" w:sz="8" w:space="0"/>
        <w:insideV w:val="single" w:color="E6643C" w:themeColor="accent6" w:sz="8" w:space="0"/>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color="E6643C" w:themeColor="accent6" w:sz="6" w:space="0"/>
          <w:insideV w:val="single" w:color="E6643C" w:themeColor="accent6" w:sz="6" w:space="0"/>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CCAD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B242A"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B242A"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B242A"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B242A"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995A9"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2F2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758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758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758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758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3E6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5EDF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AB9EB"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AB9EB"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AB9EB"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AB9EB"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CDCF5"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6D2FF"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4C97"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4C97"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4C97"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4C97"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CA5F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AD8"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AAA64"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AAA64"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AAA64"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AAA6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CD4B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D8CE"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6643C"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6643C"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6643C"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6643C"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2B19D"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0758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color="1B242A" w:themeColor="accent1" w:sz="8" w:space="0"/>
        <w:bottom w:val="single" w:color="1B242A" w:themeColor="accent1" w:sz="8" w:space="0"/>
      </w:tblBorders>
    </w:tblPr>
    <w:tblStylePr w:type="firstRow">
      <w:rPr>
        <w:rFonts w:asciiTheme="majorHAnsi" w:hAnsiTheme="majorHAnsi" w:eastAsiaTheme="majorEastAsia" w:cstheme="majorBidi"/>
      </w:rPr>
      <w:tblPr/>
      <w:tcPr>
        <w:tcBorders>
          <w:top w:val="nil"/>
          <w:bottom w:val="single" w:color="1B242A" w:themeColor="accent1" w:sz="8" w:space="0"/>
        </w:tcBorders>
      </w:tcPr>
    </w:tblStylePr>
    <w:tblStylePr w:type="lastRow">
      <w:rPr>
        <w:b/>
        <w:bCs/>
        <w:color w:val="007586" w:themeColor="text2"/>
      </w:rPr>
      <w:tblPr/>
      <w:tcPr>
        <w:tcBorders>
          <w:top w:val="single" w:color="1B242A" w:themeColor="accent1" w:sz="8" w:space="0"/>
          <w:bottom w:val="single" w:color="1B242A" w:themeColor="accent1" w:sz="8" w:space="0"/>
        </w:tcBorders>
      </w:tcPr>
    </w:tblStylePr>
    <w:tblStylePr w:type="firstCol">
      <w:rPr>
        <w:b/>
        <w:bCs/>
      </w:rPr>
    </w:tblStylePr>
    <w:tblStylePr w:type="lastCol">
      <w:rPr>
        <w:b/>
        <w:bCs/>
      </w:rPr>
      <w:tblPr/>
      <w:tcPr>
        <w:tcBorders>
          <w:top w:val="single" w:color="1B242A" w:themeColor="accent1" w:sz="8" w:space="0"/>
          <w:bottom w:val="single" w:color="1B242A" w:themeColor="accent1" w:sz="8" w:space="0"/>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color="007586" w:themeColor="accent2" w:sz="8" w:space="0"/>
        <w:bottom w:val="single" w:color="007586" w:themeColor="accent2" w:sz="8" w:space="0"/>
      </w:tblBorders>
    </w:tblPr>
    <w:tblStylePr w:type="firstRow">
      <w:rPr>
        <w:rFonts w:asciiTheme="majorHAnsi" w:hAnsiTheme="majorHAnsi" w:eastAsiaTheme="majorEastAsia" w:cstheme="majorBidi"/>
      </w:rPr>
      <w:tblPr/>
      <w:tcPr>
        <w:tcBorders>
          <w:top w:val="nil"/>
          <w:bottom w:val="single" w:color="007586" w:themeColor="accent2" w:sz="8" w:space="0"/>
        </w:tcBorders>
      </w:tcPr>
    </w:tblStylePr>
    <w:tblStylePr w:type="lastRow">
      <w:rPr>
        <w:b/>
        <w:bCs/>
        <w:color w:val="007586" w:themeColor="text2"/>
      </w:rPr>
      <w:tblPr/>
      <w:tcPr>
        <w:tcBorders>
          <w:top w:val="single" w:color="007586" w:themeColor="accent2" w:sz="8" w:space="0"/>
          <w:bottom w:val="single" w:color="007586" w:themeColor="accent2" w:sz="8" w:space="0"/>
        </w:tcBorders>
      </w:tcPr>
    </w:tblStylePr>
    <w:tblStylePr w:type="firstCol">
      <w:rPr>
        <w:b/>
        <w:bCs/>
      </w:rPr>
    </w:tblStylePr>
    <w:tblStylePr w:type="lastCol">
      <w:rPr>
        <w:b/>
        <w:bCs/>
      </w:rPr>
      <w:tblPr/>
      <w:tcPr>
        <w:tcBorders>
          <w:top w:val="single" w:color="007586" w:themeColor="accent2" w:sz="8" w:space="0"/>
          <w:bottom w:val="single" w:color="007586" w:themeColor="accent2" w:sz="8" w:space="0"/>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color="5AB9EB" w:themeColor="accent3" w:sz="8" w:space="0"/>
        <w:bottom w:val="single" w:color="5AB9EB" w:themeColor="accent3" w:sz="8" w:space="0"/>
      </w:tblBorders>
    </w:tblPr>
    <w:tblStylePr w:type="firstRow">
      <w:rPr>
        <w:rFonts w:asciiTheme="majorHAnsi" w:hAnsiTheme="majorHAnsi" w:eastAsiaTheme="majorEastAsia" w:cstheme="majorBidi"/>
      </w:rPr>
      <w:tblPr/>
      <w:tcPr>
        <w:tcBorders>
          <w:top w:val="nil"/>
          <w:bottom w:val="single" w:color="5AB9EB" w:themeColor="accent3" w:sz="8" w:space="0"/>
        </w:tcBorders>
      </w:tcPr>
    </w:tblStylePr>
    <w:tblStylePr w:type="lastRow">
      <w:rPr>
        <w:b/>
        <w:bCs/>
        <w:color w:val="007586" w:themeColor="text2"/>
      </w:rPr>
      <w:tblPr/>
      <w:tcPr>
        <w:tcBorders>
          <w:top w:val="single" w:color="5AB9EB" w:themeColor="accent3" w:sz="8" w:space="0"/>
          <w:bottom w:val="single" w:color="5AB9EB" w:themeColor="accent3" w:sz="8" w:space="0"/>
        </w:tcBorders>
      </w:tcPr>
    </w:tblStylePr>
    <w:tblStylePr w:type="firstCol">
      <w:rPr>
        <w:b/>
        <w:bCs/>
      </w:rPr>
    </w:tblStylePr>
    <w:tblStylePr w:type="lastCol">
      <w:rPr>
        <w:b/>
        <w:bCs/>
      </w:rPr>
      <w:tblPr/>
      <w:tcPr>
        <w:tcBorders>
          <w:top w:val="single" w:color="5AB9EB" w:themeColor="accent3" w:sz="8" w:space="0"/>
          <w:bottom w:val="single" w:color="5AB9EB" w:themeColor="accent3" w:sz="8" w:space="0"/>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color="004C97" w:themeColor="accent4" w:sz="8" w:space="0"/>
        <w:bottom w:val="single" w:color="004C97" w:themeColor="accent4" w:sz="8" w:space="0"/>
      </w:tblBorders>
    </w:tblPr>
    <w:tblStylePr w:type="firstRow">
      <w:rPr>
        <w:rFonts w:asciiTheme="majorHAnsi" w:hAnsiTheme="majorHAnsi" w:eastAsiaTheme="majorEastAsia" w:cstheme="majorBidi"/>
      </w:rPr>
      <w:tblPr/>
      <w:tcPr>
        <w:tcBorders>
          <w:top w:val="nil"/>
          <w:bottom w:val="single" w:color="004C97" w:themeColor="accent4" w:sz="8" w:space="0"/>
        </w:tcBorders>
      </w:tcPr>
    </w:tblStylePr>
    <w:tblStylePr w:type="lastRow">
      <w:rPr>
        <w:b/>
        <w:bCs/>
        <w:color w:val="007586" w:themeColor="text2"/>
      </w:rPr>
      <w:tblPr/>
      <w:tcPr>
        <w:tcBorders>
          <w:top w:val="single" w:color="004C97" w:themeColor="accent4" w:sz="8" w:space="0"/>
          <w:bottom w:val="single" w:color="004C97" w:themeColor="accent4" w:sz="8" w:space="0"/>
        </w:tcBorders>
      </w:tcPr>
    </w:tblStylePr>
    <w:tblStylePr w:type="firstCol">
      <w:rPr>
        <w:b/>
        <w:bCs/>
      </w:rPr>
    </w:tblStylePr>
    <w:tblStylePr w:type="lastCol">
      <w:rPr>
        <w:b/>
        <w:bCs/>
      </w:rPr>
      <w:tblPr/>
      <w:tcPr>
        <w:tcBorders>
          <w:top w:val="single" w:color="004C97" w:themeColor="accent4" w:sz="8" w:space="0"/>
          <w:bottom w:val="single" w:color="004C97" w:themeColor="accent4" w:sz="8" w:space="0"/>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color="5AAA64" w:themeColor="accent5" w:sz="8" w:space="0"/>
        <w:bottom w:val="single" w:color="5AAA64" w:themeColor="accent5" w:sz="8" w:space="0"/>
      </w:tblBorders>
    </w:tblPr>
    <w:tblStylePr w:type="firstRow">
      <w:rPr>
        <w:rFonts w:asciiTheme="majorHAnsi" w:hAnsiTheme="majorHAnsi" w:eastAsiaTheme="majorEastAsia" w:cstheme="majorBidi"/>
      </w:rPr>
      <w:tblPr/>
      <w:tcPr>
        <w:tcBorders>
          <w:top w:val="nil"/>
          <w:bottom w:val="single" w:color="5AAA64" w:themeColor="accent5" w:sz="8" w:space="0"/>
        </w:tcBorders>
      </w:tcPr>
    </w:tblStylePr>
    <w:tblStylePr w:type="lastRow">
      <w:rPr>
        <w:b/>
        <w:bCs/>
        <w:color w:val="007586" w:themeColor="text2"/>
      </w:rPr>
      <w:tblPr/>
      <w:tcPr>
        <w:tcBorders>
          <w:top w:val="single" w:color="5AAA64" w:themeColor="accent5" w:sz="8" w:space="0"/>
          <w:bottom w:val="single" w:color="5AAA64" w:themeColor="accent5" w:sz="8" w:space="0"/>
        </w:tcBorders>
      </w:tcPr>
    </w:tblStylePr>
    <w:tblStylePr w:type="firstCol">
      <w:rPr>
        <w:b/>
        <w:bCs/>
      </w:rPr>
    </w:tblStylePr>
    <w:tblStylePr w:type="lastCol">
      <w:rPr>
        <w:b/>
        <w:bCs/>
      </w:rPr>
      <w:tblPr/>
      <w:tcPr>
        <w:tcBorders>
          <w:top w:val="single" w:color="5AAA64" w:themeColor="accent5" w:sz="8" w:space="0"/>
          <w:bottom w:val="single" w:color="5AAA64" w:themeColor="accent5" w:sz="8" w:space="0"/>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color="E6643C" w:themeColor="accent6" w:sz="8" w:space="0"/>
        <w:bottom w:val="single" w:color="E6643C" w:themeColor="accent6" w:sz="8" w:space="0"/>
      </w:tblBorders>
    </w:tblPr>
    <w:tblStylePr w:type="firstRow">
      <w:rPr>
        <w:rFonts w:asciiTheme="majorHAnsi" w:hAnsiTheme="majorHAnsi" w:eastAsiaTheme="majorEastAsia" w:cstheme="majorBidi"/>
      </w:rPr>
      <w:tblPr/>
      <w:tcPr>
        <w:tcBorders>
          <w:top w:val="nil"/>
          <w:bottom w:val="single" w:color="E6643C" w:themeColor="accent6" w:sz="8" w:space="0"/>
        </w:tcBorders>
      </w:tcPr>
    </w:tblStylePr>
    <w:tblStylePr w:type="lastRow">
      <w:rPr>
        <w:b/>
        <w:bCs/>
        <w:color w:val="007586" w:themeColor="text2"/>
      </w:rPr>
      <w:tblPr/>
      <w:tcPr>
        <w:tcBorders>
          <w:top w:val="single" w:color="E6643C" w:themeColor="accent6" w:sz="8" w:space="0"/>
          <w:bottom w:val="single" w:color="E6643C" w:themeColor="accent6" w:sz="8" w:space="0"/>
        </w:tcBorders>
      </w:tcPr>
    </w:tblStylePr>
    <w:tblStylePr w:type="firstCol">
      <w:rPr>
        <w:b/>
        <w:bCs/>
      </w:rPr>
    </w:tblStylePr>
    <w:tblStylePr w:type="lastCol">
      <w:rPr>
        <w:b/>
        <w:bCs/>
      </w:rPr>
      <w:tblPr/>
      <w:tcPr>
        <w:tcBorders>
          <w:top w:val="single" w:color="E6643C" w:themeColor="accent6" w:sz="8" w:space="0"/>
          <w:bottom w:val="single" w:color="E6643C" w:themeColor="accent6" w:sz="8" w:space="0"/>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tblBorders>
    </w:tblPr>
    <w:tblStylePr w:type="firstRow">
      <w:rPr>
        <w:sz w:val="24"/>
        <w:szCs w:val="24"/>
      </w:rPr>
      <w:tblPr/>
      <w:tcPr>
        <w:tcBorders>
          <w:top w:val="nil"/>
          <w:left w:val="nil"/>
          <w:bottom w:val="single" w:color="1B242A" w:themeColor="accent1" w:sz="24" w:space="0"/>
          <w:right w:val="nil"/>
          <w:insideH w:val="nil"/>
          <w:insideV w:val="nil"/>
        </w:tcBorders>
        <w:shd w:val="clear" w:color="auto" w:fill="FFFFFF" w:themeFill="background1"/>
      </w:tcPr>
    </w:tblStylePr>
    <w:tblStylePr w:type="lastRow">
      <w:tblPr/>
      <w:tcPr>
        <w:tcBorders>
          <w:top w:val="single" w:color="1B242A"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B242A" w:themeColor="accent1" w:sz="8" w:space="0"/>
          <w:insideH w:val="nil"/>
          <w:insideV w:val="nil"/>
        </w:tcBorders>
        <w:shd w:val="clear" w:color="auto" w:fill="FFFFFF" w:themeFill="background1"/>
      </w:tcPr>
    </w:tblStylePr>
    <w:tblStylePr w:type="lastCol">
      <w:tblPr/>
      <w:tcPr>
        <w:tcBorders>
          <w:top w:val="nil"/>
          <w:left w:val="single" w:color="1B242A"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tblBorders>
    </w:tblPr>
    <w:tblStylePr w:type="firstRow">
      <w:rPr>
        <w:sz w:val="24"/>
        <w:szCs w:val="24"/>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tblPr/>
      <w:tcPr>
        <w:tcBorders>
          <w:top w:val="single" w:color="007586"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7586" w:themeColor="accent2" w:sz="8" w:space="0"/>
          <w:insideH w:val="nil"/>
          <w:insideV w:val="nil"/>
        </w:tcBorders>
        <w:shd w:val="clear" w:color="auto" w:fill="FFFFFF" w:themeFill="background1"/>
      </w:tcPr>
    </w:tblStylePr>
    <w:tblStylePr w:type="lastCol">
      <w:tblPr/>
      <w:tcPr>
        <w:tcBorders>
          <w:top w:val="nil"/>
          <w:left w:val="single" w:color="00758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tblBorders>
    </w:tblPr>
    <w:tblStylePr w:type="firstRow">
      <w:rPr>
        <w:sz w:val="24"/>
        <w:szCs w:val="24"/>
      </w:rPr>
      <w:tblPr/>
      <w:tcPr>
        <w:tcBorders>
          <w:top w:val="nil"/>
          <w:left w:val="nil"/>
          <w:bottom w:val="single" w:color="5AB9EB" w:themeColor="accent3" w:sz="24" w:space="0"/>
          <w:right w:val="nil"/>
          <w:insideH w:val="nil"/>
          <w:insideV w:val="nil"/>
        </w:tcBorders>
        <w:shd w:val="clear" w:color="auto" w:fill="FFFFFF" w:themeFill="background1"/>
      </w:tcPr>
    </w:tblStylePr>
    <w:tblStylePr w:type="lastRow">
      <w:tblPr/>
      <w:tcPr>
        <w:tcBorders>
          <w:top w:val="single" w:color="5AB9EB"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AB9EB" w:themeColor="accent3" w:sz="8" w:space="0"/>
          <w:insideH w:val="nil"/>
          <w:insideV w:val="nil"/>
        </w:tcBorders>
        <w:shd w:val="clear" w:color="auto" w:fill="FFFFFF" w:themeFill="background1"/>
      </w:tcPr>
    </w:tblStylePr>
    <w:tblStylePr w:type="lastCol">
      <w:tblPr/>
      <w:tcPr>
        <w:tcBorders>
          <w:top w:val="nil"/>
          <w:left w:val="single" w:color="5AB9EB"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tblBorders>
    </w:tblPr>
    <w:tblStylePr w:type="firstRow">
      <w:rPr>
        <w:sz w:val="24"/>
        <w:szCs w:val="24"/>
      </w:rPr>
      <w:tblPr/>
      <w:tcPr>
        <w:tcBorders>
          <w:top w:val="nil"/>
          <w:left w:val="nil"/>
          <w:bottom w:val="single" w:color="004C97" w:themeColor="accent4" w:sz="24" w:space="0"/>
          <w:right w:val="nil"/>
          <w:insideH w:val="nil"/>
          <w:insideV w:val="nil"/>
        </w:tcBorders>
        <w:shd w:val="clear" w:color="auto" w:fill="FFFFFF" w:themeFill="background1"/>
      </w:tcPr>
    </w:tblStylePr>
    <w:tblStylePr w:type="lastRow">
      <w:tblPr/>
      <w:tcPr>
        <w:tcBorders>
          <w:top w:val="single" w:color="004C97"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4C97" w:themeColor="accent4" w:sz="8" w:space="0"/>
          <w:insideH w:val="nil"/>
          <w:insideV w:val="nil"/>
        </w:tcBorders>
        <w:shd w:val="clear" w:color="auto" w:fill="FFFFFF" w:themeFill="background1"/>
      </w:tcPr>
    </w:tblStylePr>
    <w:tblStylePr w:type="lastCol">
      <w:tblPr/>
      <w:tcPr>
        <w:tcBorders>
          <w:top w:val="nil"/>
          <w:left w:val="single" w:color="004C9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tblBorders>
    </w:tblPr>
    <w:tblStylePr w:type="firstRow">
      <w:rPr>
        <w:sz w:val="24"/>
        <w:szCs w:val="24"/>
      </w:rPr>
      <w:tblPr/>
      <w:tcPr>
        <w:tcBorders>
          <w:top w:val="nil"/>
          <w:left w:val="nil"/>
          <w:bottom w:val="single" w:color="5AAA64" w:themeColor="accent5" w:sz="24" w:space="0"/>
          <w:right w:val="nil"/>
          <w:insideH w:val="nil"/>
          <w:insideV w:val="nil"/>
        </w:tcBorders>
        <w:shd w:val="clear" w:color="auto" w:fill="FFFFFF" w:themeFill="background1"/>
      </w:tcPr>
    </w:tblStylePr>
    <w:tblStylePr w:type="lastRow">
      <w:tblPr/>
      <w:tcPr>
        <w:tcBorders>
          <w:top w:val="single" w:color="5AAA6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AAA64" w:themeColor="accent5" w:sz="8" w:space="0"/>
          <w:insideH w:val="nil"/>
          <w:insideV w:val="nil"/>
        </w:tcBorders>
        <w:shd w:val="clear" w:color="auto" w:fill="FFFFFF" w:themeFill="background1"/>
      </w:tcPr>
    </w:tblStylePr>
    <w:tblStylePr w:type="lastCol">
      <w:tblPr/>
      <w:tcPr>
        <w:tcBorders>
          <w:top w:val="nil"/>
          <w:left w:val="single" w:color="5AAA6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tblBorders>
    </w:tblPr>
    <w:tblStylePr w:type="firstRow">
      <w:rPr>
        <w:sz w:val="24"/>
        <w:szCs w:val="24"/>
      </w:rPr>
      <w:tblPr/>
      <w:tcPr>
        <w:tcBorders>
          <w:top w:val="nil"/>
          <w:left w:val="nil"/>
          <w:bottom w:val="single" w:color="E6643C" w:themeColor="accent6" w:sz="24" w:space="0"/>
          <w:right w:val="nil"/>
          <w:insideH w:val="nil"/>
          <w:insideV w:val="nil"/>
        </w:tcBorders>
        <w:shd w:val="clear" w:color="auto" w:fill="FFFFFF" w:themeFill="background1"/>
      </w:tcPr>
    </w:tblStylePr>
    <w:tblStylePr w:type="lastRow">
      <w:tblPr/>
      <w:tcPr>
        <w:tcBorders>
          <w:top w:val="single" w:color="E6643C"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6643C" w:themeColor="accent6" w:sz="8" w:space="0"/>
          <w:insideH w:val="nil"/>
          <w:insideV w:val="nil"/>
        </w:tcBorders>
        <w:shd w:val="clear" w:color="auto" w:fill="FFFFFF" w:themeFill="background1"/>
      </w:tcPr>
    </w:tblStylePr>
    <w:tblStylePr w:type="lastCol">
      <w:tblPr/>
      <w:tcPr>
        <w:tcBorders>
          <w:top w:val="nil"/>
          <w:left w:val="single" w:color="E6643C"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color="465D6D" w:themeColor="accent1" w:themeTint="BF" w:sz="8" w:space="0"/>
        <w:left w:val="single" w:color="465D6D" w:themeColor="accent1" w:themeTint="BF" w:sz="8" w:space="0"/>
        <w:bottom w:val="single" w:color="465D6D" w:themeColor="accent1" w:themeTint="BF" w:sz="8" w:space="0"/>
        <w:right w:val="single" w:color="465D6D" w:themeColor="accent1" w:themeTint="BF" w:sz="8" w:space="0"/>
        <w:insideH w:val="single" w:color="465D6D" w:themeColor="accent1" w:themeTint="BF" w:sz="8" w:space="0"/>
      </w:tblBorders>
    </w:tblPr>
    <w:tblStylePr w:type="firstRow">
      <w:pPr>
        <w:spacing w:before="0" w:after="0" w:line="240" w:lineRule="auto"/>
      </w:pPr>
      <w:rPr>
        <w:b/>
        <w:bCs/>
        <w:color w:val="FFFFFF" w:themeColor="background1"/>
      </w:rPr>
      <w:tblPr/>
      <w:tcPr>
        <w:tcBorders>
          <w:top w:val="single" w:color="465D6D" w:themeColor="accent1" w:themeTint="BF" w:sz="8" w:space="0"/>
          <w:left w:val="single" w:color="465D6D" w:themeColor="accent1" w:themeTint="BF" w:sz="8" w:space="0"/>
          <w:bottom w:val="single" w:color="465D6D" w:themeColor="accent1" w:themeTint="BF" w:sz="8" w:space="0"/>
          <w:right w:val="single" w:color="465D6D" w:themeColor="accent1" w:themeTint="BF" w:sz="8" w:space="0"/>
          <w:insideH w:val="nil"/>
          <w:insideV w:val="nil"/>
        </w:tcBorders>
        <w:shd w:val="clear" w:color="auto" w:fill="1B242A" w:themeFill="accent1"/>
      </w:tcPr>
    </w:tblStylePr>
    <w:tblStylePr w:type="lastRow">
      <w:pPr>
        <w:spacing w:before="0" w:after="0" w:line="240" w:lineRule="auto"/>
      </w:pPr>
      <w:rPr>
        <w:b/>
        <w:bCs/>
      </w:rPr>
      <w:tblPr/>
      <w:tcPr>
        <w:tcBorders>
          <w:top w:val="double" w:color="465D6D" w:themeColor="accent1" w:themeTint="BF" w:sz="6" w:space="0"/>
          <w:left w:val="single" w:color="465D6D" w:themeColor="accent1" w:themeTint="BF" w:sz="8" w:space="0"/>
          <w:bottom w:val="single" w:color="465D6D" w:themeColor="accent1" w:themeTint="BF" w:sz="8" w:space="0"/>
          <w:right w:val="single" w:color="465D6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color="00C6E4" w:themeColor="accent2" w:themeTint="BF" w:sz="8" w:space="0"/>
        <w:left w:val="single" w:color="00C6E4" w:themeColor="accent2" w:themeTint="BF" w:sz="8" w:space="0"/>
        <w:bottom w:val="single" w:color="00C6E4" w:themeColor="accent2" w:themeTint="BF" w:sz="8" w:space="0"/>
        <w:right w:val="single" w:color="00C6E4" w:themeColor="accent2" w:themeTint="BF" w:sz="8" w:space="0"/>
        <w:insideH w:val="single" w:color="00C6E4" w:themeColor="accent2" w:themeTint="BF" w:sz="8" w:space="0"/>
      </w:tblBorders>
    </w:tblPr>
    <w:tblStylePr w:type="firstRow">
      <w:pPr>
        <w:spacing w:before="0" w:after="0" w:line="240" w:lineRule="auto"/>
      </w:pPr>
      <w:rPr>
        <w:b/>
        <w:bCs/>
        <w:color w:val="FFFFFF" w:themeColor="background1"/>
      </w:rPr>
      <w:tblPr/>
      <w:tcPr>
        <w:tcBorders>
          <w:top w:val="single" w:color="00C6E4" w:themeColor="accent2" w:themeTint="BF" w:sz="8" w:space="0"/>
          <w:left w:val="single" w:color="00C6E4" w:themeColor="accent2" w:themeTint="BF" w:sz="8" w:space="0"/>
          <w:bottom w:val="single" w:color="00C6E4" w:themeColor="accent2" w:themeTint="BF" w:sz="8" w:space="0"/>
          <w:right w:val="single" w:color="00C6E4" w:themeColor="accent2" w:themeTint="BF" w:sz="8" w:space="0"/>
          <w:insideH w:val="nil"/>
          <w:insideV w:val="nil"/>
        </w:tcBorders>
        <w:shd w:val="clear" w:color="auto" w:fill="007586" w:themeFill="accent2"/>
      </w:tcPr>
    </w:tblStylePr>
    <w:tblStylePr w:type="lastRow">
      <w:pPr>
        <w:spacing w:before="0" w:after="0" w:line="240" w:lineRule="auto"/>
      </w:pPr>
      <w:rPr>
        <w:b/>
        <w:bCs/>
      </w:rPr>
      <w:tblPr/>
      <w:tcPr>
        <w:tcBorders>
          <w:top w:val="double" w:color="00C6E4" w:themeColor="accent2" w:themeTint="BF" w:sz="6" w:space="0"/>
          <w:left w:val="single" w:color="00C6E4" w:themeColor="accent2" w:themeTint="BF" w:sz="8" w:space="0"/>
          <w:bottom w:val="single" w:color="00C6E4" w:themeColor="accent2" w:themeTint="BF" w:sz="8" w:space="0"/>
          <w:right w:val="single" w:color="00C6E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color="83CAF0" w:themeColor="accent3" w:themeTint="BF" w:sz="8" w:space="0"/>
        <w:left w:val="single" w:color="83CAF0" w:themeColor="accent3" w:themeTint="BF" w:sz="8" w:space="0"/>
        <w:bottom w:val="single" w:color="83CAF0" w:themeColor="accent3" w:themeTint="BF" w:sz="8" w:space="0"/>
        <w:right w:val="single" w:color="83CAF0" w:themeColor="accent3" w:themeTint="BF" w:sz="8" w:space="0"/>
        <w:insideH w:val="single" w:color="83CAF0" w:themeColor="accent3" w:themeTint="BF" w:sz="8" w:space="0"/>
      </w:tblBorders>
    </w:tblPr>
    <w:tblStylePr w:type="firstRow">
      <w:pPr>
        <w:spacing w:before="0" w:after="0" w:line="240" w:lineRule="auto"/>
      </w:pPr>
      <w:rPr>
        <w:b/>
        <w:bCs/>
        <w:color w:val="FFFFFF" w:themeColor="background1"/>
      </w:rPr>
      <w:tblPr/>
      <w:tcPr>
        <w:tcBorders>
          <w:top w:val="single" w:color="83CAF0" w:themeColor="accent3" w:themeTint="BF" w:sz="8" w:space="0"/>
          <w:left w:val="single" w:color="83CAF0" w:themeColor="accent3" w:themeTint="BF" w:sz="8" w:space="0"/>
          <w:bottom w:val="single" w:color="83CAF0" w:themeColor="accent3" w:themeTint="BF" w:sz="8" w:space="0"/>
          <w:right w:val="single" w:color="83CAF0" w:themeColor="accent3" w:themeTint="BF" w:sz="8" w:space="0"/>
          <w:insideH w:val="nil"/>
          <w:insideV w:val="nil"/>
        </w:tcBorders>
        <w:shd w:val="clear" w:color="auto" w:fill="5AB9EB" w:themeFill="accent3"/>
      </w:tcPr>
    </w:tblStylePr>
    <w:tblStylePr w:type="lastRow">
      <w:pPr>
        <w:spacing w:before="0" w:after="0" w:line="240" w:lineRule="auto"/>
      </w:pPr>
      <w:rPr>
        <w:b/>
        <w:bCs/>
      </w:rPr>
      <w:tblPr/>
      <w:tcPr>
        <w:tcBorders>
          <w:top w:val="double" w:color="83CAF0" w:themeColor="accent3" w:themeTint="BF" w:sz="6" w:space="0"/>
          <w:left w:val="single" w:color="83CAF0" w:themeColor="accent3" w:themeTint="BF" w:sz="8" w:space="0"/>
          <w:bottom w:val="single" w:color="83CAF0" w:themeColor="accent3" w:themeTint="BF" w:sz="8" w:space="0"/>
          <w:right w:val="single" w:color="83CAF0"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color="0078F1" w:themeColor="accent4" w:themeTint="BF" w:sz="8" w:space="0"/>
        <w:left w:val="single" w:color="0078F1" w:themeColor="accent4" w:themeTint="BF" w:sz="8" w:space="0"/>
        <w:bottom w:val="single" w:color="0078F1" w:themeColor="accent4" w:themeTint="BF" w:sz="8" w:space="0"/>
        <w:right w:val="single" w:color="0078F1" w:themeColor="accent4" w:themeTint="BF" w:sz="8" w:space="0"/>
        <w:insideH w:val="single" w:color="0078F1" w:themeColor="accent4" w:themeTint="BF" w:sz="8" w:space="0"/>
      </w:tblBorders>
    </w:tblPr>
    <w:tblStylePr w:type="firstRow">
      <w:pPr>
        <w:spacing w:before="0" w:after="0" w:line="240" w:lineRule="auto"/>
      </w:pPr>
      <w:rPr>
        <w:b/>
        <w:bCs/>
        <w:color w:val="FFFFFF" w:themeColor="background1"/>
      </w:rPr>
      <w:tblPr/>
      <w:tcPr>
        <w:tcBorders>
          <w:top w:val="single" w:color="0078F1" w:themeColor="accent4" w:themeTint="BF" w:sz="8" w:space="0"/>
          <w:left w:val="single" w:color="0078F1" w:themeColor="accent4" w:themeTint="BF" w:sz="8" w:space="0"/>
          <w:bottom w:val="single" w:color="0078F1" w:themeColor="accent4" w:themeTint="BF" w:sz="8" w:space="0"/>
          <w:right w:val="single" w:color="0078F1" w:themeColor="accent4" w:themeTint="BF" w:sz="8" w:space="0"/>
          <w:insideH w:val="nil"/>
          <w:insideV w:val="nil"/>
        </w:tcBorders>
        <w:shd w:val="clear" w:color="auto" w:fill="004C97" w:themeFill="accent4"/>
      </w:tcPr>
    </w:tblStylePr>
    <w:tblStylePr w:type="lastRow">
      <w:pPr>
        <w:spacing w:before="0" w:after="0" w:line="240" w:lineRule="auto"/>
      </w:pPr>
      <w:rPr>
        <w:b/>
        <w:bCs/>
      </w:rPr>
      <w:tblPr/>
      <w:tcPr>
        <w:tcBorders>
          <w:top w:val="double" w:color="0078F1" w:themeColor="accent4" w:themeTint="BF" w:sz="6" w:space="0"/>
          <w:left w:val="single" w:color="0078F1" w:themeColor="accent4" w:themeTint="BF" w:sz="8" w:space="0"/>
          <w:bottom w:val="single" w:color="0078F1" w:themeColor="accent4" w:themeTint="BF" w:sz="8" w:space="0"/>
          <w:right w:val="single" w:color="0078F1"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color="83BF8A" w:themeColor="accent5" w:themeTint="BF" w:sz="8" w:space="0"/>
        <w:left w:val="single" w:color="83BF8A" w:themeColor="accent5" w:themeTint="BF" w:sz="8" w:space="0"/>
        <w:bottom w:val="single" w:color="83BF8A" w:themeColor="accent5" w:themeTint="BF" w:sz="8" w:space="0"/>
        <w:right w:val="single" w:color="83BF8A" w:themeColor="accent5" w:themeTint="BF" w:sz="8" w:space="0"/>
        <w:insideH w:val="single" w:color="83BF8A" w:themeColor="accent5" w:themeTint="BF" w:sz="8" w:space="0"/>
      </w:tblBorders>
    </w:tblPr>
    <w:tblStylePr w:type="firstRow">
      <w:pPr>
        <w:spacing w:before="0" w:after="0" w:line="240" w:lineRule="auto"/>
      </w:pPr>
      <w:rPr>
        <w:b/>
        <w:bCs/>
        <w:color w:val="FFFFFF" w:themeColor="background1"/>
      </w:rPr>
      <w:tblPr/>
      <w:tcPr>
        <w:tcBorders>
          <w:top w:val="single" w:color="83BF8A" w:themeColor="accent5" w:themeTint="BF" w:sz="8" w:space="0"/>
          <w:left w:val="single" w:color="83BF8A" w:themeColor="accent5" w:themeTint="BF" w:sz="8" w:space="0"/>
          <w:bottom w:val="single" w:color="83BF8A" w:themeColor="accent5" w:themeTint="BF" w:sz="8" w:space="0"/>
          <w:right w:val="single" w:color="83BF8A" w:themeColor="accent5" w:themeTint="BF" w:sz="8" w:space="0"/>
          <w:insideH w:val="nil"/>
          <w:insideV w:val="nil"/>
        </w:tcBorders>
        <w:shd w:val="clear" w:color="auto" w:fill="5AAA64" w:themeFill="accent5"/>
      </w:tcPr>
    </w:tblStylePr>
    <w:tblStylePr w:type="lastRow">
      <w:pPr>
        <w:spacing w:before="0" w:after="0" w:line="240" w:lineRule="auto"/>
      </w:pPr>
      <w:rPr>
        <w:b/>
        <w:bCs/>
      </w:rPr>
      <w:tblPr/>
      <w:tcPr>
        <w:tcBorders>
          <w:top w:val="double" w:color="83BF8A" w:themeColor="accent5" w:themeTint="BF" w:sz="6" w:space="0"/>
          <w:left w:val="single" w:color="83BF8A" w:themeColor="accent5" w:themeTint="BF" w:sz="8" w:space="0"/>
          <w:bottom w:val="single" w:color="83BF8A" w:themeColor="accent5" w:themeTint="BF" w:sz="8" w:space="0"/>
          <w:right w:val="single" w:color="83BF8A"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color="EC8A6C" w:themeColor="accent6" w:themeTint="BF" w:sz="8" w:space="0"/>
        <w:left w:val="single" w:color="EC8A6C" w:themeColor="accent6" w:themeTint="BF" w:sz="8" w:space="0"/>
        <w:bottom w:val="single" w:color="EC8A6C" w:themeColor="accent6" w:themeTint="BF" w:sz="8" w:space="0"/>
        <w:right w:val="single" w:color="EC8A6C" w:themeColor="accent6" w:themeTint="BF" w:sz="8" w:space="0"/>
        <w:insideH w:val="single" w:color="EC8A6C" w:themeColor="accent6" w:themeTint="BF" w:sz="8" w:space="0"/>
      </w:tblBorders>
    </w:tblPr>
    <w:tblStylePr w:type="firstRow">
      <w:pPr>
        <w:spacing w:before="0" w:after="0" w:line="240" w:lineRule="auto"/>
      </w:pPr>
      <w:rPr>
        <w:b/>
        <w:bCs/>
        <w:color w:val="FFFFFF" w:themeColor="background1"/>
      </w:rPr>
      <w:tblPr/>
      <w:tcPr>
        <w:tcBorders>
          <w:top w:val="single" w:color="EC8A6C" w:themeColor="accent6" w:themeTint="BF" w:sz="8" w:space="0"/>
          <w:left w:val="single" w:color="EC8A6C" w:themeColor="accent6" w:themeTint="BF" w:sz="8" w:space="0"/>
          <w:bottom w:val="single" w:color="EC8A6C" w:themeColor="accent6" w:themeTint="BF" w:sz="8" w:space="0"/>
          <w:right w:val="single" w:color="EC8A6C" w:themeColor="accent6" w:themeTint="BF" w:sz="8" w:space="0"/>
          <w:insideH w:val="nil"/>
          <w:insideV w:val="nil"/>
        </w:tcBorders>
        <w:shd w:val="clear" w:color="auto" w:fill="E6643C" w:themeFill="accent6"/>
      </w:tcPr>
    </w:tblStylePr>
    <w:tblStylePr w:type="lastRow">
      <w:pPr>
        <w:spacing w:before="0" w:after="0" w:line="240" w:lineRule="auto"/>
      </w:pPr>
      <w:rPr>
        <w:b/>
        <w:bCs/>
      </w:rPr>
      <w:tblPr/>
      <w:tcPr>
        <w:tcBorders>
          <w:top w:val="double" w:color="EC8A6C" w:themeColor="accent6" w:themeTint="BF" w:sz="6" w:space="0"/>
          <w:left w:val="single" w:color="EC8A6C" w:themeColor="accent6" w:themeTint="BF" w:sz="8" w:space="0"/>
          <w:bottom w:val="single" w:color="EC8A6C" w:themeColor="accent6" w:themeTint="BF" w:sz="8" w:space="0"/>
          <w:right w:val="single" w:color="EC8A6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SCVpullouttext" w:customStyle="1">
    <w:name w:val="SCV pullout text"/>
    <w:basedOn w:val="SCVbody"/>
    <w:uiPriority w:val="13"/>
    <w:qFormat/>
    <w:rsid w:val="004D7778"/>
    <w:pPr>
      <w:spacing w:after="120"/>
    </w:pPr>
    <w:rPr>
      <w:color w:val="007586" w:themeColor="text2"/>
    </w:rPr>
  </w:style>
  <w:style w:type="paragraph" w:styleId="SCVpulloutheading" w:customStyle="1">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styleId="SCVInformationTable" w:customStyle="1">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styleId="Heading5Char" w:customStyle="1">
    <w:name w:val="Heading 5 Char"/>
    <w:basedOn w:val="DefaultParagraphFont"/>
    <w:link w:val="Heading5"/>
    <w:uiPriority w:val="1"/>
    <w:semiHidden/>
    <w:rsid w:val="00B15592"/>
    <w:rPr>
      <w:rFonts w:asciiTheme="majorHAnsi" w:hAnsiTheme="majorHAnsi" w:eastAsiaTheme="majorEastAsia" w:cstheme="majorBidi"/>
      <w:color w:val="141A1F" w:themeColor="accent1" w:themeShade="BF"/>
    </w:rPr>
  </w:style>
  <w:style w:type="paragraph" w:styleId="SCVnumberloweralphaindent" w:customStyle="1">
    <w:name w:val="SCV number lower alpha indent"/>
    <w:basedOn w:val="SCVbody"/>
    <w:uiPriority w:val="29"/>
    <w:rsid w:val="00AE5E04"/>
    <w:pPr>
      <w:numPr>
        <w:ilvl w:val="1"/>
        <w:numId w:val="33"/>
      </w:numPr>
      <w:spacing w:before="60" w:after="60"/>
    </w:pPr>
    <w:rPr>
      <w:rFonts w:eastAsia="Times New Roman" w:cstheme="minorHAnsi"/>
      <w:lang w:eastAsia="en-US"/>
    </w:rPr>
  </w:style>
  <w:style w:type="paragraph" w:styleId="SCVtablebody" w:customStyle="1">
    <w:name w:val="SCV table body"/>
    <w:uiPriority w:val="22"/>
    <w:qFormat/>
    <w:rsid w:val="000D1042"/>
    <w:pPr>
      <w:spacing w:before="80" w:after="60" w:line="240" w:lineRule="atLeast"/>
    </w:pPr>
    <w:rPr>
      <w:rFonts w:eastAsia="Times New Roman" w:cstheme="minorHAnsi"/>
      <w:sz w:val="18"/>
      <w:szCs w:val="21"/>
      <w:lang w:eastAsia="en-US"/>
    </w:rPr>
  </w:style>
  <w:style w:type="paragraph" w:styleId="SCVnumberdigit" w:customStyle="1">
    <w:name w:val="SCV number digit"/>
    <w:basedOn w:val="SCVbody"/>
    <w:uiPriority w:val="29"/>
    <w:rsid w:val="00AE5E04"/>
    <w:pPr>
      <w:numPr>
        <w:numId w:val="33"/>
      </w:numPr>
      <w:spacing w:before="60" w:after="60"/>
    </w:pPr>
    <w:rPr>
      <w:rFonts w:eastAsia="Times New Roman" w:cstheme="minorHAnsi"/>
      <w:lang w:eastAsia="en-US"/>
    </w:rPr>
  </w:style>
  <w:style w:type="paragraph" w:styleId="SCVtablecolhead" w:customStyle="1">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styleId="SCVbodyaftertablefigure" w:customStyle="1">
    <w:name w:val="SCV body after table/figure"/>
    <w:basedOn w:val="SCVbody"/>
    <w:next w:val="SCVbody"/>
    <w:uiPriority w:val="24"/>
    <w:rsid w:val="005C04F0"/>
    <w:pPr>
      <w:spacing w:before="240"/>
    </w:pPr>
    <w:rPr>
      <w:rFonts w:eastAsia="Times New Roman" w:cstheme="minorHAnsi"/>
      <w:lang w:eastAsia="en-US"/>
    </w:rPr>
  </w:style>
  <w:style w:type="paragraph" w:styleId="SCVquote" w:customStyle="1">
    <w:name w:val="SCV quote"/>
    <w:basedOn w:val="SCVbody"/>
    <w:uiPriority w:val="29"/>
    <w:rsid w:val="0078432C"/>
    <w:pPr>
      <w:ind w:left="397"/>
    </w:pPr>
    <w:rPr>
      <w:rFonts w:eastAsia="Times New Roman" w:cstheme="minorHAnsi"/>
      <w:color w:val="007586" w:themeColor="text2"/>
      <w:szCs w:val="18"/>
      <w:lang w:eastAsia="en-US"/>
    </w:rPr>
  </w:style>
  <w:style w:type="numbering" w:styleId="ZZBulletsafternumbers" w:customStyle="1">
    <w:name w:val="ZZ Bullets after numbers"/>
    <w:basedOn w:val="NoList"/>
    <w:uiPriority w:val="99"/>
    <w:rsid w:val="00FF411C"/>
    <w:pPr>
      <w:numPr>
        <w:numId w:val="40"/>
      </w:numPr>
    </w:pPr>
  </w:style>
  <w:style w:type="paragraph" w:styleId="SCVbulletafternumbers" w:customStyle="1">
    <w:name w:val="SCV bullet after numbers"/>
    <w:basedOn w:val="SCVbody"/>
    <w:uiPriority w:val="24"/>
    <w:rsid w:val="00AE5E04"/>
    <w:pPr>
      <w:numPr>
        <w:ilvl w:val="1"/>
        <w:numId w:val="40"/>
      </w:numPr>
      <w:spacing w:before="60" w:after="60"/>
    </w:pPr>
  </w:style>
  <w:style w:type="paragraph" w:styleId="SCVquotebullet1" w:customStyle="1">
    <w:name w:val="SCV quote bullet 1"/>
    <w:basedOn w:val="SCVquote"/>
    <w:uiPriority w:val="29"/>
    <w:rsid w:val="00994B72"/>
    <w:pPr>
      <w:numPr>
        <w:numId w:val="34"/>
      </w:numPr>
      <w:spacing w:before="60" w:after="60"/>
    </w:pPr>
  </w:style>
  <w:style w:type="paragraph" w:styleId="SCVquotebullet2" w:customStyle="1">
    <w:name w:val="SCV quote bullet 2"/>
    <w:basedOn w:val="SCVquote"/>
    <w:uiPriority w:val="29"/>
    <w:rsid w:val="00994B72"/>
    <w:pPr>
      <w:numPr>
        <w:ilvl w:val="1"/>
        <w:numId w:val="34"/>
      </w:numPr>
      <w:spacing w:before="60" w:after="60"/>
    </w:pPr>
  </w:style>
  <w:style w:type="paragraph" w:styleId="SCVtablebullet1" w:customStyle="1">
    <w:name w:val="SCV table bullet 1"/>
    <w:basedOn w:val="SCVtablebody"/>
    <w:uiPriority w:val="23"/>
    <w:qFormat/>
    <w:rsid w:val="002D6F3C"/>
    <w:pPr>
      <w:numPr>
        <w:numId w:val="35"/>
      </w:numPr>
    </w:pPr>
    <w:rPr>
      <w:szCs w:val="18"/>
    </w:rPr>
  </w:style>
  <w:style w:type="paragraph" w:styleId="SCVtablebullet2" w:customStyle="1">
    <w:name w:val="SCV table bullet 2"/>
    <w:basedOn w:val="SCVtablebody"/>
    <w:uiPriority w:val="23"/>
    <w:rsid w:val="002D6F3C"/>
    <w:pPr>
      <w:numPr>
        <w:ilvl w:val="1"/>
        <w:numId w:val="35"/>
      </w:numPr>
    </w:pPr>
    <w:rPr>
      <w:szCs w:val="18"/>
    </w:rPr>
  </w:style>
  <w:style w:type="character" w:styleId="SCVbodyChar" w:customStyle="1">
    <w:name w:val="SCV body Char"/>
    <w:basedOn w:val="DefaultParagraphFont"/>
    <w:link w:val="SCVbody"/>
    <w:locked/>
    <w:rsid w:val="000D1042"/>
  </w:style>
  <w:style w:type="numbering" w:styleId="ZZNumbersdigit" w:customStyle="1">
    <w:name w:val="ZZ Numbers digit"/>
    <w:rsid w:val="00FF411C"/>
    <w:pPr>
      <w:numPr>
        <w:numId w:val="33"/>
      </w:numPr>
    </w:pPr>
  </w:style>
  <w:style w:type="numbering" w:styleId="ZZTablebullets" w:customStyle="1">
    <w:name w:val="ZZ Table bullets"/>
    <w:rsid w:val="0025578B"/>
    <w:pPr>
      <w:numPr>
        <w:numId w:val="35"/>
      </w:numPr>
    </w:pPr>
  </w:style>
  <w:style w:type="numbering" w:styleId="ZZQuotebullets" w:customStyle="1">
    <w:name w:val="ZZ Quote bullets"/>
    <w:rsid w:val="00994B72"/>
    <w:pPr>
      <w:numPr>
        <w:numId w:val="34"/>
      </w:numPr>
    </w:pPr>
  </w:style>
  <w:style w:type="paragraph" w:styleId="SCVheader" w:customStyle="1">
    <w:name w:val="SCV header"/>
    <w:basedOn w:val="Header"/>
    <w:uiPriority w:val="1"/>
    <w:rsid w:val="009905FA"/>
    <w:pPr>
      <w:pBdr>
        <w:bottom w:val="single" w:color="CCCCD0" w:sz="24" w:space="1"/>
      </w:pBdr>
    </w:pPr>
  </w:style>
  <w:style w:type="paragraph" w:styleId="SCVtablerowhead" w:customStyle="1">
    <w:name w:val="SCV table row head"/>
    <w:basedOn w:val="SCVtablecolhead"/>
    <w:uiPriority w:val="21"/>
    <w:qFormat/>
    <w:rsid w:val="00350441"/>
    <w:rPr>
      <w:rFonts w:cs="Times New Roman"/>
    </w:rPr>
  </w:style>
  <w:style w:type="paragraph" w:styleId="SCVaccessibilitypara" w:customStyle="1">
    <w:name w:val="SCV accessibility para"/>
    <w:basedOn w:val="SCVbody"/>
    <w:uiPriority w:val="29"/>
    <w:rsid w:val="00276717"/>
    <w:rPr>
      <w:sz w:val="24"/>
    </w:rPr>
  </w:style>
  <w:style w:type="character" w:styleId="UnresolvedMention">
    <w:name w:val="Unresolved Mention"/>
    <w:basedOn w:val="DefaultParagraphFont"/>
    <w:uiPriority w:val="99"/>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styleId="SCVpulloutbox" w:customStyle="1">
    <w:name w:val="SCV pullout box"/>
    <w:basedOn w:val="PlainTable1"/>
    <w:uiPriority w:val="99"/>
    <w:rsid w:val="00796484"/>
    <w:pPr>
      <w:spacing w:before="0" w:after="120" w:line="300" w:lineRule="auto"/>
    </w:pPr>
    <w:tblP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ZZTablenumbers" w:customStyle="1">
    <w:name w:val="ZZ Table numbers"/>
    <w:basedOn w:val="NoList"/>
    <w:uiPriority w:val="99"/>
    <w:rsid w:val="00BA5BEB"/>
    <w:pPr>
      <w:numPr>
        <w:numId w:val="37"/>
      </w:numPr>
    </w:pPr>
  </w:style>
  <w:style w:type="paragraph" w:styleId="SCVtablenumber1" w:customStyle="1">
    <w:name w:val="SCV table number 1"/>
    <w:basedOn w:val="SCVtablebody"/>
    <w:uiPriority w:val="29"/>
    <w:rsid w:val="00D863EB"/>
    <w:pPr>
      <w:numPr>
        <w:numId w:val="37"/>
      </w:numPr>
    </w:pPr>
  </w:style>
  <w:style w:type="paragraph" w:styleId="SCVtablenumber2" w:customStyle="1">
    <w:name w:val="SCV table number 2"/>
    <w:basedOn w:val="SCVtablebody"/>
    <w:uiPriority w:val="29"/>
    <w:rsid w:val="00D863EB"/>
    <w:pPr>
      <w:numPr>
        <w:ilvl w:val="1"/>
        <w:numId w:val="37"/>
      </w:numPr>
      <w:spacing w:before="60" w:line="192" w:lineRule="atLeast"/>
    </w:pPr>
    <w:rPr>
      <w:rFonts w:eastAsiaTheme="minorHAnsi"/>
    </w:rPr>
  </w:style>
  <w:style w:type="paragraph" w:styleId="SCVprotectivemarkingbelowsubtitle" w:customStyle="1">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unhideWhenUsed/>
    <w:rsid w:val="005416D7"/>
    <w:pPr>
      <w:spacing w:line="240" w:lineRule="auto"/>
    </w:pPr>
  </w:style>
  <w:style w:type="character" w:styleId="CommentTextChar" w:customStyle="1">
    <w:name w:val="Comment Text Char"/>
    <w:basedOn w:val="DefaultParagraphFont"/>
    <w:link w:val="CommentText"/>
    <w:uiPriority w:val="1"/>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styleId="CommentSubjectChar" w:customStyle="1">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styleId="SCVimprint" w:customStyle="1">
    <w:name w:val="SCV imprint"/>
    <w:basedOn w:val="SCVbody"/>
    <w:uiPriority w:val="1"/>
    <w:rsid w:val="00B37FF8"/>
    <w:pPr>
      <w:spacing w:before="0" w:after="120"/>
    </w:pPr>
    <w:rPr>
      <w:sz w:val="18"/>
      <w:szCs w:val="18"/>
    </w:rPr>
  </w:style>
  <w:style w:type="paragraph" w:styleId="SCVpulloutbullet" w:customStyle="1">
    <w:name w:val="SCV pullout bullet"/>
    <w:basedOn w:val="SCVpullouttext"/>
    <w:uiPriority w:val="1"/>
    <w:rsid w:val="002F4173"/>
    <w:pPr>
      <w:numPr>
        <w:numId w:val="41"/>
      </w:numPr>
      <w:spacing w:before="0"/>
    </w:pPr>
  </w:style>
  <w:style w:type="numbering" w:styleId="ZZPulloutbullets" w:customStyle="1">
    <w:name w:val="ZZ Pullout bullets"/>
    <w:basedOn w:val="NoList"/>
    <w:uiPriority w:val="99"/>
    <w:rsid w:val="002F4173"/>
    <w:pPr>
      <w:numPr>
        <w:numId w:val="41"/>
      </w:numPr>
    </w:pPr>
  </w:style>
  <w:style w:type="paragraph" w:styleId="SCVdate" w:customStyle="1">
    <w:name w:val="SCV date"/>
    <w:basedOn w:val="SCVbody"/>
    <w:uiPriority w:val="1"/>
    <w:rsid w:val="00D15955"/>
    <w:pPr>
      <w:spacing w:before="0" w:after="0"/>
    </w:pPr>
    <w:rPr>
      <w:b/>
      <w:bCs/>
      <w:sz w:val="28"/>
      <w:szCs w:val="28"/>
    </w:rPr>
  </w:style>
  <w:style w:type="paragraph" w:styleId="SCVborderabovetitle" w:customStyle="1">
    <w:name w:val="SCV border above title"/>
    <w:basedOn w:val="SCVbody"/>
    <w:uiPriority w:val="1"/>
    <w:rsid w:val="00521CA5"/>
    <w:pPr>
      <w:pBdr>
        <w:top w:val="single" w:color="D9D9D9" w:themeColor="background1" w:themeShade="D9" w:sz="24" w:space="1"/>
      </w:pBdr>
      <w:spacing w:before="0" w:after="0"/>
    </w:pPr>
    <w:rPr>
      <w:sz w:val="12"/>
    </w:rPr>
  </w:style>
  <w:style w:type="character" w:styleId="Mention">
    <w:name w:val="Mention"/>
    <w:basedOn w:val="DefaultParagraphFont"/>
    <w:uiPriority w:val="99"/>
    <w:unhideWhenUsed/>
    <w:rsid w:val="007536B6"/>
    <w:rPr>
      <w:color w:val="2B579A"/>
      <w:shd w:val="clear" w:color="auto" w:fill="E1DFDD"/>
    </w:rPr>
  </w:style>
  <w:style w:type="paragraph" w:styleId="xmsolistparagraph" w:customStyle="1">
    <w:name w:val="x_msolistparagraph"/>
    <w:basedOn w:val="Normal"/>
    <w:rsid w:val="00887910"/>
    <w:pPr>
      <w:spacing w:before="0" w:after="0" w:line="240" w:lineRule="auto"/>
      <w:ind w:left="720"/>
    </w:pPr>
    <w:rPr>
      <w:rFonts w:ascii="Calibri" w:hAnsi="Calibri" w:cs="Calibri" w:eastAsiaTheme="minorHAnsi"/>
      <w:sz w:val="22"/>
      <w:szCs w:val="22"/>
    </w:rPr>
  </w:style>
  <w:style w:type="paragraph" w:styleId="BBulletnoindent" w:customStyle="1">
    <w:name w:val="BBullet_no indent"/>
    <w:qFormat/>
    <w:rsid w:val="00350819"/>
    <w:pPr>
      <w:numPr>
        <w:numId w:val="58"/>
      </w:numPr>
      <w:spacing w:before="0" w:after="0" w:line="240" w:lineRule="auto"/>
    </w:pPr>
    <w:rPr>
      <w:rFonts w:ascii="Arial" w:hAnsi="Arial" w:eastAsia="Times New Roman" w:cs="Arial"/>
      <w:sz w:val="22"/>
      <w:szCs w:val="22"/>
      <w:lang w:eastAsia="en-US"/>
    </w:rPr>
  </w:style>
  <w:style w:type="paragraph" w:styleId="EndnoteText">
    <w:name w:val="endnote text"/>
    <w:basedOn w:val="Normal"/>
    <w:link w:val="EndnoteTextChar"/>
    <w:uiPriority w:val="1"/>
    <w:semiHidden/>
    <w:unhideWhenUsed/>
    <w:rsid w:val="00B26646"/>
    <w:pPr>
      <w:spacing w:before="0" w:after="0" w:line="240" w:lineRule="auto"/>
    </w:pPr>
  </w:style>
  <w:style w:type="character" w:styleId="EndnoteTextChar" w:customStyle="1">
    <w:name w:val="Endnote Text Char"/>
    <w:basedOn w:val="DefaultParagraphFont"/>
    <w:link w:val="EndnoteText"/>
    <w:uiPriority w:val="1"/>
    <w:semiHidden/>
    <w:rsid w:val="00B26646"/>
  </w:style>
  <w:style w:type="character" w:styleId="EndnoteReference">
    <w:name w:val="endnote reference"/>
    <w:basedOn w:val="DefaultParagraphFont"/>
    <w:uiPriority w:val="1"/>
    <w:semiHidden/>
    <w:unhideWhenUsed/>
    <w:rsid w:val="00B26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867523730">
      <w:bodyDiv w:val="1"/>
      <w:marLeft w:val="0"/>
      <w:marRight w:val="0"/>
      <w:marTop w:val="0"/>
      <w:marBottom w:val="0"/>
      <w:divBdr>
        <w:top w:val="none" w:sz="0" w:space="0" w:color="auto"/>
        <w:left w:val="none" w:sz="0" w:space="0" w:color="auto"/>
        <w:bottom w:val="none" w:sz="0" w:space="0" w:color="auto"/>
        <w:right w:val="none" w:sz="0" w:space="0" w:color="auto"/>
      </w:divBdr>
    </w:div>
    <w:div w:id="170802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safercare.vic.gov.au/sites/default/files/2022-08/Just-Culture-in-adverse-event-reviews-factsheet.pdf" TargetMode="External" Id="rId26" /><Relationship Type="http://schemas.openxmlformats.org/officeDocument/2006/relationships/image" Target="media/image3.png" Id="rId21" /><Relationship Type="http://schemas.openxmlformats.org/officeDocument/2006/relationships/hyperlink" Target="https://www.mhcc.vic.gov.au/" TargetMode="External" Id="rId42" /><Relationship Type="http://schemas.openxmlformats.org/officeDocument/2006/relationships/hyperlink" Target="https://www.health.vic.gov.au/health-strategies/aboriginal-and-torres-strait-islander-cultural-safety?utm_medium=email&amp;utm_campaign=HeadsUp---Consultation-open-to-all-staff&amp;utm_content=health.vic.gov.au%2Fhealth-strategies%2Faboriginal-and-torres-strait-islander-cultural-safety&amp;utm_source=comms.health.vic.gov.au" TargetMode="External" Id="rId47" /><Relationship Type="http://schemas.openxmlformats.org/officeDocument/2006/relationships/hyperlink" Target="https://www.publicadvocate.vic.gov.au/medical-treatment/children-under-18-years" TargetMode="External" Id="rId63" /><Relationship Type="http://schemas.openxmlformats.org/officeDocument/2006/relationships/hyperlink" Target="https://www.safercare.vic.gov.au/sites/default/files/2022-08/SCV-Leadership-safety-culture-factsheet.pdf" TargetMode="External" Id="rId68" /><Relationship Type="http://schemas.openxmlformats.org/officeDocument/2006/relationships/footer" Target="footer3.xml" Id="rId16" /><Relationship Type="http://schemas.openxmlformats.org/officeDocument/2006/relationships/header" Target="header1.xml" Id="rId11" /><Relationship Type="http://schemas.openxmlformats.org/officeDocument/2006/relationships/hyperlink" Target="https://www.health.vic.gov.au/practice-and-service-quality/framework-for-reducing-restrictive-interventions" TargetMode="External" Id="rId32" /><Relationship Type="http://schemas.openxmlformats.org/officeDocument/2006/relationships/hyperlink" Target="https://www.health.vic.gov.au/mental-health/promoting-sexual-safety" TargetMode="External" Id="rId37" /><Relationship Type="http://schemas.openxmlformats.org/officeDocument/2006/relationships/hyperlink" Target="https://content.legislation.vic.gov.au/sites/default/files/2022-03/88-49aa175%20authorised.pdf" TargetMode="External" Id="rId53" /><Relationship Type="http://schemas.openxmlformats.org/officeDocument/2006/relationships/hyperlink" Target="https://www.health.vic.gov.au/key-staff/chief-psychiatrist-guidelines" TargetMode="External" Id="rId58" /><Relationship Type="http://schemas.openxmlformats.org/officeDocument/2006/relationships/header" Target="header4.xml" Id="rId74" /><Relationship Type="http://schemas.openxmlformats.org/officeDocument/2006/relationships/footer" Target="footer6.xml" Id="rId79" /><Relationship Type="http://schemas.openxmlformats.org/officeDocument/2006/relationships/numbering" Target="numbering.xml" Id="rId5" /><Relationship Type="http://schemas.openxmlformats.org/officeDocument/2006/relationships/hyperlink" Target="https://www.safercare.vic.gov.au/e-learning" TargetMode="External" Id="rId61" /><Relationship Type="http://schemas.microsoft.com/office/2019/05/relationships/documenttasks" Target="documenttasks/documenttasks1.xml" Id="rId82" /><Relationship Type="http://schemas.openxmlformats.org/officeDocument/2006/relationships/hyperlink" Target="https://www.safercare.vic.gov.au" TargetMode="External" Id="rId19" /><Relationship Type="http://schemas.openxmlformats.org/officeDocument/2006/relationships/footer" Target="footer2.xml" Id="rId14" /><Relationship Type="http://schemas.openxmlformats.org/officeDocument/2006/relationships/footer" Target="footer4.xml" Id="rId22" /><Relationship Type="http://schemas.openxmlformats.org/officeDocument/2006/relationships/hyperlink" Target="https://www.safercare.vic.gov.au/sites/default/files/2022-08/Victorian%20Duty%20of%20Candour%20Guidelines%20.docx" TargetMode="External" Id="rId27" /><Relationship Type="http://schemas.openxmlformats.org/officeDocument/2006/relationships/hyperlink" Target="https://www.safercare.vic.gov.au/sites/default/files/2022-08/Victorian%20Duty%20of%20Candour%20Guidelines%20.docx" TargetMode="External" Id="rId30" /><Relationship Type="http://schemas.openxmlformats.org/officeDocument/2006/relationships/hyperlink" Target="https://www.health.gov.au/initiatives-and-programs/serious-incident-response-scheme-sirs" TargetMode="External" Id="rId35" /><Relationship Type="http://schemas.openxmlformats.org/officeDocument/2006/relationships/hyperlink" Target="https://www.health.vic.gov.au/health-strategies/aboriginal-health" TargetMode="External" Id="rId43" /><Relationship Type="http://schemas.openxmlformats.org/officeDocument/2006/relationships/hyperlink" Target="https://www.safercare.vic.gov.au/e-learning" TargetMode="External" Id="rId48" /><Relationship Type="http://schemas.openxmlformats.org/officeDocument/2006/relationships/hyperlink" Target="https://www.safercare.vic.gov.au/sites/default/files/2022-08/Victorian%20Duty%20of%20Candour%20Guidelines%20.docx" TargetMode="External" Id="rId56" /><Relationship Type="http://schemas.openxmlformats.org/officeDocument/2006/relationships/hyperlink" Target="https://www.safetyandquality.gov.au/our-work/clinical-governance/open-disclosure" TargetMode="External" Id="rId64" /><Relationship Type="http://schemas.openxmlformats.org/officeDocument/2006/relationships/hyperlink" Target="https://www.safercare.vic.gov.au/sites/default/files/2019-06/Victorian%20sentinel%20events%20guide_0.pdf" TargetMode="External" Id="rId69" /><Relationship Type="http://schemas.openxmlformats.org/officeDocument/2006/relationships/hyperlink" Target="https://www.health.vic.gov.au/publications/victorian-health-incident-management-system-minimum-dataset" TargetMode="External" Id="rId77" /><Relationship Type="http://schemas.openxmlformats.org/officeDocument/2006/relationships/webSettings" Target="webSettings.xml" Id="rId8" /><Relationship Type="http://schemas.openxmlformats.org/officeDocument/2006/relationships/hyperlink" Target="https://content.legislation.vic.gov.au/sites/default/files/2021-09/86-114aa047%20authorised.pdf" TargetMode="External" Id="rId51" /><Relationship Type="http://schemas.openxmlformats.org/officeDocument/2006/relationships/hyperlink" Target="https://www.humanrights.vic.gov.au/for-individuals/human-rights/" TargetMode="External" Id="rId72" /><Relationship Type="http://schemas.openxmlformats.org/officeDocument/2006/relationships/fontTable" Target="fontTable.xml" Id="rId80" /><Relationship Type="http://schemas.openxmlformats.org/officeDocument/2006/relationships/customXml" Target="../customXml/item3.xml" Id="rId3" /><Relationship Type="http://schemas.openxmlformats.org/officeDocument/2006/relationships/header" Target="header2.xml" Id="rId12" /><Relationship Type="http://schemas.openxmlformats.org/officeDocument/2006/relationships/hyperlink" Target="mailto:info@safercarevictoria.vic.gov.au" TargetMode="External" Id="rId17" /><Relationship Type="http://schemas.openxmlformats.org/officeDocument/2006/relationships/hyperlink" Target="https://www.safercare.vic.gov.au/sites/default/files/2022-08/SCV-Just-Culture-Guide-for-Health-Services.pdf" TargetMode="External" Id="rId25" /><Relationship Type="http://schemas.openxmlformats.org/officeDocument/2006/relationships/hyperlink" Target="https://www.safercare.vic.gov.au/sites/default/files/2019-06/Victorian%20sentinel%20events%20guide_0.pdf" TargetMode="External" Id="rId33" /><Relationship Type="http://schemas.openxmlformats.org/officeDocument/2006/relationships/hyperlink" Target="https://www.humanrights.vic.gov.au/for-individuals/human-rights/" TargetMode="External" Id="rId38" /><Relationship Type="http://schemas.openxmlformats.org/officeDocument/2006/relationships/hyperlink" Target="https://www.publicadvocate.vic.gov.au/medical-treatment/children-under-18-years" TargetMode="External" Id="rId46" /><Relationship Type="http://schemas.openxmlformats.org/officeDocument/2006/relationships/hyperlink" Target="https://www.health.vic.gov.au/practice-and-service-quality/framework-for-reducing-restrictive-interventions" TargetMode="External" Id="rId59" /><Relationship Type="http://schemas.openxmlformats.org/officeDocument/2006/relationships/hyperlink" Target="https://www.safercare.vic.gov.au/sites/default/files/2022-08/SCV-Just-Culture-Guide-for-Health-Services.pdf" TargetMode="External" Id="rId67" /><Relationship Type="http://schemas.openxmlformats.org/officeDocument/2006/relationships/hyperlink" Target="http://www.safercare.vic" TargetMode="External" Id="rId20" /><Relationship Type="http://schemas.openxmlformats.org/officeDocument/2006/relationships/hyperlink" Target="https://hcc.vic.gov.au/" TargetMode="External" Id="rId41" /><Relationship Type="http://schemas.openxmlformats.org/officeDocument/2006/relationships/hyperlink" Target="https://www.legislation.vic.gov.au/as-made/statutory-rules/health-services-quality-and-safety-regulations-2020" TargetMode="External" Id="rId54" /><Relationship Type="http://schemas.openxmlformats.org/officeDocument/2006/relationships/hyperlink" Target="https://www.health.vic.gov.au/practice-and-service-quality/mental-health-act-2014-handbook" TargetMode="External" Id="rId62" /><Relationship Type="http://schemas.openxmlformats.org/officeDocument/2006/relationships/hyperlink" Target="https://www.safercare.vic.gov.au/support-training/adverse-event-review-and-response/duty-of-candour" TargetMode="External" Id="rId70" /><Relationship Type="http://schemas.openxmlformats.org/officeDocument/2006/relationships/header" Target="header5.xml" Id="rId75" /><Relationship Type="http://schemas.microsoft.com/office/2020/10/relationships/intelligence" Target="intelligence2.xml" Id="rId83"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3.xml" Id="rId15" /><Relationship Type="http://schemas.openxmlformats.org/officeDocument/2006/relationships/hyperlink" Target="https://www.safercare.vic.gov.au/sites/default/files/2022-08/Victorian%20Duty%20of%20Candour%20Guidelines%20.docx" TargetMode="External" Id="rId23" /><Relationship Type="http://schemas.openxmlformats.org/officeDocument/2006/relationships/hyperlink" Target="https://www.safetyandquality.gov.au/sites/default/files/migrated/Australian-Open-Disclosure-Framework-Feb-2014.pdf" TargetMode="External" Id="rId28" /><Relationship Type="http://schemas.openxmlformats.org/officeDocument/2006/relationships/hyperlink" Target="https://www.safercare.vic.gov.au/sites/default/files/2022-08/Victorian%20Duty%20of%20Candour%20Guidelines%20.docx" TargetMode="External" Id="rId36" /><Relationship Type="http://schemas.openxmlformats.org/officeDocument/2006/relationships/hyperlink" Target="https://www.safetyandquality.gov.au/our-work/clinical-governance/open-disclosure" TargetMode="External" Id="rId49" /><Relationship Type="http://schemas.openxmlformats.org/officeDocument/2006/relationships/hyperlink" Target="https://www.health.vic.gov.au/health-strategies/aboriginal-and-torres-strait-islander-cultural-safety?utm_medium=email&amp;utm_campaign=HeadsUp---Consultation-open-to-all-staff&amp;utm_content=health.vic.gov.au%2Fhealth-strategies%2Faboriginal-and-torres-strait-islander-cultural-safety&amp;utm_source=comms.health.vic.gov.au" TargetMode="External" Id="rId57" /><Relationship Type="http://schemas.openxmlformats.org/officeDocument/2006/relationships/endnotes" Target="endnotes.xml" Id="rId10" /><Relationship Type="http://schemas.openxmlformats.org/officeDocument/2006/relationships/hyperlink" Target="https://www.safercare.vic.gov.au/sites/default/files/2022-08/Victorian%20Duty%20of%20Candour%20Guidelines%20.docx" TargetMode="External" Id="rId31" /><Relationship Type="http://schemas.openxmlformats.org/officeDocument/2006/relationships/hyperlink" Target="https://www.safercare.vic.gov.au/sites/default/files/2022-08/Victorian%20Duty%20of%20Candour%20Guidelines%20.docx" TargetMode="External" Id="rId44" /><Relationship Type="http://schemas.openxmlformats.org/officeDocument/2006/relationships/hyperlink" Target="https://www.legislation.vic.gov.au/as-made/acts/health-legislation-amendment-quality-and-safety-act-2022" TargetMode="External" Id="rId52" /><Relationship Type="http://schemas.openxmlformats.org/officeDocument/2006/relationships/hyperlink" Target="https://www.safercare.vic.gov.au/sites/default/files/2022-08/Just-Culture-in-adverse-event-reviews-factsheet.pdf" TargetMode="External" Id="rId60" /><Relationship Type="http://schemas.openxmlformats.org/officeDocument/2006/relationships/hyperlink" Target="https://www.health.vic.gov.au/quality-safety-service/open-disclosure-resources-and-tools" TargetMode="External" Id="rId65" /><Relationship Type="http://schemas.openxmlformats.org/officeDocument/2006/relationships/hyperlink" Target="https://nla.gov.au/nla.obj-2803595290/view" TargetMode="External" Id="rId73" /><Relationship Type="http://schemas.openxmlformats.org/officeDocument/2006/relationships/header" Target="header6.xml" Id="rId78" /><Relationship Type="http://schemas.openxmlformats.org/officeDocument/2006/relationships/theme" Target="theme/theme1.xml" Id="rId8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3" /><Relationship Type="http://schemas.openxmlformats.org/officeDocument/2006/relationships/hyperlink" Target="mailto:safercarevictoria@dhhs.vic" TargetMode="External" Id="rId18" /><Relationship Type="http://schemas.openxmlformats.org/officeDocument/2006/relationships/hyperlink" Target="https://www.safercare.vic.gov.au/sites/default/files/2022-08/Victorian%20Duty%20of%20Candour%20Guidelines%20.docx" TargetMode="External" Id="rId39" /><Relationship Type="http://schemas.openxmlformats.org/officeDocument/2006/relationships/hyperlink" Target="https://www.health.vic.gov.au/sites/default/files/migrated/files/collections/policies-and-guidelines/r/reportable-deaths-chief-psychiatrist-summary.pdf" TargetMode="External" Id="rId34" /><Relationship Type="http://schemas.openxmlformats.org/officeDocument/2006/relationships/hyperlink" Target="https://www.health.vic.gov.au/quality-safety-service/open-disclosure-resources-and-tools" TargetMode="External" Id="rId50" /><Relationship Type="http://schemas.openxmlformats.org/officeDocument/2006/relationships/hyperlink" Target="https://www.legislation.vic.gov.au/in-force/acts/mental-health-act-2014/023" TargetMode="External" Id="rId55" /><Relationship Type="http://schemas.openxmlformats.org/officeDocument/2006/relationships/footer" Target="footer5.xml" Id="rId76" /><Relationship Type="http://schemas.openxmlformats.org/officeDocument/2006/relationships/settings" Target="settings.xml" Id="rId7" /><Relationship Type="http://schemas.openxmlformats.org/officeDocument/2006/relationships/hyperlink" Target="https://www.safetyandquality.gov.au/our-work/open-disclosure/the-open-disclosure-framework" TargetMode="External" Id="rId71" /><Relationship Type="http://schemas.openxmlformats.org/officeDocument/2006/relationships/customXml" Target="../customXml/item2.xml" Id="rId2" /><Relationship Type="http://schemas.openxmlformats.org/officeDocument/2006/relationships/hyperlink" Target="https://www.health.vic.gov.au/publications/victorian-health-incident-management-system-minimum-dataset" TargetMode="External" Id="rId29" /><Relationship Type="http://schemas.openxmlformats.org/officeDocument/2006/relationships/hyperlink" Target="https://www.safetyandquality.gov.au/sites/default/files/migrated/Australian-Open-Disclosure-Framework-Feb-2014.pdf" TargetMode="External" Id="rId24" /><Relationship Type="http://schemas.openxmlformats.org/officeDocument/2006/relationships/hyperlink" Target="https://www.safercare.vic.gov.au/sites/default/files/2022-08/Victorian%20Duty%20of%20Candour%20Guidelines%20.docx" TargetMode="External" Id="rId40" /><Relationship Type="http://schemas.openxmlformats.org/officeDocument/2006/relationships/hyperlink" Target="https://www.health.vic.gov.au/practice-and-service-quality/presumption-of-capacity" TargetMode="External" Id="rId45" /><Relationship Type="http://schemas.openxmlformats.org/officeDocument/2006/relationships/hyperlink" Target="https://www.health.vic.gov.au/mental-health/promoting-sexual-safety" TargetMode="External" Id="rId66" /></Relationships>
</file>

<file path=word/_rels/footnotes.xml.rels><?xml version="1.0" encoding="UTF-8" standalone="yes"?>
<Relationships xmlns="http://schemas.openxmlformats.org/package/2006/relationships"><Relationship Id="rId8" Type="http://schemas.openxmlformats.org/officeDocument/2006/relationships/hyperlink" Target="https://www.health.vic.gov.au/population-health-systems/victorian-population-health-survey-2017" TargetMode="External"/><Relationship Id="rId3" Type="http://schemas.openxmlformats.org/officeDocument/2006/relationships/hyperlink" Target="https://content.health.vic.gov.au/sites/default/files/2022-03/vhims-minimum-dataset-manual-2021-22-edition-1-pdf.pdf" TargetMode="External"/><Relationship Id="rId7" Type="http://schemas.openxmlformats.org/officeDocument/2006/relationships/hyperlink" Target="https://www.cqc.org.uk/sites/default/files/2022-07/20220722-duty-of-candour-pdf-version-FINAL_0.pdf" TargetMode="External"/><Relationship Id="rId2" Type="http://schemas.openxmlformats.org/officeDocument/2006/relationships/hyperlink" Target="https://content.health.vic.gov.au/sites/default/files/2022-03/vhims-minimum-dataset-manual-2021-22-edition-1-pdf.pdf" TargetMode="External"/><Relationship Id="rId1" Type="http://schemas.openxmlformats.org/officeDocument/2006/relationships/hyperlink" Target="https://www.safetyandquality.gov.au/sites/default/files/2021-12/incident_management_guide_november_2021.pdf" TargetMode="External"/><Relationship Id="rId6" Type="http://schemas.openxmlformats.org/officeDocument/2006/relationships/hyperlink" Target="https://www.health.vic.gov.au/sites/default/files/migrated/files/collections/policies-and-guidelines/c/chief-psychiatrist-sexualsafety-pdf.pdf" TargetMode="External"/><Relationship Id="rId5" Type="http://schemas.openxmlformats.org/officeDocument/2006/relationships/hyperlink" Target="https://content.health.vic.gov.au/sites/default/files/2022-03/vhims-minimum-dataset-manual-2021-22-edition-1-pdf.pdf" TargetMode="External"/><Relationship Id="rId4" Type="http://schemas.openxmlformats.org/officeDocument/2006/relationships/hyperlink" Target="https://www.safercare.vic.gov.au/sites/default/files/2022-08/SCV-Just-Culture-Guide-for-Health-Services.pdf" TargetMode="External"/><Relationship Id="rId9" Type="http://schemas.openxmlformats.org/officeDocument/2006/relationships/hyperlink" Target="https://www.safercare.vic.gov.au/support-training/adverse-event-review-and-response/duty-of-cando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2eww\OneDrive%20-%20DFFH,%20DH%20Victoria\SCV%20blank.dotx" TargetMode="External"/></Relationships>
</file>

<file path=word/documenttasks/documenttasks1.xml><?xml version="1.0" encoding="utf-8"?>
<t:Tasks xmlns:t="http://schemas.microsoft.com/office/tasks/2019/documenttasks" xmlns:oel="http://schemas.microsoft.com/office/2019/extlst">
  <t:Task id="{C3794590-A08E-429D-BFE9-4D27D0054255}">
    <t:Anchor>
      <t:Comment id="1431689602"/>
    </t:Anchor>
    <t:History>
      <t:Event id="{43C733B7-39C9-454C-A799-0413643D789E}" time="2022-09-04T11:05:50.507Z">
        <t:Attribution userId="S::william.o'sullivan@safercare.vic.gov.au::b6e983a7-9d6a-451b-89ff-6660aeadee39" userProvider="AD" userName="William O' Sullivan (DHHS)"/>
        <t:Anchor>
          <t:Comment id="335880496"/>
        </t:Anchor>
        <t:Create/>
      </t:Event>
      <t:Event id="{8449D143-1CAE-422E-A31E-05CFFD87C7E5}" time="2022-09-04T11:05:50.507Z">
        <t:Attribution userId="S::william.o'sullivan@safercare.vic.gov.au::b6e983a7-9d6a-451b-89ff-6660aeadee39" userProvider="AD" userName="William O' Sullivan (DHHS)"/>
        <t:Anchor>
          <t:Comment id="335880496"/>
        </t:Anchor>
        <t:Assign userId="S::Marianna.Pisani@health.vic.gov.au::82f2301e-44ce-4203-abb0-59c95aff0777" userProvider="AD" userName="Marianna Pisani (Health)"/>
      </t:Event>
      <t:Event id="{E3C7FC2D-8657-4C8D-AB6C-F57FCB1DC3C8}" time="2022-09-04T11:05:50.507Z">
        <t:Attribution userId="S::william.o'sullivan@safercare.vic.gov.au::b6e983a7-9d6a-451b-89ff-6660aeadee39" userProvider="AD" userName="William O' Sullivan (DHHS)"/>
        <t:Anchor>
          <t:Comment id="335880496"/>
        </t:Anchor>
        <t:SetTitle title="@Marianna Pisani (Health) please provide an example which you feel would be appropriate. Thanks"/>
      </t:Event>
    </t:History>
  </t:Task>
  <t:Task id="{8F8EE744-FDA9-4E94-92DB-FC6E8C883FB0}">
    <t:Anchor>
      <t:Comment id="1538716082"/>
    </t:Anchor>
    <t:History>
      <t:Event id="{EF3979B1-B300-4778-8025-6BF4CF0FFC3F}" time="2022-10-03T01:06:42.838Z">
        <t:Attribution userId="S::william.o'sullivan@safercare.vic.gov.au::b6e983a7-9d6a-451b-89ff-6660aeadee39" userProvider="AD" userName="William O' Sullivan (DHHS)"/>
        <t:Anchor>
          <t:Comment id="1538716082"/>
        </t:Anchor>
        <t:Create/>
      </t:Event>
      <t:Event id="{A6FED33E-4A7D-4500-BD90-0BABB64558E6}" time="2022-10-03T01:06:42.838Z">
        <t:Attribution userId="S::william.o'sullivan@safercare.vic.gov.au::b6e983a7-9d6a-451b-89ff-6660aeadee39" userProvider="AD" userName="William O' Sullivan (DHHS)"/>
        <t:Anchor>
          <t:Comment id="1538716082"/>
        </t:Anchor>
        <t:Assign userId="S::Marianna.Pisani@health.vic.gov.au::82f2301e-44ce-4203-abb0-59c95aff0777" userProvider="AD" userName="Marianna Pisani (Health)"/>
      </t:Event>
      <t:Event id="{5FC32319-1747-42AF-B087-E5AE88DF159B}" time="2022-10-03T01:06:42.838Z">
        <t:Attribution userId="S::william.o'sullivan@safercare.vic.gov.au::b6e983a7-9d6a-451b-89ff-6660aeadee39" userProvider="AD" userName="William O' Sullivan (DHHS)"/>
        <t:Anchor>
          <t:Comment id="1538716082"/>
        </t:Anchor>
        <t:SetTitle title="@Marianna Pisani (Health) Hi Marianna, can you please review this case example? Would value your expertise in the framing of same? Many thanks, Will"/>
      </t:Event>
      <t:Event id="{F6BDCB82-90A0-4E04-920E-18A25B438F5E}" time="2022-10-17T06:06:50.71Z">
        <t:Attribution userId="S::william.o'sullivan@safercare.vic.gov.au::b6e983a7-9d6a-451b-89ff-6660aeadee39" userProvider="AD" userName="William O' Sullivan (DHHS)"/>
        <t:Anchor>
          <t:Comment id="559121037"/>
        </t:Anchor>
        <t:UnassignAll/>
      </t:Event>
      <t:Event id="{5A26A938-786A-4A80-AB32-A46E89D1BC3E}" time="2022-10-17T06:06:50.71Z">
        <t:Attribution userId="S::william.o'sullivan@safercare.vic.gov.au::b6e983a7-9d6a-451b-89ff-6660aeadee39" userProvider="AD" userName="William O' Sullivan (DHHS)"/>
        <t:Anchor>
          <t:Comment id="559121037"/>
        </t:Anchor>
        <t:Assign userId="S::lanii.birks@safercare.vic.gov.au::9b253cd9-4b78-4ff6-bfed-a6294aa39be3" userProvider="AD" userName="Lanii Birks (DHHS)"/>
      </t:Event>
      <t:Event id="{E442F395-3900-4607-9501-C277CE9A1FE0}" time="2022-10-24T05:37:48.31Z">
        <t:Attribution userId="S::william.o'sullivan@safercare.vic.gov.au::b6e983a7-9d6a-451b-89ff-6660aeadee39" userProvider="AD" userName="William O' Sullivan (DHHS)"/>
        <t:Progress percentComplete="100"/>
      </t:Event>
    </t:History>
  </t:Task>
  <t:Task id="{03FA4B31-0B19-469B-B299-59E220C9C19D}">
    <t:Anchor>
      <t:Comment id="1814834926"/>
    </t:Anchor>
    <t:History>
      <t:Event id="{35039FC0-0BBD-4807-A8DC-B8F87C25A642}" time="2022-09-04T11:19:08.664Z">
        <t:Attribution userId="S::william.o'sullivan@safercare.vic.gov.au::b6e983a7-9d6a-451b-89ff-6660aeadee39" userProvider="AD" userName="William O' Sullivan (DHHS)"/>
        <t:Anchor>
          <t:Comment id="1814834926"/>
        </t:Anchor>
        <t:Create/>
      </t:Event>
      <t:Event id="{66E10C7D-09AA-419B-8876-4FF33C531068}" time="2022-09-04T11:19:08.664Z">
        <t:Attribution userId="S::william.o'sullivan@safercare.vic.gov.au::b6e983a7-9d6a-451b-89ff-6660aeadee39" userProvider="AD" userName="William O' Sullivan (DHHS)"/>
        <t:Anchor>
          <t:Comment id="1814834926"/>
        </t:Anchor>
        <t:Assign userId="S::Marianna.Pisani@health.vic.gov.au::82f2301e-44ce-4203-abb0-59c95aff0777" userProvider="AD" userName="Marianna Pisani (Health)"/>
      </t:Event>
      <t:Event id="{2BF76D02-0684-414B-B078-51F1FFB0599E}" time="2022-09-04T11:19:08.664Z">
        <t:Attribution userId="S::william.o'sullivan@safercare.vic.gov.au::b6e983a7-9d6a-451b-89ff-6660aeadee39" userProvider="AD" userName="William O' Sullivan (DHHS)"/>
        <t:Anchor>
          <t:Comment id="1814834926"/>
        </t:Anchor>
        <t:SetTitle title="@Marianna Pisani (Health) Can you please advise re wording to include reference to other CALD populations?"/>
      </t:Event>
    </t:History>
  </t:Task>
  <t:Task id="{BC0AA131-F11B-4F1A-8F30-ACDCA56B97E4}">
    <t:Anchor>
      <t:Comment id="264372100"/>
    </t:Anchor>
    <t:History>
      <t:Event id="{6209CE90-DB64-4596-AF00-8FB6225C4EC0}" time="2022-09-04T11:08:45.661Z">
        <t:Attribution userId="S::william.o'sullivan@safercare.vic.gov.au::b6e983a7-9d6a-451b-89ff-6660aeadee39" userProvider="AD" userName="William O' Sullivan (DHHS)"/>
        <t:Anchor>
          <t:Comment id="264372100"/>
        </t:Anchor>
        <t:Create/>
      </t:Event>
      <t:Event id="{AE7283ED-24B7-45C6-8676-F14BF0A4C315}" time="2022-09-04T11:08:45.661Z">
        <t:Attribution userId="S::william.o'sullivan@safercare.vic.gov.au::b6e983a7-9d6a-451b-89ff-6660aeadee39" userProvider="AD" userName="William O' Sullivan (DHHS)"/>
        <t:Anchor>
          <t:Comment id="264372100"/>
        </t:Anchor>
        <t:Assign userId="S::Marianna.Pisani@health.vic.gov.au::82f2301e-44ce-4203-abb0-59c95aff0777" userProvider="AD" userName="Marianna Pisani (Health)"/>
      </t:Event>
      <t:Event id="{5E1A4D64-73DD-42A4-AC46-347624C45A01}" time="2022-09-04T11:08:45.661Z">
        <t:Attribution userId="S::william.o'sullivan@safercare.vic.gov.au::b6e983a7-9d6a-451b-89ff-6660aeadee39" userProvider="AD" userName="William O' Sullivan (DHHS)"/>
        <t:Anchor>
          <t:Comment id="264372100"/>
        </t:Anchor>
        <t:SetTitle title="@Marianna Pisani (Health) Can you please provide an appropriate definition?"/>
      </t:Event>
      <t:Event id="{53A7D58B-B519-4789-865D-ACD9B8401292}" time="2022-09-05T11:31:57.101Z">
        <t:Attribution userId="S::william.o'sullivan@safercare.vic.gov.au::b6e983a7-9d6a-451b-89ff-6660aeadee39" userProvider="AD" userName="William O' Sullivan (DHHS)"/>
        <t:Progress percentComplete="100"/>
      </t:Event>
    </t:History>
  </t:Task>
  <t:Task id="{9220D272-C35B-4D58-ABA6-44B696AA9B10}">
    <t:Anchor>
      <t:Comment id="381022423"/>
    </t:Anchor>
    <t:History>
      <t:Event id="{84B10B87-59C5-4CA9-817B-62BE691903F6}" time="2022-09-04T11:09:26.508Z">
        <t:Attribution userId="S::william.o'sullivan@safercare.vic.gov.au::b6e983a7-9d6a-451b-89ff-6660aeadee39" userProvider="AD" userName="William O' Sullivan (DHHS)"/>
        <t:Anchor>
          <t:Comment id="381022423"/>
        </t:Anchor>
        <t:Create/>
      </t:Event>
      <t:Event id="{591B2F8F-AB76-42D0-A26D-F6ECB33A70DB}" time="2022-09-04T11:09:26.508Z">
        <t:Attribution userId="S::william.o'sullivan@safercare.vic.gov.au::b6e983a7-9d6a-451b-89ff-6660aeadee39" userProvider="AD" userName="William O' Sullivan (DHHS)"/>
        <t:Anchor>
          <t:Comment id="381022423"/>
        </t:Anchor>
        <t:Assign userId="S::Marianna.Pisani@health.vic.gov.au::82f2301e-44ce-4203-abb0-59c95aff0777" userProvider="AD" userName="Marianna Pisani (Health)"/>
      </t:Event>
      <t:Event id="{21385810-63C3-4E8E-8959-3A253A038898}" time="2022-09-04T11:09:26.508Z">
        <t:Attribution userId="S::william.o'sullivan@safercare.vic.gov.au::b6e983a7-9d6a-451b-89ff-6660aeadee39" userProvider="AD" userName="William O' Sullivan (DHHS)"/>
        <t:Anchor>
          <t:Comment id="381022423"/>
        </t:Anchor>
        <t:SetTitle title="@Marianna Pisani (Health) can you please provide an appropriate definition?"/>
      </t:Event>
      <t:Event id="{FBEE8820-8182-4343-89D0-CB1DB22B6CA9}" time="2022-09-05T11:37:02.193Z">
        <t:Attribution userId="S::william.o'sullivan@safercare.vic.gov.au::b6e983a7-9d6a-451b-89ff-6660aeadee39" userProvider="AD" userName="William O' Sullivan (DHHS)"/>
        <t:Progress percentComplete="100"/>
      </t:Event>
    </t:History>
  </t:Task>
  <t:Task id="{2F30B6F4-E532-41C8-8B4B-0211D9679356}">
    <t:Anchor>
      <t:Comment id="234526971"/>
    </t:Anchor>
    <t:History>
      <t:Event id="{C7C6E41F-6984-44C6-9D2A-F7BEAF279FE4}" time="2022-10-05T00:53:59.365Z">
        <t:Attribution userId="S::william.o'sullivan@safercare.vic.gov.au::b6e983a7-9d6a-451b-89ff-6660aeadee39" userProvider="AD" userName="William O' Sullivan (DHHS)"/>
        <t:Anchor>
          <t:Comment id="234526971"/>
        </t:Anchor>
        <t:Create/>
      </t:Event>
      <t:Event id="{8D433BC1-788A-481C-9D77-F49BFBDB4F48}" time="2022-10-05T00:53:59.365Z">
        <t:Attribution userId="S::william.o'sullivan@safercare.vic.gov.au::b6e983a7-9d6a-451b-89ff-6660aeadee39" userProvider="AD" userName="William O' Sullivan (DHHS)"/>
        <t:Anchor>
          <t:Comment id="234526971"/>
        </t:Anchor>
        <t:Assign userId="S::nicole.youngs@safercare.vic.gov.au::65be26fa-e920-4315-ac69-718a9ac73e95" userProvider="AD" userName="Nicole Youngs (DHHS)"/>
      </t:Event>
      <t:Event id="{58E0E29B-CA1A-4CBD-A987-C9FAC0306F80}" time="2022-10-05T00:53:59.365Z">
        <t:Attribution userId="S::william.o'sullivan@safercare.vic.gov.au::b6e983a7-9d6a-451b-89ff-6660aeadee39" userProvider="AD" userName="William O' Sullivan (DHHS)"/>
        <t:Anchor>
          <t:Comment id="234526971"/>
        </t:Anchor>
        <t:SetTitle title="@Nicole Youngs (DHHS) Legal recommended we reference where in act this was derived from - do you have that?"/>
      </t:Event>
    </t:History>
  </t:Task>
  <t:Task id="{21E09FFA-4745-4018-BD45-57DAC574942B}">
    <t:Anchor>
      <t:Comment id="651438210"/>
    </t:Anchor>
    <t:History>
      <t:Event id="{A86EC644-5F2B-4F35-9B95-3BC0EE5393C5}" time="2022-10-05T00:35:02.472Z">
        <t:Attribution userId="S::william.o'sullivan@safercare.vic.gov.au::b6e983a7-9d6a-451b-89ff-6660aeadee39" userProvider="AD" userName="William O' Sullivan (DHHS)"/>
        <t:Anchor>
          <t:Comment id="2138118496"/>
        </t:Anchor>
        <t:Create/>
      </t:Event>
      <t:Event id="{2AAD65DA-554C-4684-87EE-2B8834CE6754}" time="2022-10-05T00:35:02.472Z">
        <t:Attribution userId="S::william.o'sullivan@safercare.vic.gov.au::b6e983a7-9d6a-451b-89ff-6660aeadee39" userProvider="AD" userName="William O' Sullivan (DHHS)"/>
        <t:Anchor>
          <t:Comment id="2138118496"/>
        </t:Anchor>
        <t:Assign userId="S::nicole.youngs@safercare.vic.gov.au::65be26fa-e920-4315-ac69-718a9ac73e95" userProvider="AD" userName="Nicole Youngs (DHHS)"/>
      </t:Event>
      <t:Event id="{463D1F1F-3DB5-44CA-93CF-49B6E1CEA332}" time="2022-10-05T00:35:02.472Z">
        <t:Attribution userId="S::william.o'sullivan@safercare.vic.gov.au::b6e983a7-9d6a-451b-89ff-6660aeadee39" userProvider="AD" userName="William O' Sullivan (DHHS)"/>
        <t:Anchor>
          <t:Comment id="2138118496"/>
        </t:Anchor>
        <t:SetTitle title="@Nicole Youngs (DHHS) happy to delete?"/>
      </t:Event>
    </t:History>
  </t:Task>
  <t:Task id="{850DB6E0-5C1F-4AE2-A681-A4F78BEA6F91}">
    <t:Anchor>
      <t:Comment id="651385124"/>
    </t:Anchor>
    <t:History>
      <t:Event id="{A7FB7B62-A204-4506-87E3-1060F6FDBCC3}" time="2022-10-05T00:44:47.084Z">
        <t:Attribution userId="S::william.o'sullivan@safercare.vic.gov.au::b6e983a7-9d6a-451b-89ff-6660aeadee39" userProvider="AD" userName="William O' Sullivan (DHHS)"/>
        <t:Anchor>
          <t:Comment id="156589933"/>
        </t:Anchor>
        <t:Create/>
      </t:Event>
      <t:Event id="{142C51E2-39D5-4428-A674-4AA264E35ACE}" time="2022-10-05T00:44:47.084Z">
        <t:Attribution userId="S::william.o'sullivan@safercare.vic.gov.au::b6e983a7-9d6a-451b-89ff-6660aeadee39" userProvider="AD" userName="William O' Sullivan (DHHS)"/>
        <t:Anchor>
          <t:Comment id="156589933"/>
        </t:Anchor>
        <t:Assign userId="S::nicole.youngs@safercare.vic.gov.au::65be26fa-e920-4315-ac69-718a9ac73e95" userProvider="AD" userName="Nicole Youngs (DHHS)"/>
      </t:Event>
      <t:Event id="{16A6F858-3E10-43A9-A11C-8512F3A79FDE}" time="2022-10-05T00:44:47.084Z">
        <t:Attribution userId="S::william.o'sullivan@safercare.vic.gov.au::b6e983a7-9d6a-451b-89ff-6660aeadee39" userProvider="AD" userName="William O' Sullivan (DHHS)"/>
        <t:Anchor>
          <t:Comment id="156589933"/>
        </t:Anchor>
        <t:SetTitle title="@Nicole Youngs (DHHS) best terminology?"/>
      </t:Event>
    </t:History>
  </t:Task>
  <t:Task id="{7B323FC9-F38B-4C04-8374-3F03986B5EE9}">
    <t:Anchor>
      <t:Comment id="652838833"/>
    </t:Anchor>
    <t:History>
      <t:Event id="{41536E01-6403-44CF-ADA7-08C52C6CA4DF}" time="2022-10-17T06:06:15.722Z">
        <t:Attribution userId="S::william.o'sullivan@safercare.vic.gov.au::b6e983a7-9d6a-451b-89ff-6660aeadee39" userProvider="AD" userName="William O' Sullivan (DHHS)"/>
        <t:Anchor>
          <t:Comment id="1727991992"/>
        </t:Anchor>
        <t:Create/>
      </t:Event>
      <t:Event id="{670240AC-9305-4570-B2F1-0F8CBF65336D}" time="2022-10-17T06:06:15.722Z">
        <t:Attribution userId="S::william.o'sullivan@safercare.vic.gov.au::b6e983a7-9d6a-451b-89ff-6660aeadee39" userProvider="AD" userName="William O' Sullivan (DHHS)"/>
        <t:Anchor>
          <t:Comment id="1727991992"/>
        </t:Anchor>
        <t:Assign userId="S::lanii.birks@safercare.vic.gov.au::9b253cd9-4b78-4ff6-bfed-a6294aa39be3" userProvider="AD" userName="Lanii Birks (DHHS)"/>
      </t:Event>
      <t:Event id="{BC4A6703-747F-4178-89F2-DA5BB59A9278}" time="2022-10-17T06:06:15.722Z">
        <t:Attribution userId="S::william.o'sullivan@safercare.vic.gov.au::b6e983a7-9d6a-451b-89ff-6660aeadee39" userProvider="AD" userName="William O' Sullivan (DHHS)"/>
        <t:Anchor>
          <t:Comment id="1727991992"/>
        </t:Anchor>
        <t:SetTitle title="@Lanii Birks (DHHS) can you please confirm and / or?"/>
      </t:Event>
      <t:Event id="{14BCC3F2-D7A1-495F-8C28-134CCCC6ED38}" time="2022-10-24T03:40:45Z">
        <t:Attribution userId="S::william.o'sullivan@safercare.vic.gov.au::b6e983a7-9d6a-451b-89ff-6660aeadee39" userProvider="AD" userName="William O' Sullivan (DHHS)"/>
        <t:Progress percentComplete="100"/>
      </t:Event>
    </t:History>
  </t:Task>
  <t:Task id="{F991C408-C832-44C9-8F12-58B7F06998A5}">
    <t:Anchor>
      <t:Comment id="643121407"/>
    </t:Anchor>
    <t:History>
      <t:Event id="{6D4A1682-9597-4AA2-AA20-E975EA621F0A}" time="2022-10-05T01:03:21.06Z">
        <t:Attribution userId="S::william.o'sullivan@safercare.vic.gov.au::b6e983a7-9d6a-451b-89ff-6660aeadee39" userProvider="AD" userName="William O' Sullivan (DHHS)"/>
        <t:Anchor>
          <t:Comment id="643121407"/>
        </t:Anchor>
        <t:Create/>
      </t:Event>
      <t:Event id="{CD7F1145-B9CA-4D77-A391-D7316D7721BA}" time="2022-10-05T01:03:21.06Z">
        <t:Attribution userId="S::william.o'sullivan@safercare.vic.gov.au::b6e983a7-9d6a-451b-89ff-6660aeadee39" userProvider="AD" userName="William O' Sullivan (DHHS)"/>
        <t:Anchor>
          <t:Comment id="643121407"/>
        </t:Anchor>
        <t:Assign userId="S::Raphaela.Schnittker@safercare.vic.gov.au::8012285c-b70d-4542-a415-22728274a57e" userProvider="AD" userName="Raphaela Schnittker (DHHS)"/>
      </t:Event>
      <t:Event id="{76EC5F05-1240-40AF-9ADB-104BB540AC25}" time="2022-10-05T01:03:21.06Z">
        <t:Attribution userId="S::william.o'sullivan@safercare.vic.gov.au::b6e983a7-9d6a-451b-89ff-6660aeadee39" userProvider="AD" userName="William O' Sullivan (DHHS)"/>
        <t:Anchor>
          <t:Comment id="643121407"/>
        </t:Anchor>
        <t:SetTitle title="@Raphaela Schnittker (DHHS) Hi, do you mind reviewing this section of the SDC framework when you have a moment? Thanks"/>
      </t:Event>
      <t:Event id="{C3E77797-F879-4D51-8550-ED77BB9D8348}" time="2022-10-05T01:03:25.32Z">
        <t:Attribution userId="S::william.o'sullivan@safercare.vic.gov.au::b6e983a7-9d6a-451b-89ff-6660aeadee39" userProvider="AD" userName="William O' Sullivan (DHHS)"/>
        <t:Progress percentComplete="100"/>
      </t:Event>
      <t:Event id="{DB3C0A34-0B1C-494A-B123-67D7DA37957B}" time="2022-10-05T01:03:28.961Z">
        <t:Attribution userId="S::william.o'sullivan@safercare.vic.gov.au::b6e983a7-9d6a-451b-89ff-6660aeadee39" userProvider="AD" userName="William O' Sullivan (DHHS)"/>
        <t:Progress percentComplete="0"/>
      </t:Event>
    </t:History>
  </t:Task>
  <t:Task id="{E6247B2B-E54A-4C00-9335-9D500EA12A10}">
    <t:Anchor>
      <t:Comment id="1782483195"/>
    </t:Anchor>
    <t:History>
      <t:Event id="{4D0953F1-CBDA-44FD-BCDD-2A5895284458}" time="2022-10-05T01:05:57.115Z">
        <t:Attribution userId="S::william.o'sullivan@safercare.vic.gov.au::b6e983a7-9d6a-451b-89ff-6660aeadee39" userProvider="AD" userName="William O' Sullivan (DHHS)"/>
        <t:Anchor>
          <t:Comment id="1782483195"/>
        </t:Anchor>
        <t:Create/>
      </t:Event>
      <t:Event id="{18C8521C-C155-41C9-800C-B8D3A423B3F3}" time="2022-10-05T01:05:57.115Z">
        <t:Attribution userId="S::william.o'sullivan@safercare.vic.gov.au::b6e983a7-9d6a-451b-89ff-6660aeadee39" userProvider="AD" userName="William O' Sullivan (DHHS)"/>
        <t:Anchor>
          <t:Comment id="1782483195"/>
        </t:Anchor>
        <t:Assign userId="S::nicole.youngs@safercare.vic.gov.au::65be26fa-e920-4315-ac69-718a9ac73e95" userProvider="AD" userName="Nicole Youngs (DHHS)"/>
      </t:Event>
      <t:Event id="{E787CD45-FBD5-4E29-8FB6-112D9CB79FFC}" time="2022-10-05T01:05:57.115Z">
        <t:Attribution userId="S::william.o'sullivan@safercare.vic.gov.au::b6e983a7-9d6a-451b-89ff-6660aeadee39" userProvider="AD" userName="William O' Sullivan (DHHS)"/>
        <t:Anchor>
          <t:Comment id="1782483195"/>
        </t:Anchor>
        <t:SetTitle title="@Nicole Youngs (DHHS) Do we need this additional section?"/>
      </t:Event>
      <t:Event id="{24499744-C9A2-4B03-BF36-B62A5B968A57}" time="2022-10-13T02:11:43.589Z">
        <t:Attribution userId="S::william.o'sullivan@safercare.vic.gov.au::b6e983a7-9d6a-451b-89ff-6660aeadee39" userProvider="AD" userName="William O' Sullivan (DHHS)"/>
        <t:Progress percentComplete="100"/>
      </t:Event>
    </t:History>
  </t:Task>
  <t:Task id="{45159B59-130A-4761-AFFB-2EFAB6111127}">
    <t:Anchor>
      <t:Comment id="1753275761"/>
    </t:Anchor>
    <t:History>
      <t:Event id="{AC3E292D-F3D6-4E5A-AE38-9480ADC610EC}" time="2022-10-05T01:20:34.279Z">
        <t:Attribution userId="S::william.o'sullivan@safercare.vic.gov.au::b6e983a7-9d6a-451b-89ff-6660aeadee39" userProvider="AD" userName="William O' Sullivan (DHHS)"/>
        <t:Anchor>
          <t:Comment id="1753275761"/>
        </t:Anchor>
        <t:Create/>
      </t:Event>
      <t:Event id="{784C41E2-9259-4DF4-B964-F374CFE00972}" time="2022-10-05T01:20:34.279Z">
        <t:Attribution userId="S::william.o'sullivan@safercare.vic.gov.au::b6e983a7-9d6a-451b-89ff-6660aeadee39" userProvider="AD" userName="William O' Sullivan (DHHS)"/>
        <t:Anchor>
          <t:Comment id="1753275761"/>
        </t:Anchor>
        <t:Assign userId="S::nicole.youngs@safercare.vic.gov.au::65be26fa-e920-4315-ac69-718a9ac73e95" userProvider="AD" userName="Nicole Youngs (DHHS)"/>
      </t:Event>
      <t:Event id="{9D788D4D-026E-4E0F-BC7E-90D0FC7741B7}" time="2022-10-05T01:20:34.279Z">
        <t:Attribution userId="S::william.o'sullivan@safercare.vic.gov.au::b6e983a7-9d6a-451b-89ff-6660aeadee39" userProvider="AD" userName="William O' Sullivan (DHHS)"/>
        <t:Anchor>
          <t:Comment id="1753275761"/>
        </t:Anchor>
        <t:SetTitle title="@Nicole Youngs (DHHS) please review - based on Lanii's feedback"/>
      </t:Event>
    </t:History>
  </t:Task>
  <t:Task id="{43C08210-5862-490D-B883-9C12C33D47AE}">
    <t:Anchor>
      <t:Comment id="97475852"/>
    </t:Anchor>
    <t:History>
      <t:Event id="{818FE33C-691B-4977-9B3F-1E6D079E0A48}" time="2022-10-05T01:25:02.126Z">
        <t:Attribution userId="S::william.o'sullivan@safercare.vic.gov.au::b6e983a7-9d6a-451b-89ff-6660aeadee39" userProvider="AD" userName="William O' Sullivan (DHHS)"/>
        <t:Anchor>
          <t:Comment id="97475852"/>
        </t:Anchor>
        <t:Create/>
      </t:Event>
      <t:Event id="{CD6476E7-0BE2-406E-94CB-74268BAAA4B2}" time="2022-10-05T01:25:02.126Z">
        <t:Attribution userId="S::william.o'sullivan@safercare.vic.gov.au::b6e983a7-9d6a-451b-89ff-6660aeadee39" userProvider="AD" userName="William O' Sullivan (DHHS)"/>
        <t:Anchor>
          <t:Comment id="97475852"/>
        </t:Anchor>
        <t:Assign userId="S::nicole.youngs@safercare.vic.gov.au::65be26fa-e920-4315-ac69-718a9ac73e95" userProvider="AD" userName="Nicole Youngs (DHHS)"/>
      </t:Event>
      <t:Event id="{73AAFC62-066F-4FE5-9CB1-F568439DFEC1}" time="2022-10-05T01:25:02.126Z">
        <t:Attribution userId="S::william.o'sullivan@safercare.vic.gov.au::b6e983a7-9d6a-451b-89ff-6660aeadee39" userProvider="AD" userName="William O' Sullivan (DHHS)"/>
        <t:Anchor>
          <t:Comment id="97475852"/>
        </t:Anchor>
        <t:SetTitle title="@Nicole Youngs (DHHS) please review - revised per legal"/>
      </t:Event>
    </t:History>
  </t:Task>
  <t:Task id="{F2CCFE58-13A8-4DF9-95B0-BF65FC43DEB8}">
    <t:Anchor>
      <t:Comment id="653439368"/>
    </t:Anchor>
    <t:History>
      <t:Event id="{20109E85-92AB-4594-B220-53B6FD89D2A5}" time="2022-10-13T07:01:23.362Z">
        <t:Attribution userId="S::william.o'sullivan@safercare.vic.gov.au::b6e983a7-9d6a-451b-89ff-6660aeadee39" userProvider="AD" userName="William O' Sullivan (DHHS)"/>
        <t:Anchor>
          <t:Comment id="100763182"/>
        </t:Anchor>
        <t:Create/>
      </t:Event>
      <t:Event id="{B6A5678B-F44D-46D4-B7AB-50C7EAF10415}" time="2022-10-13T07:01:23.362Z">
        <t:Attribution userId="S::william.o'sullivan@safercare.vic.gov.au::b6e983a7-9d6a-451b-89ff-6660aeadee39" userProvider="AD" userName="William O' Sullivan (DHHS)"/>
        <t:Anchor>
          <t:Comment id="100763182"/>
        </t:Anchor>
        <t:Assign userId="S::nicole.youngs@safercare.vic.gov.au::65be26fa-e920-4315-ac69-718a9ac73e95" userProvider="AD" userName="Nicole Youngs (DHHS)"/>
      </t:Event>
      <t:Event id="{18A5E80B-7913-42C9-BA90-A21B45557678}" time="2022-10-13T07:01:23.362Z">
        <t:Attribution userId="S::william.o'sullivan@safercare.vic.gov.au::b6e983a7-9d6a-451b-89ff-6660aeadee39" userProvider="AD" userName="William O' Sullivan (DHHS)"/>
        <t:Anchor>
          <t:Comment id="100763182"/>
        </t:Anchor>
        <t:SetTitle title="@Nicole Youngs (DHHS) do you think we need to explicitly state - or satisfied it is captured in the death related to adverse event dot point and the sentinel event link?"/>
      </t:Event>
      <t:Event id="{3C9FB650-1D62-444A-ABC4-9E62C238F355}" time="2022-10-17T06:05:25.799Z">
        <t:Attribution userId="S::william.o'sullivan@safercare.vic.gov.au::b6e983a7-9d6a-451b-89ff-6660aeadee39" userProvider="AD" userName="William O' Sullivan (DHHS)"/>
        <t:Progress percentComplete="100"/>
      </t:Event>
    </t:History>
  </t:Task>
  <t:Task id="{4161D0BB-BCDA-447A-BAC1-D70E33862FC1}">
    <t:Anchor>
      <t:Comment id="1345241128"/>
    </t:Anchor>
    <t:History>
      <t:Event id="{5BA165D9-857B-4D1A-B465-DF382ACCD46F}" time="2022-10-17T05:56:32.821Z">
        <t:Attribution userId="S::william.o'sullivan@safercare.vic.gov.au::b6e983a7-9d6a-451b-89ff-6660aeadee39" userProvider="AD" userName="William O' Sullivan (DHHS)"/>
        <t:Anchor>
          <t:Comment id="1226356098"/>
        </t:Anchor>
        <t:Create/>
      </t:Event>
      <t:Event id="{B407674C-62E3-4909-A67C-F278E33F41D4}" time="2022-10-17T05:56:32.821Z">
        <t:Attribution userId="S::william.o'sullivan@safercare.vic.gov.au::b6e983a7-9d6a-451b-89ff-6660aeadee39" userProvider="AD" userName="William O' Sullivan (DHHS)"/>
        <t:Anchor>
          <t:Comment id="1226356098"/>
        </t:Anchor>
        <t:Assign userId="S::lanii.birks@safercare.vic.gov.au::9b253cd9-4b78-4ff6-bfed-a6294aa39be3" userProvider="AD" userName="Lanii Birks (DHHS)"/>
      </t:Event>
      <t:Event id="{C964ED8A-AA45-4B77-860E-755240022E1D}" time="2022-10-17T05:56:32.821Z">
        <t:Attribution userId="S::william.o'sullivan@safercare.vic.gov.au::b6e983a7-9d6a-451b-89ff-6660aeadee39" userProvider="AD" userName="William O' Sullivan (DHHS)"/>
        <t:Anchor>
          <t:Comment id="1226356098"/>
        </t:Anchor>
        <t:SetTitle title="@Lanii Birks (DHHS) please review this section"/>
      </t:Event>
      <t:Event id="{1B5220D7-9360-4324-9D14-D5F5B75B72C6}" time="2022-10-24T05:41:38.532Z">
        <t:Attribution userId="S::william.o'sullivan@safercare.vic.gov.au::b6e983a7-9d6a-451b-89ff-6660aeadee39" userProvider="AD" userName="William O' Sullivan (DHHS)"/>
        <t:Anchor>
          <t:Comment id="832418877"/>
        </t:Anchor>
        <t:UnassignAll/>
      </t:Event>
      <t:Event id="{019BE9A6-94D8-47AB-9C5D-77D4A1FD2B09}" time="2022-10-24T05:41:38.532Z">
        <t:Attribution userId="S::william.o'sullivan@safercare.vic.gov.au::b6e983a7-9d6a-451b-89ff-6660aeadee39" userProvider="AD" userName="William O' Sullivan (DHHS)"/>
        <t:Anchor>
          <t:Comment id="832418877"/>
        </t:Anchor>
        <t:Assign userId="S::nicole.youngs@safercare.vic.gov.au::65be26fa-e920-4315-ac69-718a9ac73e95" userProvider="AD" userName="Nicole Youngs (DHHS)"/>
      </t:Event>
    </t:History>
  </t:Task>
  <t:Task id="{3F77F63D-4961-477B-A623-2B5FDF2A279B}">
    <t:Anchor>
      <t:Comment id="1019815135"/>
    </t:Anchor>
    <t:History>
      <t:Event id="{E8834294-4CE8-4710-BC8A-C628825665C9}" time="2022-10-17T06:27:56.578Z">
        <t:Attribution userId="S::william.o'sullivan@safercare.vic.gov.au::b6e983a7-9d6a-451b-89ff-6660aeadee39" userProvider="AD" userName="William O' Sullivan (DHHS)"/>
        <t:Anchor>
          <t:Comment id="1019815135"/>
        </t:Anchor>
        <t:Create/>
      </t:Event>
      <t:Event id="{5F11BCD5-20A5-4866-BFB4-A68AAA380BC5}" time="2022-10-17T06:27:56.578Z">
        <t:Attribution userId="S::william.o'sullivan@safercare.vic.gov.au::b6e983a7-9d6a-451b-89ff-6660aeadee39" userProvider="AD" userName="William O' Sullivan (DHHS)"/>
        <t:Anchor>
          <t:Comment id="1019815135"/>
        </t:Anchor>
        <t:Assign userId="S::lanii.birks@safercare.vic.gov.au::9b253cd9-4b78-4ff6-bfed-a6294aa39be3" userProvider="AD" userName="Lanii Birks (DHHS)"/>
      </t:Event>
      <t:Event id="{74E20F7E-372F-4B6F-BBA6-922D11380AD1}" time="2022-10-17T06:27:56.578Z">
        <t:Attribution userId="S::william.o'sullivan@safercare.vic.gov.au::b6e983a7-9d6a-451b-89ff-6660aeadee39" userProvider="AD" userName="William O' Sullivan (DHHS)"/>
        <t:Anchor>
          <t:Comment id="1019815135"/>
        </t:Anchor>
        <t:SetTitle title="@Lanii Birks (DHHS) Please review when you get a chance - thanks"/>
      </t:Event>
      <t:Event id="{18C9968A-E5E1-4FE0-87BF-5B0298EA8C04}" time="2022-10-20T02:19:56.033Z">
        <t:Attribution userId="S::william.o'sullivan@safercare.vic.gov.au::b6e983a7-9d6a-451b-89ff-6660aeadee39" userProvider="AD" userName="William O' Sullivan (DHHS)"/>
        <t:Anchor>
          <t:Comment id="1927060422"/>
        </t:Anchor>
        <t:UnassignAll/>
      </t:Event>
      <t:Event id="{79F3CC7E-6CE6-4192-8921-E31D3F48358E}" time="2022-10-20T02:19:56.033Z">
        <t:Attribution userId="S::william.o'sullivan@safercare.vic.gov.au::b6e983a7-9d6a-451b-89ff-6660aeadee39" userProvider="AD" userName="William O' Sullivan (DHHS)"/>
        <t:Anchor>
          <t:Comment id="1927060422"/>
        </t:Anchor>
        <t:Assign userId="S::rebecca.vanwollingen@safercare.vic.gov.au::6555bb0a-1a45-4a52-9521-954937d3538d" userProvider="AD" userName="Rebecca Van Wollingen (DHHS)"/>
      </t:Event>
    </t:History>
  </t:Task>
  <t:Task id="{9371BDBD-A6CA-452C-83B2-9E64F6FF6F1C}">
    <t:Anchor>
      <t:Comment id="1186401646"/>
    </t:Anchor>
    <t:History>
      <t:Event id="{456374FB-52AE-4E82-8EE4-E641B98A6281}" time="2022-10-24T05:38:15.865Z">
        <t:Attribution userId="S::william.o'sullivan@safercare.vic.gov.au::b6e983a7-9d6a-451b-89ff-6660aeadee39" userProvider="AD" userName="William O' Sullivan (DHHS)"/>
        <t:Anchor>
          <t:Comment id="1186401646"/>
        </t:Anchor>
        <t:Create/>
      </t:Event>
      <t:Event id="{3A8749FB-6D7F-40EB-B564-DB9D816F14CB}" time="2022-10-24T05:38:15.865Z">
        <t:Attribution userId="S::william.o'sullivan@safercare.vic.gov.au::b6e983a7-9d6a-451b-89ff-6660aeadee39" userProvider="AD" userName="William O' Sullivan (DHHS)"/>
        <t:Anchor>
          <t:Comment id="1186401646"/>
        </t:Anchor>
        <t:Assign userId="S::nicole.youngs@safercare.vic.gov.au::65be26fa-e920-4315-ac69-718a9ac73e95" userProvider="AD" userName="Nicole Youngs (DHHS)"/>
      </t:Event>
      <t:Event id="{BB282EFA-A93A-47A7-B6B6-C401276216CF}" time="2022-10-24T05:38:15.865Z">
        <t:Attribution userId="S::william.o'sullivan@safercare.vic.gov.au::b6e983a7-9d6a-451b-89ff-6660aeadee39" userProvider="AD" userName="William O' Sullivan (DHHS)"/>
        <t:Anchor>
          <t:Comment id="1186401646"/>
        </t:Anchor>
        <t:SetTitle title="@Nicole Youngs (DHHS) please check - endorsed version"/>
      </t:Event>
    </t:History>
  </t:Task>
</t:Task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d57d50af-0511-4abc-8473-7b8c08a937c3">
      <Terms xmlns="http://schemas.microsoft.com/office/infopath/2007/PartnerControls"/>
    </lcf76f155ced4ddcb4097134ff3c332f>
    <SharedWithUsers xmlns="819afca8-9d5b-4e5f-a02d-e8160e861dbb">
      <UserInfo>
        <DisplayName>William O' Sullivan (DHHS)</DisplayName>
        <AccountId>266</AccountId>
        <AccountType/>
      </UserInfo>
      <UserInfo>
        <DisplayName>Nicole Youngs (DHHS)</DisplayName>
        <AccountId>94</AccountId>
        <AccountType/>
      </UserInfo>
      <UserInfo>
        <DisplayName>Joanna Green (Health)</DisplayName>
        <AccountId>229</AccountId>
        <AccountType/>
      </UserInfo>
      <UserInfo>
        <DisplayName>Melissa McIlvain (DHHS)</DisplayName>
        <AccountId>389</AccountId>
        <AccountType/>
      </UserInfo>
      <UserInfo>
        <DisplayName>Kaz Redmond (DHHS)</DisplayName>
        <AccountId>390</AccountId>
        <AccountType/>
      </UserInfo>
      <UserInfo>
        <DisplayName>Neil Coventry (Health)</DisplayName>
        <AccountId>392</AccountId>
        <AccountType/>
      </UserInfo>
      <UserInfo>
        <DisplayName>Kate De Clercq (DHHS)</DisplayName>
        <AccountId>64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2CBD3403E816419C87646E3C6EEB81" ma:contentTypeVersion="14" ma:contentTypeDescription="Create a new document." ma:contentTypeScope="" ma:versionID="e270d02d7ae0458dfe00206c5fdfbdf8">
  <xsd:schema xmlns:xsd="http://www.w3.org/2001/XMLSchema" xmlns:xs="http://www.w3.org/2001/XMLSchema" xmlns:p="http://schemas.microsoft.com/office/2006/metadata/properties" xmlns:ns2="d57d50af-0511-4abc-8473-7b8c08a937c3" xmlns:ns3="819afca8-9d5b-4e5f-a02d-e8160e861dbb" xmlns:ns4="5ce0f2b5-5be5-4508-bce9-d7011ece0659" targetNamespace="http://schemas.microsoft.com/office/2006/metadata/properties" ma:root="true" ma:fieldsID="4bc038c3081566f9a54f1717aff19cd9" ns2:_="" ns3:_="" ns4:_="">
    <xsd:import namespace="d57d50af-0511-4abc-8473-7b8c08a937c3"/>
    <xsd:import namespace="819afca8-9d5b-4e5f-a02d-e8160e861db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50af-0511-4abc-8473-7b8c08a93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afca8-9d5b-4e5f-a02d-e8160e861d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bcbacec-8de2-4b31-a51a-08fc30afc0d0}" ma:internalName="TaxCatchAll" ma:showField="CatchAllData" ma:web="819afca8-9d5b-4e5f-a02d-e8160e861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9501E-42E3-4B0D-BCE8-DBEB0361BBD6}">
  <ds:schemaRefs>
    <ds:schemaRef ds:uri="http://schemas.openxmlformats.org/officeDocument/2006/bibliography"/>
  </ds:schemaRefs>
</ds:datastoreItem>
</file>

<file path=customXml/itemProps2.xml><?xml version="1.0" encoding="utf-8"?>
<ds:datastoreItem xmlns:ds="http://schemas.openxmlformats.org/officeDocument/2006/customXml" ds:itemID="{F4DF8DAF-73D9-41AE-8762-2D5EAC8C6634}">
  <ds:schemaRef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819afca8-9d5b-4e5f-a02d-e8160e861dbb"/>
    <ds:schemaRef ds:uri="http://purl.org/dc/terms/"/>
    <ds:schemaRef ds:uri="d57d50af-0511-4abc-8473-7b8c08a937c3"/>
    <ds:schemaRef ds:uri="http://www.w3.org/XML/1998/namespace"/>
    <ds:schemaRef ds:uri="http://purl.org/dc/dcmitype/"/>
  </ds:schemaRefs>
</ds:datastoreItem>
</file>

<file path=customXml/itemProps3.xml><?xml version="1.0" encoding="utf-8"?>
<ds:datastoreItem xmlns:ds="http://schemas.openxmlformats.org/officeDocument/2006/customXml" ds:itemID="{409DEBD3-3DB1-4877-945F-406D1FF9DBF9}">
  <ds:schemaRefs>
    <ds:schemaRef ds:uri="http://schemas.microsoft.com/sharepoint/v3/contenttype/forms"/>
  </ds:schemaRefs>
</ds:datastoreItem>
</file>

<file path=customXml/itemProps4.xml><?xml version="1.0" encoding="utf-8"?>
<ds:datastoreItem xmlns:ds="http://schemas.openxmlformats.org/officeDocument/2006/customXml" ds:itemID="{5A453DDC-D975-48DA-980C-CB4086973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50af-0511-4abc-8473-7b8c08a937c3"/>
    <ds:schemaRef ds:uri="819afca8-9d5b-4e5f-a02d-e8160e861db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SCV blank.dotx</Template>
  <TotalTime>62</TotalTime>
  <Pages>1</Pages>
  <Words>9494</Words>
  <Characters>54118</Characters>
  <Application>Microsoft Office Word</Application>
  <DocSecurity>4</DocSecurity>
  <Lines>450</Lines>
  <Paragraphs>126</Paragraphs>
  <ScaleCrop>false</ScaleCrop>
  <Manager/>
  <Company>Safer Care Victoria</Company>
  <LinksUpToDate>false</LinksUpToDate>
  <CharactersWithSpaces>63486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Duty of Candour Framework</dc:title>
  <dc:subject/>
  <dc:creator>Priya Rangarajan (DHHS)</dc:creator>
  <cp:keywords/>
  <cp:lastModifiedBy>Kate De Clercq (DHHS)</cp:lastModifiedBy>
  <cp:revision>495</cp:revision>
  <cp:lastPrinted>2020-08-18T03:56:00Z</cp:lastPrinted>
  <dcterms:created xsi:type="dcterms:W3CDTF">2022-09-21T17:49:00Z</dcterms:created>
  <dcterms:modified xsi:type="dcterms:W3CDTF">2022-10-26T17:32:00Z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0x010100F52CBD3403E816419C87646E3C6EEB81</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2022-09-20T05:45:49Z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1471a31c-feab-4ba3-ac04-2999b3028cd1</vt:lpwstr>
  </property>
  <property fmtid="{D5CDD505-2E9C-101B-9397-08002B2CF9AE}" pid="11" name="MSIP_Label_43e64453-338c-4f93-8a4d-0039a0a41f2a_ContentBits">
    <vt:lpwstr>2</vt:lpwstr>
  </property>
</Properties>
</file>