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A61E8" w14:textId="77777777" w:rsidR="006803D3" w:rsidRDefault="006803D3" w:rsidP="00FB79CB">
      <w:pPr>
        <w:pStyle w:val="SCVfactsheettitle"/>
        <w:spacing w:line="276" w:lineRule="auto"/>
      </w:pPr>
    </w:p>
    <w:p w14:paraId="17C2B2D0" w14:textId="53E8B812" w:rsidR="00FB79CB" w:rsidRPr="00876171" w:rsidRDefault="00E07253" w:rsidP="00FB79CB">
      <w:pPr>
        <w:pStyle w:val="SCVfactsheettitle"/>
        <w:spacing w:line="276" w:lineRule="auto"/>
      </w:pPr>
      <w:r>
        <w:t>Continuing</w:t>
      </w:r>
      <w:r w:rsidR="00E3518A">
        <w:t xml:space="preserve"> Care</w:t>
      </w:r>
      <w:r w:rsidR="00FB79CB">
        <w:t xml:space="preserve"> Learning Health Network Advisory Group</w:t>
      </w:r>
    </w:p>
    <w:p w14:paraId="53851807" w14:textId="41BB289F" w:rsidR="00C50A2B" w:rsidRDefault="00337091" w:rsidP="00CF6CDD">
      <w:pPr>
        <w:pStyle w:val="SCVfactsheetsubtitle"/>
      </w:pPr>
      <w:r>
        <w:t xml:space="preserve">Terms of </w:t>
      </w:r>
      <w:r w:rsidR="2611EEED">
        <w:t>r</w:t>
      </w:r>
      <w:r>
        <w:t>eference</w:t>
      </w:r>
    </w:p>
    <w:p w14:paraId="2CC49B6A" w14:textId="77777777" w:rsidR="00FB79CB" w:rsidRPr="00876171" w:rsidRDefault="00B84172" w:rsidP="00FB79CB">
      <w:pPr>
        <w:pStyle w:val="SCVprotectivemarkingbelowsubtitle"/>
      </w:pPr>
      <w:fldSimple w:instr="FILLIN  &quot;Type the protective marking&quot; \d OFFICIAL \o  \* MERGEFORMAT">
        <w:r w:rsidR="00FB79CB">
          <w:t>OFFICIAL</w:t>
        </w:r>
      </w:fldSimple>
    </w:p>
    <w:p w14:paraId="431ECF45" w14:textId="56E71FA4" w:rsidR="00144AC5" w:rsidRDefault="00144AC5" w:rsidP="00CF6CDD">
      <w:pPr>
        <w:pStyle w:val="Heading1"/>
      </w:pPr>
      <w:r>
        <w:t>1.</w:t>
      </w:r>
      <w:r w:rsidRPr="00CF6CDD">
        <w:t>Context</w:t>
      </w:r>
    </w:p>
    <w:p w14:paraId="41638478" w14:textId="13F349B8" w:rsidR="000D6936" w:rsidRPr="00EE7EE2" w:rsidRDefault="000D6936" w:rsidP="00055795">
      <w:r w:rsidRPr="00EE7EE2">
        <w:t xml:space="preserve">Safer Care Victoria (SCV) is the state’s healthcare </w:t>
      </w:r>
      <w:r w:rsidR="008E6F8A">
        <w:t xml:space="preserve">safety and </w:t>
      </w:r>
      <w:r w:rsidRPr="00EE7EE2">
        <w:t>quality improvement agency. SCV works with consumers, families and carers, clinicians</w:t>
      </w:r>
      <w:r w:rsidR="00625A39" w:rsidRPr="00EE7EE2">
        <w:t>,</w:t>
      </w:r>
      <w:r w:rsidRPr="00EE7EE2">
        <w:t xml:space="preserve"> and health services to monitor and improve the </w:t>
      </w:r>
      <w:r w:rsidR="005F5504">
        <w:t xml:space="preserve">safety and </w:t>
      </w:r>
      <w:r w:rsidRPr="00EE7EE2">
        <w:t>quality</w:t>
      </w:r>
      <w:r w:rsidRPr="00EE7EE2" w:rsidDel="005F5504">
        <w:t xml:space="preserve"> </w:t>
      </w:r>
      <w:r w:rsidRPr="00EE7EE2">
        <w:t>of care delivered across our health system.</w:t>
      </w:r>
      <w:r w:rsidR="00817C60">
        <w:t xml:space="preserve"> </w:t>
      </w:r>
      <w:r w:rsidR="00A10369">
        <w:t>S</w:t>
      </w:r>
      <w:r w:rsidR="00E770A9">
        <w:t xml:space="preserve">CV </w:t>
      </w:r>
      <w:r w:rsidR="00A10369">
        <w:t>works to eliminate avoidable harm and strengthen quality of care.</w:t>
      </w:r>
      <w:r w:rsidR="00B81F55">
        <w:t xml:space="preserve"> </w:t>
      </w:r>
    </w:p>
    <w:p w14:paraId="21DDB61A" w14:textId="77777777" w:rsidR="000D6936" w:rsidRDefault="000D6936" w:rsidP="00EE7EE2">
      <w:r w:rsidRPr="00EE7EE2">
        <w:t xml:space="preserve">SCV puts patient safety front and centre, supporting health services to provide the safest and best possible care to patients, always. </w:t>
      </w:r>
    </w:p>
    <w:p w14:paraId="1057F04D" w14:textId="2DED90C3" w:rsidR="00323E65" w:rsidRDefault="00320A2A" w:rsidP="00320A2A">
      <w:r>
        <w:t>The Centre of Clinical Excellence</w:t>
      </w:r>
      <w:r w:rsidR="00911304">
        <w:t xml:space="preserve"> (</w:t>
      </w:r>
      <w:proofErr w:type="spellStart"/>
      <w:r w:rsidR="00911304">
        <w:t>CoCE</w:t>
      </w:r>
      <w:proofErr w:type="spellEnd"/>
      <w:r w:rsidR="00911304">
        <w:t>)</w:t>
      </w:r>
      <w:r>
        <w:t xml:space="preserve"> is the primary mechanism for SCV to engage clinicians</w:t>
      </w:r>
      <w:r w:rsidR="00666DA1">
        <w:t xml:space="preserve"> and consumers</w:t>
      </w:r>
      <w:r>
        <w:t xml:space="preserve"> to drive and promote quality improvement</w:t>
      </w:r>
      <w:r w:rsidR="00F93D6B">
        <w:t xml:space="preserve"> and</w:t>
      </w:r>
      <w:r>
        <w:t xml:space="preserve"> innovation</w:t>
      </w:r>
      <w:r w:rsidR="00266D3C">
        <w:t xml:space="preserve"> and</w:t>
      </w:r>
      <w:r>
        <w:t xml:space="preserve"> address variation in clinical practice. Meaningful engagement with clinicians, healthcare leaders, consumers and the wider health sector will enable sustained improvement in the </w:t>
      </w:r>
      <w:r w:rsidR="00266D3C">
        <w:t xml:space="preserve">safety and </w:t>
      </w:r>
      <w:r>
        <w:t>quality</w:t>
      </w:r>
      <w:r w:rsidR="00C21F50" w:rsidDel="00266D3C">
        <w:t xml:space="preserve"> </w:t>
      </w:r>
      <w:r>
        <w:t xml:space="preserve">of health care. The </w:t>
      </w:r>
      <w:proofErr w:type="spellStart"/>
      <w:r>
        <w:t>C</w:t>
      </w:r>
      <w:r w:rsidR="00FB3BA8">
        <w:t>o</w:t>
      </w:r>
      <w:r w:rsidR="00911304">
        <w:t>CE</w:t>
      </w:r>
      <w:proofErr w:type="spellEnd"/>
      <w:r>
        <w:t xml:space="preserve"> works collaboratively across SCV drawing on expertise in leadership development, innovation, system improvement, and consumer experience to achieve improvement objectives.</w:t>
      </w:r>
    </w:p>
    <w:p w14:paraId="5F0CBB97" w14:textId="206A740F" w:rsidR="00FB79CB" w:rsidRDefault="00911304" w:rsidP="00CF6CDD">
      <w:pPr>
        <w:pStyle w:val="SCVbodyafterheading"/>
      </w:pPr>
      <w:r w:rsidRPr="00911304">
        <w:t xml:space="preserve">The </w:t>
      </w:r>
      <w:proofErr w:type="spellStart"/>
      <w:r w:rsidRPr="00911304">
        <w:t>CoCE</w:t>
      </w:r>
      <w:proofErr w:type="spellEnd"/>
      <w:r w:rsidRPr="00911304">
        <w:t xml:space="preserve"> </w:t>
      </w:r>
      <w:r w:rsidR="00CF232E">
        <w:t xml:space="preserve">is </w:t>
      </w:r>
      <w:r w:rsidRPr="00911304">
        <w:t>establish</w:t>
      </w:r>
      <w:r w:rsidR="00CF232E">
        <w:t>ing</w:t>
      </w:r>
      <w:r w:rsidRPr="00911304">
        <w:t xml:space="preserve"> Learning Health Networks (LHN)</w:t>
      </w:r>
      <w:r w:rsidRPr="00911304" w:rsidDel="00C1227A">
        <w:t xml:space="preserve"> </w:t>
      </w:r>
      <w:r w:rsidRPr="00911304">
        <w:t>to drive and del</w:t>
      </w:r>
      <w:r w:rsidR="00CA5C08">
        <w:t>i</w:t>
      </w:r>
      <w:r w:rsidRPr="00911304">
        <w:t xml:space="preserve">ver priority work. </w:t>
      </w:r>
      <w:r w:rsidR="00966976">
        <w:t xml:space="preserve">LHNs bring together clinicians, consumers, </w:t>
      </w:r>
      <w:r w:rsidR="00A45C08">
        <w:t xml:space="preserve">data experts, </w:t>
      </w:r>
      <w:r w:rsidR="00A353B9" w:rsidRPr="00A353B9">
        <w:t>researchers</w:t>
      </w:r>
      <w:r w:rsidR="00A353B9">
        <w:t xml:space="preserve">, </w:t>
      </w:r>
      <w:r w:rsidR="00A353B9" w:rsidRPr="00A353B9">
        <w:t>health system leaders</w:t>
      </w:r>
      <w:r w:rsidR="00A45C08">
        <w:t xml:space="preserve"> </w:t>
      </w:r>
      <w:r w:rsidR="00966976">
        <w:t>and improvement specialists to use data and evidence to improve clinical care and patient outcomes</w:t>
      </w:r>
      <w:r w:rsidR="001C624B">
        <w:t xml:space="preserve"> with a system level </w:t>
      </w:r>
      <w:r w:rsidR="0093259D">
        <w:t>view</w:t>
      </w:r>
      <w:r w:rsidR="00966976">
        <w:t xml:space="preserve">.  </w:t>
      </w:r>
      <w:r w:rsidR="00FB79CB" w:rsidRPr="00055795">
        <w:rPr>
          <w:i/>
          <w:iCs/>
        </w:rPr>
        <w:t xml:space="preserve"> </w:t>
      </w:r>
    </w:p>
    <w:p w14:paraId="76334E85" w14:textId="7C05414C" w:rsidR="00D07F18" w:rsidRDefault="007566E8" w:rsidP="00BB4B39">
      <w:pPr>
        <w:pStyle w:val="Heading1"/>
      </w:pPr>
      <w:bookmarkStart w:id="0" w:name="_Toc52978538"/>
      <w:bookmarkStart w:id="1" w:name="_Toc43470670"/>
      <w:r>
        <w:t>2. P</w:t>
      </w:r>
      <w:r w:rsidR="00337091">
        <w:t>urpose</w:t>
      </w:r>
      <w:bookmarkEnd w:id="0"/>
    </w:p>
    <w:p w14:paraId="23DDB261" w14:textId="5BA53E54" w:rsidR="002B419C" w:rsidRDefault="00D07F18" w:rsidP="002B419C">
      <w:pPr>
        <w:pStyle w:val="Heading2"/>
      </w:pPr>
      <w:r>
        <w:t xml:space="preserve">2.1 </w:t>
      </w:r>
      <w:r w:rsidR="004F3D75">
        <w:t>Learning Health Networks</w:t>
      </w:r>
    </w:p>
    <w:p w14:paraId="65775CE3" w14:textId="7279E15A" w:rsidR="004F3D75" w:rsidRDefault="004F3D75" w:rsidP="004F3D75">
      <w:r>
        <w:t xml:space="preserve">LHNs bring </w:t>
      </w:r>
      <w:r w:rsidRPr="00AA11B3">
        <w:t xml:space="preserve">together </w:t>
      </w:r>
      <w:bookmarkStart w:id="2" w:name="_Hlk114047897"/>
      <w:r w:rsidRPr="00AA11B3">
        <w:t>clinicians, consumers,</w:t>
      </w:r>
      <w:r w:rsidR="00281FEF" w:rsidRPr="00AA11B3">
        <w:t xml:space="preserve"> data experts,</w:t>
      </w:r>
      <w:r w:rsidR="00A353B9" w:rsidRPr="00AA11B3">
        <w:t xml:space="preserve"> researchers, health system leaders</w:t>
      </w:r>
      <w:r w:rsidR="00281FEF" w:rsidRPr="00AA11B3">
        <w:t xml:space="preserve"> </w:t>
      </w:r>
      <w:r w:rsidR="00AA11B3" w:rsidRPr="00AA11B3">
        <w:t xml:space="preserve">and </w:t>
      </w:r>
      <w:r w:rsidRPr="00AA11B3">
        <w:t xml:space="preserve">improvement specialists </w:t>
      </w:r>
      <w:bookmarkEnd w:id="2"/>
      <w:r w:rsidRPr="00AA11B3">
        <w:t>to use</w:t>
      </w:r>
      <w:r>
        <w:t xml:space="preserve"> data and evidence to improve clinical care and patient outcomes.  A LHN functions to gather and analyse evidence</w:t>
      </w:r>
      <w:r w:rsidDel="00F40610">
        <w:t xml:space="preserve"> </w:t>
      </w:r>
      <w:r>
        <w:t xml:space="preserve">to implement </w:t>
      </w:r>
      <w:r w:rsidRPr="00F47E1A">
        <w:t>decision</w:t>
      </w:r>
      <w:r>
        <w:t>s</w:t>
      </w:r>
      <w:r w:rsidRPr="00F47E1A">
        <w:t xml:space="preserve"> and monitor</w:t>
      </w:r>
      <w:r>
        <w:t xml:space="preserve"> the effectiveness of the decision. </w:t>
      </w:r>
    </w:p>
    <w:p w14:paraId="2F334F1A" w14:textId="77777777" w:rsidR="004F3D75" w:rsidRDefault="004F3D75" w:rsidP="004F3D75">
      <w:r>
        <w:t>Characteristics of a LHN include:</w:t>
      </w:r>
    </w:p>
    <w:p w14:paraId="5E6E5BBB" w14:textId="77777777" w:rsidR="004F3D75" w:rsidRPr="00514F0C" w:rsidRDefault="004F3D75" w:rsidP="004F3D75">
      <w:pPr>
        <w:pStyle w:val="SCVbullet1"/>
      </w:pPr>
      <w:r w:rsidRPr="7A1B145B">
        <w:rPr>
          <w:b/>
        </w:rPr>
        <w:t>Shared vision:</w:t>
      </w:r>
      <w:r>
        <w:t xml:space="preserve"> to align multiple stakeholders around a common goal</w:t>
      </w:r>
    </w:p>
    <w:p w14:paraId="4AC1F31E" w14:textId="77777777" w:rsidR="004F3D75" w:rsidRPr="00514F0C" w:rsidRDefault="004F3D75" w:rsidP="004F3D75">
      <w:pPr>
        <w:pStyle w:val="SCVbullet1"/>
      </w:pPr>
      <w:r w:rsidRPr="7A1B145B">
        <w:rPr>
          <w:b/>
        </w:rPr>
        <w:t>Co-production:</w:t>
      </w:r>
      <w:r>
        <w:t xml:space="preserve"> facilitate collaboration, at scale, among multiple stakeholders to co-produce information, knowledge, and resources for creating improvement.</w:t>
      </w:r>
    </w:p>
    <w:p w14:paraId="0D98AC1B" w14:textId="77777777" w:rsidR="004F3D75" w:rsidRPr="00B020E6" w:rsidRDefault="004F3D75" w:rsidP="004F3D75">
      <w:pPr>
        <w:pStyle w:val="SCVbullet1"/>
        <w:rPr>
          <w:rFonts w:cstheme="minorHAnsi"/>
        </w:rPr>
      </w:pPr>
      <w:r w:rsidRPr="007A59E7">
        <w:rPr>
          <w:rFonts w:cstheme="minorHAnsi"/>
          <w:b/>
        </w:rPr>
        <w:lastRenderedPageBreak/>
        <w:t>Transparent data sharing:</w:t>
      </w:r>
      <w:r w:rsidRPr="00625A39">
        <w:rPr>
          <w:rFonts w:cstheme="minorHAnsi"/>
        </w:rPr>
        <w:t xml:space="preserve"> generate a rich data stream to gain insights and rapidly respond to the gap between current and desired performance </w:t>
      </w:r>
    </w:p>
    <w:p w14:paraId="350F31FF" w14:textId="77777777" w:rsidR="004F3D75" w:rsidRPr="00B020E6" w:rsidRDefault="004F3D75" w:rsidP="004F3D75">
      <w:pPr>
        <w:pStyle w:val="SCVbullet1"/>
        <w:rPr>
          <w:rFonts w:cstheme="minorHAnsi"/>
        </w:rPr>
      </w:pPr>
      <w:r w:rsidRPr="007A59E7">
        <w:rPr>
          <w:rFonts w:cstheme="minorHAnsi"/>
          <w:b/>
        </w:rPr>
        <w:t>Widespread capacity to change systems:</w:t>
      </w:r>
      <w:r w:rsidRPr="00625A39">
        <w:rPr>
          <w:rFonts w:cstheme="minorHAnsi"/>
        </w:rPr>
        <w:t xml:space="preserve"> apply a quality improvement method to rapidly test, spread, and scale ideas to achieve new levels of performance</w:t>
      </w:r>
    </w:p>
    <w:p w14:paraId="22FDC13B" w14:textId="77777777" w:rsidR="004F3D75" w:rsidRPr="00B020E6" w:rsidRDefault="004F3D75" w:rsidP="004F3D75">
      <w:pPr>
        <w:pStyle w:val="SCVbullet1"/>
        <w:rPr>
          <w:rFonts w:cstheme="minorHAnsi"/>
        </w:rPr>
      </w:pPr>
      <w:r w:rsidRPr="007A59E7">
        <w:rPr>
          <w:rFonts w:cstheme="minorHAnsi"/>
          <w:b/>
        </w:rPr>
        <w:t>Culture of trust:</w:t>
      </w:r>
      <w:r w:rsidRPr="00625A39">
        <w:rPr>
          <w:rFonts w:cstheme="minorHAnsi"/>
        </w:rPr>
        <w:t xml:space="preserve"> encourage curiosity, shared learning, contribution, and respect</w:t>
      </w:r>
    </w:p>
    <w:p w14:paraId="7BEAB3BF" w14:textId="60F02414" w:rsidR="004F3D75" w:rsidRPr="00514F0C" w:rsidRDefault="004F3D75" w:rsidP="004F3D75">
      <w:pPr>
        <w:pStyle w:val="SCVbullet1"/>
      </w:pPr>
      <w:r w:rsidRPr="7A1B145B">
        <w:rPr>
          <w:b/>
        </w:rPr>
        <w:t>Governance:</w:t>
      </w:r>
      <w:r>
        <w:t xml:space="preserve"> </w:t>
      </w:r>
      <w:r w:rsidR="00885398">
        <w:t xml:space="preserve">operate within </w:t>
      </w:r>
      <w:r>
        <w:t>a framework for governance and management for the design, implementation, and cycles of evaluation to improve outcomes.</w:t>
      </w:r>
    </w:p>
    <w:p w14:paraId="75FE92E1" w14:textId="77777777" w:rsidR="004F3D75" w:rsidRDefault="004F3D75" w:rsidP="004F3D75">
      <w:r w:rsidRPr="009833B3">
        <w:t xml:space="preserve">The </w:t>
      </w:r>
      <w:proofErr w:type="spellStart"/>
      <w:r w:rsidRPr="009833B3">
        <w:t>CoCE</w:t>
      </w:r>
      <w:proofErr w:type="spellEnd"/>
      <w:r w:rsidRPr="009833B3">
        <w:t xml:space="preserve"> LHN structure will include two ongoing and overarching streams: Acute Care and Continuing Care. These streams encompass a dedicated Acute Care LHN and a Continuing Care LHN. Time-limited priority areas and funded programs will be aligned to either the Acute Care or Continuing Care streams and proceed on a time-limited basis.</w:t>
      </w:r>
    </w:p>
    <w:p w14:paraId="4BA3E8BA" w14:textId="25FC381F" w:rsidR="002B419C" w:rsidRPr="00422068" w:rsidRDefault="00422068" w:rsidP="002B419C">
      <w:pPr>
        <w:pStyle w:val="Heading2"/>
      </w:pPr>
      <w:r>
        <w:t>2.</w:t>
      </w:r>
      <w:r w:rsidR="00983283">
        <w:t>2</w:t>
      </w:r>
      <w:r>
        <w:t xml:space="preserve"> </w:t>
      </w:r>
      <w:r w:rsidR="002B419C">
        <w:t xml:space="preserve">Learning Health </w:t>
      </w:r>
      <w:r w:rsidR="002B419C" w:rsidRPr="00CF6CDD">
        <w:t>Network</w:t>
      </w:r>
      <w:r w:rsidR="002B419C">
        <w:t xml:space="preserve"> Advisory Groups</w:t>
      </w:r>
    </w:p>
    <w:p w14:paraId="592BD7B1" w14:textId="2717BC19" w:rsidR="004F3D75" w:rsidRDefault="00D54221" w:rsidP="002B419C">
      <w:r>
        <w:t>LHN</w:t>
      </w:r>
      <w:r w:rsidR="002B419C">
        <w:t xml:space="preserve"> Advisory Groups consist of clinicians</w:t>
      </w:r>
      <w:r w:rsidR="00327CD8">
        <w:t xml:space="preserve">, </w:t>
      </w:r>
      <w:r w:rsidR="002B419C">
        <w:t>consumers</w:t>
      </w:r>
      <w:r w:rsidR="00327CD8" w:rsidRPr="00327CD8">
        <w:t>,</w:t>
      </w:r>
      <w:bookmarkStart w:id="3" w:name="_Hlk114052709"/>
      <w:r w:rsidR="00327CD8" w:rsidRPr="00327CD8">
        <w:t xml:space="preserve"> data experts, </w:t>
      </w:r>
      <w:r w:rsidR="00A353B9" w:rsidRPr="00A353B9">
        <w:t>researchers</w:t>
      </w:r>
      <w:r w:rsidR="00A353B9">
        <w:t xml:space="preserve">, </w:t>
      </w:r>
      <w:r w:rsidR="00A353B9" w:rsidRPr="00A353B9">
        <w:t>health system leaders</w:t>
      </w:r>
      <w:r w:rsidR="00327CD8" w:rsidRPr="00327CD8">
        <w:t xml:space="preserve"> and improvement specialists</w:t>
      </w:r>
      <w:r w:rsidR="002B419C">
        <w:t xml:space="preserve"> </w:t>
      </w:r>
      <w:bookmarkEnd w:id="3"/>
      <w:r w:rsidR="002B419C">
        <w:t xml:space="preserve">to oversee the LHNs. LHN Advisory Groups will drive and facilitate purposeful consumer and sector engagement within the LHN. The Advisory Groups will provide advice on work of the LHN, with a focus on system level issues, and provide advice and direction to support SCV and the Department of Health (DH) as required. LHN Advisory Group membership and function may vary based on programs of work. </w:t>
      </w:r>
      <w:r w:rsidR="00E95E17">
        <w:t xml:space="preserve">LHN </w:t>
      </w:r>
      <w:r w:rsidR="002B419C">
        <w:t xml:space="preserve">Advisory Groups support the identification and escalation of system-level issues relevant to their network; respond to specific data or safety and quality issues identified including those by the Clinical Advisory Group (CAG). Each </w:t>
      </w:r>
      <w:r w:rsidR="00775389">
        <w:t xml:space="preserve">LHN </w:t>
      </w:r>
      <w:r w:rsidR="002B419C">
        <w:t xml:space="preserve">Advisory Group will act in the best interests of consumers, health </w:t>
      </w:r>
      <w:r w:rsidR="00AA11B3">
        <w:t>care workers</w:t>
      </w:r>
      <w:r w:rsidR="002B419C">
        <w:t xml:space="preserve"> and the wider Victorian community to provide a mechanism for broader sector consultation.</w:t>
      </w:r>
    </w:p>
    <w:p w14:paraId="70A2F7F2" w14:textId="57E2A06A" w:rsidR="009F3C46" w:rsidRDefault="009F3C46" w:rsidP="000E6F4F">
      <w:pPr>
        <w:pStyle w:val="SCVtablecaption"/>
        <w:ind w:left="360"/>
      </w:pPr>
      <w:r>
        <w:t>Figure 1: Learning Health Network Structure</w:t>
      </w:r>
    </w:p>
    <w:p w14:paraId="2F4FCD9E" w14:textId="77777777" w:rsidR="00143124" w:rsidRDefault="00143124" w:rsidP="000E6F4F">
      <w:pPr>
        <w:pStyle w:val="SCVbodyafterheading"/>
        <w:spacing w:line="240" w:lineRule="auto"/>
      </w:pPr>
    </w:p>
    <w:p w14:paraId="6FF1F40F" w14:textId="15FE36F5" w:rsidR="00422068" w:rsidRPr="00EC5AE4" w:rsidRDefault="009F3C46" w:rsidP="00EC5AE4">
      <w:pPr>
        <w:pStyle w:val="SCVbody"/>
        <w:spacing w:line="240" w:lineRule="auto"/>
        <w:rPr>
          <w:strike/>
        </w:rPr>
      </w:pPr>
      <w:r>
        <w:rPr>
          <w:noProof/>
        </w:rPr>
        <w:lastRenderedPageBreak/>
        <w:drawing>
          <wp:inline distT="0" distB="0" distL="0" distR="0" wp14:anchorId="5E9118C1" wp14:editId="3F902438">
            <wp:extent cx="5762625" cy="358451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8885" cy="3588410"/>
                    </a:xfrm>
                    <a:prstGeom prst="rect">
                      <a:avLst/>
                    </a:prstGeom>
                  </pic:spPr>
                </pic:pic>
              </a:graphicData>
            </a:graphic>
          </wp:inline>
        </w:drawing>
      </w:r>
    </w:p>
    <w:p w14:paraId="49DCF26B" w14:textId="77777777" w:rsidR="0080107C" w:rsidRDefault="0087319D" w:rsidP="0087319D">
      <w:pPr>
        <w:pStyle w:val="Heading2"/>
      </w:pPr>
      <w:bookmarkStart w:id="4" w:name="_Hlk42521506"/>
      <w:bookmarkEnd w:id="4"/>
      <w:r>
        <w:t xml:space="preserve">2.3 Core </w:t>
      </w:r>
      <w:r w:rsidRPr="00CF6CDD">
        <w:t>operating</w:t>
      </w:r>
      <w:r>
        <w:t xml:space="preserve"> principles</w:t>
      </w:r>
    </w:p>
    <w:p w14:paraId="310E9296" w14:textId="77777777" w:rsidR="005D2093" w:rsidRDefault="005D2093" w:rsidP="0087319D">
      <w:pPr>
        <w:pStyle w:val="SCVbullet1"/>
        <w:numPr>
          <w:ilvl w:val="0"/>
          <w:numId w:val="0"/>
        </w:numPr>
      </w:pPr>
    </w:p>
    <w:p w14:paraId="3E5ECAE4" w14:textId="144EE0B1" w:rsidR="0087319D" w:rsidRPr="00A07DCA" w:rsidRDefault="0087319D" w:rsidP="0087319D">
      <w:pPr>
        <w:pStyle w:val="SCVbullet1"/>
        <w:numPr>
          <w:ilvl w:val="0"/>
          <w:numId w:val="0"/>
        </w:numPr>
      </w:pPr>
      <w:r>
        <w:t xml:space="preserve">LHN Advisory Groups will: </w:t>
      </w:r>
    </w:p>
    <w:p w14:paraId="1FB7BBEA" w14:textId="5B192177" w:rsidR="0087319D" w:rsidRPr="00873684" w:rsidRDefault="0087319D" w:rsidP="0087319D">
      <w:pPr>
        <w:pStyle w:val="SCVbullet1"/>
        <w:rPr>
          <w:rFonts w:cstheme="minorHAnsi"/>
        </w:rPr>
      </w:pPr>
      <w:r>
        <w:t xml:space="preserve">act in the best </w:t>
      </w:r>
      <w:r w:rsidRPr="00D9017E">
        <w:rPr>
          <w:rFonts w:cstheme="minorHAnsi"/>
        </w:rPr>
        <w:t xml:space="preserve">interests of consumers, health </w:t>
      </w:r>
      <w:r w:rsidR="00327CD8">
        <w:rPr>
          <w:rFonts w:cstheme="minorHAnsi"/>
        </w:rPr>
        <w:t>care workers</w:t>
      </w:r>
      <w:r w:rsidRPr="00D9017E">
        <w:rPr>
          <w:rFonts w:cstheme="minorHAnsi"/>
        </w:rPr>
        <w:t xml:space="preserve"> and the wider Victorian community</w:t>
      </w:r>
    </w:p>
    <w:p w14:paraId="66B0D0DA" w14:textId="76A92068" w:rsidR="0087319D" w:rsidRPr="009A32A0" w:rsidRDefault="0087319D" w:rsidP="0087319D">
      <w:pPr>
        <w:pStyle w:val="SCVbullet1"/>
        <w:rPr>
          <w:rFonts w:cstheme="minorHAnsi"/>
        </w:rPr>
      </w:pPr>
      <w:r w:rsidRPr="00484B6A">
        <w:rPr>
          <w:rFonts w:cstheme="minorHAnsi"/>
        </w:rPr>
        <w:t xml:space="preserve">ensure </w:t>
      </w:r>
      <w:r w:rsidRPr="00D9017E">
        <w:rPr>
          <w:rFonts w:cstheme="minorHAnsi"/>
        </w:rPr>
        <w:t>consum</w:t>
      </w:r>
      <w:r w:rsidRPr="00873684">
        <w:rPr>
          <w:rFonts w:cstheme="minorHAnsi"/>
        </w:rPr>
        <w:t xml:space="preserve">ers participate in a meaningful way in all activities of </w:t>
      </w:r>
      <w:r w:rsidR="00E57310">
        <w:rPr>
          <w:rFonts w:cstheme="minorHAnsi"/>
        </w:rPr>
        <w:t xml:space="preserve">LHN </w:t>
      </w:r>
      <w:r w:rsidRPr="00862430">
        <w:rPr>
          <w:rFonts w:cstheme="minorHAnsi"/>
        </w:rPr>
        <w:t xml:space="preserve">Advisory </w:t>
      </w:r>
      <w:r w:rsidRPr="009A32A0">
        <w:rPr>
          <w:rFonts w:cstheme="minorHAnsi"/>
        </w:rPr>
        <w:t>Groups, including decision making</w:t>
      </w:r>
    </w:p>
    <w:p w14:paraId="28493B06" w14:textId="06F9F6AC" w:rsidR="0087319D" w:rsidRPr="009A32A0" w:rsidRDefault="0087319D" w:rsidP="0087319D">
      <w:pPr>
        <w:pStyle w:val="SCVbullet1"/>
        <w:rPr>
          <w:rFonts w:cstheme="minorHAnsi"/>
        </w:rPr>
      </w:pPr>
      <w:r w:rsidRPr="00484B6A">
        <w:rPr>
          <w:rFonts w:cstheme="minorHAnsi"/>
        </w:rPr>
        <w:t>f</w:t>
      </w:r>
      <w:r w:rsidRPr="00D9017E">
        <w:rPr>
          <w:rFonts w:cstheme="minorHAnsi"/>
        </w:rPr>
        <w:t xml:space="preserve">unction in </w:t>
      </w:r>
      <w:r w:rsidRPr="00873684">
        <w:rPr>
          <w:rFonts w:cstheme="minorHAnsi"/>
        </w:rPr>
        <w:t xml:space="preserve">alignment with the </w:t>
      </w:r>
      <w:r w:rsidR="00307924">
        <w:rPr>
          <w:rFonts w:cstheme="minorHAnsi"/>
        </w:rPr>
        <w:t>CAG,</w:t>
      </w:r>
      <w:r w:rsidRPr="00862430">
        <w:rPr>
          <w:rFonts w:cstheme="minorHAnsi"/>
        </w:rPr>
        <w:t xml:space="preserve"> the</w:t>
      </w:r>
      <w:r w:rsidRPr="009A32A0">
        <w:rPr>
          <w:rFonts w:cstheme="minorHAnsi"/>
        </w:rPr>
        <w:t xml:space="preserve"> </w:t>
      </w:r>
      <w:proofErr w:type="spellStart"/>
      <w:r w:rsidRPr="009A32A0">
        <w:rPr>
          <w:rFonts w:cstheme="minorHAnsi"/>
        </w:rPr>
        <w:t>CoCE</w:t>
      </w:r>
      <w:proofErr w:type="spellEnd"/>
      <w:r w:rsidRPr="009A32A0">
        <w:rPr>
          <w:rFonts w:cstheme="minorHAnsi"/>
        </w:rPr>
        <w:t xml:space="preserve"> and SCV’s strategic plan and priorities</w:t>
      </w:r>
    </w:p>
    <w:p w14:paraId="1C6A2A60" w14:textId="255D1996" w:rsidR="0087319D" w:rsidRPr="009A32A0" w:rsidRDefault="0087319D" w:rsidP="0087319D">
      <w:pPr>
        <w:pStyle w:val="SCVbullet1"/>
        <w:rPr>
          <w:rFonts w:cstheme="minorHAnsi"/>
        </w:rPr>
      </w:pPr>
      <w:r w:rsidRPr="00484B6A">
        <w:rPr>
          <w:rFonts w:cstheme="minorHAnsi"/>
        </w:rPr>
        <w:t>not share c</w:t>
      </w:r>
      <w:r w:rsidRPr="00D9017E">
        <w:rPr>
          <w:rFonts w:cstheme="minorHAnsi"/>
        </w:rPr>
        <w:t>onfidential information (received</w:t>
      </w:r>
      <w:r w:rsidRPr="00873684">
        <w:rPr>
          <w:rFonts w:cstheme="minorHAnsi"/>
        </w:rPr>
        <w:t xml:space="preserve"> in their capacity as members) with the sector as specified in the SCV </w:t>
      </w:r>
      <w:r w:rsidRPr="009A32A0">
        <w:rPr>
          <w:rFonts w:cstheme="minorHAnsi"/>
        </w:rPr>
        <w:t>confidentiality agreement</w:t>
      </w:r>
    </w:p>
    <w:p w14:paraId="2FE86C82" w14:textId="77777777" w:rsidR="0087319D" w:rsidRPr="00873684" w:rsidRDefault="0087319D" w:rsidP="0087319D">
      <w:pPr>
        <w:pStyle w:val="SCVbullet1"/>
        <w:rPr>
          <w:rFonts w:cstheme="minorHAnsi"/>
        </w:rPr>
      </w:pPr>
      <w:r w:rsidRPr="00484B6A">
        <w:rPr>
          <w:rFonts w:cstheme="minorHAnsi"/>
        </w:rPr>
        <w:t>r</w:t>
      </w:r>
      <w:r w:rsidRPr="00D9017E">
        <w:rPr>
          <w:rFonts w:cstheme="minorHAnsi"/>
        </w:rPr>
        <w:t>egularly review progress against its roles and responsibilities</w:t>
      </w:r>
    </w:p>
    <w:p w14:paraId="02978395" w14:textId="77777777" w:rsidR="0087319D" w:rsidRPr="009A32A0" w:rsidRDefault="0087319D" w:rsidP="0087319D">
      <w:pPr>
        <w:pStyle w:val="SCVbullet1"/>
        <w:rPr>
          <w:rFonts w:cstheme="minorHAnsi"/>
        </w:rPr>
      </w:pPr>
      <w:r w:rsidRPr="00484B6A">
        <w:rPr>
          <w:rFonts w:cstheme="minorHAnsi"/>
        </w:rPr>
        <w:t>be</w:t>
      </w:r>
      <w:r w:rsidRPr="00D9017E">
        <w:rPr>
          <w:rFonts w:cstheme="minorHAnsi"/>
        </w:rPr>
        <w:t xml:space="preserve"> politically</w:t>
      </w:r>
      <w:r w:rsidRPr="00873684">
        <w:rPr>
          <w:rFonts w:cstheme="minorHAnsi"/>
        </w:rPr>
        <w:t xml:space="preserve"> neutral</w:t>
      </w:r>
      <w:r w:rsidRPr="009A32A0">
        <w:rPr>
          <w:rFonts w:cstheme="minorHAnsi"/>
        </w:rPr>
        <w:t xml:space="preserve"> as an Advisory Group, not endorsing politically focused advocacy</w:t>
      </w:r>
    </w:p>
    <w:p w14:paraId="099FA221" w14:textId="77777777" w:rsidR="0087319D" w:rsidRPr="00873684" w:rsidRDefault="0087319D" w:rsidP="0087319D">
      <w:pPr>
        <w:pStyle w:val="SCVbullet1"/>
        <w:rPr>
          <w:rFonts w:cstheme="minorHAnsi"/>
        </w:rPr>
      </w:pPr>
      <w:r w:rsidRPr="00484B6A">
        <w:rPr>
          <w:rFonts w:cstheme="minorHAnsi"/>
        </w:rPr>
        <w:t xml:space="preserve">act in accordance with the values and behaviours of the </w:t>
      </w:r>
      <w:hyperlink r:id="rId12">
        <w:r w:rsidRPr="00873684">
          <w:rPr>
            <w:rStyle w:val="Hyperlink"/>
            <w:rFonts w:cstheme="minorHAnsi"/>
          </w:rPr>
          <w:t>Code of Conduct for Victorian Sector Employees</w:t>
        </w:r>
      </w:hyperlink>
      <w:r w:rsidRPr="00D9017E">
        <w:rPr>
          <w:rFonts w:cstheme="minorHAnsi"/>
        </w:rPr>
        <w:t>.</w:t>
      </w:r>
    </w:p>
    <w:p w14:paraId="3138AFCD" w14:textId="77777777" w:rsidR="007819A1" w:rsidRDefault="007819A1" w:rsidP="00EC5AE4">
      <w:pPr>
        <w:pStyle w:val="SCVbody"/>
        <w:spacing w:line="240" w:lineRule="auto"/>
        <w:rPr>
          <w:strike/>
        </w:rPr>
      </w:pPr>
    </w:p>
    <w:p w14:paraId="0612D069" w14:textId="2044086F" w:rsidR="00C97B86" w:rsidRDefault="21C65890" w:rsidP="00CF6CDD">
      <w:pPr>
        <w:pStyle w:val="Heading2"/>
      </w:pPr>
      <w:r>
        <w:t>2.</w:t>
      </w:r>
      <w:r w:rsidR="4093F6EE">
        <w:t>4</w:t>
      </w:r>
      <w:r w:rsidR="7C232E3D">
        <w:t xml:space="preserve"> </w:t>
      </w:r>
      <w:r w:rsidR="297A2720">
        <w:t>Roles and responsibilities</w:t>
      </w:r>
      <w:r w:rsidR="19B905F0">
        <w:t xml:space="preserve"> of</w:t>
      </w:r>
      <w:r w:rsidR="499072FD">
        <w:t xml:space="preserve"> the </w:t>
      </w:r>
      <w:r w:rsidR="754C698C">
        <w:t>LHN Advisory Group</w:t>
      </w:r>
      <w:r w:rsidR="0020BEFE">
        <w:t xml:space="preserve"> </w:t>
      </w:r>
      <w:r w:rsidR="007566E8">
        <w:br/>
      </w:r>
    </w:p>
    <w:p w14:paraId="29801192" w14:textId="348999E7" w:rsidR="00614763" w:rsidRPr="00F703D2" w:rsidRDefault="00475FDA" w:rsidP="0006572F">
      <w:r w:rsidDel="00916723">
        <w:t>Co-c</w:t>
      </w:r>
      <w:r w:rsidR="00614763" w:rsidRPr="00F703D2" w:rsidDel="00916723">
        <w:t xml:space="preserve">haired by the </w:t>
      </w:r>
      <w:r w:rsidR="00935296" w:rsidRPr="00935296" w:rsidDel="00916723">
        <w:t xml:space="preserve">LHN </w:t>
      </w:r>
      <w:r w:rsidR="00614763" w:rsidRPr="0006572F" w:rsidDel="00916723">
        <w:t>Clinical</w:t>
      </w:r>
      <w:r w:rsidR="00A25FA5" w:rsidDel="00916723">
        <w:t xml:space="preserve"> </w:t>
      </w:r>
      <w:r w:rsidR="00A25FA5" w:rsidRPr="00725857" w:rsidDel="00916723">
        <w:t>and Consumer Lead</w:t>
      </w:r>
      <w:r w:rsidDel="00916723">
        <w:t>s</w:t>
      </w:r>
      <w:r w:rsidR="00614763" w:rsidRPr="00F703D2" w:rsidDel="00916723">
        <w:t>, the</w:t>
      </w:r>
      <w:r w:rsidR="00614763" w:rsidRPr="00F703D2">
        <w:t xml:space="preserve"> </w:t>
      </w:r>
      <w:r w:rsidR="00686EE0">
        <w:t>LHN</w:t>
      </w:r>
      <w:r w:rsidR="00614763" w:rsidRPr="00F703D2">
        <w:t xml:space="preserve"> Advisory Group will provide guidance, advice, and direction to support the </w:t>
      </w:r>
      <w:r w:rsidR="00935296">
        <w:t xml:space="preserve">work of the LHN. </w:t>
      </w:r>
    </w:p>
    <w:p w14:paraId="3756AC0D" w14:textId="3CDF19F1" w:rsidR="00543CE1" w:rsidRPr="00E13774" w:rsidRDefault="3B8AC15D" w:rsidP="00E13774">
      <w:pPr>
        <w:pStyle w:val="SCVbodyafterheading"/>
        <w:rPr>
          <w:rStyle w:val="normaltextrun"/>
        </w:rPr>
      </w:pPr>
      <w:r>
        <w:t>This may include, but is not limited to</w:t>
      </w:r>
      <w:r w:rsidR="2BD91207">
        <w:t>:</w:t>
      </w:r>
    </w:p>
    <w:p w14:paraId="6FF8C723" w14:textId="1125CC60" w:rsidR="3C1088DF" w:rsidRDefault="3C1088DF" w:rsidP="2737678F">
      <w:pPr>
        <w:pStyle w:val="SCVbullet1"/>
      </w:pPr>
      <w:r>
        <w:t>leverage expertise and sector relationships to provide expert advice about emerging safety and quality issues</w:t>
      </w:r>
    </w:p>
    <w:p w14:paraId="74B91311" w14:textId="03CDCC32" w:rsidR="3C1088DF" w:rsidRDefault="3C1088DF" w:rsidP="005F11EA">
      <w:pPr>
        <w:pStyle w:val="SCVbullet1"/>
        <w:rPr>
          <w:rFonts w:ascii="Arial" w:eastAsia="Times New Roman" w:hAnsi="Arial" w:cs="Arial"/>
        </w:rPr>
      </w:pPr>
      <w:r w:rsidRPr="2737678F">
        <w:rPr>
          <w:rFonts w:ascii="Arial" w:eastAsia="Times New Roman" w:hAnsi="Arial" w:cs="Arial"/>
        </w:rPr>
        <w:lastRenderedPageBreak/>
        <w:t xml:space="preserve">facilitate analysis of system and service level data, </w:t>
      </w:r>
      <w:r w:rsidR="005526FC">
        <w:rPr>
          <w:rFonts w:ascii="Arial" w:eastAsia="Times New Roman" w:hAnsi="Arial" w:cs="Arial"/>
        </w:rPr>
        <w:t xml:space="preserve">by </w:t>
      </w:r>
      <w:r w:rsidRPr="2737678F">
        <w:rPr>
          <w:rFonts w:ascii="Arial" w:eastAsia="Times New Roman" w:hAnsi="Arial" w:cs="Arial"/>
        </w:rPr>
        <w:t xml:space="preserve">working with </w:t>
      </w:r>
      <w:r w:rsidRPr="005526FC">
        <w:rPr>
          <w:rFonts w:ascii="Arial" w:eastAsia="Times New Roman" w:hAnsi="Arial" w:cs="Arial"/>
        </w:rPr>
        <w:t xml:space="preserve">the </w:t>
      </w:r>
      <w:r w:rsidRPr="005526FC">
        <w:t>Quality and Safety Signals (QASS)</w:t>
      </w:r>
      <w:r w:rsidRPr="005526FC">
        <w:rPr>
          <w:rFonts w:ascii="Arial" w:eastAsia="Times New Roman" w:hAnsi="Arial" w:cs="Arial"/>
        </w:rPr>
        <w:t xml:space="preserve"> group</w:t>
      </w:r>
      <w:r w:rsidR="005526FC">
        <w:rPr>
          <w:rFonts w:ascii="Arial" w:eastAsia="Times New Roman" w:hAnsi="Arial" w:cs="Arial"/>
        </w:rPr>
        <w:t xml:space="preserve"> </w:t>
      </w:r>
    </w:p>
    <w:p w14:paraId="6283713A" w14:textId="4D37472F" w:rsidR="3C1088DF" w:rsidRDefault="3C1088DF" w:rsidP="005F11EA">
      <w:pPr>
        <w:pStyle w:val="SCVbullet1"/>
        <w:rPr>
          <w:rFonts w:ascii="Arial" w:eastAsia="Times New Roman" w:hAnsi="Arial" w:cs="Arial"/>
        </w:rPr>
      </w:pPr>
      <w:r>
        <w:t>provide insight and specialty clinical advice about data variation as required</w:t>
      </w:r>
    </w:p>
    <w:p w14:paraId="2C6384A9" w14:textId="6231F7D2" w:rsidR="3C1088DF" w:rsidRDefault="3C1088DF" w:rsidP="005F11EA">
      <w:pPr>
        <w:pStyle w:val="SCVbullet1"/>
        <w:rPr>
          <w:rFonts w:ascii="Arial" w:eastAsia="Times New Roman" w:hAnsi="Arial" w:cs="Arial"/>
        </w:rPr>
      </w:pPr>
      <w:r>
        <w:t>identify and/or review existing safety and quality metrics for the relevant health network</w:t>
      </w:r>
    </w:p>
    <w:p w14:paraId="7630802B" w14:textId="567C0419" w:rsidR="2737678F" w:rsidRPr="00A42186" w:rsidRDefault="3C1088DF" w:rsidP="00A42186">
      <w:pPr>
        <w:pStyle w:val="SCVbullet1"/>
        <w:rPr>
          <w:rFonts w:ascii="Arial" w:eastAsia="Times New Roman" w:hAnsi="Arial" w:cs="Arial"/>
        </w:rPr>
      </w:pPr>
      <w:r>
        <w:t>generate a strategic workplan (for approval by SCV Executives)</w:t>
      </w:r>
    </w:p>
    <w:p w14:paraId="0E5EBE48" w14:textId="4E27C7E7" w:rsidR="00D9017E" w:rsidRPr="00FB52BD" w:rsidRDefault="003D0CA6" w:rsidP="0017285E">
      <w:pPr>
        <w:pStyle w:val="SCVbullet1"/>
      </w:pPr>
      <w:r>
        <w:t>lead</w:t>
      </w:r>
      <w:r w:rsidR="00C24857">
        <w:t xml:space="preserve"> </w:t>
      </w:r>
      <w:r w:rsidR="005B6262">
        <w:t xml:space="preserve">and promote </w:t>
      </w:r>
      <w:r w:rsidR="00C24857">
        <w:t xml:space="preserve">sector engagement </w:t>
      </w:r>
    </w:p>
    <w:p w14:paraId="03D51D3F" w14:textId="2DDB5BF9" w:rsidR="00453511" w:rsidRDefault="00704177" w:rsidP="00E61FEA">
      <w:pPr>
        <w:pStyle w:val="SCVbullet1"/>
      </w:pPr>
      <w:r>
        <w:t>enabl</w:t>
      </w:r>
      <w:r w:rsidR="00C8560F">
        <w:t>e</w:t>
      </w:r>
      <w:r w:rsidR="00E13774">
        <w:t xml:space="preserve"> </w:t>
      </w:r>
      <w:r>
        <w:t xml:space="preserve">broad consultation </w:t>
      </w:r>
      <w:r w:rsidR="002A10BA">
        <w:t xml:space="preserve">and engagement </w:t>
      </w:r>
      <w:r>
        <w:t xml:space="preserve">with the sector via </w:t>
      </w:r>
      <w:r w:rsidR="003A210F" w:rsidRPr="00704177">
        <w:t>networking, peer</w:t>
      </w:r>
      <w:r w:rsidR="00376D5D" w:rsidRPr="00704177">
        <w:t>-</w:t>
      </w:r>
      <w:r w:rsidR="003A210F" w:rsidRPr="00704177">
        <w:t>to</w:t>
      </w:r>
      <w:r w:rsidR="00376D5D" w:rsidRPr="00704177">
        <w:t>-</w:t>
      </w:r>
      <w:r w:rsidR="003A210F" w:rsidRPr="00704177">
        <w:t xml:space="preserve">peer </w:t>
      </w:r>
      <w:proofErr w:type="gramStart"/>
      <w:r w:rsidR="003A210F" w:rsidRPr="00704177">
        <w:t>learning</w:t>
      </w:r>
      <w:proofErr w:type="gramEnd"/>
      <w:r w:rsidR="003A210F" w:rsidRPr="00704177">
        <w:t xml:space="preserve"> and collaboration </w:t>
      </w:r>
      <w:r w:rsidR="003A210F" w:rsidRPr="00704177" w:rsidDel="0073746B">
        <w:t xml:space="preserve">across the </w:t>
      </w:r>
      <w:r w:rsidDel="0073746B">
        <w:t xml:space="preserve">health </w:t>
      </w:r>
      <w:r w:rsidR="3BF43D3D">
        <w:t>network</w:t>
      </w:r>
    </w:p>
    <w:p w14:paraId="4B826370" w14:textId="0795406C" w:rsidR="00862430" w:rsidRPr="00FB52BD" w:rsidRDefault="00862430" w:rsidP="0017285E">
      <w:pPr>
        <w:pStyle w:val="SCVbullet1"/>
        <w:rPr>
          <w:rFonts w:ascii="Arial" w:eastAsia="Times New Roman" w:hAnsi="Arial" w:cs="Arial"/>
        </w:rPr>
      </w:pPr>
      <w:r w:rsidRPr="00FB52BD">
        <w:rPr>
          <w:rFonts w:ascii="Arial" w:eastAsia="Times New Roman" w:hAnsi="Arial" w:cs="Arial"/>
        </w:rPr>
        <w:t>lead meaningful consumer engagement</w:t>
      </w:r>
    </w:p>
    <w:p w14:paraId="12402DA7" w14:textId="6E25BE20" w:rsidR="00453511" w:rsidRDefault="00862430" w:rsidP="0017285E">
      <w:pPr>
        <w:pStyle w:val="SCVbullet1"/>
        <w:rPr>
          <w:rFonts w:ascii="Arial" w:eastAsia="Times New Roman" w:hAnsi="Arial" w:cs="Arial"/>
        </w:rPr>
      </w:pPr>
      <w:r w:rsidRPr="00D9017E">
        <w:rPr>
          <w:rFonts w:ascii="Arial" w:eastAsia="Times New Roman" w:hAnsi="Arial" w:cs="Arial"/>
        </w:rPr>
        <w:t xml:space="preserve">offer advice or guidance on clinical reform, </w:t>
      </w:r>
      <w:proofErr w:type="gramStart"/>
      <w:r w:rsidRPr="00D9017E">
        <w:rPr>
          <w:rFonts w:ascii="Arial" w:eastAsia="Times New Roman" w:hAnsi="Arial" w:cs="Arial"/>
        </w:rPr>
        <w:t>improvement</w:t>
      </w:r>
      <w:proofErr w:type="gramEnd"/>
      <w:r w:rsidR="00F61027">
        <w:rPr>
          <w:rFonts w:ascii="Arial" w:eastAsia="Times New Roman" w:hAnsi="Arial" w:cs="Arial"/>
        </w:rPr>
        <w:t xml:space="preserve"> and</w:t>
      </w:r>
      <w:r w:rsidRPr="00D9017E">
        <w:rPr>
          <w:rFonts w:ascii="Arial" w:eastAsia="Times New Roman" w:hAnsi="Arial" w:cs="Arial"/>
        </w:rPr>
        <w:t xml:space="preserve"> measures </w:t>
      </w:r>
      <w:r w:rsidRPr="00E13774">
        <w:rPr>
          <w:rFonts w:ascii="Arial" w:eastAsia="Times New Roman" w:hAnsi="Arial" w:cs="Arial"/>
        </w:rPr>
        <w:t>to support SCV and the DH as required</w:t>
      </w:r>
    </w:p>
    <w:p w14:paraId="16B9B92C" w14:textId="6EFA6B9A" w:rsidR="00453511" w:rsidRDefault="00E07663" w:rsidP="0017285E">
      <w:pPr>
        <w:pStyle w:val="SCVbullet1"/>
        <w:rPr>
          <w:rFonts w:ascii="Arial" w:eastAsia="Times New Roman" w:hAnsi="Arial" w:cs="Arial"/>
        </w:rPr>
      </w:pPr>
      <w:r w:rsidRPr="00453511">
        <w:rPr>
          <w:rFonts w:ascii="Arial" w:eastAsia="Times New Roman" w:hAnsi="Arial" w:cs="Arial"/>
        </w:rPr>
        <w:t>shar</w:t>
      </w:r>
      <w:r w:rsidR="00862430" w:rsidRPr="00453511">
        <w:rPr>
          <w:rFonts w:ascii="Arial" w:eastAsia="Times New Roman" w:hAnsi="Arial" w:cs="Arial"/>
        </w:rPr>
        <w:t>e</w:t>
      </w:r>
      <w:r w:rsidRPr="00453511">
        <w:rPr>
          <w:rFonts w:ascii="Arial" w:eastAsia="Times New Roman" w:hAnsi="Arial" w:cs="Arial"/>
        </w:rPr>
        <w:t xml:space="preserve"> best practice resources</w:t>
      </w:r>
    </w:p>
    <w:p w14:paraId="3A2331F8" w14:textId="3512A384" w:rsidR="00453511" w:rsidRPr="00453511" w:rsidRDefault="27DD72EC" w:rsidP="0017285E">
      <w:pPr>
        <w:pStyle w:val="SCVbullet1"/>
        <w:rPr>
          <w:rFonts w:ascii="Arial" w:eastAsia="Times New Roman" w:hAnsi="Arial" w:cs="Arial"/>
        </w:rPr>
      </w:pPr>
      <w:r w:rsidRPr="00CF6CDD">
        <w:t xml:space="preserve">triage and </w:t>
      </w:r>
      <w:r w:rsidR="0F7B00DF" w:rsidRPr="00CF6CDD">
        <w:t>raise</w:t>
      </w:r>
      <w:r w:rsidR="03B8C898" w:rsidRPr="00CF6CDD">
        <w:t xml:space="preserve"> </w:t>
      </w:r>
      <w:r w:rsidRPr="00CF6CDD">
        <w:t>emerging system</w:t>
      </w:r>
      <w:r w:rsidR="000F7B8E">
        <w:t>-</w:t>
      </w:r>
      <w:r w:rsidRPr="00CF6CDD">
        <w:t>level themes</w:t>
      </w:r>
      <w:r w:rsidR="006D214B" w:rsidRPr="00CF6CDD">
        <w:t xml:space="preserve"> or issues</w:t>
      </w:r>
      <w:r w:rsidRPr="00CF6CDD">
        <w:t xml:space="preserve"> to the </w:t>
      </w:r>
      <w:r w:rsidR="00307924" w:rsidRPr="71C484B8">
        <w:t>CAG</w:t>
      </w:r>
      <w:r w:rsidR="00A944B5">
        <w:t xml:space="preserve"> as appropriate</w:t>
      </w:r>
      <w:r w:rsidR="00925503">
        <w:t>; in turn</w:t>
      </w:r>
      <w:r w:rsidR="68FBD883" w:rsidRPr="00CF6CDD">
        <w:t xml:space="preserve"> respond to</w:t>
      </w:r>
      <w:r w:rsidR="6961B737" w:rsidRPr="00CF6CDD">
        <w:t xml:space="preserve"> requests from</w:t>
      </w:r>
      <w:r w:rsidR="00772BB5" w:rsidRPr="00CF6CDD">
        <w:t xml:space="preserve"> the</w:t>
      </w:r>
      <w:r w:rsidR="6961B737" w:rsidRPr="00CF6CDD">
        <w:t xml:space="preserve"> </w:t>
      </w:r>
      <w:r w:rsidR="00307924" w:rsidRPr="71C484B8">
        <w:t>CAG</w:t>
      </w:r>
    </w:p>
    <w:p w14:paraId="7538A3FF" w14:textId="4ECE7497" w:rsidR="00E13774" w:rsidRPr="00453511" w:rsidRDefault="00C8560F" w:rsidP="0017285E">
      <w:pPr>
        <w:pStyle w:val="SCVbullet1"/>
        <w:rPr>
          <w:rFonts w:ascii="Arial" w:eastAsia="Times New Roman" w:hAnsi="Arial" w:cs="Arial"/>
        </w:rPr>
      </w:pPr>
      <w:r w:rsidRPr="00E13774">
        <w:t xml:space="preserve">review </w:t>
      </w:r>
      <w:r>
        <w:t xml:space="preserve">and provide advice on </w:t>
      </w:r>
      <w:r w:rsidRPr="00E13774">
        <w:t>work in progress</w:t>
      </w:r>
      <w:r w:rsidR="00116683">
        <w:t>,</w:t>
      </w:r>
      <w:r>
        <w:t xml:space="preserve"> </w:t>
      </w:r>
      <w:r w:rsidR="00BB7435">
        <w:t>which may include</w:t>
      </w:r>
      <w:r w:rsidR="00E13774" w:rsidRPr="00E13774">
        <w:t xml:space="preserve"> practice changes, safety</w:t>
      </w:r>
      <w:r w:rsidR="00116683" w:rsidRPr="00E13774">
        <w:t>,</w:t>
      </w:r>
      <w:r w:rsidR="00E13774" w:rsidRPr="00E13774">
        <w:t xml:space="preserve"> and improvement</w:t>
      </w:r>
      <w:r w:rsidR="00D03C16">
        <w:t>,</w:t>
      </w:r>
      <w:r w:rsidR="00116683">
        <w:t xml:space="preserve"> </w:t>
      </w:r>
      <w:r w:rsidR="00E13774" w:rsidRPr="00E13774">
        <w:t>with a focus on system level issues</w:t>
      </w:r>
    </w:p>
    <w:p w14:paraId="3AC9AE33" w14:textId="77777777" w:rsidR="00382444" w:rsidRDefault="00E01C3B" w:rsidP="0017285E">
      <w:pPr>
        <w:pStyle w:val="SCVbullet1"/>
      </w:pPr>
      <w:r w:rsidRPr="00CF6CDD">
        <w:t xml:space="preserve">work with other </w:t>
      </w:r>
      <w:r w:rsidR="00704177">
        <w:t xml:space="preserve">health </w:t>
      </w:r>
      <w:r w:rsidR="006F3E7E" w:rsidRPr="00CF6CDD">
        <w:t>n</w:t>
      </w:r>
      <w:r w:rsidRPr="00CF6CDD">
        <w:t>etworks to identify shared priorities and opportunities to collaborate</w:t>
      </w:r>
    </w:p>
    <w:p w14:paraId="4450550D" w14:textId="6658848A" w:rsidR="00382444" w:rsidRDefault="005F2AB6" w:rsidP="0017285E">
      <w:pPr>
        <w:pStyle w:val="SCVbullet1"/>
      </w:pPr>
      <w:r w:rsidRPr="00CF6CDD">
        <w:t>promote</w:t>
      </w:r>
      <w:r w:rsidR="00BB063D" w:rsidRPr="00CF6CDD">
        <w:t xml:space="preserve"> SCV work, particularly</w:t>
      </w:r>
      <w:r w:rsidR="008E6C9C" w:rsidRPr="00CF6CDD">
        <w:t xml:space="preserve"> </w:t>
      </w:r>
      <w:proofErr w:type="spellStart"/>
      <w:r w:rsidR="00704177">
        <w:t>CoCE</w:t>
      </w:r>
      <w:proofErr w:type="spellEnd"/>
      <w:r w:rsidR="008E6C9C" w:rsidRPr="00CF6CDD">
        <w:t xml:space="preserve"> </w:t>
      </w:r>
      <w:r w:rsidR="00BB063D" w:rsidRPr="00CF6CDD">
        <w:t>activities and projects</w:t>
      </w:r>
      <w:r w:rsidR="005B4BD7">
        <w:t>.</w:t>
      </w:r>
    </w:p>
    <w:p w14:paraId="0B62CD48" w14:textId="77777777" w:rsidR="0080107C" w:rsidRPr="002451FE" w:rsidRDefault="0080107C" w:rsidP="004464A2">
      <w:pPr>
        <w:pStyle w:val="SCVbullet1"/>
        <w:numPr>
          <w:ilvl w:val="0"/>
          <w:numId w:val="0"/>
        </w:numPr>
        <w:rPr>
          <w:rFonts w:ascii="Arial" w:eastAsia="Times New Roman" w:hAnsi="Arial" w:cs="Arial"/>
        </w:rPr>
      </w:pPr>
    </w:p>
    <w:p w14:paraId="5EB33934" w14:textId="77777777" w:rsidR="00F703D2" w:rsidRDefault="00F703D2" w:rsidP="007C680F">
      <w:pPr>
        <w:pStyle w:val="SCVbullet1"/>
        <w:numPr>
          <w:ilvl w:val="0"/>
          <w:numId w:val="0"/>
        </w:numPr>
        <w:ind w:left="284"/>
      </w:pPr>
    </w:p>
    <w:p w14:paraId="7F7CEF2B" w14:textId="1CF746DB" w:rsidR="0080107C" w:rsidRDefault="26CB4D6E" w:rsidP="0080107C">
      <w:pPr>
        <w:pStyle w:val="Heading2"/>
      </w:pPr>
      <w:r>
        <w:t xml:space="preserve">2.5 Data </w:t>
      </w:r>
      <w:r w:rsidR="0080107C">
        <w:br/>
      </w:r>
    </w:p>
    <w:p w14:paraId="00E5BD7A" w14:textId="24C6FB68" w:rsidR="0098398B" w:rsidRPr="00A6707A" w:rsidRDefault="002451FE" w:rsidP="005B4BD7">
      <w:pPr>
        <w:pStyle w:val="SCVbullet1"/>
        <w:numPr>
          <w:ilvl w:val="0"/>
          <w:numId w:val="0"/>
        </w:numPr>
      </w:pPr>
      <w:r w:rsidRPr="51AF19D6">
        <w:t xml:space="preserve">The </w:t>
      </w:r>
      <w:r w:rsidR="00E07253">
        <w:t>Continuing</w:t>
      </w:r>
      <w:r w:rsidRPr="51AF19D6">
        <w:t xml:space="preserve"> </w:t>
      </w:r>
      <w:r w:rsidR="0060747F" w:rsidRPr="51AF19D6">
        <w:t xml:space="preserve">Care </w:t>
      </w:r>
      <w:r w:rsidRPr="51AF19D6">
        <w:t xml:space="preserve">LHN will have access to system level data through the </w:t>
      </w:r>
      <w:r w:rsidR="00437D10" w:rsidRPr="51AF19D6">
        <w:t>QASS</w:t>
      </w:r>
      <w:r w:rsidRPr="51AF19D6">
        <w:t xml:space="preserve"> group.</w:t>
      </w:r>
      <w:r w:rsidR="005B4BD7" w:rsidRPr="51AF19D6">
        <w:t xml:space="preserve"> </w:t>
      </w:r>
      <w:r w:rsidR="00065771">
        <w:t xml:space="preserve">The purpose of QASS is </w:t>
      </w:r>
      <w:r w:rsidR="00D56A8A">
        <w:t xml:space="preserve">to </w:t>
      </w:r>
      <w:r w:rsidR="00065771">
        <w:t>recognis</w:t>
      </w:r>
      <w:r w:rsidR="00D56A8A">
        <w:t>e</w:t>
      </w:r>
      <w:r w:rsidR="00065771">
        <w:t xml:space="preserve"> system vulnerabilities and key risks, identify improvement opportunities</w:t>
      </w:r>
      <w:r w:rsidR="00D56A8A">
        <w:t>,</w:t>
      </w:r>
      <w:r w:rsidR="00065771">
        <w:t xml:space="preserve"> </w:t>
      </w:r>
      <w:r w:rsidR="00D56A8A">
        <w:t>identify data variations that indicate adverse consumer outcomes</w:t>
      </w:r>
      <w:r w:rsidR="00E067C2">
        <w:t>,</w:t>
      </w:r>
      <w:r w:rsidR="00D56A8A">
        <w:t xml:space="preserve"> </w:t>
      </w:r>
      <w:r w:rsidR="00065771">
        <w:t xml:space="preserve">and monitor improvements delivered. </w:t>
      </w:r>
    </w:p>
    <w:p w14:paraId="5A96BF8A" w14:textId="2361C64F" w:rsidR="002A19B0" w:rsidRDefault="002A19B0" w:rsidP="00F928F1">
      <w:pPr>
        <w:pStyle w:val="Heading1"/>
      </w:pPr>
      <w:r>
        <w:t xml:space="preserve">3 </w:t>
      </w:r>
      <w:r w:rsidRPr="00CF6CDD">
        <w:t>Accountability</w:t>
      </w:r>
    </w:p>
    <w:p w14:paraId="643EF709" w14:textId="2BEF4CD9" w:rsidR="002A19B0" w:rsidRPr="00295919" w:rsidRDefault="005458A5" w:rsidP="005458A5">
      <w:pPr>
        <w:pStyle w:val="Heading2"/>
      </w:pPr>
      <w:r>
        <w:t xml:space="preserve">3.1 </w:t>
      </w:r>
      <w:r w:rsidR="002A19B0" w:rsidRPr="00295919">
        <w:t>Clinical Advisory Group</w:t>
      </w:r>
    </w:p>
    <w:p w14:paraId="5E97EF4E" w14:textId="1DD5B079" w:rsidR="002A19B0" w:rsidRPr="00295919" w:rsidRDefault="465907EC" w:rsidP="002A19B0">
      <w:pPr>
        <w:pStyle w:val="SCVbodyafterheading"/>
      </w:pPr>
      <w:r>
        <w:t xml:space="preserve">Each LHN Advisory Group will </w:t>
      </w:r>
      <w:r w:rsidR="00800594">
        <w:t>report</w:t>
      </w:r>
      <w:r>
        <w:t xml:space="preserve"> to the </w:t>
      </w:r>
      <w:r w:rsidR="2D65365D" w:rsidRPr="2737678F">
        <w:t>CAG</w:t>
      </w:r>
      <w:r>
        <w:t xml:space="preserve">, </w:t>
      </w:r>
      <w:r w:rsidR="027A4162">
        <w:t xml:space="preserve">chaired by the CEO of SCV. </w:t>
      </w:r>
      <w:r w:rsidR="4AC029A1">
        <w:t xml:space="preserve">The CAG provides multidisciplinary expert clinical and consumer guidance and advice </w:t>
      </w:r>
      <w:r w:rsidR="005D7579">
        <w:t>to</w:t>
      </w:r>
      <w:r w:rsidR="4AC029A1">
        <w:t xml:space="preserve"> the </w:t>
      </w:r>
      <w:proofErr w:type="spellStart"/>
      <w:r w:rsidR="4AC029A1">
        <w:t>C</w:t>
      </w:r>
      <w:r w:rsidR="00A42186">
        <w:t>oCE</w:t>
      </w:r>
      <w:proofErr w:type="spellEnd"/>
      <w:r w:rsidR="4AC029A1">
        <w:t>, SCV Senior Leadership Group and the broader DH when required.</w:t>
      </w:r>
      <w:r w:rsidR="00800594">
        <w:t xml:space="preserve"> All LHNs will be accountable to </w:t>
      </w:r>
      <w:r w:rsidR="00225F3D">
        <w:t>t</w:t>
      </w:r>
      <w:r w:rsidR="00800594">
        <w:t>he SCV Executive.</w:t>
      </w:r>
    </w:p>
    <w:p w14:paraId="5D33CB1B" w14:textId="3854F8C1" w:rsidR="002A19B0" w:rsidRPr="00295919" w:rsidRDefault="00E07253" w:rsidP="002A19B0">
      <w:pPr>
        <w:pStyle w:val="SCVbody"/>
      </w:pPr>
      <w:r>
        <w:t>Continuing</w:t>
      </w:r>
      <w:r w:rsidR="00FE3822">
        <w:t xml:space="preserve"> Care </w:t>
      </w:r>
      <w:r w:rsidR="465907EC">
        <w:t xml:space="preserve">LHN Clinical </w:t>
      </w:r>
      <w:r w:rsidR="53CF8966">
        <w:t xml:space="preserve">and Consumer </w:t>
      </w:r>
      <w:r w:rsidR="465907EC">
        <w:t xml:space="preserve">leads, in their role as </w:t>
      </w:r>
      <w:r w:rsidR="53CF8966">
        <w:t>Co-</w:t>
      </w:r>
      <w:r w:rsidR="63354F8B">
        <w:t>C</w:t>
      </w:r>
      <w:r w:rsidR="465907EC">
        <w:t>hair</w:t>
      </w:r>
      <w:r w:rsidR="0B15C65D">
        <w:t>s</w:t>
      </w:r>
      <w:r w:rsidR="465907EC">
        <w:t xml:space="preserve"> of </w:t>
      </w:r>
      <w:r w:rsidR="00FE3822">
        <w:t>the</w:t>
      </w:r>
      <w:r w:rsidR="465907EC">
        <w:t xml:space="preserve"> LHN Advisory Group</w:t>
      </w:r>
      <w:r w:rsidR="00724AE2">
        <w:t>,</w:t>
      </w:r>
      <w:r w:rsidR="465907EC">
        <w:t xml:space="preserve"> will also be member</w:t>
      </w:r>
      <w:r w:rsidR="0B15C65D">
        <w:t>s</w:t>
      </w:r>
      <w:r w:rsidR="465907EC">
        <w:t xml:space="preserve"> of </w:t>
      </w:r>
      <w:r w:rsidR="00E30717">
        <w:t xml:space="preserve">the </w:t>
      </w:r>
      <w:r w:rsidR="465907EC">
        <w:t xml:space="preserve">CAG. They will be the key conduit for escalation and reporting to </w:t>
      </w:r>
      <w:r w:rsidR="00E30717">
        <w:t xml:space="preserve">the </w:t>
      </w:r>
      <w:r w:rsidR="465907EC">
        <w:t xml:space="preserve">CAG from their </w:t>
      </w:r>
      <w:r w:rsidR="007DDEBB">
        <w:t>LHN</w:t>
      </w:r>
      <w:r w:rsidR="465907EC">
        <w:t>.</w:t>
      </w:r>
      <w:r w:rsidR="5B7BA953">
        <w:t xml:space="preserve"> </w:t>
      </w:r>
      <w:r w:rsidR="7C14AEBD">
        <w:t xml:space="preserve">The </w:t>
      </w:r>
      <w:r w:rsidR="5B7BA953">
        <w:t xml:space="preserve">CAG will provide endorsement </w:t>
      </w:r>
      <w:r w:rsidR="00FD0765">
        <w:t xml:space="preserve">of recommendations </w:t>
      </w:r>
      <w:r w:rsidR="5B7BA953">
        <w:t>and advice to the LHN</w:t>
      </w:r>
      <w:r w:rsidR="465907EC">
        <w:t>.</w:t>
      </w:r>
    </w:p>
    <w:p w14:paraId="2703C565" w14:textId="2AB85349" w:rsidR="002A19B0" w:rsidRPr="00295919" w:rsidRDefault="00FE3822" w:rsidP="002A19B0">
      <w:pPr>
        <w:pStyle w:val="SCVbody"/>
      </w:pPr>
      <w:r>
        <w:t xml:space="preserve">The </w:t>
      </w:r>
      <w:r w:rsidR="00E07253">
        <w:t>Continuing</w:t>
      </w:r>
      <w:r>
        <w:t xml:space="preserve"> Care</w:t>
      </w:r>
      <w:r w:rsidR="002A19B0" w:rsidRPr="00295919">
        <w:t xml:space="preserve"> </w:t>
      </w:r>
      <w:r w:rsidR="002A19B0">
        <w:t>LHN A</w:t>
      </w:r>
      <w:r w:rsidR="002A19B0" w:rsidRPr="00532B47">
        <w:t xml:space="preserve">dvisory </w:t>
      </w:r>
      <w:r w:rsidR="002A19B0">
        <w:t>G</w:t>
      </w:r>
      <w:r w:rsidR="002A19B0" w:rsidRPr="00532B47">
        <w:t xml:space="preserve">roup </w:t>
      </w:r>
      <w:r w:rsidR="002A19B0" w:rsidRPr="00295919">
        <w:t xml:space="preserve">will: </w:t>
      </w:r>
    </w:p>
    <w:p w14:paraId="56B86D76" w14:textId="5A3F54A1" w:rsidR="002A19B0" w:rsidRPr="00295919" w:rsidRDefault="002A19B0" w:rsidP="002A19B0">
      <w:pPr>
        <w:pStyle w:val="SCVbullet1"/>
        <w:numPr>
          <w:ilvl w:val="0"/>
          <w:numId w:val="18"/>
        </w:numPr>
      </w:pPr>
      <w:r w:rsidRPr="00295919">
        <w:t xml:space="preserve">inform the </w:t>
      </w:r>
      <w:r w:rsidR="00564480">
        <w:t>CAG</w:t>
      </w:r>
      <w:r w:rsidRPr="00295919">
        <w:t xml:space="preserve"> of system-level issues identified in their respective </w:t>
      </w:r>
      <w:r w:rsidRPr="00532B47">
        <w:t>health</w:t>
      </w:r>
      <w:r w:rsidRPr="00295919">
        <w:t xml:space="preserve"> network</w:t>
      </w:r>
    </w:p>
    <w:p w14:paraId="7C4C236D" w14:textId="4A9E891E" w:rsidR="002A19B0" w:rsidRPr="00295919" w:rsidRDefault="002A19B0" w:rsidP="002A19B0">
      <w:pPr>
        <w:pStyle w:val="SCVbullet1"/>
        <w:numPr>
          <w:ilvl w:val="0"/>
          <w:numId w:val="18"/>
        </w:numPr>
      </w:pPr>
      <w:r w:rsidRPr="00295919">
        <w:t xml:space="preserve">respond to requests from the </w:t>
      </w:r>
      <w:r w:rsidR="00564480">
        <w:t>CAG</w:t>
      </w:r>
      <w:r w:rsidRPr="00295919">
        <w:t xml:space="preserve"> about system-level themes in their area</w:t>
      </w:r>
    </w:p>
    <w:p w14:paraId="555048FA" w14:textId="30C386F0" w:rsidR="00C111A6" w:rsidRDefault="002A19B0" w:rsidP="00741749">
      <w:pPr>
        <w:pStyle w:val="SCVbullet1"/>
        <w:numPr>
          <w:ilvl w:val="0"/>
          <w:numId w:val="18"/>
        </w:numPr>
      </w:pPr>
      <w:r w:rsidRPr="00295919">
        <w:t xml:space="preserve">provide insight into data variation as required by the </w:t>
      </w:r>
      <w:r w:rsidR="00564480">
        <w:t>CAG</w:t>
      </w:r>
      <w:r w:rsidR="005A62A1">
        <w:t>.</w:t>
      </w:r>
    </w:p>
    <w:p w14:paraId="6C94E78A" w14:textId="77777777" w:rsidR="00C111A6" w:rsidRDefault="00C111A6" w:rsidP="00C111A6">
      <w:pPr>
        <w:pStyle w:val="SCVbullet1"/>
        <w:numPr>
          <w:ilvl w:val="0"/>
          <w:numId w:val="0"/>
        </w:numPr>
        <w:ind w:left="284" w:hanging="284"/>
      </w:pPr>
    </w:p>
    <w:p w14:paraId="54E3D666" w14:textId="7F183AC0" w:rsidR="00337091" w:rsidRPr="00337091" w:rsidRDefault="00C111A6" w:rsidP="00C111A6">
      <w:pPr>
        <w:pStyle w:val="Heading1"/>
      </w:pPr>
      <w:r>
        <w:lastRenderedPageBreak/>
        <w:t>4. Membership</w:t>
      </w:r>
    </w:p>
    <w:p w14:paraId="06996522" w14:textId="61F50243" w:rsidR="00CC7FFE" w:rsidRPr="007566E8" w:rsidRDefault="005458A5" w:rsidP="00CF6CDD">
      <w:pPr>
        <w:pStyle w:val="Heading2"/>
      </w:pPr>
      <w:r>
        <w:t>4</w:t>
      </w:r>
      <w:r w:rsidR="007566E8">
        <w:t xml:space="preserve">.1 </w:t>
      </w:r>
      <w:r w:rsidR="00337091" w:rsidRPr="00CF6CDD">
        <w:t>Members</w:t>
      </w:r>
    </w:p>
    <w:p w14:paraId="5BD909DE" w14:textId="60A110A3" w:rsidR="005246AA" w:rsidRPr="00302C5D" w:rsidRDefault="00C6316B">
      <w:r w:rsidRPr="00C6316B">
        <w:t xml:space="preserve">Membership will include a broad range of </w:t>
      </w:r>
      <w:r w:rsidR="5772D420">
        <w:t>consumers</w:t>
      </w:r>
      <w:r w:rsidR="00A42186" w:rsidRPr="00A42186">
        <w:t xml:space="preserve">, </w:t>
      </w:r>
      <w:r w:rsidR="00A42186">
        <w:t xml:space="preserve">data experts, </w:t>
      </w:r>
      <w:r w:rsidR="00A42186" w:rsidRPr="00A42186">
        <w:t>researchers, health system leaders</w:t>
      </w:r>
      <w:r w:rsidR="5772D420">
        <w:t xml:space="preserve"> and </w:t>
      </w:r>
      <w:r w:rsidRPr="00C6316B">
        <w:t xml:space="preserve">clinicians from varying disciplines, career stages and healthcare settings (across regional and metropolitan Victoria), to enable balanced representation of perspectives in the relevant health population. </w:t>
      </w:r>
    </w:p>
    <w:p w14:paraId="28257443" w14:textId="2AF565D4" w:rsidR="005246AA" w:rsidRPr="00302C5D" w:rsidRDefault="00C6316B">
      <w:r>
        <w:t xml:space="preserve">Each Advisory Group will comprise of approximately 10 to 15 members. </w:t>
      </w:r>
      <w:r w:rsidR="00E07253">
        <w:t>Continuing</w:t>
      </w:r>
      <w:r w:rsidR="000F0852">
        <w:t xml:space="preserve"> Care </w:t>
      </w:r>
      <w:r w:rsidR="00017C53">
        <w:t xml:space="preserve">LHN Advisory Group membership and function may vary based on programs of work. </w:t>
      </w:r>
      <w:r w:rsidR="00597B21">
        <w:t xml:space="preserve">The </w:t>
      </w:r>
      <w:r w:rsidR="00E07253">
        <w:t>Continuing</w:t>
      </w:r>
      <w:r w:rsidR="00CD7987">
        <w:t xml:space="preserve"> Care </w:t>
      </w:r>
      <w:r w:rsidR="00597B21">
        <w:t>LHN Advisory Group will be co-chaired by the LHN Clinical and Consumer Leads.</w:t>
      </w:r>
      <w:r w:rsidR="00017C53">
        <w:t xml:space="preserve"> </w:t>
      </w:r>
    </w:p>
    <w:p w14:paraId="2E87E1F6" w14:textId="573782B8" w:rsidR="00181262" w:rsidRDefault="00E07253">
      <w:r>
        <w:t>Continuing</w:t>
      </w:r>
      <w:r w:rsidR="00CD7987">
        <w:t xml:space="preserve"> Care</w:t>
      </w:r>
      <w:r w:rsidR="00CE699C" w:rsidRPr="00CE699C">
        <w:t xml:space="preserve"> LHN Advisory Group </w:t>
      </w:r>
      <w:r w:rsidR="00181262">
        <w:t xml:space="preserve">membership </w:t>
      </w:r>
      <w:r w:rsidR="00CE699C" w:rsidRPr="00CE699C">
        <w:t>will include one SCV Chief Professional Officer. The Chief Professional Officer will play a key role in providing a two-way conduit between SCV and DH.</w:t>
      </w:r>
      <w:r w:rsidR="00CE699C">
        <w:t xml:space="preserve"> </w:t>
      </w:r>
    </w:p>
    <w:p w14:paraId="764C867D" w14:textId="7FE27AA4" w:rsidR="005246AA" w:rsidRPr="00302C5D" w:rsidRDefault="005246AA">
      <w:r w:rsidRPr="00302C5D">
        <w:t>Members are non-representative</w:t>
      </w:r>
      <w:r w:rsidR="007817FB">
        <w:t>,</w:t>
      </w:r>
      <w:r w:rsidRPr="00302C5D">
        <w:t xml:space="preserve"> that is, they do not represent an entity, organisation, or any vested interests.</w:t>
      </w:r>
    </w:p>
    <w:p w14:paraId="20F31D20" w14:textId="0F322DEC" w:rsidR="009A3C19" w:rsidRDefault="009A3C19" w:rsidP="00CF6CDD">
      <w:pPr>
        <w:pStyle w:val="SCVbodyafterheading"/>
      </w:pPr>
    </w:p>
    <w:p w14:paraId="01CB8DC8" w14:textId="198EB870" w:rsidR="004B6C42" w:rsidRPr="009A3C19" w:rsidRDefault="00095635" w:rsidP="00CF6CDD">
      <w:pPr>
        <w:pStyle w:val="Heading3"/>
      </w:pPr>
      <w:r>
        <w:t>M</w:t>
      </w:r>
      <w:r w:rsidR="004B6C42">
        <w:t>embers</w:t>
      </w:r>
      <w:r>
        <w:t>hip includes:</w:t>
      </w:r>
    </w:p>
    <w:p w14:paraId="0BCA2775" w14:textId="6C171D20" w:rsidR="00B62C43" w:rsidRDefault="00E07253" w:rsidP="00B62C43">
      <w:pPr>
        <w:pStyle w:val="SCVbullet1"/>
        <w:numPr>
          <w:ilvl w:val="0"/>
          <w:numId w:val="13"/>
        </w:numPr>
      </w:pPr>
      <w:r>
        <w:t>Continuing</w:t>
      </w:r>
      <w:r w:rsidR="00181262">
        <w:t xml:space="preserve"> Care </w:t>
      </w:r>
      <w:r w:rsidR="008675C1">
        <w:t xml:space="preserve">LHN </w:t>
      </w:r>
      <w:r w:rsidR="005246AA">
        <w:t>Clinical</w:t>
      </w:r>
      <w:r w:rsidR="008675C1">
        <w:t xml:space="preserve"> Lead</w:t>
      </w:r>
      <w:r w:rsidR="00D259DD">
        <w:t xml:space="preserve"> (Co-Chair)</w:t>
      </w:r>
    </w:p>
    <w:p w14:paraId="5B359223" w14:textId="21CACF03" w:rsidR="00B62C43" w:rsidRDefault="00E07253" w:rsidP="00B62C43">
      <w:pPr>
        <w:pStyle w:val="SCVbullet1"/>
        <w:numPr>
          <w:ilvl w:val="0"/>
          <w:numId w:val="13"/>
        </w:numPr>
      </w:pPr>
      <w:r>
        <w:t>Continuing</w:t>
      </w:r>
      <w:r w:rsidR="00181262">
        <w:t xml:space="preserve"> Care </w:t>
      </w:r>
      <w:r w:rsidR="008675C1">
        <w:t>LHN C</w:t>
      </w:r>
      <w:r w:rsidR="005246AA">
        <w:t>onsumer lead</w:t>
      </w:r>
      <w:r w:rsidR="00D259DD">
        <w:t xml:space="preserve"> (Co-Chair)</w:t>
      </w:r>
    </w:p>
    <w:p w14:paraId="54C92219" w14:textId="24D3E710" w:rsidR="00B62C43" w:rsidRPr="004E7885" w:rsidRDefault="005246AA" w:rsidP="00B62C43">
      <w:pPr>
        <w:pStyle w:val="SCVbullet1"/>
        <w:numPr>
          <w:ilvl w:val="0"/>
          <w:numId w:val="13"/>
        </w:numPr>
        <w:rPr>
          <w:strike/>
        </w:rPr>
      </w:pPr>
      <w:r>
        <w:t>Consumers</w:t>
      </w:r>
      <w:r w:rsidR="004D13A4">
        <w:t xml:space="preserve"> </w:t>
      </w:r>
      <w:r w:rsidR="00F77192">
        <w:t>(t</w:t>
      </w:r>
      <w:r w:rsidR="00F22806">
        <w:t>hree)</w:t>
      </w:r>
    </w:p>
    <w:p w14:paraId="50AAA7AB" w14:textId="270E2C0A" w:rsidR="00060529" w:rsidRDefault="00340C59" w:rsidP="00B62C43">
      <w:pPr>
        <w:pStyle w:val="SCVbullet1"/>
        <w:numPr>
          <w:ilvl w:val="0"/>
          <w:numId w:val="13"/>
        </w:numPr>
      </w:pPr>
      <w:r>
        <w:t>C</w:t>
      </w:r>
      <w:r w:rsidR="005352F2">
        <w:t>linical</w:t>
      </w:r>
      <w:r>
        <w:t xml:space="preserve"> members</w:t>
      </w:r>
      <w:r w:rsidR="004D13A4">
        <w:t xml:space="preserve"> </w:t>
      </w:r>
      <w:r>
        <w:t>including</w:t>
      </w:r>
      <w:r w:rsidRPr="00340C59">
        <w:t xml:space="preserve"> medical, nursing,</w:t>
      </w:r>
      <w:r>
        <w:t xml:space="preserve"> and</w:t>
      </w:r>
      <w:r w:rsidRPr="00340C59">
        <w:t xml:space="preserve"> allied health</w:t>
      </w:r>
      <w:r>
        <w:t xml:space="preserve"> </w:t>
      </w:r>
    </w:p>
    <w:p w14:paraId="6EE5A81E" w14:textId="55F50F2E" w:rsidR="00037E4C" w:rsidRDefault="00CF6CDD" w:rsidP="00060529">
      <w:pPr>
        <w:pStyle w:val="SCVbullet1"/>
        <w:numPr>
          <w:ilvl w:val="0"/>
          <w:numId w:val="13"/>
        </w:numPr>
      </w:pPr>
      <w:r>
        <w:t>M</w:t>
      </w:r>
      <w:r w:rsidR="00182819">
        <w:t>etropolitan, regional</w:t>
      </w:r>
      <w:r w:rsidR="0073605A">
        <w:t>,</w:t>
      </w:r>
      <w:r w:rsidR="00182819">
        <w:t xml:space="preserve"> and rural health </w:t>
      </w:r>
      <w:r w:rsidR="005246AA">
        <w:t xml:space="preserve">service </w:t>
      </w:r>
      <w:r w:rsidR="00182819">
        <w:t>representative</w:t>
      </w:r>
      <w:r w:rsidR="005246AA">
        <w:t>s</w:t>
      </w:r>
    </w:p>
    <w:p w14:paraId="2E5848B2" w14:textId="77777777" w:rsidR="00037E4C" w:rsidRDefault="009F3C46" w:rsidP="00037E4C">
      <w:pPr>
        <w:pStyle w:val="SCVbullet1"/>
        <w:numPr>
          <w:ilvl w:val="0"/>
          <w:numId w:val="13"/>
        </w:numPr>
      </w:pPr>
      <w:r>
        <w:t>G</w:t>
      </w:r>
      <w:r w:rsidR="008675C1">
        <w:t>eneral Practitioner</w:t>
      </w:r>
      <w:r w:rsidR="009744A8">
        <w:t xml:space="preserve"> or </w:t>
      </w:r>
      <w:r w:rsidR="00182819">
        <w:t xml:space="preserve">Primary Health </w:t>
      </w:r>
      <w:r w:rsidR="001770AB">
        <w:t xml:space="preserve">Network </w:t>
      </w:r>
      <w:r w:rsidR="00182819">
        <w:t>representative</w:t>
      </w:r>
    </w:p>
    <w:p w14:paraId="6BBD425F" w14:textId="1C36AAE8" w:rsidR="00037E4C" w:rsidRDefault="00FB28BB" w:rsidP="00037E4C">
      <w:pPr>
        <w:pStyle w:val="SCVbullet1"/>
        <w:numPr>
          <w:ilvl w:val="0"/>
          <w:numId w:val="13"/>
        </w:numPr>
      </w:pPr>
      <w:r>
        <w:t>LHN Community of Practice Chair</w:t>
      </w:r>
      <w:r w:rsidR="003A208A">
        <w:t>/s</w:t>
      </w:r>
      <w:r w:rsidR="008D0330">
        <w:t>*</w:t>
      </w:r>
      <w:r w:rsidR="008562A1">
        <w:t xml:space="preserve"> </w:t>
      </w:r>
      <w:r w:rsidR="00006EE4">
        <w:t>(where applicable)</w:t>
      </w:r>
      <w:r w:rsidR="008562A1">
        <w:t xml:space="preserve"> </w:t>
      </w:r>
    </w:p>
    <w:p w14:paraId="21707702" w14:textId="346C4F7A" w:rsidR="00037E4C" w:rsidRDefault="35A4A78B" w:rsidP="00037E4C">
      <w:pPr>
        <w:pStyle w:val="SCVbullet1"/>
        <w:numPr>
          <w:ilvl w:val="0"/>
          <w:numId w:val="13"/>
        </w:numPr>
      </w:pPr>
      <w:r>
        <w:t>SCV Chief Professional Officer</w:t>
      </w:r>
      <w:r w:rsidR="4FCAFD8E">
        <w:t xml:space="preserve"> </w:t>
      </w:r>
    </w:p>
    <w:p w14:paraId="5D08D8D6" w14:textId="583DB42E" w:rsidR="00DC4D34" w:rsidRDefault="00A04976" w:rsidP="00014E86">
      <w:pPr>
        <w:pStyle w:val="SCVbullet1"/>
        <w:numPr>
          <w:ilvl w:val="0"/>
          <w:numId w:val="0"/>
        </w:numPr>
        <w:ind w:left="644"/>
      </w:pPr>
      <w:r>
        <w:t>*</w:t>
      </w:r>
      <w:r w:rsidR="00DC4D34" w:rsidRPr="00DC4D34">
        <w:t>In the instance of multiple CoPs within the same speciality area, one CoP Chair will be nominated by the relevant LHN Advisory Group to represent the specialty area</w:t>
      </w:r>
      <w:r w:rsidR="00C5717E">
        <w:t>.</w:t>
      </w:r>
      <w:r w:rsidR="00DC4D34" w:rsidRPr="00DC4D34">
        <w:t xml:space="preserve"> </w:t>
      </w:r>
    </w:p>
    <w:p w14:paraId="0B1F66E0" w14:textId="03F911AC" w:rsidR="004B6C42" w:rsidRDefault="007D616C" w:rsidP="00CF6CDD">
      <w:pPr>
        <w:pStyle w:val="Heading3"/>
      </w:pPr>
      <w:r>
        <w:t>Expert Working Groups</w:t>
      </w:r>
    </w:p>
    <w:p w14:paraId="54B880DB" w14:textId="19E15BB7" w:rsidR="009F3C46" w:rsidRPr="00C75F04" w:rsidRDefault="00135B6A" w:rsidP="00C75F04">
      <w:r>
        <w:t xml:space="preserve">Time limited </w:t>
      </w:r>
      <w:r w:rsidR="007D616C">
        <w:t>Expert Working Groups (EWGs)</w:t>
      </w:r>
      <w:r w:rsidR="009F3C46" w:rsidRPr="00C75F04">
        <w:t xml:space="preserve"> of the </w:t>
      </w:r>
      <w:r w:rsidR="007D616C">
        <w:t xml:space="preserve">LHN </w:t>
      </w:r>
      <w:r w:rsidR="009F3C46" w:rsidRPr="00C75F04">
        <w:t xml:space="preserve">Advisory Group </w:t>
      </w:r>
      <w:r>
        <w:t>may be</w:t>
      </w:r>
      <w:r w:rsidR="009F3C46" w:rsidRPr="00C75F04">
        <w:t xml:space="preserve"> established to rapidly progress </w:t>
      </w:r>
      <w:r w:rsidR="0058004A">
        <w:t xml:space="preserve">specific </w:t>
      </w:r>
      <w:r w:rsidR="00B66C9C">
        <w:t xml:space="preserve">pieces of </w:t>
      </w:r>
      <w:r w:rsidR="009F3C46" w:rsidRPr="00C75F04">
        <w:t>work. Membership will be drawn from the</w:t>
      </w:r>
      <w:r w:rsidR="00B66C9C">
        <w:t xml:space="preserve"> </w:t>
      </w:r>
      <w:r w:rsidR="00E07253">
        <w:t>Continuing</w:t>
      </w:r>
      <w:r w:rsidR="00DA5D0C">
        <w:t xml:space="preserve"> Care </w:t>
      </w:r>
      <w:r w:rsidR="00B66C9C">
        <w:t>LHN</w:t>
      </w:r>
      <w:r w:rsidR="009F3C46" w:rsidRPr="00C75F04">
        <w:t xml:space="preserve"> Advisory Group and </w:t>
      </w:r>
      <w:r w:rsidR="00531544">
        <w:t>additional</w:t>
      </w:r>
      <w:r w:rsidR="009F3C46" w:rsidRPr="00C75F04">
        <w:t xml:space="preserve"> members</w:t>
      </w:r>
      <w:r w:rsidR="00B66C9C">
        <w:t xml:space="preserve"> may be recruited</w:t>
      </w:r>
      <w:r w:rsidR="009F3C46" w:rsidRPr="00C75F04">
        <w:t xml:space="preserve"> to provide </w:t>
      </w:r>
      <w:r w:rsidR="00531544">
        <w:t xml:space="preserve">further </w:t>
      </w:r>
      <w:r w:rsidR="009F3C46" w:rsidRPr="00C75F04">
        <w:t xml:space="preserve">specialist clinical expertise </w:t>
      </w:r>
      <w:r w:rsidR="00A34638">
        <w:t xml:space="preserve">or consumer insights </w:t>
      </w:r>
      <w:r w:rsidR="00531544">
        <w:t xml:space="preserve">not available in the </w:t>
      </w:r>
      <w:r w:rsidR="001517E4">
        <w:t xml:space="preserve">LHN </w:t>
      </w:r>
      <w:r w:rsidR="00531544">
        <w:t>Advisory Group</w:t>
      </w:r>
      <w:r w:rsidR="00A34638">
        <w:t xml:space="preserve"> membership</w:t>
      </w:r>
      <w:r w:rsidR="009F3C46" w:rsidRPr="00C75F04">
        <w:t xml:space="preserve">. </w:t>
      </w:r>
    </w:p>
    <w:p w14:paraId="2E2AB49C" w14:textId="22EE2D14" w:rsidR="2D0B6C8E" w:rsidRDefault="2D0B6C8E">
      <w:r w:rsidRPr="00037E4C">
        <w:rPr>
          <w:rFonts w:eastAsia="VIC" w:cstheme="minorHAnsi"/>
        </w:rPr>
        <w:t xml:space="preserve">The </w:t>
      </w:r>
      <w:r w:rsidR="00BA7C70">
        <w:rPr>
          <w:rFonts w:eastAsia="VIC" w:cstheme="minorHAnsi"/>
        </w:rPr>
        <w:t>EWGs</w:t>
      </w:r>
      <w:r w:rsidRPr="00037E4C">
        <w:rPr>
          <w:rFonts w:eastAsia="VIC" w:cstheme="minorHAnsi"/>
        </w:rPr>
        <w:t xml:space="preserve"> will: </w:t>
      </w:r>
    </w:p>
    <w:p w14:paraId="3FF539FC" w14:textId="047EEB4D" w:rsidR="2D0B6C8E" w:rsidRPr="00037E4C" w:rsidRDefault="2D0B6C8E" w:rsidP="00037E4C">
      <w:pPr>
        <w:pStyle w:val="ListParagraph"/>
        <w:numPr>
          <w:ilvl w:val="0"/>
          <w:numId w:val="17"/>
        </w:numPr>
        <w:rPr>
          <w:rFonts w:eastAsia="VIC" w:cstheme="minorHAnsi"/>
        </w:rPr>
      </w:pPr>
      <w:r w:rsidRPr="00037E4C">
        <w:rPr>
          <w:rFonts w:eastAsia="VIC" w:cstheme="minorHAnsi"/>
        </w:rPr>
        <w:t>provide subject matter expertise on the identified pieces of work</w:t>
      </w:r>
    </w:p>
    <w:p w14:paraId="7B6B1797" w14:textId="4EEC4594" w:rsidR="2D0B6C8E" w:rsidRPr="00037E4C" w:rsidRDefault="004F256B" w:rsidP="006E627C">
      <w:pPr>
        <w:pStyle w:val="ListParagraph"/>
        <w:numPr>
          <w:ilvl w:val="0"/>
          <w:numId w:val="11"/>
        </w:numPr>
        <w:rPr>
          <w:rFonts w:eastAsia="VIC" w:cstheme="minorHAnsi"/>
        </w:rPr>
      </w:pPr>
      <w:r>
        <w:rPr>
          <w:rFonts w:eastAsia="VIC" w:cstheme="minorHAnsi"/>
        </w:rPr>
        <w:t>over</w:t>
      </w:r>
      <w:r w:rsidR="2D0B6C8E" w:rsidRPr="00037E4C">
        <w:rPr>
          <w:rFonts w:eastAsia="VIC" w:cstheme="minorHAnsi"/>
        </w:rPr>
        <w:t xml:space="preserve">see the full life cycle of individual pieces of work </w:t>
      </w:r>
    </w:p>
    <w:p w14:paraId="712A9D18" w14:textId="1037805D" w:rsidR="2D0B6C8E" w:rsidRPr="00037E4C" w:rsidRDefault="2D0B6C8E" w:rsidP="006E627C">
      <w:pPr>
        <w:pStyle w:val="ListParagraph"/>
        <w:numPr>
          <w:ilvl w:val="0"/>
          <w:numId w:val="11"/>
        </w:numPr>
        <w:rPr>
          <w:rFonts w:eastAsia="VIC" w:cstheme="minorHAnsi"/>
        </w:rPr>
      </w:pPr>
      <w:r w:rsidRPr="00037E4C">
        <w:rPr>
          <w:rFonts w:eastAsia="VIC" w:cstheme="minorHAnsi"/>
        </w:rPr>
        <w:t>be time limited</w:t>
      </w:r>
    </w:p>
    <w:p w14:paraId="190432B7" w14:textId="45DF2F59" w:rsidR="00EF295D" w:rsidRPr="00876171" w:rsidRDefault="00381F01" w:rsidP="00CF6CDD">
      <w:pPr>
        <w:pStyle w:val="Heading2"/>
      </w:pPr>
      <w:r>
        <w:t>4</w:t>
      </w:r>
      <w:r w:rsidR="007566E8">
        <w:t>.</w:t>
      </w:r>
      <w:r w:rsidR="00094898">
        <w:t>2</w:t>
      </w:r>
      <w:r w:rsidR="007566E8">
        <w:t xml:space="preserve"> </w:t>
      </w:r>
      <w:r w:rsidR="00337091">
        <w:t>Proxies</w:t>
      </w:r>
    </w:p>
    <w:p w14:paraId="663BDCCB" w14:textId="54520FA2" w:rsidR="00920E37" w:rsidRPr="00876171" w:rsidRDefault="0081391F" w:rsidP="00CF6CDD">
      <w:pPr>
        <w:pStyle w:val="SCVbodyafterheading"/>
      </w:pPr>
      <w:r>
        <w:t xml:space="preserve">Absent members cannot be represented by proxy unless otherwise agreed by the </w:t>
      </w:r>
      <w:r w:rsidR="00E04A5D">
        <w:t>Co-</w:t>
      </w:r>
      <w:r w:rsidR="00241B1A">
        <w:t>C</w:t>
      </w:r>
      <w:r w:rsidR="00E04A5D">
        <w:t>hairs</w:t>
      </w:r>
      <w:r w:rsidR="00371A81">
        <w:t>.</w:t>
      </w:r>
      <w:r w:rsidR="00E04A5D">
        <w:t xml:space="preserve"> </w:t>
      </w:r>
    </w:p>
    <w:p w14:paraId="153A6A88" w14:textId="7FBA892B" w:rsidR="00777ABD" w:rsidRDefault="00381F01" w:rsidP="00CF6CDD">
      <w:pPr>
        <w:pStyle w:val="Heading2"/>
      </w:pPr>
      <w:bookmarkStart w:id="5" w:name="_Toc48232530"/>
      <w:bookmarkStart w:id="6" w:name="_Toc52978548"/>
      <w:bookmarkEnd w:id="1"/>
      <w:r>
        <w:lastRenderedPageBreak/>
        <w:t>4.</w:t>
      </w:r>
      <w:r w:rsidR="00094898">
        <w:t>3</w:t>
      </w:r>
      <w:r w:rsidR="007566E8">
        <w:t xml:space="preserve"> </w:t>
      </w:r>
      <w:r w:rsidR="002754CE" w:rsidRPr="00CF6CDD">
        <w:t>Tenure</w:t>
      </w:r>
    </w:p>
    <w:p w14:paraId="2F0D54A5" w14:textId="08B14E50" w:rsidR="00D81704" w:rsidRPr="0081391F" w:rsidRDefault="009F3C46" w:rsidP="00CF6CDD">
      <w:pPr>
        <w:pStyle w:val="SCVbodyafterheading"/>
      </w:pPr>
      <w:r>
        <w:t xml:space="preserve">The </w:t>
      </w:r>
      <w:r w:rsidR="00E07253">
        <w:t>Continuing</w:t>
      </w:r>
      <w:r w:rsidR="00DA5D0C">
        <w:t xml:space="preserve"> Care </w:t>
      </w:r>
      <w:r w:rsidR="00592F42">
        <w:t xml:space="preserve">LHN </w:t>
      </w:r>
      <w:r>
        <w:t>Advisory Group m</w:t>
      </w:r>
      <w:r w:rsidR="0081391F">
        <w:t xml:space="preserve">embers will have </w:t>
      </w:r>
      <w:r w:rsidR="00DA4061">
        <w:t>a</w:t>
      </w:r>
      <w:r w:rsidR="0081391F" w:rsidDel="009F3C46">
        <w:t xml:space="preserve"> </w:t>
      </w:r>
      <w:r w:rsidR="0081391F">
        <w:t>tenure of</w:t>
      </w:r>
      <w:r w:rsidR="0081391F" w:rsidRPr="00D81704">
        <w:t xml:space="preserve"> </w:t>
      </w:r>
      <w:r w:rsidR="44F44254">
        <w:t>3</w:t>
      </w:r>
      <w:r w:rsidR="000E6456" w:rsidRPr="00721BA7" w:rsidDel="00350B22">
        <w:t xml:space="preserve"> </w:t>
      </w:r>
      <w:r w:rsidR="000E6456" w:rsidRPr="00721BA7">
        <w:t>years</w:t>
      </w:r>
      <w:r w:rsidR="00D81704" w:rsidRPr="00721BA7">
        <w:t>. Should</w:t>
      </w:r>
      <w:r w:rsidR="00D81704">
        <w:t xml:space="preserve"> a mid-term vacancy arise, a replacement will be sought.</w:t>
      </w:r>
    </w:p>
    <w:bookmarkEnd w:id="5"/>
    <w:bookmarkEnd w:id="6"/>
    <w:p w14:paraId="0D9912FD" w14:textId="02231E1A" w:rsidR="00B51E78" w:rsidRPr="00B51E78" w:rsidRDefault="00381F01" w:rsidP="00CF6CDD">
      <w:pPr>
        <w:pStyle w:val="Heading1"/>
      </w:pPr>
      <w:r>
        <w:t>5</w:t>
      </w:r>
      <w:r w:rsidR="007566E8">
        <w:t xml:space="preserve">. </w:t>
      </w:r>
      <w:r w:rsidR="002754CE" w:rsidRPr="00CF6CDD">
        <w:t>Meetings</w:t>
      </w:r>
    </w:p>
    <w:p w14:paraId="18B8F471" w14:textId="7C05AF1B" w:rsidR="00C50A2B" w:rsidRDefault="00381F01" w:rsidP="00CF6CDD">
      <w:pPr>
        <w:pStyle w:val="Heading2"/>
      </w:pPr>
      <w:r>
        <w:t>5</w:t>
      </w:r>
      <w:r w:rsidR="007566E8">
        <w:t xml:space="preserve">.1 </w:t>
      </w:r>
      <w:r w:rsidR="002754CE" w:rsidRPr="00CF6CDD">
        <w:t>Meeting</w:t>
      </w:r>
      <w:r w:rsidR="002754CE">
        <w:t xml:space="preserve"> frequency</w:t>
      </w:r>
    </w:p>
    <w:p w14:paraId="08CA96E6" w14:textId="07F1BA39" w:rsidR="008B0636" w:rsidRPr="008B0636" w:rsidRDefault="009F3C46" w:rsidP="00CF6CDD">
      <w:pPr>
        <w:pStyle w:val="SCVbodyafterheading"/>
      </w:pPr>
      <w:r w:rsidRPr="00B028B6">
        <w:t>The</w:t>
      </w:r>
      <w:r w:rsidR="000B68D1">
        <w:t xml:space="preserve"> </w:t>
      </w:r>
      <w:r w:rsidR="00E07253">
        <w:t>Continuing</w:t>
      </w:r>
      <w:r w:rsidR="00DA5D0C">
        <w:t xml:space="preserve"> Care </w:t>
      </w:r>
      <w:r w:rsidR="000B68D1">
        <w:t>LHN</w:t>
      </w:r>
      <w:r w:rsidRPr="00B028B6">
        <w:t xml:space="preserve"> Advisory Group</w:t>
      </w:r>
      <w:r w:rsidRPr="3AA45B6D">
        <w:rPr>
          <w:rFonts w:ascii="VIC" w:eastAsia="VIC" w:hAnsi="VIC" w:cs="VIC"/>
          <w:color w:val="000000" w:themeColor="text1"/>
        </w:rPr>
        <w:t xml:space="preserve"> </w:t>
      </w:r>
      <w:r w:rsidR="008B0636">
        <w:t>will:</w:t>
      </w:r>
    </w:p>
    <w:p w14:paraId="0596B97D" w14:textId="78EB29F5" w:rsidR="0000023E" w:rsidRPr="00D81704" w:rsidRDefault="00D126D2" w:rsidP="01DE9CC2">
      <w:pPr>
        <w:pStyle w:val="SCVbullet1"/>
      </w:pPr>
      <w:r w:rsidRPr="00D81704">
        <w:t xml:space="preserve">meet </w:t>
      </w:r>
      <w:r w:rsidR="00847B77" w:rsidRPr="00D81704">
        <w:t xml:space="preserve">a </w:t>
      </w:r>
      <w:r w:rsidR="00847B77" w:rsidRPr="00D81704">
        <w:rPr>
          <w:b/>
          <w:bCs/>
        </w:rPr>
        <w:t>minimum</w:t>
      </w:r>
      <w:r w:rsidR="00847B77" w:rsidRPr="00D81704">
        <w:t xml:space="preserve"> of </w:t>
      </w:r>
      <w:r w:rsidR="00DC5F63" w:rsidRPr="00D81704">
        <w:t>4 times per year</w:t>
      </w:r>
    </w:p>
    <w:p w14:paraId="6164982E" w14:textId="733FD28F" w:rsidR="0000023E" w:rsidRPr="0000023E" w:rsidRDefault="009F3C46" w:rsidP="00076DA8">
      <w:pPr>
        <w:pStyle w:val="SCVbullet1"/>
      </w:pPr>
      <w:r w:rsidRPr="0000023E">
        <w:t>meetings will be conducted via videoconference using Microsoft Teams</w:t>
      </w:r>
      <w:r w:rsidR="00F43DF8" w:rsidRPr="0000023E">
        <w:t>, with potential for face-to-face meetings if required</w:t>
      </w:r>
    </w:p>
    <w:p w14:paraId="67FE6060" w14:textId="5438E107" w:rsidR="009F3C46" w:rsidRDefault="009C6831" w:rsidP="00076DA8">
      <w:pPr>
        <w:pStyle w:val="SCVbullet1"/>
      </w:pPr>
      <w:r>
        <w:t xml:space="preserve">Expert Working Groups will meet as required to complete </w:t>
      </w:r>
      <w:r w:rsidR="00CE0D02">
        <w:t xml:space="preserve">an </w:t>
      </w:r>
      <w:r>
        <w:t>allocated piece of work.</w:t>
      </w:r>
    </w:p>
    <w:p w14:paraId="45D650F9" w14:textId="54AB0B6A" w:rsidR="002754CE" w:rsidRDefault="00381F01" w:rsidP="000F7B8E">
      <w:pPr>
        <w:pStyle w:val="Heading2"/>
      </w:pPr>
      <w:r>
        <w:t>5</w:t>
      </w:r>
      <w:r w:rsidR="007566E8">
        <w:t>.</w:t>
      </w:r>
      <w:r w:rsidR="0024401B">
        <w:t>2</w:t>
      </w:r>
      <w:r w:rsidR="007566E8">
        <w:t xml:space="preserve"> </w:t>
      </w:r>
      <w:r w:rsidR="39437D21">
        <w:t>Chair</w:t>
      </w:r>
      <w:r w:rsidR="569A9D99">
        <w:t>s</w:t>
      </w:r>
    </w:p>
    <w:p w14:paraId="49CA5B99" w14:textId="13D718D5" w:rsidR="00521228" w:rsidRDefault="00521228" w:rsidP="00521228">
      <w:pPr>
        <w:pStyle w:val="SCVbodyafterheading"/>
      </w:pPr>
      <w:r>
        <w:t>The Clinical and Consumer Leads will co-</w:t>
      </w:r>
      <w:r w:rsidR="00241B1A">
        <w:t>c</w:t>
      </w:r>
      <w:r>
        <w:t xml:space="preserve">hair the </w:t>
      </w:r>
      <w:r w:rsidR="00E07253">
        <w:t>Continuing</w:t>
      </w:r>
      <w:r w:rsidR="00AB1EB2">
        <w:t xml:space="preserve"> Care </w:t>
      </w:r>
      <w:r>
        <w:t xml:space="preserve">LHN Advisory </w:t>
      </w:r>
      <w:r w:rsidR="00CB04B9">
        <w:t>G</w:t>
      </w:r>
      <w:r>
        <w:t>roup.</w:t>
      </w:r>
    </w:p>
    <w:p w14:paraId="179DE11E" w14:textId="4C12980E" w:rsidR="00614FC1" w:rsidRPr="00614FC1" w:rsidRDefault="0089636A" w:rsidP="00521228">
      <w:pPr>
        <w:pStyle w:val="SCVbodyafterheading"/>
      </w:pPr>
      <w:r>
        <w:t xml:space="preserve">The Advisory Group </w:t>
      </w:r>
      <w:r w:rsidR="00053144">
        <w:t>Co-</w:t>
      </w:r>
      <w:r w:rsidR="00AF32F7">
        <w:t>C</w:t>
      </w:r>
      <w:r>
        <w:t>hair</w:t>
      </w:r>
      <w:r w:rsidR="00053144">
        <w:t>s</w:t>
      </w:r>
      <w:r>
        <w:t xml:space="preserve"> will</w:t>
      </w:r>
      <w:r w:rsidR="00614FC1">
        <w:t>:</w:t>
      </w:r>
    </w:p>
    <w:p w14:paraId="17F35AB5" w14:textId="160B901D" w:rsidR="00614FC1" w:rsidRPr="00A36B10" w:rsidRDefault="4D9D3095" w:rsidP="000F7B8E">
      <w:pPr>
        <w:pStyle w:val="SCVbullet1"/>
      </w:pPr>
      <w:r>
        <w:t>set the agenda for the meeting</w:t>
      </w:r>
      <w:r w:rsidR="00D73DB4" w:rsidDel="00A1317A">
        <w:t xml:space="preserve">, </w:t>
      </w:r>
      <w:r w:rsidR="001F57A4">
        <w:t>supported</w:t>
      </w:r>
      <w:r w:rsidR="0014243C">
        <w:t xml:space="preserve"> by</w:t>
      </w:r>
      <w:r w:rsidR="00D73DB4">
        <w:t xml:space="preserve"> </w:t>
      </w:r>
      <w:r w:rsidR="00D73DB4" w:rsidDel="00A1317A">
        <w:t xml:space="preserve">the relevant </w:t>
      </w:r>
      <w:r w:rsidR="00806FA7" w:rsidDel="00A1317A">
        <w:t>s</w:t>
      </w:r>
      <w:r w:rsidR="00D73DB4" w:rsidDel="00A1317A">
        <w:t xml:space="preserve">enior </w:t>
      </w:r>
      <w:r w:rsidR="00806FA7" w:rsidDel="00A1317A">
        <w:t>p</w:t>
      </w:r>
      <w:r w:rsidR="00D73DB4" w:rsidDel="00A1317A">
        <w:t xml:space="preserve">roject </w:t>
      </w:r>
      <w:r w:rsidR="00806FA7" w:rsidDel="00A1317A">
        <w:t>o</w:t>
      </w:r>
      <w:r w:rsidR="00D73DB4" w:rsidDel="00A1317A">
        <w:t>fficer</w:t>
      </w:r>
    </w:p>
    <w:p w14:paraId="6DEB9C01" w14:textId="62B035CF" w:rsidR="00614FC1" w:rsidRPr="00A36B10" w:rsidRDefault="3663F20E" w:rsidP="000F7B8E">
      <w:pPr>
        <w:pStyle w:val="SCVbullet1"/>
      </w:pPr>
      <w:r>
        <w:t>c</w:t>
      </w:r>
      <w:r w:rsidR="7B086469">
        <w:t>hair</w:t>
      </w:r>
      <w:r w:rsidR="00614FC1" w:rsidRPr="00A36B10" w:rsidDel="000C23F4">
        <w:t xml:space="preserve"> </w:t>
      </w:r>
      <w:r w:rsidR="00614FC1" w:rsidRPr="00A36B10">
        <w:t>meeting</w:t>
      </w:r>
      <w:r w:rsidR="000C23F4">
        <w:t>s</w:t>
      </w:r>
    </w:p>
    <w:p w14:paraId="02CCD2CB" w14:textId="1F299ECE" w:rsidR="00614FC1" w:rsidRPr="00A36B10" w:rsidRDefault="00614FC1" w:rsidP="000F7B8E">
      <w:pPr>
        <w:pStyle w:val="SCVbullet1"/>
      </w:pPr>
      <w:r w:rsidRPr="00A36B10">
        <w:t xml:space="preserve">maintain order </w:t>
      </w:r>
      <w:r w:rsidR="000C23F4">
        <w:t>during</w:t>
      </w:r>
      <w:r w:rsidRPr="00A36B10">
        <w:t xml:space="preserve"> meeting</w:t>
      </w:r>
      <w:r w:rsidR="000C23F4">
        <w:t>s</w:t>
      </w:r>
    </w:p>
    <w:p w14:paraId="06BF761D" w14:textId="77777777" w:rsidR="00614FC1" w:rsidRPr="00A36B10" w:rsidRDefault="00614FC1" w:rsidP="000F7B8E">
      <w:pPr>
        <w:pStyle w:val="SCVbullet1"/>
      </w:pPr>
      <w:r w:rsidRPr="00A36B10">
        <w:t>ensure the conventions of the meeting are being followed</w:t>
      </w:r>
    </w:p>
    <w:p w14:paraId="013B867C" w14:textId="4A7C7398" w:rsidR="00614FC1" w:rsidRPr="00A36B10" w:rsidRDefault="00614FC1" w:rsidP="000F7B8E">
      <w:pPr>
        <w:pStyle w:val="SCVbullet1"/>
      </w:pPr>
      <w:r w:rsidRPr="00A36B10">
        <w:t>ensure fairness and equity at the meeting</w:t>
      </w:r>
    </w:p>
    <w:p w14:paraId="29991B71" w14:textId="5D9B43AE" w:rsidR="00614FC1" w:rsidRPr="00A36B10" w:rsidRDefault="00614FC1" w:rsidP="000F7B8E">
      <w:pPr>
        <w:pStyle w:val="SCVbullet1"/>
      </w:pPr>
      <w:r w:rsidRPr="00A36B10">
        <w:t>keep the meeting to time</w:t>
      </w:r>
    </w:p>
    <w:p w14:paraId="48793318" w14:textId="3290D27F" w:rsidR="00614FC1" w:rsidRPr="00077614" w:rsidRDefault="00614FC1" w:rsidP="000F7B8E">
      <w:pPr>
        <w:pStyle w:val="SCVbullet1"/>
      </w:pPr>
      <w:r w:rsidRPr="00077614">
        <w:t>approve the formal actions of the meeting</w:t>
      </w:r>
    </w:p>
    <w:p w14:paraId="78043606" w14:textId="2FFF5FDF" w:rsidR="00614FC1" w:rsidRPr="007E2F04" w:rsidRDefault="00614FC1" w:rsidP="000F7B8E">
      <w:pPr>
        <w:pStyle w:val="SCVbullet1"/>
      </w:pPr>
      <w:r w:rsidRPr="00077614">
        <w:t xml:space="preserve">hold members accountable to the values and behaviours of the </w:t>
      </w:r>
      <w:hyperlink r:id="rId13">
        <w:r w:rsidRPr="000F7B8E">
          <w:rPr>
            <w:rStyle w:val="Hyperlink"/>
            <w:color w:val="0070C0"/>
          </w:rPr>
          <w:t>Code of Conduct for Victorian Sector Employees</w:t>
        </w:r>
      </w:hyperlink>
      <w:r w:rsidRPr="000F7B8E">
        <w:t xml:space="preserve"> </w:t>
      </w:r>
    </w:p>
    <w:p w14:paraId="07D37DB8" w14:textId="0C58D872" w:rsidR="00693F54" w:rsidRDefault="00FB733D" w:rsidP="000F7B8E">
      <w:pPr>
        <w:pStyle w:val="SCVbullet1"/>
      </w:pPr>
      <w:r>
        <w:t xml:space="preserve">act as the conduit between the </w:t>
      </w:r>
      <w:r w:rsidR="000C23F4">
        <w:t xml:space="preserve">LHN </w:t>
      </w:r>
      <w:r w:rsidR="0089636A">
        <w:t xml:space="preserve">Advisory Group </w:t>
      </w:r>
      <w:r>
        <w:t xml:space="preserve">and the </w:t>
      </w:r>
      <w:r w:rsidR="000E6456">
        <w:t>CAG</w:t>
      </w:r>
    </w:p>
    <w:p w14:paraId="0DDBF92C" w14:textId="67EF4628" w:rsidR="00F55B9C" w:rsidRDefault="00454730" w:rsidP="000F7B8E">
      <w:pPr>
        <w:pStyle w:val="SCVbullet1"/>
      </w:pPr>
      <w:r>
        <w:t xml:space="preserve">maintain active </w:t>
      </w:r>
      <w:r w:rsidR="00DC1303">
        <w:t xml:space="preserve">membership on </w:t>
      </w:r>
      <w:r w:rsidR="00DC1303" w:rsidRPr="00AB1EB2">
        <w:t>the</w:t>
      </w:r>
      <w:r w:rsidR="00F55B9C" w:rsidRPr="00AB1EB2">
        <w:t xml:space="preserve"> QASS</w:t>
      </w:r>
      <w:r w:rsidR="00316324" w:rsidRPr="00AB1EB2">
        <w:t xml:space="preserve"> group</w:t>
      </w:r>
      <w:r w:rsidR="00F55B9C" w:rsidRPr="00AB1EB2">
        <w:t xml:space="preserve"> and</w:t>
      </w:r>
      <w:r w:rsidR="00F55B9C">
        <w:t xml:space="preserve"> </w:t>
      </w:r>
      <w:r w:rsidR="000E6456">
        <w:t>CAG</w:t>
      </w:r>
      <w:r w:rsidR="00CB37AC">
        <w:t xml:space="preserve"> </w:t>
      </w:r>
    </w:p>
    <w:p w14:paraId="310C282B" w14:textId="650043BE" w:rsidR="0089636A" w:rsidRPr="007E2F04" w:rsidRDefault="0089636A">
      <w:pPr>
        <w:pStyle w:val="SCVbullet1"/>
      </w:pPr>
      <w:r w:rsidRPr="3AA45B6D">
        <w:t>represent the</w:t>
      </w:r>
      <w:r w:rsidR="00AF7E94">
        <w:t xml:space="preserve"> </w:t>
      </w:r>
      <w:r w:rsidR="00E07253">
        <w:t>Continuing</w:t>
      </w:r>
      <w:r w:rsidR="00EF5178">
        <w:t xml:space="preserve"> Care </w:t>
      </w:r>
      <w:r w:rsidR="00AF7E94">
        <w:t>LHN</w:t>
      </w:r>
      <w:r w:rsidRPr="3AA45B6D">
        <w:t xml:space="preserve"> </w:t>
      </w:r>
      <w:r w:rsidR="00B2756B">
        <w:rPr>
          <w:lang w:eastAsia="en-US"/>
        </w:rPr>
        <w:t>Advisory Group</w:t>
      </w:r>
      <w:r w:rsidRPr="3AA45B6D">
        <w:t xml:space="preserve"> (this responsibility may be delegated)</w:t>
      </w:r>
    </w:p>
    <w:p w14:paraId="3DB38757" w14:textId="01CE5EE9" w:rsidR="003133B7" w:rsidRDefault="00381F01" w:rsidP="000F7B8E">
      <w:pPr>
        <w:pStyle w:val="Heading2"/>
      </w:pPr>
      <w:r>
        <w:t>5</w:t>
      </w:r>
      <w:r w:rsidR="007566E8">
        <w:t>.</w:t>
      </w:r>
      <w:r w:rsidR="0024401B">
        <w:t>3</w:t>
      </w:r>
      <w:r w:rsidR="007566E8">
        <w:t xml:space="preserve"> </w:t>
      </w:r>
      <w:r w:rsidR="00D46913" w:rsidRPr="000F7B8E">
        <w:t>Secretariat</w:t>
      </w:r>
    </w:p>
    <w:p w14:paraId="0800CAA2" w14:textId="19E2741C" w:rsidR="00940190" w:rsidRPr="00DD4714" w:rsidRDefault="00DD4714" w:rsidP="00FF5F50">
      <w:pPr>
        <w:pStyle w:val="SCVbullet1"/>
        <w:numPr>
          <w:ilvl w:val="0"/>
          <w:numId w:val="0"/>
        </w:numPr>
        <w:ind w:left="284" w:hanging="284"/>
      </w:pPr>
      <w:r>
        <w:t xml:space="preserve">A </w:t>
      </w:r>
      <w:r w:rsidR="00AF7E94">
        <w:t>S</w:t>
      </w:r>
      <w:r>
        <w:t xml:space="preserve">enior </w:t>
      </w:r>
      <w:r w:rsidR="00AF7E94">
        <w:t>P</w:t>
      </w:r>
      <w:r>
        <w:t xml:space="preserve">roject </w:t>
      </w:r>
      <w:r w:rsidR="00AF7E94">
        <w:t>O</w:t>
      </w:r>
      <w:r>
        <w:t xml:space="preserve">fficer will provide the secretariat function for the </w:t>
      </w:r>
      <w:r w:rsidR="00E07253">
        <w:t>Continuing</w:t>
      </w:r>
      <w:r w:rsidR="0043786B">
        <w:t xml:space="preserve"> Care </w:t>
      </w:r>
      <w:r w:rsidR="00AF7E94">
        <w:t xml:space="preserve">LHN </w:t>
      </w:r>
      <w:r>
        <w:t>Advisory Group</w:t>
      </w:r>
      <w:r w:rsidR="00111A87">
        <w:t xml:space="preserve"> and</w:t>
      </w:r>
      <w:r w:rsidR="00843FFB">
        <w:t xml:space="preserve"> EWGs</w:t>
      </w:r>
      <w:r>
        <w:t>. The role of the secretariat is to:</w:t>
      </w:r>
      <w:r w:rsidR="00437CB4">
        <w:t xml:space="preserve"> </w:t>
      </w:r>
    </w:p>
    <w:p w14:paraId="23ECDAB9" w14:textId="0F5290AB" w:rsidR="005E3C00" w:rsidRPr="00B028B6" w:rsidRDefault="005E3C00" w:rsidP="00940190">
      <w:pPr>
        <w:pStyle w:val="SCVbullet1"/>
        <w:rPr>
          <w:rFonts w:cstheme="minorHAnsi"/>
        </w:rPr>
      </w:pPr>
      <w:r w:rsidRPr="00B028B6">
        <w:rPr>
          <w:rFonts w:cstheme="minorHAnsi"/>
        </w:rPr>
        <w:t xml:space="preserve">support the day-to-day running of the group by developing the agenda, </w:t>
      </w:r>
      <w:proofErr w:type="gramStart"/>
      <w:r w:rsidRPr="005E3C00">
        <w:rPr>
          <w:rFonts w:cstheme="minorHAnsi"/>
        </w:rPr>
        <w:t>preparing</w:t>
      </w:r>
      <w:proofErr w:type="gramEnd"/>
      <w:r w:rsidRPr="00B028B6">
        <w:rPr>
          <w:rFonts w:cstheme="minorHAnsi"/>
        </w:rPr>
        <w:t xml:space="preserve"> and distributing background papers, recording and preparing </w:t>
      </w:r>
      <w:r w:rsidR="000C4A34">
        <w:rPr>
          <w:rFonts w:cstheme="minorHAnsi"/>
        </w:rPr>
        <w:t xml:space="preserve">meeting </w:t>
      </w:r>
      <w:r w:rsidRPr="00B028B6">
        <w:rPr>
          <w:rFonts w:cstheme="minorHAnsi"/>
        </w:rPr>
        <w:t>minutes</w:t>
      </w:r>
    </w:p>
    <w:p w14:paraId="508FB097" w14:textId="77777777" w:rsidR="005E3C00" w:rsidRPr="00B028B6" w:rsidRDefault="005E3C00" w:rsidP="00940190">
      <w:pPr>
        <w:pStyle w:val="SCVbullet1"/>
        <w:rPr>
          <w:rFonts w:cstheme="minorHAnsi"/>
        </w:rPr>
      </w:pPr>
      <w:r w:rsidRPr="00B028B6">
        <w:rPr>
          <w:rFonts w:cstheme="minorHAnsi"/>
        </w:rPr>
        <w:t>update, manage or log any potential conflicts of interest</w:t>
      </w:r>
    </w:p>
    <w:p w14:paraId="33767257" w14:textId="77777777" w:rsidR="005E3C00" w:rsidRPr="00B028B6" w:rsidRDefault="005E3C00" w:rsidP="00940190">
      <w:pPr>
        <w:pStyle w:val="SCVbullet1"/>
        <w:rPr>
          <w:rFonts w:cstheme="minorHAnsi"/>
        </w:rPr>
      </w:pPr>
      <w:r w:rsidRPr="00B028B6">
        <w:rPr>
          <w:rFonts w:cstheme="minorHAnsi"/>
        </w:rPr>
        <w:t>ensure group decisions or recommendations are accurately documented</w:t>
      </w:r>
    </w:p>
    <w:p w14:paraId="620D3325" w14:textId="77777777" w:rsidR="005E3C00" w:rsidRPr="00B028B6" w:rsidRDefault="005E3C00" w:rsidP="00940190">
      <w:pPr>
        <w:pStyle w:val="SCVbullet1"/>
        <w:rPr>
          <w:rFonts w:cstheme="minorHAnsi"/>
        </w:rPr>
      </w:pPr>
      <w:r w:rsidRPr="00B028B6">
        <w:rPr>
          <w:rFonts w:cstheme="minorHAnsi"/>
        </w:rPr>
        <w:t xml:space="preserve">prepare briefing papers or reports on behalf of the group to the SCV executive team, the Department or other groups or agencies. </w:t>
      </w:r>
    </w:p>
    <w:p w14:paraId="31909205" w14:textId="32A3EB91" w:rsidR="0024401B" w:rsidRDefault="0024401B" w:rsidP="0024401B">
      <w:pPr>
        <w:pStyle w:val="Heading2"/>
      </w:pPr>
      <w:r>
        <w:lastRenderedPageBreak/>
        <w:t>5.</w:t>
      </w:r>
      <w:r w:rsidR="00106AD4">
        <w:t>4</w:t>
      </w:r>
      <w:r>
        <w:t xml:space="preserve"> Decision making</w:t>
      </w:r>
    </w:p>
    <w:p w14:paraId="123EA382" w14:textId="04C2C86C" w:rsidR="0024401B" w:rsidRDefault="0024401B" w:rsidP="0024401B">
      <w:pPr>
        <w:pStyle w:val="SCVbodyafterheading"/>
      </w:pPr>
      <w:r w:rsidRPr="004971EF">
        <w:t>Decision making in the</w:t>
      </w:r>
      <w:r>
        <w:t xml:space="preserve"> </w:t>
      </w:r>
      <w:r w:rsidR="00E07253">
        <w:t>Continuing</w:t>
      </w:r>
      <w:r w:rsidR="0043786B">
        <w:t xml:space="preserve"> Care </w:t>
      </w:r>
      <w:r w:rsidR="00705E6D">
        <w:t xml:space="preserve">LHN </w:t>
      </w:r>
      <w:r w:rsidR="00B2756B">
        <w:rPr>
          <w:lang w:eastAsia="en-US"/>
        </w:rPr>
        <w:t>Advisory Group</w:t>
      </w:r>
      <w:r>
        <w:rPr>
          <w:lang w:eastAsia="en-US"/>
        </w:rPr>
        <w:t xml:space="preserve"> </w:t>
      </w:r>
      <w:r>
        <w:t>will</w:t>
      </w:r>
      <w:r w:rsidRPr="004971EF">
        <w:t xml:space="preserve"> be on a consensus basis. In the event</w:t>
      </w:r>
      <w:r>
        <w:t xml:space="preserve"> where</w:t>
      </w:r>
      <w:r w:rsidRPr="004971EF">
        <w:t xml:space="preserve"> there is no consensus, a majority will suffice.</w:t>
      </w:r>
      <w:r>
        <w:t xml:space="preserve"> </w:t>
      </w:r>
      <w:r w:rsidRPr="004971EF">
        <w:t xml:space="preserve">In the event of a deadlock, the </w:t>
      </w:r>
      <w:r w:rsidR="00E04A5D">
        <w:t>Co-</w:t>
      </w:r>
      <w:r w:rsidR="00AF32F7">
        <w:t>C</w:t>
      </w:r>
      <w:r w:rsidR="00E04A5D">
        <w:t>hairs</w:t>
      </w:r>
      <w:r>
        <w:t xml:space="preserve"> </w:t>
      </w:r>
      <w:r w:rsidRPr="004971EF">
        <w:t>wil</w:t>
      </w:r>
      <w:r>
        <w:t xml:space="preserve">l </w:t>
      </w:r>
      <w:r w:rsidRPr="004971EF">
        <w:t>have the casting vote.</w:t>
      </w:r>
    </w:p>
    <w:p w14:paraId="5424B6B4" w14:textId="40DD63B6" w:rsidR="000F7B8E" w:rsidRDefault="0024401B">
      <w:r>
        <w:t>S</w:t>
      </w:r>
      <w:r w:rsidRPr="0089636A">
        <w:t>cope of the work will need approval from</w:t>
      </w:r>
      <w:r w:rsidR="006D527D">
        <w:t xml:space="preserve"> SCV </w:t>
      </w:r>
      <w:r w:rsidR="00B5461E">
        <w:t>E</w:t>
      </w:r>
      <w:r w:rsidR="006D527D">
        <w:t>xecutives</w:t>
      </w:r>
      <w:r w:rsidR="0096255F">
        <w:t>.</w:t>
      </w:r>
      <w:r w:rsidRPr="0089636A">
        <w:t xml:space="preserve"> </w:t>
      </w:r>
    </w:p>
    <w:p w14:paraId="5626B3AC" w14:textId="5824AA8D" w:rsidR="002754CE" w:rsidRDefault="00381F01" w:rsidP="000F7B8E">
      <w:pPr>
        <w:pStyle w:val="Heading2"/>
      </w:pPr>
      <w:r>
        <w:t>5</w:t>
      </w:r>
      <w:r w:rsidR="007566E8">
        <w:t xml:space="preserve">.5 </w:t>
      </w:r>
      <w:r w:rsidR="002754CE">
        <w:t xml:space="preserve">Out of </w:t>
      </w:r>
      <w:r w:rsidR="002754CE" w:rsidRPr="000F7B8E">
        <w:t>session</w:t>
      </w:r>
      <w:r w:rsidR="002754CE">
        <w:t xml:space="preserve"> resolutions</w:t>
      </w:r>
    </w:p>
    <w:p w14:paraId="37319CA0" w14:textId="5950FED6" w:rsidR="00C45A87" w:rsidRDefault="00101D05" w:rsidP="000F7B8E">
      <w:pPr>
        <w:pStyle w:val="SCVbodyafterheading"/>
        <w:rPr>
          <w:rStyle w:val="normaltextrun"/>
        </w:rPr>
      </w:pPr>
      <w:r w:rsidRPr="00101D05">
        <w:rPr>
          <w:rStyle w:val="normaltextrun"/>
        </w:rPr>
        <w:t>When an issue arises that, in the opinion of the</w:t>
      </w:r>
      <w:r w:rsidR="000F7B8E">
        <w:rPr>
          <w:rStyle w:val="normaltextrun"/>
        </w:rPr>
        <w:t xml:space="preserve"> </w:t>
      </w:r>
      <w:r w:rsidR="00FE3E8C" w:rsidDel="00D262C7">
        <w:t>C</w:t>
      </w:r>
      <w:r w:rsidR="00FE3E8C">
        <w:t>o-</w:t>
      </w:r>
      <w:r w:rsidR="00AF32F7">
        <w:t>C</w:t>
      </w:r>
      <w:r w:rsidR="00FE3E8C">
        <w:t>hairs</w:t>
      </w:r>
      <w:r w:rsidRPr="00101D05">
        <w:rPr>
          <w:rStyle w:val="normaltextrun"/>
        </w:rPr>
        <w:t>, requires resolution before the next scheduled meeting, the</w:t>
      </w:r>
      <w:r w:rsidR="000F7B8E">
        <w:rPr>
          <w:rStyle w:val="normaltextrun"/>
        </w:rPr>
        <w:t xml:space="preserve"> </w:t>
      </w:r>
      <w:r w:rsidR="00A854C2" w:rsidDel="00D262C7">
        <w:rPr>
          <w:rStyle w:val="normaltextrun"/>
        </w:rPr>
        <w:t>C</w:t>
      </w:r>
      <w:r w:rsidR="00A854C2">
        <w:rPr>
          <w:rStyle w:val="normaltextrun"/>
        </w:rPr>
        <w:t>o-</w:t>
      </w:r>
      <w:r w:rsidR="00AF32F7">
        <w:rPr>
          <w:rStyle w:val="normaltextrun"/>
        </w:rPr>
        <w:t>C</w:t>
      </w:r>
      <w:r w:rsidRPr="00101D05">
        <w:rPr>
          <w:rStyle w:val="normaltextrun"/>
        </w:rPr>
        <w:t>hair</w:t>
      </w:r>
      <w:r w:rsidR="00A854C2">
        <w:rPr>
          <w:rStyle w:val="normaltextrun"/>
        </w:rPr>
        <w:t>s</w:t>
      </w:r>
      <w:r w:rsidRPr="00101D05">
        <w:rPr>
          <w:rStyle w:val="normaltextrun"/>
        </w:rPr>
        <w:t xml:space="preserve"> may seek an out-of-session resolution. </w:t>
      </w:r>
    </w:p>
    <w:p w14:paraId="0D9A2CD8" w14:textId="3209A5FD" w:rsidR="00101D05" w:rsidRPr="00101D05" w:rsidRDefault="00101D05" w:rsidP="000F7B8E">
      <w:pPr>
        <w:pStyle w:val="SCVbodyafterheading"/>
      </w:pPr>
      <w:r w:rsidRPr="00101D05">
        <w:rPr>
          <w:rStyle w:val="normaltextrun"/>
        </w:rPr>
        <w:t>An out-of-session resolution shall be achieved and may be acted on if:</w:t>
      </w:r>
    </w:p>
    <w:p w14:paraId="6EB71C1A" w14:textId="641830FF" w:rsidR="00101D05" w:rsidRPr="00101D05" w:rsidRDefault="00101D05" w:rsidP="000F7B8E">
      <w:pPr>
        <w:pStyle w:val="SCVbullet1"/>
        <w:rPr>
          <w:rStyle w:val="normaltextrun"/>
        </w:rPr>
      </w:pPr>
      <w:r w:rsidRPr="00101D05">
        <w:rPr>
          <w:rStyle w:val="normaltextrun"/>
        </w:rPr>
        <w:t>written information about the issue, together with a proposed resolution, is distributed to all members of the</w:t>
      </w:r>
      <w:r w:rsidR="000F7B8E">
        <w:rPr>
          <w:rStyle w:val="normaltextrun"/>
        </w:rPr>
        <w:t xml:space="preserve"> </w:t>
      </w:r>
      <w:r w:rsidRPr="00101D05">
        <w:rPr>
          <w:rStyle w:val="normaltextrun"/>
        </w:rPr>
        <w:t>group</w:t>
      </w:r>
      <w:r w:rsidR="000F7B8E">
        <w:rPr>
          <w:rStyle w:val="normaltextrun"/>
        </w:rPr>
        <w:t xml:space="preserve">, </w:t>
      </w:r>
      <w:proofErr w:type="gramStart"/>
      <w:r w:rsidR="00C44071" w:rsidRPr="00101D05">
        <w:rPr>
          <w:rStyle w:val="normaltextrun"/>
        </w:rPr>
        <w:t>and</w:t>
      </w:r>
      <w:r w:rsidR="00C44071">
        <w:rPr>
          <w:rStyle w:val="normaltextrun"/>
        </w:rPr>
        <w:t>;</w:t>
      </w:r>
      <w:proofErr w:type="gramEnd"/>
    </w:p>
    <w:p w14:paraId="063555CD" w14:textId="16ACF927" w:rsidR="00101D05" w:rsidRDefault="00CF3D0B" w:rsidP="000F7B8E">
      <w:pPr>
        <w:pStyle w:val="SCVbullet1"/>
        <w:rPr>
          <w:rStyle w:val="normaltextrun"/>
        </w:rPr>
      </w:pPr>
      <w:r>
        <w:rPr>
          <w:rStyle w:val="normaltextrun"/>
        </w:rPr>
        <w:t>50</w:t>
      </w:r>
      <w:r w:rsidR="000F7B8E">
        <w:rPr>
          <w:rStyle w:val="normaltextrun"/>
        </w:rPr>
        <w:t xml:space="preserve"> per cent </w:t>
      </w:r>
      <w:r>
        <w:rPr>
          <w:rStyle w:val="normaltextrun"/>
        </w:rPr>
        <w:t xml:space="preserve">of the group </w:t>
      </w:r>
      <w:r w:rsidR="001E48B6">
        <w:rPr>
          <w:rStyle w:val="normaltextrun"/>
        </w:rPr>
        <w:t>r</w:t>
      </w:r>
      <w:r w:rsidR="00101D05" w:rsidRPr="00101D05">
        <w:rPr>
          <w:rStyle w:val="normaltextrun"/>
        </w:rPr>
        <w:t>espond</w:t>
      </w:r>
      <w:r w:rsidR="001E48B6">
        <w:rPr>
          <w:rStyle w:val="normaltextrun"/>
        </w:rPr>
        <w:t xml:space="preserve"> (constituting a quorum</w:t>
      </w:r>
      <w:r w:rsidR="001E48B6" w:rsidRPr="6761B675">
        <w:rPr>
          <w:rStyle w:val="normaltextrun"/>
        </w:rPr>
        <w:t>),</w:t>
      </w:r>
      <w:r w:rsidR="00101D05" w:rsidRPr="00101D05">
        <w:rPr>
          <w:rStyle w:val="normaltextrun"/>
        </w:rPr>
        <w:t xml:space="preserve"> and a consensus or simple majority agree with the proposed resolution, or an amended form of the resolution, within a timeframe agreed on by the </w:t>
      </w:r>
      <w:r w:rsidR="007271D7">
        <w:rPr>
          <w:rStyle w:val="normaltextrun"/>
        </w:rPr>
        <w:t>Co-</w:t>
      </w:r>
      <w:r w:rsidR="00AF32F7">
        <w:rPr>
          <w:rStyle w:val="normaltextrun"/>
        </w:rPr>
        <w:t>C</w:t>
      </w:r>
      <w:r w:rsidR="00101D05" w:rsidRPr="00101D05">
        <w:rPr>
          <w:rStyle w:val="normaltextrun"/>
        </w:rPr>
        <w:t>hair</w:t>
      </w:r>
      <w:r w:rsidR="007271D7">
        <w:rPr>
          <w:rStyle w:val="normaltextrun"/>
        </w:rPr>
        <w:t>s</w:t>
      </w:r>
      <w:r w:rsidR="00101D05" w:rsidRPr="00101D05">
        <w:rPr>
          <w:rStyle w:val="normaltextrun"/>
        </w:rPr>
        <w:t>.</w:t>
      </w:r>
    </w:p>
    <w:p w14:paraId="14C8C87D" w14:textId="4B9019F6" w:rsidR="002754CE" w:rsidRDefault="00381F01" w:rsidP="000F7B8E">
      <w:pPr>
        <w:pStyle w:val="Heading2"/>
      </w:pPr>
      <w:r>
        <w:t>5</w:t>
      </w:r>
      <w:r w:rsidR="007566E8">
        <w:t xml:space="preserve">.6 </w:t>
      </w:r>
      <w:r w:rsidR="002754CE" w:rsidRPr="000F7B8E">
        <w:t>Attendance</w:t>
      </w:r>
    </w:p>
    <w:p w14:paraId="2A8E5086" w14:textId="0675E736" w:rsidR="00101D05" w:rsidRDefault="009A698B" w:rsidP="000F7B8E">
      <w:pPr>
        <w:pStyle w:val="SCVbodyafterheading"/>
      </w:pPr>
      <w:r>
        <w:t xml:space="preserve">All meetings will be held </w:t>
      </w:r>
      <w:r w:rsidR="00D16EEF">
        <w:t>virtually</w:t>
      </w:r>
      <w:r w:rsidR="00596A71">
        <w:t>, with potential for face</w:t>
      </w:r>
      <w:r w:rsidR="00806FA7">
        <w:t>-</w:t>
      </w:r>
      <w:r w:rsidR="00596A71">
        <w:t>to</w:t>
      </w:r>
      <w:r w:rsidR="00806FA7">
        <w:t>-</w:t>
      </w:r>
      <w:r w:rsidR="00596A71">
        <w:t>face meetings if required</w:t>
      </w:r>
      <w:r w:rsidR="002C0DC9">
        <w:t>.</w:t>
      </w:r>
    </w:p>
    <w:p w14:paraId="7C3BDD38" w14:textId="113C990B" w:rsidR="00DB2FDD" w:rsidRPr="00101D05" w:rsidRDefault="00B2364D" w:rsidP="000F7B8E">
      <w:pPr>
        <w:pStyle w:val="SCVbody"/>
      </w:pPr>
      <w:r>
        <w:t xml:space="preserve">Members are </w:t>
      </w:r>
      <w:r w:rsidRPr="000F7B8E">
        <w:t>expected</w:t>
      </w:r>
      <w:r>
        <w:t xml:space="preserve"> to </w:t>
      </w:r>
      <w:r w:rsidR="005E562F" w:rsidRPr="005E562F">
        <w:t>active</w:t>
      </w:r>
      <w:r w:rsidR="005E562F">
        <w:t>ly</w:t>
      </w:r>
      <w:r w:rsidR="005E562F" w:rsidRPr="005E562F">
        <w:t xml:space="preserve"> participat</w:t>
      </w:r>
      <w:r w:rsidR="005E562F">
        <w:t>e in meetings</w:t>
      </w:r>
      <w:r w:rsidR="005E562F" w:rsidRPr="005E562F">
        <w:t xml:space="preserve"> </w:t>
      </w:r>
      <w:r w:rsidR="005E562F">
        <w:t>and</w:t>
      </w:r>
      <w:r w:rsidR="005E562F" w:rsidRPr="005E562F">
        <w:t xml:space="preserve"> </w:t>
      </w:r>
      <w:r>
        <w:t>attend a minimum of 75</w:t>
      </w:r>
      <w:r w:rsidR="000F7B8E">
        <w:t xml:space="preserve"> per cent </w:t>
      </w:r>
      <w:r w:rsidR="00E45777">
        <w:t>of meetings</w:t>
      </w:r>
      <w:r w:rsidR="002934A3">
        <w:t>.</w:t>
      </w:r>
    </w:p>
    <w:p w14:paraId="3D2E08AA" w14:textId="7AE0F0F5" w:rsidR="002754CE" w:rsidRDefault="0050747E" w:rsidP="000F7B8E">
      <w:pPr>
        <w:pStyle w:val="Heading2"/>
      </w:pPr>
      <w:r>
        <w:t>5</w:t>
      </w:r>
      <w:r w:rsidR="007566E8">
        <w:t xml:space="preserve">.7 </w:t>
      </w:r>
      <w:r w:rsidR="002754CE" w:rsidRPr="000F7B8E">
        <w:t>Quorum</w:t>
      </w:r>
    </w:p>
    <w:p w14:paraId="10C290FC" w14:textId="79DDCEF9" w:rsidR="00F67F78" w:rsidRDefault="00065AA7" w:rsidP="000F7B8E">
      <w:pPr>
        <w:pStyle w:val="SCVbodyafterheading"/>
      </w:pPr>
      <w:r>
        <w:t>T</w:t>
      </w:r>
      <w:r w:rsidR="00CF3D0B">
        <w:t>o achieve a quorum, attendance is required by 50</w:t>
      </w:r>
      <w:r w:rsidR="000F7B8E">
        <w:t xml:space="preserve"> per cent</w:t>
      </w:r>
      <w:r w:rsidR="00CF3D0B">
        <w:t xml:space="preserve"> of members. </w:t>
      </w:r>
      <w:r>
        <w:t xml:space="preserve">In the event a quorum is not achieved, a decision to continue with the meeting will be made by the </w:t>
      </w:r>
      <w:r w:rsidR="00FE3E8C">
        <w:t>Co-</w:t>
      </w:r>
      <w:r w:rsidR="00AF32F7">
        <w:t>C</w:t>
      </w:r>
      <w:r w:rsidR="00FE3E8C">
        <w:t>hairs</w:t>
      </w:r>
      <w:r>
        <w:t>.</w:t>
      </w:r>
      <w:r w:rsidR="00CF3D0B">
        <w:t xml:space="preserve"> </w:t>
      </w:r>
      <w:r w:rsidR="00CF3D0B" w:rsidDel="00641566">
        <w:t xml:space="preserve">Should the meeting proceed, voting will be </w:t>
      </w:r>
      <w:r w:rsidR="00CF3D0B" w:rsidRPr="003A3D64" w:rsidDel="00641566">
        <w:t>held over until a quorum is achieved.</w:t>
      </w:r>
    </w:p>
    <w:p w14:paraId="6DFFDE00" w14:textId="06C21857" w:rsidR="002754CE" w:rsidRDefault="0050747E" w:rsidP="000F7B8E">
      <w:pPr>
        <w:pStyle w:val="Heading2"/>
      </w:pPr>
      <w:r>
        <w:t>5</w:t>
      </w:r>
      <w:r w:rsidR="007566E8">
        <w:t xml:space="preserve">.8 </w:t>
      </w:r>
      <w:r w:rsidR="002754CE" w:rsidRPr="000F7B8E">
        <w:t>Confidentiality</w:t>
      </w:r>
    </w:p>
    <w:p w14:paraId="43D59015" w14:textId="029AE4D8" w:rsidR="0039522F" w:rsidRPr="0039522F" w:rsidRDefault="005E3C00" w:rsidP="000F7B8E">
      <w:pPr>
        <w:pStyle w:val="SCVbodyafterheading"/>
      </w:pPr>
      <w:r>
        <w:t>All</w:t>
      </w:r>
      <w:r w:rsidR="00BC0429">
        <w:t xml:space="preserve"> </w:t>
      </w:r>
      <w:r w:rsidR="00E07253">
        <w:t>Continuing</w:t>
      </w:r>
      <w:r w:rsidR="008F0A46">
        <w:t xml:space="preserve"> Care </w:t>
      </w:r>
      <w:r w:rsidR="00BC0429">
        <w:t>LHN</w:t>
      </w:r>
      <w:r>
        <w:t xml:space="preserve"> Advisory Group </w:t>
      </w:r>
      <w:r w:rsidR="0039522F">
        <w:t>member</w:t>
      </w:r>
      <w:r>
        <w:t>s</w:t>
      </w:r>
      <w:r w:rsidR="0039522F">
        <w:t xml:space="preserve"> will:</w:t>
      </w:r>
    </w:p>
    <w:p w14:paraId="1EB95292" w14:textId="6EEB4A24" w:rsidR="002D200C" w:rsidRPr="003A3D64" w:rsidRDefault="008C4CD4" w:rsidP="000F7B8E">
      <w:pPr>
        <w:pStyle w:val="SCVbullet1"/>
      </w:pPr>
      <w:r>
        <w:t>b</w:t>
      </w:r>
      <w:r w:rsidR="0039522F">
        <w:t xml:space="preserve">e </w:t>
      </w:r>
      <w:r w:rsidR="002D200C" w:rsidRPr="003A3D64">
        <w:t>required to sign a confidentiality agreement on commencement of their term of appointment</w:t>
      </w:r>
      <w:r w:rsidR="00235B1E">
        <w:t xml:space="preserve"> (</w:t>
      </w:r>
      <w:r w:rsidR="008F33CD">
        <w:rPr>
          <w:b/>
          <w:bCs/>
        </w:rPr>
        <w:t>A</w:t>
      </w:r>
      <w:r w:rsidR="00235B1E" w:rsidRPr="003C09B1">
        <w:rPr>
          <w:b/>
          <w:bCs/>
        </w:rPr>
        <w:t>ppendix 1</w:t>
      </w:r>
      <w:r w:rsidR="00235B1E">
        <w:t>)</w:t>
      </w:r>
    </w:p>
    <w:p w14:paraId="107911B8" w14:textId="0B922C20" w:rsidR="00A37C95" w:rsidRDefault="0069491B" w:rsidP="000F7B8E">
      <w:pPr>
        <w:pStyle w:val="SCVbullet1"/>
      </w:pPr>
      <w:r w:rsidRPr="0059609B">
        <w:t xml:space="preserve">not reveal any confidential or proprietary information that they obtained while a member of the </w:t>
      </w:r>
      <w:r w:rsidR="00095E96">
        <w:t xml:space="preserve">LHN </w:t>
      </w:r>
      <w:r>
        <w:t>A</w:t>
      </w:r>
      <w:r w:rsidR="001E29D7">
        <w:t>dvisory Group</w:t>
      </w:r>
      <w:r w:rsidRPr="0059609B">
        <w:t xml:space="preserve"> </w:t>
      </w:r>
      <w:r w:rsidR="00095E96">
        <w:t xml:space="preserve">during or </w:t>
      </w:r>
      <w:r>
        <w:t>on</w:t>
      </w:r>
      <w:r w:rsidRPr="0059609B">
        <w:t xml:space="preserve"> cessation of membership, or attempt to use or retain any such information, </w:t>
      </w:r>
      <w:r w:rsidRPr="0059609B" w:rsidDel="005E3C00">
        <w:t>documents</w:t>
      </w:r>
      <w:r w:rsidR="005E3C00" w:rsidRPr="0059609B">
        <w:t>,</w:t>
      </w:r>
      <w:r w:rsidRPr="0059609B">
        <w:t xml:space="preserve"> or dat</w:t>
      </w:r>
      <w:r w:rsidR="003C09B1">
        <w:t>a</w:t>
      </w:r>
    </w:p>
    <w:p w14:paraId="5C9B4261" w14:textId="2AA5E202" w:rsidR="00A36A19" w:rsidRDefault="00A36A19" w:rsidP="000F7B8E">
      <w:pPr>
        <w:pStyle w:val="SCVbullet1"/>
      </w:pPr>
      <w:r>
        <w:t xml:space="preserve">not distribute any </w:t>
      </w:r>
      <w:r w:rsidR="0058195C">
        <w:t xml:space="preserve">information, </w:t>
      </w:r>
      <w:proofErr w:type="gramStart"/>
      <w:r>
        <w:t>papers</w:t>
      </w:r>
      <w:proofErr w:type="gramEnd"/>
      <w:r>
        <w:t xml:space="preserve"> or </w:t>
      </w:r>
      <w:r w:rsidR="00E07253">
        <w:t>Continuing</w:t>
      </w:r>
      <w:r w:rsidR="008F0A46">
        <w:t xml:space="preserve"> Care </w:t>
      </w:r>
      <w:r w:rsidR="0058195C">
        <w:t xml:space="preserve">LHN </w:t>
      </w:r>
      <w:r>
        <w:t>A</w:t>
      </w:r>
      <w:r w:rsidR="003A67D4">
        <w:t>dvisory Group</w:t>
      </w:r>
      <w:r>
        <w:t xml:space="preserve"> material or make available to non-members.</w:t>
      </w:r>
    </w:p>
    <w:p w14:paraId="35A0CADE" w14:textId="25253D4D" w:rsidR="008956EC" w:rsidRDefault="0050747E" w:rsidP="000F7B8E">
      <w:pPr>
        <w:pStyle w:val="Heading2"/>
      </w:pPr>
      <w:r>
        <w:t>5</w:t>
      </w:r>
      <w:r w:rsidR="007566E8">
        <w:t xml:space="preserve">.9 </w:t>
      </w:r>
      <w:r w:rsidR="008956EC" w:rsidRPr="000F7B8E">
        <w:t>Conflict</w:t>
      </w:r>
      <w:r w:rsidR="008956EC">
        <w:t xml:space="preserve"> of interest</w:t>
      </w:r>
    </w:p>
    <w:p w14:paraId="5CB00B70" w14:textId="7B2E3B74" w:rsidR="00C33F3C" w:rsidRPr="003A3D64" w:rsidRDefault="00C33F3C" w:rsidP="000F7B8E">
      <w:pPr>
        <w:pStyle w:val="SCVbodyafterheading"/>
      </w:pPr>
      <w:r>
        <w:t>A conflict of interest will arise if a person’s personal interest (actual or perceived) conflict</w:t>
      </w:r>
      <w:r w:rsidR="003A2BC2">
        <w:t>s</w:t>
      </w:r>
      <w:r>
        <w:t xml:space="preserve"> with their duties as </w:t>
      </w:r>
      <w:r w:rsidR="6F748EB6">
        <w:t>a</w:t>
      </w:r>
      <w:r w:rsidR="008F0A46">
        <w:t xml:space="preserve"> </w:t>
      </w:r>
      <w:r w:rsidR="00E07253">
        <w:t>Continuing</w:t>
      </w:r>
      <w:r w:rsidR="008F0A46">
        <w:t xml:space="preserve"> Care </w:t>
      </w:r>
      <w:r w:rsidR="00A31F19">
        <w:t>LHN</w:t>
      </w:r>
      <w:r>
        <w:t xml:space="preserve"> </w:t>
      </w:r>
      <w:r w:rsidR="00103030">
        <w:t>A</w:t>
      </w:r>
      <w:r w:rsidR="003A67D4" w:rsidRPr="099414C9">
        <w:t xml:space="preserve">dvisory </w:t>
      </w:r>
      <w:r w:rsidR="00103030" w:rsidRPr="099414C9">
        <w:t>G</w:t>
      </w:r>
      <w:r w:rsidR="003A67D4" w:rsidRPr="099414C9">
        <w:t xml:space="preserve">roup </w:t>
      </w:r>
      <w:r>
        <w:t>member</w:t>
      </w:r>
      <w:r w:rsidR="00835DCD">
        <w:t>,</w:t>
      </w:r>
      <w:r>
        <w:t xml:space="preserve"> such that the person may not be independent, objective</w:t>
      </w:r>
      <w:r w:rsidR="00F62875">
        <w:t>,</w:t>
      </w:r>
      <w:r>
        <w:t xml:space="preserve"> </w:t>
      </w:r>
      <w:r w:rsidR="00B527DE">
        <w:t xml:space="preserve">or </w:t>
      </w:r>
      <w:r>
        <w:t>impartial in relation to their duties. All conflict</w:t>
      </w:r>
      <w:r w:rsidR="000F7B8E">
        <w:t>s</w:t>
      </w:r>
      <w:r>
        <w:t xml:space="preserve"> of interest </w:t>
      </w:r>
      <w:r w:rsidR="00B527DE">
        <w:t xml:space="preserve">must </w:t>
      </w:r>
      <w:r>
        <w:t xml:space="preserve">be declared as part of the membership documentation, and where appropriate for additional circumstances in any given meeting. </w:t>
      </w:r>
    </w:p>
    <w:p w14:paraId="21B6D415" w14:textId="37F76D4F" w:rsidR="00C33F3C" w:rsidRDefault="00C33F3C" w:rsidP="000F7B8E">
      <w:pPr>
        <w:pStyle w:val="SCVbody"/>
      </w:pPr>
      <w:r w:rsidRPr="000F7B8E">
        <w:t>Where</w:t>
      </w:r>
      <w:r w:rsidRPr="003A3D64">
        <w:t xml:space="preserve"> a potential conflict of interest has been declared</w:t>
      </w:r>
      <w:r w:rsidR="0075762D">
        <w:t xml:space="preserve"> and accepted as a conflict by the </w:t>
      </w:r>
      <w:r w:rsidR="00B61DC0" w:rsidDel="007C1D84">
        <w:t>Co</w:t>
      </w:r>
      <w:r w:rsidR="00B61DC0">
        <w:t>-</w:t>
      </w:r>
      <w:r w:rsidR="00AF32F7">
        <w:t>C</w:t>
      </w:r>
      <w:r w:rsidR="0075762D">
        <w:t>hair</w:t>
      </w:r>
      <w:r w:rsidR="00B61DC0">
        <w:t>s</w:t>
      </w:r>
      <w:r w:rsidR="0075762D">
        <w:t>,</w:t>
      </w:r>
      <w:r w:rsidRPr="003A3D64">
        <w:t xml:space="preserve"> the member will remove themselves from voting on matters concerning the declared conflict</w:t>
      </w:r>
      <w:r w:rsidR="00276DC6">
        <w:t>;</w:t>
      </w:r>
      <w:r w:rsidRPr="003A3D64">
        <w:t xml:space="preserve"> and be guided by the </w:t>
      </w:r>
      <w:r w:rsidR="00FE3E8C">
        <w:t>Co-</w:t>
      </w:r>
      <w:r w:rsidR="00AF32F7">
        <w:t>C</w:t>
      </w:r>
      <w:r w:rsidR="00FE3E8C">
        <w:t>hairs</w:t>
      </w:r>
      <w:r>
        <w:t xml:space="preserve"> </w:t>
      </w:r>
      <w:r w:rsidRPr="003A3D64">
        <w:t xml:space="preserve">on how best to proceed and advise the meeting accordingly. A formal declaration will be completed and signed along with documented action taken by the </w:t>
      </w:r>
      <w:r w:rsidR="00B61DC0" w:rsidDel="0022449E">
        <w:t>Co</w:t>
      </w:r>
      <w:r w:rsidR="00B61DC0">
        <w:t>-</w:t>
      </w:r>
      <w:r w:rsidR="00AF32F7">
        <w:t>C</w:t>
      </w:r>
      <w:r>
        <w:t>hair</w:t>
      </w:r>
      <w:r w:rsidR="00B61DC0">
        <w:t>s</w:t>
      </w:r>
      <w:r w:rsidRPr="003A3D64">
        <w:t xml:space="preserve">. </w:t>
      </w:r>
    </w:p>
    <w:p w14:paraId="70ADC5DB" w14:textId="0F522768" w:rsidR="002C4277" w:rsidRPr="00C33F3C" w:rsidRDefault="002C4277" w:rsidP="000F7B8E">
      <w:pPr>
        <w:pStyle w:val="SCVbody"/>
      </w:pPr>
      <w:r>
        <w:lastRenderedPageBreak/>
        <w:t xml:space="preserve">All </w:t>
      </w:r>
      <w:r w:rsidR="00E07253">
        <w:t>Continuing</w:t>
      </w:r>
      <w:r w:rsidR="00481E9A">
        <w:t xml:space="preserve"> Care </w:t>
      </w:r>
      <w:r w:rsidR="0022449E">
        <w:t xml:space="preserve">LHN </w:t>
      </w:r>
      <w:r w:rsidR="00940190">
        <w:rPr>
          <w:rFonts w:cstheme="minorHAnsi"/>
        </w:rPr>
        <w:t>A</w:t>
      </w:r>
      <w:r w:rsidR="003A67D4" w:rsidRPr="0082347D">
        <w:rPr>
          <w:rFonts w:cstheme="minorHAnsi"/>
        </w:rPr>
        <w:t xml:space="preserve">dvisory </w:t>
      </w:r>
      <w:r w:rsidR="00940190">
        <w:rPr>
          <w:rFonts w:cstheme="minorHAnsi"/>
        </w:rPr>
        <w:t>G</w:t>
      </w:r>
      <w:r w:rsidR="003A67D4" w:rsidRPr="0082347D">
        <w:rPr>
          <w:rFonts w:cstheme="minorHAnsi"/>
        </w:rPr>
        <w:t>roup</w:t>
      </w:r>
      <w:r>
        <w:t xml:space="preserve"> members will be required to sign a</w:t>
      </w:r>
      <w:r w:rsidR="002C2426">
        <w:t xml:space="preserve"> potential conflict of interest declaration on commencement of their term of </w:t>
      </w:r>
      <w:r w:rsidR="002C2426" w:rsidRPr="000F7B8E">
        <w:t>appointment</w:t>
      </w:r>
      <w:r w:rsidR="002C2426">
        <w:t xml:space="preserve"> (</w:t>
      </w:r>
      <w:r w:rsidR="001B16D2" w:rsidRPr="001B16D2">
        <w:rPr>
          <w:b/>
          <w:bCs/>
        </w:rPr>
        <w:t xml:space="preserve">see </w:t>
      </w:r>
      <w:r w:rsidR="008F33CD">
        <w:rPr>
          <w:b/>
          <w:bCs/>
        </w:rPr>
        <w:t>A</w:t>
      </w:r>
      <w:r w:rsidR="002C2426" w:rsidRPr="003C09B1">
        <w:rPr>
          <w:b/>
          <w:bCs/>
        </w:rPr>
        <w:t>ppendix 2</w:t>
      </w:r>
      <w:r w:rsidR="002C2426">
        <w:t>).</w:t>
      </w:r>
    </w:p>
    <w:p w14:paraId="407FD4A9" w14:textId="37B53C8E" w:rsidR="008177D1" w:rsidRDefault="0050747E" w:rsidP="000F7B8E">
      <w:pPr>
        <w:pStyle w:val="Heading2"/>
      </w:pPr>
      <w:r>
        <w:t>5</w:t>
      </w:r>
      <w:r w:rsidR="007566E8">
        <w:t>.</w:t>
      </w:r>
      <w:r w:rsidR="00B416B0">
        <w:t>10</w:t>
      </w:r>
      <w:r w:rsidR="007566E8">
        <w:t xml:space="preserve"> </w:t>
      </w:r>
      <w:r w:rsidR="002754CE" w:rsidRPr="000F7B8E">
        <w:t>Re</w:t>
      </w:r>
      <w:r w:rsidR="00B5137D" w:rsidRPr="000F7B8E">
        <w:t>mune</w:t>
      </w:r>
      <w:r w:rsidR="002754CE" w:rsidRPr="000F7B8E">
        <w:t>ration</w:t>
      </w:r>
    </w:p>
    <w:p w14:paraId="6280026A" w14:textId="6FBDEB4A" w:rsidR="00FB5B9E" w:rsidRPr="00610084" w:rsidRDefault="7D1B0A7A" w:rsidP="000F7B8E">
      <w:pPr>
        <w:pStyle w:val="SCVbodyafterheading"/>
        <w:rPr>
          <w:color w:val="004C97"/>
          <w:u w:val="single"/>
        </w:rPr>
      </w:pPr>
      <w:r>
        <w:t xml:space="preserve">Consumer members and private practitioners </w:t>
      </w:r>
      <w:r w:rsidR="008550FE">
        <w:t>(</w:t>
      </w:r>
      <w:r>
        <w:t xml:space="preserve">such as </w:t>
      </w:r>
      <w:r w:rsidR="008550FE">
        <w:t>G</w:t>
      </w:r>
      <w:r>
        <w:t xml:space="preserve">eneral </w:t>
      </w:r>
      <w:r w:rsidR="008550FE">
        <w:t>P</w:t>
      </w:r>
      <w:r>
        <w:t>ractitioners</w:t>
      </w:r>
      <w:r w:rsidR="008550FE">
        <w:t>)</w:t>
      </w:r>
      <w:r>
        <w:t xml:space="preserve"> will be eligible for remuneration for attending </w:t>
      </w:r>
      <w:r w:rsidR="00E07253">
        <w:t>Continuing</w:t>
      </w:r>
      <w:r w:rsidR="00481E9A">
        <w:t xml:space="preserve"> Care </w:t>
      </w:r>
      <w:r w:rsidR="0022449E">
        <w:t xml:space="preserve">LHN </w:t>
      </w:r>
      <w:r w:rsidR="00B2756B">
        <w:rPr>
          <w:lang w:eastAsia="en-US"/>
        </w:rPr>
        <w:t>Advisory Group</w:t>
      </w:r>
      <w:r w:rsidR="4A9E3609">
        <w:t xml:space="preserve"> </w:t>
      </w:r>
      <w:r>
        <w:t xml:space="preserve">meetings. </w:t>
      </w:r>
      <w:r w:rsidR="17EAB7FC">
        <w:t>The</w:t>
      </w:r>
      <w:r w:rsidR="004A05C6">
        <w:t xml:space="preserve"> </w:t>
      </w:r>
      <w:r w:rsidR="00376D5D">
        <w:t>m</w:t>
      </w:r>
      <w:r w:rsidR="004A05C6">
        <w:t>anager</w:t>
      </w:r>
      <w:r w:rsidR="00072343">
        <w:t xml:space="preserve"> of</w:t>
      </w:r>
      <w:r w:rsidR="00992D63">
        <w:t xml:space="preserve"> the relevant centre</w:t>
      </w:r>
      <w:r w:rsidR="6EE6E1DE">
        <w:t xml:space="preserve"> will review and approve all remuneration requests in line with </w:t>
      </w:r>
      <w:r w:rsidR="00B9635B">
        <w:t>the</w:t>
      </w:r>
      <w:r w:rsidR="000F7B8E">
        <w:t xml:space="preserve"> Victorian Government</w:t>
      </w:r>
      <w:r w:rsidR="00B9635B">
        <w:t xml:space="preserve"> </w:t>
      </w:r>
      <w:hyperlink w:history="1">
        <w:r w:rsidR="00B9635B" w:rsidRPr="00B9635B">
          <w:rPr>
            <w:rStyle w:val="Hyperlink"/>
          </w:rPr>
          <w:t>Appointment and remuneration guidelines</w:t>
        </w:r>
      </w:hyperlink>
      <w:r w:rsidR="000F7B8E">
        <w:rPr>
          <w:rStyle w:val="Hyperlink"/>
          <w:color w:val="auto"/>
          <w:u w:val="none"/>
        </w:rPr>
        <w:t xml:space="preserve"> a</w:t>
      </w:r>
      <w:r w:rsidR="03E2E096" w:rsidRPr="65B33571">
        <w:rPr>
          <w:rStyle w:val="Hyperlink"/>
          <w:color w:val="auto"/>
          <w:u w:val="none"/>
        </w:rPr>
        <w:t>nd</w:t>
      </w:r>
      <w:r w:rsidR="03E2E096" w:rsidRPr="65B33571">
        <w:rPr>
          <w:rStyle w:val="Hyperlink"/>
          <w:u w:val="none"/>
        </w:rPr>
        <w:t xml:space="preserve"> </w:t>
      </w:r>
      <w:r w:rsidR="03E2E096">
        <w:t xml:space="preserve">SCV’s </w:t>
      </w:r>
      <w:hyperlink r:id="rId14">
        <w:r w:rsidR="03E2E096" w:rsidRPr="65B33571">
          <w:rPr>
            <w:rStyle w:val="Hyperlink"/>
            <w:color w:val="0070C0"/>
          </w:rPr>
          <w:t>Guide to consumer remuneration</w:t>
        </w:r>
      </w:hyperlink>
      <w:r w:rsidR="03E2E096" w:rsidRPr="65B33571">
        <w:rPr>
          <w:rStyle w:val="Hyperlink"/>
          <w:color w:val="0070C0"/>
        </w:rPr>
        <w:t>.</w:t>
      </w:r>
    </w:p>
    <w:p w14:paraId="6CF1F904" w14:textId="4EF254E4" w:rsidR="002754CE" w:rsidRDefault="0050747E" w:rsidP="000F7B8E">
      <w:pPr>
        <w:pStyle w:val="Heading1"/>
      </w:pPr>
      <w:r>
        <w:t>6</w:t>
      </w:r>
      <w:r w:rsidR="007566E8">
        <w:t xml:space="preserve">. </w:t>
      </w:r>
      <w:r w:rsidR="002754CE" w:rsidRPr="000F7B8E">
        <w:t>Review</w:t>
      </w:r>
    </w:p>
    <w:p w14:paraId="50D19A32" w14:textId="4E35D765" w:rsidR="005E3C00" w:rsidRPr="00935296" w:rsidRDefault="005E3C00" w:rsidP="00B028B6">
      <w:bookmarkStart w:id="7" w:name="_Toc43470672"/>
      <w:r w:rsidRPr="00935296">
        <w:t>The</w:t>
      </w:r>
      <w:r w:rsidR="003A0E10">
        <w:t xml:space="preserve"> </w:t>
      </w:r>
      <w:r w:rsidR="00E07253">
        <w:t>Continuing</w:t>
      </w:r>
      <w:r w:rsidR="00386BE4">
        <w:t xml:space="preserve"> Care </w:t>
      </w:r>
      <w:r w:rsidR="003A0E10">
        <w:t>LHN</w:t>
      </w:r>
      <w:r w:rsidRPr="00935296">
        <w:t xml:space="preserve"> </w:t>
      </w:r>
      <w:r w:rsidR="00B2756B">
        <w:rPr>
          <w:lang w:eastAsia="en-US"/>
        </w:rPr>
        <w:t>Advisory Group</w:t>
      </w:r>
      <w:r w:rsidRPr="00935296">
        <w:t xml:space="preserve"> will review its progress against its stated role</w:t>
      </w:r>
      <w:r w:rsidR="001C2811">
        <w:t xml:space="preserve">, </w:t>
      </w:r>
      <w:r w:rsidRPr="00935296">
        <w:t xml:space="preserve">functions and work plans every twelve months and the </w:t>
      </w:r>
      <w:r w:rsidR="001F337F">
        <w:t>T</w:t>
      </w:r>
      <w:r w:rsidR="001F337F" w:rsidRPr="00935296">
        <w:t xml:space="preserve">erms </w:t>
      </w:r>
      <w:r w:rsidRPr="00935296">
        <w:t>of</w:t>
      </w:r>
      <w:r w:rsidRPr="00935296" w:rsidDel="001F337F">
        <w:t xml:space="preserve"> </w:t>
      </w:r>
      <w:r w:rsidR="001F337F">
        <w:t>R</w:t>
      </w:r>
      <w:r w:rsidR="001F337F" w:rsidRPr="00935296">
        <w:t xml:space="preserve">eference </w:t>
      </w:r>
      <w:r w:rsidRPr="00935296">
        <w:t>updated accordingly.</w:t>
      </w:r>
    </w:p>
    <w:p w14:paraId="433B6471" w14:textId="1760EA93" w:rsidR="00B04531" w:rsidRDefault="005E3C00" w:rsidP="00386BE4">
      <w:r w:rsidRPr="005E3C00">
        <w:t xml:space="preserve">Changes to the </w:t>
      </w:r>
      <w:r w:rsidR="000C57BD">
        <w:t>T</w:t>
      </w:r>
      <w:r w:rsidR="000C57BD" w:rsidRPr="005E3C00">
        <w:t xml:space="preserve">erms </w:t>
      </w:r>
      <w:r w:rsidRPr="005E3C00">
        <w:t xml:space="preserve">of </w:t>
      </w:r>
      <w:r w:rsidR="000C57BD">
        <w:t>R</w:t>
      </w:r>
      <w:r w:rsidR="000C57BD" w:rsidRPr="005E3C00">
        <w:t xml:space="preserve">eference </w:t>
      </w:r>
      <w:r w:rsidRPr="005E3C00">
        <w:t xml:space="preserve">will be subject to approval by the </w:t>
      </w:r>
      <w:r w:rsidR="00B61DC0" w:rsidDel="001F337F">
        <w:t>Co</w:t>
      </w:r>
      <w:r w:rsidR="00B61DC0">
        <w:t>-</w:t>
      </w:r>
      <w:r w:rsidR="00AF32F7">
        <w:t>C</w:t>
      </w:r>
      <w:r w:rsidRPr="005E3C00">
        <w:t>hair</w:t>
      </w:r>
      <w:r w:rsidR="00B61DC0">
        <w:t>s</w:t>
      </w:r>
      <w:r>
        <w:t xml:space="preserve"> and Director, Centre of Clinical Excellence at SCV.</w:t>
      </w:r>
      <w:bookmarkEnd w:id="7"/>
    </w:p>
    <w:p w14:paraId="69E21ACF" w14:textId="619BD75C" w:rsidR="00B04531" w:rsidRDefault="00B04531" w:rsidP="00B04531">
      <w:pPr>
        <w:pStyle w:val="SCVbullet1"/>
        <w:numPr>
          <w:ilvl w:val="0"/>
          <w:numId w:val="0"/>
        </w:numPr>
        <w:ind w:left="284"/>
      </w:pPr>
    </w:p>
    <w:p w14:paraId="4A3050DE" w14:textId="6758A94B" w:rsidR="007A11D4" w:rsidRDefault="007A11D4" w:rsidP="000F7B8E">
      <w:pPr>
        <w:pStyle w:val="Heading1"/>
      </w:pPr>
      <w:r w:rsidRPr="000F7B8E">
        <w:t>Appendix</w:t>
      </w:r>
      <w:r>
        <w:t xml:space="preserve"> 1. Confidentially agreement</w:t>
      </w:r>
    </w:p>
    <w:p w14:paraId="469D1A1D" w14:textId="2F4110B9" w:rsidR="00B60348" w:rsidRDefault="00B60348" w:rsidP="000F7B8E">
      <w:pPr>
        <w:pStyle w:val="IntroductoryText"/>
        <w:rPr>
          <w:lang w:eastAsia="en-US"/>
        </w:rPr>
      </w:pPr>
      <w:r w:rsidRPr="00B37250">
        <w:rPr>
          <w:lang w:eastAsia="en-US"/>
        </w:rPr>
        <w:t>All members of the</w:t>
      </w:r>
      <w:r w:rsidR="00386BE4">
        <w:rPr>
          <w:lang w:eastAsia="en-US"/>
        </w:rPr>
        <w:t xml:space="preserve"> </w:t>
      </w:r>
      <w:r w:rsidR="00E07253">
        <w:rPr>
          <w:lang w:eastAsia="en-US"/>
        </w:rPr>
        <w:t>Continuing</w:t>
      </w:r>
      <w:r w:rsidR="00386BE4">
        <w:rPr>
          <w:lang w:eastAsia="en-US"/>
        </w:rPr>
        <w:t xml:space="preserve"> Care</w:t>
      </w:r>
      <w:r w:rsidRPr="00B37250">
        <w:rPr>
          <w:lang w:eastAsia="en-US"/>
        </w:rPr>
        <w:t xml:space="preserve"> </w:t>
      </w:r>
      <w:r w:rsidR="00F26127">
        <w:rPr>
          <w:lang w:eastAsia="en-US"/>
        </w:rPr>
        <w:t xml:space="preserve">Learning Health </w:t>
      </w:r>
      <w:r>
        <w:rPr>
          <w:lang w:eastAsia="en-US"/>
        </w:rPr>
        <w:t xml:space="preserve">Network </w:t>
      </w:r>
      <w:r w:rsidR="00A42186">
        <w:rPr>
          <w:lang w:eastAsia="en-US"/>
        </w:rPr>
        <w:t xml:space="preserve">(LHN) </w:t>
      </w:r>
      <w:r w:rsidR="00F26127">
        <w:rPr>
          <w:lang w:eastAsia="en-US"/>
        </w:rPr>
        <w:t>Advisory Groups</w:t>
      </w:r>
      <w:r>
        <w:rPr>
          <w:lang w:eastAsia="en-US"/>
        </w:rPr>
        <w:t xml:space="preserve"> a</w:t>
      </w:r>
      <w:r w:rsidRPr="00B37250">
        <w:rPr>
          <w:lang w:eastAsia="en-US"/>
        </w:rPr>
        <w:t xml:space="preserve">re requested to complete this </w:t>
      </w:r>
      <w:r>
        <w:rPr>
          <w:lang w:eastAsia="en-US"/>
        </w:rPr>
        <w:t xml:space="preserve">agreement </w:t>
      </w:r>
      <w:r w:rsidRPr="00B37250">
        <w:rPr>
          <w:lang w:eastAsia="en-US"/>
        </w:rPr>
        <w:t>prior to commencing 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14:paraId="20A28E82" w14:textId="3DF4EDE7" w:rsidR="008E23F6" w:rsidRPr="00B60348" w:rsidRDefault="008E23F6" w:rsidP="00B60348">
      <w:pPr>
        <w:pStyle w:val="SCVbody"/>
      </w:pPr>
      <w:r w:rsidRPr="00B60348">
        <w:rPr>
          <w:rStyle w:val="normaltextrun"/>
        </w:rPr>
        <w:t>I, _______________________________hereby indicate that I understand and agree to abide by the confidentiality provisions set out in</w:t>
      </w:r>
      <w:r w:rsidR="000F7B8E">
        <w:rPr>
          <w:rStyle w:val="normaltextrun"/>
        </w:rPr>
        <w:t xml:space="preserve"> </w:t>
      </w:r>
      <w:r w:rsidRPr="00B60348">
        <w:rPr>
          <w:rStyle w:val="normaltextrun"/>
        </w:rPr>
        <w:t>Section 42 of</w:t>
      </w:r>
      <w:r w:rsidR="000F7B8E">
        <w:rPr>
          <w:rStyle w:val="normaltextrun"/>
        </w:rPr>
        <w:t xml:space="preserve"> </w:t>
      </w:r>
      <w:r w:rsidRPr="00B60348">
        <w:rPr>
          <w:rStyle w:val="normaltextrun"/>
        </w:rPr>
        <w:t>the</w:t>
      </w:r>
      <w:r w:rsidR="000F7B8E">
        <w:rPr>
          <w:rStyle w:val="normaltextrun"/>
        </w:rPr>
        <w:t xml:space="preserve"> </w:t>
      </w:r>
      <w:r w:rsidRPr="000F7B8E">
        <w:rPr>
          <w:rStyle w:val="normaltextrun"/>
          <w:i/>
          <w:iCs/>
        </w:rPr>
        <w:t>Public Health and Wellbeing Act 2008.</w:t>
      </w:r>
    </w:p>
    <w:p w14:paraId="1741E7C6" w14:textId="0F3C264A" w:rsidR="008E23F6" w:rsidRPr="00B60348" w:rsidRDefault="008E23F6" w:rsidP="00B60348">
      <w:pPr>
        <w:pStyle w:val="SCVbody"/>
      </w:pPr>
      <w:r w:rsidRPr="00B60348">
        <w:t xml:space="preserve">I acknowledge that I must not directly or indirectly make a record of, </w:t>
      </w:r>
      <w:r w:rsidRPr="00B60348" w:rsidDel="00F26127">
        <w:t>divulge</w:t>
      </w:r>
      <w:r w:rsidR="00F26127" w:rsidRPr="00B60348">
        <w:t>,</w:t>
      </w:r>
      <w:r w:rsidRPr="00B60348">
        <w:t xml:space="preserve"> or communicate to any person any information gained by or conveyed to me by reason of my office, employment</w:t>
      </w:r>
      <w:r w:rsidR="00B6369D" w:rsidRPr="00B60348">
        <w:t>,</w:t>
      </w:r>
      <w:r w:rsidRPr="00B60348">
        <w:t xml:space="preserve"> or engagement; or make use of the information for any purpose other than in the performance of the functions of </w:t>
      </w:r>
      <w:r w:rsidR="000F7B8E">
        <w:t>the</w:t>
      </w:r>
      <w:r w:rsidR="00386BE4">
        <w:t xml:space="preserve"> </w:t>
      </w:r>
      <w:r w:rsidR="00E07253">
        <w:t>Continuing</w:t>
      </w:r>
      <w:r w:rsidR="00386BE4">
        <w:t xml:space="preserve"> Care</w:t>
      </w:r>
      <w:r w:rsidR="000F7B8E">
        <w:t xml:space="preserve"> </w:t>
      </w:r>
      <w:r w:rsidR="00A42186">
        <w:t xml:space="preserve">LHN </w:t>
      </w:r>
      <w:r w:rsidR="00B2756B">
        <w:rPr>
          <w:lang w:eastAsia="en-US"/>
        </w:rPr>
        <w:t>Advisory Group</w:t>
      </w:r>
      <w:r w:rsidR="00297175">
        <w:rPr>
          <w:lang w:eastAsia="en-US"/>
        </w:rPr>
        <w:t xml:space="preserve"> and expert working groups</w:t>
      </w:r>
      <w:r w:rsidRPr="00B60348">
        <w:t>.</w:t>
      </w:r>
    </w:p>
    <w:p w14:paraId="56654289" w14:textId="7A6E429F" w:rsidR="008E23F6" w:rsidRPr="00B60348" w:rsidRDefault="008E23F6" w:rsidP="00B60348">
      <w:pPr>
        <w:pStyle w:val="SCVbody"/>
      </w:pPr>
      <w:r w:rsidRPr="00B60348">
        <w:t>Upon cessation of membership/attendance at a meeting, and thereafter, the member/guest shall not reveal any confidential or proprietary information that they obtained while a member of the group or in attendance at a meeting, and may not use or retain, or attempt to use or retain, any such information, documents</w:t>
      </w:r>
      <w:r w:rsidR="00B6369D" w:rsidRPr="00B60348">
        <w:t>,</w:t>
      </w:r>
      <w:r w:rsidRPr="00B60348">
        <w:t xml:space="preserve"> or data.</w:t>
      </w:r>
    </w:p>
    <w:p w14:paraId="05B67709" w14:textId="77777777" w:rsidR="008E23F6" w:rsidRPr="00B60348" w:rsidRDefault="008E23F6" w:rsidP="00B60348">
      <w:pPr>
        <w:pStyle w:val="SCVbody"/>
      </w:pPr>
    </w:p>
    <w:p w14:paraId="44015203" w14:textId="77777777" w:rsidR="008E23F6" w:rsidRPr="00B60348" w:rsidRDefault="008E23F6" w:rsidP="00B60348">
      <w:pPr>
        <w:pStyle w:val="SCVbody"/>
      </w:pPr>
    </w:p>
    <w:p w14:paraId="01B40A58" w14:textId="77777777" w:rsidR="008E23F6" w:rsidRPr="00B60348" w:rsidRDefault="008E23F6" w:rsidP="00B60348">
      <w:pPr>
        <w:pStyle w:val="SCVbody"/>
      </w:pPr>
      <w:r w:rsidRPr="00B60348">
        <w:t>Signed: __________________________________________________</w:t>
      </w:r>
    </w:p>
    <w:p w14:paraId="72FD8FDB" w14:textId="77777777" w:rsidR="008E23F6" w:rsidRPr="00B60348" w:rsidRDefault="008E23F6" w:rsidP="00B60348">
      <w:pPr>
        <w:pStyle w:val="SCVbody"/>
      </w:pPr>
    </w:p>
    <w:p w14:paraId="74B1132F" w14:textId="77777777" w:rsidR="008E23F6" w:rsidRPr="00B60348" w:rsidRDefault="008E23F6" w:rsidP="00B60348">
      <w:pPr>
        <w:pStyle w:val="SCVbody"/>
      </w:pPr>
    </w:p>
    <w:p w14:paraId="4839EB4F" w14:textId="77777777" w:rsidR="008E23F6" w:rsidRPr="00B60348" w:rsidRDefault="008E23F6" w:rsidP="00B60348">
      <w:pPr>
        <w:pStyle w:val="SCVbody"/>
      </w:pPr>
      <w:r w:rsidRPr="00B60348">
        <w:t>Witness: __________________________________________________</w:t>
      </w:r>
    </w:p>
    <w:p w14:paraId="71050BA4" w14:textId="77777777" w:rsidR="008E23F6" w:rsidRPr="00B60348" w:rsidRDefault="008E23F6" w:rsidP="00B60348">
      <w:pPr>
        <w:pStyle w:val="SCVbody"/>
      </w:pPr>
    </w:p>
    <w:p w14:paraId="32EF2010" w14:textId="77777777" w:rsidR="008E23F6" w:rsidRPr="00B60348" w:rsidRDefault="008E23F6" w:rsidP="00B60348">
      <w:pPr>
        <w:pStyle w:val="SCVbody"/>
      </w:pPr>
    </w:p>
    <w:p w14:paraId="1AADCE7F" w14:textId="36ED45F2" w:rsidR="008E23F6" w:rsidRPr="00B60348" w:rsidRDefault="008E23F6" w:rsidP="00B60348">
      <w:pPr>
        <w:pStyle w:val="SCVbody"/>
      </w:pPr>
      <w:r w:rsidRPr="00B60348">
        <w:lastRenderedPageBreak/>
        <w:t xml:space="preserve">Date: </w:t>
      </w:r>
    </w:p>
    <w:p w14:paraId="01E37FBB" w14:textId="17AD802F" w:rsidR="00C06250" w:rsidRDefault="00C06250" w:rsidP="007A11D4">
      <w:pPr>
        <w:pStyle w:val="SCVbody"/>
      </w:pPr>
      <w:r>
        <w:br w:type="page"/>
      </w:r>
    </w:p>
    <w:p w14:paraId="761B3DDF" w14:textId="5A9C0406" w:rsidR="007A11D4" w:rsidRDefault="00C06250" w:rsidP="000F7B8E">
      <w:pPr>
        <w:pStyle w:val="Heading1"/>
      </w:pPr>
      <w:r>
        <w:lastRenderedPageBreak/>
        <w:t>Appendix</w:t>
      </w:r>
      <w:r w:rsidR="005054D3">
        <w:t xml:space="preserve"> </w:t>
      </w:r>
      <w:r>
        <w:t>2</w:t>
      </w:r>
      <w:r w:rsidR="005054D3">
        <w:t>.</w:t>
      </w:r>
      <w:r>
        <w:t xml:space="preserve"> </w:t>
      </w:r>
      <w:r w:rsidR="004D6670" w:rsidRPr="000F7B8E">
        <w:t>Potential</w:t>
      </w:r>
      <w:r w:rsidR="004D6670">
        <w:t xml:space="preserve"> conflict of interest declaration</w:t>
      </w:r>
    </w:p>
    <w:p w14:paraId="6F8513F7" w14:textId="363EADD9" w:rsidR="00B60348" w:rsidRDefault="00B60348" w:rsidP="000F7B8E">
      <w:pPr>
        <w:pStyle w:val="IntroductoryText"/>
        <w:rPr>
          <w:lang w:eastAsia="en-US"/>
        </w:rPr>
      </w:pPr>
      <w:r w:rsidRPr="00B37250">
        <w:rPr>
          <w:lang w:eastAsia="en-US"/>
        </w:rPr>
        <w:t xml:space="preserve">All members of the </w:t>
      </w:r>
      <w:r w:rsidR="00E07253">
        <w:rPr>
          <w:lang w:eastAsia="en-US"/>
        </w:rPr>
        <w:t>Continuing</w:t>
      </w:r>
      <w:r w:rsidR="00386BE4">
        <w:rPr>
          <w:lang w:eastAsia="en-US"/>
        </w:rPr>
        <w:t xml:space="preserve"> Care </w:t>
      </w:r>
      <w:r w:rsidR="00F26127">
        <w:rPr>
          <w:lang w:eastAsia="en-US"/>
        </w:rPr>
        <w:t xml:space="preserve">Learning Health Network </w:t>
      </w:r>
      <w:r w:rsidR="00A42186">
        <w:rPr>
          <w:lang w:eastAsia="en-US"/>
        </w:rPr>
        <w:t xml:space="preserve">(LHN) </w:t>
      </w:r>
      <w:r w:rsidR="00F26127">
        <w:rPr>
          <w:lang w:eastAsia="en-US"/>
        </w:rPr>
        <w:t xml:space="preserve">Advisory Groups </w:t>
      </w:r>
      <w:r>
        <w:rPr>
          <w:lang w:eastAsia="en-US"/>
        </w:rPr>
        <w:t>a</w:t>
      </w:r>
      <w:r w:rsidRPr="00B37250">
        <w:rPr>
          <w:lang w:eastAsia="en-US"/>
        </w:rPr>
        <w:t xml:space="preserve">re requested to complete this declaration prior to commencing </w:t>
      </w:r>
      <w:r w:rsidR="00A42186">
        <w:rPr>
          <w:lang w:eastAsia="en-US"/>
        </w:rPr>
        <w:t xml:space="preserve">LHN </w:t>
      </w:r>
      <w:r w:rsidR="00C27121">
        <w:rPr>
          <w:lang w:eastAsia="en-US"/>
        </w:rPr>
        <w:t>Advisory Group</w:t>
      </w:r>
      <w:r w:rsidR="00F41E6E" w:rsidRPr="00B37250">
        <w:rPr>
          <w:lang w:eastAsia="en-US"/>
        </w:rPr>
        <w:t xml:space="preserve"> </w:t>
      </w:r>
      <w:r w:rsidRPr="00B37250">
        <w:rPr>
          <w:lang w:eastAsia="en-US"/>
        </w:rPr>
        <w:t>duties</w:t>
      </w:r>
      <w:r w:rsidR="00806FA7">
        <w:rPr>
          <w:lang w:eastAsia="en-US"/>
        </w:rPr>
        <w:t>,</w:t>
      </w:r>
      <w:r w:rsidRPr="00B37250">
        <w:rPr>
          <w:lang w:eastAsia="en-US"/>
        </w:rPr>
        <w:t xml:space="preserve"> as described in the </w:t>
      </w:r>
      <w:r w:rsidR="00806FA7">
        <w:rPr>
          <w:lang w:eastAsia="en-US"/>
        </w:rPr>
        <w:t>t</w:t>
      </w:r>
      <w:r w:rsidRPr="00B37250">
        <w:rPr>
          <w:lang w:eastAsia="en-US"/>
        </w:rPr>
        <w:t xml:space="preserve">erms of </w:t>
      </w:r>
      <w:r w:rsidR="00806FA7">
        <w:rPr>
          <w:lang w:eastAsia="en-US"/>
        </w:rPr>
        <w:t>r</w:t>
      </w:r>
      <w:r w:rsidRPr="00B37250">
        <w:rPr>
          <w:lang w:eastAsia="en-US"/>
        </w:rPr>
        <w:t>eference.</w:t>
      </w:r>
    </w:p>
    <w:p w14:paraId="617F24F5" w14:textId="3350FF83" w:rsidR="00B60348" w:rsidRPr="00B37250" w:rsidRDefault="00B60348" w:rsidP="000F7B8E">
      <w:pPr>
        <w:pStyle w:val="Heading2"/>
        <w:rPr>
          <w:lang w:eastAsia="en-US"/>
        </w:rPr>
      </w:pPr>
      <w:r w:rsidRPr="00B37250">
        <w:rPr>
          <w:lang w:eastAsia="en-US"/>
        </w:rPr>
        <w:t>C</w:t>
      </w:r>
      <w:r w:rsidR="000F7B8E">
        <w:rPr>
          <w:lang w:eastAsia="en-US"/>
        </w:rPr>
        <w:t>onflict of interest</w:t>
      </w:r>
    </w:p>
    <w:p w14:paraId="65B9A2F8" w14:textId="26CF4FCC" w:rsidR="00B60348" w:rsidRPr="00B37250" w:rsidRDefault="00E07253" w:rsidP="000F7B8E">
      <w:pPr>
        <w:pStyle w:val="SCVbodyafterheading"/>
        <w:rPr>
          <w:lang w:eastAsia="en-US"/>
        </w:rPr>
      </w:pPr>
      <w:r>
        <w:rPr>
          <w:lang w:eastAsia="en-US"/>
        </w:rPr>
        <w:t>Continuing</w:t>
      </w:r>
      <w:r w:rsidR="00F81043">
        <w:rPr>
          <w:lang w:eastAsia="en-US"/>
        </w:rPr>
        <w:t xml:space="preserve"> Care </w:t>
      </w:r>
      <w:r w:rsidR="00F26127">
        <w:rPr>
          <w:lang w:eastAsia="en-US"/>
        </w:rPr>
        <w:t>L</w:t>
      </w:r>
      <w:r w:rsidR="00A42186">
        <w:rPr>
          <w:lang w:eastAsia="en-US"/>
        </w:rPr>
        <w:t>HN</w:t>
      </w:r>
      <w:r w:rsidR="00F26127">
        <w:rPr>
          <w:lang w:eastAsia="en-US"/>
        </w:rPr>
        <w:t xml:space="preserve"> Advisory Groups </w:t>
      </w:r>
      <w:r w:rsidR="00B60348" w:rsidRPr="00B37250">
        <w:rPr>
          <w:lang w:eastAsia="en-US"/>
        </w:rPr>
        <w:t>members must declare any potential personal, professional, or work-related conflict of interest:</w:t>
      </w:r>
    </w:p>
    <w:p w14:paraId="1DADE760" w14:textId="10CF154D" w:rsidR="00B60348" w:rsidRPr="00B37250" w:rsidRDefault="00B60348" w:rsidP="000F7B8E">
      <w:pPr>
        <w:pStyle w:val="SCVbullet1"/>
        <w:rPr>
          <w:lang w:eastAsia="en-US"/>
        </w:rPr>
      </w:pPr>
      <w:r w:rsidRPr="00B37250">
        <w:rPr>
          <w:lang w:eastAsia="en-US"/>
        </w:rPr>
        <w:t xml:space="preserve">on commencing involvement with </w:t>
      </w:r>
      <w:r w:rsidR="00F26127">
        <w:rPr>
          <w:lang w:eastAsia="en-US"/>
        </w:rPr>
        <w:t>L</w:t>
      </w:r>
      <w:r w:rsidR="00A42186">
        <w:rPr>
          <w:lang w:eastAsia="en-US"/>
        </w:rPr>
        <w:t>HN</w:t>
      </w:r>
      <w:r w:rsidR="00F26127">
        <w:rPr>
          <w:lang w:eastAsia="en-US"/>
        </w:rPr>
        <w:t xml:space="preserve"> Advisory Groups, </w:t>
      </w:r>
      <w:r w:rsidRPr="00B37250">
        <w:rPr>
          <w:lang w:eastAsia="en-US"/>
        </w:rPr>
        <w:t xml:space="preserve">as applicable </w:t>
      </w:r>
    </w:p>
    <w:p w14:paraId="33921B34" w14:textId="0D24F12F" w:rsidR="00B60348" w:rsidRPr="00B37250" w:rsidRDefault="00B60348" w:rsidP="000F7B8E">
      <w:pPr>
        <w:pStyle w:val="SCVbullet1"/>
        <w:rPr>
          <w:lang w:eastAsia="en-US"/>
        </w:rPr>
      </w:pPr>
      <w:r w:rsidRPr="00B37250">
        <w:rPr>
          <w:lang w:eastAsia="en-US"/>
        </w:rPr>
        <w:t>where a matter giving rise to a potential conflict of interest is to be tabled, prior to the commencement of th</w:t>
      </w:r>
      <w:r w:rsidR="00080E96">
        <w:rPr>
          <w:lang w:eastAsia="en-US"/>
        </w:rPr>
        <w:t>e</w:t>
      </w:r>
      <w:r w:rsidR="00E74C4C">
        <w:rPr>
          <w:lang w:eastAsia="en-US"/>
        </w:rPr>
        <w:t xml:space="preserve"> </w:t>
      </w:r>
      <w:r w:rsidR="00A42186">
        <w:rPr>
          <w:lang w:eastAsia="en-US"/>
        </w:rPr>
        <w:t xml:space="preserve">LHN </w:t>
      </w:r>
      <w:r w:rsidR="00C27121">
        <w:rPr>
          <w:lang w:eastAsia="en-US"/>
        </w:rPr>
        <w:t>Advisory Group</w:t>
      </w:r>
      <w:r w:rsidRPr="00B37250">
        <w:rPr>
          <w:lang w:eastAsia="en-US"/>
        </w:rPr>
        <w:t xml:space="preserve"> meeting</w:t>
      </w:r>
      <w:r w:rsidR="00297175">
        <w:rPr>
          <w:lang w:eastAsia="en-US"/>
        </w:rPr>
        <w:t xml:space="preserve"> or expert working groups</w:t>
      </w:r>
    </w:p>
    <w:p w14:paraId="072A5EC1" w14:textId="4C2A8E65" w:rsidR="00B60348" w:rsidRPr="00B37250" w:rsidRDefault="00B60348" w:rsidP="000F7B8E">
      <w:pPr>
        <w:pStyle w:val="SCVbullet1"/>
        <w:rPr>
          <w:lang w:eastAsia="en-US"/>
        </w:rPr>
      </w:pPr>
      <w:r w:rsidRPr="00B37250">
        <w:rPr>
          <w:lang w:eastAsia="en-US"/>
        </w:rPr>
        <w:t xml:space="preserve">where a matter giving rise to a potential conflict of interest is raised </w:t>
      </w:r>
      <w:r w:rsidR="006A56A0">
        <w:rPr>
          <w:lang w:eastAsia="en-US"/>
        </w:rPr>
        <w:t>within</w:t>
      </w:r>
      <w:r w:rsidRPr="00B37250">
        <w:rPr>
          <w:lang w:eastAsia="en-US"/>
        </w:rPr>
        <w:t xml:space="preserve"> </w:t>
      </w:r>
      <w:r w:rsidR="00084632">
        <w:rPr>
          <w:lang w:eastAsia="en-US"/>
        </w:rPr>
        <w:t xml:space="preserve">the </w:t>
      </w:r>
      <w:r w:rsidR="00A42186">
        <w:rPr>
          <w:lang w:eastAsia="en-US"/>
        </w:rPr>
        <w:t xml:space="preserve">LHN </w:t>
      </w:r>
      <w:r w:rsidR="00B2756B">
        <w:rPr>
          <w:lang w:eastAsia="en-US"/>
        </w:rPr>
        <w:t xml:space="preserve">Advisory Group </w:t>
      </w:r>
      <w:r w:rsidRPr="00B37250">
        <w:rPr>
          <w:lang w:eastAsia="en-US"/>
        </w:rPr>
        <w:t xml:space="preserve">as soon as practicable during the </w:t>
      </w:r>
      <w:r w:rsidR="00A42186">
        <w:rPr>
          <w:lang w:eastAsia="en-US"/>
        </w:rPr>
        <w:t xml:space="preserve">LHN </w:t>
      </w:r>
      <w:r w:rsidR="00114C66">
        <w:rPr>
          <w:lang w:eastAsia="en-US"/>
        </w:rPr>
        <w:t>A</w:t>
      </w:r>
      <w:r w:rsidR="00E74C4C">
        <w:rPr>
          <w:lang w:eastAsia="en-US"/>
        </w:rPr>
        <w:t xml:space="preserve">dvisory </w:t>
      </w:r>
      <w:r w:rsidR="00114C66">
        <w:rPr>
          <w:lang w:eastAsia="en-US"/>
        </w:rPr>
        <w:t>G</w:t>
      </w:r>
      <w:r w:rsidR="00E74C4C">
        <w:rPr>
          <w:lang w:eastAsia="en-US"/>
        </w:rPr>
        <w:t xml:space="preserve">roup </w:t>
      </w:r>
      <w:r w:rsidRPr="00B37250">
        <w:rPr>
          <w:lang w:eastAsia="en-US"/>
        </w:rPr>
        <w:t xml:space="preserve">meeting. </w:t>
      </w:r>
    </w:p>
    <w:p w14:paraId="7F81C2D0" w14:textId="76A6B2A0" w:rsidR="00B60348" w:rsidRPr="00B37250" w:rsidRDefault="00B60348" w:rsidP="000F7B8E">
      <w:pPr>
        <w:pStyle w:val="SCVbody"/>
        <w:rPr>
          <w:lang w:eastAsia="en-US"/>
        </w:rPr>
      </w:pPr>
      <w:r w:rsidRPr="00B37250">
        <w:rPr>
          <w:lang w:eastAsia="en-US"/>
        </w:rPr>
        <w:t xml:space="preserve">A </w:t>
      </w:r>
      <w:r w:rsidRPr="000F7B8E">
        <w:t>conflict</w:t>
      </w:r>
      <w:r w:rsidRPr="00B37250">
        <w:rPr>
          <w:lang w:eastAsia="en-US"/>
        </w:rPr>
        <w:t xml:space="preserve"> of interest may include</w:t>
      </w:r>
      <w:r w:rsidR="00806FA7">
        <w:rPr>
          <w:lang w:eastAsia="en-US"/>
        </w:rPr>
        <w:t>,</w:t>
      </w:r>
      <w:r w:rsidRPr="00B37250">
        <w:rPr>
          <w:lang w:eastAsia="en-US"/>
        </w:rPr>
        <w:t xml:space="preserve"> for example, where there may be possible financial </w:t>
      </w:r>
      <w:r w:rsidRPr="39B97011">
        <w:rPr>
          <w:lang w:eastAsia="en-US"/>
        </w:rPr>
        <w:t>or professional gain</w:t>
      </w:r>
      <w:r w:rsidRPr="00B37250">
        <w:rPr>
          <w:lang w:eastAsia="en-US"/>
        </w:rPr>
        <w:t xml:space="preserve"> for the member or their employing organisation through knowledge, decisions or information obtained as </w:t>
      </w:r>
      <w:r w:rsidR="00250676" w:rsidRPr="00B37250">
        <w:rPr>
          <w:lang w:eastAsia="en-US"/>
        </w:rPr>
        <w:t>an</w:t>
      </w:r>
      <w:r w:rsidR="00A42186">
        <w:rPr>
          <w:lang w:eastAsia="en-US"/>
        </w:rPr>
        <w:t xml:space="preserve"> LHN</w:t>
      </w:r>
      <w:r w:rsidRPr="00B37250">
        <w:rPr>
          <w:lang w:eastAsia="en-US"/>
        </w:rPr>
        <w:t xml:space="preserve"> </w:t>
      </w:r>
      <w:r w:rsidR="00250676">
        <w:rPr>
          <w:lang w:eastAsia="en-US"/>
        </w:rPr>
        <w:t>A</w:t>
      </w:r>
      <w:r w:rsidR="00684E3D">
        <w:rPr>
          <w:lang w:eastAsia="en-US"/>
        </w:rPr>
        <w:t xml:space="preserve">dvisory </w:t>
      </w:r>
      <w:r w:rsidR="00250676">
        <w:rPr>
          <w:lang w:eastAsia="en-US"/>
        </w:rPr>
        <w:t>G</w:t>
      </w:r>
      <w:r w:rsidR="00684E3D">
        <w:rPr>
          <w:lang w:eastAsia="en-US"/>
        </w:rPr>
        <w:t>roup</w:t>
      </w:r>
      <w:r w:rsidRPr="00B37250">
        <w:rPr>
          <w:lang w:eastAsia="en-US"/>
        </w:rPr>
        <w:t xml:space="preserve"> member of the </w:t>
      </w:r>
      <w:r w:rsidR="00F26127">
        <w:rPr>
          <w:lang w:eastAsia="en-US"/>
        </w:rPr>
        <w:t>L</w:t>
      </w:r>
      <w:r w:rsidR="00A42186">
        <w:rPr>
          <w:lang w:eastAsia="en-US"/>
        </w:rPr>
        <w:t>HN</w:t>
      </w:r>
      <w:r w:rsidR="00F26127">
        <w:rPr>
          <w:lang w:eastAsia="en-US"/>
        </w:rPr>
        <w:t xml:space="preserve"> Advisory Groups</w:t>
      </w:r>
      <w:r>
        <w:rPr>
          <w:lang w:eastAsia="en-US"/>
        </w:rPr>
        <w:t>.</w:t>
      </w:r>
    </w:p>
    <w:p w14:paraId="301BA850" w14:textId="3EE01B9C" w:rsidR="00B60348" w:rsidRDefault="00B60348" w:rsidP="000F7B8E">
      <w:pPr>
        <w:pStyle w:val="SCVbody"/>
        <w:rPr>
          <w:lang w:eastAsia="en-US"/>
        </w:rPr>
      </w:pPr>
      <w:r w:rsidRPr="51AF19D6">
        <w:rPr>
          <w:lang w:eastAsia="en-US"/>
        </w:rPr>
        <w:t xml:space="preserve">In the event </w:t>
      </w:r>
      <w:r w:rsidR="35083483" w:rsidRPr="099414C9">
        <w:rPr>
          <w:lang w:eastAsia="en-US"/>
        </w:rPr>
        <w:t>a</w:t>
      </w:r>
      <w:r w:rsidR="00F81043" w:rsidRPr="51AF19D6">
        <w:rPr>
          <w:lang w:eastAsia="en-US"/>
        </w:rPr>
        <w:t xml:space="preserve"> </w:t>
      </w:r>
      <w:r w:rsidR="00E07253">
        <w:rPr>
          <w:lang w:eastAsia="en-US"/>
        </w:rPr>
        <w:t>Continuing</w:t>
      </w:r>
      <w:r w:rsidR="00F81043" w:rsidRPr="51AF19D6">
        <w:rPr>
          <w:lang w:eastAsia="en-US"/>
        </w:rPr>
        <w:t xml:space="preserve"> Care</w:t>
      </w:r>
      <w:r w:rsidRPr="51AF19D6">
        <w:rPr>
          <w:lang w:eastAsia="en-US"/>
        </w:rPr>
        <w:t xml:space="preserve"> </w:t>
      </w:r>
      <w:r w:rsidR="00A42186" w:rsidRPr="51AF19D6">
        <w:rPr>
          <w:lang w:eastAsia="en-US"/>
        </w:rPr>
        <w:t xml:space="preserve">LHN </w:t>
      </w:r>
      <w:r w:rsidR="004C1317" w:rsidRPr="51AF19D6">
        <w:rPr>
          <w:lang w:eastAsia="en-US"/>
        </w:rPr>
        <w:t>A</w:t>
      </w:r>
      <w:r w:rsidR="00684E3D" w:rsidRPr="51AF19D6">
        <w:rPr>
          <w:lang w:eastAsia="en-US"/>
        </w:rPr>
        <w:t xml:space="preserve">dvisory </w:t>
      </w:r>
      <w:r w:rsidR="004C1317" w:rsidRPr="51AF19D6">
        <w:rPr>
          <w:lang w:eastAsia="en-US"/>
        </w:rPr>
        <w:t>G</w:t>
      </w:r>
      <w:r w:rsidR="00684E3D" w:rsidRPr="51AF19D6">
        <w:rPr>
          <w:lang w:eastAsia="en-US"/>
        </w:rPr>
        <w:t>roup</w:t>
      </w:r>
      <w:r w:rsidRPr="51AF19D6">
        <w:rPr>
          <w:lang w:eastAsia="en-US"/>
        </w:rPr>
        <w:t xml:space="preserve"> member has declared a potential conflict of interest, and it is accepted as a conflict by the </w:t>
      </w:r>
      <w:r w:rsidR="003C1B48" w:rsidRPr="51AF19D6">
        <w:rPr>
          <w:lang w:eastAsia="en-US"/>
        </w:rPr>
        <w:t>Co-</w:t>
      </w:r>
      <w:r w:rsidR="00DF1B9C" w:rsidRPr="51AF19D6">
        <w:rPr>
          <w:lang w:eastAsia="en-US"/>
        </w:rPr>
        <w:t>C</w:t>
      </w:r>
      <w:r w:rsidRPr="51AF19D6">
        <w:rPr>
          <w:lang w:eastAsia="en-US"/>
        </w:rPr>
        <w:t>hair</w:t>
      </w:r>
      <w:r w:rsidR="003C1B48" w:rsidRPr="51AF19D6">
        <w:rPr>
          <w:lang w:eastAsia="en-US"/>
        </w:rPr>
        <w:t>s</w:t>
      </w:r>
      <w:r w:rsidRPr="51AF19D6">
        <w:rPr>
          <w:lang w:eastAsia="en-US"/>
        </w:rPr>
        <w:t xml:space="preserve">, the </w:t>
      </w:r>
      <w:r w:rsidR="00A42186" w:rsidRPr="51AF19D6">
        <w:rPr>
          <w:lang w:eastAsia="en-US"/>
        </w:rPr>
        <w:t xml:space="preserve">LHN </w:t>
      </w:r>
      <w:r w:rsidR="00E46AA7" w:rsidRPr="51AF19D6">
        <w:rPr>
          <w:lang w:eastAsia="en-US"/>
        </w:rPr>
        <w:t>Advisory Group</w:t>
      </w:r>
      <w:r w:rsidRPr="51AF19D6">
        <w:rPr>
          <w:lang w:eastAsia="en-US"/>
        </w:rPr>
        <w:t xml:space="preserve"> member must comply with the identified method of addressing</w:t>
      </w:r>
      <w:r w:rsidR="4D466279" w:rsidRPr="51AF19D6">
        <w:rPr>
          <w:lang w:eastAsia="en-US"/>
        </w:rPr>
        <w:t xml:space="preserve"> </w:t>
      </w:r>
      <w:r w:rsidRPr="51AF19D6">
        <w:rPr>
          <w:lang w:eastAsia="en-US"/>
        </w:rPr>
        <w:t>the conflict of interest (</w:t>
      </w:r>
      <w:r w:rsidR="00806FA7" w:rsidRPr="51AF19D6">
        <w:rPr>
          <w:lang w:eastAsia="en-US"/>
        </w:rPr>
        <w:t>f</w:t>
      </w:r>
      <w:r w:rsidRPr="51AF19D6">
        <w:rPr>
          <w:lang w:eastAsia="en-US"/>
        </w:rPr>
        <w:t>or example, by removing themself from the meeting for the duration of any discussion regarding the matter giving rise to the conflict of interest). Any declared conflict of interest will be recorded in the minutes/action log of the meeting.</w:t>
      </w:r>
    </w:p>
    <w:p w14:paraId="3014DD8E" w14:textId="77777777" w:rsidR="00B60348" w:rsidRPr="00B37250" w:rsidRDefault="00B60348" w:rsidP="00B60348">
      <w:pPr>
        <w:pStyle w:val="SCVbody"/>
        <w:rPr>
          <w:lang w:eastAsia="en-US"/>
        </w:rPr>
      </w:pPr>
    </w:p>
    <w:p w14:paraId="2B8457EB" w14:textId="53C85B1E" w:rsidR="00B60348" w:rsidRDefault="00B60348" w:rsidP="00B60348">
      <w:pPr>
        <w:pStyle w:val="SCVbody"/>
        <w:rPr>
          <w:lang w:eastAsia="en-US"/>
        </w:rPr>
      </w:pPr>
      <w:r w:rsidRPr="00B37250">
        <w:rPr>
          <w:lang w:eastAsia="en-US"/>
        </w:rPr>
        <w:t xml:space="preserve">I </w:t>
      </w:r>
      <w:r>
        <w:rPr>
          <w:lang w:eastAsia="en-US"/>
        </w:rPr>
        <w:t xml:space="preserve">______________________________________ </w:t>
      </w:r>
      <w:r w:rsidRPr="00B37250">
        <w:rPr>
          <w:lang w:eastAsia="en-US"/>
        </w:rPr>
        <w:t>agree to disclose any potential conflict/s of interest and comply with the identified methods of addressing the conflict/s of interest as described above.</w:t>
      </w:r>
    </w:p>
    <w:p w14:paraId="485C61E5" w14:textId="27646847" w:rsidR="00376D5D" w:rsidRDefault="00376D5D" w:rsidP="00B60348">
      <w:pPr>
        <w:pStyle w:val="SCVbody"/>
        <w:rPr>
          <w:lang w:eastAsia="en-US"/>
        </w:rPr>
      </w:pPr>
    </w:p>
    <w:p w14:paraId="52012DA7" w14:textId="77777777" w:rsidR="00376D5D" w:rsidRPr="00B37250" w:rsidRDefault="00376D5D" w:rsidP="00B60348">
      <w:pPr>
        <w:pStyle w:val="SCVbody"/>
        <w:rPr>
          <w:lang w:eastAsia="en-US"/>
        </w:rPr>
      </w:pPr>
    </w:p>
    <w:p w14:paraId="0F2DA937" w14:textId="3A96AA06" w:rsidR="00B60348" w:rsidRDefault="00B60348" w:rsidP="00B60348">
      <w:pPr>
        <w:pStyle w:val="SCVbody"/>
        <w:rPr>
          <w:rFonts w:ascii="Arial" w:hAnsi="Arial"/>
          <w:lang w:eastAsia="en-US"/>
        </w:rPr>
      </w:pPr>
      <w:r>
        <w:rPr>
          <w:rFonts w:ascii="Arial" w:hAnsi="Arial"/>
          <w:lang w:eastAsia="en-US"/>
        </w:rPr>
        <w:t>Signed: __________________________________________</w:t>
      </w:r>
    </w:p>
    <w:p w14:paraId="2A00F8E0" w14:textId="77777777" w:rsidR="00376D5D" w:rsidRDefault="00B60348" w:rsidP="00B60348">
      <w:pPr>
        <w:pStyle w:val="SCVbody"/>
        <w:rPr>
          <w:rFonts w:ascii="Arial" w:hAnsi="Arial"/>
          <w:lang w:eastAsia="en-US"/>
        </w:rPr>
      </w:pPr>
      <w:r w:rsidRPr="00B37250">
        <w:rPr>
          <w:rFonts w:ascii="Arial" w:hAnsi="Arial"/>
          <w:lang w:eastAsia="en-US"/>
        </w:rPr>
        <w:t>Date</w:t>
      </w:r>
      <w:r>
        <w:rPr>
          <w:rFonts w:ascii="Arial" w:hAnsi="Arial"/>
          <w:lang w:eastAsia="en-US"/>
        </w:rPr>
        <w:t>:</w:t>
      </w:r>
    </w:p>
    <w:p w14:paraId="463AC7A5" w14:textId="3DAF5777" w:rsidR="004D6670" w:rsidRPr="004D6670" w:rsidRDefault="00B60348" w:rsidP="00B60348">
      <w:pPr>
        <w:pStyle w:val="SCVbody"/>
      </w:pPr>
      <w:r>
        <w:rPr>
          <w:rFonts w:ascii="Arial" w:hAnsi="Arial"/>
          <w:lang w:eastAsia="en-US"/>
        </w:rPr>
        <w:t xml:space="preserve"> </w:t>
      </w:r>
    </w:p>
    <w:sectPr w:rsidR="004D6670" w:rsidRPr="004D6670" w:rsidSect="00A12C55">
      <w:headerReference w:type="even" r:id="rId15"/>
      <w:headerReference w:type="default" r:id="rId16"/>
      <w:headerReference w:type="first" r:id="rId17"/>
      <w:pgSz w:w="11906" w:h="16838" w:code="9"/>
      <w:pgMar w:top="2438" w:right="737" w:bottom="1361" w:left="737" w:header="851" w:footer="851"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9E32" w14:textId="77777777" w:rsidR="00820EE6" w:rsidRDefault="00820EE6" w:rsidP="002D711A">
      <w:pPr>
        <w:spacing w:after="0" w:line="240" w:lineRule="auto"/>
      </w:pPr>
      <w:r>
        <w:separator/>
      </w:r>
    </w:p>
  </w:endnote>
  <w:endnote w:type="continuationSeparator" w:id="0">
    <w:p w14:paraId="6A73F7D3" w14:textId="77777777" w:rsidR="00820EE6" w:rsidRDefault="00820EE6" w:rsidP="002D711A">
      <w:pPr>
        <w:spacing w:after="0" w:line="240" w:lineRule="auto"/>
      </w:pPr>
      <w:r>
        <w:continuationSeparator/>
      </w:r>
    </w:p>
  </w:endnote>
  <w:endnote w:type="continuationNotice" w:id="1">
    <w:p w14:paraId="1447C35B" w14:textId="77777777" w:rsidR="00820EE6" w:rsidRDefault="00820EE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altName w:val="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CC67E" w14:textId="77777777" w:rsidR="00820EE6" w:rsidRDefault="00820EE6" w:rsidP="00E33E08">
      <w:pPr>
        <w:spacing w:before="0" w:after="0" w:line="240" w:lineRule="auto"/>
      </w:pPr>
    </w:p>
  </w:footnote>
  <w:footnote w:type="continuationSeparator" w:id="0">
    <w:p w14:paraId="5EF468C1" w14:textId="77777777" w:rsidR="00820EE6" w:rsidRDefault="00820EE6" w:rsidP="00E33E08">
      <w:pPr>
        <w:spacing w:before="0" w:after="0" w:line="240" w:lineRule="auto"/>
      </w:pPr>
    </w:p>
  </w:footnote>
  <w:footnote w:type="continuationNotice" w:id="1">
    <w:p w14:paraId="46A7F484" w14:textId="77777777" w:rsidR="00820EE6" w:rsidRDefault="00820EE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18019" w14:textId="156FB336" w:rsidR="00992D63" w:rsidRDefault="00992D63" w:rsidP="00B1051C">
    <w:pPr>
      <w:pStyle w:val="SCVfooterempty"/>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7B87" w14:textId="793AD889" w:rsidR="00992D63" w:rsidRDefault="00992D63" w:rsidP="00C15DBE">
    <w:pPr>
      <w:pStyle w:val="SCV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FF1C" w14:textId="44D0B2FF" w:rsidR="00992D63" w:rsidRDefault="0099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3AB"/>
    <w:multiLevelType w:val="hybridMultilevel"/>
    <w:tmpl w:val="ED6E3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5F61A1"/>
    <w:multiLevelType w:val="hybridMultilevel"/>
    <w:tmpl w:val="49EC330C"/>
    <w:lvl w:ilvl="0" w:tplc="3F0AD43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E0488"/>
    <w:multiLevelType w:val="hybridMultilevel"/>
    <w:tmpl w:val="178EF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37618"/>
    <w:multiLevelType w:val="multilevel"/>
    <w:tmpl w:val="9A6800CA"/>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30296D"/>
    <w:multiLevelType w:val="hybridMultilevel"/>
    <w:tmpl w:val="D8E8E0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0ED24225"/>
    <w:multiLevelType w:val="hybridMultilevel"/>
    <w:tmpl w:val="A61054D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6" w15:restartNumberingAfterBreak="0">
    <w:nsid w:val="123C48C0"/>
    <w:multiLevelType w:val="hybridMultilevel"/>
    <w:tmpl w:val="69C2D2B4"/>
    <w:numStyleLink w:val="ZZBullets"/>
  </w:abstractNum>
  <w:abstractNum w:abstractNumId="7" w15:restartNumberingAfterBreak="0">
    <w:nsid w:val="1A183CC2"/>
    <w:multiLevelType w:val="hybridMultilevel"/>
    <w:tmpl w:val="449095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B7B64C0"/>
    <w:multiLevelType w:val="hybridMultilevel"/>
    <w:tmpl w:val="B96621C2"/>
    <w:styleLink w:val="ZZBulletsafternumbers"/>
    <w:lvl w:ilvl="0" w:tplc="1DA8FAE4">
      <w:start w:val="1"/>
      <w:numFmt w:val="bullet"/>
      <w:pStyle w:val="SCVpulloutbullet"/>
      <w:lvlText w:val="•"/>
      <w:lvlJc w:val="left"/>
      <w:pPr>
        <w:ind w:left="284" w:hanging="284"/>
      </w:pPr>
      <w:rPr>
        <w:rFonts w:ascii="Calibri" w:hAnsi="Calibri" w:hint="default"/>
        <w:color w:val="007586" w:themeColor="text2"/>
      </w:rPr>
    </w:lvl>
    <w:lvl w:ilvl="1" w:tplc="85C2DA5A">
      <w:start w:val="1"/>
      <w:numFmt w:val="none"/>
      <w:lvlRestart w:val="0"/>
      <w:lvlText w:val=""/>
      <w:lvlJc w:val="left"/>
      <w:pPr>
        <w:ind w:left="0" w:firstLine="0"/>
      </w:pPr>
      <w:rPr>
        <w:rFonts w:hint="default"/>
      </w:rPr>
    </w:lvl>
    <w:lvl w:ilvl="2" w:tplc="46E8C2CC">
      <w:start w:val="1"/>
      <w:numFmt w:val="none"/>
      <w:lvlRestart w:val="0"/>
      <w:lvlText w:val=""/>
      <w:lvlJc w:val="left"/>
      <w:pPr>
        <w:ind w:left="0" w:firstLine="0"/>
      </w:pPr>
      <w:rPr>
        <w:rFonts w:hint="default"/>
      </w:rPr>
    </w:lvl>
    <w:lvl w:ilvl="3" w:tplc="9AD69402">
      <w:start w:val="1"/>
      <w:numFmt w:val="none"/>
      <w:lvlRestart w:val="0"/>
      <w:lvlText w:val=""/>
      <w:lvlJc w:val="left"/>
      <w:pPr>
        <w:ind w:left="0" w:firstLine="0"/>
      </w:pPr>
      <w:rPr>
        <w:rFonts w:hint="default"/>
      </w:rPr>
    </w:lvl>
    <w:lvl w:ilvl="4" w:tplc="94F88F10">
      <w:start w:val="1"/>
      <w:numFmt w:val="none"/>
      <w:lvlRestart w:val="0"/>
      <w:lvlText w:val=""/>
      <w:lvlJc w:val="left"/>
      <w:pPr>
        <w:ind w:left="0" w:firstLine="0"/>
      </w:pPr>
      <w:rPr>
        <w:rFonts w:hint="default"/>
      </w:rPr>
    </w:lvl>
    <w:lvl w:ilvl="5" w:tplc="C2F8513E">
      <w:start w:val="1"/>
      <w:numFmt w:val="none"/>
      <w:lvlRestart w:val="0"/>
      <w:lvlText w:val=""/>
      <w:lvlJc w:val="left"/>
      <w:pPr>
        <w:ind w:left="0" w:firstLine="0"/>
      </w:pPr>
      <w:rPr>
        <w:rFonts w:hint="default"/>
      </w:rPr>
    </w:lvl>
    <w:lvl w:ilvl="6" w:tplc="4DC019F8">
      <w:start w:val="1"/>
      <w:numFmt w:val="none"/>
      <w:lvlRestart w:val="0"/>
      <w:lvlText w:val=""/>
      <w:lvlJc w:val="left"/>
      <w:pPr>
        <w:ind w:left="0" w:firstLine="0"/>
      </w:pPr>
      <w:rPr>
        <w:rFonts w:hint="default"/>
      </w:rPr>
    </w:lvl>
    <w:lvl w:ilvl="7" w:tplc="9C0CFDDC">
      <w:start w:val="1"/>
      <w:numFmt w:val="none"/>
      <w:lvlRestart w:val="0"/>
      <w:lvlText w:val=""/>
      <w:lvlJc w:val="left"/>
      <w:pPr>
        <w:ind w:left="0" w:firstLine="0"/>
      </w:pPr>
      <w:rPr>
        <w:rFonts w:hint="default"/>
      </w:rPr>
    </w:lvl>
    <w:lvl w:ilvl="8" w:tplc="9000C762">
      <w:start w:val="1"/>
      <w:numFmt w:val="none"/>
      <w:lvlRestart w:val="0"/>
      <w:lvlText w:val=""/>
      <w:lvlJc w:val="left"/>
      <w:pPr>
        <w:ind w:left="0" w:firstLine="0"/>
      </w:pPr>
      <w:rPr>
        <w:rFonts w:hint="default"/>
      </w:rPr>
    </w:lvl>
  </w:abstractNum>
  <w:abstractNum w:abstractNumId="9" w15:restartNumberingAfterBreak="0">
    <w:nsid w:val="247140C2"/>
    <w:multiLevelType w:val="hybridMultilevel"/>
    <w:tmpl w:val="75F0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B85D58"/>
    <w:multiLevelType w:val="hybridMultilevel"/>
    <w:tmpl w:val="83C8131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2CA042F6"/>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ascii="Calibri" w:hAnsi="Calibri" w:hint="default"/>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2" w15:restartNumberingAfterBreak="0">
    <w:nsid w:val="2DAC678F"/>
    <w:multiLevelType w:val="hybridMultilevel"/>
    <w:tmpl w:val="3DFC5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3615B0"/>
    <w:multiLevelType w:val="multilevel"/>
    <w:tmpl w:val="1340D7F0"/>
    <w:name w:val="List num2"/>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4" w15:restartNumberingAfterBreak="0">
    <w:nsid w:val="393A12AA"/>
    <w:multiLevelType w:val="hybridMultilevel"/>
    <w:tmpl w:val="B0600938"/>
    <w:lvl w:ilvl="0" w:tplc="E418127A">
      <w:start w:val="1"/>
      <w:numFmt w:val="bullet"/>
      <w:pStyle w:val="Bullet1"/>
      <w:lvlText w:val=""/>
      <w:lvlJc w:val="left"/>
      <w:pPr>
        <w:ind w:left="284" w:hanging="284"/>
      </w:pPr>
      <w:rPr>
        <w:rFonts w:ascii="Wingdings 2" w:hAnsi="Wingdings 2" w:hint="default"/>
        <w:color w:val="4D92C0"/>
        <w:position w:val="2"/>
        <w:sz w:val="16"/>
      </w:rPr>
    </w:lvl>
    <w:lvl w:ilvl="1" w:tplc="1396E912">
      <w:start w:val="1"/>
      <w:numFmt w:val="bullet"/>
      <w:pStyle w:val="Bullet2"/>
      <w:lvlText w:val="–"/>
      <w:lvlJc w:val="left"/>
      <w:pPr>
        <w:ind w:left="568" w:hanging="284"/>
      </w:pPr>
      <w:rPr>
        <w:rFonts w:ascii="Arial Black" w:hAnsi="Arial Black" w:hint="default"/>
      </w:rPr>
    </w:lvl>
    <w:lvl w:ilvl="2" w:tplc="1A3CB2EE">
      <w:start w:val="1"/>
      <w:numFmt w:val="bullet"/>
      <w:lvlText w:val=""/>
      <w:lvlJc w:val="left"/>
      <w:pPr>
        <w:ind w:left="852" w:hanging="284"/>
      </w:pPr>
      <w:rPr>
        <w:rFonts w:ascii="Wingdings" w:hAnsi="Wingdings" w:hint="default"/>
      </w:rPr>
    </w:lvl>
    <w:lvl w:ilvl="3" w:tplc="021A0C4A">
      <w:start w:val="1"/>
      <w:numFmt w:val="bullet"/>
      <w:lvlText w:val=""/>
      <w:lvlJc w:val="left"/>
      <w:pPr>
        <w:ind w:left="1136" w:hanging="284"/>
      </w:pPr>
      <w:rPr>
        <w:rFonts w:ascii="Symbol" w:hAnsi="Symbol" w:hint="default"/>
      </w:rPr>
    </w:lvl>
    <w:lvl w:ilvl="4" w:tplc="C0261E3E">
      <w:start w:val="1"/>
      <w:numFmt w:val="bullet"/>
      <w:lvlText w:val="o"/>
      <w:lvlJc w:val="left"/>
      <w:pPr>
        <w:ind w:left="1420" w:hanging="284"/>
      </w:pPr>
      <w:rPr>
        <w:rFonts w:ascii="Courier New" w:hAnsi="Courier New" w:cs="Courier New" w:hint="default"/>
      </w:rPr>
    </w:lvl>
    <w:lvl w:ilvl="5" w:tplc="90663AF0">
      <w:start w:val="1"/>
      <w:numFmt w:val="bullet"/>
      <w:lvlText w:val=""/>
      <w:lvlJc w:val="left"/>
      <w:pPr>
        <w:ind w:left="1704" w:hanging="284"/>
      </w:pPr>
      <w:rPr>
        <w:rFonts w:ascii="Wingdings" w:hAnsi="Wingdings" w:hint="default"/>
      </w:rPr>
    </w:lvl>
    <w:lvl w:ilvl="6" w:tplc="5F38822E">
      <w:start w:val="1"/>
      <w:numFmt w:val="bullet"/>
      <w:lvlText w:val=""/>
      <w:lvlJc w:val="left"/>
      <w:pPr>
        <w:ind w:left="1988" w:hanging="284"/>
      </w:pPr>
      <w:rPr>
        <w:rFonts w:ascii="Symbol" w:hAnsi="Symbol" w:hint="default"/>
      </w:rPr>
    </w:lvl>
    <w:lvl w:ilvl="7" w:tplc="A79449BC">
      <w:start w:val="1"/>
      <w:numFmt w:val="bullet"/>
      <w:lvlText w:val="o"/>
      <w:lvlJc w:val="left"/>
      <w:pPr>
        <w:ind w:left="2272" w:hanging="284"/>
      </w:pPr>
      <w:rPr>
        <w:rFonts w:ascii="Courier New" w:hAnsi="Courier New" w:cs="Courier New" w:hint="default"/>
      </w:rPr>
    </w:lvl>
    <w:lvl w:ilvl="8" w:tplc="1E923672">
      <w:start w:val="1"/>
      <w:numFmt w:val="bullet"/>
      <w:lvlText w:val=""/>
      <w:lvlJc w:val="left"/>
      <w:pPr>
        <w:ind w:left="2556" w:hanging="284"/>
      </w:pPr>
      <w:rPr>
        <w:rFonts w:ascii="Wingdings" w:hAnsi="Wingdings" w:hint="default"/>
      </w:rPr>
    </w:lvl>
  </w:abstractNum>
  <w:abstractNum w:abstractNumId="15" w15:restartNumberingAfterBreak="0">
    <w:nsid w:val="3E6C68D4"/>
    <w:multiLevelType w:val="hybridMultilevel"/>
    <w:tmpl w:val="FCC83088"/>
    <w:lvl w:ilvl="0" w:tplc="C992644E">
      <w:start w:val="1"/>
      <w:numFmt w:val="decimal"/>
      <w:pStyle w:val="SCVnumberdigit"/>
      <w:lvlText w:val="%1."/>
      <w:lvlJc w:val="left"/>
      <w:pPr>
        <w:tabs>
          <w:tab w:val="num" w:pos="397"/>
        </w:tabs>
        <w:ind w:left="397" w:hanging="397"/>
      </w:pPr>
      <w:rPr>
        <w:rFonts w:cs="Times New Roman" w:hint="default"/>
      </w:rPr>
    </w:lvl>
    <w:lvl w:ilvl="1" w:tplc="594A03CC">
      <w:start w:val="1"/>
      <w:numFmt w:val="lowerLetter"/>
      <w:pStyle w:val="SCVnumberloweralphaindent"/>
      <w:lvlText w:val="%2."/>
      <w:lvlJc w:val="left"/>
      <w:pPr>
        <w:tabs>
          <w:tab w:val="num" w:pos="794"/>
        </w:tabs>
        <w:ind w:left="794" w:hanging="397"/>
      </w:pPr>
      <w:rPr>
        <w:rFonts w:cs="Times New Roman" w:hint="default"/>
      </w:rPr>
    </w:lvl>
    <w:lvl w:ilvl="2" w:tplc="28A0E82A">
      <w:start w:val="1"/>
      <w:numFmt w:val="none"/>
      <w:lvlRestart w:val="0"/>
      <w:lvlText w:val=""/>
      <w:lvlJc w:val="left"/>
      <w:pPr>
        <w:ind w:left="0" w:firstLine="0"/>
      </w:pPr>
      <w:rPr>
        <w:rFonts w:hint="default"/>
        <w:color w:val="auto"/>
      </w:rPr>
    </w:lvl>
    <w:lvl w:ilvl="3" w:tplc="44980592">
      <w:start w:val="1"/>
      <w:numFmt w:val="none"/>
      <w:lvlRestart w:val="0"/>
      <w:lvlText w:val=""/>
      <w:lvlJc w:val="left"/>
      <w:pPr>
        <w:ind w:left="0" w:firstLine="0"/>
      </w:pPr>
      <w:rPr>
        <w:rFonts w:hint="default"/>
      </w:rPr>
    </w:lvl>
    <w:lvl w:ilvl="4" w:tplc="0DF8230C">
      <w:start w:val="1"/>
      <w:numFmt w:val="none"/>
      <w:lvlRestart w:val="0"/>
      <w:lvlText w:val=""/>
      <w:lvlJc w:val="left"/>
      <w:pPr>
        <w:ind w:left="0" w:firstLine="0"/>
      </w:pPr>
      <w:rPr>
        <w:rFonts w:cs="Times New Roman" w:hint="default"/>
      </w:rPr>
    </w:lvl>
    <w:lvl w:ilvl="5" w:tplc="CC66EB70">
      <w:start w:val="1"/>
      <w:numFmt w:val="none"/>
      <w:lvlRestart w:val="0"/>
      <w:lvlText w:val=""/>
      <w:lvlJc w:val="left"/>
      <w:pPr>
        <w:tabs>
          <w:tab w:val="num" w:pos="0"/>
        </w:tabs>
        <w:ind w:left="0" w:firstLine="0"/>
      </w:pPr>
      <w:rPr>
        <w:rFonts w:cs="Times New Roman" w:hint="default"/>
      </w:rPr>
    </w:lvl>
    <w:lvl w:ilvl="6" w:tplc="B4D86324">
      <w:start w:val="1"/>
      <w:numFmt w:val="none"/>
      <w:lvlRestart w:val="0"/>
      <w:lvlText w:val=""/>
      <w:lvlJc w:val="left"/>
      <w:pPr>
        <w:ind w:left="0" w:firstLine="0"/>
      </w:pPr>
      <w:rPr>
        <w:rFonts w:cs="Times New Roman" w:hint="default"/>
      </w:rPr>
    </w:lvl>
    <w:lvl w:ilvl="7" w:tplc="F7CCD1D2">
      <w:start w:val="1"/>
      <w:numFmt w:val="none"/>
      <w:lvlRestart w:val="0"/>
      <w:lvlText w:val=""/>
      <w:lvlJc w:val="left"/>
      <w:pPr>
        <w:ind w:left="0" w:firstLine="0"/>
      </w:pPr>
      <w:rPr>
        <w:rFonts w:cs="Times New Roman" w:hint="default"/>
      </w:rPr>
    </w:lvl>
    <w:lvl w:ilvl="8" w:tplc="0A804B8C">
      <w:start w:val="1"/>
      <w:numFmt w:val="none"/>
      <w:lvlRestart w:val="0"/>
      <w:lvlText w:val=""/>
      <w:lvlJc w:val="right"/>
      <w:pPr>
        <w:ind w:left="0" w:firstLine="0"/>
      </w:pPr>
      <w:rPr>
        <w:rFonts w:cs="Times New Roman" w:hint="default"/>
      </w:rPr>
    </w:lvl>
  </w:abstractNum>
  <w:abstractNum w:abstractNumId="16" w15:restartNumberingAfterBreak="0">
    <w:nsid w:val="3EDF333F"/>
    <w:multiLevelType w:val="hybridMultilevel"/>
    <w:tmpl w:val="79A056B0"/>
    <w:lvl w:ilvl="0" w:tplc="3F0AD43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633C97"/>
    <w:multiLevelType w:val="hybridMultilevel"/>
    <w:tmpl w:val="32A667BE"/>
    <w:lvl w:ilvl="0" w:tplc="8B8AA3F8">
      <w:start w:val="1"/>
      <w:numFmt w:val="none"/>
      <w:lvlText w:val=""/>
      <w:lvlJc w:val="left"/>
      <w:pPr>
        <w:ind w:left="0" w:firstLine="0"/>
      </w:pPr>
      <w:rPr>
        <w:rFonts w:hint="default"/>
      </w:rPr>
    </w:lvl>
    <w:lvl w:ilvl="1" w:tplc="F8BE2C7C">
      <w:start w:val="1"/>
      <w:numFmt w:val="bullet"/>
      <w:lvlRestart w:val="0"/>
      <w:lvlText w:val="•"/>
      <w:lvlJc w:val="left"/>
      <w:pPr>
        <w:ind w:left="794" w:hanging="397"/>
      </w:pPr>
      <w:rPr>
        <w:rFonts w:ascii="Calibri" w:hAnsi="Calibri" w:hint="default"/>
      </w:rPr>
    </w:lvl>
    <w:lvl w:ilvl="2" w:tplc="FB522BA6">
      <w:start w:val="1"/>
      <w:numFmt w:val="none"/>
      <w:lvlRestart w:val="0"/>
      <w:lvlText w:val=""/>
      <w:lvlJc w:val="left"/>
      <w:pPr>
        <w:ind w:left="0" w:firstLine="0"/>
      </w:pPr>
      <w:rPr>
        <w:rFonts w:hint="default"/>
      </w:rPr>
    </w:lvl>
    <w:lvl w:ilvl="3" w:tplc="D0FE1F1A">
      <w:start w:val="1"/>
      <w:numFmt w:val="none"/>
      <w:lvlRestart w:val="0"/>
      <w:lvlText w:val=""/>
      <w:lvlJc w:val="left"/>
      <w:pPr>
        <w:ind w:left="0" w:firstLine="0"/>
      </w:pPr>
      <w:rPr>
        <w:rFonts w:hint="default"/>
      </w:rPr>
    </w:lvl>
    <w:lvl w:ilvl="4" w:tplc="AA4A4806">
      <w:start w:val="1"/>
      <w:numFmt w:val="none"/>
      <w:lvlRestart w:val="0"/>
      <w:lvlText w:val=""/>
      <w:lvlJc w:val="left"/>
      <w:pPr>
        <w:ind w:left="0" w:firstLine="0"/>
      </w:pPr>
      <w:rPr>
        <w:rFonts w:hint="default"/>
      </w:rPr>
    </w:lvl>
    <w:lvl w:ilvl="5" w:tplc="9538159C">
      <w:start w:val="1"/>
      <w:numFmt w:val="none"/>
      <w:lvlRestart w:val="0"/>
      <w:lvlText w:val=""/>
      <w:lvlJc w:val="left"/>
      <w:pPr>
        <w:ind w:left="0" w:firstLine="0"/>
      </w:pPr>
      <w:rPr>
        <w:rFonts w:hint="default"/>
      </w:rPr>
    </w:lvl>
    <w:lvl w:ilvl="6" w:tplc="4CB8B5DA">
      <w:start w:val="1"/>
      <w:numFmt w:val="none"/>
      <w:lvlRestart w:val="0"/>
      <w:lvlText w:val=""/>
      <w:lvlJc w:val="left"/>
      <w:pPr>
        <w:ind w:left="0" w:firstLine="0"/>
      </w:pPr>
      <w:rPr>
        <w:rFonts w:hint="default"/>
      </w:rPr>
    </w:lvl>
    <w:lvl w:ilvl="7" w:tplc="FA76317C">
      <w:start w:val="1"/>
      <w:numFmt w:val="none"/>
      <w:lvlRestart w:val="0"/>
      <w:lvlText w:val=""/>
      <w:lvlJc w:val="left"/>
      <w:pPr>
        <w:ind w:left="0" w:firstLine="0"/>
      </w:pPr>
      <w:rPr>
        <w:rFonts w:hint="default"/>
      </w:rPr>
    </w:lvl>
    <w:lvl w:ilvl="8" w:tplc="BE7AC324">
      <w:start w:val="1"/>
      <w:numFmt w:val="none"/>
      <w:lvlRestart w:val="0"/>
      <w:lvlText w:val=""/>
      <w:lvlJc w:val="left"/>
      <w:pPr>
        <w:ind w:left="0" w:firstLine="0"/>
      </w:pPr>
      <w:rPr>
        <w:rFonts w:hint="default"/>
      </w:rPr>
    </w:lvl>
  </w:abstractNum>
  <w:abstractNum w:abstractNumId="18" w15:restartNumberingAfterBreak="0">
    <w:nsid w:val="4A8513C4"/>
    <w:multiLevelType w:val="hybridMultilevel"/>
    <w:tmpl w:val="1EF4C3C8"/>
    <w:styleLink w:val="ZZTablebullets"/>
    <w:lvl w:ilvl="0" w:tplc="8176E9F4">
      <w:start w:val="1"/>
      <w:numFmt w:val="decimal"/>
      <w:pStyle w:val="SCVtablenumber1"/>
      <w:lvlText w:val="%1."/>
      <w:lvlJc w:val="left"/>
      <w:pPr>
        <w:ind w:left="340" w:hanging="340"/>
      </w:pPr>
      <w:rPr>
        <w:rFonts w:hint="default"/>
      </w:rPr>
    </w:lvl>
    <w:lvl w:ilvl="1" w:tplc="C512C33A">
      <w:start w:val="1"/>
      <w:numFmt w:val="lowerLetter"/>
      <w:pStyle w:val="SCVtablenumber2"/>
      <w:lvlText w:val="(%2)"/>
      <w:lvlJc w:val="left"/>
      <w:pPr>
        <w:tabs>
          <w:tab w:val="num" w:pos="340"/>
        </w:tabs>
        <w:ind w:left="680" w:hanging="340"/>
      </w:pPr>
      <w:rPr>
        <w:rFonts w:hint="default"/>
      </w:rPr>
    </w:lvl>
    <w:lvl w:ilvl="2" w:tplc="35485702">
      <w:start w:val="1"/>
      <w:numFmt w:val="none"/>
      <w:lvlRestart w:val="0"/>
      <w:lvlText w:val=""/>
      <w:lvlJc w:val="left"/>
      <w:pPr>
        <w:ind w:left="0" w:firstLine="0"/>
      </w:pPr>
      <w:rPr>
        <w:rFonts w:hint="default"/>
      </w:rPr>
    </w:lvl>
    <w:lvl w:ilvl="3" w:tplc="555E4F32">
      <w:start w:val="1"/>
      <w:numFmt w:val="none"/>
      <w:lvlRestart w:val="0"/>
      <w:lvlText w:val=""/>
      <w:lvlJc w:val="left"/>
      <w:pPr>
        <w:ind w:left="0" w:firstLine="0"/>
      </w:pPr>
      <w:rPr>
        <w:rFonts w:hint="default"/>
      </w:rPr>
    </w:lvl>
    <w:lvl w:ilvl="4" w:tplc="9718FD38">
      <w:start w:val="1"/>
      <w:numFmt w:val="none"/>
      <w:lvlRestart w:val="0"/>
      <w:lvlText w:val=""/>
      <w:lvlJc w:val="left"/>
      <w:pPr>
        <w:ind w:left="0" w:firstLine="0"/>
      </w:pPr>
      <w:rPr>
        <w:rFonts w:hint="default"/>
      </w:rPr>
    </w:lvl>
    <w:lvl w:ilvl="5" w:tplc="0EF2A140">
      <w:start w:val="1"/>
      <w:numFmt w:val="none"/>
      <w:lvlRestart w:val="0"/>
      <w:lvlText w:val=""/>
      <w:lvlJc w:val="left"/>
      <w:pPr>
        <w:ind w:left="0" w:firstLine="0"/>
      </w:pPr>
      <w:rPr>
        <w:rFonts w:hint="default"/>
      </w:rPr>
    </w:lvl>
    <w:lvl w:ilvl="6" w:tplc="A8880EA2">
      <w:start w:val="1"/>
      <w:numFmt w:val="none"/>
      <w:lvlRestart w:val="0"/>
      <w:lvlText w:val=""/>
      <w:lvlJc w:val="left"/>
      <w:pPr>
        <w:ind w:left="0" w:firstLine="0"/>
      </w:pPr>
      <w:rPr>
        <w:rFonts w:hint="default"/>
      </w:rPr>
    </w:lvl>
    <w:lvl w:ilvl="7" w:tplc="AEE8B100">
      <w:start w:val="1"/>
      <w:numFmt w:val="none"/>
      <w:lvlRestart w:val="0"/>
      <w:lvlText w:val=""/>
      <w:lvlJc w:val="left"/>
      <w:pPr>
        <w:ind w:left="0" w:firstLine="0"/>
      </w:pPr>
      <w:rPr>
        <w:rFonts w:hint="default"/>
      </w:rPr>
    </w:lvl>
    <w:lvl w:ilvl="8" w:tplc="CE88AF1A">
      <w:start w:val="1"/>
      <w:numFmt w:val="none"/>
      <w:lvlRestart w:val="0"/>
      <w:lvlText w:val=""/>
      <w:lvlJc w:val="left"/>
      <w:pPr>
        <w:ind w:left="0" w:firstLine="0"/>
      </w:pPr>
      <w:rPr>
        <w:rFonts w:hint="default"/>
      </w:rPr>
    </w:lvl>
  </w:abstractNum>
  <w:abstractNum w:abstractNumId="19" w15:restartNumberingAfterBreak="0">
    <w:nsid w:val="4D5F6D97"/>
    <w:multiLevelType w:val="hybridMultilevel"/>
    <w:tmpl w:val="FFCCF5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5A7D68"/>
    <w:multiLevelType w:val="hybridMultilevel"/>
    <w:tmpl w:val="FFFFFFFF"/>
    <w:lvl w:ilvl="0" w:tplc="424A8746">
      <w:start w:val="1"/>
      <w:numFmt w:val="bullet"/>
      <w:lvlText w:val="·"/>
      <w:lvlJc w:val="left"/>
      <w:pPr>
        <w:ind w:left="720" w:hanging="360"/>
      </w:pPr>
      <w:rPr>
        <w:rFonts w:ascii="Symbol" w:hAnsi="Symbol" w:hint="default"/>
      </w:rPr>
    </w:lvl>
    <w:lvl w:ilvl="1" w:tplc="E7FC5506">
      <w:start w:val="1"/>
      <w:numFmt w:val="bullet"/>
      <w:lvlText w:val="o"/>
      <w:lvlJc w:val="left"/>
      <w:pPr>
        <w:ind w:left="1440" w:hanging="360"/>
      </w:pPr>
      <w:rPr>
        <w:rFonts w:ascii="Courier New" w:hAnsi="Courier New" w:hint="default"/>
      </w:rPr>
    </w:lvl>
    <w:lvl w:ilvl="2" w:tplc="29AE6000">
      <w:start w:val="1"/>
      <w:numFmt w:val="bullet"/>
      <w:lvlText w:val=""/>
      <w:lvlJc w:val="left"/>
      <w:pPr>
        <w:ind w:left="2160" w:hanging="360"/>
      </w:pPr>
      <w:rPr>
        <w:rFonts w:ascii="Wingdings" w:hAnsi="Wingdings" w:hint="default"/>
      </w:rPr>
    </w:lvl>
    <w:lvl w:ilvl="3" w:tplc="5C324CD2">
      <w:start w:val="1"/>
      <w:numFmt w:val="bullet"/>
      <w:lvlText w:val=""/>
      <w:lvlJc w:val="left"/>
      <w:pPr>
        <w:ind w:left="2880" w:hanging="360"/>
      </w:pPr>
      <w:rPr>
        <w:rFonts w:ascii="Symbol" w:hAnsi="Symbol" w:hint="default"/>
      </w:rPr>
    </w:lvl>
    <w:lvl w:ilvl="4" w:tplc="959C1368">
      <w:start w:val="1"/>
      <w:numFmt w:val="bullet"/>
      <w:lvlText w:val="o"/>
      <w:lvlJc w:val="left"/>
      <w:pPr>
        <w:ind w:left="3600" w:hanging="360"/>
      </w:pPr>
      <w:rPr>
        <w:rFonts w:ascii="Courier New" w:hAnsi="Courier New" w:hint="default"/>
      </w:rPr>
    </w:lvl>
    <w:lvl w:ilvl="5" w:tplc="D2FEE22E">
      <w:start w:val="1"/>
      <w:numFmt w:val="bullet"/>
      <w:lvlText w:val=""/>
      <w:lvlJc w:val="left"/>
      <w:pPr>
        <w:ind w:left="4320" w:hanging="360"/>
      </w:pPr>
      <w:rPr>
        <w:rFonts w:ascii="Wingdings" w:hAnsi="Wingdings" w:hint="default"/>
      </w:rPr>
    </w:lvl>
    <w:lvl w:ilvl="6" w:tplc="A2A65982">
      <w:start w:val="1"/>
      <w:numFmt w:val="bullet"/>
      <w:lvlText w:val=""/>
      <w:lvlJc w:val="left"/>
      <w:pPr>
        <w:ind w:left="5040" w:hanging="360"/>
      </w:pPr>
      <w:rPr>
        <w:rFonts w:ascii="Symbol" w:hAnsi="Symbol" w:hint="default"/>
      </w:rPr>
    </w:lvl>
    <w:lvl w:ilvl="7" w:tplc="3E6281B4">
      <w:start w:val="1"/>
      <w:numFmt w:val="bullet"/>
      <w:lvlText w:val="o"/>
      <w:lvlJc w:val="left"/>
      <w:pPr>
        <w:ind w:left="5760" w:hanging="360"/>
      </w:pPr>
      <w:rPr>
        <w:rFonts w:ascii="Courier New" w:hAnsi="Courier New" w:hint="default"/>
      </w:rPr>
    </w:lvl>
    <w:lvl w:ilvl="8" w:tplc="7DC20ABA">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hybridMultilevel"/>
    <w:tmpl w:val="E0D49F02"/>
    <w:styleLink w:val="ZZQuotebullets"/>
    <w:lvl w:ilvl="0" w:tplc="69BAA404">
      <w:start w:val="1"/>
      <w:numFmt w:val="bullet"/>
      <w:pStyle w:val="SCVtablebullet1"/>
      <w:lvlText w:val="•"/>
      <w:lvlJc w:val="left"/>
      <w:pPr>
        <w:ind w:left="227" w:hanging="227"/>
      </w:pPr>
      <w:rPr>
        <w:rFonts w:ascii="Calibri" w:hAnsi="Calibri" w:hint="default"/>
      </w:rPr>
    </w:lvl>
    <w:lvl w:ilvl="1" w:tplc="C088AA02">
      <w:start w:val="1"/>
      <w:numFmt w:val="bullet"/>
      <w:lvlRestart w:val="0"/>
      <w:pStyle w:val="SCVtablebullet2"/>
      <w:lvlText w:val="–"/>
      <w:lvlJc w:val="left"/>
      <w:pPr>
        <w:tabs>
          <w:tab w:val="num" w:pos="227"/>
        </w:tabs>
        <w:ind w:left="454" w:hanging="227"/>
      </w:pPr>
      <w:rPr>
        <w:rFonts w:ascii="Calibri" w:hAnsi="Calibri" w:hint="default"/>
      </w:rPr>
    </w:lvl>
    <w:lvl w:ilvl="2" w:tplc="7982CFEC">
      <w:start w:val="1"/>
      <w:numFmt w:val="none"/>
      <w:lvlRestart w:val="0"/>
      <w:lvlText w:val=""/>
      <w:lvlJc w:val="left"/>
      <w:rPr>
        <w:rFonts w:cs="Times New Roman" w:hint="default"/>
      </w:rPr>
    </w:lvl>
    <w:lvl w:ilvl="3" w:tplc="16AC46C0">
      <w:start w:val="1"/>
      <w:numFmt w:val="none"/>
      <w:lvlRestart w:val="0"/>
      <w:lvlText w:val=""/>
      <w:lvlJc w:val="left"/>
      <w:rPr>
        <w:rFonts w:cs="Times New Roman" w:hint="default"/>
      </w:rPr>
    </w:lvl>
    <w:lvl w:ilvl="4" w:tplc="8CA06A5E">
      <w:start w:val="1"/>
      <w:numFmt w:val="none"/>
      <w:lvlRestart w:val="0"/>
      <w:lvlText w:val=""/>
      <w:lvlJc w:val="left"/>
      <w:rPr>
        <w:rFonts w:cs="Times New Roman" w:hint="default"/>
      </w:rPr>
    </w:lvl>
    <w:lvl w:ilvl="5" w:tplc="350A3E3A">
      <w:start w:val="1"/>
      <w:numFmt w:val="none"/>
      <w:lvlRestart w:val="0"/>
      <w:lvlText w:val=""/>
      <w:lvlJc w:val="left"/>
      <w:rPr>
        <w:rFonts w:cs="Times New Roman" w:hint="default"/>
      </w:rPr>
    </w:lvl>
    <w:lvl w:ilvl="6" w:tplc="C0586230">
      <w:start w:val="1"/>
      <w:numFmt w:val="none"/>
      <w:lvlRestart w:val="0"/>
      <w:lvlText w:val=""/>
      <w:lvlJc w:val="left"/>
      <w:rPr>
        <w:rFonts w:cs="Times New Roman" w:hint="default"/>
      </w:rPr>
    </w:lvl>
    <w:lvl w:ilvl="7" w:tplc="5330BDE0">
      <w:start w:val="1"/>
      <w:numFmt w:val="none"/>
      <w:lvlRestart w:val="0"/>
      <w:lvlText w:val=""/>
      <w:lvlJc w:val="left"/>
      <w:rPr>
        <w:rFonts w:cs="Times New Roman" w:hint="default"/>
      </w:rPr>
    </w:lvl>
    <w:lvl w:ilvl="8" w:tplc="F0A8E394">
      <w:start w:val="1"/>
      <w:numFmt w:val="none"/>
      <w:lvlRestart w:val="0"/>
      <w:lvlText w:val=""/>
      <w:lvlJc w:val="left"/>
      <w:rPr>
        <w:rFonts w:cs="Times New Roman" w:hint="default"/>
      </w:rPr>
    </w:lvl>
  </w:abstractNum>
  <w:abstractNum w:abstractNumId="22" w15:restartNumberingAfterBreak="0">
    <w:nsid w:val="57383CC9"/>
    <w:multiLevelType w:val="hybridMultilevel"/>
    <w:tmpl w:val="48AECE60"/>
    <w:lvl w:ilvl="0" w:tplc="3F0AD43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031175"/>
    <w:multiLevelType w:val="hybridMultilevel"/>
    <w:tmpl w:val="B6987146"/>
    <w:styleLink w:val="ZZPullout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320433"/>
    <w:multiLevelType w:val="hybridMultilevel"/>
    <w:tmpl w:val="69C2D2B4"/>
    <w:styleLink w:val="ZZBullets"/>
    <w:lvl w:ilvl="0" w:tplc="FFFFFFFF">
      <w:start w:val="1"/>
      <w:numFmt w:val="bullet"/>
      <w:pStyle w:val="SCVbullet1"/>
      <w:lvlText w:val=""/>
      <w:lvlJc w:val="left"/>
      <w:pPr>
        <w:ind w:left="284" w:hanging="284"/>
      </w:pPr>
      <w:rPr>
        <w:rFonts w:ascii="Wingdings 2" w:hAnsi="Wingdings 2" w:hint="default"/>
        <w:color w:val="004C97" w:themeColor="accent4"/>
        <w:position w:val="2"/>
        <w:sz w:val="16"/>
      </w:rPr>
    </w:lvl>
    <w:lvl w:ilvl="1" w:tplc="AE4AF0CA">
      <w:start w:val="1"/>
      <w:numFmt w:val="bullet"/>
      <w:pStyle w:val="SCVbullet2"/>
      <w:lvlText w:val="–"/>
      <w:lvlJc w:val="left"/>
      <w:pPr>
        <w:tabs>
          <w:tab w:val="num" w:pos="284"/>
        </w:tabs>
        <w:ind w:left="567" w:hanging="283"/>
      </w:pPr>
      <w:rPr>
        <w:rFonts w:ascii="Arial Black" w:hAnsi="Arial Black" w:hint="default"/>
      </w:rPr>
    </w:lvl>
    <w:lvl w:ilvl="2" w:tplc="0C72C974">
      <w:start w:val="1"/>
      <w:numFmt w:val="none"/>
      <w:lvlRestart w:val="0"/>
      <w:lvlText w:val=""/>
      <w:lvlJc w:val="left"/>
      <w:pPr>
        <w:ind w:left="0" w:firstLine="0"/>
      </w:pPr>
      <w:rPr>
        <w:rFonts w:hint="default"/>
      </w:rPr>
    </w:lvl>
    <w:lvl w:ilvl="3" w:tplc="11FC612E">
      <w:start w:val="1"/>
      <w:numFmt w:val="none"/>
      <w:lvlRestart w:val="0"/>
      <w:lvlText w:val=""/>
      <w:lvlJc w:val="left"/>
      <w:pPr>
        <w:ind w:left="0" w:firstLine="0"/>
      </w:pPr>
      <w:rPr>
        <w:rFonts w:hint="default"/>
      </w:rPr>
    </w:lvl>
    <w:lvl w:ilvl="4" w:tplc="9ACAC97A">
      <w:start w:val="1"/>
      <w:numFmt w:val="none"/>
      <w:lvlRestart w:val="0"/>
      <w:lvlText w:val=""/>
      <w:lvlJc w:val="left"/>
      <w:pPr>
        <w:ind w:left="0" w:firstLine="0"/>
      </w:pPr>
      <w:rPr>
        <w:rFonts w:hint="default"/>
      </w:rPr>
    </w:lvl>
    <w:lvl w:ilvl="5" w:tplc="F3769EDA">
      <w:start w:val="1"/>
      <w:numFmt w:val="none"/>
      <w:lvlRestart w:val="0"/>
      <w:lvlText w:val=""/>
      <w:lvlJc w:val="left"/>
      <w:pPr>
        <w:ind w:left="0" w:firstLine="0"/>
      </w:pPr>
      <w:rPr>
        <w:rFonts w:hint="default"/>
      </w:rPr>
    </w:lvl>
    <w:lvl w:ilvl="6" w:tplc="9FDEB938">
      <w:start w:val="1"/>
      <w:numFmt w:val="none"/>
      <w:lvlRestart w:val="0"/>
      <w:lvlText w:val=""/>
      <w:lvlJc w:val="left"/>
      <w:pPr>
        <w:ind w:left="0" w:firstLine="0"/>
      </w:pPr>
      <w:rPr>
        <w:rFonts w:hint="default"/>
      </w:rPr>
    </w:lvl>
    <w:lvl w:ilvl="7" w:tplc="40B6D3FC">
      <w:start w:val="1"/>
      <w:numFmt w:val="none"/>
      <w:lvlRestart w:val="0"/>
      <w:lvlText w:val=""/>
      <w:lvlJc w:val="left"/>
      <w:pPr>
        <w:ind w:left="0" w:firstLine="0"/>
      </w:pPr>
      <w:rPr>
        <w:rFonts w:hint="default"/>
      </w:rPr>
    </w:lvl>
    <w:lvl w:ilvl="8" w:tplc="1B3E9C82">
      <w:start w:val="1"/>
      <w:numFmt w:val="none"/>
      <w:lvlRestart w:val="0"/>
      <w:lvlText w:val=""/>
      <w:lvlJc w:val="left"/>
      <w:pPr>
        <w:ind w:left="0" w:firstLine="0"/>
      </w:pPr>
      <w:rPr>
        <w:rFonts w:hint="default"/>
      </w:rPr>
    </w:lvl>
  </w:abstractNum>
  <w:abstractNum w:abstractNumId="25" w15:restartNumberingAfterBreak="0">
    <w:nsid w:val="630458AC"/>
    <w:multiLevelType w:val="hybridMultilevel"/>
    <w:tmpl w:val="E68ABBB0"/>
    <w:lvl w:ilvl="0" w:tplc="B914EDC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hybridMultilevel"/>
    <w:tmpl w:val="DECE3280"/>
    <w:styleLink w:val="ZZNumbersdigit"/>
    <w:lvl w:ilvl="0" w:tplc="E47286AE">
      <w:start w:val="1"/>
      <w:numFmt w:val="bullet"/>
      <w:pStyle w:val="SCVquotebullet1"/>
      <w:lvlText w:val="•"/>
      <w:lvlJc w:val="left"/>
      <w:pPr>
        <w:ind w:left="680" w:hanging="283"/>
      </w:pPr>
      <w:rPr>
        <w:rFonts w:ascii="Calibri" w:hAnsi="Calibri" w:hint="default"/>
        <w:color w:val="007586" w:themeColor="text2"/>
      </w:rPr>
    </w:lvl>
    <w:lvl w:ilvl="1" w:tplc="683E9986">
      <w:start w:val="1"/>
      <w:numFmt w:val="bullet"/>
      <w:lvlRestart w:val="0"/>
      <w:pStyle w:val="SCVquotebullet2"/>
      <w:lvlText w:val="–"/>
      <w:lvlJc w:val="left"/>
      <w:pPr>
        <w:ind w:left="964" w:hanging="284"/>
      </w:pPr>
      <w:rPr>
        <w:rFonts w:ascii="Calibri" w:hAnsi="Calibri" w:hint="default"/>
        <w:color w:val="007586" w:themeColor="text2"/>
      </w:rPr>
    </w:lvl>
    <w:lvl w:ilvl="2" w:tplc="1BACEECC">
      <w:start w:val="1"/>
      <w:numFmt w:val="none"/>
      <w:lvlRestart w:val="0"/>
      <w:lvlText w:val=""/>
      <w:lvlJc w:val="left"/>
      <w:pPr>
        <w:ind w:left="0" w:firstLine="0"/>
      </w:pPr>
      <w:rPr>
        <w:rFonts w:cs="Times New Roman" w:hint="default"/>
      </w:rPr>
    </w:lvl>
    <w:lvl w:ilvl="3" w:tplc="A50E826C">
      <w:start w:val="1"/>
      <w:numFmt w:val="none"/>
      <w:lvlRestart w:val="0"/>
      <w:lvlText w:val=""/>
      <w:lvlJc w:val="left"/>
      <w:pPr>
        <w:ind w:left="0" w:firstLine="0"/>
      </w:pPr>
      <w:rPr>
        <w:rFonts w:cs="Times New Roman" w:hint="default"/>
      </w:rPr>
    </w:lvl>
    <w:lvl w:ilvl="4" w:tplc="E222D1B2">
      <w:start w:val="1"/>
      <w:numFmt w:val="none"/>
      <w:lvlRestart w:val="0"/>
      <w:lvlText w:val=""/>
      <w:lvlJc w:val="left"/>
      <w:pPr>
        <w:ind w:left="0" w:firstLine="0"/>
      </w:pPr>
      <w:rPr>
        <w:rFonts w:cs="Times New Roman" w:hint="default"/>
      </w:rPr>
    </w:lvl>
    <w:lvl w:ilvl="5" w:tplc="11C621DA">
      <w:start w:val="1"/>
      <w:numFmt w:val="none"/>
      <w:lvlRestart w:val="0"/>
      <w:lvlText w:val=""/>
      <w:lvlJc w:val="left"/>
      <w:pPr>
        <w:ind w:left="0" w:firstLine="0"/>
      </w:pPr>
      <w:rPr>
        <w:rFonts w:cs="Times New Roman" w:hint="default"/>
      </w:rPr>
    </w:lvl>
    <w:lvl w:ilvl="6" w:tplc="183879BA">
      <w:start w:val="1"/>
      <w:numFmt w:val="none"/>
      <w:lvlRestart w:val="0"/>
      <w:lvlText w:val=""/>
      <w:lvlJc w:val="left"/>
      <w:pPr>
        <w:ind w:left="0" w:firstLine="0"/>
      </w:pPr>
      <w:rPr>
        <w:rFonts w:cs="Times New Roman" w:hint="default"/>
      </w:rPr>
    </w:lvl>
    <w:lvl w:ilvl="7" w:tplc="79E6D6EA">
      <w:start w:val="1"/>
      <w:numFmt w:val="none"/>
      <w:lvlRestart w:val="0"/>
      <w:lvlText w:val=""/>
      <w:lvlJc w:val="left"/>
      <w:pPr>
        <w:ind w:left="0" w:firstLine="0"/>
      </w:pPr>
      <w:rPr>
        <w:rFonts w:cs="Times New Roman" w:hint="default"/>
      </w:rPr>
    </w:lvl>
    <w:lvl w:ilvl="8" w:tplc="73BA0826">
      <w:start w:val="1"/>
      <w:numFmt w:val="none"/>
      <w:lvlRestart w:val="0"/>
      <w:lvlText w:val=""/>
      <w:lvlJc w:val="left"/>
      <w:pPr>
        <w:ind w:left="0" w:firstLine="0"/>
      </w:pPr>
      <w:rPr>
        <w:rFonts w:cs="Times New Roman" w:hint="default"/>
      </w:rPr>
    </w:lvl>
  </w:abstractNum>
  <w:abstractNum w:abstractNumId="27" w15:restartNumberingAfterBreak="0">
    <w:nsid w:val="653742AC"/>
    <w:multiLevelType w:val="hybridMultilevel"/>
    <w:tmpl w:val="16643CD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97869DC"/>
    <w:multiLevelType w:val="hybridMultilevel"/>
    <w:tmpl w:val="58342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EB1774"/>
    <w:multiLevelType w:val="hybridMultilevel"/>
    <w:tmpl w:val="D6D65F7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7227191A"/>
    <w:multiLevelType w:val="hybridMultilevel"/>
    <w:tmpl w:val="4DF63810"/>
    <w:lvl w:ilvl="0" w:tplc="B914EDC2">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9C6CE6"/>
    <w:multiLevelType w:val="hybridMultilevel"/>
    <w:tmpl w:val="E02A5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78FF1074"/>
    <w:multiLevelType w:val="hybridMultilevel"/>
    <w:tmpl w:val="EDD21A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AC35D2C"/>
    <w:multiLevelType w:val="hybridMultilevel"/>
    <w:tmpl w:val="63AA0930"/>
    <w:lvl w:ilvl="0" w:tplc="3F0AD43C">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0D382A"/>
    <w:multiLevelType w:val="hybridMultilevel"/>
    <w:tmpl w:val="9EC6A768"/>
    <w:lvl w:ilvl="0" w:tplc="3F0AD43C">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D44514"/>
    <w:multiLevelType w:val="multilevel"/>
    <w:tmpl w:val="CAFA9644"/>
    <w:name w:val="List num"/>
    <w:lvl w:ilvl="0">
      <w:start w:val="1"/>
      <w:numFmt w:val="lowerLetter"/>
      <w:lvlText w:val="(%1)"/>
      <w:lvlJc w:val="left"/>
      <w:pPr>
        <w:ind w:left="397" w:hanging="397"/>
      </w:pPr>
      <w:rPr>
        <w:rFonts w:hint="default"/>
      </w:rPr>
    </w:lvl>
    <w:lvl w:ilvl="1">
      <w:start w:val="1"/>
      <w:numFmt w:val="lowerRoman"/>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24"/>
  </w:num>
  <w:num w:numId="2">
    <w:abstractNumId w:val="15"/>
  </w:num>
  <w:num w:numId="3">
    <w:abstractNumId w:val="26"/>
  </w:num>
  <w:num w:numId="4">
    <w:abstractNumId w:val="21"/>
  </w:num>
  <w:num w:numId="5">
    <w:abstractNumId w:val="18"/>
  </w:num>
  <w:num w:numId="6">
    <w:abstractNumId w:val="17"/>
  </w:num>
  <w:num w:numId="7">
    <w:abstractNumId w:val="8"/>
  </w:num>
  <w:num w:numId="8">
    <w:abstractNumId w:val="23"/>
  </w:num>
  <w:num w:numId="9">
    <w:abstractNumId w:val="1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29"/>
  </w:num>
  <w:num w:numId="13">
    <w:abstractNumId w:val="5"/>
  </w:num>
  <w:num w:numId="14">
    <w:abstractNumId w:val="31"/>
  </w:num>
  <w:num w:numId="15">
    <w:abstractNumId w:val="12"/>
  </w:num>
  <w:num w:numId="16">
    <w:abstractNumId w:val="32"/>
  </w:num>
  <w:num w:numId="17">
    <w:abstractNumId w:val="9"/>
  </w:num>
  <w:num w:numId="18">
    <w:abstractNumId w:val="27"/>
  </w:num>
  <w:num w:numId="19">
    <w:abstractNumId w:val="0"/>
  </w:num>
  <w:num w:numId="20">
    <w:abstractNumId w:val="11"/>
  </w:num>
  <w:num w:numId="21">
    <w:abstractNumId w:val="25"/>
  </w:num>
  <w:num w:numId="22">
    <w:abstractNumId w:val="30"/>
  </w:num>
  <w:num w:numId="23">
    <w:abstractNumId w:val="34"/>
  </w:num>
  <w:num w:numId="24">
    <w:abstractNumId w:val="22"/>
  </w:num>
  <w:num w:numId="25">
    <w:abstractNumId w:val="1"/>
  </w:num>
  <w:num w:numId="26">
    <w:abstractNumId w:val="6"/>
  </w:num>
  <w:num w:numId="27">
    <w:abstractNumId w:val="33"/>
  </w:num>
  <w:num w:numId="28">
    <w:abstractNumId w:val="6"/>
    <w:lvlOverride w:ilvl="0">
      <w:lvl w:ilvl="0" w:tplc="5E2C3746">
        <w:start w:val="1"/>
        <w:numFmt w:val="bullet"/>
        <w:pStyle w:val="SCVbullet1"/>
        <w:lvlText w:val=""/>
        <w:lvlJc w:val="left"/>
        <w:pPr>
          <w:ind w:left="284" w:hanging="284"/>
        </w:pPr>
        <w:rPr>
          <w:rFonts w:ascii="Wingdings 2" w:hAnsi="Wingdings 2" w:hint="default"/>
          <w:color w:val="004C97" w:themeColor="accent4"/>
          <w:position w:val="2"/>
          <w:sz w:val="16"/>
        </w:rPr>
      </w:lvl>
    </w:lvlOverride>
  </w:num>
  <w:num w:numId="29">
    <w:abstractNumId w:val="6"/>
    <w:lvlOverride w:ilvl="0">
      <w:lvl w:ilvl="0" w:tplc="5E2C3746">
        <w:start w:val="1"/>
        <w:numFmt w:val="bullet"/>
        <w:pStyle w:val="SCVbullet1"/>
        <w:lvlText w:val=""/>
        <w:lvlJc w:val="left"/>
        <w:pPr>
          <w:ind w:left="284" w:hanging="284"/>
        </w:pPr>
        <w:rPr>
          <w:rFonts w:ascii="Wingdings 2" w:hAnsi="Wingdings 2" w:hint="default"/>
          <w:color w:val="004C97" w:themeColor="accent4"/>
          <w:position w:val="2"/>
          <w:sz w:val="16"/>
        </w:rPr>
      </w:lvl>
    </w:lvlOverride>
  </w:num>
  <w:num w:numId="30">
    <w:abstractNumId w:val="4"/>
  </w:num>
  <w:num w:numId="31">
    <w:abstractNumId w:val="19"/>
  </w:num>
  <w:num w:numId="32">
    <w:abstractNumId w:val="28"/>
  </w:num>
  <w:num w:numId="33">
    <w:abstractNumId w:val="10"/>
  </w:num>
  <w:num w:numId="34">
    <w:abstractNumId w:val="2"/>
  </w:num>
  <w:num w:numId="35">
    <w:abstractNumId w:val="16"/>
  </w:num>
  <w:num w:numId="36">
    <w:abstractNumId w:val="7"/>
  </w:num>
  <w:num w:numId="3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7BE"/>
    <w:rsid w:val="0000023E"/>
    <w:rsid w:val="0000037C"/>
    <w:rsid w:val="000015B8"/>
    <w:rsid w:val="000015CE"/>
    <w:rsid w:val="000022C5"/>
    <w:rsid w:val="000023B7"/>
    <w:rsid w:val="00002792"/>
    <w:rsid w:val="00002B3D"/>
    <w:rsid w:val="00002BB4"/>
    <w:rsid w:val="000035E4"/>
    <w:rsid w:val="00004BA4"/>
    <w:rsid w:val="00004F7F"/>
    <w:rsid w:val="0000503A"/>
    <w:rsid w:val="000055AC"/>
    <w:rsid w:val="00005AAC"/>
    <w:rsid w:val="00006EE4"/>
    <w:rsid w:val="00007236"/>
    <w:rsid w:val="00010CD7"/>
    <w:rsid w:val="0001128B"/>
    <w:rsid w:val="0001180C"/>
    <w:rsid w:val="00011C32"/>
    <w:rsid w:val="000122E8"/>
    <w:rsid w:val="000124EF"/>
    <w:rsid w:val="000125BE"/>
    <w:rsid w:val="000125C0"/>
    <w:rsid w:val="00012764"/>
    <w:rsid w:val="00012F6F"/>
    <w:rsid w:val="00013805"/>
    <w:rsid w:val="00013924"/>
    <w:rsid w:val="00014213"/>
    <w:rsid w:val="00014B55"/>
    <w:rsid w:val="00014E86"/>
    <w:rsid w:val="00015896"/>
    <w:rsid w:val="00015D57"/>
    <w:rsid w:val="000165D8"/>
    <w:rsid w:val="00017112"/>
    <w:rsid w:val="000178FB"/>
    <w:rsid w:val="00017C53"/>
    <w:rsid w:val="00017D18"/>
    <w:rsid w:val="000202B8"/>
    <w:rsid w:val="00020827"/>
    <w:rsid w:val="00020980"/>
    <w:rsid w:val="000209C9"/>
    <w:rsid w:val="00020E3E"/>
    <w:rsid w:val="00020F1B"/>
    <w:rsid w:val="0002145D"/>
    <w:rsid w:val="00022A3B"/>
    <w:rsid w:val="00022DBC"/>
    <w:rsid w:val="00022EB4"/>
    <w:rsid w:val="0002328B"/>
    <w:rsid w:val="00023BF3"/>
    <w:rsid w:val="00024046"/>
    <w:rsid w:val="00024184"/>
    <w:rsid w:val="000246D2"/>
    <w:rsid w:val="00025AEB"/>
    <w:rsid w:val="00026811"/>
    <w:rsid w:val="00026D8B"/>
    <w:rsid w:val="00027BBF"/>
    <w:rsid w:val="000304DF"/>
    <w:rsid w:val="0003075A"/>
    <w:rsid w:val="00030911"/>
    <w:rsid w:val="00030D1F"/>
    <w:rsid w:val="0003170B"/>
    <w:rsid w:val="00031786"/>
    <w:rsid w:val="00032606"/>
    <w:rsid w:val="000331F2"/>
    <w:rsid w:val="0003389C"/>
    <w:rsid w:val="0003447B"/>
    <w:rsid w:val="000344F3"/>
    <w:rsid w:val="00034800"/>
    <w:rsid w:val="00034EF8"/>
    <w:rsid w:val="00036BA4"/>
    <w:rsid w:val="00036BB7"/>
    <w:rsid w:val="00036BFC"/>
    <w:rsid w:val="00037196"/>
    <w:rsid w:val="00037237"/>
    <w:rsid w:val="00037801"/>
    <w:rsid w:val="00037E4C"/>
    <w:rsid w:val="00040B95"/>
    <w:rsid w:val="00040E28"/>
    <w:rsid w:val="00041493"/>
    <w:rsid w:val="00041816"/>
    <w:rsid w:val="0004185E"/>
    <w:rsid w:val="00043C34"/>
    <w:rsid w:val="000446BB"/>
    <w:rsid w:val="000447D8"/>
    <w:rsid w:val="00044B6A"/>
    <w:rsid w:val="00045770"/>
    <w:rsid w:val="0004698F"/>
    <w:rsid w:val="000469CA"/>
    <w:rsid w:val="00047255"/>
    <w:rsid w:val="000477DC"/>
    <w:rsid w:val="00047E4B"/>
    <w:rsid w:val="0005056A"/>
    <w:rsid w:val="0005111F"/>
    <w:rsid w:val="0005135C"/>
    <w:rsid w:val="00052D0A"/>
    <w:rsid w:val="00053144"/>
    <w:rsid w:val="0005387C"/>
    <w:rsid w:val="000540A4"/>
    <w:rsid w:val="00054781"/>
    <w:rsid w:val="00054C59"/>
    <w:rsid w:val="00055795"/>
    <w:rsid w:val="000559C8"/>
    <w:rsid w:val="00056988"/>
    <w:rsid w:val="00056A8B"/>
    <w:rsid w:val="00056D30"/>
    <w:rsid w:val="00057426"/>
    <w:rsid w:val="00057C33"/>
    <w:rsid w:val="00060529"/>
    <w:rsid w:val="000608E8"/>
    <w:rsid w:val="0006110D"/>
    <w:rsid w:val="0006123F"/>
    <w:rsid w:val="0006189B"/>
    <w:rsid w:val="00061EB3"/>
    <w:rsid w:val="0006384E"/>
    <w:rsid w:val="00063B72"/>
    <w:rsid w:val="0006516C"/>
    <w:rsid w:val="0006572F"/>
    <w:rsid w:val="00065771"/>
    <w:rsid w:val="000657F3"/>
    <w:rsid w:val="00065AA7"/>
    <w:rsid w:val="00065F3B"/>
    <w:rsid w:val="00066523"/>
    <w:rsid w:val="00066C70"/>
    <w:rsid w:val="000673C8"/>
    <w:rsid w:val="00067505"/>
    <w:rsid w:val="000702C0"/>
    <w:rsid w:val="00071695"/>
    <w:rsid w:val="00072275"/>
    <w:rsid w:val="00072279"/>
    <w:rsid w:val="00072343"/>
    <w:rsid w:val="00072E1E"/>
    <w:rsid w:val="0007305E"/>
    <w:rsid w:val="00073561"/>
    <w:rsid w:val="00073A12"/>
    <w:rsid w:val="00073AD6"/>
    <w:rsid w:val="0007450F"/>
    <w:rsid w:val="00074ECC"/>
    <w:rsid w:val="00075895"/>
    <w:rsid w:val="00075E6C"/>
    <w:rsid w:val="00076414"/>
    <w:rsid w:val="00076DA8"/>
    <w:rsid w:val="00077408"/>
    <w:rsid w:val="0008054E"/>
    <w:rsid w:val="00080E96"/>
    <w:rsid w:val="000811AA"/>
    <w:rsid w:val="0008146E"/>
    <w:rsid w:val="00081C12"/>
    <w:rsid w:val="00083FA8"/>
    <w:rsid w:val="00084632"/>
    <w:rsid w:val="00084D94"/>
    <w:rsid w:val="00085E47"/>
    <w:rsid w:val="00085FCD"/>
    <w:rsid w:val="0008661B"/>
    <w:rsid w:val="0008675A"/>
    <w:rsid w:val="00086822"/>
    <w:rsid w:val="00087D42"/>
    <w:rsid w:val="00092578"/>
    <w:rsid w:val="00094898"/>
    <w:rsid w:val="00095020"/>
    <w:rsid w:val="00095272"/>
    <w:rsid w:val="00095635"/>
    <w:rsid w:val="00095E96"/>
    <w:rsid w:val="0009623D"/>
    <w:rsid w:val="00096386"/>
    <w:rsid w:val="00096733"/>
    <w:rsid w:val="00097016"/>
    <w:rsid w:val="00097145"/>
    <w:rsid w:val="00097181"/>
    <w:rsid w:val="00097A6B"/>
    <w:rsid w:val="000A1701"/>
    <w:rsid w:val="000A228E"/>
    <w:rsid w:val="000A2620"/>
    <w:rsid w:val="000A30C1"/>
    <w:rsid w:val="000A363A"/>
    <w:rsid w:val="000A3B0B"/>
    <w:rsid w:val="000A3C19"/>
    <w:rsid w:val="000A4186"/>
    <w:rsid w:val="000A469B"/>
    <w:rsid w:val="000A61F4"/>
    <w:rsid w:val="000A692F"/>
    <w:rsid w:val="000B17D5"/>
    <w:rsid w:val="000B21B5"/>
    <w:rsid w:val="000B262F"/>
    <w:rsid w:val="000B29AD"/>
    <w:rsid w:val="000B308E"/>
    <w:rsid w:val="000B3A7D"/>
    <w:rsid w:val="000B3AB1"/>
    <w:rsid w:val="000B3F99"/>
    <w:rsid w:val="000B4A07"/>
    <w:rsid w:val="000B4B79"/>
    <w:rsid w:val="000B4B9C"/>
    <w:rsid w:val="000B4E13"/>
    <w:rsid w:val="000B4F22"/>
    <w:rsid w:val="000B547B"/>
    <w:rsid w:val="000B6331"/>
    <w:rsid w:val="000B6730"/>
    <w:rsid w:val="000B68B7"/>
    <w:rsid w:val="000B68D1"/>
    <w:rsid w:val="000C0421"/>
    <w:rsid w:val="000C044F"/>
    <w:rsid w:val="000C0DEB"/>
    <w:rsid w:val="000C0E9F"/>
    <w:rsid w:val="000C1CFA"/>
    <w:rsid w:val="000C22AA"/>
    <w:rsid w:val="000C23F4"/>
    <w:rsid w:val="000C3355"/>
    <w:rsid w:val="000C3404"/>
    <w:rsid w:val="000C488E"/>
    <w:rsid w:val="000C4A34"/>
    <w:rsid w:val="000C5020"/>
    <w:rsid w:val="000C504E"/>
    <w:rsid w:val="000C57BD"/>
    <w:rsid w:val="000C6372"/>
    <w:rsid w:val="000C6742"/>
    <w:rsid w:val="000C797D"/>
    <w:rsid w:val="000D07F5"/>
    <w:rsid w:val="000D093C"/>
    <w:rsid w:val="000D0BD2"/>
    <w:rsid w:val="000D0D55"/>
    <w:rsid w:val="000D0E04"/>
    <w:rsid w:val="000D1042"/>
    <w:rsid w:val="000D2043"/>
    <w:rsid w:val="000D24DF"/>
    <w:rsid w:val="000D2556"/>
    <w:rsid w:val="000D29E0"/>
    <w:rsid w:val="000D36A7"/>
    <w:rsid w:val="000D3F89"/>
    <w:rsid w:val="000D44F6"/>
    <w:rsid w:val="000D45C8"/>
    <w:rsid w:val="000D68B9"/>
    <w:rsid w:val="000D6936"/>
    <w:rsid w:val="000D6AE7"/>
    <w:rsid w:val="000D7777"/>
    <w:rsid w:val="000D7841"/>
    <w:rsid w:val="000E1AE3"/>
    <w:rsid w:val="000E1CA1"/>
    <w:rsid w:val="000E1D16"/>
    <w:rsid w:val="000E24C9"/>
    <w:rsid w:val="000E331C"/>
    <w:rsid w:val="000E369C"/>
    <w:rsid w:val="000E38CA"/>
    <w:rsid w:val="000E392D"/>
    <w:rsid w:val="000E39B6"/>
    <w:rsid w:val="000E3D05"/>
    <w:rsid w:val="000E42B6"/>
    <w:rsid w:val="000E529F"/>
    <w:rsid w:val="000E5E30"/>
    <w:rsid w:val="000E6456"/>
    <w:rsid w:val="000E6F4E"/>
    <w:rsid w:val="000E6F4F"/>
    <w:rsid w:val="000F0852"/>
    <w:rsid w:val="000F0CE1"/>
    <w:rsid w:val="000F0FF4"/>
    <w:rsid w:val="000F26DC"/>
    <w:rsid w:val="000F4122"/>
    <w:rsid w:val="000F4288"/>
    <w:rsid w:val="000F4595"/>
    <w:rsid w:val="000F471B"/>
    <w:rsid w:val="000F4E79"/>
    <w:rsid w:val="000F6326"/>
    <w:rsid w:val="000F6D97"/>
    <w:rsid w:val="000F6F0F"/>
    <w:rsid w:val="000F7165"/>
    <w:rsid w:val="000F788D"/>
    <w:rsid w:val="000F7B8E"/>
    <w:rsid w:val="00100361"/>
    <w:rsid w:val="00101D05"/>
    <w:rsid w:val="00102373"/>
    <w:rsid w:val="00102379"/>
    <w:rsid w:val="00102786"/>
    <w:rsid w:val="00102C45"/>
    <w:rsid w:val="00103030"/>
    <w:rsid w:val="001030FA"/>
    <w:rsid w:val="001036CE"/>
    <w:rsid w:val="00103722"/>
    <w:rsid w:val="00104046"/>
    <w:rsid w:val="00104398"/>
    <w:rsid w:val="00104793"/>
    <w:rsid w:val="001050B8"/>
    <w:rsid w:val="00105B7F"/>
    <w:rsid w:val="00105EB8"/>
    <w:rsid w:val="001065D6"/>
    <w:rsid w:val="00106830"/>
    <w:rsid w:val="001068D5"/>
    <w:rsid w:val="00106AD4"/>
    <w:rsid w:val="00110626"/>
    <w:rsid w:val="00110A27"/>
    <w:rsid w:val="0011143D"/>
    <w:rsid w:val="00111A87"/>
    <w:rsid w:val="001120F1"/>
    <w:rsid w:val="00112768"/>
    <w:rsid w:val="00112931"/>
    <w:rsid w:val="0011374D"/>
    <w:rsid w:val="001138E4"/>
    <w:rsid w:val="00114C66"/>
    <w:rsid w:val="001151FF"/>
    <w:rsid w:val="00115B05"/>
    <w:rsid w:val="00116683"/>
    <w:rsid w:val="001166DD"/>
    <w:rsid w:val="00116FEB"/>
    <w:rsid w:val="00117EBC"/>
    <w:rsid w:val="00120436"/>
    <w:rsid w:val="001209E0"/>
    <w:rsid w:val="00121252"/>
    <w:rsid w:val="00121EC4"/>
    <w:rsid w:val="001233B9"/>
    <w:rsid w:val="00123B08"/>
    <w:rsid w:val="00124609"/>
    <w:rsid w:val="00124A00"/>
    <w:rsid w:val="001254CE"/>
    <w:rsid w:val="00126D8C"/>
    <w:rsid w:val="00126F25"/>
    <w:rsid w:val="00126F89"/>
    <w:rsid w:val="00127C3D"/>
    <w:rsid w:val="0013045C"/>
    <w:rsid w:val="001309B2"/>
    <w:rsid w:val="00130F50"/>
    <w:rsid w:val="001323B6"/>
    <w:rsid w:val="00132428"/>
    <w:rsid w:val="00135216"/>
    <w:rsid w:val="00135B6A"/>
    <w:rsid w:val="00135B7A"/>
    <w:rsid w:val="00135D1A"/>
    <w:rsid w:val="00135E96"/>
    <w:rsid w:val="00136F9A"/>
    <w:rsid w:val="001371AA"/>
    <w:rsid w:val="00140264"/>
    <w:rsid w:val="00140AE7"/>
    <w:rsid w:val="001422CC"/>
    <w:rsid w:val="0014243C"/>
    <w:rsid w:val="001428B1"/>
    <w:rsid w:val="00142C54"/>
    <w:rsid w:val="00142CC3"/>
    <w:rsid w:val="00143124"/>
    <w:rsid w:val="00143530"/>
    <w:rsid w:val="001449E3"/>
    <w:rsid w:val="00144AC5"/>
    <w:rsid w:val="00145346"/>
    <w:rsid w:val="00145BEA"/>
    <w:rsid w:val="00146130"/>
    <w:rsid w:val="00146763"/>
    <w:rsid w:val="00146D70"/>
    <w:rsid w:val="00147EDD"/>
    <w:rsid w:val="00150333"/>
    <w:rsid w:val="001503A8"/>
    <w:rsid w:val="001516A0"/>
    <w:rsid w:val="001517E4"/>
    <w:rsid w:val="00151972"/>
    <w:rsid w:val="001534BC"/>
    <w:rsid w:val="00153DA7"/>
    <w:rsid w:val="00155F22"/>
    <w:rsid w:val="0015631B"/>
    <w:rsid w:val="001563F0"/>
    <w:rsid w:val="00157292"/>
    <w:rsid w:val="001572BB"/>
    <w:rsid w:val="00157BB9"/>
    <w:rsid w:val="00160B77"/>
    <w:rsid w:val="001617B6"/>
    <w:rsid w:val="00161B4A"/>
    <w:rsid w:val="001623DC"/>
    <w:rsid w:val="00162E4D"/>
    <w:rsid w:val="00162F06"/>
    <w:rsid w:val="00163F3D"/>
    <w:rsid w:val="00164525"/>
    <w:rsid w:val="00164B6E"/>
    <w:rsid w:val="00165220"/>
    <w:rsid w:val="00165A26"/>
    <w:rsid w:val="00165E66"/>
    <w:rsid w:val="00165EC0"/>
    <w:rsid w:val="00165F36"/>
    <w:rsid w:val="00167C0D"/>
    <w:rsid w:val="00170E34"/>
    <w:rsid w:val="0017113E"/>
    <w:rsid w:val="00171ACC"/>
    <w:rsid w:val="00172122"/>
    <w:rsid w:val="0017285E"/>
    <w:rsid w:val="0017398F"/>
    <w:rsid w:val="00174F38"/>
    <w:rsid w:val="00175230"/>
    <w:rsid w:val="001754BC"/>
    <w:rsid w:val="00176868"/>
    <w:rsid w:val="00176C52"/>
    <w:rsid w:val="00176F13"/>
    <w:rsid w:val="001770AB"/>
    <w:rsid w:val="001772F7"/>
    <w:rsid w:val="00177955"/>
    <w:rsid w:val="00181262"/>
    <w:rsid w:val="00181A50"/>
    <w:rsid w:val="00182819"/>
    <w:rsid w:val="001828E1"/>
    <w:rsid w:val="00183104"/>
    <w:rsid w:val="001833C2"/>
    <w:rsid w:val="0018390F"/>
    <w:rsid w:val="00183BC3"/>
    <w:rsid w:val="001843DB"/>
    <w:rsid w:val="001849FD"/>
    <w:rsid w:val="00186930"/>
    <w:rsid w:val="001869DE"/>
    <w:rsid w:val="001904D2"/>
    <w:rsid w:val="00190956"/>
    <w:rsid w:val="00190C25"/>
    <w:rsid w:val="00191707"/>
    <w:rsid w:val="00191C7D"/>
    <w:rsid w:val="00191F3B"/>
    <w:rsid w:val="001926EF"/>
    <w:rsid w:val="00192D81"/>
    <w:rsid w:val="0019351B"/>
    <w:rsid w:val="00193CD7"/>
    <w:rsid w:val="00194095"/>
    <w:rsid w:val="00194295"/>
    <w:rsid w:val="0019482B"/>
    <w:rsid w:val="00194B79"/>
    <w:rsid w:val="00195448"/>
    <w:rsid w:val="001958A9"/>
    <w:rsid w:val="00195BE6"/>
    <w:rsid w:val="00195C93"/>
    <w:rsid w:val="00196143"/>
    <w:rsid w:val="001970C4"/>
    <w:rsid w:val="00197204"/>
    <w:rsid w:val="001A18BD"/>
    <w:rsid w:val="001A24FC"/>
    <w:rsid w:val="001A28D5"/>
    <w:rsid w:val="001A344D"/>
    <w:rsid w:val="001A430C"/>
    <w:rsid w:val="001A44B8"/>
    <w:rsid w:val="001A54CB"/>
    <w:rsid w:val="001A5C60"/>
    <w:rsid w:val="001A69AA"/>
    <w:rsid w:val="001A6BFD"/>
    <w:rsid w:val="001A6F5A"/>
    <w:rsid w:val="001A7337"/>
    <w:rsid w:val="001B00F1"/>
    <w:rsid w:val="001B07EE"/>
    <w:rsid w:val="001B08DE"/>
    <w:rsid w:val="001B16D2"/>
    <w:rsid w:val="001B1CAA"/>
    <w:rsid w:val="001B214E"/>
    <w:rsid w:val="001B2F54"/>
    <w:rsid w:val="001B30FD"/>
    <w:rsid w:val="001B4B4E"/>
    <w:rsid w:val="001B5344"/>
    <w:rsid w:val="001B5346"/>
    <w:rsid w:val="001B7495"/>
    <w:rsid w:val="001C053E"/>
    <w:rsid w:val="001C055B"/>
    <w:rsid w:val="001C1206"/>
    <w:rsid w:val="001C1AE9"/>
    <w:rsid w:val="001C2811"/>
    <w:rsid w:val="001C2DA4"/>
    <w:rsid w:val="001C301B"/>
    <w:rsid w:val="001C3E46"/>
    <w:rsid w:val="001C3F8F"/>
    <w:rsid w:val="001C58D9"/>
    <w:rsid w:val="001C624B"/>
    <w:rsid w:val="001C6339"/>
    <w:rsid w:val="001C6DA1"/>
    <w:rsid w:val="001C6F78"/>
    <w:rsid w:val="001C7A0C"/>
    <w:rsid w:val="001C7BAE"/>
    <w:rsid w:val="001D00C5"/>
    <w:rsid w:val="001D033B"/>
    <w:rsid w:val="001D05CD"/>
    <w:rsid w:val="001D0DDF"/>
    <w:rsid w:val="001D125A"/>
    <w:rsid w:val="001D2343"/>
    <w:rsid w:val="001D3EA4"/>
    <w:rsid w:val="001D4BB1"/>
    <w:rsid w:val="001D5329"/>
    <w:rsid w:val="001D64E2"/>
    <w:rsid w:val="001D6950"/>
    <w:rsid w:val="001D6DDD"/>
    <w:rsid w:val="001D7330"/>
    <w:rsid w:val="001D791F"/>
    <w:rsid w:val="001D7A3C"/>
    <w:rsid w:val="001D7B44"/>
    <w:rsid w:val="001D7E29"/>
    <w:rsid w:val="001D7E3E"/>
    <w:rsid w:val="001E011A"/>
    <w:rsid w:val="001E0B9D"/>
    <w:rsid w:val="001E0E6D"/>
    <w:rsid w:val="001E1343"/>
    <w:rsid w:val="001E1698"/>
    <w:rsid w:val="001E1AF3"/>
    <w:rsid w:val="001E20FF"/>
    <w:rsid w:val="001E29D7"/>
    <w:rsid w:val="001E31FA"/>
    <w:rsid w:val="001E334B"/>
    <w:rsid w:val="001E37B7"/>
    <w:rsid w:val="001E46CB"/>
    <w:rsid w:val="001E48B6"/>
    <w:rsid w:val="001E48F9"/>
    <w:rsid w:val="001E64F6"/>
    <w:rsid w:val="001E778F"/>
    <w:rsid w:val="001E7AEB"/>
    <w:rsid w:val="001F027C"/>
    <w:rsid w:val="001F0D27"/>
    <w:rsid w:val="001F130F"/>
    <w:rsid w:val="001F131F"/>
    <w:rsid w:val="001F323A"/>
    <w:rsid w:val="001F337F"/>
    <w:rsid w:val="001F3BFB"/>
    <w:rsid w:val="001F3D08"/>
    <w:rsid w:val="001F43C1"/>
    <w:rsid w:val="001F5354"/>
    <w:rsid w:val="001F57A4"/>
    <w:rsid w:val="001F5F12"/>
    <w:rsid w:val="001F60BF"/>
    <w:rsid w:val="001F645E"/>
    <w:rsid w:val="001F6E71"/>
    <w:rsid w:val="001F75F6"/>
    <w:rsid w:val="001F7F82"/>
    <w:rsid w:val="00200C72"/>
    <w:rsid w:val="00201B6F"/>
    <w:rsid w:val="00203E4C"/>
    <w:rsid w:val="00204516"/>
    <w:rsid w:val="00204611"/>
    <w:rsid w:val="00204B82"/>
    <w:rsid w:val="00205C68"/>
    <w:rsid w:val="00205E53"/>
    <w:rsid w:val="002060FA"/>
    <w:rsid w:val="002066D7"/>
    <w:rsid w:val="0020BEFE"/>
    <w:rsid w:val="0021154F"/>
    <w:rsid w:val="002129CE"/>
    <w:rsid w:val="00212BE1"/>
    <w:rsid w:val="00213594"/>
    <w:rsid w:val="00214244"/>
    <w:rsid w:val="0021496B"/>
    <w:rsid w:val="00214EF4"/>
    <w:rsid w:val="0021570E"/>
    <w:rsid w:val="0021587E"/>
    <w:rsid w:val="002165B1"/>
    <w:rsid w:val="00217139"/>
    <w:rsid w:val="002174E7"/>
    <w:rsid w:val="00217C59"/>
    <w:rsid w:val="002203D3"/>
    <w:rsid w:val="002217D5"/>
    <w:rsid w:val="00221F52"/>
    <w:rsid w:val="00222614"/>
    <w:rsid w:val="00222BEB"/>
    <w:rsid w:val="00223217"/>
    <w:rsid w:val="00223948"/>
    <w:rsid w:val="00223987"/>
    <w:rsid w:val="0022449E"/>
    <w:rsid w:val="00225770"/>
    <w:rsid w:val="00225E60"/>
    <w:rsid w:val="00225F3D"/>
    <w:rsid w:val="00226C37"/>
    <w:rsid w:val="002270AF"/>
    <w:rsid w:val="00230643"/>
    <w:rsid w:val="00230BBB"/>
    <w:rsid w:val="0023174E"/>
    <w:rsid w:val="0023202C"/>
    <w:rsid w:val="002328DB"/>
    <w:rsid w:val="00233CFA"/>
    <w:rsid w:val="00234253"/>
    <w:rsid w:val="002345C2"/>
    <w:rsid w:val="00234619"/>
    <w:rsid w:val="00235B1E"/>
    <w:rsid w:val="002362A9"/>
    <w:rsid w:val="002363B3"/>
    <w:rsid w:val="00236CD6"/>
    <w:rsid w:val="00237F9F"/>
    <w:rsid w:val="0024063A"/>
    <w:rsid w:val="00240D05"/>
    <w:rsid w:val="00240D5D"/>
    <w:rsid w:val="00240DF9"/>
    <w:rsid w:val="00241B1A"/>
    <w:rsid w:val="0024283A"/>
    <w:rsid w:val="002434F9"/>
    <w:rsid w:val="0024389F"/>
    <w:rsid w:val="0024401B"/>
    <w:rsid w:val="002445EB"/>
    <w:rsid w:val="00245043"/>
    <w:rsid w:val="002451FE"/>
    <w:rsid w:val="00246AA6"/>
    <w:rsid w:val="00247790"/>
    <w:rsid w:val="00247F17"/>
    <w:rsid w:val="00250676"/>
    <w:rsid w:val="00251A29"/>
    <w:rsid w:val="00251AA8"/>
    <w:rsid w:val="00251AFC"/>
    <w:rsid w:val="00252958"/>
    <w:rsid w:val="00252C06"/>
    <w:rsid w:val="00254B0E"/>
    <w:rsid w:val="0025557B"/>
    <w:rsid w:val="00255647"/>
    <w:rsid w:val="0025578B"/>
    <w:rsid w:val="00255A9D"/>
    <w:rsid w:val="00256917"/>
    <w:rsid w:val="002570BD"/>
    <w:rsid w:val="00257664"/>
    <w:rsid w:val="00257A46"/>
    <w:rsid w:val="0026028E"/>
    <w:rsid w:val="0026041B"/>
    <w:rsid w:val="0026105F"/>
    <w:rsid w:val="00262584"/>
    <w:rsid w:val="00262E78"/>
    <w:rsid w:val="0026308D"/>
    <w:rsid w:val="00263099"/>
    <w:rsid w:val="00263669"/>
    <w:rsid w:val="00264CFF"/>
    <w:rsid w:val="00265901"/>
    <w:rsid w:val="002669BB"/>
    <w:rsid w:val="00266D3C"/>
    <w:rsid w:val="002674CF"/>
    <w:rsid w:val="00267A08"/>
    <w:rsid w:val="00267D39"/>
    <w:rsid w:val="00267DFA"/>
    <w:rsid w:val="00270318"/>
    <w:rsid w:val="00270B2D"/>
    <w:rsid w:val="00271089"/>
    <w:rsid w:val="00272025"/>
    <w:rsid w:val="0027251F"/>
    <w:rsid w:val="002726A8"/>
    <w:rsid w:val="00272EC4"/>
    <w:rsid w:val="00273CB8"/>
    <w:rsid w:val="00273D65"/>
    <w:rsid w:val="002742A2"/>
    <w:rsid w:val="002754CE"/>
    <w:rsid w:val="00275901"/>
    <w:rsid w:val="00276717"/>
    <w:rsid w:val="00276DC6"/>
    <w:rsid w:val="00277BAC"/>
    <w:rsid w:val="002803B8"/>
    <w:rsid w:val="002805C8"/>
    <w:rsid w:val="00280B20"/>
    <w:rsid w:val="00280E51"/>
    <w:rsid w:val="002811BF"/>
    <w:rsid w:val="00281987"/>
    <w:rsid w:val="00281E3C"/>
    <w:rsid w:val="00281FEF"/>
    <w:rsid w:val="00282118"/>
    <w:rsid w:val="00282218"/>
    <w:rsid w:val="00282D87"/>
    <w:rsid w:val="00282E68"/>
    <w:rsid w:val="0028371D"/>
    <w:rsid w:val="002846D4"/>
    <w:rsid w:val="00284D99"/>
    <w:rsid w:val="00284FA2"/>
    <w:rsid w:val="00285B0C"/>
    <w:rsid w:val="002860BC"/>
    <w:rsid w:val="00286657"/>
    <w:rsid w:val="0029085A"/>
    <w:rsid w:val="00290BF3"/>
    <w:rsid w:val="00290F27"/>
    <w:rsid w:val="0029233A"/>
    <w:rsid w:val="00292D36"/>
    <w:rsid w:val="002933F6"/>
    <w:rsid w:val="002934A3"/>
    <w:rsid w:val="00293851"/>
    <w:rsid w:val="002938C9"/>
    <w:rsid w:val="00293A01"/>
    <w:rsid w:val="00293CEC"/>
    <w:rsid w:val="00294A5A"/>
    <w:rsid w:val="00295792"/>
    <w:rsid w:val="00295919"/>
    <w:rsid w:val="002968A3"/>
    <w:rsid w:val="00296BAA"/>
    <w:rsid w:val="00296D62"/>
    <w:rsid w:val="00297175"/>
    <w:rsid w:val="00297281"/>
    <w:rsid w:val="00297A47"/>
    <w:rsid w:val="002A0160"/>
    <w:rsid w:val="002A0A9A"/>
    <w:rsid w:val="002A0EBE"/>
    <w:rsid w:val="002A10BA"/>
    <w:rsid w:val="002A19B0"/>
    <w:rsid w:val="002A22CE"/>
    <w:rsid w:val="002A2893"/>
    <w:rsid w:val="002A3244"/>
    <w:rsid w:val="002A4359"/>
    <w:rsid w:val="002A4AD5"/>
    <w:rsid w:val="002A4B1D"/>
    <w:rsid w:val="002A5449"/>
    <w:rsid w:val="002A5891"/>
    <w:rsid w:val="002A5973"/>
    <w:rsid w:val="002A601A"/>
    <w:rsid w:val="002A62B8"/>
    <w:rsid w:val="002A6C73"/>
    <w:rsid w:val="002A76E3"/>
    <w:rsid w:val="002A7BD3"/>
    <w:rsid w:val="002B03F1"/>
    <w:rsid w:val="002B0C18"/>
    <w:rsid w:val="002B1937"/>
    <w:rsid w:val="002B1BC5"/>
    <w:rsid w:val="002B291D"/>
    <w:rsid w:val="002B2ABF"/>
    <w:rsid w:val="002B3089"/>
    <w:rsid w:val="002B39DE"/>
    <w:rsid w:val="002B411A"/>
    <w:rsid w:val="002B419C"/>
    <w:rsid w:val="002B4753"/>
    <w:rsid w:val="002B4DEF"/>
    <w:rsid w:val="002B4FD6"/>
    <w:rsid w:val="002B53BA"/>
    <w:rsid w:val="002B5E2B"/>
    <w:rsid w:val="002B5F8A"/>
    <w:rsid w:val="002B6DAA"/>
    <w:rsid w:val="002C0DC9"/>
    <w:rsid w:val="002C1D5A"/>
    <w:rsid w:val="002C2426"/>
    <w:rsid w:val="002C2534"/>
    <w:rsid w:val="002C2B3E"/>
    <w:rsid w:val="002C3D4E"/>
    <w:rsid w:val="002C4277"/>
    <w:rsid w:val="002C4611"/>
    <w:rsid w:val="002C462C"/>
    <w:rsid w:val="002C5553"/>
    <w:rsid w:val="002C59DF"/>
    <w:rsid w:val="002C62C7"/>
    <w:rsid w:val="002C70BF"/>
    <w:rsid w:val="002C7AB7"/>
    <w:rsid w:val="002C7E80"/>
    <w:rsid w:val="002D09C5"/>
    <w:rsid w:val="002D1940"/>
    <w:rsid w:val="002D200C"/>
    <w:rsid w:val="002D2783"/>
    <w:rsid w:val="002D31B7"/>
    <w:rsid w:val="002D362F"/>
    <w:rsid w:val="002D3FD6"/>
    <w:rsid w:val="002D617D"/>
    <w:rsid w:val="002D68F8"/>
    <w:rsid w:val="002D6F3C"/>
    <w:rsid w:val="002D708B"/>
    <w:rsid w:val="002D70F7"/>
    <w:rsid w:val="002D711A"/>
    <w:rsid w:val="002D7336"/>
    <w:rsid w:val="002D78E6"/>
    <w:rsid w:val="002D7DBC"/>
    <w:rsid w:val="002E0726"/>
    <w:rsid w:val="002E0C12"/>
    <w:rsid w:val="002E15FE"/>
    <w:rsid w:val="002E1B0A"/>
    <w:rsid w:val="002E1E8B"/>
    <w:rsid w:val="002E1EFC"/>
    <w:rsid w:val="002E2AEB"/>
    <w:rsid w:val="002E2FFF"/>
    <w:rsid w:val="002E3396"/>
    <w:rsid w:val="002E3A4A"/>
    <w:rsid w:val="002E4213"/>
    <w:rsid w:val="002E4C67"/>
    <w:rsid w:val="002E6261"/>
    <w:rsid w:val="002E6E3B"/>
    <w:rsid w:val="002E701C"/>
    <w:rsid w:val="002E782D"/>
    <w:rsid w:val="002F2141"/>
    <w:rsid w:val="002F23B4"/>
    <w:rsid w:val="002F2953"/>
    <w:rsid w:val="002F345F"/>
    <w:rsid w:val="002F4173"/>
    <w:rsid w:val="002F463B"/>
    <w:rsid w:val="002F4D94"/>
    <w:rsid w:val="002F4DA8"/>
    <w:rsid w:val="002F5098"/>
    <w:rsid w:val="002F5454"/>
    <w:rsid w:val="002F5B10"/>
    <w:rsid w:val="002F6877"/>
    <w:rsid w:val="002F6CFD"/>
    <w:rsid w:val="00300BD4"/>
    <w:rsid w:val="003013DB"/>
    <w:rsid w:val="00302C5D"/>
    <w:rsid w:val="003030E8"/>
    <w:rsid w:val="003036EA"/>
    <w:rsid w:val="00303CF8"/>
    <w:rsid w:val="00303E66"/>
    <w:rsid w:val="00303F76"/>
    <w:rsid w:val="00304BBB"/>
    <w:rsid w:val="0030500B"/>
    <w:rsid w:val="00305CE7"/>
    <w:rsid w:val="00306E05"/>
    <w:rsid w:val="003070A5"/>
    <w:rsid w:val="003071DA"/>
    <w:rsid w:val="0030751B"/>
    <w:rsid w:val="003075D7"/>
    <w:rsid w:val="00307924"/>
    <w:rsid w:val="00307A6C"/>
    <w:rsid w:val="00307F52"/>
    <w:rsid w:val="003103CD"/>
    <w:rsid w:val="0031050F"/>
    <w:rsid w:val="00310652"/>
    <w:rsid w:val="00310E0C"/>
    <w:rsid w:val="0031111A"/>
    <w:rsid w:val="0031111B"/>
    <w:rsid w:val="0031149C"/>
    <w:rsid w:val="003125E9"/>
    <w:rsid w:val="003133B7"/>
    <w:rsid w:val="003135C5"/>
    <w:rsid w:val="00313790"/>
    <w:rsid w:val="00313E24"/>
    <w:rsid w:val="00314ED1"/>
    <w:rsid w:val="00315B8F"/>
    <w:rsid w:val="00315FD7"/>
    <w:rsid w:val="00316324"/>
    <w:rsid w:val="00316618"/>
    <w:rsid w:val="00316FC9"/>
    <w:rsid w:val="003170FA"/>
    <w:rsid w:val="00317532"/>
    <w:rsid w:val="003175EA"/>
    <w:rsid w:val="00317A39"/>
    <w:rsid w:val="00317B43"/>
    <w:rsid w:val="00320527"/>
    <w:rsid w:val="00320A2A"/>
    <w:rsid w:val="003211E5"/>
    <w:rsid w:val="00321280"/>
    <w:rsid w:val="00321A46"/>
    <w:rsid w:val="00321EA8"/>
    <w:rsid w:val="00322B6C"/>
    <w:rsid w:val="00323623"/>
    <w:rsid w:val="00323E65"/>
    <w:rsid w:val="003248CE"/>
    <w:rsid w:val="00325E21"/>
    <w:rsid w:val="0032618A"/>
    <w:rsid w:val="00326BCC"/>
    <w:rsid w:val="00326EC7"/>
    <w:rsid w:val="00327C3F"/>
    <w:rsid w:val="00327C49"/>
    <w:rsid w:val="00327CD8"/>
    <w:rsid w:val="00330073"/>
    <w:rsid w:val="00330AF2"/>
    <w:rsid w:val="003319F1"/>
    <w:rsid w:val="0033234D"/>
    <w:rsid w:val="00332561"/>
    <w:rsid w:val="00332CE3"/>
    <w:rsid w:val="0033301B"/>
    <w:rsid w:val="003332BB"/>
    <w:rsid w:val="00333447"/>
    <w:rsid w:val="00333596"/>
    <w:rsid w:val="00333987"/>
    <w:rsid w:val="00334BDB"/>
    <w:rsid w:val="003350F9"/>
    <w:rsid w:val="0033515C"/>
    <w:rsid w:val="00335A7B"/>
    <w:rsid w:val="00336FAE"/>
    <w:rsid w:val="00337091"/>
    <w:rsid w:val="00340C59"/>
    <w:rsid w:val="00340D2B"/>
    <w:rsid w:val="00341535"/>
    <w:rsid w:val="00342B5A"/>
    <w:rsid w:val="00343110"/>
    <w:rsid w:val="003442C5"/>
    <w:rsid w:val="00345B45"/>
    <w:rsid w:val="00345B52"/>
    <w:rsid w:val="00345F0B"/>
    <w:rsid w:val="00346068"/>
    <w:rsid w:val="00346308"/>
    <w:rsid w:val="00346E84"/>
    <w:rsid w:val="00347F58"/>
    <w:rsid w:val="00350441"/>
    <w:rsid w:val="00350448"/>
    <w:rsid w:val="0035063B"/>
    <w:rsid w:val="00350891"/>
    <w:rsid w:val="00350A35"/>
    <w:rsid w:val="00350B22"/>
    <w:rsid w:val="00350BEC"/>
    <w:rsid w:val="00350C9F"/>
    <w:rsid w:val="00352EBC"/>
    <w:rsid w:val="003530F2"/>
    <w:rsid w:val="003539E3"/>
    <w:rsid w:val="00353B66"/>
    <w:rsid w:val="00353FD8"/>
    <w:rsid w:val="003546DF"/>
    <w:rsid w:val="00354D98"/>
    <w:rsid w:val="00356FFA"/>
    <w:rsid w:val="003604F8"/>
    <w:rsid w:val="00360570"/>
    <w:rsid w:val="00360E9D"/>
    <w:rsid w:val="00361ACF"/>
    <w:rsid w:val="00361E36"/>
    <w:rsid w:val="00362A5F"/>
    <w:rsid w:val="003630FB"/>
    <w:rsid w:val="00363E40"/>
    <w:rsid w:val="0036424A"/>
    <w:rsid w:val="00364BA8"/>
    <w:rsid w:val="0036501A"/>
    <w:rsid w:val="003672D6"/>
    <w:rsid w:val="0036778F"/>
    <w:rsid w:val="00367B89"/>
    <w:rsid w:val="00367E26"/>
    <w:rsid w:val="0037013D"/>
    <w:rsid w:val="0037054F"/>
    <w:rsid w:val="00371A81"/>
    <w:rsid w:val="00371B7A"/>
    <w:rsid w:val="00372619"/>
    <w:rsid w:val="00376B90"/>
    <w:rsid w:val="00376D5D"/>
    <w:rsid w:val="003776AF"/>
    <w:rsid w:val="00380082"/>
    <w:rsid w:val="00380370"/>
    <w:rsid w:val="00380448"/>
    <w:rsid w:val="0038070E"/>
    <w:rsid w:val="0038092F"/>
    <w:rsid w:val="00381F01"/>
    <w:rsid w:val="00382249"/>
    <w:rsid w:val="003822EA"/>
    <w:rsid w:val="00382444"/>
    <w:rsid w:val="00382624"/>
    <w:rsid w:val="00382EBE"/>
    <w:rsid w:val="003835FD"/>
    <w:rsid w:val="003841D9"/>
    <w:rsid w:val="00384AB1"/>
    <w:rsid w:val="00384B91"/>
    <w:rsid w:val="00384DF1"/>
    <w:rsid w:val="00384DF3"/>
    <w:rsid w:val="003855D5"/>
    <w:rsid w:val="00385830"/>
    <w:rsid w:val="00385D03"/>
    <w:rsid w:val="00385F21"/>
    <w:rsid w:val="00385FB7"/>
    <w:rsid w:val="00386BE4"/>
    <w:rsid w:val="00387542"/>
    <w:rsid w:val="0038771C"/>
    <w:rsid w:val="00387757"/>
    <w:rsid w:val="003918AC"/>
    <w:rsid w:val="003920EA"/>
    <w:rsid w:val="00392CA6"/>
    <w:rsid w:val="00393288"/>
    <w:rsid w:val="0039522F"/>
    <w:rsid w:val="0039629C"/>
    <w:rsid w:val="00397618"/>
    <w:rsid w:val="00397832"/>
    <w:rsid w:val="003A06D7"/>
    <w:rsid w:val="003A0E10"/>
    <w:rsid w:val="003A1856"/>
    <w:rsid w:val="003A197D"/>
    <w:rsid w:val="003A2028"/>
    <w:rsid w:val="003A208A"/>
    <w:rsid w:val="003A210F"/>
    <w:rsid w:val="003A2BC2"/>
    <w:rsid w:val="003A430B"/>
    <w:rsid w:val="003A4771"/>
    <w:rsid w:val="003A490D"/>
    <w:rsid w:val="003A541A"/>
    <w:rsid w:val="003A67D4"/>
    <w:rsid w:val="003A6923"/>
    <w:rsid w:val="003B0215"/>
    <w:rsid w:val="003B0441"/>
    <w:rsid w:val="003B05D2"/>
    <w:rsid w:val="003B0817"/>
    <w:rsid w:val="003B12F7"/>
    <w:rsid w:val="003B163E"/>
    <w:rsid w:val="003B405B"/>
    <w:rsid w:val="003B4A33"/>
    <w:rsid w:val="003B4ABD"/>
    <w:rsid w:val="003B7E06"/>
    <w:rsid w:val="003C09B1"/>
    <w:rsid w:val="003C0AA6"/>
    <w:rsid w:val="003C0F7F"/>
    <w:rsid w:val="003C1B48"/>
    <w:rsid w:val="003C1EC8"/>
    <w:rsid w:val="003C226A"/>
    <w:rsid w:val="003C2C67"/>
    <w:rsid w:val="003C2D4C"/>
    <w:rsid w:val="003C369D"/>
    <w:rsid w:val="003C3858"/>
    <w:rsid w:val="003C3B3A"/>
    <w:rsid w:val="003C4E1A"/>
    <w:rsid w:val="003C547C"/>
    <w:rsid w:val="003C5B93"/>
    <w:rsid w:val="003C5BA4"/>
    <w:rsid w:val="003C6228"/>
    <w:rsid w:val="003D0CA6"/>
    <w:rsid w:val="003D0E13"/>
    <w:rsid w:val="003D2050"/>
    <w:rsid w:val="003D20AC"/>
    <w:rsid w:val="003D2594"/>
    <w:rsid w:val="003D333B"/>
    <w:rsid w:val="003D3F0E"/>
    <w:rsid w:val="003D487E"/>
    <w:rsid w:val="003D5A7B"/>
    <w:rsid w:val="003E0395"/>
    <w:rsid w:val="003E0F05"/>
    <w:rsid w:val="003E15BA"/>
    <w:rsid w:val="003E1A31"/>
    <w:rsid w:val="003E1FAF"/>
    <w:rsid w:val="003E2C02"/>
    <w:rsid w:val="003E3D66"/>
    <w:rsid w:val="003E3E26"/>
    <w:rsid w:val="003E447F"/>
    <w:rsid w:val="003E47FD"/>
    <w:rsid w:val="003E4C40"/>
    <w:rsid w:val="003E4F8F"/>
    <w:rsid w:val="003E51AE"/>
    <w:rsid w:val="003E53B0"/>
    <w:rsid w:val="003E6384"/>
    <w:rsid w:val="003E7808"/>
    <w:rsid w:val="003E79F3"/>
    <w:rsid w:val="003F026C"/>
    <w:rsid w:val="003F0E11"/>
    <w:rsid w:val="003F1295"/>
    <w:rsid w:val="003F1C69"/>
    <w:rsid w:val="003F22DA"/>
    <w:rsid w:val="003F2490"/>
    <w:rsid w:val="003F29DC"/>
    <w:rsid w:val="003F3071"/>
    <w:rsid w:val="003F30D7"/>
    <w:rsid w:val="003F316A"/>
    <w:rsid w:val="003F5102"/>
    <w:rsid w:val="003F5BFD"/>
    <w:rsid w:val="003F5FBE"/>
    <w:rsid w:val="003F6577"/>
    <w:rsid w:val="003F70B3"/>
    <w:rsid w:val="003F72A9"/>
    <w:rsid w:val="003F76FC"/>
    <w:rsid w:val="003F7B12"/>
    <w:rsid w:val="003F7B23"/>
    <w:rsid w:val="003F7ED5"/>
    <w:rsid w:val="004002EB"/>
    <w:rsid w:val="00400708"/>
    <w:rsid w:val="0040183F"/>
    <w:rsid w:val="004019D2"/>
    <w:rsid w:val="00401FB1"/>
    <w:rsid w:val="0040312A"/>
    <w:rsid w:val="0040339C"/>
    <w:rsid w:val="00404964"/>
    <w:rsid w:val="00405D22"/>
    <w:rsid w:val="00406562"/>
    <w:rsid w:val="00406ECF"/>
    <w:rsid w:val="004079AD"/>
    <w:rsid w:val="00407A79"/>
    <w:rsid w:val="00407D3D"/>
    <w:rsid w:val="004108A6"/>
    <w:rsid w:val="004109EB"/>
    <w:rsid w:val="00410C46"/>
    <w:rsid w:val="00410E33"/>
    <w:rsid w:val="00410E8B"/>
    <w:rsid w:val="00410F41"/>
    <w:rsid w:val="004115AE"/>
    <w:rsid w:val="00412348"/>
    <w:rsid w:val="00412BC1"/>
    <w:rsid w:val="004134BC"/>
    <w:rsid w:val="0041494C"/>
    <w:rsid w:val="00414BA1"/>
    <w:rsid w:val="00414E9B"/>
    <w:rsid w:val="00415938"/>
    <w:rsid w:val="00420A44"/>
    <w:rsid w:val="004214F8"/>
    <w:rsid w:val="00422068"/>
    <w:rsid w:val="00422DDC"/>
    <w:rsid w:val="004231B5"/>
    <w:rsid w:val="004236C8"/>
    <w:rsid w:val="004238A2"/>
    <w:rsid w:val="00423E33"/>
    <w:rsid w:val="00423F00"/>
    <w:rsid w:val="004248FC"/>
    <w:rsid w:val="004253EF"/>
    <w:rsid w:val="00425AA1"/>
    <w:rsid w:val="00425CF3"/>
    <w:rsid w:val="0042612B"/>
    <w:rsid w:val="00426197"/>
    <w:rsid w:val="00427681"/>
    <w:rsid w:val="0042784A"/>
    <w:rsid w:val="00427F28"/>
    <w:rsid w:val="00430737"/>
    <w:rsid w:val="00430762"/>
    <w:rsid w:val="00431664"/>
    <w:rsid w:val="00431D13"/>
    <w:rsid w:val="0043259E"/>
    <w:rsid w:val="00433DB7"/>
    <w:rsid w:val="00434863"/>
    <w:rsid w:val="00436043"/>
    <w:rsid w:val="0043696B"/>
    <w:rsid w:val="004375F9"/>
    <w:rsid w:val="004377C0"/>
    <w:rsid w:val="0043786B"/>
    <w:rsid w:val="00437CB4"/>
    <w:rsid w:val="00437D10"/>
    <w:rsid w:val="00437D8A"/>
    <w:rsid w:val="0044011F"/>
    <w:rsid w:val="00440AB9"/>
    <w:rsid w:val="004412DE"/>
    <w:rsid w:val="00441870"/>
    <w:rsid w:val="00441A1C"/>
    <w:rsid w:val="00441AF0"/>
    <w:rsid w:val="00442828"/>
    <w:rsid w:val="004443B3"/>
    <w:rsid w:val="004448A0"/>
    <w:rsid w:val="00444905"/>
    <w:rsid w:val="00444FEC"/>
    <w:rsid w:val="004464A2"/>
    <w:rsid w:val="00447296"/>
    <w:rsid w:val="00447297"/>
    <w:rsid w:val="00447BB1"/>
    <w:rsid w:val="00447D9E"/>
    <w:rsid w:val="00447DF4"/>
    <w:rsid w:val="00452DD2"/>
    <w:rsid w:val="00453511"/>
    <w:rsid w:val="00453750"/>
    <w:rsid w:val="0045443C"/>
    <w:rsid w:val="0045458C"/>
    <w:rsid w:val="00454730"/>
    <w:rsid w:val="00455614"/>
    <w:rsid w:val="00455E07"/>
    <w:rsid w:val="00456220"/>
    <w:rsid w:val="00456941"/>
    <w:rsid w:val="00456B88"/>
    <w:rsid w:val="00460139"/>
    <w:rsid w:val="00460185"/>
    <w:rsid w:val="004606A7"/>
    <w:rsid w:val="00460BDE"/>
    <w:rsid w:val="00462F41"/>
    <w:rsid w:val="004631DB"/>
    <w:rsid w:val="00463438"/>
    <w:rsid w:val="00463937"/>
    <w:rsid w:val="00463C5A"/>
    <w:rsid w:val="00465091"/>
    <w:rsid w:val="0046761E"/>
    <w:rsid w:val="00467F1A"/>
    <w:rsid w:val="004702EA"/>
    <w:rsid w:val="0047071E"/>
    <w:rsid w:val="00470C22"/>
    <w:rsid w:val="0047111B"/>
    <w:rsid w:val="00472341"/>
    <w:rsid w:val="004736F8"/>
    <w:rsid w:val="0047381F"/>
    <w:rsid w:val="00473890"/>
    <w:rsid w:val="00473D18"/>
    <w:rsid w:val="00474C11"/>
    <w:rsid w:val="00474C46"/>
    <w:rsid w:val="00475B38"/>
    <w:rsid w:val="00475FDA"/>
    <w:rsid w:val="004776A0"/>
    <w:rsid w:val="004777DB"/>
    <w:rsid w:val="00480362"/>
    <w:rsid w:val="004803DC"/>
    <w:rsid w:val="00480A1E"/>
    <w:rsid w:val="004812C1"/>
    <w:rsid w:val="00481E9A"/>
    <w:rsid w:val="004821E4"/>
    <w:rsid w:val="0048259C"/>
    <w:rsid w:val="004827B9"/>
    <w:rsid w:val="004827E5"/>
    <w:rsid w:val="00482868"/>
    <w:rsid w:val="00482D02"/>
    <w:rsid w:val="004830EF"/>
    <w:rsid w:val="0048337D"/>
    <w:rsid w:val="00483496"/>
    <w:rsid w:val="00484326"/>
    <w:rsid w:val="004845E4"/>
    <w:rsid w:val="00484B6A"/>
    <w:rsid w:val="00485F3C"/>
    <w:rsid w:val="0048602D"/>
    <w:rsid w:val="00490369"/>
    <w:rsid w:val="00491A3B"/>
    <w:rsid w:val="0049472E"/>
    <w:rsid w:val="00495135"/>
    <w:rsid w:val="00496846"/>
    <w:rsid w:val="004971EF"/>
    <w:rsid w:val="0049772C"/>
    <w:rsid w:val="00497EB0"/>
    <w:rsid w:val="004A0168"/>
    <w:rsid w:val="004A05C6"/>
    <w:rsid w:val="004A0B51"/>
    <w:rsid w:val="004A1137"/>
    <w:rsid w:val="004A3458"/>
    <w:rsid w:val="004A3C24"/>
    <w:rsid w:val="004A43A8"/>
    <w:rsid w:val="004A507F"/>
    <w:rsid w:val="004A679E"/>
    <w:rsid w:val="004A72C8"/>
    <w:rsid w:val="004A7519"/>
    <w:rsid w:val="004A7B5E"/>
    <w:rsid w:val="004B02A4"/>
    <w:rsid w:val="004B0471"/>
    <w:rsid w:val="004B0A93"/>
    <w:rsid w:val="004B23F3"/>
    <w:rsid w:val="004B284F"/>
    <w:rsid w:val="004B2A0D"/>
    <w:rsid w:val="004B2D77"/>
    <w:rsid w:val="004B332B"/>
    <w:rsid w:val="004B4456"/>
    <w:rsid w:val="004B5FFD"/>
    <w:rsid w:val="004B64B1"/>
    <w:rsid w:val="004B6C42"/>
    <w:rsid w:val="004B6FF8"/>
    <w:rsid w:val="004B7A9D"/>
    <w:rsid w:val="004C018F"/>
    <w:rsid w:val="004C07F3"/>
    <w:rsid w:val="004C0EE4"/>
    <w:rsid w:val="004C1020"/>
    <w:rsid w:val="004C1317"/>
    <w:rsid w:val="004C1ECD"/>
    <w:rsid w:val="004C2656"/>
    <w:rsid w:val="004C2B33"/>
    <w:rsid w:val="004C4848"/>
    <w:rsid w:val="004C61C2"/>
    <w:rsid w:val="004C79FC"/>
    <w:rsid w:val="004D01AC"/>
    <w:rsid w:val="004D030C"/>
    <w:rsid w:val="004D03F1"/>
    <w:rsid w:val="004D07B0"/>
    <w:rsid w:val="004D0894"/>
    <w:rsid w:val="004D08FF"/>
    <w:rsid w:val="004D0C7E"/>
    <w:rsid w:val="004D11A6"/>
    <w:rsid w:val="004D13A4"/>
    <w:rsid w:val="004D1B9C"/>
    <w:rsid w:val="004D2032"/>
    <w:rsid w:val="004D2178"/>
    <w:rsid w:val="004D3113"/>
    <w:rsid w:val="004D3518"/>
    <w:rsid w:val="004D3872"/>
    <w:rsid w:val="004D3982"/>
    <w:rsid w:val="004D47B3"/>
    <w:rsid w:val="004D4A4C"/>
    <w:rsid w:val="004D5020"/>
    <w:rsid w:val="004D542A"/>
    <w:rsid w:val="004D62D6"/>
    <w:rsid w:val="004D6670"/>
    <w:rsid w:val="004D6898"/>
    <w:rsid w:val="004D7778"/>
    <w:rsid w:val="004E0327"/>
    <w:rsid w:val="004E0721"/>
    <w:rsid w:val="004E0B97"/>
    <w:rsid w:val="004E1352"/>
    <w:rsid w:val="004E178B"/>
    <w:rsid w:val="004E1D8E"/>
    <w:rsid w:val="004E20D8"/>
    <w:rsid w:val="004E241B"/>
    <w:rsid w:val="004E252F"/>
    <w:rsid w:val="004E2EDE"/>
    <w:rsid w:val="004E3C1E"/>
    <w:rsid w:val="004E45DE"/>
    <w:rsid w:val="004E4F26"/>
    <w:rsid w:val="004E5CB6"/>
    <w:rsid w:val="004E6289"/>
    <w:rsid w:val="004E7885"/>
    <w:rsid w:val="004F00BC"/>
    <w:rsid w:val="004F0685"/>
    <w:rsid w:val="004F1607"/>
    <w:rsid w:val="004F1AEB"/>
    <w:rsid w:val="004F2019"/>
    <w:rsid w:val="004F256B"/>
    <w:rsid w:val="004F2668"/>
    <w:rsid w:val="004F2767"/>
    <w:rsid w:val="004F2A78"/>
    <w:rsid w:val="004F3D75"/>
    <w:rsid w:val="004F3F4E"/>
    <w:rsid w:val="004F533B"/>
    <w:rsid w:val="004F5C19"/>
    <w:rsid w:val="004F7B61"/>
    <w:rsid w:val="00501142"/>
    <w:rsid w:val="00501DA9"/>
    <w:rsid w:val="0050240E"/>
    <w:rsid w:val="0050248C"/>
    <w:rsid w:val="00502ECC"/>
    <w:rsid w:val="005036A9"/>
    <w:rsid w:val="00504084"/>
    <w:rsid w:val="005048E0"/>
    <w:rsid w:val="005054D3"/>
    <w:rsid w:val="00505B9C"/>
    <w:rsid w:val="00506A66"/>
    <w:rsid w:val="00506CDC"/>
    <w:rsid w:val="0050747E"/>
    <w:rsid w:val="005077B8"/>
    <w:rsid w:val="005079B2"/>
    <w:rsid w:val="00510167"/>
    <w:rsid w:val="00510927"/>
    <w:rsid w:val="00510EA6"/>
    <w:rsid w:val="00510EFA"/>
    <w:rsid w:val="0051134A"/>
    <w:rsid w:val="005115E2"/>
    <w:rsid w:val="00511E12"/>
    <w:rsid w:val="005121CF"/>
    <w:rsid w:val="005121E8"/>
    <w:rsid w:val="005129E5"/>
    <w:rsid w:val="00512A7B"/>
    <w:rsid w:val="0051343D"/>
    <w:rsid w:val="00513E86"/>
    <w:rsid w:val="0051465F"/>
    <w:rsid w:val="00514C2E"/>
    <w:rsid w:val="00514F0C"/>
    <w:rsid w:val="00515958"/>
    <w:rsid w:val="00516139"/>
    <w:rsid w:val="00517D64"/>
    <w:rsid w:val="00520136"/>
    <w:rsid w:val="00521148"/>
    <w:rsid w:val="00521211"/>
    <w:rsid w:val="00521228"/>
    <w:rsid w:val="00521BB2"/>
    <w:rsid w:val="00521CA5"/>
    <w:rsid w:val="005225E7"/>
    <w:rsid w:val="005226A0"/>
    <w:rsid w:val="00522A95"/>
    <w:rsid w:val="00522CB1"/>
    <w:rsid w:val="00522E63"/>
    <w:rsid w:val="005234AE"/>
    <w:rsid w:val="00523746"/>
    <w:rsid w:val="00523E77"/>
    <w:rsid w:val="005244A9"/>
    <w:rsid w:val="00524677"/>
    <w:rsid w:val="005246AA"/>
    <w:rsid w:val="00524786"/>
    <w:rsid w:val="00524FAB"/>
    <w:rsid w:val="00525008"/>
    <w:rsid w:val="0052502A"/>
    <w:rsid w:val="00525836"/>
    <w:rsid w:val="005301E1"/>
    <w:rsid w:val="005306A2"/>
    <w:rsid w:val="0053104B"/>
    <w:rsid w:val="00531544"/>
    <w:rsid w:val="005315DD"/>
    <w:rsid w:val="005317D4"/>
    <w:rsid w:val="00531EC7"/>
    <w:rsid w:val="005324CD"/>
    <w:rsid w:val="00532B47"/>
    <w:rsid w:val="005334EF"/>
    <w:rsid w:val="005337AF"/>
    <w:rsid w:val="0053416C"/>
    <w:rsid w:val="00534B95"/>
    <w:rsid w:val="005352F2"/>
    <w:rsid w:val="005365D7"/>
    <w:rsid w:val="00540565"/>
    <w:rsid w:val="00540BC5"/>
    <w:rsid w:val="0054164B"/>
    <w:rsid w:val="005416D7"/>
    <w:rsid w:val="00541C2F"/>
    <w:rsid w:val="00543CE1"/>
    <w:rsid w:val="0054403E"/>
    <w:rsid w:val="005446BF"/>
    <w:rsid w:val="00544912"/>
    <w:rsid w:val="00544D3A"/>
    <w:rsid w:val="0054501D"/>
    <w:rsid w:val="005450D9"/>
    <w:rsid w:val="005456CC"/>
    <w:rsid w:val="005458A5"/>
    <w:rsid w:val="00546178"/>
    <w:rsid w:val="00546208"/>
    <w:rsid w:val="005472C5"/>
    <w:rsid w:val="005472E3"/>
    <w:rsid w:val="00547A3D"/>
    <w:rsid w:val="00547A71"/>
    <w:rsid w:val="00547DF9"/>
    <w:rsid w:val="00550B97"/>
    <w:rsid w:val="005511AD"/>
    <w:rsid w:val="0055120E"/>
    <w:rsid w:val="005515F0"/>
    <w:rsid w:val="005526FC"/>
    <w:rsid w:val="00552DE4"/>
    <w:rsid w:val="00553018"/>
    <w:rsid w:val="00553300"/>
    <w:rsid w:val="005557F3"/>
    <w:rsid w:val="005563C9"/>
    <w:rsid w:val="00556980"/>
    <w:rsid w:val="0055702A"/>
    <w:rsid w:val="005609F4"/>
    <w:rsid w:val="00560AE5"/>
    <w:rsid w:val="00560C35"/>
    <w:rsid w:val="005619BB"/>
    <w:rsid w:val="005631CF"/>
    <w:rsid w:val="00563527"/>
    <w:rsid w:val="005642A5"/>
    <w:rsid w:val="00564480"/>
    <w:rsid w:val="00564697"/>
    <w:rsid w:val="00564CE7"/>
    <w:rsid w:val="00564F48"/>
    <w:rsid w:val="00565EC5"/>
    <w:rsid w:val="00567BF1"/>
    <w:rsid w:val="00570108"/>
    <w:rsid w:val="005703AF"/>
    <w:rsid w:val="0057194B"/>
    <w:rsid w:val="00571F0B"/>
    <w:rsid w:val="00572204"/>
    <w:rsid w:val="005734DA"/>
    <w:rsid w:val="0057407A"/>
    <w:rsid w:val="00575C66"/>
    <w:rsid w:val="00576382"/>
    <w:rsid w:val="00576E44"/>
    <w:rsid w:val="0057732D"/>
    <w:rsid w:val="0057793F"/>
    <w:rsid w:val="0058004A"/>
    <w:rsid w:val="0058124E"/>
    <w:rsid w:val="0058134D"/>
    <w:rsid w:val="005813B9"/>
    <w:rsid w:val="0058195C"/>
    <w:rsid w:val="00581B0C"/>
    <w:rsid w:val="00582912"/>
    <w:rsid w:val="00582929"/>
    <w:rsid w:val="00582A50"/>
    <w:rsid w:val="0058321E"/>
    <w:rsid w:val="00583EDD"/>
    <w:rsid w:val="005848A5"/>
    <w:rsid w:val="00584E3A"/>
    <w:rsid w:val="00585EE1"/>
    <w:rsid w:val="005875A3"/>
    <w:rsid w:val="005875B1"/>
    <w:rsid w:val="00587BD7"/>
    <w:rsid w:val="0059132F"/>
    <w:rsid w:val="00591D1C"/>
    <w:rsid w:val="005925F3"/>
    <w:rsid w:val="00592A1B"/>
    <w:rsid w:val="00592F42"/>
    <w:rsid w:val="00593414"/>
    <w:rsid w:val="0059349D"/>
    <w:rsid w:val="00593A04"/>
    <w:rsid w:val="00593B4E"/>
    <w:rsid w:val="00593EE2"/>
    <w:rsid w:val="0059428B"/>
    <w:rsid w:val="005943CB"/>
    <w:rsid w:val="005953EA"/>
    <w:rsid w:val="0059578E"/>
    <w:rsid w:val="0059609B"/>
    <w:rsid w:val="00596A71"/>
    <w:rsid w:val="00597B21"/>
    <w:rsid w:val="005A069A"/>
    <w:rsid w:val="005A0BC4"/>
    <w:rsid w:val="005A1ECC"/>
    <w:rsid w:val="005A2185"/>
    <w:rsid w:val="005A262D"/>
    <w:rsid w:val="005A33B9"/>
    <w:rsid w:val="005A33CA"/>
    <w:rsid w:val="005A3416"/>
    <w:rsid w:val="005A4861"/>
    <w:rsid w:val="005A4916"/>
    <w:rsid w:val="005A56CE"/>
    <w:rsid w:val="005A601C"/>
    <w:rsid w:val="005A62A1"/>
    <w:rsid w:val="005A711A"/>
    <w:rsid w:val="005A76DD"/>
    <w:rsid w:val="005A76F0"/>
    <w:rsid w:val="005B0179"/>
    <w:rsid w:val="005B0B6C"/>
    <w:rsid w:val="005B164F"/>
    <w:rsid w:val="005B1E49"/>
    <w:rsid w:val="005B27FE"/>
    <w:rsid w:val="005B3413"/>
    <w:rsid w:val="005B42E9"/>
    <w:rsid w:val="005B4BD7"/>
    <w:rsid w:val="005B4ED3"/>
    <w:rsid w:val="005B61F1"/>
    <w:rsid w:val="005B6262"/>
    <w:rsid w:val="005B76DF"/>
    <w:rsid w:val="005B7956"/>
    <w:rsid w:val="005B79CB"/>
    <w:rsid w:val="005C02B1"/>
    <w:rsid w:val="005C02FF"/>
    <w:rsid w:val="005C04F0"/>
    <w:rsid w:val="005C0D8F"/>
    <w:rsid w:val="005C0E91"/>
    <w:rsid w:val="005C12A8"/>
    <w:rsid w:val="005C140D"/>
    <w:rsid w:val="005C1D70"/>
    <w:rsid w:val="005C2958"/>
    <w:rsid w:val="005C2BDA"/>
    <w:rsid w:val="005C3A4D"/>
    <w:rsid w:val="005C51E5"/>
    <w:rsid w:val="005C5CA2"/>
    <w:rsid w:val="005C5DAA"/>
    <w:rsid w:val="005C7704"/>
    <w:rsid w:val="005C7952"/>
    <w:rsid w:val="005D04BF"/>
    <w:rsid w:val="005D064D"/>
    <w:rsid w:val="005D1197"/>
    <w:rsid w:val="005D2093"/>
    <w:rsid w:val="005D48A1"/>
    <w:rsid w:val="005D5AB3"/>
    <w:rsid w:val="005D610F"/>
    <w:rsid w:val="005D62FF"/>
    <w:rsid w:val="005D6B39"/>
    <w:rsid w:val="005D6C35"/>
    <w:rsid w:val="005D70CE"/>
    <w:rsid w:val="005D7579"/>
    <w:rsid w:val="005D794B"/>
    <w:rsid w:val="005E08D7"/>
    <w:rsid w:val="005E0B71"/>
    <w:rsid w:val="005E0D14"/>
    <w:rsid w:val="005E2B2E"/>
    <w:rsid w:val="005E3082"/>
    <w:rsid w:val="005E3083"/>
    <w:rsid w:val="005E34C8"/>
    <w:rsid w:val="005E36A8"/>
    <w:rsid w:val="005E3B38"/>
    <w:rsid w:val="005E3C00"/>
    <w:rsid w:val="005E3C74"/>
    <w:rsid w:val="005E4318"/>
    <w:rsid w:val="005E4C16"/>
    <w:rsid w:val="005E4C35"/>
    <w:rsid w:val="005E562F"/>
    <w:rsid w:val="005E57E1"/>
    <w:rsid w:val="005E5947"/>
    <w:rsid w:val="005E5CE7"/>
    <w:rsid w:val="005E642D"/>
    <w:rsid w:val="005E64A3"/>
    <w:rsid w:val="005E7556"/>
    <w:rsid w:val="005F009B"/>
    <w:rsid w:val="005F032E"/>
    <w:rsid w:val="005F0F53"/>
    <w:rsid w:val="005F11EA"/>
    <w:rsid w:val="005F1DFB"/>
    <w:rsid w:val="005F2214"/>
    <w:rsid w:val="005F2AB6"/>
    <w:rsid w:val="005F3112"/>
    <w:rsid w:val="005F4CB1"/>
    <w:rsid w:val="005F5422"/>
    <w:rsid w:val="005F5504"/>
    <w:rsid w:val="005F5DE1"/>
    <w:rsid w:val="005F61DF"/>
    <w:rsid w:val="005F6B02"/>
    <w:rsid w:val="005F71F3"/>
    <w:rsid w:val="005F7705"/>
    <w:rsid w:val="0060163A"/>
    <w:rsid w:val="006019A3"/>
    <w:rsid w:val="006019E2"/>
    <w:rsid w:val="00601A5D"/>
    <w:rsid w:val="00601BF8"/>
    <w:rsid w:val="006023F9"/>
    <w:rsid w:val="00602DEB"/>
    <w:rsid w:val="0060352A"/>
    <w:rsid w:val="006041DE"/>
    <w:rsid w:val="00605516"/>
    <w:rsid w:val="0060594F"/>
    <w:rsid w:val="00605BB1"/>
    <w:rsid w:val="006071C6"/>
    <w:rsid w:val="0060747F"/>
    <w:rsid w:val="00610084"/>
    <w:rsid w:val="00610166"/>
    <w:rsid w:val="00610559"/>
    <w:rsid w:val="00612223"/>
    <w:rsid w:val="00612535"/>
    <w:rsid w:val="00612797"/>
    <w:rsid w:val="006127EF"/>
    <w:rsid w:val="00612FBA"/>
    <w:rsid w:val="006136A6"/>
    <w:rsid w:val="00613727"/>
    <w:rsid w:val="00613A38"/>
    <w:rsid w:val="00614076"/>
    <w:rsid w:val="00614564"/>
    <w:rsid w:val="00614763"/>
    <w:rsid w:val="006149CC"/>
    <w:rsid w:val="00614FC1"/>
    <w:rsid w:val="00615358"/>
    <w:rsid w:val="00615479"/>
    <w:rsid w:val="0061571B"/>
    <w:rsid w:val="006158F1"/>
    <w:rsid w:val="00616087"/>
    <w:rsid w:val="006161BE"/>
    <w:rsid w:val="00617332"/>
    <w:rsid w:val="0061774D"/>
    <w:rsid w:val="00617BB5"/>
    <w:rsid w:val="00617F5A"/>
    <w:rsid w:val="0062037E"/>
    <w:rsid w:val="006208C4"/>
    <w:rsid w:val="00622DE2"/>
    <w:rsid w:val="00623975"/>
    <w:rsid w:val="00623EEA"/>
    <w:rsid w:val="00624264"/>
    <w:rsid w:val="0062432D"/>
    <w:rsid w:val="0062493A"/>
    <w:rsid w:val="006250D8"/>
    <w:rsid w:val="00625A39"/>
    <w:rsid w:val="00625EDE"/>
    <w:rsid w:val="00626254"/>
    <w:rsid w:val="00627961"/>
    <w:rsid w:val="00627EFF"/>
    <w:rsid w:val="00627F2A"/>
    <w:rsid w:val="006306CB"/>
    <w:rsid w:val="0063072D"/>
    <w:rsid w:val="00631A89"/>
    <w:rsid w:val="00632F2E"/>
    <w:rsid w:val="006332F6"/>
    <w:rsid w:val="00633522"/>
    <w:rsid w:val="00633C69"/>
    <w:rsid w:val="006348F6"/>
    <w:rsid w:val="00634E98"/>
    <w:rsid w:val="00635A06"/>
    <w:rsid w:val="00635C3E"/>
    <w:rsid w:val="0063612D"/>
    <w:rsid w:val="00636638"/>
    <w:rsid w:val="00636C91"/>
    <w:rsid w:val="00637B3A"/>
    <w:rsid w:val="006413F2"/>
    <w:rsid w:val="00641566"/>
    <w:rsid w:val="00642847"/>
    <w:rsid w:val="006431C1"/>
    <w:rsid w:val="0064396B"/>
    <w:rsid w:val="00643D10"/>
    <w:rsid w:val="00643D27"/>
    <w:rsid w:val="006448FF"/>
    <w:rsid w:val="00644998"/>
    <w:rsid w:val="00644B0A"/>
    <w:rsid w:val="006450B8"/>
    <w:rsid w:val="006459A5"/>
    <w:rsid w:val="00645E9B"/>
    <w:rsid w:val="006464AF"/>
    <w:rsid w:val="00646BC8"/>
    <w:rsid w:val="006509E0"/>
    <w:rsid w:val="0065162E"/>
    <w:rsid w:val="00651D4C"/>
    <w:rsid w:val="006524F0"/>
    <w:rsid w:val="006531A8"/>
    <w:rsid w:val="006534B2"/>
    <w:rsid w:val="0065404D"/>
    <w:rsid w:val="00654218"/>
    <w:rsid w:val="00655009"/>
    <w:rsid w:val="006553D0"/>
    <w:rsid w:val="00655440"/>
    <w:rsid w:val="00655A2B"/>
    <w:rsid w:val="0065606A"/>
    <w:rsid w:val="0065615D"/>
    <w:rsid w:val="006568F3"/>
    <w:rsid w:val="00656A95"/>
    <w:rsid w:val="00656B88"/>
    <w:rsid w:val="00657011"/>
    <w:rsid w:val="00657A3D"/>
    <w:rsid w:val="00657DA5"/>
    <w:rsid w:val="006600C2"/>
    <w:rsid w:val="006603D0"/>
    <w:rsid w:val="006614EB"/>
    <w:rsid w:val="00662077"/>
    <w:rsid w:val="006622BF"/>
    <w:rsid w:val="006625F4"/>
    <w:rsid w:val="00662B6E"/>
    <w:rsid w:val="00663221"/>
    <w:rsid w:val="00663A15"/>
    <w:rsid w:val="00663D5B"/>
    <w:rsid w:val="00663E8B"/>
    <w:rsid w:val="006644E0"/>
    <w:rsid w:val="006648FD"/>
    <w:rsid w:val="006650B5"/>
    <w:rsid w:val="006651B1"/>
    <w:rsid w:val="00665778"/>
    <w:rsid w:val="00665F10"/>
    <w:rsid w:val="00665F71"/>
    <w:rsid w:val="006661BF"/>
    <w:rsid w:val="00666DA1"/>
    <w:rsid w:val="0066749B"/>
    <w:rsid w:val="00670171"/>
    <w:rsid w:val="00670B71"/>
    <w:rsid w:val="00671D76"/>
    <w:rsid w:val="0067291A"/>
    <w:rsid w:val="00672F9E"/>
    <w:rsid w:val="006731D9"/>
    <w:rsid w:val="00673346"/>
    <w:rsid w:val="00673DB1"/>
    <w:rsid w:val="0067446C"/>
    <w:rsid w:val="00675960"/>
    <w:rsid w:val="00675CD0"/>
    <w:rsid w:val="00675D06"/>
    <w:rsid w:val="00675F4F"/>
    <w:rsid w:val="00676A98"/>
    <w:rsid w:val="00676E5F"/>
    <w:rsid w:val="006803D3"/>
    <w:rsid w:val="00680C71"/>
    <w:rsid w:val="00682873"/>
    <w:rsid w:val="00682BF2"/>
    <w:rsid w:val="00682C69"/>
    <w:rsid w:val="0068337B"/>
    <w:rsid w:val="006845E6"/>
    <w:rsid w:val="00684E3D"/>
    <w:rsid w:val="006867F2"/>
    <w:rsid w:val="00686C0B"/>
    <w:rsid w:val="00686EE0"/>
    <w:rsid w:val="0069027B"/>
    <w:rsid w:val="006902A5"/>
    <w:rsid w:val="006926E6"/>
    <w:rsid w:val="00692E90"/>
    <w:rsid w:val="00693B03"/>
    <w:rsid w:val="00693F54"/>
    <w:rsid w:val="006945CA"/>
    <w:rsid w:val="0069491B"/>
    <w:rsid w:val="00694E09"/>
    <w:rsid w:val="00695443"/>
    <w:rsid w:val="00696016"/>
    <w:rsid w:val="00696853"/>
    <w:rsid w:val="00697218"/>
    <w:rsid w:val="00697C11"/>
    <w:rsid w:val="00697FFA"/>
    <w:rsid w:val="006A00ED"/>
    <w:rsid w:val="006A0E73"/>
    <w:rsid w:val="006A3309"/>
    <w:rsid w:val="006A3482"/>
    <w:rsid w:val="006A3A5A"/>
    <w:rsid w:val="006A400F"/>
    <w:rsid w:val="006A4429"/>
    <w:rsid w:val="006A46C3"/>
    <w:rsid w:val="006A56A0"/>
    <w:rsid w:val="006A5B34"/>
    <w:rsid w:val="006A65BB"/>
    <w:rsid w:val="006A7F3C"/>
    <w:rsid w:val="006A7F91"/>
    <w:rsid w:val="006B0FFF"/>
    <w:rsid w:val="006B1696"/>
    <w:rsid w:val="006B178B"/>
    <w:rsid w:val="006B22EB"/>
    <w:rsid w:val="006B319F"/>
    <w:rsid w:val="006B337A"/>
    <w:rsid w:val="006B34C2"/>
    <w:rsid w:val="006B3A0C"/>
    <w:rsid w:val="006B3E62"/>
    <w:rsid w:val="006B3FF0"/>
    <w:rsid w:val="006B53FB"/>
    <w:rsid w:val="006B5918"/>
    <w:rsid w:val="006B5A7E"/>
    <w:rsid w:val="006B6474"/>
    <w:rsid w:val="006B6EB0"/>
    <w:rsid w:val="006B7359"/>
    <w:rsid w:val="006B74F2"/>
    <w:rsid w:val="006B75CC"/>
    <w:rsid w:val="006B7AF9"/>
    <w:rsid w:val="006C047B"/>
    <w:rsid w:val="006C13E2"/>
    <w:rsid w:val="006C20FE"/>
    <w:rsid w:val="006C21F9"/>
    <w:rsid w:val="006C2635"/>
    <w:rsid w:val="006C3B88"/>
    <w:rsid w:val="006C515F"/>
    <w:rsid w:val="006C5370"/>
    <w:rsid w:val="006C5EA9"/>
    <w:rsid w:val="006C7033"/>
    <w:rsid w:val="006C73F6"/>
    <w:rsid w:val="006C77A9"/>
    <w:rsid w:val="006C78BF"/>
    <w:rsid w:val="006D02CB"/>
    <w:rsid w:val="006D05BB"/>
    <w:rsid w:val="006D0ECB"/>
    <w:rsid w:val="006D0EF1"/>
    <w:rsid w:val="006D1DE3"/>
    <w:rsid w:val="006D214B"/>
    <w:rsid w:val="006D2B1F"/>
    <w:rsid w:val="006D37E3"/>
    <w:rsid w:val="006D3BE4"/>
    <w:rsid w:val="006D4720"/>
    <w:rsid w:val="006D48F8"/>
    <w:rsid w:val="006D507D"/>
    <w:rsid w:val="006D527D"/>
    <w:rsid w:val="006D55DD"/>
    <w:rsid w:val="006D5B85"/>
    <w:rsid w:val="006D7382"/>
    <w:rsid w:val="006D7B71"/>
    <w:rsid w:val="006E107F"/>
    <w:rsid w:val="006E133C"/>
    <w:rsid w:val="006E1D73"/>
    <w:rsid w:val="006E1EE4"/>
    <w:rsid w:val="006E23E0"/>
    <w:rsid w:val="006E276D"/>
    <w:rsid w:val="006E29D4"/>
    <w:rsid w:val="006E2CAE"/>
    <w:rsid w:val="006E32EC"/>
    <w:rsid w:val="006E35CE"/>
    <w:rsid w:val="006E4059"/>
    <w:rsid w:val="006E4D85"/>
    <w:rsid w:val="006E5501"/>
    <w:rsid w:val="006E573A"/>
    <w:rsid w:val="006E5AAD"/>
    <w:rsid w:val="006E61DF"/>
    <w:rsid w:val="006E627C"/>
    <w:rsid w:val="006E67CD"/>
    <w:rsid w:val="006E6CDF"/>
    <w:rsid w:val="006E7C80"/>
    <w:rsid w:val="006F023B"/>
    <w:rsid w:val="006F0B85"/>
    <w:rsid w:val="006F134A"/>
    <w:rsid w:val="006F2329"/>
    <w:rsid w:val="006F2CC0"/>
    <w:rsid w:val="006F2D3B"/>
    <w:rsid w:val="006F314D"/>
    <w:rsid w:val="006F3438"/>
    <w:rsid w:val="006F37F2"/>
    <w:rsid w:val="006F3E7E"/>
    <w:rsid w:val="006F4684"/>
    <w:rsid w:val="006F47A4"/>
    <w:rsid w:val="006F4BE5"/>
    <w:rsid w:val="006F5622"/>
    <w:rsid w:val="006F6693"/>
    <w:rsid w:val="006F6FF8"/>
    <w:rsid w:val="006F7551"/>
    <w:rsid w:val="006F775E"/>
    <w:rsid w:val="006F7F1E"/>
    <w:rsid w:val="00700934"/>
    <w:rsid w:val="00701803"/>
    <w:rsid w:val="0070267E"/>
    <w:rsid w:val="00702EA1"/>
    <w:rsid w:val="00704177"/>
    <w:rsid w:val="0070417C"/>
    <w:rsid w:val="00704EAC"/>
    <w:rsid w:val="00705E6D"/>
    <w:rsid w:val="007061D2"/>
    <w:rsid w:val="007062EF"/>
    <w:rsid w:val="00706AE8"/>
    <w:rsid w:val="00706FB9"/>
    <w:rsid w:val="00707673"/>
    <w:rsid w:val="00707AE8"/>
    <w:rsid w:val="00707FE8"/>
    <w:rsid w:val="00710128"/>
    <w:rsid w:val="0071016F"/>
    <w:rsid w:val="007107B8"/>
    <w:rsid w:val="007112F6"/>
    <w:rsid w:val="00711AA8"/>
    <w:rsid w:val="00711FEA"/>
    <w:rsid w:val="007123AF"/>
    <w:rsid w:val="00712786"/>
    <w:rsid w:val="0071294F"/>
    <w:rsid w:val="00712A0D"/>
    <w:rsid w:val="0071480D"/>
    <w:rsid w:val="007148AA"/>
    <w:rsid w:val="00714AAE"/>
    <w:rsid w:val="00721BA7"/>
    <w:rsid w:val="00721C0A"/>
    <w:rsid w:val="00722C79"/>
    <w:rsid w:val="00722CBF"/>
    <w:rsid w:val="0072384E"/>
    <w:rsid w:val="00723BB3"/>
    <w:rsid w:val="00724962"/>
    <w:rsid w:val="00724A0F"/>
    <w:rsid w:val="00724AE2"/>
    <w:rsid w:val="00725857"/>
    <w:rsid w:val="0072640D"/>
    <w:rsid w:val="00726D2F"/>
    <w:rsid w:val="007271D7"/>
    <w:rsid w:val="00727C4B"/>
    <w:rsid w:val="00727E40"/>
    <w:rsid w:val="00730A52"/>
    <w:rsid w:val="00730E6E"/>
    <w:rsid w:val="00731743"/>
    <w:rsid w:val="0073216E"/>
    <w:rsid w:val="00732521"/>
    <w:rsid w:val="0073420D"/>
    <w:rsid w:val="00734F78"/>
    <w:rsid w:val="00734FD0"/>
    <w:rsid w:val="0073605A"/>
    <w:rsid w:val="00736732"/>
    <w:rsid w:val="007367E1"/>
    <w:rsid w:val="0073746B"/>
    <w:rsid w:val="007378BC"/>
    <w:rsid w:val="00737B72"/>
    <w:rsid w:val="00740019"/>
    <w:rsid w:val="00740A4B"/>
    <w:rsid w:val="00740A52"/>
    <w:rsid w:val="007412D1"/>
    <w:rsid w:val="00741749"/>
    <w:rsid w:val="00742914"/>
    <w:rsid w:val="0074293F"/>
    <w:rsid w:val="00742E74"/>
    <w:rsid w:val="007432F9"/>
    <w:rsid w:val="007442E6"/>
    <w:rsid w:val="0074432F"/>
    <w:rsid w:val="00744772"/>
    <w:rsid w:val="00744812"/>
    <w:rsid w:val="00746232"/>
    <w:rsid w:val="00746426"/>
    <w:rsid w:val="007470BC"/>
    <w:rsid w:val="007479CD"/>
    <w:rsid w:val="00747C27"/>
    <w:rsid w:val="00747C87"/>
    <w:rsid w:val="00747D68"/>
    <w:rsid w:val="00750944"/>
    <w:rsid w:val="00750ADA"/>
    <w:rsid w:val="00750BF9"/>
    <w:rsid w:val="00750CBE"/>
    <w:rsid w:val="00750DCD"/>
    <w:rsid w:val="007516FA"/>
    <w:rsid w:val="00751EBF"/>
    <w:rsid w:val="007528BB"/>
    <w:rsid w:val="0075299B"/>
    <w:rsid w:val="00752E3A"/>
    <w:rsid w:val="0075306F"/>
    <w:rsid w:val="00753BD6"/>
    <w:rsid w:val="00753E0B"/>
    <w:rsid w:val="007553D8"/>
    <w:rsid w:val="00755C36"/>
    <w:rsid w:val="007566E8"/>
    <w:rsid w:val="00756984"/>
    <w:rsid w:val="0075762D"/>
    <w:rsid w:val="007576B2"/>
    <w:rsid w:val="00760164"/>
    <w:rsid w:val="00760818"/>
    <w:rsid w:val="007608C4"/>
    <w:rsid w:val="00761421"/>
    <w:rsid w:val="007617E2"/>
    <w:rsid w:val="00761873"/>
    <w:rsid w:val="00761FFF"/>
    <w:rsid w:val="007626FA"/>
    <w:rsid w:val="00762FE0"/>
    <w:rsid w:val="0076343B"/>
    <w:rsid w:val="0076444F"/>
    <w:rsid w:val="007650D2"/>
    <w:rsid w:val="007653F1"/>
    <w:rsid w:val="007659C1"/>
    <w:rsid w:val="007662CE"/>
    <w:rsid w:val="007663FA"/>
    <w:rsid w:val="00766B5A"/>
    <w:rsid w:val="0076785D"/>
    <w:rsid w:val="00767B8C"/>
    <w:rsid w:val="00767DF3"/>
    <w:rsid w:val="00771A0D"/>
    <w:rsid w:val="00772209"/>
    <w:rsid w:val="00772BB5"/>
    <w:rsid w:val="00773648"/>
    <w:rsid w:val="0077528C"/>
    <w:rsid w:val="00775389"/>
    <w:rsid w:val="00776C61"/>
    <w:rsid w:val="007770A5"/>
    <w:rsid w:val="00777ABD"/>
    <w:rsid w:val="00777D78"/>
    <w:rsid w:val="007808D0"/>
    <w:rsid w:val="00780CD0"/>
    <w:rsid w:val="007817FB"/>
    <w:rsid w:val="007819A1"/>
    <w:rsid w:val="00781A61"/>
    <w:rsid w:val="00781DD7"/>
    <w:rsid w:val="00781F31"/>
    <w:rsid w:val="00782239"/>
    <w:rsid w:val="00782E5F"/>
    <w:rsid w:val="007834F2"/>
    <w:rsid w:val="00784137"/>
    <w:rsid w:val="0078432C"/>
    <w:rsid w:val="00784A96"/>
    <w:rsid w:val="007858F1"/>
    <w:rsid w:val="00785BA3"/>
    <w:rsid w:val="00785D18"/>
    <w:rsid w:val="00785EF2"/>
    <w:rsid w:val="00787CAC"/>
    <w:rsid w:val="0079059C"/>
    <w:rsid w:val="007906F7"/>
    <w:rsid w:val="007909E4"/>
    <w:rsid w:val="00790E4B"/>
    <w:rsid w:val="00791020"/>
    <w:rsid w:val="00792164"/>
    <w:rsid w:val="007944BD"/>
    <w:rsid w:val="00795311"/>
    <w:rsid w:val="007954FB"/>
    <w:rsid w:val="0079631C"/>
    <w:rsid w:val="00796484"/>
    <w:rsid w:val="0079720B"/>
    <w:rsid w:val="007A04D2"/>
    <w:rsid w:val="007A10C4"/>
    <w:rsid w:val="007A11D4"/>
    <w:rsid w:val="007A19DC"/>
    <w:rsid w:val="007A225C"/>
    <w:rsid w:val="007A2628"/>
    <w:rsid w:val="007A2690"/>
    <w:rsid w:val="007A394A"/>
    <w:rsid w:val="007A550B"/>
    <w:rsid w:val="007A59E7"/>
    <w:rsid w:val="007A5F82"/>
    <w:rsid w:val="007A606F"/>
    <w:rsid w:val="007A782A"/>
    <w:rsid w:val="007B02EA"/>
    <w:rsid w:val="007B15EC"/>
    <w:rsid w:val="007B19B7"/>
    <w:rsid w:val="007B2109"/>
    <w:rsid w:val="007B232B"/>
    <w:rsid w:val="007B27D9"/>
    <w:rsid w:val="007B2ACB"/>
    <w:rsid w:val="007B353F"/>
    <w:rsid w:val="007B35FB"/>
    <w:rsid w:val="007B381A"/>
    <w:rsid w:val="007B3ECE"/>
    <w:rsid w:val="007B42D6"/>
    <w:rsid w:val="007B5052"/>
    <w:rsid w:val="007B55C7"/>
    <w:rsid w:val="007B5634"/>
    <w:rsid w:val="007B56BC"/>
    <w:rsid w:val="007B6253"/>
    <w:rsid w:val="007C13E5"/>
    <w:rsid w:val="007C1D84"/>
    <w:rsid w:val="007C2ACB"/>
    <w:rsid w:val="007C3389"/>
    <w:rsid w:val="007C33E0"/>
    <w:rsid w:val="007C375B"/>
    <w:rsid w:val="007C37D2"/>
    <w:rsid w:val="007C3936"/>
    <w:rsid w:val="007C4AE4"/>
    <w:rsid w:val="007C4CB8"/>
    <w:rsid w:val="007C514F"/>
    <w:rsid w:val="007C5180"/>
    <w:rsid w:val="007C680F"/>
    <w:rsid w:val="007C6D0E"/>
    <w:rsid w:val="007C6E31"/>
    <w:rsid w:val="007C723D"/>
    <w:rsid w:val="007C77B2"/>
    <w:rsid w:val="007D138A"/>
    <w:rsid w:val="007D14F7"/>
    <w:rsid w:val="007D356D"/>
    <w:rsid w:val="007D377F"/>
    <w:rsid w:val="007D3EF5"/>
    <w:rsid w:val="007D4C91"/>
    <w:rsid w:val="007D517B"/>
    <w:rsid w:val="007D570C"/>
    <w:rsid w:val="007D5F9E"/>
    <w:rsid w:val="007D616C"/>
    <w:rsid w:val="007D6713"/>
    <w:rsid w:val="007D6BCD"/>
    <w:rsid w:val="007DDEBB"/>
    <w:rsid w:val="007E0930"/>
    <w:rsid w:val="007E098F"/>
    <w:rsid w:val="007E09E0"/>
    <w:rsid w:val="007E14B8"/>
    <w:rsid w:val="007E178F"/>
    <w:rsid w:val="007E2F04"/>
    <w:rsid w:val="007E3BA2"/>
    <w:rsid w:val="007E5040"/>
    <w:rsid w:val="007E5416"/>
    <w:rsid w:val="007E545C"/>
    <w:rsid w:val="007E5DD2"/>
    <w:rsid w:val="007E61B3"/>
    <w:rsid w:val="007E64CD"/>
    <w:rsid w:val="007E724C"/>
    <w:rsid w:val="007F0D01"/>
    <w:rsid w:val="007F16A8"/>
    <w:rsid w:val="007F188E"/>
    <w:rsid w:val="007F1A4C"/>
    <w:rsid w:val="007F1ED0"/>
    <w:rsid w:val="007F1FC9"/>
    <w:rsid w:val="007F2FE6"/>
    <w:rsid w:val="007F37A4"/>
    <w:rsid w:val="007F3D96"/>
    <w:rsid w:val="007F40BC"/>
    <w:rsid w:val="007F572C"/>
    <w:rsid w:val="007F5AA6"/>
    <w:rsid w:val="007F5D0A"/>
    <w:rsid w:val="007F6C07"/>
    <w:rsid w:val="007F723F"/>
    <w:rsid w:val="00800594"/>
    <w:rsid w:val="0080107C"/>
    <w:rsid w:val="00801AA9"/>
    <w:rsid w:val="00801E0E"/>
    <w:rsid w:val="008020B6"/>
    <w:rsid w:val="008022C3"/>
    <w:rsid w:val="00802AC8"/>
    <w:rsid w:val="00803348"/>
    <w:rsid w:val="008039F0"/>
    <w:rsid w:val="008041E6"/>
    <w:rsid w:val="00804BA2"/>
    <w:rsid w:val="00804CBB"/>
    <w:rsid w:val="00804EAC"/>
    <w:rsid w:val="00804EDE"/>
    <w:rsid w:val="00805DC4"/>
    <w:rsid w:val="00806124"/>
    <w:rsid w:val="008062C0"/>
    <w:rsid w:val="008064CC"/>
    <w:rsid w:val="008065D2"/>
    <w:rsid w:val="00806FA7"/>
    <w:rsid w:val="00807706"/>
    <w:rsid w:val="00810283"/>
    <w:rsid w:val="0081064C"/>
    <w:rsid w:val="00810833"/>
    <w:rsid w:val="00810BBB"/>
    <w:rsid w:val="00811E56"/>
    <w:rsid w:val="008127FE"/>
    <w:rsid w:val="0081346B"/>
    <w:rsid w:val="00813591"/>
    <w:rsid w:val="0081391F"/>
    <w:rsid w:val="00813AC0"/>
    <w:rsid w:val="00814906"/>
    <w:rsid w:val="0081520E"/>
    <w:rsid w:val="00815A8A"/>
    <w:rsid w:val="0081751D"/>
    <w:rsid w:val="008177D1"/>
    <w:rsid w:val="00817C60"/>
    <w:rsid w:val="00817D04"/>
    <w:rsid w:val="00820EE6"/>
    <w:rsid w:val="008217F1"/>
    <w:rsid w:val="0082194C"/>
    <w:rsid w:val="008222FF"/>
    <w:rsid w:val="00822DB9"/>
    <w:rsid w:val="0082347D"/>
    <w:rsid w:val="008241FF"/>
    <w:rsid w:val="00824450"/>
    <w:rsid w:val="008246D1"/>
    <w:rsid w:val="00824BD4"/>
    <w:rsid w:val="008265D9"/>
    <w:rsid w:val="0082683A"/>
    <w:rsid w:val="00826CEE"/>
    <w:rsid w:val="00826D5B"/>
    <w:rsid w:val="0082737C"/>
    <w:rsid w:val="00827454"/>
    <w:rsid w:val="00831508"/>
    <w:rsid w:val="00831DE6"/>
    <w:rsid w:val="0083202B"/>
    <w:rsid w:val="00834A07"/>
    <w:rsid w:val="0083539D"/>
    <w:rsid w:val="00835DCD"/>
    <w:rsid w:val="00836133"/>
    <w:rsid w:val="00836AC0"/>
    <w:rsid w:val="00836CC9"/>
    <w:rsid w:val="00840795"/>
    <w:rsid w:val="008411E9"/>
    <w:rsid w:val="0084123D"/>
    <w:rsid w:val="00841380"/>
    <w:rsid w:val="00841617"/>
    <w:rsid w:val="00841F6D"/>
    <w:rsid w:val="0084200F"/>
    <w:rsid w:val="008421FE"/>
    <w:rsid w:val="008426FD"/>
    <w:rsid w:val="00842E68"/>
    <w:rsid w:val="00842E8E"/>
    <w:rsid w:val="00843745"/>
    <w:rsid w:val="00843B2C"/>
    <w:rsid w:val="00843DD9"/>
    <w:rsid w:val="00843FFB"/>
    <w:rsid w:val="00844F16"/>
    <w:rsid w:val="00845BDA"/>
    <w:rsid w:val="008463F9"/>
    <w:rsid w:val="0084741A"/>
    <w:rsid w:val="00847745"/>
    <w:rsid w:val="00847883"/>
    <w:rsid w:val="00847B77"/>
    <w:rsid w:val="00851D44"/>
    <w:rsid w:val="008520DE"/>
    <w:rsid w:val="0085331F"/>
    <w:rsid w:val="0085462A"/>
    <w:rsid w:val="008550FE"/>
    <w:rsid w:val="008557A0"/>
    <w:rsid w:val="00855FF9"/>
    <w:rsid w:val="008562A1"/>
    <w:rsid w:val="0085671F"/>
    <w:rsid w:val="0085678C"/>
    <w:rsid w:val="00856DEB"/>
    <w:rsid w:val="008575E5"/>
    <w:rsid w:val="00857833"/>
    <w:rsid w:val="008608ED"/>
    <w:rsid w:val="008619AD"/>
    <w:rsid w:val="00861B4D"/>
    <w:rsid w:val="00861C88"/>
    <w:rsid w:val="0086223C"/>
    <w:rsid w:val="00862430"/>
    <w:rsid w:val="0086277A"/>
    <w:rsid w:val="008640D2"/>
    <w:rsid w:val="00864E9D"/>
    <w:rsid w:val="00865A5B"/>
    <w:rsid w:val="008662A5"/>
    <w:rsid w:val="008668A8"/>
    <w:rsid w:val="0086718E"/>
    <w:rsid w:val="0086748F"/>
    <w:rsid w:val="008675B4"/>
    <w:rsid w:val="008675C1"/>
    <w:rsid w:val="0086784D"/>
    <w:rsid w:val="00870675"/>
    <w:rsid w:val="00870986"/>
    <w:rsid w:val="00870BE8"/>
    <w:rsid w:val="008719DF"/>
    <w:rsid w:val="00872543"/>
    <w:rsid w:val="00872DA4"/>
    <w:rsid w:val="00872EC2"/>
    <w:rsid w:val="00872FDB"/>
    <w:rsid w:val="0087319D"/>
    <w:rsid w:val="00873684"/>
    <w:rsid w:val="00873AB6"/>
    <w:rsid w:val="008743F1"/>
    <w:rsid w:val="00874B63"/>
    <w:rsid w:val="00876171"/>
    <w:rsid w:val="008768AD"/>
    <w:rsid w:val="00876972"/>
    <w:rsid w:val="00876B86"/>
    <w:rsid w:val="00877029"/>
    <w:rsid w:val="0087711F"/>
    <w:rsid w:val="00880AC4"/>
    <w:rsid w:val="00880C01"/>
    <w:rsid w:val="0088161B"/>
    <w:rsid w:val="00881888"/>
    <w:rsid w:val="00882695"/>
    <w:rsid w:val="00882D3C"/>
    <w:rsid w:val="0088305A"/>
    <w:rsid w:val="008836C8"/>
    <w:rsid w:val="0088487C"/>
    <w:rsid w:val="00884B8D"/>
    <w:rsid w:val="00884DF3"/>
    <w:rsid w:val="00884E42"/>
    <w:rsid w:val="00885398"/>
    <w:rsid w:val="0088609E"/>
    <w:rsid w:val="008864DD"/>
    <w:rsid w:val="00886E3F"/>
    <w:rsid w:val="00887C9E"/>
    <w:rsid w:val="0089052F"/>
    <w:rsid w:val="00891887"/>
    <w:rsid w:val="00892244"/>
    <w:rsid w:val="008925D8"/>
    <w:rsid w:val="00892C2B"/>
    <w:rsid w:val="008930B0"/>
    <w:rsid w:val="00893ED8"/>
    <w:rsid w:val="008956EC"/>
    <w:rsid w:val="0089636A"/>
    <w:rsid w:val="00896BCF"/>
    <w:rsid w:val="00896D70"/>
    <w:rsid w:val="008972F9"/>
    <w:rsid w:val="00897447"/>
    <w:rsid w:val="00897E64"/>
    <w:rsid w:val="008A0559"/>
    <w:rsid w:val="008A1830"/>
    <w:rsid w:val="008A212A"/>
    <w:rsid w:val="008A39C1"/>
    <w:rsid w:val="008A3FC5"/>
    <w:rsid w:val="008A4900"/>
    <w:rsid w:val="008A5190"/>
    <w:rsid w:val="008A53D9"/>
    <w:rsid w:val="008A55FE"/>
    <w:rsid w:val="008A572A"/>
    <w:rsid w:val="008A5919"/>
    <w:rsid w:val="008A69D1"/>
    <w:rsid w:val="008A7150"/>
    <w:rsid w:val="008B012F"/>
    <w:rsid w:val="008B0636"/>
    <w:rsid w:val="008B0FFB"/>
    <w:rsid w:val="008B146D"/>
    <w:rsid w:val="008B28B0"/>
    <w:rsid w:val="008B2DDF"/>
    <w:rsid w:val="008B42AD"/>
    <w:rsid w:val="008B5666"/>
    <w:rsid w:val="008B573A"/>
    <w:rsid w:val="008B6968"/>
    <w:rsid w:val="008B6A41"/>
    <w:rsid w:val="008B7C94"/>
    <w:rsid w:val="008C03C4"/>
    <w:rsid w:val="008C1746"/>
    <w:rsid w:val="008C1AF7"/>
    <w:rsid w:val="008C4CD4"/>
    <w:rsid w:val="008C5F1B"/>
    <w:rsid w:val="008C60A4"/>
    <w:rsid w:val="008C79B7"/>
    <w:rsid w:val="008C7F7C"/>
    <w:rsid w:val="008D024E"/>
    <w:rsid w:val="008D0281"/>
    <w:rsid w:val="008D0330"/>
    <w:rsid w:val="008D1381"/>
    <w:rsid w:val="008D148A"/>
    <w:rsid w:val="008D17F5"/>
    <w:rsid w:val="008D2615"/>
    <w:rsid w:val="008D3614"/>
    <w:rsid w:val="008D3E9A"/>
    <w:rsid w:val="008D4B77"/>
    <w:rsid w:val="008D50BB"/>
    <w:rsid w:val="008D549B"/>
    <w:rsid w:val="008D56CE"/>
    <w:rsid w:val="008D5EC9"/>
    <w:rsid w:val="008D6ADD"/>
    <w:rsid w:val="008D6AEE"/>
    <w:rsid w:val="008E0F91"/>
    <w:rsid w:val="008E1527"/>
    <w:rsid w:val="008E2348"/>
    <w:rsid w:val="008E23F6"/>
    <w:rsid w:val="008E2483"/>
    <w:rsid w:val="008E28E5"/>
    <w:rsid w:val="008E347D"/>
    <w:rsid w:val="008E3ADB"/>
    <w:rsid w:val="008E4A7D"/>
    <w:rsid w:val="008E4DFC"/>
    <w:rsid w:val="008E55FA"/>
    <w:rsid w:val="008E5AD8"/>
    <w:rsid w:val="008E61A7"/>
    <w:rsid w:val="008E6335"/>
    <w:rsid w:val="008E6C9C"/>
    <w:rsid w:val="008E6CAF"/>
    <w:rsid w:val="008E6D3F"/>
    <w:rsid w:val="008E6F8A"/>
    <w:rsid w:val="008E714F"/>
    <w:rsid w:val="008E764C"/>
    <w:rsid w:val="008F003C"/>
    <w:rsid w:val="008F04C8"/>
    <w:rsid w:val="008F0A46"/>
    <w:rsid w:val="008F0A9F"/>
    <w:rsid w:val="008F1584"/>
    <w:rsid w:val="008F1D14"/>
    <w:rsid w:val="008F2D9B"/>
    <w:rsid w:val="008F33CD"/>
    <w:rsid w:val="008F346C"/>
    <w:rsid w:val="008F3F79"/>
    <w:rsid w:val="008F4F39"/>
    <w:rsid w:val="008F5329"/>
    <w:rsid w:val="008F601C"/>
    <w:rsid w:val="008F603D"/>
    <w:rsid w:val="008F6D45"/>
    <w:rsid w:val="008F6EFE"/>
    <w:rsid w:val="008F7717"/>
    <w:rsid w:val="0090059F"/>
    <w:rsid w:val="00900D21"/>
    <w:rsid w:val="00901101"/>
    <w:rsid w:val="009013AD"/>
    <w:rsid w:val="00902150"/>
    <w:rsid w:val="00902612"/>
    <w:rsid w:val="00902CD9"/>
    <w:rsid w:val="00902F56"/>
    <w:rsid w:val="00903734"/>
    <w:rsid w:val="00903F5A"/>
    <w:rsid w:val="00903F81"/>
    <w:rsid w:val="00905E6A"/>
    <w:rsid w:val="00905EE1"/>
    <w:rsid w:val="00907FF7"/>
    <w:rsid w:val="00910090"/>
    <w:rsid w:val="00911304"/>
    <w:rsid w:val="009118DE"/>
    <w:rsid w:val="009126C7"/>
    <w:rsid w:val="00912F3B"/>
    <w:rsid w:val="009138EF"/>
    <w:rsid w:val="00913A2E"/>
    <w:rsid w:val="009142EE"/>
    <w:rsid w:val="0091431D"/>
    <w:rsid w:val="009143B2"/>
    <w:rsid w:val="00915092"/>
    <w:rsid w:val="0091530D"/>
    <w:rsid w:val="009158A5"/>
    <w:rsid w:val="009160E3"/>
    <w:rsid w:val="00916723"/>
    <w:rsid w:val="00916F71"/>
    <w:rsid w:val="00916FB6"/>
    <w:rsid w:val="009172F6"/>
    <w:rsid w:val="009179DF"/>
    <w:rsid w:val="00917B17"/>
    <w:rsid w:val="00920137"/>
    <w:rsid w:val="00920143"/>
    <w:rsid w:val="0092038C"/>
    <w:rsid w:val="009207D3"/>
    <w:rsid w:val="00920E37"/>
    <w:rsid w:val="00920FB8"/>
    <w:rsid w:val="00921598"/>
    <w:rsid w:val="00921980"/>
    <w:rsid w:val="00921BD7"/>
    <w:rsid w:val="0092218F"/>
    <w:rsid w:val="00922761"/>
    <w:rsid w:val="00922944"/>
    <w:rsid w:val="009233B6"/>
    <w:rsid w:val="0092367F"/>
    <w:rsid w:val="00925503"/>
    <w:rsid w:val="00927E71"/>
    <w:rsid w:val="00930576"/>
    <w:rsid w:val="00930749"/>
    <w:rsid w:val="00931F38"/>
    <w:rsid w:val="00931FD9"/>
    <w:rsid w:val="00932084"/>
    <w:rsid w:val="0093216D"/>
    <w:rsid w:val="0093259D"/>
    <w:rsid w:val="00932866"/>
    <w:rsid w:val="00932EB2"/>
    <w:rsid w:val="00932F63"/>
    <w:rsid w:val="009332CF"/>
    <w:rsid w:val="00933676"/>
    <w:rsid w:val="00933A8F"/>
    <w:rsid w:val="00933F30"/>
    <w:rsid w:val="009342BF"/>
    <w:rsid w:val="009348C2"/>
    <w:rsid w:val="00934C41"/>
    <w:rsid w:val="00935296"/>
    <w:rsid w:val="00936321"/>
    <w:rsid w:val="00936479"/>
    <w:rsid w:val="009365C0"/>
    <w:rsid w:val="00936869"/>
    <w:rsid w:val="00937A10"/>
    <w:rsid w:val="00940190"/>
    <w:rsid w:val="00940FAE"/>
    <w:rsid w:val="009413DB"/>
    <w:rsid w:val="0094155C"/>
    <w:rsid w:val="00941ABC"/>
    <w:rsid w:val="00941BCC"/>
    <w:rsid w:val="00941DBD"/>
    <w:rsid w:val="009421A2"/>
    <w:rsid w:val="00942802"/>
    <w:rsid w:val="00942C8F"/>
    <w:rsid w:val="0094310B"/>
    <w:rsid w:val="00944F70"/>
    <w:rsid w:val="009464B0"/>
    <w:rsid w:val="009470E6"/>
    <w:rsid w:val="00947639"/>
    <w:rsid w:val="00947708"/>
    <w:rsid w:val="00947A0F"/>
    <w:rsid w:val="009500A7"/>
    <w:rsid w:val="00950E42"/>
    <w:rsid w:val="0095235F"/>
    <w:rsid w:val="00953469"/>
    <w:rsid w:val="00953B52"/>
    <w:rsid w:val="009544B3"/>
    <w:rsid w:val="009548ED"/>
    <w:rsid w:val="00955008"/>
    <w:rsid w:val="009555D3"/>
    <w:rsid w:val="00955B73"/>
    <w:rsid w:val="009563FB"/>
    <w:rsid w:val="009579EA"/>
    <w:rsid w:val="00957A72"/>
    <w:rsid w:val="00957DB3"/>
    <w:rsid w:val="00960119"/>
    <w:rsid w:val="0096116B"/>
    <w:rsid w:val="0096255F"/>
    <w:rsid w:val="00963CC1"/>
    <w:rsid w:val="00964AD0"/>
    <w:rsid w:val="00965F59"/>
    <w:rsid w:val="00966115"/>
    <w:rsid w:val="00966976"/>
    <w:rsid w:val="0096698E"/>
    <w:rsid w:val="00967688"/>
    <w:rsid w:val="00967F32"/>
    <w:rsid w:val="00972812"/>
    <w:rsid w:val="00972D36"/>
    <w:rsid w:val="00973234"/>
    <w:rsid w:val="0097366D"/>
    <w:rsid w:val="00973BE1"/>
    <w:rsid w:val="00973C74"/>
    <w:rsid w:val="009744A8"/>
    <w:rsid w:val="00974D56"/>
    <w:rsid w:val="00974EFE"/>
    <w:rsid w:val="00975ADE"/>
    <w:rsid w:val="00975BEE"/>
    <w:rsid w:val="0097612C"/>
    <w:rsid w:val="00976A9D"/>
    <w:rsid w:val="009770E1"/>
    <w:rsid w:val="00977282"/>
    <w:rsid w:val="009803B1"/>
    <w:rsid w:val="0098129A"/>
    <w:rsid w:val="00981FBE"/>
    <w:rsid w:val="009825C1"/>
    <w:rsid w:val="00983283"/>
    <w:rsid w:val="009833B3"/>
    <w:rsid w:val="009834C0"/>
    <w:rsid w:val="0098398B"/>
    <w:rsid w:val="00983CFC"/>
    <w:rsid w:val="00983FA6"/>
    <w:rsid w:val="00984265"/>
    <w:rsid w:val="009847A0"/>
    <w:rsid w:val="00984EFF"/>
    <w:rsid w:val="0098536A"/>
    <w:rsid w:val="009853ED"/>
    <w:rsid w:val="00985C2A"/>
    <w:rsid w:val="009865EE"/>
    <w:rsid w:val="00986AAC"/>
    <w:rsid w:val="00987C34"/>
    <w:rsid w:val="00987E31"/>
    <w:rsid w:val="009905FA"/>
    <w:rsid w:val="00990AA8"/>
    <w:rsid w:val="00990CF8"/>
    <w:rsid w:val="0099132C"/>
    <w:rsid w:val="0099198F"/>
    <w:rsid w:val="00992D63"/>
    <w:rsid w:val="00993914"/>
    <w:rsid w:val="00993B69"/>
    <w:rsid w:val="0099441F"/>
    <w:rsid w:val="00994B72"/>
    <w:rsid w:val="00995242"/>
    <w:rsid w:val="00995526"/>
    <w:rsid w:val="0099656F"/>
    <w:rsid w:val="0099685E"/>
    <w:rsid w:val="009A0E50"/>
    <w:rsid w:val="009A1092"/>
    <w:rsid w:val="009A1338"/>
    <w:rsid w:val="009A18BB"/>
    <w:rsid w:val="009A1999"/>
    <w:rsid w:val="009A1DA2"/>
    <w:rsid w:val="009A2A0A"/>
    <w:rsid w:val="009A2AB8"/>
    <w:rsid w:val="009A2E20"/>
    <w:rsid w:val="009A32A0"/>
    <w:rsid w:val="009A35AA"/>
    <w:rsid w:val="009A3704"/>
    <w:rsid w:val="009A3C19"/>
    <w:rsid w:val="009A409A"/>
    <w:rsid w:val="009A43D6"/>
    <w:rsid w:val="009A4739"/>
    <w:rsid w:val="009A53E7"/>
    <w:rsid w:val="009A5A67"/>
    <w:rsid w:val="009A674F"/>
    <w:rsid w:val="009A698B"/>
    <w:rsid w:val="009A6D22"/>
    <w:rsid w:val="009A7023"/>
    <w:rsid w:val="009A7D01"/>
    <w:rsid w:val="009A7ED2"/>
    <w:rsid w:val="009B0353"/>
    <w:rsid w:val="009B076D"/>
    <w:rsid w:val="009B0D76"/>
    <w:rsid w:val="009B15E0"/>
    <w:rsid w:val="009B199C"/>
    <w:rsid w:val="009B1D72"/>
    <w:rsid w:val="009B34EF"/>
    <w:rsid w:val="009B3849"/>
    <w:rsid w:val="009B39DD"/>
    <w:rsid w:val="009B3CD6"/>
    <w:rsid w:val="009B4A5A"/>
    <w:rsid w:val="009B5827"/>
    <w:rsid w:val="009B5833"/>
    <w:rsid w:val="009B5979"/>
    <w:rsid w:val="009B5AC2"/>
    <w:rsid w:val="009B5B46"/>
    <w:rsid w:val="009B5C99"/>
    <w:rsid w:val="009B61F1"/>
    <w:rsid w:val="009B62E0"/>
    <w:rsid w:val="009B6524"/>
    <w:rsid w:val="009B766A"/>
    <w:rsid w:val="009C0267"/>
    <w:rsid w:val="009C1351"/>
    <w:rsid w:val="009C13EF"/>
    <w:rsid w:val="009C2242"/>
    <w:rsid w:val="009C307D"/>
    <w:rsid w:val="009C30CC"/>
    <w:rsid w:val="009C360B"/>
    <w:rsid w:val="009C3D88"/>
    <w:rsid w:val="009C3E1B"/>
    <w:rsid w:val="009C44B6"/>
    <w:rsid w:val="009C4638"/>
    <w:rsid w:val="009C6831"/>
    <w:rsid w:val="009D0C9C"/>
    <w:rsid w:val="009D1B51"/>
    <w:rsid w:val="009D1FF6"/>
    <w:rsid w:val="009D3B6A"/>
    <w:rsid w:val="009D46C1"/>
    <w:rsid w:val="009D4C64"/>
    <w:rsid w:val="009D537C"/>
    <w:rsid w:val="009D5388"/>
    <w:rsid w:val="009D5941"/>
    <w:rsid w:val="009D60F3"/>
    <w:rsid w:val="009D6216"/>
    <w:rsid w:val="009D706B"/>
    <w:rsid w:val="009D7A52"/>
    <w:rsid w:val="009D7B9C"/>
    <w:rsid w:val="009E0ECD"/>
    <w:rsid w:val="009E1651"/>
    <w:rsid w:val="009E3858"/>
    <w:rsid w:val="009E467D"/>
    <w:rsid w:val="009E51B4"/>
    <w:rsid w:val="009E613A"/>
    <w:rsid w:val="009E70DD"/>
    <w:rsid w:val="009E7C2E"/>
    <w:rsid w:val="009E7CFC"/>
    <w:rsid w:val="009E7FA8"/>
    <w:rsid w:val="009F0228"/>
    <w:rsid w:val="009F0639"/>
    <w:rsid w:val="009F0A95"/>
    <w:rsid w:val="009F22E8"/>
    <w:rsid w:val="009F2536"/>
    <w:rsid w:val="009F2B4C"/>
    <w:rsid w:val="009F2ED9"/>
    <w:rsid w:val="009F3231"/>
    <w:rsid w:val="009F32E6"/>
    <w:rsid w:val="009F34A0"/>
    <w:rsid w:val="009F362C"/>
    <w:rsid w:val="009F3C46"/>
    <w:rsid w:val="009F3C94"/>
    <w:rsid w:val="009F5279"/>
    <w:rsid w:val="009F5905"/>
    <w:rsid w:val="009F5C58"/>
    <w:rsid w:val="009F6FFF"/>
    <w:rsid w:val="009F7B89"/>
    <w:rsid w:val="00A00289"/>
    <w:rsid w:val="00A0101D"/>
    <w:rsid w:val="00A010BF"/>
    <w:rsid w:val="00A0125B"/>
    <w:rsid w:val="00A01268"/>
    <w:rsid w:val="00A01ECD"/>
    <w:rsid w:val="00A0226E"/>
    <w:rsid w:val="00A023A0"/>
    <w:rsid w:val="00A03377"/>
    <w:rsid w:val="00A034F7"/>
    <w:rsid w:val="00A04976"/>
    <w:rsid w:val="00A05EBC"/>
    <w:rsid w:val="00A06417"/>
    <w:rsid w:val="00A06B8D"/>
    <w:rsid w:val="00A07DCA"/>
    <w:rsid w:val="00A10369"/>
    <w:rsid w:val="00A1130D"/>
    <w:rsid w:val="00A114CB"/>
    <w:rsid w:val="00A12C55"/>
    <w:rsid w:val="00A1317A"/>
    <w:rsid w:val="00A1350D"/>
    <w:rsid w:val="00A1562B"/>
    <w:rsid w:val="00A161D2"/>
    <w:rsid w:val="00A168C1"/>
    <w:rsid w:val="00A16920"/>
    <w:rsid w:val="00A1698B"/>
    <w:rsid w:val="00A170F4"/>
    <w:rsid w:val="00A21408"/>
    <w:rsid w:val="00A21CFD"/>
    <w:rsid w:val="00A22144"/>
    <w:rsid w:val="00A232AE"/>
    <w:rsid w:val="00A233CD"/>
    <w:rsid w:val="00A236AC"/>
    <w:rsid w:val="00A23BA4"/>
    <w:rsid w:val="00A2466E"/>
    <w:rsid w:val="00A24D83"/>
    <w:rsid w:val="00A257BA"/>
    <w:rsid w:val="00A25B78"/>
    <w:rsid w:val="00A25FA5"/>
    <w:rsid w:val="00A263B5"/>
    <w:rsid w:val="00A274C2"/>
    <w:rsid w:val="00A27A7F"/>
    <w:rsid w:val="00A27B01"/>
    <w:rsid w:val="00A30AE1"/>
    <w:rsid w:val="00A30E5C"/>
    <w:rsid w:val="00A315A7"/>
    <w:rsid w:val="00A31F19"/>
    <w:rsid w:val="00A329EB"/>
    <w:rsid w:val="00A33810"/>
    <w:rsid w:val="00A3396D"/>
    <w:rsid w:val="00A33CDB"/>
    <w:rsid w:val="00A33E9C"/>
    <w:rsid w:val="00A34638"/>
    <w:rsid w:val="00A34AE5"/>
    <w:rsid w:val="00A34E44"/>
    <w:rsid w:val="00A353B9"/>
    <w:rsid w:val="00A36452"/>
    <w:rsid w:val="00A36A19"/>
    <w:rsid w:val="00A3780B"/>
    <w:rsid w:val="00A37B6E"/>
    <w:rsid w:val="00A37C95"/>
    <w:rsid w:val="00A400CC"/>
    <w:rsid w:val="00A4028A"/>
    <w:rsid w:val="00A40324"/>
    <w:rsid w:val="00A4035D"/>
    <w:rsid w:val="00A40495"/>
    <w:rsid w:val="00A4056C"/>
    <w:rsid w:val="00A40E86"/>
    <w:rsid w:val="00A42186"/>
    <w:rsid w:val="00A43B07"/>
    <w:rsid w:val="00A44943"/>
    <w:rsid w:val="00A45598"/>
    <w:rsid w:val="00A459FE"/>
    <w:rsid w:val="00A45C08"/>
    <w:rsid w:val="00A45CB0"/>
    <w:rsid w:val="00A4616F"/>
    <w:rsid w:val="00A46288"/>
    <w:rsid w:val="00A46BA8"/>
    <w:rsid w:val="00A46CB8"/>
    <w:rsid w:val="00A47634"/>
    <w:rsid w:val="00A47FE5"/>
    <w:rsid w:val="00A50227"/>
    <w:rsid w:val="00A51365"/>
    <w:rsid w:val="00A52591"/>
    <w:rsid w:val="00A53226"/>
    <w:rsid w:val="00A53696"/>
    <w:rsid w:val="00A53C54"/>
    <w:rsid w:val="00A5427D"/>
    <w:rsid w:val="00A55493"/>
    <w:rsid w:val="00A55E9E"/>
    <w:rsid w:val="00A564C2"/>
    <w:rsid w:val="00A56EBB"/>
    <w:rsid w:val="00A57947"/>
    <w:rsid w:val="00A612FE"/>
    <w:rsid w:val="00A62042"/>
    <w:rsid w:val="00A626A0"/>
    <w:rsid w:val="00A63C3B"/>
    <w:rsid w:val="00A6467F"/>
    <w:rsid w:val="00A66F4D"/>
    <w:rsid w:val="00A6704C"/>
    <w:rsid w:val="00A6707A"/>
    <w:rsid w:val="00A67A3B"/>
    <w:rsid w:val="00A700ED"/>
    <w:rsid w:val="00A7019C"/>
    <w:rsid w:val="00A703B3"/>
    <w:rsid w:val="00A708F5"/>
    <w:rsid w:val="00A70B49"/>
    <w:rsid w:val="00A71FAE"/>
    <w:rsid w:val="00A723AA"/>
    <w:rsid w:val="00A7254F"/>
    <w:rsid w:val="00A73C2E"/>
    <w:rsid w:val="00A73DDD"/>
    <w:rsid w:val="00A740D4"/>
    <w:rsid w:val="00A74AA3"/>
    <w:rsid w:val="00A771E4"/>
    <w:rsid w:val="00A77359"/>
    <w:rsid w:val="00A80458"/>
    <w:rsid w:val="00A8084F"/>
    <w:rsid w:val="00A80E8D"/>
    <w:rsid w:val="00A81868"/>
    <w:rsid w:val="00A81C18"/>
    <w:rsid w:val="00A81E08"/>
    <w:rsid w:val="00A83483"/>
    <w:rsid w:val="00A84AE4"/>
    <w:rsid w:val="00A854C2"/>
    <w:rsid w:val="00A864C1"/>
    <w:rsid w:val="00A877CB"/>
    <w:rsid w:val="00A87B3B"/>
    <w:rsid w:val="00A915ED"/>
    <w:rsid w:val="00A917CB"/>
    <w:rsid w:val="00A91DE6"/>
    <w:rsid w:val="00A9243D"/>
    <w:rsid w:val="00A92D94"/>
    <w:rsid w:val="00A9325D"/>
    <w:rsid w:val="00A93D36"/>
    <w:rsid w:val="00A93DBA"/>
    <w:rsid w:val="00A944B5"/>
    <w:rsid w:val="00A9537D"/>
    <w:rsid w:val="00A95BD2"/>
    <w:rsid w:val="00AA0582"/>
    <w:rsid w:val="00AA0635"/>
    <w:rsid w:val="00AA077C"/>
    <w:rsid w:val="00AA0EFA"/>
    <w:rsid w:val="00AA11B3"/>
    <w:rsid w:val="00AA1DE1"/>
    <w:rsid w:val="00AA26B8"/>
    <w:rsid w:val="00AA2F0F"/>
    <w:rsid w:val="00AA31A6"/>
    <w:rsid w:val="00AA4185"/>
    <w:rsid w:val="00AA4288"/>
    <w:rsid w:val="00AA4878"/>
    <w:rsid w:val="00AA4907"/>
    <w:rsid w:val="00AA6054"/>
    <w:rsid w:val="00AA6F39"/>
    <w:rsid w:val="00AA7552"/>
    <w:rsid w:val="00AB05B7"/>
    <w:rsid w:val="00AB0C2B"/>
    <w:rsid w:val="00AB184C"/>
    <w:rsid w:val="00AB1B76"/>
    <w:rsid w:val="00AB1EB2"/>
    <w:rsid w:val="00AB24E4"/>
    <w:rsid w:val="00AB2A02"/>
    <w:rsid w:val="00AB2C09"/>
    <w:rsid w:val="00AB370F"/>
    <w:rsid w:val="00AB38FD"/>
    <w:rsid w:val="00AB41E7"/>
    <w:rsid w:val="00AB46BC"/>
    <w:rsid w:val="00AB4AE2"/>
    <w:rsid w:val="00AB5759"/>
    <w:rsid w:val="00AB6D7C"/>
    <w:rsid w:val="00AB7373"/>
    <w:rsid w:val="00AB792E"/>
    <w:rsid w:val="00AB7AA8"/>
    <w:rsid w:val="00AC0B87"/>
    <w:rsid w:val="00AC1694"/>
    <w:rsid w:val="00AC16D9"/>
    <w:rsid w:val="00AC2624"/>
    <w:rsid w:val="00AC266E"/>
    <w:rsid w:val="00AC32A8"/>
    <w:rsid w:val="00AC3B27"/>
    <w:rsid w:val="00AC4A8E"/>
    <w:rsid w:val="00AC52F7"/>
    <w:rsid w:val="00AC5B7E"/>
    <w:rsid w:val="00AC5DDA"/>
    <w:rsid w:val="00AC6650"/>
    <w:rsid w:val="00AC6734"/>
    <w:rsid w:val="00AC6C3D"/>
    <w:rsid w:val="00AC7058"/>
    <w:rsid w:val="00AD1351"/>
    <w:rsid w:val="00AD1DC0"/>
    <w:rsid w:val="00AD3CCD"/>
    <w:rsid w:val="00AD4044"/>
    <w:rsid w:val="00AD42B4"/>
    <w:rsid w:val="00AD4528"/>
    <w:rsid w:val="00AD647D"/>
    <w:rsid w:val="00AD7E4E"/>
    <w:rsid w:val="00AE07DB"/>
    <w:rsid w:val="00AE1A16"/>
    <w:rsid w:val="00AE1AC0"/>
    <w:rsid w:val="00AE271D"/>
    <w:rsid w:val="00AE2A69"/>
    <w:rsid w:val="00AE3243"/>
    <w:rsid w:val="00AE32CE"/>
    <w:rsid w:val="00AE3D1C"/>
    <w:rsid w:val="00AE431A"/>
    <w:rsid w:val="00AE487F"/>
    <w:rsid w:val="00AE4B8D"/>
    <w:rsid w:val="00AE5737"/>
    <w:rsid w:val="00AE5B34"/>
    <w:rsid w:val="00AE5D2A"/>
    <w:rsid w:val="00AE5E04"/>
    <w:rsid w:val="00AE6140"/>
    <w:rsid w:val="00AE6274"/>
    <w:rsid w:val="00AE68C9"/>
    <w:rsid w:val="00AE6D89"/>
    <w:rsid w:val="00AE7A53"/>
    <w:rsid w:val="00AE7C1B"/>
    <w:rsid w:val="00AF0E01"/>
    <w:rsid w:val="00AF10D6"/>
    <w:rsid w:val="00AF134D"/>
    <w:rsid w:val="00AF1DF1"/>
    <w:rsid w:val="00AF32F7"/>
    <w:rsid w:val="00AF379C"/>
    <w:rsid w:val="00AF3F9F"/>
    <w:rsid w:val="00AF4CC5"/>
    <w:rsid w:val="00AF4D58"/>
    <w:rsid w:val="00AF4F00"/>
    <w:rsid w:val="00AF4FCF"/>
    <w:rsid w:val="00AF50D4"/>
    <w:rsid w:val="00AF6666"/>
    <w:rsid w:val="00AF6A97"/>
    <w:rsid w:val="00AF7BC5"/>
    <w:rsid w:val="00AF7E94"/>
    <w:rsid w:val="00B0051A"/>
    <w:rsid w:val="00B00654"/>
    <w:rsid w:val="00B00BC7"/>
    <w:rsid w:val="00B0142F"/>
    <w:rsid w:val="00B01EBA"/>
    <w:rsid w:val="00B020E6"/>
    <w:rsid w:val="00B0258E"/>
    <w:rsid w:val="00B028B6"/>
    <w:rsid w:val="00B03246"/>
    <w:rsid w:val="00B037A0"/>
    <w:rsid w:val="00B03D8E"/>
    <w:rsid w:val="00B04043"/>
    <w:rsid w:val="00B04531"/>
    <w:rsid w:val="00B05D93"/>
    <w:rsid w:val="00B06E74"/>
    <w:rsid w:val="00B07E5F"/>
    <w:rsid w:val="00B1051C"/>
    <w:rsid w:val="00B1084F"/>
    <w:rsid w:val="00B10935"/>
    <w:rsid w:val="00B116E3"/>
    <w:rsid w:val="00B11719"/>
    <w:rsid w:val="00B11C64"/>
    <w:rsid w:val="00B128B9"/>
    <w:rsid w:val="00B13E2A"/>
    <w:rsid w:val="00B14376"/>
    <w:rsid w:val="00B1446B"/>
    <w:rsid w:val="00B15510"/>
    <w:rsid w:val="00B15571"/>
    <w:rsid w:val="00B15592"/>
    <w:rsid w:val="00B16101"/>
    <w:rsid w:val="00B1698D"/>
    <w:rsid w:val="00B16D2B"/>
    <w:rsid w:val="00B20A14"/>
    <w:rsid w:val="00B20C4C"/>
    <w:rsid w:val="00B21542"/>
    <w:rsid w:val="00B22200"/>
    <w:rsid w:val="00B22CCC"/>
    <w:rsid w:val="00B233BE"/>
    <w:rsid w:val="00B2364D"/>
    <w:rsid w:val="00B23AE9"/>
    <w:rsid w:val="00B24473"/>
    <w:rsid w:val="00B24948"/>
    <w:rsid w:val="00B2534B"/>
    <w:rsid w:val="00B264F8"/>
    <w:rsid w:val="00B2687C"/>
    <w:rsid w:val="00B273A8"/>
    <w:rsid w:val="00B2756B"/>
    <w:rsid w:val="00B3129A"/>
    <w:rsid w:val="00B31454"/>
    <w:rsid w:val="00B3233C"/>
    <w:rsid w:val="00B3268D"/>
    <w:rsid w:val="00B32882"/>
    <w:rsid w:val="00B33579"/>
    <w:rsid w:val="00B3401C"/>
    <w:rsid w:val="00B35B64"/>
    <w:rsid w:val="00B36C95"/>
    <w:rsid w:val="00B37277"/>
    <w:rsid w:val="00B37416"/>
    <w:rsid w:val="00B37430"/>
    <w:rsid w:val="00B37A0F"/>
    <w:rsid w:val="00B37FF8"/>
    <w:rsid w:val="00B40EF6"/>
    <w:rsid w:val="00B4106A"/>
    <w:rsid w:val="00B416B0"/>
    <w:rsid w:val="00B41A91"/>
    <w:rsid w:val="00B41DEC"/>
    <w:rsid w:val="00B422F5"/>
    <w:rsid w:val="00B4246F"/>
    <w:rsid w:val="00B42B40"/>
    <w:rsid w:val="00B439B1"/>
    <w:rsid w:val="00B44208"/>
    <w:rsid w:val="00B44508"/>
    <w:rsid w:val="00B44B46"/>
    <w:rsid w:val="00B45D38"/>
    <w:rsid w:val="00B4632D"/>
    <w:rsid w:val="00B4681F"/>
    <w:rsid w:val="00B46AE3"/>
    <w:rsid w:val="00B473E8"/>
    <w:rsid w:val="00B47829"/>
    <w:rsid w:val="00B500A5"/>
    <w:rsid w:val="00B50A09"/>
    <w:rsid w:val="00B51338"/>
    <w:rsid w:val="00B5137D"/>
    <w:rsid w:val="00B515DB"/>
    <w:rsid w:val="00B517AF"/>
    <w:rsid w:val="00B51C51"/>
    <w:rsid w:val="00B51E78"/>
    <w:rsid w:val="00B527DE"/>
    <w:rsid w:val="00B52CED"/>
    <w:rsid w:val="00B5461E"/>
    <w:rsid w:val="00B553E6"/>
    <w:rsid w:val="00B556E1"/>
    <w:rsid w:val="00B55E16"/>
    <w:rsid w:val="00B55F56"/>
    <w:rsid w:val="00B5617B"/>
    <w:rsid w:val="00B56A02"/>
    <w:rsid w:val="00B57FF0"/>
    <w:rsid w:val="00B60348"/>
    <w:rsid w:val="00B603A8"/>
    <w:rsid w:val="00B60ED4"/>
    <w:rsid w:val="00B617CB"/>
    <w:rsid w:val="00B61CB9"/>
    <w:rsid w:val="00B61DC0"/>
    <w:rsid w:val="00B62C43"/>
    <w:rsid w:val="00B6369D"/>
    <w:rsid w:val="00B66821"/>
    <w:rsid w:val="00B66ADA"/>
    <w:rsid w:val="00B66C9C"/>
    <w:rsid w:val="00B66FFB"/>
    <w:rsid w:val="00B670B2"/>
    <w:rsid w:val="00B673BB"/>
    <w:rsid w:val="00B70D47"/>
    <w:rsid w:val="00B70D57"/>
    <w:rsid w:val="00B737C0"/>
    <w:rsid w:val="00B73B9C"/>
    <w:rsid w:val="00B7420B"/>
    <w:rsid w:val="00B74477"/>
    <w:rsid w:val="00B75197"/>
    <w:rsid w:val="00B75C9D"/>
    <w:rsid w:val="00B76947"/>
    <w:rsid w:val="00B7776E"/>
    <w:rsid w:val="00B81B44"/>
    <w:rsid w:val="00B81F55"/>
    <w:rsid w:val="00B82002"/>
    <w:rsid w:val="00B820F9"/>
    <w:rsid w:val="00B83A4D"/>
    <w:rsid w:val="00B83DF2"/>
    <w:rsid w:val="00B84172"/>
    <w:rsid w:val="00B84E82"/>
    <w:rsid w:val="00B84F49"/>
    <w:rsid w:val="00B852E6"/>
    <w:rsid w:val="00B8654B"/>
    <w:rsid w:val="00B9053B"/>
    <w:rsid w:val="00B90C59"/>
    <w:rsid w:val="00B9122D"/>
    <w:rsid w:val="00B91F95"/>
    <w:rsid w:val="00B92896"/>
    <w:rsid w:val="00B92D7B"/>
    <w:rsid w:val="00B9359D"/>
    <w:rsid w:val="00B93D1F"/>
    <w:rsid w:val="00B94FBF"/>
    <w:rsid w:val="00B95129"/>
    <w:rsid w:val="00B95370"/>
    <w:rsid w:val="00B96030"/>
    <w:rsid w:val="00B962A4"/>
    <w:rsid w:val="00B9635B"/>
    <w:rsid w:val="00B9693B"/>
    <w:rsid w:val="00B9777C"/>
    <w:rsid w:val="00B97F98"/>
    <w:rsid w:val="00BA022F"/>
    <w:rsid w:val="00BA037A"/>
    <w:rsid w:val="00BA074E"/>
    <w:rsid w:val="00BA0C37"/>
    <w:rsid w:val="00BA0C8B"/>
    <w:rsid w:val="00BA13D6"/>
    <w:rsid w:val="00BA3782"/>
    <w:rsid w:val="00BA37B9"/>
    <w:rsid w:val="00BA4A09"/>
    <w:rsid w:val="00BA5254"/>
    <w:rsid w:val="00BA5560"/>
    <w:rsid w:val="00BA5BEB"/>
    <w:rsid w:val="00BA7C70"/>
    <w:rsid w:val="00BB0139"/>
    <w:rsid w:val="00BB063D"/>
    <w:rsid w:val="00BB0763"/>
    <w:rsid w:val="00BB14BA"/>
    <w:rsid w:val="00BB16D9"/>
    <w:rsid w:val="00BB1DBF"/>
    <w:rsid w:val="00BB2235"/>
    <w:rsid w:val="00BB3572"/>
    <w:rsid w:val="00BB36DF"/>
    <w:rsid w:val="00BB39BA"/>
    <w:rsid w:val="00BB4B39"/>
    <w:rsid w:val="00BB4D98"/>
    <w:rsid w:val="00BB4E0A"/>
    <w:rsid w:val="00BB4EBF"/>
    <w:rsid w:val="00BB5395"/>
    <w:rsid w:val="00BB59E0"/>
    <w:rsid w:val="00BB5AB4"/>
    <w:rsid w:val="00BB5DA5"/>
    <w:rsid w:val="00BB5DB3"/>
    <w:rsid w:val="00BB606B"/>
    <w:rsid w:val="00BB60CA"/>
    <w:rsid w:val="00BB6CF4"/>
    <w:rsid w:val="00BB7435"/>
    <w:rsid w:val="00BB7DF0"/>
    <w:rsid w:val="00BC0097"/>
    <w:rsid w:val="00BC0429"/>
    <w:rsid w:val="00BC1504"/>
    <w:rsid w:val="00BC1BC8"/>
    <w:rsid w:val="00BC1DAF"/>
    <w:rsid w:val="00BC257D"/>
    <w:rsid w:val="00BC2643"/>
    <w:rsid w:val="00BC2C46"/>
    <w:rsid w:val="00BC3422"/>
    <w:rsid w:val="00BC3D0C"/>
    <w:rsid w:val="00BC437C"/>
    <w:rsid w:val="00BC4680"/>
    <w:rsid w:val="00BC4B55"/>
    <w:rsid w:val="00BC5558"/>
    <w:rsid w:val="00BC6008"/>
    <w:rsid w:val="00BC62A6"/>
    <w:rsid w:val="00BC6E19"/>
    <w:rsid w:val="00BD00B3"/>
    <w:rsid w:val="00BD05FA"/>
    <w:rsid w:val="00BD0B31"/>
    <w:rsid w:val="00BD269F"/>
    <w:rsid w:val="00BD35CB"/>
    <w:rsid w:val="00BD43D3"/>
    <w:rsid w:val="00BD43DF"/>
    <w:rsid w:val="00BD4DEE"/>
    <w:rsid w:val="00BD4FF1"/>
    <w:rsid w:val="00BD5018"/>
    <w:rsid w:val="00BD507F"/>
    <w:rsid w:val="00BD7A55"/>
    <w:rsid w:val="00BE0EC9"/>
    <w:rsid w:val="00BE1608"/>
    <w:rsid w:val="00BE1B68"/>
    <w:rsid w:val="00BE2C34"/>
    <w:rsid w:val="00BE3066"/>
    <w:rsid w:val="00BE46DC"/>
    <w:rsid w:val="00BE4885"/>
    <w:rsid w:val="00BE4EDC"/>
    <w:rsid w:val="00BE5ADC"/>
    <w:rsid w:val="00BE5BB7"/>
    <w:rsid w:val="00BE5EAE"/>
    <w:rsid w:val="00BE6AA3"/>
    <w:rsid w:val="00BE763E"/>
    <w:rsid w:val="00BF0184"/>
    <w:rsid w:val="00BF0249"/>
    <w:rsid w:val="00BF0B7E"/>
    <w:rsid w:val="00BF246E"/>
    <w:rsid w:val="00BF48B2"/>
    <w:rsid w:val="00BF4F96"/>
    <w:rsid w:val="00BF5756"/>
    <w:rsid w:val="00BF6090"/>
    <w:rsid w:val="00BF64E1"/>
    <w:rsid w:val="00BF72BC"/>
    <w:rsid w:val="00BF7CB4"/>
    <w:rsid w:val="00BF7F81"/>
    <w:rsid w:val="00C015B9"/>
    <w:rsid w:val="00C022F9"/>
    <w:rsid w:val="00C0321E"/>
    <w:rsid w:val="00C032EA"/>
    <w:rsid w:val="00C06211"/>
    <w:rsid w:val="00C06250"/>
    <w:rsid w:val="00C06C8A"/>
    <w:rsid w:val="00C06EB5"/>
    <w:rsid w:val="00C07353"/>
    <w:rsid w:val="00C07A7F"/>
    <w:rsid w:val="00C07F01"/>
    <w:rsid w:val="00C111A6"/>
    <w:rsid w:val="00C1145F"/>
    <w:rsid w:val="00C11CD1"/>
    <w:rsid w:val="00C1227A"/>
    <w:rsid w:val="00C13989"/>
    <w:rsid w:val="00C13D7A"/>
    <w:rsid w:val="00C140EA"/>
    <w:rsid w:val="00C144AF"/>
    <w:rsid w:val="00C14B8E"/>
    <w:rsid w:val="00C154C4"/>
    <w:rsid w:val="00C15701"/>
    <w:rsid w:val="00C15DBE"/>
    <w:rsid w:val="00C16860"/>
    <w:rsid w:val="00C16D60"/>
    <w:rsid w:val="00C20123"/>
    <w:rsid w:val="00C21F50"/>
    <w:rsid w:val="00C22059"/>
    <w:rsid w:val="00C22778"/>
    <w:rsid w:val="00C228EE"/>
    <w:rsid w:val="00C22D77"/>
    <w:rsid w:val="00C22FD1"/>
    <w:rsid w:val="00C24857"/>
    <w:rsid w:val="00C258F2"/>
    <w:rsid w:val="00C25EE6"/>
    <w:rsid w:val="00C26B68"/>
    <w:rsid w:val="00C27121"/>
    <w:rsid w:val="00C2715F"/>
    <w:rsid w:val="00C27772"/>
    <w:rsid w:val="00C30E3A"/>
    <w:rsid w:val="00C31D76"/>
    <w:rsid w:val="00C32D49"/>
    <w:rsid w:val="00C32E69"/>
    <w:rsid w:val="00C33AD3"/>
    <w:rsid w:val="00C33F3C"/>
    <w:rsid w:val="00C3411C"/>
    <w:rsid w:val="00C343B6"/>
    <w:rsid w:val="00C34B4C"/>
    <w:rsid w:val="00C3648D"/>
    <w:rsid w:val="00C370C6"/>
    <w:rsid w:val="00C37193"/>
    <w:rsid w:val="00C37280"/>
    <w:rsid w:val="00C415FA"/>
    <w:rsid w:val="00C417E2"/>
    <w:rsid w:val="00C41B3C"/>
    <w:rsid w:val="00C42247"/>
    <w:rsid w:val="00C42670"/>
    <w:rsid w:val="00C42F72"/>
    <w:rsid w:val="00C43312"/>
    <w:rsid w:val="00C4378A"/>
    <w:rsid w:val="00C43C37"/>
    <w:rsid w:val="00C43F06"/>
    <w:rsid w:val="00C44071"/>
    <w:rsid w:val="00C44769"/>
    <w:rsid w:val="00C44808"/>
    <w:rsid w:val="00C45702"/>
    <w:rsid w:val="00C45A87"/>
    <w:rsid w:val="00C4656D"/>
    <w:rsid w:val="00C47503"/>
    <w:rsid w:val="00C4752A"/>
    <w:rsid w:val="00C503E9"/>
    <w:rsid w:val="00C509F6"/>
    <w:rsid w:val="00C50A2B"/>
    <w:rsid w:val="00C51480"/>
    <w:rsid w:val="00C51C01"/>
    <w:rsid w:val="00C523E7"/>
    <w:rsid w:val="00C52A30"/>
    <w:rsid w:val="00C52A5D"/>
    <w:rsid w:val="00C53515"/>
    <w:rsid w:val="00C539DC"/>
    <w:rsid w:val="00C53A81"/>
    <w:rsid w:val="00C53C5D"/>
    <w:rsid w:val="00C53FE1"/>
    <w:rsid w:val="00C544EE"/>
    <w:rsid w:val="00C54AF2"/>
    <w:rsid w:val="00C54EF0"/>
    <w:rsid w:val="00C55985"/>
    <w:rsid w:val="00C55AE5"/>
    <w:rsid w:val="00C563C7"/>
    <w:rsid w:val="00C5717E"/>
    <w:rsid w:val="00C57893"/>
    <w:rsid w:val="00C578E9"/>
    <w:rsid w:val="00C60066"/>
    <w:rsid w:val="00C606C7"/>
    <w:rsid w:val="00C60F48"/>
    <w:rsid w:val="00C611D5"/>
    <w:rsid w:val="00C61B52"/>
    <w:rsid w:val="00C6316B"/>
    <w:rsid w:val="00C637E1"/>
    <w:rsid w:val="00C654A1"/>
    <w:rsid w:val="00C66B3D"/>
    <w:rsid w:val="00C66FD8"/>
    <w:rsid w:val="00C67D29"/>
    <w:rsid w:val="00C67DE8"/>
    <w:rsid w:val="00C67EAC"/>
    <w:rsid w:val="00C705D6"/>
    <w:rsid w:val="00C70D50"/>
    <w:rsid w:val="00C710C8"/>
    <w:rsid w:val="00C71A1F"/>
    <w:rsid w:val="00C71A9E"/>
    <w:rsid w:val="00C71F42"/>
    <w:rsid w:val="00C721BE"/>
    <w:rsid w:val="00C72252"/>
    <w:rsid w:val="00C7340B"/>
    <w:rsid w:val="00C73B19"/>
    <w:rsid w:val="00C74407"/>
    <w:rsid w:val="00C745FD"/>
    <w:rsid w:val="00C747D9"/>
    <w:rsid w:val="00C74B9E"/>
    <w:rsid w:val="00C74D9F"/>
    <w:rsid w:val="00C75CDD"/>
    <w:rsid w:val="00C75D63"/>
    <w:rsid w:val="00C75F04"/>
    <w:rsid w:val="00C76B77"/>
    <w:rsid w:val="00C77267"/>
    <w:rsid w:val="00C80C73"/>
    <w:rsid w:val="00C81050"/>
    <w:rsid w:val="00C848EA"/>
    <w:rsid w:val="00C85020"/>
    <w:rsid w:val="00C85133"/>
    <w:rsid w:val="00C8560F"/>
    <w:rsid w:val="00C861B6"/>
    <w:rsid w:val="00C86CD0"/>
    <w:rsid w:val="00C8740A"/>
    <w:rsid w:val="00C874DA"/>
    <w:rsid w:val="00C874EA"/>
    <w:rsid w:val="00C878DE"/>
    <w:rsid w:val="00C907D7"/>
    <w:rsid w:val="00C90898"/>
    <w:rsid w:val="00C90BA5"/>
    <w:rsid w:val="00C90D5D"/>
    <w:rsid w:val="00C910D5"/>
    <w:rsid w:val="00C914A0"/>
    <w:rsid w:val="00C91A81"/>
    <w:rsid w:val="00C91C1A"/>
    <w:rsid w:val="00C92338"/>
    <w:rsid w:val="00C92AC9"/>
    <w:rsid w:val="00C934B9"/>
    <w:rsid w:val="00C944FE"/>
    <w:rsid w:val="00C94DC0"/>
    <w:rsid w:val="00C95BAA"/>
    <w:rsid w:val="00C95C52"/>
    <w:rsid w:val="00C95E66"/>
    <w:rsid w:val="00C96051"/>
    <w:rsid w:val="00C9629B"/>
    <w:rsid w:val="00C963E4"/>
    <w:rsid w:val="00C976DA"/>
    <w:rsid w:val="00C97B86"/>
    <w:rsid w:val="00CA0528"/>
    <w:rsid w:val="00CA05DC"/>
    <w:rsid w:val="00CA092B"/>
    <w:rsid w:val="00CA146F"/>
    <w:rsid w:val="00CA2D03"/>
    <w:rsid w:val="00CA3215"/>
    <w:rsid w:val="00CA3F5D"/>
    <w:rsid w:val="00CA56D2"/>
    <w:rsid w:val="00CA5808"/>
    <w:rsid w:val="00CA5C08"/>
    <w:rsid w:val="00CA6D62"/>
    <w:rsid w:val="00CA7B47"/>
    <w:rsid w:val="00CB04B9"/>
    <w:rsid w:val="00CB103A"/>
    <w:rsid w:val="00CB158F"/>
    <w:rsid w:val="00CB1DD6"/>
    <w:rsid w:val="00CB2D9A"/>
    <w:rsid w:val="00CB36C5"/>
    <w:rsid w:val="00CB37AC"/>
    <w:rsid w:val="00CB3976"/>
    <w:rsid w:val="00CB3E54"/>
    <w:rsid w:val="00CB4028"/>
    <w:rsid w:val="00CB41F8"/>
    <w:rsid w:val="00CB42A3"/>
    <w:rsid w:val="00CB441A"/>
    <w:rsid w:val="00CB445D"/>
    <w:rsid w:val="00CB5010"/>
    <w:rsid w:val="00CB644A"/>
    <w:rsid w:val="00CB79AA"/>
    <w:rsid w:val="00CB7CFC"/>
    <w:rsid w:val="00CC021D"/>
    <w:rsid w:val="00CC1DA4"/>
    <w:rsid w:val="00CC1E7E"/>
    <w:rsid w:val="00CC2191"/>
    <w:rsid w:val="00CC3556"/>
    <w:rsid w:val="00CC47D1"/>
    <w:rsid w:val="00CC4E8A"/>
    <w:rsid w:val="00CC519E"/>
    <w:rsid w:val="00CC6087"/>
    <w:rsid w:val="00CC7E53"/>
    <w:rsid w:val="00CC7FFE"/>
    <w:rsid w:val="00CD0307"/>
    <w:rsid w:val="00CD12D0"/>
    <w:rsid w:val="00CD1C0D"/>
    <w:rsid w:val="00CD1CA6"/>
    <w:rsid w:val="00CD27BE"/>
    <w:rsid w:val="00CD322E"/>
    <w:rsid w:val="00CD3525"/>
    <w:rsid w:val="00CD3D1B"/>
    <w:rsid w:val="00CD3F80"/>
    <w:rsid w:val="00CD4003"/>
    <w:rsid w:val="00CD486D"/>
    <w:rsid w:val="00CD5D6F"/>
    <w:rsid w:val="00CD5E62"/>
    <w:rsid w:val="00CD6522"/>
    <w:rsid w:val="00CD6766"/>
    <w:rsid w:val="00CD6B90"/>
    <w:rsid w:val="00CD70AC"/>
    <w:rsid w:val="00CD73E4"/>
    <w:rsid w:val="00CD7987"/>
    <w:rsid w:val="00CE001E"/>
    <w:rsid w:val="00CE083F"/>
    <w:rsid w:val="00CE0D02"/>
    <w:rsid w:val="00CE110A"/>
    <w:rsid w:val="00CE1A7E"/>
    <w:rsid w:val="00CE2378"/>
    <w:rsid w:val="00CE2626"/>
    <w:rsid w:val="00CE3C3A"/>
    <w:rsid w:val="00CE3D4B"/>
    <w:rsid w:val="00CE438A"/>
    <w:rsid w:val="00CE4535"/>
    <w:rsid w:val="00CE4D09"/>
    <w:rsid w:val="00CE63BA"/>
    <w:rsid w:val="00CE693F"/>
    <w:rsid w:val="00CE699C"/>
    <w:rsid w:val="00CE7316"/>
    <w:rsid w:val="00CE79D8"/>
    <w:rsid w:val="00CF051B"/>
    <w:rsid w:val="00CF15DF"/>
    <w:rsid w:val="00CF232E"/>
    <w:rsid w:val="00CF2474"/>
    <w:rsid w:val="00CF2BC1"/>
    <w:rsid w:val="00CF3D0B"/>
    <w:rsid w:val="00CF42CE"/>
    <w:rsid w:val="00CF4A14"/>
    <w:rsid w:val="00CF4A38"/>
    <w:rsid w:val="00CF5F10"/>
    <w:rsid w:val="00CF6CDD"/>
    <w:rsid w:val="00CF6EC4"/>
    <w:rsid w:val="00D00029"/>
    <w:rsid w:val="00D000E9"/>
    <w:rsid w:val="00D00388"/>
    <w:rsid w:val="00D0091B"/>
    <w:rsid w:val="00D02663"/>
    <w:rsid w:val="00D027B0"/>
    <w:rsid w:val="00D0283C"/>
    <w:rsid w:val="00D03287"/>
    <w:rsid w:val="00D03C16"/>
    <w:rsid w:val="00D03FA9"/>
    <w:rsid w:val="00D0481F"/>
    <w:rsid w:val="00D04CE5"/>
    <w:rsid w:val="00D0633E"/>
    <w:rsid w:val="00D06E6B"/>
    <w:rsid w:val="00D0713E"/>
    <w:rsid w:val="00D075F9"/>
    <w:rsid w:val="00D07E4D"/>
    <w:rsid w:val="00D07F18"/>
    <w:rsid w:val="00D10264"/>
    <w:rsid w:val="00D10628"/>
    <w:rsid w:val="00D1141E"/>
    <w:rsid w:val="00D11B6E"/>
    <w:rsid w:val="00D126D2"/>
    <w:rsid w:val="00D1298C"/>
    <w:rsid w:val="00D12C8E"/>
    <w:rsid w:val="00D12E74"/>
    <w:rsid w:val="00D132BE"/>
    <w:rsid w:val="00D146BA"/>
    <w:rsid w:val="00D14805"/>
    <w:rsid w:val="00D14D21"/>
    <w:rsid w:val="00D14EDA"/>
    <w:rsid w:val="00D15955"/>
    <w:rsid w:val="00D15B39"/>
    <w:rsid w:val="00D16308"/>
    <w:rsid w:val="00D16D2A"/>
    <w:rsid w:val="00D16D97"/>
    <w:rsid w:val="00D16EEF"/>
    <w:rsid w:val="00D16F29"/>
    <w:rsid w:val="00D17151"/>
    <w:rsid w:val="00D2064F"/>
    <w:rsid w:val="00D213CD"/>
    <w:rsid w:val="00D21613"/>
    <w:rsid w:val="00D216D2"/>
    <w:rsid w:val="00D21959"/>
    <w:rsid w:val="00D219F5"/>
    <w:rsid w:val="00D21CA2"/>
    <w:rsid w:val="00D21D16"/>
    <w:rsid w:val="00D22000"/>
    <w:rsid w:val="00D22B07"/>
    <w:rsid w:val="00D22CB5"/>
    <w:rsid w:val="00D2312F"/>
    <w:rsid w:val="00D236A4"/>
    <w:rsid w:val="00D23B04"/>
    <w:rsid w:val="00D24567"/>
    <w:rsid w:val="00D25552"/>
    <w:rsid w:val="00D259DD"/>
    <w:rsid w:val="00D262C7"/>
    <w:rsid w:val="00D26800"/>
    <w:rsid w:val="00D269C1"/>
    <w:rsid w:val="00D27944"/>
    <w:rsid w:val="00D27A70"/>
    <w:rsid w:val="00D30B4E"/>
    <w:rsid w:val="00D311CF"/>
    <w:rsid w:val="00D31F20"/>
    <w:rsid w:val="00D31F71"/>
    <w:rsid w:val="00D32766"/>
    <w:rsid w:val="00D3326B"/>
    <w:rsid w:val="00D347B8"/>
    <w:rsid w:val="00D3481A"/>
    <w:rsid w:val="00D34B85"/>
    <w:rsid w:val="00D34D15"/>
    <w:rsid w:val="00D35370"/>
    <w:rsid w:val="00D35C09"/>
    <w:rsid w:val="00D361BA"/>
    <w:rsid w:val="00D3756C"/>
    <w:rsid w:val="00D401AC"/>
    <w:rsid w:val="00D40D8B"/>
    <w:rsid w:val="00D40E79"/>
    <w:rsid w:val="00D40E7B"/>
    <w:rsid w:val="00D417F1"/>
    <w:rsid w:val="00D41B2F"/>
    <w:rsid w:val="00D41E9A"/>
    <w:rsid w:val="00D42200"/>
    <w:rsid w:val="00D425B8"/>
    <w:rsid w:val="00D44953"/>
    <w:rsid w:val="00D4544A"/>
    <w:rsid w:val="00D46229"/>
    <w:rsid w:val="00D46913"/>
    <w:rsid w:val="00D46C33"/>
    <w:rsid w:val="00D4720B"/>
    <w:rsid w:val="00D47316"/>
    <w:rsid w:val="00D505AB"/>
    <w:rsid w:val="00D51617"/>
    <w:rsid w:val="00D520F4"/>
    <w:rsid w:val="00D52AAA"/>
    <w:rsid w:val="00D52C3E"/>
    <w:rsid w:val="00D54221"/>
    <w:rsid w:val="00D542F3"/>
    <w:rsid w:val="00D5449B"/>
    <w:rsid w:val="00D54513"/>
    <w:rsid w:val="00D54AAE"/>
    <w:rsid w:val="00D55385"/>
    <w:rsid w:val="00D55B9D"/>
    <w:rsid w:val="00D5644B"/>
    <w:rsid w:val="00D56A8A"/>
    <w:rsid w:val="00D56E25"/>
    <w:rsid w:val="00D57018"/>
    <w:rsid w:val="00D57169"/>
    <w:rsid w:val="00D57BA7"/>
    <w:rsid w:val="00D57E07"/>
    <w:rsid w:val="00D57E89"/>
    <w:rsid w:val="00D60E1A"/>
    <w:rsid w:val="00D610A0"/>
    <w:rsid w:val="00D62AEC"/>
    <w:rsid w:val="00D6432A"/>
    <w:rsid w:val="00D6481E"/>
    <w:rsid w:val="00D64994"/>
    <w:rsid w:val="00D64E90"/>
    <w:rsid w:val="00D652C8"/>
    <w:rsid w:val="00D6560D"/>
    <w:rsid w:val="00D6592E"/>
    <w:rsid w:val="00D65D77"/>
    <w:rsid w:val="00D662E0"/>
    <w:rsid w:val="00D67753"/>
    <w:rsid w:val="00D716E5"/>
    <w:rsid w:val="00D718D7"/>
    <w:rsid w:val="00D7226E"/>
    <w:rsid w:val="00D72363"/>
    <w:rsid w:val="00D72817"/>
    <w:rsid w:val="00D73131"/>
    <w:rsid w:val="00D731CD"/>
    <w:rsid w:val="00D7333D"/>
    <w:rsid w:val="00D73999"/>
    <w:rsid w:val="00D73B8F"/>
    <w:rsid w:val="00D73DB4"/>
    <w:rsid w:val="00D74A04"/>
    <w:rsid w:val="00D74AAA"/>
    <w:rsid w:val="00D76B89"/>
    <w:rsid w:val="00D76D25"/>
    <w:rsid w:val="00D7712A"/>
    <w:rsid w:val="00D7730C"/>
    <w:rsid w:val="00D80A80"/>
    <w:rsid w:val="00D814B7"/>
    <w:rsid w:val="00D81704"/>
    <w:rsid w:val="00D830B0"/>
    <w:rsid w:val="00D8324A"/>
    <w:rsid w:val="00D833C0"/>
    <w:rsid w:val="00D8417F"/>
    <w:rsid w:val="00D842FC"/>
    <w:rsid w:val="00D860ED"/>
    <w:rsid w:val="00D863EB"/>
    <w:rsid w:val="00D86427"/>
    <w:rsid w:val="00D86D17"/>
    <w:rsid w:val="00D8758C"/>
    <w:rsid w:val="00D87DDC"/>
    <w:rsid w:val="00D87F2B"/>
    <w:rsid w:val="00D9017E"/>
    <w:rsid w:val="00D90688"/>
    <w:rsid w:val="00D90C64"/>
    <w:rsid w:val="00D9143E"/>
    <w:rsid w:val="00D92908"/>
    <w:rsid w:val="00D94574"/>
    <w:rsid w:val="00D948D5"/>
    <w:rsid w:val="00D95540"/>
    <w:rsid w:val="00D95E45"/>
    <w:rsid w:val="00D965CD"/>
    <w:rsid w:val="00D975A8"/>
    <w:rsid w:val="00D976BC"/>
    <w:rsid w:val="00D978CD"/>
    <w:rsid w:val="00DA0487"/>
    <w:rsid w:val="00DA0AFC"/>
    <w:rsid w:val="00DA133A"/>
    <w:rsid w:val="00DA28CC"/>
    <w:rsid w:val="00DA2D0C"/>
    <w:rsid w:val="00DA3AAD"/>
    <w:rsid w:val="00DA3F0A"/>
    <w:rsid w:val="00DA3F0D"/>
    <w:rsid w:val="00DA4061"/>
    <w:rsid w:val="00DA56D2"/>
    <w:rsid w:val="00DA5D0C"/>
    <w:rsid w:val="00DA7ECA"/>
    <w:rsid w:val="00DA7F32"/>
    <w:rsid w:val="00DB0759"/>
    <w:rsid w:val="00DB0804"/>
    <w:rsid w:val="00DB14F7"/>
    <w:rsid w:val="00DB1500"/>
    <w:rsid w:val="00DB17FB"/>
    <w:rsid w:val="00DB20D1"/>
    <w:rsid w:val="00DB26E0"/>
    <w:rsid w:val="00DB2998"/>
    <w:rsid w:val="00DB2B94"/>
    <w:rsid w:val="00DB2FDD"/>
    <w:rsid w:val="00DB312B"/>
    <w:rsid w:val="00DB3336"/>
    <w:rsid w:val="00DB3FCB"/>
    <w:rsid w:val="00DB48F3"/>
    <w:rsid w:val="00DB5045"/>
    <w:rsid w:val="00DB5104"/>
    <w:rsid w:val="00DB659C"/>
    <w:rsid w:val="00DB720F"/>
    <w:rsid w:val="00DC0438"/>
    <w:rsid w:val="00DC048F"/>
    <w:rsid w:val="00DC1303"/>
    <w:rsid w:val="00DC1D39"/>
    <w:rsid w:val="00DC2DD2"/>
    <w:rsid w:val="00DC3264"/>
    <w:rsid w:val="00DC36B9"/>
    <w:rsid w:val="00DC4173"/>
    <w:rsid w:val="00DC4D34"/>
    <w:rsid w:val="00DC5654"/>
    <w:rsid w:val="00DC5F63"/>
    <w:rsid w:val="00DC632C"/>
    <w:rsid w:val="00DC64DB"/>
    <w:rsid w:val="00DC658F"/>
    <w:rsid w:val="00DC674A"/>
    <w:rsid w:val="00DC6E0F"/>
    <w:rsid w:val="00DD0B48"/>
    <w:rsid w:val="00DD33C6"/>
    <w:rsid w:val="00DD34D3"/>
    <w:rsid w:val="00DD3A75"/>
    <w:rsid w:val="00DD446D"/>
    <w:rsid w:val="00DD4714"/>
    <w:rsid w:val="00DD5A43"/>
    <w:rsid w:val="00DD6383"/>
    <w:rsid w:val="00DD6393"/>
    <w:rsid w:val="00DD674F"/>
    <w:rsid w:val="00DD676C"/>
    <w:rsid w:val="00DD7A23"/>
    <w:rsid w:val="00DD7FAE"/>
    <w:rsid w:val="00DE0D77"/>
    <w:rsid w:val="00DE0E4E"/>
    <w:rsid w:val="00DE0E76"/>
    <w:rsid w:val="00DE198F"/>
    <w:rsid w:val="00DE4471"/>
    <w:rsid w:val="00DE5166"/>
    <w:rsid w:val="00DE60CC"/>
    <w:rsid w:val="00DE6545"/>
    <w:rsid w:val="00DE6928"/>
    <w:rsid w:val="00DE6EB6"/>
    <w:rsid w:val="00DE6FE4"/>
    <w:rsid w:val="00DE78D3"/>
    <w:rsid w:val="00DF0039"/>
    <w:rsid w:val="00DF0D70"/>
    <w:rsid w:val="00DF0DC7"/>
    <w:rsid w:val="00DF1663"/>
    <w:rsid w:val="00DF1B0B"/>
    <w:rsid w:val="00DF1B9C"/>
    <w:rsid w:val="00DF1F7B"/>
    <w:rsid w:val="00DF272C"/>
    <w:rsid w:val="00DF2B1E"/>
    <w:rsid w:val="00DF2B65"/>
    <w:rsid w:val="00DF2F71"/>
    <w:rsid w:val="00DF399A"/>
    <w:rsid w:val="00DF3ABC"/>
    <w:rsid w:val="00DF52CC"/>
    <w:rsid w:val="00DF597E"/>
    <w:rsid w:val="00DF6D2F"/>
    <w:rsid w:val="00DF79B7"/>
    <w:rsid w:val="00DF7B0C"/>
    <w:rsid w:val="00DF7F3B"/>
    <w:rsid w:val="00E00943"/>
    <w:rsid w:val="00E00CB5"/>
    <w:rsid w:val="00E01191"/>
    <w:rsid w:val="00E019BF"/>
    <w:rsid w:val="00E01C3B"/>
    <w:rsid w:val="00E03D55"/>
    <w:rsid w:val="00E03E38"/>
    <w:rsid w:val="00E04277"/>
    <w:rsid w:val="00E04800"/>
    <w:rsid w:val="00E04A5D"/>
    <w:rsid w:val="00E04F05"/>
    <w:rsid w:val="00E05693"/>
    <w:rsid w:val="00E06416"/>
    <w:rsid w:val="00E067C2"/>
    <w:rsid w:val="00E07253"/>
    <w:rsid w:val="00E07663"/>
    <w:rsid w:val="00E10316"/>
    <w:rsid w:val="00E104EB"/>
    <w:rsid w:val="00E10576"/>
    <w:rsid w:val="00E107F4"/>
    <w:rsid w:val="00E11013"/>
    <w:rsid w:val="00E11446"/>
    <w:rsid w:val="00E11B2E"/>
    <w:rsid w:val="00E11E2B"/>
    <w:rsid w:val="00E122C0"/>
    <w:rsid w:val="00E127DE"/>
    <w:rsid w:val="00E12993"/>
    <w:rsid w:val="00E13153"/>
    <w:rsid w:val="00E13559"/>
    <w:rsid w:val="00E13774"/>
    <w:rsid w:val="00E13A70"/>
    <w:rsid w:val="00E143EA"/>
    <w:rsid w:val="00E15464"/>
    <w:rsid w:val="00E15C9B"/>
    <w:rsid w:val="00E1677D"/>
    <w:rsid w:val="00E16E33"/>
    <w:rsid w:val="00E16E44"/>
    <w:rsid w:val="00E17016"/>
    <w:rsid w:val="00E1736E"/>
    <w:rsid w:val="00E17BC6"/>
    <w:rsid w:val="00E20A19"/>
    <w:rsid w:val="00E21162"/>
    <w:rsid w:val="00E2144C"/>
    <w:rsid w:val="00E216A2"/>
    <w:rsid w:val="00E2175F"/>
    <w:rsid w:val="00E22A20"/>
    <w:rsid w:val="00E2378A"/>
    <w:rsid w:val="00E237FC"/>
    <w:rsid w:val="00E23B35"/>
    <w:rsid w:val="00E25626"/>
    <w:rsid w:val="00E25CF1"/>
    <w:rsid w:val="00E2609B"/>
    <w:rsid w:val="00E26B32"/>
    <w:rsid w:val="00E2743A"/>
    <w:rsid w:val="00E30284"/>
    <w:rsid w:val="00E303FD"/>
    <w:rsid w:val="00E30717"/>
    <w:rsid w:val="00E30904"/>
    <w:rsid w:val="00E309C7"/>
    <w:rsid w:val="00E319AF"/>
    <w:rsid w:val="00E31CD4"/>
    <w:rsid w:val="00E31D85"/>
    <w:rsid w:val="00E31E60"/>
    <w:rsid w:val="00E335C3"/>
    <w:rsid w:val="00E33C97"/>
    <w:rsid w:val="00E33E08"/>
    <w:rsid w:val="00E344AC"/>
    <w:rsid w:val="00E34628"/>
    <w:rsid w:val="00E35113"/>
    <w:rsid w:val="00E3518A"/>
    <w:rsid w:val="00E35A30"/>
    <w:rsid w:val="00E36CB6"/>
    <w:rsid w:val="00E3729B"/>
    <w:rsid w:val="00E37B08"/>
    <w:rsid w:val="00E40256"/>
    <w:rsid w:val="00E407B6"/>
    <w:rsid w:val="00E412B3"/>
    <w:rsid w:val="00E4130C"/>
    <w:rsid w:val="00E419CA"/>
    <w:rsid w:val="00E41D06"/>
    <w:rsid w:val="00E41EF1"/>
    <w:rsid w:val="00E42942"/>
    <w:rsid w:val="00E42F36"/>
    <w:rsid w:val="00E431F9"/>
    <w:rsid w:val="00E43B81"/>
    <w:rsid w:val="00E441BE"/>
    <w:rsid w:val="00E44605"/>
    <w:rsid w:val="00E44F29"/>
    <w:rsid w:val="00E45495"/>
    <w:rsid w:val="00E45777"/>
    <w:rsid w:val="00E46AA7"/>
    <w:rsid w:val="00E46DD8"/>
    <w:rsid w:val="00E47073"/>
    <w:rsid w:val="00E47C4B"/>
    <w:rsid w:val="00E47C96"/>
    <w:rsid w:val="00E47CAF"/>
    <w:rsid w:val="00E5001E"/>
    <w:rsid w:val="00E5010B"/>
    <w:rsid w:val="00E50F4C"/>
    <w:rsid w:val="00E5198E"/>
    <w:rsid w:val="00E51B87"/>
    <w:rsid w:val="00E51BEA"/>
    <w:rsid w:val="00E522CC"/>
    <w:rsid w:val="00E52F6E"/>
    <w:rsid w:val="00E52F96"/>
    <w:rsid w:val="00E5393F"/>
    <w:rsid w:val="00E53AAB"/>
    <w:rsid w:val="00E543D9"/>
    <w:rsid w:val="00E5547D"/>
    <w:rsid w:val="00E56370"/>
    <w:rsid w:val="00E57310"/>
    <w:rsid w:val="00E574A1"/>
    <w:rsid w:val="00E5752A"/>
    <w:rsid w:val="00E608C2"/>
    <w:rsid w:val="00E61272"/>
    <w:rsid w:val="00E6184A"/>
    <w:rsid w:val="00E61FEA"/>
    <w:rsid w:val="00E62EFE"/>
    <w:rsid w:val="00E63267"/>
    <w:rsid w:val="00E63EBD"/>
    <w:rsid w:val="00E659F1"/>
    <w:rsid w:val="00E65A0A"/>
    <w:rsid w:val="00E67257"/>
    <w:rsid w:val="00E678E3"/>
    <w:rsid w:val="00E67DB8"/>
    <w:rsid w:val="00E7006C"/>
    <w:rsid w:val="00E710D3"/>
    <w:rsid w:val="00E7138E"/>
    <w:rsid w:val="00E71BDF"/>
    <w:rsid w:val="00E7256A"/>
    <w:rsid w:val="00E72E8A"/>
    <w:rsid w:val="00E739E4"/>
    <w:rsid w:val="00E73FFF"/>
    <w:rsid w:val="00E7411A"/>
    <w:rsid w:val="00E74C4C"/>
    <w:rsid w:val="00E75261"/>
    <w:rsid w:val="00E75ABB"/>
    <w:rsid w:val="00E75CCB"/>
    <w:rsid w:val="00E76158"/>
    <w:rsid w:val="00E76894"/>
    <w:rsid w:val="00E770A9"/>
    <w:rsid w:val="00E80393"/>
    <w:rsid w:val="00E8141A"/>
    <w:rsid w:val="00E81DE9"/>
    <w:rsid w:val="00E8245B"/>
    <w:rsid w:val="00E82566"/>
    <w:rsid w:val="00E82C21"/>
    <w:rsid w:val="00E82D1B"/>
    <w:rsid w:val="00E82D4F"/>
    <w:rsid w:val="00E82F59"/>
    <w:rsid w:val="00E83477"/>
    <w:rsid w:val="00E83A42"/>
    <w:rsid w:val="00E83CA7"/>
    <w:rsid w:val="00E8488A"/>
    <w:rsid w:val="00E850E7"/>
    <w:rsid w:val="00E85FB9"/>
    <w:rsid w:val="00E863D5"/>
    <w:rsid w:val="00E868DD"/>
    <w:rsid w:val="00E86914"/>
    <w:rsid w:val="00E8719A"/>
    <w:rsid w:val="00E90B09"/>
    <w:rsid w:val="00E90FE9"/>
    <w:rsid w:val="00E91895"/>
    <w:rsid w:val="00E92192"/>
    <w:rsid w:val="00E92A16"/>
    <w:rsid w:val="00E93452"/>
    <w:rsid w:val="00E94059"/>
    <w:rsid w:val="00E948C5"/>
    <w:rsid w:val="00E9575A"/>
    <w:rsid w:val="00E95A71"/>
    <w:rsid w:val="00E95E17"/>
    <w:rsid w:val="00E9653F"/>
    <w:rsid w:val="00E9696D"/>
    <w:rsid w:val="00E96F36"/>
    <w:rsid w:val="00E96F7F"/>
    <w:rsid w:val="00E972DE"/>
    <w:rsid w:val="00EA030C"/>
    <w:rsid w:val="00EA2B81"/>
    <w:rsid w:val="00EA30D4"/>
    <w:rsid w:val="00EA3105"/>
    <w:rsid w:val="00EA3632"/>
    <w:rsid w:val="00EA3A0D"/>
    <w:rsid w:val="00EA3FD2"/>
    <w:rsid w:val="00EA4A02"/>
    <w:rsid w:val="00EA4B63"/>
    <w:rsid w:val="00EA5449"/>
    <w:rsid w:val="00EA5761"/>
    <w:rsid w:val="00EA57BF"/>
    <w:rsid w:val="00EA647B"/>
    <w:rsid w:val="00EA765A"/>
    <w:rsid w:val="00EB0604"/>
    <w:rsid w:val="00EB0A02"/>
    <w:rsid w:val="00EB10B7"/>
    <w:rsid w:val="00EB252B"/>
    <w:rsid w:val="00EB363A"/>
    <w:rsid w:val="00EB4082"/>
    <w:rsid w:val="00EB505D"/>
    <w:rsid w:val="00EB5D15"/>
    <w:rsid w:val="00EB6068"/>
    <w:rsid w:val="00EB6101"/>
    <w:rsid w:val="00EB7014"/>
    <w:rsid w:val="00EB7029"/>
    <w:rsid w:val="00EB753A"/>
    <w:rsid w:val="00EB7683"/>
    <w:rsid w:val="00EB7A41"/>
    <w:rsid w:val="00EC1568"/>
    <w:rsid w:val="00EC193B"/>
    <w:rsid w:val="00EC313E"/>
    <w:rsid w:val="00EC324F"/>
    <w:rsid w:val="00EC3349"/>
    <w:rsid w:val="00EC3B55"/>
    <w:rsid w:val="00EC5AE4"/>
    <w:rsid w:val="00EC5CDE"/>
    <w:rsid w:val="00EC5E12"/>
    <w:rsid w:val="00EC6912"/>
    <w:rsid w:val="00EC6DA2"/>
    <w:rsid w:val="00EC76F8"/>
    <w:rsid w:val="00ED00B6"/>
    <w:rsid w:val="00ED0642"/>
    <w:rsid w:val="00ED1760"/>
    <w:rsid w:val="00ED1B31"/>
    <w:rsid w:val="00ED1EEE"/>
    <w:rsid w:val="00ED2A1D"/>
    <w:rsid w:val="00ED2D02"/>
    <w:rsid w:val="00ED3077"/>
    <w:rsid w:val="00ED3282"/>
    <w:rsid w:val="00ED36E8"/>
    <w:rsid w:val="00ED384A"/>
    <w:rsid w:val="00ED3DD3"/>
    <w:rsid w:val="00ED3F4D"/>
    <w:rsid w:val="00ED400A"/>
    <w:rsid w:val="00ED43CE"/>
    <w:rsid w:val="00ED487E"/>
    <w:rsid w:val="00ED531C"/>
    <w:rsid w:val="00ED64F1"/>
    <w:rsid w:val="00ED656C"/>
    <w:rsid w:val="00ED7657"/>
    <w:rsid w:val="00ED789E"/>
    <w:rsid w:val="00EE01BC"/>
    <w:rsid w:val="00EE06EF"/>
    <w:rsid w:val="00EE08CC"/>
    <w:rsid w:val="00EE26A2"/>
    <w:rsid w:val="00EE3016"/>
    <w:rsid w:val="00EE30BE"/>
    <w:rsid w:val="00EE33A1"/>
    <w:rsid w:val="00EE3630"/>
    <w:rsid w:val="00EE3FD3"/>
    <w:rsid w:val="00EE47E3"/>
    <w:rsid w:val="00EE52CF"/>
    <w:rsid w:val="00EE52EB"/>
    <w:rsid w:val="00EE581D"/>
    <w:rsid w:val="00EE5E1D"/>
    <w:rsid w:val="00EE7733"/>
    <w:rsid w:val="00EE7A0D"/>
    <w:rsid w:val="00EE7C85"/>
    <w:rsid w:val="00EE7EE2"/>
    <w:rsid w:val="00EE7F84"/>
    <w:rsid w:val="00EF0D48"/>
    <w:rsid w:val="00EF16DD"/>
    <w:rsid w:val="00EF19CF"/>
    <w:rsid w:val="00EF295D"/>
    <w:rsid w:val="00EF3516"/>
    <w:rsid w:val="00EF38DB"/>
    <w:rsid w:val="00EF392F"/>
    <w:rsid w:val="00EF3B0A"/>
    <w:rsid w:val="00EF4286"/>
    <w:rsid w:val="00EF4DB8"/>
    <w:rsid w:val="00EF5178"/>
    <w:rsid w:val="00EF581E"/>
    <w:rsid w:val="00EF6135"/>
    <w:rsid w:val="00EF7237"/>
    <w:rsid w:val="00EF78B5"/>
    <w:rsid w:val="00F001FC"/>
    <w:rsid w:val="00F0222C"/>
    <w:rsid w:val="00F024AD"/>
    <w:rsid w:val="00F024C8"/>
    <w:rsid w:val="00F02946"/>
    <w:rsid w:val="00F04412"/>
    <w:rsid w:val="00F046A0"/>
    <w:rsid w:val="00F04BDC"/>
    <w:rsid w:val="00F04E7B"/>
    <w:rsid w:val="00F0516E"/>
    <w:rsid w:val="00F05606"/>
    <w:rsid w:val="00F05617"/>
    <w:rsid w:val="00F05F4D"/>
    <w:rsid w:val="00F063E2"/>
    <w:rsid w:val="00F065EE"/>
    <w:rsid w:val="00F06F72"/>
    <w:rsid w:val="00F071DB"/>
    <w:rsid w:val="00F07AC7"/>
    <w:rsid w:val="00F10181"/>
    <w:rsid w:val="00F111BB"/>
    <w:rsid w:val="00F12312"/>
    <w:rsid w:val="00F12CAF"/>
    <w:rsid w:val="00F12FC8"/>
    <w:rsid w:val="00F1337E"/>
    <w:rsid w:val="00F13987"/>
    <w:rsid w:val="00F152CB"/>
    <w:rsid w:val="00F15D0A"/>
    <w:rsid w:val="00F1610B"/>
    <w:rsid w:val="00F16653"/>
    <w:rsid w:val="00F16C52"/>
    <w:rsid w:val="00F1740B"/>
    <w:rsid w:val="00F177C7"/>
    <w:rsid w:val="00F17CE1"/>
    <w:rsid w:val="00F20F45"/>
    <w:rsid w:val="00F210D7"/>
    <w:rsid w:val="00F210E9"/>
    <w:rsid w:val="00F2115C"/>
    <w:rsid w:val="00F21199"/>
    <w:rsid w:val="00F226A6"/>
    <w:rsid w:val="00F22806"/>
    <w:rsid w:val="00F22ABA"/>
    <w:rsid w:val="00F23458"/>
    <w:rsid w:val="00F23724"/>
    <w:rsid w:val="00F24336"/>
    <w:rsid w:val="00F24376"/>
    <w:rsid w:val="00F24EB6"/>
    <w:rsid w:val="00F2554A"/>
    <w:rsid w:val="00F26127"/>
    <w:rsid w:val="00F263DD"/>
    <w:rsid w:val="00F27933"/>
    <w:rsid w:val="00F27E7D"/>
    <w:rsid w:val="00F311D4"/>
    <w:rsid w:val="00F316AA"/>
    <w:rsid w:val="00F320EA"/>
    <w:rsid w:val="00F32EA7"/>
    <w:rsid w:val="00F331FD"/>
    <w:rsid w:val="00F332B8"/>
    <w:rsid w:val="00F3346C"/>
    <w:rsid w:val="00F3412F"/>
    <w:rsid w:val="00F349C9"/>
    <w:rsid w:val="00F36B12"/>
    <w:rsid w:val="00F37B0A"/>
    <w:rsid w:val="00F40610"/>
    <w:rsid w:val="00F40AC4"/>
    <w:rsid w:val="00F41CA1"/>
    <w:rsid w:val="00F41E6E"/>
    <w:rsid w:val="00F43DF8"/>
    <w:rsid w:val="00F44D22"/>
    <w:rsid w:val="00F44D97"/>
    <w:rsid w:val="00F452B1"/>
    <w:rsid w:val="00F45A6A"/>
    <w:rsid w:val="00F45ECA"/>
    <w:rsid w:val="00F467D3"/>
    <w:rsid w:val="00F47C64"/>
    <w:rsid w:val="00F47D46"/>
    <w:rsid w:val="00F47E1A"/>
    <w:rsid w:val="00F504CA"/>
    <w:rsid w:val="00F50FE8"/>
    <w:rsid w:val="00F512F8"/>
    <w:rsid w:val="00F52DF6"/>
    <w:rsid w:val="00F54B45"/>
    <w:rsid w:val="00F54C7F"/>
    <w:rsid w:val="00F55886"/>
    <w:rsid w:val="00F55B9C"/>
    <w:rsid w:val="00F57669"/>
    <w:rsid w:val="00F604B4"/>
    <w:rsid w:val="00F60F9F"/>
    <w:rsid w:val="00F61027"/>
    <w:rsid w:val="00F621EC"/>
    <w:rsid w:val="00F626D6"/>
    <w:rsid w:val="00F62875"/>
    <w:rsid w:val="00F633CA"/>
    <w:rsid w:val="00F63452"/>
    <w:rsid w:val="00F635D9"/>
    <w:rsid w:val="00F63A59"/>
    <w:rsid w:val="00F63B2A"/>
    <w:rsid w:val="00F64B42"/>
    <w:rsid w:val="00F64F08"/>
    <w:rsid w:val="00F650B1"/>
    <w:rsid w:val="00F651D9"/>
    <w:rsid w:val="00F660D3"/>
    <w:rsid w:val="00F66620"/>
    <w:rsid w:val="00F66848"/>
    <w:rsid w:val="00F66E26"/>
    <w:rsid w:val="00F66F06"/>
    <w:rsid w:val="00F67675"/>
    <w:rsid w:val="00F67778"/>
    <w:rsid w:val="00F67F78"/>
    <w:rsid w:val="00F70055"/>
    <w:rsid w:val="00F703D2"/>
    <w:rsid w:val="00F705BE"/>
    <w:rsid w:val="00F70A20"/>
    <w:rsid w:val="00F70D93"/>
    <w:rsid w:val="00F71150"/>
    <w:rsid w:val="00F71D46"/>
    <w:rsid w:val="00F71FE3"/>
    <w:rsid w:val="00F72001"/>
    <w:rsid w:val="00F72629"/>
    <w:rsid w:val="00F734F5"/>
    <w:rsid w:val="00F73B5B"/>
    <w:rsid w:val="00F7424A"/>
    <w:rsid w:val="00F757A5"/>
    <w:rsid w:val="00F76207"/>
    <w:rsid w:val="00F770E0"/>
    <w:rsid w:val="00F77192"/>
    <w:rsid w:val="00F7721A"/>
    <w:rsid w:val="00F77596"/>
    <w:rsid w:val="00F80271"/>
    <w:rsid w:val="00F80AA7"/>
    <w:rsid w:val="00F81043"/>
    <w:rsid w:val="00F8165B"/>
    <w:rsid w:val="00F81806"/>
    <w:rsid w:val="00F8183E"/>
    <w:rsid w:val="00F82191"/>
    <w:rsid w:val="00F8280B"/>
    <w:rsid w:val="00F82F80"/>
    <w:rsid w:val="00F832E2"/>
    <w:rsid w:val="00F84071"/>
    <w:rsid w:val="00F85072"/>
    <w:rsid w:val="00F864C5"/>
    <w:rsid w:val="00F871F6"/>
    <w:rsid w:val="00F871FF"/>
    <w:rsid w:val="00F90B99"/>
    <w:rsid w:val="00F90EA5"/>
    <w:rsid w:val="00F90F3F"/>
    <w:rsid w:val="00F91A08"/>
    <w:rsid w:val="00F91ACB"/>
    <w:rsid w:val="00F91BC1"/>
    <w:rsid w:val="00F91F5A"/>
    <w:rsid w:val="00F928F1"/>
    <w:rsid w:val="00F92B67"/>
    <w:rsid w:val="00F92C2F"/>
    <w:rsid w:val="00F92D64"/>
    <w:rsid w:val="00F93431"/>
    <w:rsid w:val="00F93D6B"/>
    <w:rsid w:val="00F946E0"/>
    <w:rsid w:val="00F966B1"/>
    <w:rsid w:val="00F966FB"/>
    <w:rsid w:val="00F9779D"/>
    <w:rsid w:val="00F97D48"/>
    <w:rsid w:val="00FA0311"/>
    <w:rsid w:val="00FA053A"/>
    <w:rsid w:val="00FA0585"/>
    <w:rsid w:val="00FA0684"/>
    <w:rsid w:val="00FA0C3D"/>
    <w:rsid w:val="00FA10E4"/>
    <w:rsid w:val="00FA1489"/>
    <w:rsid w:val="00FA1AD3"/>
    <w:rsid w:val="00FA2912"/>
    <w:rsid w:val="00FA39E1"/>
    <w:rsid w:val="00FA3A77"/>
    <w:rsid w:val="00FA45CD"/>
    <w:rsid w:val="00FA5275"/>
    <w:rsid w:val="00FA65CF"/>
    <w:rsid w:val="00FA7D50"/>
    <w:rsid w:val="00FA7FCD"/>
    <w:rsid w:val="00FB28BB"/>
    <w:rsid w:val="00FB396D"/>
    <w:rsid w:val="00FB39C1"/>
    <w:rsid w:val="00FB3BA8"/>
    <w:rsid w:val="00FB455C"/>
    <w:rsid w:val="00FB52BD"/>
    <w:rsid w:val="00FB5336"/>
    <w:rsid w:val="00FB5552"/>
    <w:rsid w:val="00FB5B9E"/>
    <w:rsid w:val="00FB5C32"/>
    <w:rsid w:val="00FB5CCD"/>
    <w:rsid w:val="00FB5D96"/>
    <w:rsid w:val="00FB5F7A"/>
    <w:rsid w:val="00FB65F5"/>
    <w:rsid w:val="00FB733D"/>
    <w:rsid w:val="00FB78CE"/>
    <w:rsid w:val="00FB79CB"/>
    <w:rsid w:val="00FB7D40"/>
    <w:rsid w:val="00FC018E"/>
    <w:rsid w:val="00FC11C0"/>
    <w:rsid w:val="00FC1BB1"/>
    <w:rsid w:val="00FC232B"/>
    <w:rsid w:val="00FC2993"/>
    <w:rsid w:val="00FC377D"/>
    <w:rsid w:val="00FC4EE9"/>
    <w:rsid w:val="00FC5892"/>
    <w:rsid w:val="00FC5E7D"/>
    <w:rsid w:val="00FC6A77"/>
    <w:rsid w:val="00FC6CE8"/>
    <w:rsid w:val="00FD048C"/>
    <w:rsid w:val="00FD0765"/>
    <w:rsid w:val="00FD27F4"/>
    <w:rsid w:val="00FD2A87"/>
    <w:rsid w:val="00FD3579"/>
    <w:rsid w:val="00FD3785"/>
    <w:rsid w:val="00FD46BD"/>
    <w:rsid w:val="00FD4805"/>
    <w:rsid w:val="00FD4D90"/>
    <w:rsid w:val="00FD508E"/>
    <w:rsid w:val="00FD50E2"/>
    <w:rsid w:val="00FD50F0"/>
    <w:rsid w:val="00FD540D"/>
    <w:rsid w:val="00FD640F"/>
    <w:rsid w:val="00FD64E1"/>
    <w:rsid w:val="00FD6B4C"/>
    <w:rsid w:val="00FD7069"/>
    <w:rsid w:val="00FD765E"/>
    <w:rsid w:val="00FD7A08"/>
    <w:rsid w:val="00FD7E6C"/>
    <w:rsid w:val="00FE0129"/>
    <w:rsid w:val="00FE0553"/>
    <w:rsid w:val="00FE056B"/>
    <w:rsid w:val="00FE098C"/>
    <w:rsid w:val="00FE223C"/>
    <w:rsid w:val="00FE25D0"/>
    <w:rsid w:val="00FE2D79"/>
    <w:rsid w:val="00FE2DE0"/>
    <w:rsid w:val="00FE3272"/>
    <w:rsid w:val="00FE333C"/>
    <w:rsid w:val="00FE3822"/>
    <w:rsid w:val="00FE393E"/>
    <w:rsid w:val="00FE3959"/>
    <w:rsid w:val="00FE3E67"/>
    <w:rsid w:val="00FE3E8C"/>
    <w:rsid w:val="00FE47F5"/>
    <w:rsid w:val="00FE4F30"/>
    <w:rsid w:val="00FE4F5A"/>
    <w:rsid w:val="00FE50C0"/>
    <w:rsid w:val="00FE5F8A"/>
    <w:rsid w:val="00FE6CB3"/>
    <w:rsid w:val="00FF0846"/>
    <w:rsid w:val="00FF0862"/>
    <w:rsid w:val="00FF1212"/>
    <w:rsid w:val="00FF396A"/>
    <w:rsid w:val="00FF402B"/>
    <w:rsid w:val="00FF411C"/>
    <w:rsid w:val="00FF4657"/>
    <w:rsid w:val="00FF494A"/>
    <w:rsid w:val="00FF4E99"/>
    <w:rsid w:val="00FF5F50"/>
    <w:rsid w:val="00FF63E4"/>
    <w:rsid w:val="00FF67B9"/>
    <w:rsid w:val="00FF6DD2"/>
    <w:rsid w:val="0142DF39"/>
    <w:rsid w:val="01575FBF"/>
    <w:rsid w:val="01D2C788"/>
    <w:rsid w:val="01DE9CC2"/>
    <w:rsid w:val="021E4BD1"/>
    <w:rsid w:val="0245E36D"/>
    <w:rsid w:val="027A4162"/>
    <w:rsid w:val="028CCA3F"/>
    <w:rsid w:val="02D6FB33"/>
    <w:rsid w:val="0318D16F"/>
    <w:rsid w:val="0348A4DF"/>
    <w:rsid w:val="0348C822"/>
    <w:rsid w:val="0355F59A"/>
    <w:rsid w:val="03B8C898"/>
    <w:rsid w:val="03C51AF9"/>
    <w:rsid w:val="03D21339"/>
    <w:rsid w:val="03DA286A"/>
    <w:rsid w:val="03DB1F47"/>
    <w:rsid w:val="03E2E096"/>
    <w:rsid w:val="03EEAC39"/>
    <w:rsid w:val="040D2CFA"/>
    <w:rsid w:val="046460E4"/>
    <w:rsid w:val="04662646"/>
    <w:rsid w:val="04DD55A5"/>
    <w:rsid w:val="04FF4644"/>
    <w:rsid w:val="0522CCA3"/>
    <w:rsid w:val="05449C28"/>
    <w:rsid w:val="056ADEAB"/>
    <w:rsid w:val="059C05E1"/>
    <w:rsid w:val="05D90BDE"/>
    <w:rsid w:val="064414E4"/>
    <w:rsid w:val="06FBC4A0"/>
    <w:rsid w:val="073597E1"/>
    <w:rsid w:val="0735C4AA"/>
    <w:rsid w:val="073C39C6"/>
    <w:rsid w:val="074F72E6"/>
    <w:rsid w:val="0776A7A8"/>
    <w:rsid w:val="0778ADC8"/>
    <w:rsid w:val="07B43829"/>
    <w:rsid w:val="082D9FD4"/>
    <w:rsid w:val="0852E32B"/>
    <w:rsid w:val="085E83C4"/>
    <w:rsid w:val="08698B4C"/>
    <w:rsid w:val="0884A0E0"/>
    <w:rsid w:val="08D3107C"/>
    <w:rsid w:val="091AE706"/>
    <w:rsid w:val="093F318E"/>
    <w:rsid w:val="0942CAC8"/>
    <w:rsid w:val="0943F9C1"/>
    <w:rsid w:val="097073D0"/>
    <w:rsid w:val="097EF002"/>
    <w:rsid w:val="098BB75B"/>
    <w:rsid w:val="099414C9"/>
    <w:rsid w:val="099EC044"/>
    <w:rsid w:val="09D286CE"/>
    <w:rsid w:val="09DE6999"/>
    <w:rsid w:val="09E657C5"/>
    <w:rsid w:val="09EA5F02"/>
    <w:rsid w:val="09EF0045"/>
    <w:rsid w:val="09FCEBFF"/>
    <w:rsid w:val="09FF1600"/>
    <w:rsid w:val="0A062C57"/>
    <w:rsid w:val="0A3F7450"/>
    <w:rsid w:val="0A4C4B06"/>
    <w:rsid w:val="0A66E423"/>
    <w:rsid w:val="0A6821FF"/>
    <w:rsid w:val="0A7F3569"/>
    <w:rsid w:val="0ACA4147"/>
    <w:rsid w:val="0AF274E6"/>
    <w:rsid w:val="0B15C65D"/>
    <w:rsid w:val="0B3572B8"/>
    <w:rsid w:val="0B797922"/>
    <w:rsid w:val="0B8AD0A6"/>
    <w:rsid w:val="0BC3C5DE"/>
    <w:rsid w:val="0BE6B2D5"/>
    <w:rsid w:val="0C182D06"/>
    <w:rsid w:val="0C25E5E7"/>
    <w:rsid w:val="0C3E6D04"/>
    <w:rsid w:val="0C77DB97"/>
    <w:rsid w:val="0CA3ACA0"/>
    <w:rsid w:val="0CA4AD3F"/>
    <w:rsid w:val="0CB6FA9F"/>
    <w:rsid w:val="0CBB8AD6"/>
    <w:rsid w:val="0CEA82EE"/>
    <w:rsid w:val="0D4BA612"/>
    <w:rsid w:val="0D66F32E"/>
    <w:rsid w:val="0D868307"/>
    <w:rsid w:val="0D944267"/>
    <w:rsid w:val="0DDE9247"/>
    <w:rsid w:val="0E33AB87"/>
    <w:rsid w:val="0E474F6E"/>
    <w:rsid w:val="0E767FB8"/>
    <w:rsid w:val="0E9167FD"/>
    <w:rsid w:val="0F54D42A"/>
    <w:rsid w:val="0F7B00DF"/>
    <w:rsid w:val="0F8BB9AE"/>
    <w:rsid w:val="10347218"/>
    <w:rsid w:val="1043C115"/>
    <w:rsid w:val="1099C859"/>
    <w:rsid w:val="10BE4979"/>
    <w:rsid w:val="10D667F0"/>
    <w:rsid w:val="10DE0578"/>
    <w:rsid w:val="114EAE4F"/>
    <w:rsid w:val="11E43CD3"/>
    <w:rsid w:val="11FE8ACD"/>
    <w:rsid w:val="125E5EB3"/>
    <w:rsid w:val="12689C50"/>
    <w:rsid w:val="12742C8B"/>
    <w:rsid w:val="12761755"/>
    <w:rsid w:val="128BE022"/>
    <w:rsid w:val="12BA5098"/>
    <w:rsid w:val="12CA085F"/>
    <w:rsid w:val="12D2629F"/>
    <w:rsid w:val="12DDA0FD"/>
    <w:rsid w:val="12F6576A"/>
    <w:rsid w:val="13240D93"/>
    <w:rsid w:val="135CA5D1"/>
    <w:rsid w:val="13C592A7"/>
    <w:rsid w:val="13EBEE76"/>
    <w:rsid w:val="13EF3BD7"/>
    <w:rsid w:val="1400ADF7"/>
    <w:rsid w:val="142F5B35"/>
    <w:rsid w:val="14910FBE"/>
    <w:rsid w:val="14F303DE"/>
    <w:rsid w:val="1529A1B9"/>
    <w:rsid w:val="15798192"/>
    <w:rsid w:val="15C70817"/>
    <w:rsid w:val="15C7E9E0"/>
    <w:rsid w:val="15FD8565"/>
    <w:rsid w:val="165C7BD1"/>
    <w:rsid w:val="1667BD44"/>
    <w:rsid w:val="16806C6B"/>
    <w:rsid w:val="1684305F"/>
    <w:rsid w:val="16B7EDDF"/>
    <w:rsid w:val="16BC2814"/>
    <w:rsid w:val="1760C645"/>
    <w:rsid w:val="17ACD7FB"/>
    <w:rsid w:val="17E10C6E"/>
    <w:rsid w:val="17EAB7FC"/>
    <w:rsid w:val="184CB82B"/>
    <w:rsid w:val="184DAD26"/>
    <w:rsid w:val="184EC5A0"/>
    <w:rsid w:val="18554BE2"/>
    <w:rsid w:val="18D8E260"/>
    <w:rsid w:val="19192966"/>
    <w:rsid w:val="19B905F0"/>
    <w:rsid w:val="1A14F858"/>
    <w:rsid w:val="1A2FD125"/>
    <w:rsid w:val="1A32CBE0"/>
    <w:rsid w:val="1ABFBC07"/>
    <w:rsid w:val="1AC83F0E"/>
    <w:rsid w:val="1AF6A9E5"/>
    <w:rsid w:val="1B02D6E8"/>
    <w:rsid w:val="1B2817F2"/>
    <w:rsid w:val="1B2894FD"/>
    <w:rsid w:val="1B4B0757"/>
    <w:rsid w:val="1B505CE8"/>
    <w:rsid w:val="1BB3AD7C"/>
    <w:rsid w:val="1BE754D8"/>
    <w:rsid w:val="1C49F1D8"/>
    <w:rsid w:val="1C61E657"/>
    <w:rsid w:val="1C75338A"/>
    <w:rsid w:val="1C80450B"/>
    <w:rsid w:val="1C8371DD"/>
    <w:rsid w:val="1CD06C74"/>
    <w:rsid w:val="1CD0AD64"/>
    <w:rsid w:val="1CE811F7"/>
    <w:rsid w:val="1D0E9297"/>
    <w:rsid w:val="1D11AFB3"/>
    <w:rsid w:val="1D19E320"/>
    <w:rsid w:val="1D513D01"/>
    <w:rsid w:val="1D51AA1D"/>
    <w:rsid w:val="1DAD18B8"/>
    <w:rsid w:val="1DB07215"/>
    <w:rsid w:val="1DF93107"/>
    <w:rsid w:val="1E9869B5"/>
    <w:rsid w:val="1EA3B727"/>
    <w:rsid w:val="1EADD6E6"/>
    <w:rsid w:val="1EBBC8EA"/>
    <w:rsid w:val="1EBC7612"/>
    <w:rsid w:val="1F3D5D9F"/>
    <w:rsid w:val="1F449A12"/>
    <w:rsid w:val="1F491C4F"/>
    <w:rsid w:val="1F8EB513"/>
    <w:rsid w:val="1FB039FF"/>
    <w:rsid w:val="1FB6CAC7"/>
    <w:rsid w:val="1FBB417E"/>
    <w:rsid w:val="1FDAB603"/>
    <w:rsid w:val="20C973FC"/>
    <w:rsid w:val="20D773B4"/>
    <w:rsid w:val="20F72364"/>
    <w:rsid w:val="216D48A3"/>
    <w:rsid w:val="21C65890"/>
    <w:rsid w:val="21D96C63"/>
    <w:rsid w:val="220BB253"/>
    <w:rsid w:val="221C678A"/>
    <w:rsid w:val="2243D864"/>
    <w:rsid w:val="2267E86F"/>
    <w:rsid w:val="22A851E9"/>
    <w:rsid w:val="22C3DA2C"/>
    <w:rsid w:val="22E69097"/>
    <w:rsid w:val="22EBF03E"/>
    <w:rsid w:val="22EDC56B"/>
    <w:rsid w:val="23012BF2"/>
    <w:rsid w:val="23658762"/>
    <w:rsid w:val="238ACFEC"/>
    <w:rsid w:val="23D7FC49"/>
    <w:rsid w:val="24126CCE"/>
    <w:rsid w:val="241CB75C"/>
    <w:rsid w:val="246D30A6"/>
    <w:rsid w:val="247968B7"/>
    <w:rsid w:val="2482ED44"/>
    <w:rsid w:val="248DFC1C"/>
    <w:rsid w:val="24DFD161"/>
    <w:rsid w:val="252B2AF3"/>
    <w:rsid w:val="2530DAD0"/>
    <w:rsid w:val="253AB74C"/>
    <w:rsid w:val="253EEE36"/>
    <w:rsid w:val="259F5C83"/>
    <w:rsid w:val="25A096C1"/>
    <w:rsid w:val="2611EEED"/>
    <w:rsid w:val="263BD712"/>
    <w:rsid w:val="2648E1C4"/>
    <w:rsid w:val="2654E6E6"/>
    <w:rsid w:val="26CB4D6E"/>
    <w:rsid w:val="26EA54B8"/>
    <w:rsid w:val="26EAEAA3"/>
    <w:rsid w:val="26EBFCAC"/>
    <w:rsid w:val="2702749C"/>
    <w:rsid w:val="27033FCC"/>
    <w:rsid w:val="2711BB46"/>
    <w:rsid w:val="2719A729"/>
    <w:rsid w:val="27352EDB"/>
    <w:rsid w:val="2737678F"/>
    <w:rsid w:val="27748B88"/>
    <w:rsid w:val="27835562"/>
    <w:rsid w:val="27DD72EC"/>
    <w:rsid w:val="27E930DF"/>
    <w:rsid w:val="284BF859"/>
    <w:rsid w:val="28DBD8B7"/>
    <w:rsid w:val="28F44BC9"/>
    <w:rsid w:val="29259740"/>
    <w:rsid w:val="295FD930"/>
    <w:rsid w:val="29683E16"/>
    <w:rsid w:val="297A2720"/>
    <w:rsid w:val="2983F1C0"/>
    <w:rsid w:val="298D50E4"/>
    <w:rsid w:val="29C769A9"/>
    <w:rsid w:val="2A1C99A2"/>
    <w:rsid w:val="2A72D083"/>
    <w:rsid w:val="2A91DD2C"/>
    <w:rsid w:val="2A964C4B"/>
    <w:rsid w:val="2AAE8CEF"/>
    <w:rsid w:val="2B064E30"/>
    <w:rsid w:val="2B1B3B82"/>
    <w:rsid w:val="2B3057AE"/>
    <w:rsid w:val="2BD91207"/>
    <w:rsid w:val="2BDD3C6F"/>
    <w:rsid w:val="2BEB8293"/>
    <w:rsid w:val="2BF33117"/>
    <w:rsid w:val="2CDD8B36"/>
    <w:rsid w:val="2CE39617"/>
    <w:rsid w:val="2CE99F84"/>
    <w:rsid w:val="2D0B6C8E"/>
    <w:rsid w:val="2D286B67"/>
    <w:rsid w:val="2D65365D"/>
    <w:rsid w:val="2D6B7577"/>
    <w:rsid w:val="2D742868"/>
    <w:rsid w:val="2DAB70CB"/>
    <w:rsid w:val="2DBB044F"/>
    <w:rsid w:val="2DC634F1"/>
    <w:rsid w:val="2DCA814B"/>
    <w:rsid w:val="2DDCE218"/>
    <w:rsid w:val="2DEB3A4F"/>
    <w:rsid w:val="2DF3FA23"/>
    <w:rsid w:val="2E06D0E0"/>
    <w:rsid w:val="2E2324EF"/>
    <w:rsid w:val="2E4BAAC2"/>
    <w:rsid w:val="2E4EDBE4"/>
    <w:rsid w:val="2E6ED36F"/>
    <w:rsid w:val="2E985727"/>
    <w:rsid w:val="2F35BCBF"/>
    <w:rsid w:val="2F43B46B"/>
    <w:rsid w:val="2F4A532A"/>
    <w:rsid w:val="2F4B1709"/>
    <w:rsid w:val="2F682D33"/>
    <w:rsid w:val="2F98E2E2"/>
    <w:rsid w:val="2FAE996B"/>
    <w:rsid w:val="2FE87AD4"/>
    <w:rsid w:val="2FF96868"/>
    <w:rsid w:val="3131B914"/>
    <w:rsid w:val="31583CF8"/>
    <w:rsid w:val="317F78E3"/>
    <w:rsid w:val="31835AA9"/>
    <w:rsid w:val="31A09D82"/>
    <w:rsid w:val="31AE23BD"/>
    <w:rsid w:val="31BF7A02"/>
    <w:rsid w:val="31DFDACB"/>
    <w:rsid w:val="31FFBD4E"/>
    <w:rsid w:val="3255D55A"/>
    <w:rsid w:val="32633A31"/>
    <w:rsid w:val="3263A58D"/>
    <w:rsid w:val="3263EEFF"/>
    <w:rsid w:val="3276083C"/>
    <w:rsid w:val="328FF63A"/>
    <w:rsid w:val="32AAFFF7"/>
    <w:rsid w:val="32F335DD"/>
    <w:rsid w:val="331E61A0"/>
    <w:rsid w:val="334656FE"/>
    <w:rsid w:val="33E077C0"/>
    <w:rsid w:val="33E869FB"/>
    <w:rsid w:val="3400ACCE"/>
    <w:rsid w:val="34118AAA"/>
    <w:rsid w:val="344F5DE2"/>
    <w:rsid w:val="345DDAFB"/>
    <w:rsid w:val="348504AD"/>
    <w:rsid w:val="3503ED6E"/>
    <w:rsid w:val="35083483"/>
    <w:rsid w:val="353D49D2"/>
    <w:rsid w:val="35A4A78B"/>
    <w:rsid w:val="35A700FB"/>
    <w:rsid w:val="361BD77F"/>
    <w:rsid w:val="364976D9"/>
    <w:rsid w:val="3663F20E"/>
    <w:rsid w:val="366A6C1E"/>
    <w:rsid w:val="36A8CF81"/>
    <w:rsid w:val="36B53E4F"/>
    <w:rsid w:val="36BF3B5F"/>
    <w:rsid w:val="36E3DE48"/>
    <w:rsid w:val="371CCDDC"/>
    <w:rsid w:val="3729FD50"/>
    <w:rsid w:val="372BE6AB"/>
    <w:rsid w:val="37367037"/>
    <w:rsid w:val="37471C0D"/>
    <w:rsid w:val="374FF43C"/>
    <w:rsid w:val="3803F596"/>
    <w:rsid w:val="380ECB51"/>
    <w:rsid w:val="385C9A9B"/>
    <w:rsid w:val="388FDA78"/>
    <w:rsid w:val="38CA7CBE"/>
    <w:rsid w:val="38E29016"/>
    <w:rsid w:val="3915FE90"/>
    <w:rsid w:val="393B8934"/>
    <w:rsid w:val="39437D21"/>
    <w:rsid w:val="3985D46E"/>
    <w:rsid w:val="39ACF8C0"/>
    <w:rsid w:val="3A8E5E71"/>
    <w:rsid w:val="3ABAFAF9"/>
    <w:rsid w:val="3B2A63BE"/>
    <w:rsid w:val="3B7200FD"/>
    <w:rsid w:val="3B7A3B43"/>
    <w:rsid w:val="3B8AC15D"/>
    <w:rsid w:val="3BF43D3D"/>
    <w:rsid w:val="3C1088DF"/>
    <w:rsid w:val="3C48F5A3"/>
    <w:rsid w:val="3C59826A"/>
    <w:rsid w:val="3C5A58DD"/>
    <w:rsid w:val="3C6A0C61"/>
    <w:rsid w:val="3C6F2592"/>
    <w:rsid w:val="3D055E43"/>
    <w:rsid w:val="3D20C2A2"/>
    <w:rsid w:val="3D4D2EC0"/>
    <w:rsid w:val="3D6CC8E9"/>
    <w:rsid w:val="3DD89385"/>
    <w:rsid w:val="3E0A1A9D"/>
    <w:rsid w:val="3E359639"/>
    <w:rsid w:val="3EAD69E5"/>
    <w:rsid w:val="3EAFF74C"/>
    <w:rsid w:val="3EB573DB"/>
    <w:rsid w:val="3EB62C7B"/>
    <w:rsid w:val="3ED64410"/>
    <w:rsid w:val="3EE16C77"/>
    <w:rsid w:val="3F8A2742"/>
    <w:rsid w:val="3FDCDD38"/>
    <w:rsid w:val="3FE28D77"/>
    <w:rsid w:val="401BEF04"/>
    <w:rsid w:val="406BCB0C"/>
    <w:rsid w:val="4093F6EE"/>
    <w:rsid w:val="40A51F22"/>
    <w:rsid w:val="40C08A53"/>
    <w:rsid w:val="41585126"/>
    <w:rsid w:val="4166779E"/>
    <w:rsid w:val="4196E195"/>
    <w:rsid w:val="41A25AD6"/>
    <w:rsid w:val="41B7F812"/>
    <w:rsid w:val="41D68717"/>
    <w:rsid w:val="41EEA7A7"/>
    <w:rsid w:val="41F511C7"/>
    <w:rsid w:val="42139616"/>
    <w:rsid w:val="43155FDF"/>
    <w:rsid w:val="432E32C8"/>
    <w:rsid w:val="43A66D0D"/>
    <w:rsid w:val="43AEE27E"/>
    <w:rsid w:val="44BFE597"/>
    <w:rsid w:val="44D75E80"/>
    <w:rsid w:val="44F44254"/>
    <w:rsid w:val="44FDBA01"/>
    <w:rsid w:val="45039B96"/>
    <w:rsid w:val="450A20EA"/>
    <w:rsid w:val="453D7495"/>
    <w:rsid w:val="4568B634"/>
    <w:rsid w:val="45F23C76"/>
    <w:rsid w:val="45F8A0B2"/>
    <w:rsid w:val="4611ECE0"/>
    <w:rsid w:val="461A3736"/>
    <w:rsid w:val="46319167"/>
    <w:rsid w:val="464A92A5"/>
    <w:rsid w:val="465907EC"/>
    <w:rsid w:val="46B0AC02"/>
    <w:rsid w:val="46BAD545"/>
    <w:rsid w:val="473A4B64"/>
    <w:rsid w:val="475F90F8"/>
    <w:rsid w:val="47ABB790"/>
    <w:rsid w:val="47BF46AD"/>
    <w:rsid w:val="47CF35CE"/>
    <w:rsid w:val="47D8099C"/>
    <w:rsid w:val="48073E98"/>
    <w:rsid w:val="48155057"/>
    <w:rsid w:val="489708B6"/>
    <w:rsid w:val="48B65200"/>
    <w:rsid w:val="48EB8481"/>
    <w:rsid w:val="48F3F906"/>
    <w:rsid w:val="493B9441"/>
    <w:rsid w:val="49558308"/>
    <w:rsid w:val="495AB821"/>
    <w:rsid w:val="497FEFB0"/>
    <w:rsid w:val="498DED19"/>
    <w:rsid w:val="499072FD"/>
    <w:rsid w:val="499A7109"/>
    <w:rsid w:val="49D9AD83"/>
    <w:rsid w:val="4A874A31"/>
    <w:rsid w:val="4A8BF8B5"/>
    <w:rsid w:val="4A9E3609"/>
    <w:rsid w:val="4AC029A1"/>
    <w:rsid w:val="4AEAE1A1"/>
    <w:rsid w:val="4B1089C9"/>
    <w:rsid w:val="4B7C435E"/>
    <w:rsid w:val="4BBA3C16"/>
    <w:rsid w:val="4BCD5E9B"/>
    <w:rsid w:val="4C17EC4E"/>
    <w:rsid w:val="4C18AADA"/>
    <w:rsid w:val="4C3C3B0C"/>
    <w:rsid w:val="4CBAC76B"/>
    <w:rsid w:val="4CCFBF72"/>
    <w:rsid w:val="4D155BE4"/>
    <w:rsid w:val="4D1E541A"/>
    <w:rsid w:val="4D466279"/>
    <w:rsid w:val="4D4F79C5"/>
    <w:rsid w:val="4D51F429"/>
    <w:rsid w:val="4D9D3095"/>
    <w:rsid w:val="4DA0F2BA"/>
    <w:rsid w:val="4DC57E02"/>
    <w:rsid w:val="4F0C6CD3"/>
    <w:rsid w:val="4F4F46E9"/>
    <w:rsid w:val="4F6ECB60"/>
    <w:rsid w:val="4F6F95AF"/>
    <w:rsid w:val="4FB96C2A"/>
    <w:rsid w:val="4FCAFD8E"/>
    <w:rsid w:val="4FD80FC8"/>
    <w:rsid w:val="500DD8A6"/>
    <w:rsid w:val="504B0413"/>
    <w:rsid w:val="50593006"/>
    <w:rsid w:val="508CA742"/>
    <w:rsid w:val="5096ECA1"/>
    <w:rsid w:val="510981A7"/>
    <w:rsid w:val="51123616"/>
    <w:rsid w:val="51195F22"/>
    <w:rsid w:val="5185E1FC"/>
    <w:rsid w:val="51A29429"/>
    <w:rsid w:val="51AF19D6"/>
    <w:rsid w:val="51E81B9B"/>
    <w:rsid w:val="525EEFB8"/>
    <w:rsid w:val="5260F14B"/>
    <w:rsid w:val="529172ED"/>
    <w:rsid w:val="535F0BCE"/>
    <w:rsid w:val="5372BED5"/>
    <w:rsid w:val="539B2C31"/>
    <w:rsid w:val="53A8C8DA"/>
    <w:rsid w:val="53CF8966"/>
    <w:rsid w:val="544DD753"/>
    <w:rsid w:val="5450C26B"/>
    <w:rsid w:val="54646DAE"/>
    <w:rsid w:val="54F33E38"/>
    <w:rsid w:val="557A8851"/>
    <w:rsid w:val="55D29DCB"/>
    <w:rsid w:val="560039AE"/>
    <w:rsid w:val="569A9D99"/>
    <w:rsid w:val="56BDF56D"/>
    <w:rsid w:val="56F426F0"/>
    <w:rsid w:val="57012CBE"/>
    <w:rsid w:val="57083BA2"/>
    <w:rsid w:val="5772D420"/>
    <w:rsid w:val="57933299"/>
    <w:rsid w:val="57C2A2D5"/>
    <w:rsid w:val="57E339DA"/>
    <w:rsid w:val="57EDEA30"/>
    <w:rsid w:val="5805111F"/>
    <w:rsid w:val="581AE7B2"/>
    <w:rsid w:val="58A47CBA"/>
    <w:rsid w:val="58D5BF06"/>
    <w:rsid w:val="599892DC"/>
    <w:rsid w:val="59E48511"/>
    <w:rsid w:val="59E9178E"/>
    <w:rsid w:val="5A21D148"/>
    <w:rsid w:val="5A273D66"/>
    <w:rsid w:val="5A385848"/>
    <w:rsid w:val="5A78A515"/>
    <w:rsid w:val="5B2B199D"/>
    <w:rsid w:val="5B7BA953"/>
    <w:rsid w:val="5BB53BC7"/>
    <w:rsid w:val="5BD188D9"/>
    <w:rsid w:val="5BF61BDD"/>
    <w:rsid w:val="5C7EE4A4"/>
    <w:rsid w:val="5C8D9F3B"/>
    <w:rsid w:val="5CBAF9CE"/>
    <w:rsid w:val="5CBCD115"/>
    <w:rsid w:val="5CBF4D14"/>
    <w:rsid w:val="5CBFAE51"/>
    <w:rsid w:val="5CCEB16B"/>
    <w:rsid w:val="5CD1E2A1"/>
    <w:rsid w:val="5CF2F655"/>
    <w:rsid w:val="5D1AD376"/>
    <w:rsid w:val="5D4C09D3"/>
    <w:rsid w:val="5D4DE7E2"/>
    <w:rsid w:val="5D4E5D44"/>
    <w:rsid w:val="5D5F1BAC"/>
    <w:rsid w:val="5D645526"/>
    <w:rsid w:val="5DA5DAB2"/>
    <w:rsid w:val="5DBBDA87"/>
    <w:rsid w:val="5DC57542"/>
    <w:rsid w:val="5DCCF797"/>
    <w:rsid w:val="5DCDD314"/>
    <w:rsid w:val="5DEA7654"/>
    <w:rsid w:val="5E1DC27A"/>
    <w:rsid w:val="5E1E2A72"/>
    <w:rsid w:val="5E3E570B"/>
    <w:rsid w:val="5E553913"/>
    <w:rsid w:val="5E61A6F1"/>
    <w:rsid w:val="5EE23733"/>
    <w:rsid w:val="5F86AA79"/>
    <w:rsid w:val="5F944C49"/>
    <w:rsid w:val="5FC360EC"/>
    <w:rsid w:val="5FD2EEFF"/>
    <w:rsid w:val="5FE278FA"/>
    <w:rsid w:val="6004E2BE"/>
    <w:rsid w:val="603E8C6A"/>
    <w:rsid w:val="6060CEBC"/>
    <w:rsid w:val="6088789E"/>
    <w:rsid w:val="610CFEB8"/>
    <w:rsid w:val="61475089"/>
    <w:rsid w:val="617CC837"/>
    <w:rsid w:val="61A2CEA0"/>
    <w:rsid w:val="61AD0DE4"/>
    <w:rsid w:val="61B90C23"/>
    <w:rsid w:val="61CAC613"/>
    <w:rsid w:val="62269427"/>
    <w:rsid w:val="624F9880"/>
    <w:rsid w:val="62584280"/>
    <w:rsid w:val="6279607E"/>
    <w:rsid w:val="6284DDB4"/>
    <w:rsid w:val="629B9F6C"/>
    <w:rsid w:val="629E17A3"/>
    <w:rsid w:val="62C2CC7D"/>
    <w:rsid w:val="62CC46F0"/>
    <w:rsid w:val="630984F8"/>
    <w:rsid w:val="631EDBB4"/>
    <w:rsid w:val="632879F8"/>
    <w:rsid w:val="63354F8B"/>
    <w:rsid w:val="639D758E"/>
    <w:rsid w:val="640DF03A"/>
    <w:rsid w:val="646E26AE"/>
    <w:rsid w:val="647AB8FD"/>
    <w:rsid w:val="64AAFF7A"/>
    <w:rsid w:val="64B8DF19"/>
    <w:rsid w:val="64BEADEA"/>
    <w:rsid w:val="650E0FDC"/>
    <w:rsid w:val="65257DE6"/>
    <w:rsid w:val="6534667B"/>
    <w:rsid w:val="65785E09"/>
    <w:rsid w:val="65A8A2A9"/>
    <w:rsid w:val="65B33571"/>
    <w:rsid w:val="65FC4B7A"/>
    <w:rsid w:val="660D457B"/>
    <w:rsid w:val="6629BC9B"/>
    <w:rsid w:val="66478AD0"/>
    <w:rsid w:val="664CF6F9"/>
    <w:rsid w:val="66623D4C"/>
    <w:rsid w:val="66993406"/>
    <w:rsid w:val="669D2D4A"/>
    <w:rsid w:val="66CA74C9"/>
    <w:rsid w:val="66D6A5F4"/>
    <w:rsid w:val="66D8F8FD"/>
    <w:rsid w:val="6721870E"/>
    <w:rsid w:val="672AB3C1"/>
    <w:rsid w:val="673E5BFB"/>
    <w:rsid w:val="6745E629"/>
    <w:rsid w:val="6761B675"/>
    <w:rsid w:val="6766E7CA"/>
    <w:rsid w:val="6777A903"/>
    <w:rsid w:val="67A8E6D2"/>
    <w:rsid w:val="67BC83D2"/>
    <w:rsid w:val="67C4F45A"/>
    <w:rsid w:val="67D522D2"/>
    <w:rsid w:val="67D6AAD6"/>
    <w:rsid w:val="67EEEE2F"/>
    <w:rsid w:val="680A0130"/>
    <w:rsid w:val="68327F06"/>
    <w:rsid w:val="686C8CE1"/>
    <w:rsid w:val="6877F6A7"/>
    <w:rsid w:val="68B142F4"/>
    <w:rsid w:val="68FBD883"/>
    <w:rsid w:val="6929305E"/>
    <w:rsid w:val="69470B1D"/>
    <w:rsid w:val="6961B737"/>
    <w:rsid w:val="69641148"/>
    <w:rsid w:val="69B088EA"/>
    <w:rsid w:val="69BBFEAC"/>
    <w:rsid w:val="6A02C209"/>
    <w:rsid w:val="6A396580"/>
    <w:rsid w:val="6A5085F7"/>
    <w:rsid w:val="6AA2B845"/>
    <w:rsid w:val="6AEE32CF"/>
    <w:rsid w:val="6AF29F18"/>
    <w:rsid w:val="6B37F39B"/>
    <w:rsid w:val="6B91CCBD"/>
    <w:rsid w:val="6B9B5086"/>
    <w:rsid w:val="6BD76D00"/>
    <w:rsid w:val="6BE680D3"/>
    <w:rsid w:val="6C43A47F"/>
    <w:rsid w:val="6CB4CFF6"/>
    <w:rsid w:val="6CC84EEC"/>
    <w:rsid w:val="6CD0E5BD"/>
    <w:rsid w:val="6D1F00BC"/>
    <w:rsid w:val="6D3374B2"/>
    <w:rsid w:val="6D803933"/>
    <w:rsid w:val="6D8F1725"/>
    <w:rsid w:val="6DAA6016"/>
    <w:rsid w:val="6DB8E4F7"/>
    <w:rsid w:val="6DC5F810"/>
    <w:rsid w:val="6DE13C8E"/>
    <w:rsid w:val="6DF846D0"/>
    <w:rsid w:val="6E3845C7"/>
    <w:rsid w:val="6E551DE8"/>
    <w:rsid w:val="6E6AE84B"/>
    <w:rsid w:val="6EAD9F03"/>
    <w:rsid w:val="6ECEAB48"/>
    <w:rsid w:val="6EE6E1DE"/>
    <w:rsid w:val="6F6BFAD9"/>
    <w:rsid w:val="6F748EB6"/>
    <w:rsid w:val="6F88332A"/>
    <w:rsid w:val="6FBE9480"/>
    <w:rsid w:val="70391B42"/>
    <w:rsid w:val="70638B3D"/>
    <w:rsid w:val="70C87EC2"/>
    <w:rsid w:val="70E8FABC"/>
    <w:rsid w:val="70F3FEF2"/>
    <w:rsid w:val="7173F054"/>
    <w:rsid w:val="717D4183"/>
    <w:rsid w:val="71B20961"/>
    <w:rsid w:val="71C484B8"/>
    <w:rsid w:val="71DA1025"/>
    <w:rsid w:val="725222D4"/>
    <w:rsid w:val="72563C40"/>
    <w:rsid w:val="72D158F8"/>
    <w:rsid w:val="730DD4CF"/>
    <w:rsid w:val="732FF2A1"/>
    <w:rsid w:val="7357955E"/>
    <w:rsid w:val="73CD8656"/>
    <w:rsid w:val="73F931E8"/>
    <w:rsid w:val="740A09D0"/>
    <w:rsid w:val="741EF930"/>
    <w:rsid w:val="7450D775"/>
    <w:rsid w:val="74752CEC"/>
    <w:rsid w:val="7483D90D"/>
    <w:rsid w:val="7487F028"/>
    <w:rsid w:val="74B8CFDE"/>
    <w:rsid w:val="75074E6A"/>
    <w:rsid w:val="75138C11"/>
    <w:rsid w:val="754C698C"/>
    <w:rsid w:val="755EE435"/>
    <w:rsid w:val="756D87B6"/>
    <w:rsid w:val="7599069A"/>
    <w:rsid w:val="75AA4483"/>
    <w:rsid w:val="761FEDAB"/>
    <w:rsid w:val="768CA6E2"/>
    <w:rsid w:val="7699364B"/>
    <w:rsid w:val="7712B7EA"/>
    <w:rsid w:val="778672A5"/>
    <w:rsid w:val="77DD5268"/>
    <w:rsid w:val="77EA15F5"/>
    <w:rsid w:val="78163716"/>
    <w:rsid w:val="78484190"/>
    <w:rsid w:val="78747239"/>
    <w:rsid w:val="78979152"/>
    <w:rsid w:val="78A31DAA"/>
    <w:rsid w:val="793DBDFB"/>
    <w:rsid w:val="7944EE66"/>
    <w:rsid w:val="79E808D8"/>
    <w:rsid w:val="7A1B145B"/>
    <w:rsid w:val="7A285B3D"/>
    <w:rsid w:val="7A30DEDA"/>
    <w:rsid w:val="7A80E9E8"/>
    <w:rsid w:val="7AF2D4E0"/>
    <w:rsid w:val="7B086469"/>
    <w:rsid w:val="7B131946"/>
    <w:rsid w:val="7B25973E"/>
    <w:rsid w:val="7B3FA234"/>
    <w:rsid w:val="7B8E5AA2"/>
    <w:rsid w:val="7BA8D9DC"/>
    <w:rsid w:val="7BD55494"/>
    <w:rsid w:val="7C14AEBD"/>
    <w:rsid w:val="7C232E3D"/>
    <w:rsid w:val="7C6C4F37"/>
    <w:rsid w:val="7C7025F9"/>
    <w:rsid w:val="7C93A388"/>
    <w:rsid w:val="7CAA9A4F"/>
    <w:rsid w:val="7CB2A491"/>
    <w:rsid w:val="7CEDA2E7"/>
    <w:rsid w:val="7D1B0A7A"/>
    <w:rsid w:val="7D63170B"/>
    <w:rsid w:val="7D692314"/>
    <w:rsid w:val="7D865836"/>
    <w:rsid w:val="7DAA004C"/>
    <w:rsid w:val="7DC6BC02"/>
    <w:rsid w:val="7DCC16B5"/>
    <w:rsid w:val="7DCC7A37"/>
    <w:rsid w:val="7DD72C11"/>
    <w:rsid w:val="7DE068C0"/>
    <w:rsid w:val="7E0D6E33"/>
    <w:rsid w:val="7E1085BF"/>
    <w:rsid w:val="7E293D1F"/>
    <w:rsid w:val="7E53C224"/>
    <w:rsid w:val="7E621735"/>
    <w:rsid w:val="7EFD0721"/>
    <w:rsid w:val="7F09ABD9"/>
    <w:rsid w:val="7F217A81"/>
    <w:rsid w:val="7F23EF24"/>
    <w:rsid w:val="7F5AF263"/>
    <w:rsid w:val="7F620FCE"/>
    <w:rsid w:val="7FC3D72A"/>
    <w:rsid w:val="7FF195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971"/>
  <w15:docId w15:val="{A2025415-1B3E-4363-A613-505AD1C6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99"/>
    <w:lsdException w:name="toc 5" w:semiHidden="1"/>
    <w:lsdException w:name="toc 6" w:semiHidden="1"/>
    <w:lsdException w:name="toc 7" w:semiHidden="1" w:unhideWhenUsed="1"/>
    <w:lsdException w:name="toc 8" w:semiHidden="1" w:unhideWhenUsed="1"/>
    <w:lsdException w:name="toc 9" w:semiHidden="1" w:unhideWhenUsed="1"/>
    <w:lsdException w:name="Normal Indent" w:semiHidden="1" w:uiPriority="0" w:qFormat="1"/>
    <w:lsdException w:name="footnote text" w:semiHidden="1" w:uiPriority="8" w:unhideWhenUsed="1"/>
    <w:lsdException w:name="annotation text" w:semiHidden="1" w:unhideWhenUsed="1"/>
    <w:lsdException w:name="header" w:uiPriority="99" w:unhideWhenUsed="1"/>
    <w:lsdException w:name="footer" w:uiPriority="99" w:unhideWhenUsed="1"/>
    <w:lsdException w:name="index heading" w:unhideWhenUsed="1"/>
    <w:lsdException w:name="caption"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rsid w:val="00876171"/>
  </w:style>
  <w:style w:type="paragraph" w:styleId="Heading1">
    <w:name w:val="heading 1"/>
    <w:basedOn w:val="Normal"/>
    <w:next w:val="SCVbody"/>
    <w:link w:val="Heading1Char"/>
    <w:qFormat/>
    <w:rsid w:val="00C15DBE"/>
    <w:pPr>
      <w:keepNext/>
      <w:keepLines/>
      <w:suppressAutoHyphens/>
      <w:spacing w:before="320" w:line="240" w:lineRule="auto"/>
      <w:outlineLvl w:val="0"/>
    </w:pPr>
    <w:rPr>
      <w:rFonts w:asciiTheme="majorHAnsi" w:eastAsiaTheme="majorEastAsia" w:hAnsiTheme="majorHAnsi" w:cstheme="majorBidi"/>
      <w:b/>
      <w:bCs/>
      <w:color w:val="007586" w:themeColor="text2"/>
      <w:sz w:val="32"/>
      <w:szCs w:val="32"/>
    </w:rPr>
  </w:style>
  <w:style w:type="paragraph" w:styleId="Heading2">
    <w:name w:val="heading 2"/>
    <w:basedOn w:val="Normal"/>
    <w:next w:val="SCVbody"/>
    <w:link w:val="Heading2Char"/>
    <w:qFormat/>
    <w:rsid w:val="00385D03"/>
    <w:pPr>
      <w:keepNext/>
      <w:keepLines/>
      <w:spacing w:before="280" w:after="80" w:line="240" w:lineRule="auto"/>
      <w:outlineLvl w:val="1"/>
    </w:pPr>
    <w:rPr>
      <w:rFonts w:asciiTheme="majorHAnsi" w:eastAsiaTheme="majorEastAsia" w:hAnsiTheme="majorHAnsi" w:cstheme="majorBidi"/>
      <w:b/>
      <w:bCs/>
      <w:sz w:val="26"/>
      <w:szCs w:val="26"/>
    </w:rPr>
  </w:style>
  <w:style w:type="paragraph" w:styleId="Heading3">
    <w:name w:val="heading 3"/>
    <w:basedOn w:val="Normal"/>
    <w:next w:val="SCVbody"/>
    <w:link w:val="Heading3Char"/>
    <w:qFormat/>
    <w:rsid w:val="00385D03"/>
    <w:pPr>
      <w:keepNext/>
      <w:keepLines/>
      <w:spacing w:before="240" w:after="80" w:line="240" w:lineRule="auto"/>
      <w:outlineLvl w:val="2"/>
    </w:pPr>
    <w:rPr>
      <w:rFonts w:asciiTheme="majorHAnsi" w:eastAsiaTheme="majorEastAsia" w:hAnsiTheme="majorHAnsi" w:cstheme="majorBidi"/>
      <w:b/>
      <w:bCs/>
      <w:color w:val="007586" w:themeColor="text2"/>
      <w:sz w:val="24"/>
      <w:szCs w:val="22"/>
    </w:rPr>
  </w:style>
  <w:style w:type="paragraph" w:styleId="Heading4">
    <w:name w:val="heading 4"/>
    <w:basedOn w:val="Normal"/>
    <w:next w:val="SCVbody"/>
    <w:link w:val="Heading4Char"/>
    <w:qFormat/>
    <w:rsid w:val="00515958"/>
    <w:pPr>
      <w:keepNext/>
      <w:keepLines/>
      <w:spacing w:before="320" w:after="70" w:line="240" w:lineRule="auto"/>
      <w:outlineLvl w:val="3"/>
    </w:pPr>
    <w:rPr>
      <w:rFonts w:asciiTheme="majorHAnsi" w:eastAsiaTheme="majorEastAsia" w:hAnsiTheme="majorHAnsi" w:cstheme="majorBidi"/>
      <w:b/>
      <w:bCs/>
      <w:iCs/>
      <w:color w:val="000000" w:themeColor="text1"/>
    </w:rPr>
  </w:style>
  <w:style w:type="paragraph" w:styleId="Heading5">
    <w:name w:val="heading 5"/>
    <w:basedOn w:val="Normal"/>
    <w:next w:val="SCVbody"/>
    <w:link w:val="Heading5Char"/>
    <w:uiPriority w:val="1"/>
    <w:semiHidden/>
    <w:qFormat/>
    <w:rsid w:val="00B15592"/>
    <w:pPr>
      <w:keepNext/>
      <w:keepLines/>
      <w:spacing w:before="280" w:after="80" w:line="264" w:lineRule="auto"/>
      <w:outlineLvl w:val="4"/>
    </w:pPr>
    <w:rPr>
      <w:rFonts w:asciiTheme="majorHAnsi" w:eastAsiaTheme="majorEastAsia" w:hAnsiTheme="majorHAnsi" w:cstheme="majorBidi"/>
      <w:color w:val="141A1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350441"/>
    <w:pPr>
      <w:spacing w:before="0" w:after="0" w:line="240" w:lineRule="auto"/>
    </w:pPr>
    <w:rPr>
      <w:rFonts w:eastAsiaTheme="minorHAnsi"/>
      <w:sz w:val="22"/>
      <w:szCs w:val="22"/>
      <w:lang w:eastAsia="en-US"/>
    </w:rPr>
    <w:tblPr>
      <w:tblBorders>
        <w:top w:val="single" w:sz="2" w:space="0" w:color="80808B"/>
        <w:bottom w:val="single" w:sz="2" w:space="0" w:color="80808B"/>
        <w:insideH w:val="single" w:sz="2" w:space="0" w:color="80808B"/>
      </w:tblBorders>
    </w:tblPr>
    <w:tblStylePr w:type="firstRow">
      <w:tblPr/>
      <w:tcPr>
        <w:tcBorders>
          <w:top w:val="nil"/>
          <w:left w:val="nil"/>
          <w:bottom w:val="single" w:sz="24" w:space="0" w:color="CCCCD0"/>
          <w:right w:val="nil"/>
          <w:insideH w:val="nil"/>
          <w:insideV w:val="nil"/>
          <w:tl2br w:val="nil"/>
          <w:tr2bl w:val="nil"/>
        </w:tcBorders>
        <w:shd w:val="clear" w:color="auto" w:fill="EDF5F7" w:themeFill="background2"/>
      </w:tc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pPr>
        <w:spacing w:before="0" w:after="0" w:line="240" w:lineRule="auto"/>
      </w:pPr>
      <w:rPr>
        <w:b/>
        <w:bCs/>
        <w:color w:val="FFFFFF" w:themeColor="background1"/>
      </w:rPr>
      <w:tblPr/>
      <w:tcPr>
        <w:shd w:val="clear" w:color="auto" w:fill="004C97" w:themeFill="accent4"/>
      </w:tcPr>
    </w:tblStylePr>
    <w:tblStylePr w:type="lastRow">
      <w:pPr>
        <w:spacing w:before="0" w:after="0" w:line="240" w:lineRule="auto"/>
      </w:pPr>
      <w:rPr>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tcBorders>
      </w:tcPr>
    </w:tblStylePr>
    <w:tblStylePr w:type="firstCol">
      <w:rPr>
        <w:b/>
        <w:bCs/>
      </w:rPr>
    </w:tblStylePr>
    <w:tblStylePr w:type="lastCol">
      <w:rPr>
        <w:b/>
        <w:bCs/>
      </w:r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pPr>
        <w:spacing w:before="0" w:after="0" w:line="240" w:lineRule="auto"/>
      </w:pPr>
      <w:rPr>
        <w:b/>
        <w:bCs/>
        <w:color w:val="FFFFFF" w:themeColor="background1"/>
      </w:rPr>
      <w:tblPr/>
      <w:tcPr>
        <w:shd w:val="clear" w:color="auto" w:fill="1B242A" w:themeFill="accent1"/>
      </w:tcPr>
    </w:tblStylePr>
    <w:tblStylePr w:type="lastRow">
      <w:pPr>
        <w:spacing w:before="0" w:after="0" w:line="240" w:lineRule="auto"/>
      </w:pPr>
      <w:rPr>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tcBorders>
      </w:tcPr>
    </w:tblStylePr>
    <w:tblStylePr w:type="firstCol">
      <w:rPr>
        <w:b/>
        <w:bCs/>
      </w:rPr>
    </w:tblStylePr>
    <w:tblStylePr w:type="lastCol">
      <w:rPr>
        <w:b/>
        <w:bCs/>
      </w:r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style>
  <w:style w:type="paragraph" w:styleId="TOC1">
    <w:name w:val="toc 1"/>
    <w:basedOn w:val="Normal"/>
    <w:next w:val="Normal"/>
    <w:uiPriority w:val="39"/>
    <w:rsid w:val="00994B72"/>
    <w:pPr>
      <w:keepNext/>
      <w:keepLines/>
      <w:pBdr>
        <w:bottom w:val="single" w:sz="2" w:space="1" w:color="000016"/>
        <w:between w:val="single" w:sz="2" w:space="1" w:color="000000" w:themeColor="text1"/>
      </w:pBdr>
      <w:tabs>
        <w:tab w:val="right" w:pos="10206"/>
      </w:tabs>
      <w:spacing w:before="120" w:after="0"/>
      <w:ind w:right="57"/>
    </w:pPr>
    <w:rPr>
      <w:b/>
      <w:noProof/>
      <w:lang w:eastAsia="en-US"/>
    </w:rPr>
  </w:style>
  <w:style w:type="paragraph" w:styleId="TOC2">
    <w:name w:val="toc 2"/>
    <w:basedOn w:val="Normal"/>
    <w:next w:val="Normal"/>
    <w:uiPriority w:val="39"/>
    <w:rsid w:val="00994B72"/>
    <w:pPr>
      <w:keepLines/>
      <w:pBdr>
        <w:bottom w:val="single" w:sz="2" w:space="1" w:color="000000" w:themeColor="text1"/>
        <w:between w:val="single" w:sz="2" w:space="1" w:color="000000" w:themeColor="text1"/>
      </w:pBdr>
      <w:tabs>
        <w:tab w:val="left" w:pos="340"/>
        <w:tab w:val="right" w:pos="10206"/>
      </w:tabs>
      <w:spacing w:before="40" w:after="0" w:line="240" w:lineRule="auto"/>
      <w:ind w:right="57"/>
    </w:pPr>
    <w:rPr>
      <w:b/>
      <w:noProof/>
      <w:color w:val="007586" w:themeColor="text2"/>
    </w:rPr>
  </w:style>
  <w:style w:type="paragraph" w:styleId="TOC3">
    <w:name w:val="toc 3"/>
    <w:basedOn w:val="TOC2"/>
    <w:next w:val="Normal"/>
    <w:uiPriority w:val="39"/>
    <w:rsid w:val="00E739E4"/>
    <w:pPr>
      <w:spacing w:before="0" w:line="280" w:lineRule="atLeast"/>
    </w:pPr>
    <w:rPr>
      <w:b w:val="0"/>
      <w:bCs/>
      <w:color w:val="000000" w:themeColor="text1"/>
    </w:rPr>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AD1351"/>
    <w:rPr>
      <w:color w:val="004C97"/>
      <w:u w:val="single"/>
    </w:rPr>
  </w:style>
  <w:style w:type="character" w:customStyle="1" w:styleId="Heading1Char">
    <w:name w:val="Heading 1 Char"/>
    <w:basedOn w:val="DefaultParagraphFont"/>
    <w:link w:val="Heading1"/>
    <w:rsid w:val="00C15DBE"/>
    <w:rPr>
      <w:rFonts w:asciiTheme="majorHAnsi" w:eastAsiaTheme="majorEastAsia" w:hAnsiTheme="majorHAnsi" w:cstheme="majorBidi"/>
      <w:b/>
      <w:bCs/>
      <w:color w:val="007586" w:themeColor="text2"/>
      <w:sz w:val="32"/>
      <w:szCs w:val="32"/>
    </w:rPr>
  </w:style>
  <w:style w:type="character" w:customStyle="1" w:styleId="Heading2Char">
    <w:name w:val="Heading 2 Char"/>
    <w:basedOn w:val="DefaultParagraphFont"/>
    <w:link w:val="Heading2"/>
    <w:rsid w:val="00385D03"/>
    <w:rPr>
      <w:rFonts w:asciiTheme="majorHAnsi" w:eastAsiaTheme="majorEastAsia" w:hAnsiTheme="majorHAnsi" w:cstheme="majorBidi"/>
      <w:b/>
      <w:bCs/>
      <w:sz w:val="26"/>
      <w:szCs w:val="26"/>
    </w:rPr>
  </w:style>
  <w:style w:type="paragraph" w:customStyle="1" w:styleId="SCVbullet1">
    <w:name w:val="SCV bullet 1"/>
    <w:basedOn w:val="SCVbody"/>
    <w:uiPriority w:val="9"/>
    <w:qFormat/>
    <w:rsid w:val="00316FC9"/>
    <w:pPr>
      <w:numPr>
        <w:numId w:val="28"/>
      </w:numPr>
      <w:spacing w:before="60" w:after="60"/>
    </w:pPr>
  </w:style>
  <w:style w:type="paragraph" w:customStyle="1" w:styleId="SCVbullet2">
    <w:name w:val="SCV bullet 2"/>
    <w:basedOn w:val="SCVbullet1"/>
    <w:uiPriority w:val="9"/>
    <w:qFormat/>
    <w:rsid w:val="00316FC9"/>
    <w:pPr>
      <w:numPr>
        <w:ilvl w:val="1"/>
      </w:numPr>
    </w:pPr>
  </w:style>
  <w:style w:type="paragraph" w:styleId="Quote">
    <w:name w:val="Quote"/>
    <w:basedOn w:val="Normal"/>
    <w:next w:val="Normal"/>
    <w:link w:val="QuoteChar"/>
    <w:uiPriority w:val="1"/>
    <w:semiHidden/>
    <w:qFormat/>
    <w:rsid w:val="00A05EBC"/>
    <w:pPr>
      <w:ind w:left="567" w:right="567"/>
      <w:jc w:val="center"/>
    </w:pPr>
    <w:rPr>
      <w:i/>
      <w:iCs/>
      <w:color w:val="000000" w:themeColor="text1"/>
    </w:rPr>
  </w:style>
  <w:style w:type="paragraph" w:customStyle="1" w:styleId="SCVbody">
    <w:name w:val="SCV body"/>
    <w:basedOn w:val="Normal"/>
    <w:link w:val="SCVbodyChar"/>
    <w:qFormat/>
    <w:rsid w:val="000D1042"/>
  </w:style>
  <w:style w:type="paragraph" w:customStyle="1" w:styleId="SCVfigurecaption">
    <w:name w:val="SCV figure caption"/>
    <w:basedOn w:val="SCVtablecaption"/>
    <w:uiPriority w:val="14"/>
    <w:qFormat/>
    <w:rsid w:val="00B15592"/>
    <w:pPr>
      <w:spacing w:before="300"/>
    </w:pPr>
  </w:style>
  <w:style w:type="paragraph" w:customStyle="1" w:styleId="SCVbodyafterheading">
    <w:name w:val="SCV body after heading"/>
    <w:basedOn w:val="SCVbody"/>
    <w:qFormat/>
    <w:rsid w:val="00CC6087"/>
    <w:pPr>
      <w:spacing w:before="0"/>
    </w:pPr>
  </w:style>
  <w:style w:type="character" w:customStyle="1" w:styleId="Heading3Char">
    <w:name w:val="Heading 3 Char"/>
    <w:basedOn w:val="DefaultParagraphFont"/>
    <w:link w:val="Heading3"/>
    <w:rsid w:val="00385D03"/>
    <w:rPr>
      <w:rFonts w:asciiTheme="majorHAnsi" w:eastAsiaTheme="majorEastAsia" w:hAnsiTheme="majorHAnsi" w:cstheme="majorBidi"/>
      <w:b/>
      <w:bCs/>
      <w:color w:val="007586" w:themeColor="text2"/>
      <w:sz w:val="24"/>
      <w:szCs w:val="22"/>
    </w:rPr>
  </w:style>
  <w:style w:type="numbering" w:customStyle="1" w:styleId="ZZBullets">
    <w:name w:val="ZZ Bullets"/>
    <w:basedOn w:val="NoList"/>
    <w:uiPriority w:val="99"/>
    <w:rsid w:val="00E739E4"/>
    <w:pPr>
      <w:numPr>
        <w:numId w:val="1"/>
      </w:numPr>
    </w:pPr>
  </w:style>
  <w:style w:type="character" w:customStyle="1" w:styleId="Heading4Char">
    <w:name w:val="Heading 4 Char"/>
    <w:basedOn w:val="DefaultParagraphFont"/>
    <w:link w:val="Heading4"/>
    <w:rsid w:val="00515958"/>
    <w:rPr>
      <w:rFonts w:asciiTheme="majorHAnsi" w:eastAsiaTheme="majorEastAsia" w:hAnsiTheme="majorHAnsi" w:cstheme="majorBidi"/>
      <w:b/>
      <w:bCs/>
      <w:iCs/>
      <w:color w:val="000000" w:themeColor="text1"/>
    </w:rPr>
  </w:style>
  <w:style w:type="paragraph" w:customStyle="1" w:styleId="SCVfactsheettitle">
    <w:name w:val="SCV factsheet title"/>
    <w:uiPriority w:val="29"/>
    <w:rsid w:val="00521CA5"/>
    <w:pPr>
      <w:keepLines/>
      <w:suppressAutoHyphens/>
      <w:spacing w:line="216" w:lineRule="auto"/>
    </w:pPr>
    <w:rPr>
      <w:rFonts w:asciiTheme="majorHAnsi" w:eastAsia="Times New Roman" w:hAnsiTheme="majorHAnsi" w:cstheme="majorHAnsi"/>
      <w:b/>
      <w:color w:val="007586" w:themeColor="text2"/>
      <w:spacing w:val="-2"/>
      <w:sz w:val="48"/>
      <w:szCs w:val="48"/>
    </w:rPr>
  </w:style>
  <w:style w:type="paragraph" w:customStyle="1" w:styleId="SCVtablefigurenote">
    <w:name w:val="SCV table/figure note"/>
    <w:basedOn w:val="Normal"/>
    <w:uiPriority w:val="29"/>
    <w:rsid w:val="002D6F3C"/>
    <w:pPr>
      <w:spacing w:before="80" w:after="80" w:line="264" w:lineRule="auto"/>
    </w:pPr>
    <w:rPr>
      <w:sz w:val="17"/>
      <w:szCs w:val="17"/>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semiHidden/>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semiHidden/>
    <w:rsid w:val="00345B45"/>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semiHidden/>
    <w:rsid w:val="004B64B1"/>
    <w:pPr>
      <w:framePr w:hSpace="181" w:wrap="around" w:vAnchor="page" w:hAnchor="page" w:x="455" w:y="12021"/>
      <w:spacing w:before="0" w:after="40" w:line="240" w:lineRule="auto"/>
      <w:ind w:right="284"/>
      <w:contextualSpacing/>
      <w:suppressOverlap/>
    </w:pPr>
    <w:rPr>
      <w:rFonts w:asciiTheme="majorHAnsi" w:eastAsia="Times New Roman" w:hAnsiTheme="majorHAnsi" w:cstheme="majorHAnsi"/>
      <w:b/>
      <w:color w:val="007586" w:themeColor="text2"/>
      <w:spacing w:val="-2"/>
      <w:sz w:val="76"/>
      <w:szCs w:val="22"/>
    </w:rPr>
  </w:style>
  <w:style w:type="character" w:customStyle="1" w:styleId="TitleChar">
    <w:name w:val="Title Char"/>
    <w:basedOn w:val="DefaultParagraphFont"/>
    <w:link w:val="Title"/>
    <w:uiPriority w:val="99"/>
    <w:semiHidden/>
    <w:rsid w:val="00345B45"/>
    <w:rPr>
      <w:rFonts w:asciiTheme="majorHAnsi" w:eastAsia="Times New Roman" w:hAnsiTheme="majorHAnsi" w:cstheme="majorHAnsi"/>
      <w:b/>
      <w:color w:val="007586" w:themeColor="text2"/>
      <w:spacing w:val="-2"/>
      <w:sz w:val="76"/>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semiHidden/>
    <w:rsid w:val="00345B45"/>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AA4288"/>
    <w:pPr>
      <w:tabs>
        <w:tab w:val="center" w:pos="4513"/>
        <w:tab w:val="right" w:pos="9026"/>
      </w:tabs>
      <w:spacing w:before="0" w:line="240" w:lineRule="auto"/>
    </w:pPr>
  </w:style>
  <w:style w:type="character" w:customStyle="1" w:styleId="HeaderChar">
    <w:name w:val="Header Char"/>
    <w:basedOn w:val="DefaultParagraphFont"/>
    <w:link w:val="Header"/>
    <w:uiPriority w:val="99"/>
    <w:rsid w:val="00AA4288"/>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semiHidden/>
    <w:rsid w:val="005C12A8"/>
    <w:pPr>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D4DC" w:themeFill="accent1" w:themeFillTint="33"/>
    </w:tcPr>
    <w:tblStylePr w:type="firstRow">
      <w:rPr>
        <w:b/>
        <w:bCs/>
      </w:rPr>
      <w:tblPr/>
      <w:tcPr>
        <w:shd w:val="clear" w:color="auto" w:fill="93AABA" w:themeFill="accent1" w:themeFillTint="66"/>
      </w:tcPr>
    </w:tblStylePr>
    <w:tblStylePr w:type="lastRow">
      <w:rPr>
        <w:b/>
        <w:bCs/>
        <w:color w:val="000000" w:themeColor="text1"/>
      </w:rPr>
      <w:tblPr/>
      <w:tcPr>
        <w:shd w:val="clear" w:color="auto" w:fill="93AABA" w:themeFill="accent1" w:themeFillTint="66"/>
      </w:tcPr>
    </w:tblStylePr>
    <w:tblStylePr w:type="firstCol">
      <w:rPr>
        <w:color w:val="FFFFFF" w:themeColor="background1"/>
      </w:rPr>
      <w:tblPr/>
      <w:tcPr>
        <w:shd w:val="clear" w:color="auto" w:fill="141A1F" w:themeFill="accent1" w:themeFillShade="BF"/>
      </w:tcPr>
    </w:tblStylePr>
    <w:tblStylePr w:type="lastCol">
      <w:rPr>
        <w:color w:val="FFFFFF" w:themeColor="background1"/>
      </w:rPr>
      <w:tblPr/>
      <w:tcPr>
        <w:shd w:val="clear" w:color="auto" w:fill="141A1F" w:themeFill="accent1" w:themeFillShade="BF"/>
      </w:tc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paragraph" w:customStyle="1" w:styleId="SCVfactsheetsubtitle">
    <w:name w:val="SCV factsheet subtitle"/>
    <w:uiPriority w:val="29"/>
    <w:rsid w:val="00521CA5"/>
    <w:pPr>
      <w:keepLines/>
      <w:spacing w:before="0" w:line="240" w:lineRule="auto"/>
    </w:pPr>
    <w:rPr>
      <w:rFonts w:asciiTheme="majorHAnsi" w:eastAsia="Times New Roman" w:hAnsiTheme="majorHAnsi" w:cstheme="majorHAnsi"/>
      <w:color w:val="000000" w:themeColor="text1"/>
      <w:sz w:val="36"/>
      <w:szCs w:val="36"/>
    </w:rPr>
  </w:style>
  <w:style w:type="paragraph" w:customStyle="1" w:styleId="SCVfooterempty">
    <w:name w:val="SCV footer empty"/>
    <w:basedOn w:val="SCVfooter"/>
    <w:uiPriority w:val="98"/>
    <w:rsid w:val="006B337A"/>
    <w:pPr>
      <w:pBdr>
        <w:top w:val="none" w:sz="0" w:space="0" w:color="auto"/>
      </w:pBdr>
    </w:pPr>
    <w:rPr>
      <w:noProof w:val="0"/>
    </w:rPr>
  </w:style>
  <w:style w:type="paragraph" w:styleId="ListParagraph">
    <w:name w:val="List Paragraph"/>
    <w:basedOn w:val="Normal"/>
    <w:uiPriority w:val="34"/>
    <w:qFormat/>
    <w:rsid w:val="004231B5"/>
    <w:pPr>
      <w:ind w:left="720"/>
      <w:contextualSpacing/>
    </w:pPr>
  </w:style>
  <w:style w:type="paragraph" w:styleId="FootnoteText">
    <w:name w:val="footnote text"/>
    <w:basedOn w:val="Normal"/>
    <w:link w:val="FootnoteTextChar"/>
    <w:uiPriority w:val="8"/>
    <w:rsid w:val="00B15592"/>
    <w:pPr>
      <w:spacing w:before="0" w:after="60" w:line="288" w:lineRule="auto"/>
    </w:pPr>
    <w:rPr>
      <w:sz w:val="17"/>
      <w:szCs w:val="17"/>
    </w:rPr>
  </w:style>
  <w:style w:type="character" w:customStyle="1" w:styleId="FootnoteTextChar">
    <w:name w:val="Footnote Text Char"/>
    <w:basedOn w:val="DefaultParagraphFont"/>
    <w:link w:val="FootnoteText"/>
    <w:uiPriority w:val="8"/>
    <w:rsid w:val="00B15592"/>
    <w:rPr>
      <w:sz w:val="17"/>
      <w:szCs w:val="17"/>
    </w:rPr>
  </w:style>
  <w:style w:type="character" w:styleId="FootnoteReference">
    <w:name w:val="footnote reference"/>
    <w:basedOn w:val="DefaultParagraphFont"/>
    <w:uiPriority w:val="8"/>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3F5FF" w:themeFill="accent2" w:themeFillTint="33"/>
    </w:tcPr>
    <w:tblStylePr w:type="firstRow">
      <w:rPr>
        <w:b/>
        <w:bCs/>
      </w:rPr>
      <w:tblPr/>
      <w:tcPr>
        <w:shd w:val="clear" w:color="auto" w:fill="68EBFF" w:themeFill="accent2" w:themeFillTint="66"/>
      </w:tcPr>
    </w:tblStylePr>
    <w:tblStylePr w:type="lastRow">
      <w:rPr>
        <w:b/>
        <w:bCs/>
        <w:color w:val="000000" w:themeColor="text1"/>
      </w:rPr>
      <w:tblPr/>
      <w:tcPr>
        <w:shd w:val="clear" w:color="auto" w:fill="68EBFF" w:themeFill="accent2" w:themeFillTint="66"/>
      </w:tcPr>
    </w:tblStylePr>
    <w:tblStylePr w:type="firstCol">
      <w:rPr>
        <w:color w:val="FFFFFF" w:themeColor="background1"/>
      </w:rPr>
      <w:tblPr/>
      <w:tcPr>
        <w:shd w:val="clear" w:color="auto" w:fill="005764" w:themeFill="accent2" w:themeFillShade="BF"/>
      </w:tcPr>
    </w:tblStylePr>
    <w:tblStylePr w:type="lastCol">
      <w:rPr>
        <w:color w:val="FFFFFF" w:themeColor="background1"/>
      </w:rPr>
      <w:tblPr/>
      <w:tcPr>
        <w:shd w:val="clear" w:color="auto" w:fill="005764" w:themeFill="accent2" w:themeFillShade="BF"/>
      </w:tc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F0FB" w:themeFill="accent3" w:themeFillTint="33"/>
    </w:tcPr>
    <w:tblStylePr w:type="firstRow">
      <w:rPr>
        <w:b/>
        <w:bCs/>
      </w:rPr>
      <w:tblPr/>
      <w:tcPr>
        <w:shd w:val="clear" w:color="auto" w:fill="BDE2F7" w:themeFill="accent3" w:themeFillTint="66"/>
      </w:tcPr>
    </w:tblStylePr>
    <w:tblStylePr w:type="lastRow">
      <w:rPr>
        <w:b/>
        <w:bCs/>
        <w:color w:val="000000" w:themeColor="text1"/>
      </w:rPr>
      <w:tblPr/>
      <w:tcPr>
        <w:shd w:val="clear" w:color="auto" w:fill="BDE2F7" w:themeFill="accent3" w:themeFillTint="66"/>
      </w:tcPr>
    </w:tblStylePr>
    <w:tblStylePr w:type="firstCol">
      <w:rPr>
        <w:color w:val="FFFFFF" w:themeColor="background1"/>
      </w:rPr>
      <w:tblPr/>
      <w:tcPr>
        <w:shd w:val="clear" w:color="auto" w:fill="1A97D9" w:themeFill="accent3" w:themeFillShade="BF"/>
      </w:tcPr>
    </w:tblStylePr>
    <w:tblStylePr w:type="lastCol">
      <w:rPr>
        <w:color w:val="FFFFFF" w:themeColor="background1"/>
      </w:rPr>
      <w:tblPr/>
      <w:tcPr>
        <w:shd w:val="clear" w:color="auto" w:fill="1A97D9" w:themeFill="accent3" w:themeFillShade="BF"/>
      </w:tc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paragraph" w:styleId="Caption">
    <w:name w:val="caption"/>
    <w:basedOn w:val="Normal"/>
    <w:next w:val="Normal"/>
    <w:uiPriority w:val="1"/>
    <w:semiHidden/>
    <w:rsid w:val="00A92D94"/>
    <w:pPr>
      <w:spacing w:before="280" w:after="210" w:line="260" w:lineRule="atLeast"/>
    </w:pPr>
    <w:rPr>
      <w:b/>
      <w:bCs/>
      <w:color w:val="007586" w:themeColor="text2"/>
      <w:szCs w:val="18"/>
    </w:rPr>
  </w:style>
  <w:style w:type="paragraph" w:customStyle="1" w:styleId="SCVtablecaption">
    <w:name w:val="SCV table caption"/>
    <w:next w:val="SCVbody"/>
    <w:uiPriority w:val="20"/>
    <w:qFormat/>
    <w:rsid w:val="00FD7069"/>
    <w:pPr>
      <w:keepNext/>
      <w:tabs>
        <w:tab w:val="left" w:pos="1080"/>
      </w:tabs>
      <w:spacing w:before="280" w:after="120" w:line="264" w:lineRule="auto"/>
    </w:pPr>
    <w:rPr>
      <w:b/>
      <w:bCs/>
      <w:color w:val="007586" w:themeColor="text2"/>
      <w:spacing w:val="2"/>
      <w:szCs w:val="18"/>
    </w:rPr>
  </w:style>
  <w:style w:type="character" w:styleId="PlaceholderText">
    <w:name w:val="Placeholder Text"/>
    <w:basedOn w:val="DefaultParagraphFont"/>
    <w:uiPriority w:val="1"/>
    <w:semiHidden/>
    <w:rsid w:val="00966115"/>
    <w:rPr>
      <w:color w:val="808080"/>
    </w:rPr>
  </w:style>
  <w:style w:type="paragraph" w:customStyle="1" w:styleId="SCVfooter">
    <w:name w:val="SCV footer"/>
    <w:basedOn w:val="Footer"/>
    <w:uiPriority w:val="99"/>
    <w:rsid w:val="009905FA"/>
    <w:pPr>
      <w:pBdr>
        <w:top w:val="single" w:sz="8" w:space="6" w:color="CCCCD0"/>
      </w:pBdr>
      <w:spacing w:line="240" w:lineRule="auto"/>
    </w:pPr>
    <w:rPr>
      <w:sz w:val="18"/>
    </w:rPr>
  </w:style>
  <w:style w:type="paragraph" w:customStyle="1" w:styleId="SCVintroductorytext">
    <w:name w:val="SCV introductory text"/>
    <w:basedOn w:val="Normal"/>
    <w:uiPriority w:val="1"/>
    <w:qFormat/>
    <w:rsid w:val="00876171"/>
    <w:pPr>
      <w:spacing w:before="400" w:after="240"/>
    </w:pPr>
    <w:rPr>
      <w:b/>
      <w:color w:val="007586" w:themeColor="text2"/>
    </w:rPr>
  </w:style>
  <w:style w:type="paragraph" w:styleId="NoSpacing">
    <w:name w:val="No Spacing"/>
    <w:uiPriority w:val="1"/>
    <w:qFormat/>
    <w:rsid w:val="00294A5A"/>
    <w:pPr>
      <w:spacing w:before="0" w:after="0" w:line="240" w:lineRule="auto"/>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7DBFF" w:themeFill="accent4" w:themeFillTint="33"/>
    </w:tcPr>
    <w:tblStylePr w:type="firstRow">
      <w:rPr>
        <w:b/>
        <w:bCs/>
      </w:rPr>
      <w:tblPr/>
      <w:tcPr>
        <w:shd w:val="clear" w:color="auto" w:fill="6FB7FF" w:themeFill="accent4" w:themeFillTint="66"/>
      </w:tcPr>
    </w:tblStylePr>
    <w:tblStylePr w:type="lastRow">
      <w:rPr>
        <w:b/>
        <w:bCs/>
        <w:color w:val="000000" w:themeColor="text1"/>
      </w:rPr>
      <w:tblPr/>
      <w:tcPr>
        <w:shd w:val="clear" w:color="auto" w:fill="6FB7FF" w:themeFill="accent4" w:themeFillTint="66"/>
      </w:tcPr>
    </w:tblStylePr>
    <w:tblStylePr w:type="firstCol">
      <w:rPr>
        <w:color w:val="FFFFFF" w:themeColor="background1"/>
      </w:rPr>
      <w:tblPr/>
      <w:tcPr>
        <w:shd w:val="clear" w:color="auto" w:fill="003871" w:themeFill="accent4" w:themeFillShade="BF"/>
      </w:tcPr>
    </w:tblStylePr>
    <w:tblStylePr w:type="lastCol">
      <w:rPr>
        <w:color w:val="FFFFFF" w:themeColor="background1"/>
      </w:rPr>
      <w:tblPr/>
      <w:tcPr>
        <w:shd w:val="clear" w:color="auto" w:fill="003871" w:themeFill="accent4" w:themeFillShade="BF"/>
      </w:tc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EDF" w:themeFill="accent5" w:themeFillTint="33"/>
    </w:tcPr>
    <w:tblStylePr w:type="firstRow">
      <w:rPr>
        <w:b/>
        <w:bCs/>
      </w:rPr>
      <w:tblPr/>
      <w:tcPr>
        <w:shd w:val="clear" w:color="auto" w:fill="BDDDC0" w:themeFill="accent5" w:themeFillTint="66"/>
      </w:tcPr>
    </w:tblStylePr>
    <w:tblStylePr w:type="lastRow">
      <w:rPr>
        <w:b/>
        <w:bCs/>
        <w:color w:val="000000" w:themeColor="text1"/>
      </w:rPr>
      <w:tblPr/>
      <w:tcPr>
        <w:shd w:val="clear" w:color="auto" w:fill="BDDDC0" w:themeFill="accent5" w:themeFillTint="66"/>
      </w:tcPr>
    </w:tblStylePr>
    <w:tblStylePr w:type="firstCol">
      <w:rPr>
        <w:color w:val="FFFFFF" w:themeColor="background1"/>
      </w:rPr>
      <w:tblPr/>
      <w:tcPr>
        <w:shd w:val="clear" w:color="auto" w:fill="428049" w:themeFill="accent5" w:themeFillShade="BF"/>
      </w:tcPr>
    </w:tblStylePr>
    <w:tblStylePr w:type="lastCol">
      <w:rPr>
        <w:color w:val="FFFFFF" w:themeColor="background1"/>
      </w:rPr>
      <w:tblPr/>
      <w:tcPr>
        <w:shd w:val="clear" w:color="auto" w:fill="428049" w:themeFill="accent5" w:themeFillShade="BF"/>
      </w:tc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0D8" w:themeFill="accent6" w:themeFillTint="33"/>
    </w:tcPr>
    <w:tblStylePr w:type="firstRow">
      <w:rPr>
        <w:b/>
        <w:bCs/>
      </w:rPr>
      <w:tblPr/>
      <w:tcPr>
        <w:shd w:val="clear" w:color="auto" w:fill="F5C1B1" w:themeFill="accent6" w:themeFillTint="66"/>
      </w:tcPr>
    </w:tblStylePr>
    <w:tblStylePr w:type="lastRow">
      <w:rPr>
        <w:b/>
        <w:bCs/>
        <w:color w:val="000000" w:themeColor="text1"/>
      </w:rPr>
      <w:tblPr/>
      <w:tcPr>
        <w:shd w:val="clear" w:color="auto" w:fill="F5C1B1" w:themeFill="accent6" w:themeFillTint="66"/>
      </w:tcPr>
    </w:tblStylePr>
    <w:tblStylePr w:type="firstCol">
      <w:rPr>
        <w:color w:val="FFFFFF" w:themeColor="background1"/>
      </w:rPr>
      <w:tblPr/>
      <w:tcPr>
        <w:shd w:val="clear" w:color="auto" w:fill="C04018" w:themeFill="accent6" w:themeFillShade="BF"/>
      </w:tcPr>
    </w:tblStylePr>
    <w:tblStylePr w:type="lastCol">
      <w:rPr>
        <w:color w:val="FFFFFF" w:themeColor="background1"/>
      </w:rPr>
      <w:tblPr/>
      <w:tcPr>
        <w:shd w:val="clear" w:color="auto" w:fill="C04018" w:themeFill="accent6" w:themeFillShade="BF"/>
      </w:tc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4EAEE" w:themeFill="accent1"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AD4" w:themeFill="accent1" w:themeFillTint="3F"/>
      </w:tcPr>
    </w:tblStylePr>
    <w:tblStylePr w:type="band1Horz">
      <w:tblPr/>
      <w:tcPr>
        <w:shd w:val="clear" w:color="auto" w:fill="C9D4DC"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AFAFF" w:themeFill="accent2" w:themeFillTint="19"/>
    </w:tcPr>
    <w:tblStylePr w:type="firstRow">
      <w:rPr>
        <w:b/>
        <w:bCs/>
        <w:color w:val="FFFFFF" w:themeColor="background1"/>
      </w:rPr>
      <w:tblPr/>
      <w:tcPr>
        <w:tcBorders>
          <w:bottom w:val="single" w:sz="12" w:space="0" w:color="FFFFFF" w:themeColor="background1"/>
        </w:tcBorders>
        <w:shd w:val="clear" w:color="auto" w:fill="005D6B" w:themeFill="accent2" w:themeFillShade="CC"/>
      </w:tcPr>
    </w:tblStylePr>
    <w:tblStylePr w:type="lastRow">
      <w:rPr>
        <w:b/>
        <w:bCs/>
        <w:color w:val="005D6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2FF" w:themeFill="accent2" w:themeFillTint="3F"/>
      </w:tcPr>
    </w:tblStylePr>
    <w:tblStylePr w:type="band1Horz">
      <w:tblPr/>
      <w:tcPr>
        <w:shd w:val="clear" w:color="auto" w:fill="B3F5FF"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8FD" w:themeFill="accent3" w:themeFillTint="19"/>
    </w:tcPr>
    <w:tblStylePr w:type="firstRow">
      <w:rPr>
        <w:b/>
        <w:bCs/>
        <w:color w:val="FFFFFF" w:themeColor="background1"/>
      </w:rPr>
      <w:tblPr/>
      <w:tcPr>
        <w:tcBorders>
          <w:bottom w:val="single" w:sz="12" w:space="0" w:color="FFFFFF" w:themeColor="background1"/>
        </w:tcBorders>
        <w:shd w:val="clear" w:color="auto" w:fill="003C78" w:themeFill="accent4" w:themeFillShade="CC"/>
      </w:tcPr>
    </w:tblStylePr>
    <w:tblStylePr w:type="lastRow">
      <w:rPr>
        <w:b/>
        <w:bCs/>
        <w:color w:val="003C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FA" w:themeFill="accent3" w:themeFillTint="3F"/>
      </w:tcPr>
    </w:tblStylePr>
    <w:tblStylePr w:type="band1Horz">
      <w:tblPr/>
      <w:tcPr>
        <w:shd w:val="clear" w:color="auto" w:fill="DEF0FB"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DBEDFF" w:themeFill="accent4" w:themeFillTint="19"/>
    </w:tcPr>
    <w:tblStylePr w:type="firstRow">
      <w:rPr>
        <w:b/>
        <w:bCs/>
        <w:color w:val="FFFFFF" w:themeColor="background1"/>
      </w:rPr>
      <w:tblPr/>
      <w:tcPr>
        <w:tcBorders>
          <w:bottom w:val="single" w:sz="12" w:space="0" w:color="FFFFFF" w:themeColor="background1"/>
        </w:tcBorders>
        <w:shd w:val="clear" w:color="auto" w:fill="20A0E4" w:themeFill="accent3" w:themeFillShade="CC"/>
      </w:tcPr>
    </w:tblStylePr>
    <w:tblStylePr w:type="lastRow">
      <w:rPr>
        <w:b/>
        <w:bCs/>
        <w:color w:val="20A0E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D2FF" w:themeFill="accent4" w:themeFillTint="3F"/>
      </w:tcPr>
    </w:tblStylePr>
    <w:tblStylePr w:type="band1Horz">
      <w:tblPr/>
      <w:tcPr>
        <w:shd w:val="clear" w:color="auto" w:fill="B7DBFF"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EF6EF" w:themeFill="accent5" w:themeFillTint="19"/>
    </w:tcPr>
    <w:tblStylePr w:type="firstRow">
      <w:rPr>
        <w:b/>
        <w:bCs/>
        <w:color w:val="FFFFFF" w:themeColor="background1"/>
      </w:rPr>
      <w:tblPr/>
      <w:tcPr>
        <w:tcBorders>
          <w:bottom w:val="single" w:sz="12" w:space="0" w:color="FFFFFF" w:themeColor="background1"/>
        </w:tcBorders>
        <w:shd w:val="clear" w:color="auto" w:fill="CD441A" w:themeFill="accent6" w:themeFillShade="CC"/>
      </w:tcPr>
    </w:tblStylePr>
    <w:tblStylePr w:type="lastRow">
      <w:rPr>
        <w:b/>
        <w:bCs/>
        <w:color w:val="CD441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AD8" w:themeFill="accent5" w:themeFillTint="3F"/>
      </w:tcPr>
    </w:tblStylePr>
    <w:tblStylePr w:type="band1Horz">
      <w:tblPr/>
      <w:tcPr>
        <w:shd w:val="clear" w:color="auto" w:fill="DEEEDF"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CEFEB" w:themeFill="accent6" w:themeFillTint="19"/>
    </w:tcPr>
    <w:tblStylePr w:type="firstRow">
      <w:rPr>
        <w:b/>
        <w:bCs/>
        <w:color w:val="FFFFFF" w:themeColor="background1"/>
      </w:rPr>
      <w:tblPr/>
      <w:tcPr>
        <w:tcBorders>
          <w:bottom w:val="single" w:sz="12" w:space="0" w:color="FFFFFF" w:themeColor="background1"/>
        </w:tcBorders>
        <w:shd w:val="clear" w:color="auto" w:fill="46894E" w:themeFill="accent5" w:themeFillShade="CC"/>
      </w:tcPr>
    </w:tblStylePr>
    <w:tblStylePr w:type="lastRow">
      <w:rPr>
        <w:b/>
        <w:bCs/>
        <w:color w:val="46894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8CE" w:themeFill="accent6" w:themeFillTint="3F"/>
      </w:tcPr>
    </w:tblStylePr>
    <w:tblStylePr w:type="band1Horz">
      <w:tblPr/>
      <w:tcPr>
        <w:shd w:val="clear" w:color="auto" w:fill="FAE0D8"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1B242A" w:themeColor="accent1"/>
        <w:bottom w:val="single" w:sz="4" w:space="0" w:color="1B242A" w:themeColor="accent1"/>
        <w:right w:val="single" w:sz="4" w:space="0" w:color="1B242A" w:themeColor="accent1"/>
        <w:insideH w:val="single" w:sz="4" w:space="0" w:color="FFFFFF" w:themeColor="background1"/>
        <w:insideV w:val="single" w:sz="4" w:space="0" w:color="FFFFFF" w:themeColor="background1"/>
      </w:tblBorders>
    </w:tblPr>
    <w:tcPr>
      <w:shd w:val="clear" w:color="auto" w:fill="E4EAEE" w:themeFill="accent1"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1519" w:themeFill="accent1" w:themeFillShade="99"/>
      </w:tcPr>
    </w:tblStylePr>
    <w:tblStylePr w:type="firstCol">
      <w:rPr>
        <w:color w:val="FFFFFF" w:themeColor="background1"/>
      </w:rPr>
      <w:tblPr/>
      <w:tcPr>
        <w:tcBorders>
          <w:top w:val="nil"/>
          <w:left w:val="nil"/>
          <w:bottom w:val="nil"/>
          <w:right w:val="nil"/>
          <w:insideH w:val="single" w:sz="4" w:space="0" w:color="101519" w:themeColor="accent1" w:themeShade="99"/>
          <w:insideV w:val="nil"/>
        </w:tcBorders>
        <w:shd w:val="clear" w:color="auto" w:fill="10151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1519" w:themeFill="accent1" w:themeFillShade="99"/>
      </w:tcPr>
    </w:tblStylePr>
    <w:tblStylePr w:type="band1Vert">
      <w:tblPr/>
      <w:tcPr>
        <w:shd w:val="clear" w:color="auto" w:fill="93AABA" w:themeFill="accent1" w:themeFillTint="66"/>
      </w:tcPr>
    </w:tblStylePr>
    <w:tblStylePr w:type="band1Horz">
      <w:tblPr/>
      <w:tcPr>
        <w:shd w:val="clear" w:color="auto" w:fill="7995A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7586" w:themeColor="accent2"/>
        <w:left w:val="single" w:sz="4" w:space="0" w:color="007586" w:themeColor="accent2"/>
        <w:bottom w:val="single" w:sz="4" w:space="0" w:color="007586" w:themeColor="accent2"/>
        <w:right w:val="single" w:sz="4" w:space="0" w:color="007586" w:themeColor="accent2"/>
        <w:insideH w:val="single" w:sz="4" w:space="0" w:color="FFFFFF" w:themeColor="background1"/>
        <w:insideV w:val="single" w:sz="4" w:space="0" w:color="FFFFFF" w:themeColor="background1"/>
      </w:tblBorders>
    </w:tblPr>
    <w:tcPr>
      <w:shd w:val="clear" w:color="auto" w:fill="DAFAFF" w:themeFill="accent2" w:themeFillTint="19"/>
    </w:tcPr>
    <w:tblStylePr w:type="firstRow">
      <w:rPr>
        <w:b/>
        <w:bCs/>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550" w:themeFill="accent2" w:themeFillShade="99"/>
      </w:tcPr>
    </w:tblStylePr>
    <w:tblStylePr w:type="firstCol">
      <w:rPr>
        <w:color w:val="FFFFFF" w:themeColor="background1"/>
      </w:rPr>
      <w:tblPr/>
      <w:tcPr>
        <w:tcBorders>
          <w:top w:val="nil"/>
          <w:left w:val="nil"/>
          <w:bottom w:val="nil"/>
          <w:right w:val="nil"/>
          <w:insideH w:val="single" w:sz="4" w:space="0" w:color="004550" w:themeColor="accent2" w:themeShade="99"/>
          <w:insideV w:val="nil"/>
        </w:tcBorders>
        <w:shd w:val="clear" w:color="auto" w:fill="00455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550" w:themeFill="accent2" w:themeFillShade="99"/>
      </w:tcPr>
    </w:tblStylePr>
    <w:tblStylePr w:type="band1Vert">
      <w:tblPr/>
      <w:tcPr>
        <w:shd w:val="clear" w:color="auto" w:fill="68EBFF" w:themeFill="accent2" w:themeFillTint="66"/>
      </w:tcPr>
    </w:tblStylePr>
    <w:tblStylePr w:type="band1Horz">
      <w:tblPr/>
      <w:tcPr>
        <w:shd w:val="clear" w:color="auto" w:fill="43E6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004C97" w:themeColor="accent4"/>
        <w:left w:val="single" w:sz="4" w:space="0" w:color="5AB9EB" w:themeColor="accent3"/>
        <w:bottom w:val="single" w:sz="4" w:space="0" w:color="5AB9EB" w:themeColor="accent3"/>
        <w:right w:val="single" w:sz="4" w:space="0" w:color="5AB9EB" w:themeColor="accent3"/>
        <w:insideH w:val="single" w:sz="4" w:space="0" w:color="FFFFFF" w:themeColor="background1"/>
        <w:insideV w:val="single" w:sz="4" w:space="0" w:color="FFFFFF" w:themeColor="background1"/>
      </w:tblBorders>
    </w:tblPr>
    <w:tcPr>
      <w:shd w:val="clear" w:color="auto" w:fill="EEF8FD" w:themeFill="accent3" w:themeFillTint="19"/>
    </w:tcPr>
    <w:tblStylePr w:type="firstRow">
      <w:rPr>
        <w:b/>
        <w:bCs/>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79AD" w:themeFill="accent3" w:themeFillShade="99"/>
      </w:tcPr>
    </w:tblStylePr>
    <w:tblStylePr w:type="firstCol">
      <w:rPr>
        <w:color w:val="FFFFFF" w:themeColor="background1"/>
      </w:rPr>
      <w:tblPr/>
      <w:tcPr>
        <w:tcBorders>
          <w:top w:val="nil"/>
          <w:left w:val="nil"/>
          <w:bottom w:val="nil"/>
          <w:right w:val="nil"/>
          <w:insideH w:val="single" w:sz="4" w:space="0" w:color="1579AD" w:themeColor="accent3" w:themeShade="99"/>
          <w:insideV w:val="nil"/>
        </w:tcBorders>
        <w:shd w:val="clear" w:color="auto" w:fill="1579A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579AD" w:themeFill="accent3" w:themeFillShade="99"/>
      </w:tcPr>
    </w:tblStylePr>
    <w:tblStylePr w:type="band1Vert">
      <w:tblPr/>
      <w:tcPr>
        <w:shd w:val="clear" w:color="auto" w:fill="BDE2F7" w:themeFill="accent3" w:themeFillTint="66"/>
      </w:tcPr>
    </w:tblStylePr>
    <w:tblStylePr w:type="band1Horz">
      <w:tblPr/>
      <w:tcPr>
        <w:shd w:val="clear" w:color="auto" w:fill="ACDCF5"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B9EB" w:themeColor="accent3"/>
        <w:left w:val="single" w:sz="4" w:space="0" w:color="004C97" w:themeColor="accent4"/>
        <w:bottom w:val="single" w:sz="4" w:space="0" w:color="004C97" w:themeColor="accent4"/>
        <w:right w:val="single" w:sz="4" w:space="0" w:color="004C97" w:themeColor="accent4"/>
        <w:insideH w:val="single" w:sz="4" w:space="0" w:color="FFFFFF" w:themeColor="background1"/>
        <w:insideV w:val="single" w:sz="4" w:space="0" w:color="FFFFFF" w:themeColor="background1"/>
      </w:tblBorders>
    </w:tblPr>
    <w:tcPr>
      <w:shd w:val="clear" w:color="auto" w:fill="DBEDFF" w:themeFill="accent4" w:themeFillTint="19"/>
    </w:tcPr>
    <w:tblStylePr w:type="firstRow">
      <w:rPr>
        <w:b/>
        <w:bCs/>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D5A" w:themeFill="accent4" w:themeFillShade="99"/>
      </w:tcPr>
    </w:tblStylePr>
    <w:tblStylePr w:type="firstCol">
      <w:rPr>
        <w:color w:val="FFFFFF" w:themeColor="background1"/>
      </w:rPr>
      <w:tblPr/>
      <w:tcPr>
        <w:tcBorders>
          <w:top w:val="nil"/>
          <w:left w:val="nil"/>
          <w:bottom w:val="nil"/>
          <w:right w:val="nil"/>
          <w:insideH w:val="single" w:sz="4" w:space="0" w:color="002D5A" w:themeColor="accent4" w:themeShade="99"/>
          <w:insideV w:val="nil"/>
        </w:tcBorders>
        <w:shd w:val="clear" w:color="auto" w:fill="002D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D5A" w:themeFill="accent4" w:themeFillShade="99"/>
      </w:tcPr>
    </w:tblStylePr>
    <w:tblStylePr w:type="band1Vert">
      <w:tblPr/>
      <w:tcPr>
        <w:shd w:val="clear" w:color="auto" w:fill="6FB7FF" w:themeFill="accent4" w:themeFillTint="66"/>
      </w:tcPr>
    </w:tblStylePr>
    <w:tblStylePr w:type="band1Horz">
      <w:tblPr/>
      <w:tcPr>
        <w:shd w:val="clear" w:color="auto" w:fill="4CA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E6643C" w:themeColor="accent6"/>
        <w:left w:val="single" w:sz="4" w:space="0" w:color="5AAA64" w:themeColor="accent5"/>
        <w:bottom w:val="single" w:sz="4" w:space="0" w:color="5AAA64" w:themeColor="accent5"/>
        <w:right w:val="single" w:sz="4" w:space="0" w:color="5AAA64" w:themeColor="accent5"/>
        <w:insideH w:val="single" w:sz="4" w:space="0" w:color="FFFFFF" w:themeColor="background1"/>
        <w:insideV w:val="single" w:sz="4" w:space="0" w:color="FFFFFF" w:themeColor="background1"/>
      </w:tblBorders>
    </w:tblPr>
    <w:tcPr>
      <w:shd w:val="clear" w:color="auto" w:fill="EEF6EF" w:themeFill="accent5" w:themeFillTint="19"/>
    </w:tcPr>
    <w:tblStylePr w:type="firstRow">
      <w:rPr>
        <w:b/>
        <w:bCs/>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63B" w:themeFill="accent5" w:themeFillShade="99"/>
      </w:tcPr>
    </w:tblStylePr>
    <w:tblStylePr w:type="firstCol">
      <w:rPr>
        <w:color w:val="FFFFFF" w:themeColor="background1"/>
      </w:rPr>
      <w:tblPr/>
      <w:tcPr>
        <w:tcBorders>
          <w:top w:val="nil"/>
          <w:left w:val="nil"/>
          <w:bottom w:val="nil"/>
          <w:right w:val="nil"/>
          <w:insideH w:val="single" w:sz="4" w:space="0" w:color="35663B" w:themeColor="accent5" w:themeShade="99"/>
          <w:insideV w:val="nil"/>
        </w:tcBorders>
        <w:shd w:val="clear" w:color="auto" w:fill="3566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5663B" w:themeFill="accent5" w:themeFillShade="99"/>
      </w:tcPr>
    </w:tblStylePr>
    <w:tblStylePr w:type="band1Vert">
      <w:tblPr/>
      <w:tcPr>
        <w:shd w:val="clear" w:color="auto" w:fill="BDDDC0" w:themeFill="accent5" w:themeFillTint="66"/>
      </w:tcPr>
    </w:tblStylePr>
    <w:tblStylePr w:type="band1Horz">
      <w:tblPr/>
      <w:tcPr>
        <w:shd w:val="clear" w:color="auto" w:fill="ACD4B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5AAA64" w:themeColor="accent5"/>
        <w:left w:val="single" w:sz="4" w:space="0" w:color="E6643C" w:themeColor="accent6"/>
        <w:bottom w:val="single" w:sz="4" w:space="0" w:color="E6643C" w:themeColor="accent6"/>
        <w:right w:val="single" w:sz="4" w:space="0" w:color="E6643C" w:themeColor="accent6"/>
        <w:insideH w:val="single" w:sz="4" w:space="0" w:color="FFFFFF" w:themeColor="background1"/>
        <w:insideV w:val="single" w:sz="4" w:space="0" w:color="FFFFFF" w:themeColor="background1"/>
      </w:tblBorders>
    </w:tblPr>
    <w:tcPr>
      <w:shd w:val="clear" w:color="auto" w:fill="FCEFEB" w:themeFill="accent6" w:themeFillTint="19"/>
    </w:tcPr>
    <w:tblStylePr w:type="firstRow">
      <w:rPr>
        <w:b/>
        <w:bCs/>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A3313" w:themeFill="accent6" w:themeFillShade="99"/>
      </w:tcPr>
    </w:tblStylePr>
    <w:tblStylePr w:type="firstCol">
      <w:rPr>
        <w:color w:val="FFFFFF" w:themeColor="background1"/>
      </w:rPr>
      <w:tblPr/>
      <w:tcPr>
        <w:tcBorders>
          <w:top w:val="nil"/>
          <w:left w:val="nil"/>
          <w:bottom w:val="nil"/>
          <w:right w:val="nil"/>
          <w:insideH w:val="single" w:sz="4" w:space="0" w:color="9A3313" w:themeColor="accent6" w:themeShade="99"/>
          <w:insideV w:val="nil"/>
        </w:tcBorders>
        <w:shd w:val="clear" w:color="auto" w:fill="9A331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A3313" w:themeFill="accent6" w:themeFillShade="99"/>
      </w:tcPr>
    </w:tblStylePr>
    <w:tblStylePr w:type="band1Vert">
      <w:tblPr/>
      <w:tcPr>
        <w:shd w:val="clear" w:color="auto" w:fill="F5C1B1" w:themeFill="accent6" w:themeFillTint="66"/>
      </w:tcPr>
    </w:tblStylePr>
    <w:tblStylePr w:type="band1Horz">
      <w:tblPr/>
      <w:tcPr>
        <w:shd w:val="clear" w:color="auto" w:fill="F2B19D"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1B242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1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1A1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1A1F" w:themeFill="accent1" w:themeFillShade="BF"/>
      </w:tcPr>
    </w:tblStylePr>
    <w:tblStylePr w:type="band1Vert">
      <w:tblPr/>
      <w:tcPr>
        <w:tcBorders>
          <w:top w:val="nil"/>
          <w:left w:val="nil"/>
          <w:bottom w:val="nil"/>
          <w:right w:val="nil"/>
          <w:insideH w:val="nil"/>
          <w:insideV w:val="nil"/>
        </w:tcBorders>
        <w:shd w:val="clear" w:color="auto" w:fill="141A1F" w:themeFill="accent1" w:themeFillShade="BF"/>
      </w:tcPr>
    </w:tblStylePr>
    <w:tblStylePr w:type="band1Horz">
      <w:tblPr/>
      <w:tcPr>
        <w:tcBorders>
          <w:top w:val="nil"/>
          <w:left w:val="nil"/>
          <w:bottom w:val="nil"/>
          <w:right w:val="nil"/>
          <w:insideH w:val="nil"/>
          <w:insideV w:val="nil"/>
        </w:tcBorders>
        <w:shd w:val="clear" w:color="auto" w:fill="141A1F"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758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A4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7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764" w:themeFill="accent2" w:themeFillShade="BF"/>
      </w:tcPr>
    </w:tblStylePr>
    <w:tblStylePr w:type="band1Vert">
      <w:tblPr/>
      <w:tcPr>
        <w:tcBorders>
          <w:top w:val="nil"/>
          <w:left w:val="nil"/>
          <w:bottom w:val="nil"/>
          <w:right w:val="nil"/>
          <w:insideH w:val="nil"/>
          <w:insideV w:val="nil"/>
        </w:tcBorders>
        <w:shd w:val="clear" w:color="auto" w:fill="005764" w:themeFill="accent2" w:themeFillShade="BF"/>
      </w:tcPr>
    </w:tblStylePr>
    <w:tblStylePr w:type="band1Horz">
      <w:tblPr/>
      <w:tcPr>
        <w:tcBorders>
          <w:top w:val="nil"/>
          <w:left w:val="nil"/>
          <w:bottom w:val="nil"/>
          <w:right w:val="nil"/>
          <w:insideH w:val="nil"/>
          <w:insideV w:val="nil"/>
        </w:tcBorders>
        <w:shd w:val="clear" w:color="auto" w:fill="00576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B9E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649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A97D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A97D9" w:themeFill="accent3" w:themeFillShade="BF"/>
      </w:tcPr>
    </w:tblStylePr>
    <w:tblStylePr w:type="band1Vert">
      <w:tblPr/>
      <w:tcPr>
        <w:tcBorders>
          <w:top w:val="nil"/>
          <w:left w:val="nil"/>
          <w:bottom w:val="nil"/>
          <w:right w:val="nil"/>
          <w:insideH w:val="nil"/>
          <w:insideV w:val="nil"/>
        </w:tcBorders>
        <w:shd w:val="clear" w:color="auto" w:fill="1A97D9" w:themeFill="accent3" w:themeFillShade="BF"/>
      </w:tcPr>
    </w:tblStylePr>
    <w:tblStylePr w:type="band1Horz">
      <w:tblPr/>
      <w:tcPr>
        <w:tcBorders>
          <w:top w:val="nil"/>
          <w:left w:val="nil"/>
          <w:bottom w:val="nil"/>
          <w:right w:val="nil"/>
          <w:insideH w:val="nil"/>
          <w:insideV w:val="nil"/>
        </w:tcBorders>
        <w:shd w:val="clear" w:color="auto" w:fill="1A97D9"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4C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54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87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871" w:themeFill="accent4" w:themeFillShade="BF"/>
      </w:tcPr>
    </w:tblStylePr>
    <w:tblStylePr w:type="band1Vert">
      <w:tblPr/>
      <w:tcPr>
        <w:tcBorders>
          <w:top w:val="nil"/>
          <w:left w:val="nil"/>
          <w:bottom w:val="nil"/>
          <w:right w:val="nil"/>
          <w:insideH w:val="nil"/>
          <w:insideV w:val="nil"/>
        </w:tcBorders>
        <w:shd w:val="clear" w:color="auto" w:fill="003871" w:themeFill="accent4" w:themeFillShade="BF"/>
      </w:tcPr>
    </w:tblStylePr>
    <w:tblStylePr w:type="band1Horz">
      <w:tblPr/>
      <w:tcPr>
        <w:tcBorders>
          <w:top w:val="nil"/>
          <w:left w:val="nil"/>
          <w:bottom w:val="nil"/>
          <w:right w:val="nil"/>
          <w:insideH w:val="nil"/>
          <w:insideV w:val="nil"/>
        </w:tcBorders>
        <w:shd w:val="clear" w:color="auto" w:fill="003871"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5AAA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5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2804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28049" w:themeFill="accent5" w:themeFillShade="BF"/>
      </w:tcPr>
    </w:tblStylePr>
    <w:tblStylePr w:type="band1Vert">
      <w:tblPr/>
      <w:tcPr>
        <w:tcBorders>
          <w:top w:val="nil"/>
          <w:left w:val="nil"/>
          <w:bottom w:val="nil"/>
          <w:right w:val="nil"/>
          <w:insideH w:val="nil"/>
          <w:insideV w:val="nil"/>
        </w:tcBorders>
        <w:shd w:val="clear" w:color="auto" w:fill="428049" w:themeFill="accent5" w:themeFillShade="BF"/>
      </w:tcPr>
    </w:tblStylePr>
    <w:tblStylePr w:type="band1Horz">
      <w:tblPr/>
      <w:tcPr>
        <w:tcBorders>
          <w:top w:val="nil"/>
          <w:left w:val="nil"/>
          <w:bottom w:val="nil"/>
          <w:right w:val="nil"/>
          <w:insideH w:val="nil"/>
          <w:insideV w:val="nil"/>
        </w:tcBorders>
        <w:shd w:val="clear" w:color="auto" w:fill="428049"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E6643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2A1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0401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04018" w:themeFill="accent6" w:themeFillShade="BF"/>
      </w:tcPr>
    </w:tblStylePr>
    <w:tblStylePr w:type="band1Vert">
      <w:tblPr/>
      <w:tcPr>
        <w:tcBorders>
          <w:top w:val="nil"/>
          <w:left w:val="nil"/>
          <w:bottom w:val="nil"/>
          <w:right w:val="nil"/>
          <w:insideH w:val="nil"/>
          <w:insideV w:val="nil"/>
        </w:tcBorders>
        <w:shd w:val="clear" w:color="auto" w:fill="C04018" w:themeFill="accent6" w:themeFillShade="BF"/>
      </w:tcPr>
    </w:tblStylePr>
    <w:tblStylePr w:type="band1Horz">
      <w:tblPr/>
      <w:tcPr>
        <w:tcBorders>
          <w:top w:val="nil"/>
          <w:left w:val="nil"/>
          <w:bottom w:val="nil"/>
          <w:right w:val="nil"/>
          <w:insideH w:val="nil"/>
          <w:insideV w:val="nil"/>
        </w:tcBorders>
        <w:shd w:val="clear" w:color="auto" w:fill="C04018"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93AABA" w:themeColor="accent1" w:themeTint="66"/>
        <w:left w:val="single" w:sz="4" w:space="0" w:color="93AABA" w:themeColor="accent1" w:themeTint="66"/>
        <w:bottom w:val="single" w:sz="4" w:space="0" w:color="93AABA" w:themeColor="accent1" w:themeTint="66"/>
        <w:right w:val="single" w:sz="4" w:space="0" w:color="93AABA" w:themeColor="accent1" w:themeTint="66"/>
        <w:insideH w:val="single" w:sz="4" w:space="0" w:color="93AABA" w:themeColor="accent1" w:themeTint="66"/>
        <w:insideV w:val="single" w:sz="4" w:space="0" w:color="93AABA" w:themeColor="accent1" w:themeTint="66"/>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2" w:space="0" w:color="607F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68EBFF" w:themeColor="accent2" w:themeTint="66"/>
        <w:left w:val="single" w:sz="4" w:space="0" w:color="68EBFF" w:themeColor="accent2" w:themeTint="66"/>
        <w:bottom w:val="single" w:sz="4" w:space="0" w:color="68EBFF" w:themeColor="accent2" w:themeTint="66"/>
        <w:right w:val="single" w:sz="4" w:space="0" w:color="68EBFF" w:themeColor="accent2" w:themeTint="66"/>
        <w:insideH w:val="single" w:sz="4" w:space="0" w:color="68EBFF" w:themeColor="accent2" w:themeTint="66"/>
        <w:insideV w:val="single" w:sz="4" w:space="0" w:color="68EBFF" w:themeColor="accent2" w:themeTint="66"/>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2" w:space="0" w:color="1DE1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BDE2F7" w:themeColor="accent3" w:themeTint="66"/>
        <w:left w:val="single" w:sz="4" w:space="0" w:color="BDE2F7" w:themeColor="accent3" w:themeTint="66"/>
        <w:bottom w:val="single" w:sz="4" w:space="0" w:color="BDE2F7" w:themeColor="accent3" w:themeTint="66"/>
        <w:right w:val="single" w:sz="4" w:space="0" w:color="BDE2F7" w:themeColor="accent3" w:themeTint="66"/>
        <w:insideH w:val="single" w:sz="4" w:space="0" w:color="BDE2F7" w:themeColor="accent3" w:themeTint="66"/>
        <w:insideV w:val="single" w:sz="4" w:space="0" w:color="BDE2F7" w:themeColor="accent3" w:themeTint="66"/>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2" w:space="0" w:color="9CD4F3"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6FB7FF" w:themeColor="accent4" w:themeTint="66"/>
        <w:left w:val="single" w:sz="4" w:space="0" w:color="6FB7FF" w:themeColor="accent4" w:themeTint="66"/>
        <w:bottom w:val="single" w:sz="4" w:space="0" w:color="6FB7FF" w:themeColor="accent4" w:themeTint="66"/>
        <w:right w:val="single" w:sz="4" w:space="0" w:color="6FB7FF" w:themeColor="accent4" w:themeTint="66"/>
        <w:insideH w:val="single" w:sz="4" w:space="0" w:color="6FB7FF" w:themeColor="accent4" w:themeTint="66"/>
        <w:insideV w:val="single" w:sz="4" w:space="0" w:color="6FB7FF" w:themeColor="accent4" w:themeTint="66"/>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2" w:space="0" w:color="2793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BDDDC0" w:themeColor="accent5" w:themeTint="66"/>
        <w:left w:val="single" w:sz="4" w:space="0" w:color="BDDDC0" w:themeColor="accent5" w:themeTint="66"/>
        <w:bottom w:val="single" w:sz="4" w:space="0" w:color="BDDDC0" w:themeColor="accent5" w:themeTint="66"/>
        <w:right w:val="single" w:sz="4" w:space="0" w:color="BDDDC0" w:themeColor="accent5" w:themeTint="66"/>
        <w:insideH w:val="single" w:sz="4" w:space="0" w:color="BDDDC0" w:themeColor="accent5" w:themeTint="66"/>
        <w:insideV w:val="single" w:sz="4" w:space="0" w:color="BDDDC0" w:themeColor="accent5" w:themeTint="66"/>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2" w:space="0" w:color="9CCCA1"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F5C1B1" w:themeColor="accent6" w:themeTint="66"/>
        <w:left w:val="single" w:sz="4" w:space="0" w:color="F5C1B1" w:themeColor="accent6" w:themeTint="66"/>
        <w:bottom w:val="single" w:sz="4" w:space="0" w:color="F5C1B1" w:themeColor="accent6" w:themeTint="66"/>
        <w:right w:val="single" w:sz="4" w:space="0" w:color="F5C1B1" w:themeColor="accent6" w:themeTint="66"/>
        <w:insideH w:val="single" w:sz="4" w:space="0" w:color="F5C1B1" w:themeColor="accent6" w:themeTint="66"/>
        <w:insideV w:val="single" w:sz="4" w:space="0" w:color="F5C1B1" w:themeColor="accent6" w:themeTint="66"/>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2" w:space="0" w:color="F0A28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607F95" w:themeColor="accent1" w:themeTint="99"/>
        <w:bottom w:val="single" w:sz="2" w:space="0" w:color="607F95" w:themeColor="accent1" w:themeTint="99"/>
        <w:insideH w:val="single" w:sz="2" w:space="0" w:color="607F95" w:themeColor="accent1" w:themeTint="99"/>
        <w:insideV w:val="single" w:sz="2" w:space="0" w:color="607F95" w:themeColor="accent1" w:themeTint="99"/>
      </w:tblBorders>
    </w:tblPr>
    <w:tblStylePr w:type="firstRow">
      <w:rPr>
        <w:b/>
        <w:bCs/>
      </w:rPr>
      <w:tblPr/>
      <w:tcPr>
        <w:tcBorders>
          <w:top w:val="nil"/>
          <w:bottom w:val="single" w:sz="12" w:space="0" w:color="607F95" w:themeColor="accent1" w:themeTint="99"/>
          <w:insideH w:val="nil"/>
          <w:insideV w:val="nil"/>
        </w:tcBorders>
        <w:shd w:val="clear" w:color="auto" w:fill="FFFFFF" w:themeFill="background1"/>
      </w:tcPr>
    </w:tblStylePr>
    <w:tblStylePr w:type="lastRow">
      <w:rPr>
        <w:b/>
        <w:bCs/>
      </w:rPr>
      <w:tblPr/>
      <w:tcPr>
        <w:tcBorders>
          <w:top w:val="double" w:sz="2" w:space="0" w:color="607F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1DE1FF" w:themeColor="accent2" w:themeTint="99"/>
        <w:bottom w:val="single" w:sz="2" w:space="0" w:color="1DE1FF" w:themeColor="accent2" w:themeTint="99"/>
        <w:insideH w:val="single" w:sz="2" w:space="0" w:color="1DE1FF" w:themeColor="accent2" w:themeTint="99"/>
        <w:insideV w:val="single" w:sz="2" w:space="0" w:color="1DE1FF" w:themeColor="accent2" w:themeTint="99"/>
      </w:tblBorders>
    </w:tblPr>
    <w:tblStylePr w:type="firstRow">
      <w:rPr>
        <w:b/>
        <w:bCs/>
      </w:rPr>
      <w:tblPr/>
      <w:tcPr>
        <w:tcBorders>
          <w:top w:val="nil"/>
          <w:bottom w:val="single" w:sz="12" w:space="0" w:color="1DE1FF" w:themeColor="accent2" w:themeTint="99"/>
          <w:insideH w:val="nil"/>
          <w:insideV w:val="nil"/>
        </w:tcBorders>
        <w:shd w:val="clear" w:color="auto" w:fill="FFFFFF" w:themeFill="background1"/>
      </w:tcPr>
    </w:tblStylePr>
    <w:tblStylePr w:type="lastRow">
      <w:rPr>
        <w:b/>
        <w:bCs/>
      </w:rPr>
      <w:tblPr/>
      <w:tcPr>
        <w:tcBorders>
          <w:top w:val="double" w:sz="2" w:space="0" w:color="1DE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9CD4F3" w:themeColor="accent3" w:themeTint="99"/>
        <w:bottom w:val="single" w:sz="2" w:space="0" w:color="9CD4F3" w:themeColor="accent3" w:themeTint="99"/>
        <w:insideH w:val="single" w:sz="2" w:space="0" w:color="9CD4F3" w:themeColor="accent3" w:themeTint="99"/>
        <w:insideV w:val="single" w:sz="2" w:space="0" w:color="9CD4F3" w:themeColor="accent3" w:themeTint="99"/>
      </w:tblBorders>
    </w:tblPr>
    <w:tblStylePr w:type="firstRow">
      <w:rPr>
        <w:b/>
        <w:bCs/>
      </w:rPr>
      <w:tblPr/>
      <w:tcPr>
        <w:tcBorders>
          <w:top w:val="nil"/>
          <w:bottom w:val="single" w:sz="12" w:space="0" w:color="9CD4F3" w:themeColor="accent3" w:themeTint="99"/>
          <w:insideH w:val="nil"/>
          <w:insideV w:val="nil"/>
        </w:tcBorders>
        <w:shd w:val="clear" w:color="auto" w:fill="FFFFFF" w:themeFill="background1"/>
      </w:tcPr>
    </w:tblStylePr>
    <w:tblStylePr w:type="lastRow">
      <w:rPr>
        <w:b/>
        <w:bCs/>
      </w:rPr>
      <w:tblPr/>
      <w:tcPr>
        <w:tcBorders>
          <w:top w:val="double" w:sz="2" w:space="0" w:color="9CD4F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2793FF" w:themeColor="accent4" w:themeTint="99"/>
        <w:bottom w:val="single" w:sz="2" w:space="0" w:color="2793FF" w:themeColor="accent4" w:themeTint="99"/>
        <w:insideH w:val="single" w:sz="2" w:space="0" w:color="2793FF" w:themeColor="accent4" w:themeTint="99"/>
        <w:insideV w:val="single" w:sz="2" w:space="0" w:color="2793FF" w:themeColor="accent4" w:themeTint="99"/>
      </w:tblBorders>
    </w:tblPr>
    <w:tblStylePr w:type="firstRow">
      <w:rPr>
        <w:b/>
        <w:bCs/>
      </w:rPr>
      <w:tblPr/>
      <w:tcPr>
        <w:tcBorders>
          <w:top w:val="nil"/>
          <w:bottom w:val="single" w:sz="12" w:space="0" w:color="2793FF" w:themeColor="accent4" w:themeTint="99"/>
          <w:insideH w:val="nil"/>
          <w:insideV w:val="nil"/>
        </w:tcBorders>
        <w:shd w:val="clear" w:color="auto" w:fill="FFFFFF" w:themeFill="background1"/>
      </w:tcPr>
    </w:tblStylePr>
    <w:tblStylePr w:type="lastRow">
      <w:rPr>
        <w:b/>
        <w:bCs/>
      </w:rPr>
      <w:tblPr/>
      <w:tcPr>
        <w:tcBorders>
          <w:top w:val="double" w:sz="2" w:space="0" w:color="2793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9CCCA1" w:themeColor="accent5" w:themeTint="99"/>
        <w:bottom w:val="single" w:sz="2" w:space="0" w:color="9CCCA1" w:themeColor="accent5" w:themeTint="99"/>
        <w:insideH w:val="single" w:sz="2" w:space="0" w:color="9CCCA1" w:themeColor="accent5" w:themeTint="99"/>
        <w:insideV w:val="single" w:sz="2" w:space="0" w:color="9CCCA1" w:themeColor="accent5" w:themeTint="99"/>
      </w:tblBorders>
    </w:tblPr>
    <w:tblStylePr w:type="firstRow">
      <w:rPr>
        <w:b/>
        <w:bCs/>
      </w:rPr>
      <w:tblPr/>
      <w:tcPr>
        <w:tcBorders>
          <w:top w:val="nil"/>
          <w:bottom w:val="single" w:sz="12" w:space="0" w:color="9CCCA1" w:themeColor="accent5" w:themeTint="99"/>
          <w:insideH w:val="nil"/>
          <w:insideV w:val="nil"/>
        </w:tcBorders>
        <w:shd w:val="clear" w:color="auto" w:fill="FFFFFF" w:themeFill="background1"/>
      </w:tcPr>
    </w:tblStylePr>
    <w:tblStylePr w:type="lastRow">
      <w:rPr>
        <w:b/>
        <w:bCs/>
      </w:rPr>
      <w:tblPr/>
      <w:tcPr>
        <w:tcBorders>
          <w:top w:val="double" w:sz="2" w:space="0" w:color="9CCCA1"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F0A28A" w:themeColor="accent6" w:themeTint="99"/>
        <w:bottom w:val="single" w:sz="2" w:space="0" w:color="F0A28A" w:themeColor="accent6" w:themeTint="99"/>
        <w:insideH w:val="single" w:sz="2" w:space="0" w:color="F0A28A" w:themeColor="accent6" w:themeTint="99"/>
        <w:insideV w:val="single" w:sz="2" w:space="0" w:color="F0A28A" w:themeColor="accent6" w:themeTint="99"/>
      </w:tblBorders>
    </w:tblPr>
    <w:tblStylePr w:type="firstRow">
      <w:rPr>
        <w:b/>
        <w:bCs/>
      </w:rPr>
      <w:tblPr/>
      <w:tcPr>
        <w:tcBorders>
          <w:top w:val="nil"/>
          <w:bottom w:val="single" w:sz="12" w:space="0" w:color="F0A28A" w:themeColor="accent6" w:themeTint="99"/>
          <w:insideH w:val="nil"/>
          <w:insideV w:val="nil"/>
        </w:tcBorders>
        <w:shd w:val="clear" w:color="auto" w:fill="FFFFFF" w:themeFill="background1"/>
      </w:tcPr>
    </w:tblStylePr>
    <w:tblStylePr w:type="lastRow">
      <w:rPr>
        <w:b/>
        <w:bCs/>
      </w:rPr>
      <w:tblPr/>
      <w:tcPr>
        <w:tcBorders>
          <w:top w:val="double" w:sz="2" w:space="0" w:color="F0A28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insideV w:val="nil"/>
        </w:tcBorders>
        <w:shd w:val="clear" w:color="auto" w:fill="1B242A" w:themeFill="accent1"/>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insideV w:val="nil"/>
        </w:tcBorders>
        <w:shd w:val="clear" w:color="auto" w:fill="007586" w:themeFill="accent2"/>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insideV w:val="nil"/>
        </w:tcBorders>
        <w:shd w:val="clear" w:color="auto" w:fill="5AB9EB" w:themeFill="accent3"/>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insideV w:val="nil"/>
        </w:tcBorders>
        <w:shd w:val="clear" w:color="auto" w:fill="004C97" w:themeFill="accent4"/>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insideV w:val="nil"/>
        </w:tcBorders>
        <w:shd w:val="clear" w:color="auto" w:fill="5AAA64" w:themeFill="accent5"/>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insideV w:val="nil"/>
        </w:tcBorders>
        <w:shd w:val="clear" w:color="auto" w:fill="E6643C" w:themeFill="accent6"/>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D4D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42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42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42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42A" w:themeFill="accent1"/>
      </w:tcPr>
    </w:tblStylePr>
    <w:tblStylePr w:type="band1Vert">
      <w:tblPr/>
      <w:tcPr>
        <w:shd w:val="clear" w:color="auto" w:fill="93AABA" w:themeFill="accent1" w:themeFillTint="66"/>
      </w:tcPr>
    </w:tblStylePr>
    <w:tblStylePr w:type="band1Horz">
      <w:tblPr/>
      <w:tcPr>
        <w:shd w:val="clear" w:color="auto" w:fill="93AABA"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5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58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58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58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586" w:themeFill="accent2"/>
      </w:tcPr>
    </w:tblStylePr>
    <w:tblStylePr w:type="band1Vert">
      <w:tblPr/>
      <w:tcPr>
        <w:shd w:val="clear" w:color="auto" w:fill="68EBFF" w:themeFill="accent2" w:themeFillTint="66"/>
      </w:tcPr>
    </w:tblStylePr>
    <w:tblStylePr w:type="band1Horz">
      <w:tblPr/>
      <w:tcPr>
        <w:shd w:val="clear" w:color="auto" w:fill="68EBFF"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B9E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B9E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B9E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B9EB" w:themeFill="accent3"/>
      </w:tcPr>
    </w:tblStylePr>
    <w:tblStylePr w:type="band1Vert">
      <w:tblPr/>
      <w:tcPr>
        <w:shd w:val="clear" w:color="auto" w:fill="BDE2F7" w:themeFill="accent3" w:themeFillTint="66"/>
      </w:tcPr>
    </w:tblStylePr>
    <w:tblStylePr w:type="band1Horz">
      <w:tblPr/>
      <w:tcPr>
        <w:shd w:val="clear" w:color="auto" w:fill="BDE2F7"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7DB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C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C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C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C97" w:themeFill="accent4"/>
      </w:tcPr>
    </w:tblStylePr>
    <w:tblStylePr w:type="band1Vert">
      <w:tblPr/>
      <w:tcPr>
        <w:shd w:val="clear" w:color="auto" w:fill="6FB7FF" w:themeFill="accent4" w:themeFillTint="66"/>
      </w:tcPr>
    </w:tblStylePr>
    <w:tblStylePr w:type="band1Horz">
      <w:tblPr/>
      <w:tcPr>
        <w:shd w:val="clear" w:color="auto" w:fill="6FB7FF"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E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A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A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A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A64" w:themeFill="accent5"/>
      </w:tcPr>
    </w:tblStylePr>
    <w:tblStylePr w:type="band1Vert">
      <w:tblPr/>
      <w:tcPr>
        <w:shd w:val="clear" w:color="auto" w:fill="BDDDC0" w:themeFill="accent5" w:themeFillTint="66"/>
      </w:tcPr>
    </w:tblStylePr>
    <w:tblStylePr w:type="band1Horz">
      <w:tblPr/>
      <w:tcPr>
        <w:shd w:val="clear" w:color="auto" w:fill="BDDDC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0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6643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6643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6643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6643C" w:themeFill="accent6"/>
      </w:tcPr>
    </w:tblStylePr>
    <w:tblStylePr w:type="band1Vert">
      <w:tblPr/>
      <w:tcPr>
        <w:shd w:val="clear" w:color="auto" w:fill="F5C1B1" w:themeFill="accent6" w:themeFillTint="66"/>
      </w:tcPr>
    </w:tblStylePr>
    <w:tblStylePr w:type="band1Horz">
      <w:tblPr/>
      <w:tcPr>
        <w:shd w:val="clear" w:color="auto" w:fill="F5C1B1"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bottom w:val="single" w:sz="12" w:space="0" w:color="607F95" w:themeColor="accent1" w:themeTint="99"/>
        </w:tcBorders>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bottom w:val="single" w:sz="12" w:space="0" w:color="1DE1FF" w:themeColor="accent2" w:themeTint="99"/>
        </w:tcBorders>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bottom w:val="single" w:sz="12" w:space="0" w:color="9CD4F3" w:themeColor="accent3" w:themeTint="99"/>
        </w:tcBorders>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bottom w:val="single" w:sz="12" w:space="0" w:color="2793FF" w:themeColor="accent4" w:themeTint="99"/>
        </w:tcBorders>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bottom w:val="single" w:sz="12" w:space="0" w:color="9CCCA1" w:themeColor="accent5" w:themeTint="99"/>
        </w:tcBorders>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bottom w:val="single" w:sz="12" w:space="0" w:color="F0A28A" w:themeColor="accent6" w:themeTint="99"/>
        </w:tcBorders>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141A1F" w:themeColor="accent1" w:themeShade="BF"/>
    </w:r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insideV w:val="single" w:sz="4" w:space="0" w:color="607F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bottom w:val="single" w:sz="4" w:space="0" w:color="607F95" w:themeColor="accent1" w:themeTint="99"/>
        </w:tcBorders>
      </w:tcPr>
    </w:tblStylePr>
    <w:tblStylePr w:type="nwCell">
      <w:tblPr/>
      <w:tcPr>
        <w:tcBorders>
          <w:bottom w:val="single" w:sz="4" w:space="0" w:color="607F95" w:themeColor="accent1" w:themeTint="99"/>
        </w:tcBorders>
      </w:tcPr>
    </w:tblStylePr>
    <w:tblStylePr w:type="seCell">
      <w:tblPr/>
      <w:tcPr>
        <w:tcBorders>
          <w:top w:val="single" w:sz="4" w:space="0" w:color="607F95" w:themeColor="accent1" w:themeTint="99"/>
        </w:tcBorders>
      </w:tcPr>
    </w:tblStylePr>
    <w:tblStylePr w:type="swCell">
      <w:tblPr/>
      <w:tcPr>
        <w:tcBorders>
          <w:top w:val="single" w:sz="4" w:space="0" w:color="607F95"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005764" w:themeColor="accent2" w:themeShade="BF"/>
    </w:r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insideV w:val="single" w:sz="4" w:space="0" w:color="1DE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bottom w:val="single" w:sz="4" w:space="0" w:color="1DE1FF" w:themeColor="accent2" w:themeTint="99"/>
        </w:tcBorders>
      </w:tcPr>
    </w:tblStylePr>
    <w:tblStylePr w:type="nwCell">
      <w:tblPr/>
      <w:tcPr>
        <w:tcBorders>
          <w:bottom w:val="single" w:sz="4" w:space="0" w:color="1DE1FF" w:themeColor="accent2" w:themeTint="99"/>
        </w:tcBorders>
      </w:tcPr>
    </w:tblStylePr>
    <w:tblStylePr w:type="seCell">
      <w:tblPr/>
      <w:tcPr>
        <w:tcBorders>
          <w:top w:val="single" w:sz="4" w:space="0" w:color="1DE1FF" w:themeColor="accent2" w:themeTint="99"/>
        </w:tcBorders>
      </w:tcPr>
    </w:tblStylePr>
    <w:tblStylePr w:type="swCell">
      <w:tblPr/>
      <w:tcPr>
        <w:tcBorders>
          <w:top w:val="single" w:sz="4" w:space="0" w:color="1DE1FF"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1A97D9" w:themeColor="accent3" w:themeShade="BF"/>
    </w:r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insideV w:val="single" w:sz="4" w:space="0" w:color="9CD4F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bottom w:val="single" w:sz="4" w:space="0" w:color="9CD4F3" w:themeColor="accent3" w:themeTint="99"/>
        </w:tcBorders>
      </w:tcPr>
    </w:tblStylePr>
    <w:tblStylePr w:type="nwCell">
      <w:tblPr/>
      <w:tcPr>
        <w:tcBorders>
          <w:bottom w:val="single" w:sz="4" w:space="0" w:color="9CD4F3" w:themeColor="accent3" w:themeTint="99"/>
        </w:tcBorders>
      </w:tcPr>
    </w:tblStylePr>
    <w:tblStylePr w:type="seCell">
      <w:tblPr/>
      <w:tcPr>
        <w:tcBorders>
          <w:top w:val="single" w:sz="4" w:space="0" w:color="9CD4F3" w:themeColor="accent3" w:themeTint="99"/>
        </w:tcBorders>
      </w:tcPr>
    </w:tblStylePr>
    <w:tblStylePr w:type="swCell">
      <w:tblPr/>
      <w:tcPr>
        <w:tcBorders>
          <w:top w:val="single" w:sz="4" w:space="0" w:color="9CD4F3"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003871" w:themeColor="accent4" w:themeShade="BF"/>
    </w:r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insideV w:val="single" w:sz="4" w:space="0" w:color="2793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bottom w:val="single" w:sz="4" w:space="0" w:color="2793FF" w:themeColor="accent4" w:themeTint="99"/>
        </w:tcBorders>
      </w:tcPr>
    </w:tblStylePr>
    <w:tblStylePr w:type="nwCell">
      <w:tblPr/>
      <w:tcPr>
        <w:tcBorders>
          <w:bottom w:val="single" w:sz="4" w:space="0" w:color="2793FF" w:themeColor="accent4" w:themeTint="99"/>
        </w:tcBorders>
      </w:tcPr>
    </w:tblStylePr>
    <w:tblStylePr w:type="seCell">
      <w:tblPr/>
      <w:tcPr>
        <w:tcBorders>
          <w:top w:val="single" w:sz="4" w:space="0" w:color="2793FF" w:themeColor="accent4" w:themeTint="99"/>
        </w:tcBorders>
      </w:tcPr>
    </w:tblStylePr>
    <w:tblStylePr w:type="swCell">
      <w:tblPr/>
      <w:tcPr>
        <w:tcBorders>
          <w:top w:val="single" w:sz="4" w:space="0" w:color="2793FF"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428049" w:themeColor="accent5" w:themeShade="BF"/>
    </w:r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insideV w:val="single" w:sz="4" w:space="0" w:color="9CCCA1"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bottom w:val="single" w:sz="4" w:space="0" w:color="9CCCA1" w:themeColor="accent5" w:themeTint="99"/>
        </w:tcBorders>
      </w:tcPr>
    </w:tblStylePr>
    <w:tblStylePr w:type="nwCell">
      <w:tblPr/>
      <w:tcPr>
        <w:tcBorders>
          <w:bottom w:val="single" w:sz="4" w:space="0" w:color="9CCCA1" w:themeColor="accent5" w:themeTint="99"/>
        </w:tcBorders>
      </w:tcPr>
    </w:tblStylePr>
    <w:tblStylePr w:type="seCell">
      <w:tblPr/>
      <w:tcPr>
        <w:tcBorders>
          <w:top w:val="single" w:sz="4" w:space="0" w:color="9CCCA1" w:themeColor="accent5" w:themeTint="99"/>
        </w:tcBorders>
      </w:tcPr>
    </w:tblStylePr>
    <w:tblStylePr w:type="swCell">
      <w:tblPr/>
      <w:tcPr>
        <w:tcBorders>
          <w:top w:val="single" w:sz="4" w:space="0" w:color="9CCCA1"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C04018" w:themeColor="accent6" w:themeShade="BF"/>
    </w:r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insideV w:val="single" w:sz="4" w:space="0" w:color="F0A28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bottom w:val="single" w:sz="4" w:space="0" w:color="F0A28A" w:themeColor="accent6" w:themeTint="99"/>
        </w:tcBorders>
      </w:tcPr>
    </w:tblStylePr>
    <w:tblStylePr w:type="nwCell">
      <w:tblPr/>
      <w:tcPr>
        <w:tcBorders>
          <w:bottom w:val="single" w:sz="4" w:space="0" w:color="F0A28A" w:themeColor="accent6" w:themeTint="99"/>
        </w:tcBorders>
      </w:tcPr>
    </w:tblStylePr>
    <w:tblStylePr w:type="seCell">
      <w:tblPr/>
      <w:tcPr>
        <w:tcBorders>
          <w:top w:val="single" w:sz="4" w:space="0" w:color="F0A28A" w:themeColor="accent6" w:themeTint="99"/>
        </w:tcBorders>
      </w:tcPr>
    </w:tblStylePr>
    <w:tblStylePr w:type="swCell">
      <w:tblPr/>
      <w:tcPr>
        <w:tcBorders>
          <w:top w:val="single" w:sz="4" w:space="0" w:color="F0A28A"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18" w:space="0" w:color="1B242A" w:themeColor="accent1"/>
          <w:right w:val="single" w:sz="8" w:space="0" w:color="1B242A" w:themeColor="accent1"/>
          <w:insideH w:val="nil"/>
          <w:insideV w:val="single" w:sz="8" w:space="0" w:color="1B242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242A" w:themeColor="accent1"/>
          <w:left w:val="single" w:sz="8" w:space="0" w:color="1B242A" w:themeColor="accent1"/>
          <w:bottom w:val="single" w:sz="8" w:space="0" w:color="1B242A" w:themeColor="accent1"/>
          <w:right w:val="single" w:sz="8" w:space="0" w:color="1B242A" w:themeColor="accent1"/>
          <w:insideH w:val="nil"/>
          <w:insideV w:val="single" w:sz="8" w:space="0" w:color="1B242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tcPr>
    </w:tblStylePr>
    <w:tblStylePr w:type="band1Vert">
      <w:tblPr/>
      <w:tcPr>
        <w:tcBorders>
          <w:top w:val="single" w:sz="8" w:space="0" w:color="1B242A" w:themeColor="accent1"/>
          <w:left w:val="single" w:sz="8" w:space="0" w:color="1B242A" w:themeColor="accent1"/>
          <w:bottom w:val="single" w:sz="8" w:space="0" w:color="1B242A" w:themeColor="accent1"/>
          <w:right w:val="single" w:sz="8" w:space="0" w:color="1B242A" w:themeColor="accent1"/>
        </w:tcBorders>
        <w:shd w:val="clear" w:color="auto" w:fill="BCCAD4" w:themeFill="accent1" w:themeFillTint="3F"/>
      </w:tcPr>
    </w:tblStylePr>
    <w:tblStylePr w:type="band1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shd w:val="clear" w:color="auto" w:fill="BCCAD4" w:themeFill="accent1" w:themeFillTint="3F"/>
      </w:tcPr>
    </w:tblStylePr>
    <w:tblStylePr w:type="band2Horz">
      <w:tblPr/>
      <w:tcPr>
        <w:tcBorders>
          <w:top w:val="single" w:sz="8" w:space="0" w:color="1B242A" w:themeColor="accent1"/>
          <w:left w:val="single" w:sz="8" w:space="0" w:color="1B242A" w:themeColor="accent1"/>
          <w:bottom w:val="single" w:sz="8" w:space="0" w:color="1B242A" w:themeColor="accent1"/>
          <w:right w:val="single" w:sz="8" w:space="0" w:color="1B242A" w:themeColor="accent1"/>
          <w:insideV w:val="single" w:sz="8" w:space="0" w:color="1B242A"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18" w:space="0" w:color="007586" w:themeColor="accent2"/>
          <w:right w:val="single" w:sz="8" w:space="0" w:color="007586" w:themeColor="accent2"/>
          <w:insideH w:val="nil"/>
          <w:insideV w:val="single" w:sz="8" w:space="0" w:color="00758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insideH w:val="nil"/>
          <w:insideV w:val="single" w:sz="8" w:space="0" w:color="00758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shd w:val="clear" w:color="auto" w:fill="A2F2FF" w:themeFill="accent2" w:themeFillTint="3F"/>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shd w:val="clear" w:color="auto" w:fill="A2F2FF" w:themeFill="accent2" w:themeFillTint="3F"/>
      </w:tcPr>
    </w:tblStylePr>
    <w:tblStylePr w:type="band2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insideV w:val="single" w:sz="8" w:space="0" w:color="007586"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18" w:space="0" w:color="5AB9EB" w:themeColor="accent3"/>
          <w:right w:val="single" w:sz="8" w:space="0" w:color="5AB9EB" w:themeColor="accent3"/>
          <w:insideH w:val="nil"/>
          <w:insideV w:val="single" w:sz="8" w:space="0" w:color="5AB9E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insideH w:val="nil"/>
          <w:insideV w:val="single" w:sz="8" w:space="0" w:color="5AB9E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shd w:val="clear" w:color="auto" w:fill="D5EDFA" w:themeFill="accent3" w:themeFillTint="3F"/>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shd w:val="clear" w:color="auto" w:fill="D5EDFA" w:themeFill="accent3" w:themeFillTint="3F"/>
      </w:tcPr>
    </w:tblStylePr>
    <w:tblStylePr w:type="band2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insideV w:val="single" w:sz="8" w:space="0" w:color="5AB9EB"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18" w:space="0" w:color="004C97" w:themeColor="accent4"/>
          <w:right w:val="single" w:sz="8" w:space="0" w:color="004C97" w:themeColor="accent4"/>
          <w:insideH w:val="nil"/>
          <w:insideV w:val="single" w:sz="8" w:space="0" w:color="004C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C97" w:themeColor="accent4"/>
          <w:left w:val="single" w:sz="8" w:space="0" w:color="004C97" w:themeColor="accent4"/>
          <w:bottom w:val="single" w:sz="8" w:space="0" w:color="004C97" w:themeColor="accent4"/>
          <w:right w:val="single" w:sz="8" w:space="0" w:color="004C97" w:themeColor="accent4"/>
          <w:insideH w:val="nil"/>
          <w:insideV w:val="single" w:sz="8" w:space="0" w:color="004C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tcPr>
    </w:tblStylePr>
    <w:tblStylePr w:type="band1Vert">
      <w:tblPr/>
      <w:tcPr>
        <w:tcBorders>
          <w:top w:val="single" w:sz="8" w:space="0" w:color="004C97" w:themeColor="accent4"/>
          <w:left w:val="single" w:sz="8" w:space="0" w:color="004C97" w:themeColor="accent4"/>
          <w:bottom w:val="single" w:sz="8" w:space="0" w:color="004C97" w:themeColor="accent4"/>
          <w:right w:val="single" w:sz="8" w:space="0" w:color="004C97" w:themeColor="accent4"/>
        </w:tcBorders>
        <w:shd w:val="clear" w:color="auto" w:fill="A6D2FF" w:themeFill="accent4" w:themeFillTint="3F"/>
      </w:tcPr>
    </w:tblStylePr>
    <w:tblStylePr w:type="band1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shd w:val="clear" w:color="auto" w:fill="A6D2FF" w:themeFill="accent4" w:themeFillTint="3F"/>
      </w:tcPr>
    </w:tblStylePr>
    <w:tblStylePr w:type="band2Horz">
      <w:tblPr/>
      <w:tcPr>
        <w:tcBorders>
          <w:top w:val="single" w:sz="8" w:space="0" w:color="004C97" w:themeColor="accent4"/>
          <w:left w:val="single" w:sz="8" w:space="0" w:color="004C97" w:themeColor="accent4"/>
          <w:bottom w:val="single" w:sz="8" w:space="0" w:color="004C97" w:themeColor="accent4"/>
          <w:right w:val="single" w:sz="8" w:space="0" w:color="004C97" w:themeColor="accent4"/>
          <w:insideV w:val="single" w:sz="8" w:space="0" w:color="004C97"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18" w:space="0" w:color="5AAA64" w:themeColor="accent5"/>
          <w:right w:val="single" w:sz="8" w:space="0" w:color="5AAA64" w:themeColor="accent5"/>
          <w:insideH w:val="nil"/>
          <w:insideV w:val="single" w:sz="8" w:space="0" w:color="5AAA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insideH w:val="nil"/>
          <w:insideV w:val="single" w:sz="8" w:space="0" w:color="5AAA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shd w:val="clear" w:color="auto" w:fill="D6EAD8" w:themeFill="accent5" w:themeFillTint="3F"/>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shd w:val="clear" w:color="auto" w:fill="D6EAD8" w:themeFill="accent5" w:themeFillTint="3F"/>
      </w:tcPr>
    </w:tblStylePr>
    <w:tblStylePr w:type="band2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insideV w:val="single" w:sz="8" w:space="0" w:color="5AAA64"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18" w:space="0" w:color="E6643C" w:themeColor="accent6"/>
          <w:right w:val="single" w:sz="8" w:space="0" w:color="E6643C" w:themeColor="accent6"/>
          <w:insideH w:val="nil"/>
          <w:insideV w:val="single" w:sz="8" w:space="0" w:color="E6643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insideH w:val="nil"/>
          <w:insideV w:val="single" w:sz="8" w:space="0" w:color="E6643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shd w:val="clear" w:color="auto" w:fill="F8D8CE" w:themeFill="accent6" w:themeFillTint="3F"/>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shd w:val="clear" w:color="auto" w:fill="F8D8CE" w:themeFill="accent6" w:themeFillTint="3F"/>
      </w:tcPr>
    </w:tblStylePr>
    <w:tblStylePr w:type="band2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insideV w:val="single" w:sz="8" w:space="0" w:color="E6643C"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pPr>
        <w:spacing w:before="0" w:after="0" w:line="240" w:lineRule="auto"/>
      </w:pPr>
      <w:rPr>
        <w:b/>
        <w:bCs/>
        <w:color w:val="FFFFFF" w:themeColor="background1"/>
      </w:rPr>
      <w:tblPr/>
      <w:tcPr>
        <w:shd w:val="clear" w:color="auto" w:fill="007586" w:themeFill="accent2"/>
      </w:tcPr>
    </w:tblStylePr>
    <w:tblStylePr w:type="lastRow">
      <w:pPr>
        <w:spacing w:before="0" w:after="0" w:line="240" w:lineRule="auto"/>
      </w:pPr>
      <w:rPr>
        <w:b/>
        <w:bCs/>
      </w:rPr>
      <w:tblPr/>
      <w:tcPr>
        <w:tcBorders>
          <w:top w:val="double" w:sz="6" w:space="0" w:color="007586" w:themeColor="accent2"/>
          <w:left w:val="single" w:sz="8" w:space="0" w:color="007586" w:themeColor="accent2"/>
          <w:bottom w:val="single" w:sz="8" w:space="0" w:color="007586" w:themeColor="accent2"/>
          <w:right w:val="single" w:sz="8" w:space="0" w:color="007586" w:themeColor="accent2"/>
        </w:tcBorders>
      </w:tcPr>
    </w:tblStylePr>
    <w:tblStylePr w:type="firstCol">
      <w:rPr>
        <w:b/>
        <w:bCs/>
      </w:rPr>
    </w:tblStylePr>
    <w:tblStylePr w:type="lastCol">
      <w:rPr>
        <w:b/>
        <w:bCs/>
      </w:rPr>
    </w:tblStylePr>
    <w:tblStylePr w:type="band1Vert">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tblStylePr w:type="band1Horz">
      <w:tblPr/>
      <w:tcPr>
        <w:tcBorders>
          <w:top w:val="single" w:sz="8" w:space="0" w:color="007586" w:themeColor="accent2"/>
          <w:left w:val="single" w:sz="8" w:space="0" w:color="007586" w:themeColor="accent2"/>
          <w:bottom w:val="single" w:sz="8" w:space="0" w:color="007586" w:themeColor="accent2"/>
          <w:right w:val="single" w:sz="8" w:space="0" w:color="007586"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pPr>
        <w:spacing w:before="0" w:after="0" w:line="240" w:lineRule="auto"/>
      </w:pPr>
      <w:rPr>
        <w:b/>
        <w:bCs/>
        <w:color w:val="FFFFFF" w:themeColor="background1"/>
      </w:rPr>
      <w:tblPr/>
      <w:tcPr>
        <w:shd w:val="clear" w:color="auto" w:fill="5AB9EB" w:themeFill="accent3"/>
      </w:tcPr>
    </w:tblStylePr>
    <w:tblStylePr w:type="lastRow">
      <w:pPr>
        <w:spacing w:before="0" w:after="0" w:line="240" w:lineRule="auto"/>
      </w:pPr>
      <w:rPr>
        <w:b/>
        <w:bCs/>
      </w:rPr>
      <w:tblPr/>
      <w:tcPr>
        <w:tcBorders>
          <w:top w:val="double" w:sz="6" w:space="0" w:color="5AB9EB" w:themeColor="accent3"/>
          <w:left w:val="single" w:sz="8" w:space="0" w:color="5AB9EB" w:themeColor="accent3"/>
          <w:bottom w:val="single" w:sz="8" w:space="0" w:color="5AB9EB" w:themeColor="accent3"/>
          <w:right w:val="single" w:sz="8" w:space="0" w:color="5AB9EB" w:themeColor="accent3"/>
        </w:tcBorders>
      </w:tcPr>
    </w:tblStylePr>
    <w:tblStylePr w:type="firstCol">
      <w:rPr>
        <w:b/>
        <w:bCs/>
      </w:rPr>
    </w:tblStylePr>
    <w:tblStylePr w:type="lastCol">
      <w:rPr>
        <w:b/>
        <w:bCs/>
      </w:rPr>
    </w:tblStylePr>
    <w:tblStylePr w:type="band1Vert">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tblStylePr w:type="band1Horz">
      <w:tblPr/>
      <w:tcPr>
        <w:tcBorders>
          <w:top w:val="single" w:sz="8" w:space="0" w:color="5AB9EB" w:themeColor="accent3"/>
          <w:left w:val="single" w:sz="8" w:space="0" w:color="5AB9EB" w:themeColor="accent3"/>
          <w:bottom w:val="single" w:sz="8" w:space="0" w:color="5AB9EB" w:themeColor="accent3"/>
          <w:right w:val="single" w:sz="8" w:space="0" w:color="5AB9EB"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pPr>
        <w:spacing w:before="0" w:after="0" w:line="240" w:lineRule="auto"/>
      </w:pPr>
      <w:rPr>
        <w:b/>
        <w:bCs/>
        <w:color w:val="FFFFFF" w:themeColor="background1"/>
      </w:rPr>
      <w:tblPr/>
      <w:tcPr>
        <w:shd w:val="clear" w:color="auto" w:fill="5AAA64" w:themeFill="accent5"/>
      </w:tcPr>
    </w:tblStylePr>
    <w:tblStylePr w:type="lastRow">
      <w:pPr>
        <w:spacing w:before="0" w:after="0" w:line="240" w:lineRule="auto"/>
      </w:pPr>
      <w:rPr>
        <w:b/>
        <w:bCs/>
      </w:rPr>
      <w:tblPr/>
      <w:tcPr>
        <w:tcBorders>
          <w:top w:val="double" w:sz="6" w:space="0" w:color="5AAA64" w:themeColor="accent5"/>
          <w:left w:val="single" w:sz="8" w:space="0" w:color="5AAA64" w:themeColor="accent5"/>
          <w:bottom w:val="single" w:sz="8" w:space="0" w:color="5AAA64" w:themeColor="accent5"/>
          <w:right w:val="single" w:sz="8" w:space="0" w:color="5AAA64" w:themeColor="accent5"/>
        </w:tcBorders>
      </w:tcPr>
    </w:tblStylePr>
    <w:tblStylePr w:type="firstCol">
      <w:rPr>
        <w:b/>
        <w:bCs/>
      </w:rPr>
    </w:tblStylePr>
    <w:tblStylePr w:type="lastCol">
      <w:rPr>
        <w:b/>
        <w:bCs/>
      </w:rPr>
    </w:tblStylePr>
    <w:tblStylePr w:type="band1Vert">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tblStylePr w:type="band1Horz">
      <w:tblPr/>
      <w:tcPr>
        <w:tcBorders>
          <w:top w:val="single" w:sz="8" w:space="0" w:color="5AAA64" w:themeColor="accent5"/>
          <w:left w:val="single" w:sz="8" w:space="0" w:color="5AAA64" w:themeColor="accent5"/>
          <w:bottom w:val="single" w:sz="8" w:space="0" w:color="5AAA64" w:themeColor="accent5"/>
          <w:right w:val="single" w:sz="8" w:space="0" w:color="5AAA64"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pPr>
        <w:spacing w:before="0" w:after="0" w:line="240" w:lineRule="auto"/>
      </w:pPr>
      <w:rPr>
        <w:b/>
        <w:bCs/>
        <w:color w:val="FFFFFF" w:themeColor="background1"/>
      </w:rPr>
      <w:tblPr/>
      <w:tcPr>
        <w:shd w:val="clear" w:color="auto" w:fill="E6643C" w:themeFill="accent6"/>
      </w:tcPr>
    </w:tblStylePr>
    <w:tblStylePr w:type="lastRow">
      <w:pPr>
        <w:spacing w:before="0" w:after="0" w:line="240" w:lineRule="auto"/>
      </w:pPr>
      <w:rPr>
        <w:b/>
        <w:bCs/>
      </w:rPr>
      <w:tblPr/>
      <w:tcPr>
        <w:tcBorders>
          <w:top w:val="double" w:sz="6" w:space="0" w:color="E6643C" w:themeColor="accent6"/>
          <w:left w:val="single" w:sz="8" w:space="0" w:color="E6643C" w:themeColor="accent6"/>
          <w:bottom w:val="single" w:sz="8" w:space="0" w:color="E6643C" w:themeColor="accent6"/>
          <w:right w:val="single" w:sz="8" w:space="0" w:color="E6643C" w:themeColor="accent6"/>
        </w:tcBorders>
      </w:tcPr>
    </w:tblStylePr>
    <w:tblStylePr w:type="firstCol">
      <w:rPr>
        <w:b/>
        <w:bCs/>
      </w:rPr>
    </w:tblStylePr>
    <w:tblStylePr w:type="lastCol">
      <w:rPr>
        <w:b/>
        <w:bCs/>
      </w:rPr>
    </w:tblStylePr>
    <w:tblStylePr w:type="band1Vert">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tblStylePr w:type="band1Horz">
      <w:tblPr/>
      <w:tcPr>
        <w:tcBorders>
          <w:top w:val="single" w:sz="8" w:space="0" w:color="E6643C" w:themeColor="accent6"/>
          <w:left w:val="single" w:sz="8" w:space="0" w:color="E6643C" w:themeColor="accent6"/>
          <w:bottom w:val="single" w:sz="8" w:space="0" w:color="E6643C" w:themeColor="accent6"/>
          <w:right w:val="single" w:sz="8" w:space="0" w:color="E6643C"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141A1F" w:themeColor="accent1" w:themeShade="BF"/>
    </w:rPr>
    <w:tblPr>
      <w:tblStyleRowBandSize w:val="1"/>
      <w:tblStyleColBandSize w:val="1"/>
      <w:tblBorders>
        <w:top w:val="single" w:sz="8" w:space="0" w:color="1B242A" w:themeColor="accent1"/>
        <w:bottom w:val="single" w:sz="8" w:space="0" w:color="1B242A" w:themeColor="accent1"/>
      </w:tblBorders>
    </w:tblPr>
    <w:tblStylePr w:type="fir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lastRow">
      <w:pPr>
        <w:spacing w:before="0" w:after="0" w:line="240" w:lineRule="auto"/>
      </w:pPr>
      <w:rPr>
        <w:b/>
        <w:bCs/>
      </w:rPr>
      <w:tblPr/>
      <w:tcPr>
        <w:tcBorders>
          <w:top w:val="single" w:sz="8" w:space="0" w:color="1B242A" w:themeColor="accent1"/>
          <w:left w:val="nil"/>
          <w:bottom w:val="single" w:sz="8" w:space="0" w:color="1B24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left w:val="nil"/>
          <w:right w:val="nil"/>
          <w:insideH w:val="nil"/>
          <w:insideV w:val="nil"/>
        </w:tcBorders>
        <w:shd w:val="clear" w:color="auto" w:fill="BCCAD4"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005764" w:themeColor="accent2" w:themeShade="BF"/>
    </w:rPr>
    <w:tblPr>
      <w:tblStyleRowBandSize w:val="1"/>
      <w:tblStyleColBandSize w:val="1"/>
      <w:tblBorders>
        <w:top w:val="single" w:sz="8" w:space="0" w:color="007586" w:themeColor="accent2"/>
        <w:bottom w:val="single" w:sz="8" w:space="0" w:color="007586" w:themeColor="accent2"/>
      </w:tblBorders>
    </w:tblPr>
    <w:tblStylePr w:type="fir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lastRow">
      <w:pPr>
        <w:spacing w:before="0" w:after="0" w:line="240" w:lineRule="auto"/>
      </w:pPr>
      <w:rPr>
        <w:b/>
        <w:bCs/>
      </w:rPr>
      <w:tblPr/>
      <w:tcPr>
        <w:tcBorders>
          <w:top w:val="single" w:sz="8" w:space="0" w:color="007586" w:themeColor="accent2"/>
          <w:left w:val="nil"/>
          <w:bottom w:val="single" w:sz="8" w:space="0" w:color="00758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left w:val="nil"/>
          <w:right w:val="nil"/>
          <w:insideH w:val="nil"/>
          <w:insideV w:val="nil"/>
        </w:tcBorders>
        <w:shd w:val="clear" w:color="auto" w:fill="A2F2FF"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1A97D9" w:themeColor="accent3" w:themeShade="BF"/>
    </w:rPr>
    <w:tblPr>
      <w:tblStyleRowBandSize w:val="1"/>
      <w:tblStyleColBandSize w:val="1"/>
      <w:tblBorders>
        <w:top w:val="single" w:sz="8" w:space="0" w:color="5AB9EB" w:themeColor="accent3"/>
        <w:bottom w:val="single" w:sz="8" w:space="0" w:color="5AB9EB" w:themeColor="accent3"/>
      </w:tblBorders>
    </w:tblPr>
    <w:tblStylePr w:type="fir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lastRow">
      <w:pPr>
        <w:spacing w:before="0" w:after="0" w:line="240" w:lineRule="auto"/>
      </w:pPr>
      <w:rPr>
        <w:b/>
        <w:bCs/>
      </w:rPr>
      <w:tblPr/>
      <w:tcPr>
        <w:tcBorders>
          <w:top w:val="single" w:sz="8" w:space="0" w:color="5AB9EB" w:themeColor="accent3"/>
          <w:left w:val="nil"/>
          <w:bottom w:val="single" w:sz="8" w:space="0" w:color="5AB9E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left w:val="nil"/>
          <w:right w:val="nil"/>
          <w:insideH w:val="nil"/>
          <w:insideV w:val="nil"/>
        </w:tcBorders>
        <w:shd w:val="clear" w:color="auto" w:fill="D5EDFA"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003871" w:themeColor="accent4" w:themeShade="BF"/>
    </w:rPr>
    <w:tblPr>
      <w:tblStyleRowBandSize w:val="1"/>
      <w:tblStyleColBandSize w:val="1"/>
      <w:tblBorders>
        <w:top w:val="single" w:sz="8" w:space="0" w:color="004C97" w:themeColor="accent4"/>
        <w:bottom w:val="single" w:sz="8" w:space="0" w:color="004C97" w:themeColor="accent4"/>
      </w:tblBorders>
    </w:tblPr>
    <w:tblStylePr w:type="fir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lastRow">
      <w:pPr>
        <w:spacing w:before="0" w:after="0" w:line="240" w:lineRule="auto"/>
      </w:pPr>
      <w:rPr>
        <w:b/>
        <w:bCs/>
      </w:rPr>
      <w:tblPr/>
      <w:tcPr>
        <w:tcBorders>
          <w:top w:val="single" w:sz="8" w:space="0" w:color="004C97" w:themeColor="accent4"/>
          <w:left w:val="nil"/>
          <w:bottom w:val="single" w:sz="8" w:space="0" w:color="004C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left w:val="nil"/>
          <w:right w:val="nil"/>
          <w:insideH w:val="nil"/>
          <w:insideV w:val="nil"/>
        </w:tcBorders>
        <w:shd w:val="clear" w:color="auto" w:fill="A6D2FF"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428049" w:themeColor="accent5" w:themeShade="BF"/>
    </w:rPr>
    <w:tblPr>
      <w:tblStyleRowBandSize w:val="1"/>
      <w:tblStyleColBandSize w:val="1"/>
      <w:tblBorders>
        <w:top w:val="single" w:sz="8" w:space="0" w:color="5AAA64" w:themeColor="accent5"/>
        <w:bottom w:val="single" w:sz="8" w:space="0" w:color="5AAA64" w:themeColor="accent5"/>
      </w:tblBorders>
    </w:tblPr>
    <w:tblStylePr w:type="fir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lastRow">
      <w:pPr>
        <w:spacing w:before="0" w:after="0" w:line="240" w:lineRule="auto"/>
      </w:pPr>
      <w:rPr>
        <w:b/>
        <w:bCs/>
      </w:rPr>
      <w:tblPr/>
      <w:tcPr>
        <w:tcBorders>
          <w:top w:val="single" w:sz="8" w:space="0" w:color="5AAA64" w:themeColor="accent5"/>
          <w:left w:val="nil"/>
          <w:bottom w:val="single" w:sz="8" w:space="0" w:color="5AAA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left w:val="nil"/>
          <w:right w:val="nil"/>
          <w:insideH w:val="nil"/>
          <w:insideV w:val="nil"/>
        </w:tcBorders>
        <w:shd w:val="clear" w:color="auto" w:fill="D6EAD8"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C04018" w:themeColor="accent6" w:themeShade="BF"/>
    </w:rPr>
    <w:tblPr>
      <w:tblStyleRowBandSize w:val="1"/>
      <w:tblStyleColBandSize w:val="1"/>
      <w:tblBorders>
        <w:top w:val="single" w:sz="8" w:space="0" w:color="E6643C" w:themeColor="accent6"/>
        <w:bottom w:val="single" w:sz="8" w:space="0" w:color="E6643C" w:themeColor="accent6"/>
      </w:tblBorders>
    </w:tblPr>
    <w:tblStylePr w:type="fir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lastRow">
      <w:pPr>
        <w:spacing w:before="0" w:after="0" w:line="240" w:lineRule="auto"/>
      </w:pPr>
      <w:rPr>
        <w:b/>
        <w:bCs/>
      </w:rPr>
      <w:tblPr/>
      <w:tcPr>
        <w:tcBorders>
          <w:top w:val="single" w:sz="8" w:space="0" w:color="E6643C" w:themeColor="accent6"/>
          <w:left w:val="nil"/>
          <w:bottom w:val="single" w:sz="8" w:space="0" w:color="E6643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left w:val="nil"/>
          <w:right w:val="nil"/>
          <w:insideH w:val="nil"/>
          <w:insideV w:val="nil"/>
        </w:tcBorders>
        <w:shd w:val="clear" w:color="auto" w:fill="F8D8CE"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07F95" w:themeColor="accent1" w:themeTint="99"/>
        </w:tcBorders>
      </w:tcPr>
    </w:tblStylePr>
    <w:tblStylePr w:type="lastRow">
      <w:rPr>
        <w:b/>
        <w:bCs/>
      </w:rPr>
      <w:tblPr/>
      <w:tcPr>
        <w:tcBorders>
          <w:top w:val="sing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1DE1FF" w:themeColor="accent2" w:themeTint="99"/>
        </w:tcBorders>
      </w:tcPr>
    </w:tblStylePr>
    <w:tblStylePr w:type="lastRow">
      <w:rPr>
        <w:b/>
        <w:bCs/>
      </w:rPr>
      <w:tblPr/>
      <w:tcPr>
        <w:tcBorders>
          <w:top w:val="sing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D4F3" w:themeColor="accent3" w:themeTint="99"/>
        </w:tcBorders>
      </w:tcPr>
    </w:tblStylePr>
    <w:tblStylePr w:type="lastRow">
      <w:rPr>
        <w:b/>
        <w:bCs/>
      </w:rPr>
      <w:tblPr/>
      <w:tcPr>
        <w:tcBorders>
          <w:top w:val="sing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2793FF" w:themeColor="accent4" w:themeTint="99"/>
        </w:tcBorders>
      </w:tcPr>
    </w:tblStylePr>
    <w:tblStylePr w:type="lastRow">
      <w:rPr>
        <w:b/>
        <w:bCs/>
      </w:rPr>
      <w:tblPr/>
      <w:tcPr>
        <w:tcBorders>
          <w:top w:val="sing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9CCCA1" w:themeColor="accent5" w:themeTint="99"/>
        </w:tcBorders>
      </w:tcPr>
    </w:tblStylePr>
    <w:tblStylePr w:type="lastRow">
      <w:rPr>
        <w:b/>
        <w:bCs/>
      </w:rPr>
      <w:tblPr/>
      <w:tcPr>
        <w:tcBorders>
          <w:top w:val="sing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F0A28A" w:themeColor="accent6" w:themeTint="99"/>
        </w:tcBorders>
      </w:tcPr>
    </w:tblStylePr>
    <w:tblStylePr w:type="lastRow">
      <w:rPr>
        <w:b/>
        <w:bCs/>
      </w:rPr>
      <w:tblPr/>
      <w:tcPr>
        <w:tcBorders>
          <w:top w:val="sing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607F95" w:themeColor="accent1" w:themeTint="99"/>
        <w:bottom w:val="single" w:sz="4" w:space="0" w:color="607F95" w:themeColor="accent1" w:themeTint="99"/>
        <w:insideH w:val="single" w:sz="4" w:space="0" w:color="607F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1DE1FF" w:themeColor="accent2" w:themeTint="99"/>
        <w:bottom w:val="single" w:sz="4" w:space="0" w:color="1DE1FF" w:themeColor="accent2" w:themeTint="99"/>
        <w:insideH w:val="single" w:sz="4" w:space="0" w:color="1DE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9CD4F3" w:themeColor="accent3" w:themeTint="99"/>
        <w:bottom w:val="single" w:sz="4" w:space="0" w:color="9CD4F3" w:themeColor="accent3" w:themeTint="99"/>
        <w:insideH w:val="single" w:sz="4" w:space="0" w:color="9CD4F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2793FF" w:themeColor="accent4" w:themeTint="99"/>
        <w:bottom w:val="single" w:sz="4" w:space="0" w:color="2793FF" w:themeColor="accent4" w:themeTint="99"/>
        <w:insideH w:val="single" w:sz="4" w:space="0" w:color="2793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9CCCA1" w:themeColor="accent5" w:themeTint="99"/>
        <w:bottom w:val="single" w:sz="4" w:space="0" w:color="9CCCA1" w:themeColor="accent5" w:themeTint="99"/>
        <w:insideH w:val="single" w:sz="4" w:space="0" w:color="9CCCA1"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F0A28A" w:themeColor="accent6" w:themeTint="99"/>
        <w:bottom w:val="single" w:sz="4" w:space="0" w:color="F0A28A" w:themeColor="accent6" w:themeTint="99"/>
        <w:insideH w:val="single" w:sz="4" w:space="0" w:color="F0A28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1B242A" w:themeColor="accent1"/>
        <w:left w:val="single" w:sz="4" w:space="0" w:color="1B242A" w:themeColor="accent1"/>
        <w:bottom w:val="single" w:sz="4" w:space="0" w:color="1B242A" w:themeColor="accent1"/>
        <w:right w:val="single" w:sz="4" w:space="0" w:color="1B242A" w:themeColor="accent1"/>
      </w:tblBorders>
    </w:tblPr>
    <w:tblStylePr w:type="firstRow">
      <w:rPr>
        <w:b/>
        <w:bCs/>
        <w:color w:val="FFFFFF" w:themeColor="background1"/>
      </w:rPr>
      <w:tblPr/>
      <w:tcPr>
        <w:shd w:val="clear" w:color="auto" w:fill="1B242A" w:themeFill="accent1"/>
      </w:tcPr>
    </w:tblStylePr>
    <w:tblStylePr w:type="lastRow">
      <w:rPr>
        <w:b/>
        <w:bCs/>
      </w:rPr>
      <w:tblPr/>
      <w:tcPr>
        <w:tcBorders>
          <w:top w:val="double" w:sz="4" w:space="0" w:color="1B242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42A" w:themeColor="accent1"/>
          <w:right w:val="single" w:sz="4" w:space="0" w:color="1B242A" w:themeColor="accent1"/>
        </w:tcBorders>
      </w:tcPr>
    </w:tblStylePr>
    <w:tblStylePr w:type="band1Horz">
      <w:tblPr/>
      <w:tcPr>
        <w:tcBorders>
          <w:top w:val="single" w:sz="4" w:space="0" w:color="1B242A" w:themeColor="accent1"/>
          <w:bottom w:val="single" w:sz="4" w:space="0" w:color="1B242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42A" w:themeColor="accent1"/>
          <w:left w:val="nil"/>
        </w:tcBorders>
      </w:tcPr>
    </w:tblStylePr>
    <w:tblStylePr w:type="swCell">
      <w:tblPr/>
      <w:tcPr>
        <w:tcBorders>
          <w:top w:val="double" w:sz="4" w:space="0" w:color="1B242A"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007586" w:themeColor="accent2"/>
        <w:left w:val="single" w:sz="4" w:space="0" w:color="007586" w:themeColor="accent2"/>
        <w:bottom w:val="single" w:sz="4" w:space="0" w:color="007586" w:themeColor="accent2"/>
        <w:right w:val="single" w:sz="4" w:space="0" w:color="007586" w:themeColor="accent2"/>
      </w:tblBorders>
    </w:tblPr>
    <w:tblStylePr w:type="firstRow">
      <w:rPr>
        <w:b/>
        <w:bCs/>
        <w:color w:val="FFFFFF" w:themeColor="background1"/>
      </w:rPr>
      <w:tblPr/>
      <w:tcPr>
        <w:shd w:val="clear" w:color="auto" w:fill="007586" w:themeFill="accent2"/>
      </w:tcPr>
    </w:tblStylePr>
    <w:tblStylePr w:type="lastRow">
      <w:rPr>
        <w:b/>
        <w:bCs/>
      </w:rPr>
      <w:tblPr/>
      <w:tcPr>
        <w:tcBorders>
          <w:top w:val="double" w:sz="4" w:space="0" w:color="00758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586" w:themeColor="accent2"/>
          <w:right w:val="single" w:sz="4" w:space="0" w:color="007586" w:themeColor="accent2"/>
        </w:tcBorders>
      </w:tcPr>
    </w:tblStylePr>
    <w:tblStylePr w:type="band1Horz">
      <w:tblPr/>
      <w:tcPr>
        <w:tcBorders>
          <w:top w:val="single" w:sz="4" w:space="0" w:color="007586" w:themeColor="accent2"/>
          <w:bottom w:val="single" w:sz="4" w:space="0" w:color="00758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586" w:themeColor="accent2"/>
          <w:left w:val="nil"/>
        </w:tcBorders>
      </w:tcPr>
    </w:tblStylePr>
    <w:tblStylePr w:type="swCell">
      <w:tblPr/>
      <w:tcPr>
        <w:tcBorders>
          <w:top w:val="double" w:sz="4" w:space="0" w:color="007586"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5AB9EB" w:themeColor="accent3"/>
        <w:left w:val="single" w:sz="4" w:space="0" w:color="5AB9EB" w:themeColor="accent3"/>
        <w:bottom w:val="single" w:sz="4" w:space="0" w:color="5AB9EB" w:themeColor="accent3"/>
        <w:right w:val="single" w:sz="4" w:space="0" w:color="5AB9EB" w:themeColor="accent3"/>
      </w:tblBorders>
    </w:tblPr>
    <w:tblStylePr w:type="firstRow">
      <w:rPr>
        <w:b/>
        <w:bCs/>
        <w:color w:val="FFFFFF" w:themeColor="background1"/>
      </w:rPr>
      <w:tblPr/>
      <w:tcPr>
        <w:shd w:val="clear" w:color="auto" w:fill="5AB9EB" w:themeFill="accent3"/>
      </w:tcPr>
    </w:tblStylePr>
    <w:tblStylePr w:type="lastRow">
      <w:rPr>
        <w:b/>
        <w:bCs/>
      </w:rPr>
      <w:tblPr/>
      <w:tcPr>
        <w:tcBorders>
          <w:top w:val="double" w:sz="4" w:space="0" w:color="5AB9E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B9EB" w:themeColor="accent3"/>
          <w:right w:val="single" w:sz="4" w:space="0" w:color="5AB9EB" w:themeColor="accent3"/>
        </w:tcBorders>
      </w:tcPr>
    </w:tblStylePr>
    <w:tblStylePr w:type="band1Horz">
      <w:tblPr/>
      <w:tcPr>
        <w:tcBorders>
          <w:top w:val="single" w:sz="4" w:space="0" w:color="5AB9EB" w:themeColor="accent3"/>
          <w:bottom w:val="single" w:sz="4" w:space="0" w:color="5AB9E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B9EB" w:themeColor="accent3"/>
          <w:left w:val="nil"/>
        </w:tcBorders>
      </w:tcPr>
    </w:tblStylePr>
    <w:tblStylePr w:type="swCell">
      <w:tblPr/>
      <w:tcPr>
        <w:tcBorders>
          <w:top w:val="double" w:sz="4" w:space="0" w:color="5AB9EB"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004C97" w:themeColor="accent4"/>
        <w:left w:val="single" w:sz="4" w:space="0" w:color="004C97" w:themeColor="accent4"/>
        <w:bottom w:val="single" w:sz="4" w:space="0" w:color="004C97" w:themeColor="accent4"/>
        <w:right w:val="single" w:sz="4" w:space="0" w:color="004C97" w:themeColor="accent4"/>
      </w:tblBorders>
    </w:tblPr>
    <w:tblStylePr w:type="firstRow">
      <w:rPr>
        <w:b/>
        <w:bCs/>
        <w:color w:val="FFFFFF" w:themeColor="background1"/>
      </w:rPr>
      <w:tblPr/>
      <w:tcPr>
        <w:shd w:val="clear" w:color="auto" w:fill="004C97" w:themeFill="accent4"/>
      </w:tcPr>
    </w:tblStylePr>
    <w:tblStylePr w:type="lastRow">
      <w:rPr>
        <w:b/>
        <w:bCs/>
      </w:rPr>
      <w:tblPr/>
      <w:tcPr>
        <w:tcBorders>
          <w:top w:val="double" w:sz="4" w:space="0" w:color="004C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C97" w:themeColor="accent4"/>
          <w:right w:val="single" w:sz="4" w:space="0" w:color="004C97" w:themeColor="accent4"/>
        </w:tcBorders>
      </w:tcPr>
    </w:tblStylePr>
    <w:tblStylePr w:type="band1Horz">
      <w:tblPr/>
      <w:tcPr>
        <w:tcBorders>
          <w:top w:val="single" w:sz="4" w:space="0" w:color="004C97" w:themeColor="accent4"/>
          <w:bottom w:val="single" w:sz="4" w:space="0" w:color="004C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C97" w:themeColor="accent4"/>
          <w:left w:val="nil"/>
        </w:tcBorders>
      </w:tcPr>
    </w:tblStylePr>
    <w:tblStylePr w:type="swCell">
      <w:tblPr/>
      <w:tcPr>
        <w:tcBorders>
          <w:top w:val="double" w:sz="4" w:space="0" w:color="004C97"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5AAA64" w:themeColor="accent5"/>
        <w:left w:val="single" w:sz="4" w:space="0" w:color="5AAA64" w:themeColor="accent5"/>
        <w:bottom w:val="single" w:sz="4" w:space="0" w:color="5AAA64" w:themeColor="accent5"/>
        <w:right w:val="single" w:sz="4" w:space="0" w:color="5AAA64" w:themeColor="accent5"/>
      </w:tblBorders>
    </w:tblPr>
    <w:tblStylePr w:type="firstRow">
      <w:rPr>
        <w:b/>
        <w:bCs/>
        <w:color w:val="FFFFFF" w:themeColor="background1"/>
      </w:rPr>
      <w:tblPr/>
      <w:tcPr>
        <w:shd w:val="clear" w:color="auto" w:fill="5AAA64" w:themeFill="accent5"/>
      </w:tcPr>
    </w:tblStylePr>
    <w:tblStylePr w:type="lastRow">
      <w:rPr>
        <w:b/>
        <w:bCs/>
      </w:rPr>
      <w:tblPr/>
      <w:tcPr>
        <w:tcBorders>
          <w:top w:val="double" w:sz="4" w:space="0" w:color="5AAA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A64" w:themeColor="accent5"/>
          <w:right w:val="single" w:sz="4" w:space="0" w:color="5AAA64" w:themeColor="accent5"/>
        </w:tcBorders>
      </w:tcPr>
    </w:tblStylePr>
    <w:tblStylePr w:type="band1Horz">
      <w:tblPr/>
      <w:tcPr>
        <w:tcBorders>
          <w:top w:val="single" w:sz="4" w:space="0" w:color="5AAA64" w:themeColor="accent5"/>
          <w:bottom w:val="single" w:sz="4" w:space="0" w:color="5AAA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A64" w:themeColor="accent5"/>
          <w:left w:val="nil"/>
        </w:tcBorders>
      </w:tcPr>
    </w:tblStylePr>
    <w:tblStylePr w:type="swCell">
      <w:tblPr/>
      <w:tcPr>
        <w:tcBorders>
          <w:top w:val="double" w:sz="4" w:space="0" w:color="5AAA64"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E6643C" w:themeColor="accent6"/>
        <w:left w:val="single" w:sz="4" w:space="0" w:color="E6643C" w:themeColor="accent6"/>
        <w:bottom w:val="single" w:sz="4" w:space="0" w:color="E6643C" w:themeColor="accent6"/>
        <w:right w:val="single" w:sz="4" w:space="0" w:color="E6643C" w:themeColor="accent6"/>
      </w:tblBorders>
    </w:tblPr>
    <w:tblStylePr w:type="firstRow">
      <w:rPr>
        <w:b/>
        <w:bCs/>
        <w:color w:val="FFFFFF" w:themeColor="background1"/>
      </w:rPr>
      <w:tblPr/>
      <w:tcPr>
        <w:shd w:val="clear" w:color="auto" w:fill="E6643C" w:themeFill="accent6"/>
      </w:tcPr>
    </w:tblStylePr>
    <w:tblStylePr w:type="lastRow">
      <w:rPr>
        <w:b/>
        <w:bCs/>
      </w:rPr>
      <w:tblPr/>
      <w:tcPr>
        <w:tcBorders>
          <w:top w:val="double" w:sz="4" w:space="0" w:color="E6643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6643C" w:themeColor="accent6"/>
          <w:right w:val="single" w:sz="4" w:space="0" w:color="E6643C" w:themeColor="accent6"/>
        </w:tcBorders>
      </w:tcPr>
    </w:tblStylePr>
    <w:tblStylePr w:type="band1Horz">
      <w:tblPr/>
      <w:tcPr>
        <w:tcBorders>
          <w:top w:val="single" w:sz="4" w:space="0" w:color="E6643C" w:themeColor="accent6"/>
          <w:bottom w:val="single" w:sz="4" w:space="0" w:color="E6643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6643C" w:themeColor="accent6"/>
          <w:left w:val="nil"/>
        </w:tcBorders>
      </w:tcPr>
    </w:tblStylePr>
    <w:tblStylePr w:type="swCell">
      <w:tblPr/>
      <w:tcPr>
        <w:tcBorders>
          <w:top w:val="double" w:sz="4" w:space="0" w:color="E6643C"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607F95" w:themeColor="accent1" w:themeTint="99"/>
        <w:left w:val="single" w:sz="4" w:space="0" w:color="607F95" w:themeColor="accent1" w:themeTint="99"/>
        <w:bottom w:val="single" w:sz="4" w:space="0" w:color="607F95" w:themeColor="accent1" w:themeTint="99"/>
        <w:right w:val="single" w:sz="4" w:space="0" w:color="607F95" w:themeColor="accent1" w:themeTint="99"/>
        <w:insideH w:val="single" w:sz="4" w:space="0" w:color="607F95" w:themeColor="accent1" w:themeTint="99"/>
      </w:tblBorders>
    </w:tblPr>
    <w:tblStylePr w:type="firstRow">
      <w:rPr>
        <w:b/>
        <w:bCs/>
        <w:color w:val="FFFFFF" w:themeColor="background1"/>
      </w:rPr>
      <w:tblPr/>
      <w:tcPr>
        <w:tcBorders>
          <w:top w:val="single" w:sz="4" w:space="0" w:color="1B242A" w:themeColor="accent1"/>
          <w:left w:val="single" w:sz="4" w:space="0" w:color="1B242A" w:themeColor="accent1"/>
          <w:bottom w:val="single" w:sz="4" w:space="0" w:color="1B242A" w:themeColor="accent1"/>
          <w:right w:val="single" w:sz="4" w:space="0" w:color="1B242A" w:themeColor="accent1"/>
          <w:insideH w:val="nil"/>
        </w:tcBorders>
        <w:shd w:val="clear" w:color="auto" w:fill="1B242A" w:themeFill="accent1"/>
      </w:tcPr>
    </w:tblStylePr>
    <w:tblStylePr w:type="lastRow">
      <w:rPr>
        <w:b/>
        <w:bCs/>
      </w:rPr>
      <w:tblPr/>
      <w:tcPr>
        <w:tcBorders>
          <w:top w:val="double" w:sz="4" w:space="0" w:color="607F95" w:themeColor="accent1" w:themeTint="99"/>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1DE1FF" w:themeColor="accent2" w:themeTint="99"/>
        <w:left w:val="single" w:sz="4" w:space="0" w:color="1DE1FF" w:themeColor="accent2" w:themeTint="99"/>
        <w:bottom w:val="single" w:sz="4" w:space="0" w:color="1DE1FF" w:themeColor="accent2" w:themeTint="99"/>
        <w:right w:val="single" w:sz="4" w:space="0" w:color="1DE1FF" w:themeColor="accent2" w:themeTint="99"/>
        <w:insideH w:val="single" w:sz="4" w:space="0" w:color="1DE1FF" w:themeColor="accent2" w:themeTint="99"/>
      </w:tblBorders>
    </w:tblPr>
    <w:tblStylePr w:type="firstRow">
      <w:rPr>
        <w:b/>
        <w:bCs/>
        <w:color w:val="FFFFFF" w:themeColor="background1"/>
      </w:rPr>
      <w:tblPr/>
      <w:tcPr>
        <w:tcBorders>
          <w:top w:val="single" w:sz="4" w:space="0" w:color="007586" w:themeColor="accent2"/>
          <w:left w:val="single" w:sz="4" w:space="0" w:color="007586" w:themeColor="accent2"/>
          <w:bottom w:val="single" w:sz="4" w:space="0" w:color="007586" w:themeColor="accent2"/>
          <w:right w:val="single" w:sz="4" w:space="0" w:color="007586" w:themeColor="accent2"/>
          <w:insideH w:val="nil"/>
        </w:tcBorders>
        <w:shd w:val="clear" w:color="auto" w:fill="007586" w:themeFill="accent2"/>
      </w:tcPr>
    </w:tblStylePr>
    <w:tblStylePr w:type="lastRow">
      <w:rPr>
        <w:b/>
        <w:bCs/>
      </w:rPr>
      <w:tblPr/>
      <w:tcPr>
        <w:tcBorders>
          <w:top w:val="double" w:sz="4" w:space="0" w:color="1DE1FF" w:themeColor="accent2" w:themeTint="99"/>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9CD4F3" w:themeColor="accent3" w:themeTint="99"/>
        <w:left w:val="single" w:sz="4" w:space="0" w:color="9CD4F3" w:themeColor="accent3" w:themeTint="99"/>
        <w:bottom w:val="single" w:sz="4" w:space="0" w:color="9CD4F3" w:themeColor="accent3" w:themeTint="99"/>
        <w:right w:val="single" w:sz="4" w:space="0" w:color="9CD4F3" w:themeColor="accent3" w:themeTint="99"/>
        <w:insideH w:val="single" w:sz="4" w:space="0" w:color="9CD4F3" w:themeColor="accent3" w:themeTint="99"/>
      </w:tblBorders>
    </w:tblPr>
    <w:tblStylePr w:type="firstRow">
      <w:rPr>
        <w:b/>
        <w:bCs/>
        <w:color w:val="FFFFFF" w:themeColor="background1"/>
      </w:rPr>
      <w:tblPr/>
      <w:tcPr>
        <w:tcBorders>
          <w:top w:val="single" w:sz="4" w:space="0" w:color="5AB9EB" w:themeColor="accent3"/>
          <w:left w:val="single" w:sz="4" w:space="0" w:color="5AB9EB" w:themeColor="accent3"/>
          <w:bottom w:val="single" w:sz="4" w:space="0" w:color="5AB9EB" w:themeColor="accent3"/>
          <w:right w:val="single" w:sz="4" w:space="0" w:color="5AB9EB" w:themeColor="accent3"/>
          <w:insideH w:val="nil"/>
        </w:tcBorders>
        <w:shd w:val="clear" w:color="auto" w:fill="5AB9EB" w:themeFill="accent3"/>
      </w:tcPr>
    </w:tblStylePr>
    <w:tblStylePr w:type="lastRow">
      <w:rPr>
        <w:b/>
        <w:bCs/>
      </w:rPr>
      <w:tblPr/>
      <w:tcPr>
        <w:tcBorders>
          <w:top w:val="double" w:sz="4" w:space="0" w:color="9CD4F3" w:themeColor="accent3" w:themeTint="99"/>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2793FF" w:themeColor="accent4" w:themeTint="99"/>
        <w:left w:val="single" w:sz="4" w:space="0" w:color="2793FF" w:themeColor="accent4" w:themeTint="99"/>
        <w:bottom w:val="single" w:sz="4" w:space="0" w:color="2793FF" w:themeColor="accent4" w:themeTint="99"/>
        <w:right w:val="single" w:sz="4" w:space="0" w:color="2793FF" w:themeColor="accent4" w:themeTint="99"/>
        <w:insideH w:val="single" w:sz="4" w:space="0" w:color="2793FF" w:themeColor="accent4" w:themeTint="99"/>
      </w:tblBorders>
    </w:tblPr>
    <w:tblStylePr w:type="firstRow">
      <w:rPr>
        <w:b/>
        <w:bCs/>
        <w:color w:val="FFFFFF" w:themeColor="background1"/>
      </w:rPr>
      <w:tblPr/>
      <w:tcPr>
        <w:tcBorders>
          <w:top w:val="single" w:sz="4" w:space="0" w:color="004C97" w:themeColor="accent4"/>
          <w:left w:val="single" w:sz="4" w:space="0" w:color="004C97" w:themeColor="accent4"/>
          <w:bottom w:val="single" w:sz="4" w:space="0" w:color="004C97" w:themeColor="accent4"/>
          <w:right w:val="single" w:sz="4" w:space="0" w:color="004C97" w:themeColor="accent4"/>
          <w:insideH w:val="nil"/>
        </w:tcBorders>
        <w:shd w:val="clear" w:color="auto" w:fill="004C97" w:themeFill="accent4"/>
      </w:tcPr>
    </w:tblStylePr>
    <w:tblStylePr w:type="lastRow">
      <w:rPr>
        <w:b/>
        <w:bCs/>
      </w:rPr>
      <w:tblPr/>
      <w:tcPr>
        <w:tcBorders>
          <w:top w:val="double" w:sz="4" w:space="0" w:color="2793FF" w:themeColor="accent4" w:themeTint="99"/>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9CCCA1" w:themeColor="accent5" w:themeTint="99"/>
        <w:left w:val="single" w:sz="4" w:space="0" w:color="9CCCA1" w:themeColor="accent5" w:themeTint="99"/>
        <w:bottom w:val="single" w:sz="4" w:space="0" w:color="9CCCA1" w:themeColor="accent5" w:themeTint="99"/>
        <w:right w:val="single" w:sz="4" w:space="0" w:color="9CCCA1" w:themeColor="accent5" w:themeTint="99"/>
        <w:insideH w:val="single" w:sz="4" w:space="0" w:color="9CCCA1" w:themeColor="accent5" w:themeTint="99"/>
      </w:tblBorders>
    </w:tblPr>
    <w:tblStylePr w:type="firstRow">
      <w:rPr>
        <w:b/>
        <w:bCs/>
        <w:color w:val="FFFFFF" w:themeColor="background1"/>
      </w:rPr>
      <w:tblPr/>
      <w:tcPr>
        <w:tcBorders>
          <w:top w:val="single" w:sz="4" w:space="0" w:color="5AAA64" w:themeColor="accent5"/>
          <w:left w:val="single" w:sz="4" w:space="0" w:color="5AAA64" w:themeColor="accent5"/>
          <w:bottom w:val="single" w:sz="4" w:space="0" w:color="5AAA64" w:themeColor="accent5"/>
          <w:right w:val="single" w:sz="4" w:space="0" w:color="5AAA64" w:themeColor="accent5"/>
          <w:insideH w:val="nil"/>
        </w:tcBorders>
        <w:shd w:val="clear" w:color="auto" w:fill="5AAA64" w:themeFill="accent5"/>
      </w:tcPr>
    </w:tblStylePr>
    <w:tblStylePr w:type="lastRow">
      <w:rPr>
        <w:b/>
        <w:bCs/>
      </w:rPr>
      <w:tblPr/>
      <w:tcPr>
        <w:tcBorders>
          <w:top w:val="double" w:sz="4" w:space="0" w:color="9CCCA1" w:themeColor="accent5" w:themeTint="99"/>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F0A28A" w:themeColor="accent6" w:themeTint="99"/>
        <w:left w:val="single" w:sz="4" w:space="0" w:color="F0A28A" w:themeColor="accent6" w:themeTint="99"/>
        <w:bottom w:val="single" w:sz="4" w:space="0" w:color="F0A28A" w:themeColor="accent6" w:themeTint="99"/>
        <w:right w:val="single" w:sz="4" w:space="0" w:color="F0A28A" w:themeColor="accent6" w:themeTint="99"/>
        <w:insideH w:val="single" w:sz="4" w:space="0" w:color="F0A28A" w:themeColor="accent6" w:themeTint="99"/>
      </w:tblBorders>
    </w:tblPr>
    <w:tblStylePr w:type="firstRow">
      <w:rPr>
        <w:b/>
        <w:bCs/>
        <w:color w:val="FFFFFF" w:themeColor="background1"/>
      </w:rPr>
      <w:tblPr/>
      <w:tcPr>
        <w:tcBorders>
          <w:top w:val="single" w:sz="4" w:space="0" w:color="E6643C" w:themeColor="accent6"/>
          <w:left w:val="single" w:sz="4" w:space="0" w:color="E6643C" w:themeColor="accent6"/>
          <w:bottom w:val="single" w:sz="4" w:space="0" w:color="E6643C" w:themeColor="accent6"/>
          <w:right w:val="single" w:sz="4" w:space="0" w:color="E6643C" w:themeColor="accent6"/>
          <w:insideH w:val="nil"/>
        </w:tcBorders>
        <w:shd w:val="clear" w:color="auto" w:fill="E6643C" w:themeFill="accent6"/>
      </w:tcPr>
    </w:tblStylePr>
    <w:tblStylePr w:type="lastRow">
      <w:rPr>
        <w:b/>
        <w:bCs/>
      </w:rPr>
      <w:tblPr/>
      <w:tcPr>
        <w:tcBorders>
          <w:top w:val="double" w:sz="4" w:space="0" w:color="F0A28A" w:themeColor="accent6" w:themeTint="99"/>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1B242A" w:themeColor="accent1"/>
        <w:left w:val="single" w:sz="24" w:space="0" w:color="1B242A" w:themeColor="accent1"/>
        <w:bottom w:val="single" w:sz="24" w:space="0" w:color="1B242A" w:themeColor="accent1"/>
        <w:right w:val="single" w:sz="24" w:space="0" w:color="1B242A" w:themeColor="accent1"/>
      </w:tblBorders>
    </w:tblPr>
    <w:tcPr>
      <w:shd w:val="clear" w:color="auto" w:fill="1B242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7586" w:themeColor="accent2"/>
        <w:left w:val="single" w:sz="24" w:space="0" w:color="007586" w:themeColor="accent2"/>
        <w:bottom w:val="single" w:sz="24" w:space="0" w:color="007586" w:themeColor="accent2"/>
        <w:right w:val="single" w:sz="24" w:space="0" w:color="007586" w:themeColor="accent2"/>
      </w:tblBorders>
    </w:tblPr>
    <w:tcPr>
      <w:shd w:val="clear" w:color="auto" w:fill="00758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B9EB" w:themeColor="accent3"/>
        <w:left w:val="single" w:sz="24" w:space="0" w:color="5AB9EB" w:themeColor="accent3"/>
        <w:bottom w:val="single" w:sz="24" w:space="0" w:color="5AB9EB" w:themeColor="accent3"/>
        <w:right w:val="single" w:sz="24" w:space="0" w:color="5AB9EB" w:themeColor="accent3"/>
      </w:tblBorders>
    </w:tblPr>
    <w:tcPr>
      <w:shd w:val="clear" w:color="auto" w:fill="5AB9E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4C97" w:themeColor="accent4"/>
        <w:left w:val="single" w:sz="24" w:space="0" w:color="004C97" w:themeColor="accent4"/>
        <w:bottom w:val="single" w:sz="24" w:space="0" w:color="004C97" w:themeColor="accent4"/>
        <w:right w:val="single" w:sz="24" w:space="0" w:color="004C97" w:themeColor="accent4"/>
      </w:tblBorders>
    </w:tblPr>
    <w:tcPr>
      <w:shd w:val="clear" w:color="auto" w:fill="004C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5AAA64" w:themeColor="accent5"/>
        <w:left w:val="single" w:sz="24" w:space="0" w:color="5AAA64" w:themeColor="accent5"/>
        <w:bottom w:val="single" w:sz="24" w:space="0" w:color="5AAA64" w:themeColor="accent5"/>
        <w:right w:val="single" w:sz="24" w:space="0" w:color="5AAA64" w:themeColor="accent5"/>
      </w:tblBorders>
    </w:tblPr>
    <w:tcPr>
      <w:shd w:val="clear" w:color="auto" w:fill="5AAA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E6643C" w:themeColor="accent6"/>
        <w:left w:val="single" w:sz="24" w:space="0" w:color="E6643C" w:themeColor="accent6"/>
        <w:bottom w:val="single" w:sz="24" w:space="0" w:color="E6643C" w:themeColor="accent6"/>
        <w:right w:val="single" w:sz="24" w:space="0" w:color="E6643C" w:themeColor="accent6"/>
      </w:tblBorders>
    </w:tblPr>
    <w:tcPr>
      <w:shd w:val="clear" w:color="auto" w:fill="E6643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141A1F" w:themeColor="accent1" w:themeShade="BF"/>
    </w:rPr>
    <w:tblPr>
      <w:tblStyleRowBandSize w:val="1"/>
      <w:tblStyleColBandSize w:val="1"/>
      <w:tblBorders>
        <w:top w:val="single" w:sz="4" w:space="0" w:color="1B242A" w:themeColor="accent1"/>
        <w:bottom w:val="single" w:sz="4" w:space="0" w:color="1B242A" w:themeColor="accent1"/>
      </w:tblBorders>
    </w:tblPr>
    <w:tblStylePr w:type="firstRow">
      <w:rPr>
        <w:b/>
        <w:bCs/>
      </w:rPr>
      <w:tblPr/>
      <w:tcPr>
        <w:tcBorders>
          <w:bottom w:val="single" w:sz="4" w:space="0" w:color="1B242A" w:themeColor="accent1"/>
        </w:tcBorders>
      </w:tcPr>
    </w:tblStylePr>
    <w:tblStylePr w:type="lastRow">
      <w:rPr>
        <w:b/>
        <w:bCs/>
      </w:rPr>
      <w:tblPr/>
      <w:tcPr>
        <w:tcBorders>
          <w:top w:val="double" w:sz="4" w:space="0" w:color="1B242A" w:themeColor="accent1"/>
        </w:tcBorders>
      </w:tcPr>
    </w:tblStylePr>
    <w:tblStylePr w:type="firstCol">
      <w:rPr>
        <w:b/>
        <w:bCs/>
      </w:rPr>
    </w:tblStylePr>
    <w:tblStylePr w:type="lastCol">
      <w:rPr>
        <w:b/>
        <w:bCs/>
      </w:rPr>
    </w:tblStylePr>
    <w:tblStylePr w:type="band1Vert">
      <w:tblPr/>
      <w:tcPr>
        <w:shd w:val="clear" w:color="auto" w:fill="C9D4DC" w:themeFill="accent1" w:themeFillTint="33"/>
      </w:tcPr>
    </w:tblStylePr>
    <w:tblStylePr w:type="band1Horz">
      <w:tblPr/>
      <w:tcPr>
        <w:shd w:val="clear" w:color="auto" w:fill="C9D4DC"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005764" w:themeColor="accent2" w:themeShade="BF"/>
    </w:rPr>
    <w:tblPr>
      <w:tblStyleRowBandSize w:val="1"/>
      <w:tblStyleColBandSize w:val="1"/>
      <w:tblBorders>
        <w:top w:val="single" w:sz="4" w:space="0" w:color="007586" w:themeColor="accent2"/>
        <w:bottom w:val="single" w:sz="4" w:space="0" w:color="007586" w:themeColor="accent2"/>
      </w:tblBorders>
    </w:tblPr>
    <w:tblStylePr w:type="firstRow">
      <w:rPr>
        <w:b/>
        <w:bCs/>
      </w:rPr>
      <w:tblPr/>
      <w:tcPr>
        <w:tcBorders>
          <w:bottom w:val="single" w:sz="4" w:space="0" w:color="007586" w:themeColor="accent2"/>
        </w:tcBorders>
      </w:tcPr>
    </w:tblStylePr>
    <w:tblStylePr w:type="lastRow">
      <w:rPr>
        <w:b/>
        <w:bCs/>
      </w:rPr>
      <w:tblPr/>
      <w:tcPr>
        <w:tcBorders>
          <w:top w:val="double" w:sz="4" w:space="0" w:color="007586" w:themeColor="accent2"/>
        </w:tcBorders>
      </w:tcPr>
    </w:tblStylePr>
    <w:tblStylePr w:type="firstCol">
      <w:rPr>
        <w:b/>
        <w:bCs/>
      </w:rPr>
    </w:tblStylePr>
    <w:tblStylePr w:type="lastCol">
      <w:rPr>
        <w:b/>
        <w:bCs/>
      </w:rPr>
    </w:tblStylePr>
    <w:tblStylePr w:type="band1Vert">
      <w:tblPr/>
      <w:tcPr>
        <w:shd w:val="clear" w:color="auto" w:fill="B3F5FF" w:themeFill="accent2" w:themeFillTint="33"/>
      </w:tcPr>
    </w:tblStylePr>
    <w:tblStylePr w:type="band1Horz">
      <w:tblPr/>
      <w:tcPr>
        <w:shd w:val="clear" w:color="auto" w:fill="B3F5FF"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1A97D9" w:themeColor="accent3" w:themeShade="BF"/>
    </w:rPr>
    <w:tblPr>
      <w:tblStyleRowBandSize w:val="1"/>
      <w:tblStyleColBandSize w:val="1"/>
      <w:tblBorders>
        <w:top w:val="single" w:sz="4" w:space="0" w:color="5AB9EB" w:themeColor="accent3"/>
        <w:bottom w:val="single" w:sz="4" w:space="0" w:color="5AB9EB" w:themeColor="accent3"/>
      </w:tblBorders>
    </w:tblPr>
    <w:tblStylePr w:type="firstRow">
      <w:rPr>
        <w:b/>
        <w:bCs/>
      </w:rPr>
      <w:tblPr/>
      <w:tcPr>
        <w:tcBorders>
          <w:bottom w:val="single" w:sz="4" w:space="0" w:color="5AB9EB" w:themeColor="accent3"/>
        </w:tcBorders>
      </w:tcPr>
    </w:tblStylePr>
    <w:tblStylePr w:type="lastRow">
      <w:rPr>
        <w:b/>
        <w:bCs/>
      </w:rPr>
      <w:tblPr/>
      <w:tcPr>
        <w:tcBorders>
          <w:top w:val="double" w:sz="4" w:space="0" w:color="5AB9EB" w:themeColor="accent3"/>
        </w:tcBorders>
      </w:tcPr>
    </w:tblStylePr>
    <w:tblStylePr w:type="firstCol">
      <w:rPr>
        <w:b/>
        <w:bCs/>
      </w:rPr>
    </w:tblStylePr>
    <w:tblStylePr w:type="lastCol">
      <w:rPr>
        <w:b/>
        <w:bCs/>
      </w:rPr>
    </w:tblStylePr>
    <w:tblStylePr w:type="band1Vert">
      <w:tblPr/>
      <w:tcPr>
        <w:shd w:val="clear" w:color="auto" w:fill="DEF0FB" w:themeFill="accent3" w:themeFillTint="33"/>
      </w:tcPr>
    </w:tblStylePr>
    <w:tblStylePr w:type="band1Horz">
      <w:tblPr/>
      <w:tcPr>
        <w:shd w:val="clear" w:color="auto" w:fill="DEF0FB"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003871" w:themeColor="accent4" w:themeShade="BF"/>
    </w:rPr>
    <w:tblPr>
      <w:tblStyleRowBandSize w:val="1"/>
      <w:tblStyleColBandSize w:val="1"/>
      <w:tblBorders>
        <w:top w:val="single" w:sz="4" w:space="0" w:color="004C97" w:themeColor="accent4"/>
        <w:bottom w:val="single" w:sz="4" w:space="0" w:color="004C97" w:themeColor="accent4"/>
      </w:tblBorders>
    </w:tblPr>
    <w:tblStylePr w:type="firstRow">
      <w:rPr>
        <w:b/>
        <w:bCs/>
      </w:rPr>
      <w:tblPr/>
      <w:tcPr>
        <w:tcBorders>
          <w:bottom w:val="single" w:sz="4" w:space="0" w:color="004C97" w:themeColor="accent4"/>
        </w:tcBorders>
      </w:tcPr>
    </w:tblStylePr>
    <w:tblStylePr w:type="lastRow">
      <w:rPr>
        <w:b/>
        <w:bCs/>
      </w:rPr>
      <w:tblPr/>
      <w:tcPr>
        <w:tcBorders>
          <w:top w:val="double" w:sz="4" w:space="0" w:color="004C97" w:themeColor="accent4"/>
        </w:tcBorders>
      </w:tcPr>
    </w:tblStylePr>
    <w:tblStylePr w:type="firstCol">
      <w:rPr>
        <w:b/>
        <w:bCs/>
      </w:rPr>
    </w:tblStylePr>
    <w:tblStylePr w:type="lastCol">
      <w:rPr>
        <w:b/>
        <w:bCs/>
      </w:rPr>
    </w:tblStylePr>
    <w:tblStylePr w:type="band1Vert">
      <w:tblPr/>
      <w:tcPr>
        <w:shd w:val="clear" w:color="auto" w:fill="B7DBFF" w:themeFill="accent4" w:themeFillTint="33"/>
      </w:tcPr>
    </w:tblStylePr>
    <w:tblStylePr w:type="band1Horz">
      <w:tblPr/>
      <w:tcPr>
        <w:shd w:val="clear" w:color="auto" w:fill="B7DBFF"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428049" w:themeColor="accent5" w:themeShade="BF"/>
    </w:rPr>
    <w:tblPr>
      <w:tblStyleRowBandSize w:val="1"/>
      <w:tblStyleColBandSize w:val="1"/>
      <w:tblBorders>
        <w:top w:val="single" w:sz="4" w:space="0" w:color="5AAA64" w:themeColor="accent5"/>
        <w:bottom w:val="single" w:sz="4" w:space="0" w:color="5AAA64" w:themeColor="accent5"/>
      </w:tblBorders>
    </w:tblPr>
    <w:tblStylePr w:type="firstRow">
      <w:rPr>
        <w:b/>
        <w:bCs/>
      </w:rPr>
      <w:tblPr/>
      <w:tcPr>
        <w:tcBorders>
          <w:bottom w:val="single" w:sz="4" w:space="0" w:color="5AAA64" w:themeColor="accent5"/>
        </w:tcBorders>
      </w:tcPr>
    </w:tblStylePr>
    <w:tblStylePr w:type="lastRow">
      <w:rPr>
        <w:b/>
        <w:bCs/>
      </w:rPr>
      <w:tblPr/>
      <w:tcPr>
        <w:tcBorders>
          <w:top w:val="double" w:sz="4" w:space="0" w:color="5AAA64" w:themeColor="accent5"/>
        </w:tcBorders>
      </w:tcPr>
    </w:tblStylePr>
    <w:tblStylePr w:type="firstCol">
      <w:rPr>
        <w:b/>
        <w:bCs/>
      </w:rPr>
    </w:tblStylePr>
    <w:tblStylePr w:type="lastCol">
      <w:rPr>
        <w:b/>
        <w:bCs/>
      </w:rPr>
    </w:tblStylePr>
    <w:tblStylePr w:type="band1Vert">
      <w:tblPr/>
      <w:tcPr>
        <w:shd w:val="clear" w:color="auto" w:fill="DEEEDF" w:themeFill="accent5" w:themeFillTint="33"/>
      </w:tcPr>
    </w:tblStylePr>
    <w:tblStylePr w:type="band1Horz">
      <w:tblPr/>
      <w:tcPr>
        <w:shd w:val="clear" w:color="auto" w:fill="DEEEDF"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C04018" w:themeColor="accent6" w:themeShade="BF"/>
    </w:rPr>
    <w:tblPr>
      <w:tblStyleRowBandSize w:val="1"/>
      <w:tblStyleColBandSize w:val="1"/>
      <w:tblBorders>
        <w:top w:val="single" w:sz="4" w:space="0" w:color="E6643C" w:themeColor="accent6"/>
        <w:bottom w:val="single" w:sz="4" w:space="0" w:color="E6643C" w:themeColor="accent6"/>
      </w:tblBorders>
    </w:tblPr>
    <w:tblStylePr w:type="firstRow">
      <w:rPr>
        <w:b/>
        <w:bCs/>
      </w:rPr>
      <w:tblPr/>
      <w:tcPr>
        <w:tcBorders>
          <w:bottom w:val="single" w:sz="4" w:space="0" w:color="E6643C" w:themeColor="accent6"/>
        </w:tcBorders>
      </w:tcPr>
    </w:tblStylePr>
    <w:tblStylePr w:type="lastRow">
      <w:rPr>
        <w:b/>
        <w:bCs/>
      </w:rPr>
      <w:tblPr/>
      <w:tcPr>
        <w:tcBorders>
          <w:top w:val="double" w:sz="4" w:space="0" w:color="E6643C" w:themeColor="accent6"/>
        </w:tcBorders>
      </w:tcPr>
    </w:tblStylePr>
    <w:tblStylePr w:type="firstCol">
      <w:rPr>
        <w:b/>
        <w:bCs/>
      </w:rPr>
    </w:tblStylePr>
    <w:tblStylePr w:type="lastCol">
      <w:rPr>
        <w:b/>
        <w:bCs/>
      </w:rPr>
    </w:tblStylePr>
    <w:tblStylePr w:type="band1Vert">
      <w:tblPr/>
      <w:tcPr>
        <w:shd w:val="clear" w:color="auto" w:fill="FAE0D8" w:themeFill="accent6" w:themeFillTint="33"/>
      </w:tcPr>
    </w:tblStylePr>
    <w:tblStylePr w:type="band1Horz">
      <w:tblPr/>
      <w:tcPr>
        <w:shd w:val="clear" w:color="auto" w:fill="FAE0D8"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141A1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242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242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242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242A" w:themeColor="accent1"/>
        </w:tcBorders>
        <w:shd w:val="clear" w:color="auto" w:fill="FFFFFF" w:themeFill="background1"/>
      </w:tcPr>
    </w:tblStylePr>
    <w:tblStylePr w:type="band1Vert">
      <w:tblPr/>
      <w:tcPr>
        <w:shd w:val="clear" w:color="auto" w:fill="C9D4DC" w:themeFill="accent1" w:themeFillTint="33"/>
      </w:tcPr>
    </w:tblStylePr>
    <w:tblStylePr w:type="band1Horz">
      <w:tblPr/>
      <w:tcPr>
        <w:shd w:val="clear" w:color="auto" w:fill="C9D4D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0057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58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58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58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586" w:themeColor="accent2"/>
        </w:tcBorders>
        <w:shd w:val="clear" w:color="auto" w:fill="FFFFFF" w:themeFill="background1"/>
      </w:tcPr>
    </w:tblStylePr>
    <w:tblStylePr w:type="band1Vert">
      <w:tblPr/>
      <w:tcPr>
        <w:shd w:val="clear" w:color="auto" w:fill="B3F5FF" w:themeFill="accent2" w:themeFillTint="33"/>
      </w:tcPr>
    </w:tblStylePr>
    <w:tblStylePr w:type="band1Horz">
      <w:tblPr/>
      <w:tcPr>
        <w:shd w:val="clear" w:color="auto" w:fill="B3F5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1A97D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B9E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B9E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B9E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B9EB" w:themeColor="accent3"/>
        </w:tcBorders>
        <w:shd w:val="clear" w:color="auto" w:fill="FFFFFF" w:themeFill="background1"/>
      </w:tcPr>
    </w:tblStylePr>
    <w:tblStylePr w:type="band1Vert">
      <w:tblPr/>
      <w:tcPr>
        <w:shd w:val="clear" w:color="auto" w:fill="DEF0FB" w:themeFill="accent3" w:themeFillTint="33"/>
      </w:tcPr>
    </w:tblStylePr>
    <w:tblStylePr w:type="band1Horz">
      <w:tblPr/>
      <w:tcPr>
        <w:shd w:val="clear" w:color="auto" w:fill="DEF0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00387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C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C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C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C97" w:themeColor="accent4"/>
        </w:tcBorders>
        <w:shd w:val="clear" w:color="auto" w:fill="FFFFFF" w:themeFill="background1"/>
      </w:tcPr>
    </w:tblStylePr>
    <w:tblStylePr w:type="band1Vert">
      <w:tblPr/>
      <w:tcPr>
        <w:shd w:val="clear" w:color="auto" w:fill="B7DBFF" w:themeFill="accent4" w:themeFillTint="33"/>
      </w:tcPr>
    </w:tblStylePr>
    <w:tblStylePr w:type="band1Horz">
      <w:tblPr/>
      <w:tcPr>
        <w:shd w:val="clear" w:color="auto" w:fill="B7DB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42804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A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A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A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A64" w:themeColor="accent5"/>
        </w:tcBorders>
        <w:shd w:val="clear" w:color="auto" w:fill="FFFFFF" w:themeFill="background1"/>
      </w:tcPr>
    </w:tblStylePr>
    <w:tblStylePr w:type="band1Vert">
      <w:tblPr/>
      <w:tcPr>
        <w:shd w:val="clear" w:color="auto" w:fill="DEEEDF" w:themeFill="accent5" w:themeFillTint="33"/>
      </w:tcPr>
    </w:tblStylePr>
    <w:tblStylePr w:type="band1Horz">
      <w:tblPr/>
      <w:tcPr>
        <w:shd w:val="clear" w:color="auto" w:fill="DEEE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C0401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6643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6643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6643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6643C" w:themeColor="accent6"/>
        </w:tcBorders>
        <w:shd w:val="clear" w:color="auto" w:fill="FFFFFF" w:themeFill="background1"/>
      </w:tcPr>
    </w:tblStylePr>
    <w:tblStylePr w:type="band1Vert">
      <w:tblPr/>
      <w:tcPr>
        <w:shd w:val="clear" w:color="auto" w:fill="FAE0D8" w:themeFill="accent6" w:themeFillTint="33"/>
      </w:tcPr>
    </w:tblStylePr>
    <w:tblStylePr w:type="band1Horz">
      <w:tblPr/>
      <w:tcPr>
        <w:shd w:val="clear" w:color="auto" w:fill="FAE0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insideV w:val="single" w:sz="8" w:space="0" w:color="465D6D" w:themeColor="accent1" w:themeTint="BF"/>
      </w:tblBorders>
    </w:tblPr>
    <w:tcPr>
      <w:shd w:val="clear" w:color="auto" w:fill="BCCAD4" w:themeFill="accent1" w:themeFillTint="3F"/>
    </w:tcPr>
    <w:tblStylePr w:type="firstRow">
      <w:rPr>
        <w:b/>
        <w:bCs/>
      </w:rPr>
    </w:tblStylePr>
    <w:tblStylePr w:type="lastRow">
      <w:rPr>
        <w:b/>
        <w:bCs/>
      </w:rPr>
      <w:tblPr/>
      <w:tcPr>
        <w:tcBorders>
          <w:top w:val="single" w:sz="18" w:space="0" w:color="465D6D" w:themeColor="accent1" w:themeTint="BF"/>
        </w:tcBorders>
      </w:tcPr>
    </w:tblStylePr>
    <w:tblStylePr w:type="firstCol">
      <w:rPr>
        <w:b/>
        <w:bCs/>
      </w:rPr>
    </w:tblStylePr>
    <w:tblStylePr w:type="lastCol">
      <w:rPr>
        <w:b/>
        <w:bCs/>
      </w:rPr>
    </w:tblStylePr>
    <w:tblStylePr w:type="band1Vert">
      <w:tblPr/>
      <w:tcPr>
        <w:shd w:val="clear" w:color="auto" w:fill="7995A9" w:themeFill="accent1" w:themeFillTint="7F"/>
      </w:tcPr>
    </w:tblStylePr>
    <w:tblStylePr w:type="band1Horz">
      <w:tblPr/>
      <w:tcPr>
        <w:shd w:val="clear" w:color="auto" w:fill="7995A9"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insideV w:val="single" w:sz="8" w:space="0" w:color="00C6E4" w:themeColor="accent2" w:themeTint="BF"/>
      </w:tblBorders>
    </w:tblPr>
    <w:tcPr>
      <w:shd w:val="clear" w:color="auto" w:fill="A2F2FF" w:themeFill="accent2" w:themeFillTint="3F"/>
    </w:tcPr>
    <w:tblStylePr w:type="firstRow">
      <w:rPr>
        <w:b/>
        <w:bCs/>
      </w:rPr>
    </w:tblStylePr>
    <w:tblStylePr w:type="lastRow">
      <w:rPr>
        <w:b/>
        <w:bCs/>
      </w:rPr>
      <w:tblPr/>
      <w:tcPr>
        <w:tcBorders>
          <w:top w:val="single" w:sz="18" w:space="0" w:color="00C6E4" w:themeColor="accent2" w:themeTint="BF"/>
        </w:tcBorders>
      </w:tcPr>
    </w:tblStylePr>
    <w:tblStylePr w:type="firstCol">
      <w:rPr>
        <w:b/>
        <w:bCs/>
      </w:rPr>
    </w:tblStylePr>
    <w:tblStylePr w:type="lastCol">
      <w:rPr>
        <w:b/>
        <w:bCs/>
      </w:rPr>
    </w:tblStylePr>
    <w:tblStylePr w:type="band1Vert">
      <w:tblPr/>
      <w:tcPr>
        <w:shd w:val="clear" w:color="auto" w:fill="43E6FF" w:themeFill="accent2" w:themeFillTint="7F"/>
      </w:tcPr>
    </w:tblStylePr>
    <w:tblStylePr w:type="band1Horz">
      <w:tblPr/>
      <w:tcPr>
        <w:shd w:val="clear" w:color="auto" w:fill="43E6FF"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insideV w:val="single" w:sz="8" w:space="0" w:color="83CAF0" w:themeColor="accent3" w:themeTint="BF"/>
      </w:tblBorders>
    </w:tblPr>
    <w:tcPr>
      <w:shd w:val="clear" w:color="auto" w:fill="D5EDFA" w:themeFill="accent3" w:themeFillTint="3F"/>
    </w:tcPr>
    <w:tblStylePr w:type="firstRow">
      <w:rPr>
        <w:b/>
        <w:bCs/>
      </w:rPr>
    </w:tblStylePr>
    <w:tblStylePr w:type="lastRow">
      <w:rPr>
        <w:b/>
        <w:bCs/>
      </w:rPr>
      <w:tblPr/>
      <w:tcPr>
        <w:tcBorders>
          <w:top w:val="single" w:sz="18" w:space="0" w:color="83CAF0" w:themeColor="accent3" w:themeTint="BF"/>
        </w:tcBorders>
      </w:tcPr>
    </w:tblStylePr>
    <w:tblStylePr w:type="firstCol">
      <w:rPr>
        <w:b/>
        <w:bCs/>
      </w:rPr>
    </w:tblStylePr>
    <w:tblStylePr w:type="lastCol">
      <w:rPr>
        <w:b/>
        <w:bCs/>
      </w:rPr>
    </w:tblStylePr>
    <w:tblStylePr w:type="band1Vert">
      <w:tblPr/>
      <w:tcPr>
        <w:shd w:val="clear" w:color="auto" w:fill="ACDCF5" w:themeFill="accent3" w:themeFillTint="7F"/>
      </w:tcPr>
    </w:tblStylePr>
    <w:tblStylePr w:type="band1Horz">
      <w:tblPr/>
      <w:tcPr>
        <w:shd w:val="clear" w:color="auto" w:fill="ACDCF5"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insideV w:val="single" w:sz="8" w:space="0" w:color="0078F1" w:themeColor="accent4" w:themeTint="BF"/>
      </w:tblBorders>
    </w:tblPr>
    <w:tcPr>
      <w:shd w:val="clear" w:color="auto" w:fill="A6D2FF" w:themeFill="accent4" w:themeFillTint="3F"/>
    </w:tcPr>
    <w:tblStylePr w:type="firstRow">
      <w:rPr>
        <w:b/>
        <w:bCs/>
      </w:rPr>
    </w:tblStylePr>
    <w:tblStylePr w:type="lastRow">
      <w:rPr>
        <w:b/>
        <w:bCs/>
      </w:rPr>
      <w:tblPr/>
      <w:tcPr>
        <w:tcBorders>
          <w:top w:val="single" w:sz="18" w:space="0" w:color="0078F1" w:themeColor="accent4" w:themeTint="BF"/>
        </w:tcBorders>
      </w:tcPr>
    </w:tblStylePr>
    <w:tblStylePr w:type="firstCol">
      <w:rPr>
        <w:b/>
        <w:bCs/>
      </w:rPr>
    </w:tblStylePr>
    <w:tblStylePr w:type="lastCol">
      <w:rPr>
        <w:b/>
        <w:bCs/>
      </w:rPr>
    </w:tblStylePr>
    <w:tblStylePr w:type="band1Vert">
      <w:tblPr/>
      <w:tcPr>
        <w:shd w:val="clear" w:color="auto" w:fill="4CA5FF" w:themeFill="accent4" w:themeFillTint="7F"/>
      </w:tcPr>
    </w:tblStylePr>
    <w:tblStylePr w:type="band1Horz">
      <w:tblPr/>
      <w:tcPr>
        <w:shd w:val="clear" w:color="auto" w:fill="4CA5FF"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insideV w:val="single" w:sz="8" w:space="0" w:color="83BF8A" w:themeColor="accent5" w:themeTint="BF"/>
      </w:tblBorders>
    </w:tblPr>
    <w:tcPr>
      <w:shd w:val="clear" w:color="auto" w:fill="D6EAD8" w:themeFill="accent5" w:themeFillTint="3F"/>
    </w:tcPr>
    <w:tblStylePr w:type="firstRow">
      <w:rPr>
        <w:b/>
        <w:bCs/>
      </w:rPr>
    </w:tblStylePr>
    <w:tblStylePr w:type="lastRow">
      <w:rPr>
        <w:b/>
        <w:bCs/>
      </w:rPr>
      <w:tblPr/>
      <w:tcPr>
        <w:tcBorders>
          <w:top w:val="single" w:sz="18" w:space="0" w:color="83BF8A" w:themeColor="accent5" w:themeTint="BF"/>
        </w:tcBorders>
      </w:tcPr>
    </w:tblStylePr>
    <w:tblStylePr w:type="firstCol">
      <w:rPr>
        <w:b/>
        <w:bCs/>
      </w:rPr>
    </w:tblStylePr>
    <w:tblStylePr w:type="lastCol">
      <w:rPr>
        <w:b/>
        <w:bCs/>
      </w:rPr>
    </w:tblStylePr>
    <w:tblStylePr w:type="band1Vert">
      <w:tblPr/>
      <w:tcPr>
        <w:shd w:val="clear" w:color="auto" w:fill="ACD4B1" w:themeFill="accent5" w:themeFillTint="7F"/>
      </w:tcPr>
    </w:tblStylePr>
    <w:tblStylePr w:type="band1Horz">
      <w:tblPr/>
      <w:tcPr>
        <w:shd w:val="clear" w:color="auto" w:fill="ACD4B1"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insideV w:val="single" w:sz="8" w:space="0" w:color="EC8A6C" w:themeColor="accent6" w:themeTint="BF"/>
      </w:tblBorders>
    </w:tblPr>
    <w:tcPr>
      <w:shd w:val="clear" w:color="auto" w:fill="F8D8CE" w:themeFill="accent6" w:themeFillTint="3F"/>
    </w:tcPr>
    <w:tblStylePr w:type="firstRow">
      <w:rPr>
        <w:b/>
        <w:bCs/>
      </w:rPr>
    </w:tblStylePr>
    <w:tblStylePr w:type="lastRow">
      <w:rPr>
        <w:b/>
        <w:bCs/>
      </w:rPr>
      <w:tblPr/>
      <w:tcPr>
        <w:tcBorders>
          <w:top w:val="single" w:sz="18" w:space="0" w:color="EC8A6C" w:themeColor="accent6" w:themeTint="BF"/>
        </w:tcBorders>
      </w:tcPr>
    </w:tblStylePr>
    <w:tblStylePr w:type="firstCol">
      <w:rPr>
        <w:b/>
        <w:bCs/>
      </w:rPr>
    </w:tblStylePr>
    <w:tblStylePr w:type="lastCol">
      <w:rPr>
        <w:b/>
        <w:bCs/>
      </w:rPr>
    </w:tblStylePr>
    <w:tblStylePr w:type="band1Vert">
      <w:tblPr/>
      <w:tcPr>
        <w:shd w:val="clear" w:color="auto" w:fill="F2B19D" w:themeFill="accent6" w:themeFillTint="7F"/>
      </w:tcPr>
    </w:tblStylePr>
    <w:tblStylePr w:type="band1Horz">
      <w:tblPr/>
      <w:tcPr>
        <w:shd w:val="clear" w:color="auto" w:fill="F2B19D"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insideH w:val="single" w:sz="8" w:space="0" w:color="1B242A" w:themeColor="accent1"/>
        <w:insideV w:val="single" w:sz="8" w:space="0" w:color="1B242A" w:themeColor="accent1"/>
      </w:tblBorders>
    </w:tblPr>
    <w:tcPr>
      <w:shd w:val="clear" w:color="auto" w:fill="BCCAD4" w:themeFill="accent1" w:themeFillTint="3F"/>
    </w:tcPr>
    <w:tblStylePr w:type="firstRow">
      <w:rPr>
        <w:b/>
        <w:bCs/>
        <w:color w:val="000000" w:themeColor="text1"/>
      </w:rPr>
      <w:tblPr/>
      <w:tcPr>
        <w:shd w:val="clear" w:color="auto" w:fill="E4EA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D4DC" w:themeFill="accent1" w:themeFillTint="33"/>
      </w:tcPr>
    </w:tblStylePr>
    <w:tblStylePr w:type="band1Vert">
      <w:tblPr/>
      <w:tcPr>
        <w:shd w:val="clear" w:color="auto" w:fill="7995A9" w:themeFill="accent1" w:themeFillTint="7F"/>
      </w:tcPr>
    </w:tblStylePr>
    <w:tblStylePr w:type="band1Horz">
      <w:tblPr/>
      <w:tcPr>
        <w:tcBorders>
          <w:insideH w:val="single" w:sz="6" w:space="0" w:color="1B242A" w:themeColor="accent1"/>
          <w:insideV w:val="single" w:sz="6" w:space="0" w:color="1B242A" w:themeColor="accent1"/>
        </w:tcBorders>
        <w:shd w:val="clear" w:color="auto" w:fill="7995A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insideH w:val="single" w:sz="8" w:space="0" w:color="007586" w:themeColor="accent2"/>
        <w:insideV w:val="single" w:sz="8" w:space="0" w:color="007586" w:themeColor="accent2"/>
      </w:tblBorders>
    </w:tblPr>
    <w:tcPr>
      <w:shd w:val="clear" w:color="auto" w:fill="A2F2FF" w:themeFill="accent2" w:themeFillTint="3F"/>
    </w:tcPr>
    <w:tblStylePr w:type="firstRow">
      <w:rPr>
        <w:b/>
        <w:bCs/>
        <w:color w:val="000000" w:themeColor="text1"/>
      </w:rPr>
      <w:tblPr/>
      <w:tcPr>
        <w:shd w:val="clear" w:color="auto" w:fill="DAFA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5FF" w:themeFill="accent2" w:themeFillTint="33"/>
      </w:tcPr>
    </w:tblStylePr>
    <w:tblStylePr w:type="band1Vert">
      <w:tblPr/>
      <w:tcPr>
        <w:shd w:val="clear" w:color="auto" w:fill="43E6FF" w:themeFill="accent2" w:themeFillTint="7F"/>
      </w:tcPr>
    </w:tblStylePr>
    <w:tblStylePr w:type="band1Horz">
      <w:tblPr/>
      <w:tcPr>
        <w:tcBorders>
          <w:insideH w:val="single" w:sz="6" w:space="0" w:color="007586" w:themeColor="accent2"/>
          <w:insideV w:val="single" w:sz="6" w:space="0" w:color="007586" w:themeColor="accent2"/>
        </w:tcBorders>
        <w:shd w:val="clear" w:color="auto" w:fill="43E6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insideH w:val="single" w:sz="8" w:space="0" w:color="5AB9EB" w:themeColor="accent3"/>
        <w:insideV w:val="single" w:sz="8" w:space="0" w:color="5AB9EB" w:themeColor="accent3"/>
      </w:tblBorders>
    </w:tblPr>
    <w:tcPr>
      <w:shd w:val="clear" w:color="auto" w:fill="D5EDFA" w:themeFill="accent3" w:themeFillTint="3F"/>
    </w:tcPr>
    <w:tblStylePr w:type="firstRow">
      <w:rPr>
        <w:b/>
        <w:bCs/>
        <w:color w:val="000000" w:themeColor="text1"/>
      </w:rPr>
      <w:tblPr/>
      <w:tcPr>
        <w:shd w:val="clear" w:color="auto" w:fill="EEF8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B" w:themeFill="accent3" w:themeFillTint="33"/>
      </w:tcPr>
    </w:tblStylePr>
    <w:tblStylePr w:type="band1Vert">
      <w:tblPr/>
      <w:tcPr>
        <w:shd w:val="clear" w:color="auto" w:fill="ACDCF5" w:themeFill="accent3" w:themeFillTint="7F"/>
      </w:tcPr>
    </w:tblStylePr>
    <w:tblStylePr w:type="band1Horz">
      <w:tblPr/>
      <w:tcPr>
        <w:tcBorders>
          <w:insideH w:val="single" w:sz="6" w:space="0" w:color="5AB9EB" w:themeColor="accent3"/>
          <w:insideV w:val="single" w:sz="6" w:space="0" w:color="5AB9EB" w:themeColor="accent3"/>
        </w:tcBorders>
        <w:shd w:val="clear" w:color="auto" w:fill="ACDCF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insideH w:val="single" w:sz="8" w:space="0" w:color="004C97" w:themeColor="accent4"/>
        <w:insideV w:val="single" w:sz="8" w:space="0" w:color="004C97" w:themeColor="accent4"/>
      </w:tblBorders>
    </w:tblPr>
    <w:tcPr>
      <w:shd w:val="clear" w:color="auto" w:fill="A6D2FF" w:themeFill="accent4" w:themeFillTint="3F"/>
    </w:tcPr>
    <w:tblStylePr w:type="firstRow">
      <w:rPr>
        <w:b/>
        <w:bCs/>
        <w:color w:val="000000" w:themeColor="text1"/>
      </w:rPr>
      <w:tblPr/>
      <w:tcPr>
        <w:shd w:val="clear" w:color="auto" w:fill="DBED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DBFF" w:themeFill="accent4" w:themeFillTint="33"/>
      </w:tcPr>
    </w:tblStylePr>
    <w:tblStylePr w:type="band1Vert">
      <w:tblPr/>
      <w:tcPr>
        <w:shd w:val="clear" w:color="auto" w:fill="4CA5FF" w:themeFill="accent4" w:themeFillTint="7F"/>
      </w:tcPr>
    </w:tblStylePr>
    <w:tblStylePr w:type="band1Horz">
      <w:tblPr/>
      <w:tcPr>
        <w:tcBorders>
          <w:insideH w:val="single" w:sz="6" w:space="0" w:color="004C97" w:themeColor="accent4"/>
          <w:insideV w:val="single" w:sz="6" w:space="0" w:color="004C97" w:themeColor="accent4"/>
        </w:tcBorders>
        <w:shd w:val="clear" w:color="auto" w:fill="4CA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insideH w:val="single" w:sz="8" w:space="0" w:color="5AAA64" w:themeColor="accent5"/>
        <w:insideV w:val="single" w:sz="8" w:space="0" w:color="5AAA64" w:themeColor="accent5"/>
      </w:tblBorders>
    </w:tblPr>
    <w:tcPr>
      <w:shd w:val="clear" w:color="auto" w:fill="D6EAD8" w:themeFill="accent5" w:themeFillTint="3F"/>
    </w:tcPr>
    <w:tblStylePr w:type="firstRow">
      <w:rPr>
        <w:b/>
        <w:bCs/>
        <w:color w:val="000000" w:themeColor="text1"/>
      </w:rPr>
      <w:tblPr/>
      <w:tcPr>
        <w:shd w:val="clear" w:color="auto" w:fill="EEF6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EDF" w:themeFill="accent5" w:themeFillTint="33"/>
      </w:tcPr>
    </w:tblStylePr>
    <w:tblStylePr w:type="band1Vert">
      <w:tblPr/>
      <w:tcPr>
        <w:shd w:val="clear" w:color="auto" w:fill="ACD4B1" w:themeFill="accent5" w:themeFillTint="7F"/>
      </w:tcPr>
    </w:tblStylePr>
    <w:tblStylePr w:type="band1Horz">
      <w:tblPr/>
      <w:tcPr>
        <w:tcBorders>
          <w:insideH w:val="single" w:sz="6" w:space="0" w:color="5AAA64" w:themeColor="accent5"/>
          <w:insideV w:val="single" w:sz="6" w:space="0" w:color="5AAA64" w:themeColor="accent5"/>
        </w:tcBorders>
        <w:shd w:val="clear" w:color="auto" w:fill="ACD4B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insideH w:val="single" w:sz="8" w:space="0" w:color="E6643C" w:themeColor="accent6"/>
        <w:insideV w:val="single" w:sz="8" w:space="0" w:color="E6643C" w:themeColor="accent6"/>
      </w:tblBorders>
    </w:tblPr>
    <w:tcPr>
      <w:shd w:val="clear" w:color="auto" w:fill="F8D8CE" w:themeFill="accent6" w:themeFillTint="3F"/>
    </w:tcPr>
    <w:tblStylePr w:type="firstRow">
      <w:rPr>
        <w:b/>
        <w:bCs/>
        <w:color w:val="000000" w:themeColor="text1"/>
      </w:rPr>
      <w:tblPr/>
      <w:tcPr>
        <w:shd w:val="clear" w:color="auto" w:fill="FCEFE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0D8" w:themeFill="accent6" w:themeFillTint="33"/>
      </w:tcPr>
    </w:tblStylePr>
    <w:tblStylePr w:type="band1Vert">
      <w:tblPr/>
      <w:tcPr>
        <w:shd w:val="clear" w:color="auto" w:fill="F2B19D" w:themeFill="accent6" w:themeFillTint="7F"/>
      </w:tcPr>
    </w:tblStylePr>
    <w:tblStylePr w:type="band1Horz">
      <w:tblPr/>
      <w:tcPr>
        <w:tcBorders>
          <w:insideH w:val="single" w:sz="6" w:space="0" w:color="E6643C" w:themeColor="accent6"/>
          <w:insideV w:val="single" w:sz="6" w:space="0" w:color="E6643C" w:themeColor="accent6"/>
        </w:tcBorders>
        <w:shd w:val="clear" w:color="auto" w:fill="F2B19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A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242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242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242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95A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95A9"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2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58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58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58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6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6FF"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ED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B9E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B9E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B9E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CF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CF5"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6D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C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C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C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CA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CA5FF"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A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A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A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A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4B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4B1"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8C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6643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6643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6643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B19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B19D"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1B242A" w:themeColor="accent1"/>
        <w:bottom w:val="single" w:sz="8" w:space="0" w:color="1B242A" w:themeColor="accent1"/>
      </w:tblBorders>
    </w:tblPr>
    <w:tblStylePr w:type="firstRow">
      <w:rPr>
        <w:rFonts w:asciiTheme="majorHAnsi" w:eastAsiaTheme="majorEastAsia" w:hAnsiTheme="majorHAnsi" w:cstheme="majorBidi"/>
      </w:rPr>
      <w:tblPr/>
      <w:tcPr>
        <w:tcBorders>
          <w:top w:val="nil"/>
          <w:bottom w:val="single" w:sz="8" w:space="0" w:color="1B242A" w:themeColor="accent1"/>
        </w:tcBorders>
      </w:tcPr>
    </w:tblStylePr>
    <w:tblStylePr w:type="lastRow">
      <w:rPr>
        <w:b/>
        <w:bCs/>
        <w:color w:val="007586" w:themeColor="text2"/>
      </w:rPr>
      <w:tblPr/>
      <w:tcPr>
        <w:tcBorders>
          <w:top w:val="single" w:sz="8" w:space="0" w:color="1B242A" w:themeColor="accent1"/>
          <w:bottom w:val="single" w:sz="8" w:space="0" w:color="1B242A" w:themeColor="accent1"/>
        </w:tcBorders>
      </w:tcPr>
    </w:tblStylePr>
    <w:tblStylePr w:type="firstCol">
      <w:rPr>
        <w:b/>
        <w:bCs/>
      </w:rPr>
    </w:tblStylePr>
    <w:tblStylePr w:type="lastCol">
      <w:rPr>
        <w:b/>
        <w:bCs/>
      </w:rPr>
      <w:tblPr/>
      <w:tcPr>
        <w:tcBorders>
          <w:top w:val="single" w:sz="8" w:space="0" w:color="1B242A" w:themeColor="accent1"/>
          <w:bottom w:val="single" w:sz="8" w:space="0" w:color="1B242A" w:themeColor="accent1"/>
        </w:tcBorders>
      </w:tcPr>
    </w:tblStylePr>
    <w:tblStylePr w:type="band1Vert">
      <w:tblPr/>
      <w:tcPr>
        <w:shd w:val="clear" w:color="auto" w:fill="BCCAD4" w:themeFill="accent1" w:themeFillTint="3F"/>
      </w:tcPr>
    </w:tblStylePr>
    <w:tblStylePr w:type="band1Horz">
      <w:tblPr/>
      <w:tcPr>
        <w:shd w:val="clear" w:color="auto" w:fill="BCCAD4"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7586" w:themeColor="accent2"/>
        <w:bottom w:val="single" w:sz="8" w:space="0" w:color="007586" w:themeColor="accent2"/>
      </w:tblBorders>
    </w:tblPr>
    <w:tblStylePr w:type="firstRow">
      <w:rPr>
        <w:rFonts w:asciiTheme="majorHAnsi" w:eastAsiaTheme="majorEastAsia" w:hAnsiTheme="majorHAnsi" w:cstheme="majorBidi"/>
      </w:rPr>
      <w:tblPr/>
      <w:tcPr>
        <w:tcBorders>
          <w:top w:val="nil"/>
          <w:bottom w:val="single" w:sz="8" w:space="0" w:color="007586" w:themeColor="accent2"/>
        </w:tcBorders>
      </w:tcPr>
    </w:tblStylePr>
    <w:tblStylePr w:type="lastRow">
      <w:rPr>
        <w:b/>
        <w:bCs/>
        <w:color w:val="007586" w:themeColor="text2"/>
      </w:rPr>
      <w:tblPr/>
      <w:tcPr>
        <w:tcBorders>
          <w:top w:val="single" w:sz="8" w:space="0" w:color="007586" w:themeColor="accent2"/>
          <w:bottom w:val="single" w:sz="8" w:space="0" w:color="007586" w:themeColor="accent2"/>
        </w:tcBorders>
      </w:tcPr>
    </w:tblStylePr>
    <w:tblStylePr w:type="firstCol">
      <w:rPr>
        <w:b/>
        <w:bCs/>
      </w:rPr>
    </w:tblStylePr>
    <w:tblStylePr w:type="lastCol">
      <w:rPr>
        <w:b/>
        <w:bCs/>
      </w:rPr>
      <w:tblPr/>
      <w:tcPr>
        <w:tcBorders>
          <w:top w:val="single" w:sz="8" w:space="0" w:color="007586" w:themeColor="accent2"/>
          <w:bottom w:val="single" w:sz="8" w:space="0" w:color="007586" w:themeColor="accent2"/>
        </w:tcBorders>
      </w:tcPr>
    </w:tblStylePr>
    <w:tblStylePr w:type="band1Vert">
      <w:tblPr/>
      <w:tcPr>
        <w:shd w:val="clear" w:color="auto" w:fill="A2F2FF" w:themeFill="accent2" w:themeFillTint="3F"/>
      </w:tcPr>
    </w:tblStylePr>
    <w:tblStylePr w:type="band1Horz">
      <w:tblPr/>
      <w:tcPr>
        <w:shd w:val="clear" w:color="auto" w:fill="A2F2FF"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B9EB" w:themeColor="accent3"/>
        <w:bottom w:val="single" w:sz="8" w:space="0" w:color="5AB9EB" w:themeColor="accent3"/>
      </w:tblBorders>
    </w:tblPr>
    <w:tblStylePr w:type="firstRow">
      <w:rPr>
        <w:rFonts w:asciiTheme="majorHAnsi" w:eastAsiaTheme="majorEastAsia" w:hAnsiTheme="majorHAnsi" w:cstheme="majorBidi"/>
      </w:rPr>
      <w:tblPr/>
      <w:tcPr>
        <w:tcBorders>
          <w:top w:val="nil"/>
          <w:bottom w:val="single" w:sz="8" w:space="0" w:color="5AB9EB" w:themeColor="accent3"/>
        </w:tcBorders>
      </w:tcPr>
    </w:tblStylePr>
    <w:tblStylePr w:type="lastRow">
      <w:rPr>
        <w:b/>
        <w:bCs/>
        <w:color w:val="007586" w:themeColor="text2"/>
      </w:rPr>
      <w:tblPr/>
      <w:tcPr>
        <w:tcBorders>
          <w:top w:val="single" w:sz="8" w:space="0" w:color="5AB9EB" w:themeColor="accent3"/>
          <w:bottom w:val="single" w:sz="8" w:space="0" w:color="5AB9EB" w:themeColor="accent3"/>
        </w:tcBorders>
      </w:tcPr>
    </w:tblStylePr>
    <w:tblStylePr w:type="firstCol">
      <w:rPr>
        <w:b/>
        <w:bCs/>
      </w:rPr>
    </w:tblStylePr>
    <w:tblStylePr w:type="lastCol">
      <w:rPr>
        <w:b/>
        <w:bCs/>
      </w:rPr>
      <w:tblPr/>
      <w:tcPr>
        <w:tcBorders>
          <w:top w:val="single" w:sz="8" w:space="0" w:color="5AB9EB" w:themeColor="accent3"/>
          <w:bottom w:val="single" w:sz="8" w:space="0" w:color="5AB9EB" w:themeColor="accent3"/>
        </w:tcBorders>
      </w:tcPr>
    </w:tblStylePr>
    <w:tblStylePr w:type="band1Vert">
      <w:tblPr/>
      <w:tcPr>
        <w:shd w:val="clear" w:color="auto" w:fill="D5EDFA" w:themeFill="accent3" w:themeFillTint="3F"/>
      </w:tcPr>
    </w:tblStylePr>
    <w:tblStylePr w:type="band1Horz">
      <w:tblPr/>
      <w:tcPr>
        <w:shd w:val="clear" w:color="auto" w:fill="D5EDFA"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4C97" w:themeColor="accent4"/>
        <w:bottom w:val="single" w:sz="8" w:space="0" w:color="004C97" w:themeColor="accent4"/>
      </w:tblBorders>
    </w:tblPr>
    <w:tblStylePr w:type="firstRow">
      <w:rPr>
        <w:rFonts w:asciiTheme="majorHAnsi" w:eastAsiaTheme="majorEastAsia" w:hAnsiTheme="majorHAnsi" w:cstheme="majorBidi"/>
      </w:rPr>
      <w:tblPr/>
      <w:tcPr>
        <w:tcBorders>
          <w:top w:val="nil"/>
          <w:bottom w:val="single" w:sz="8" w:space="0" w:color="004C97" w:themeColor="accent4"/>
        </w:tcBorders>
      </w:tcPr>
    </w:tblStylePr>
    <w:tblStylePr w:type="lastRow">
      <w:rPr>
        <w:b/>
        <w:bCs/>
        <w:color w:val="007586" w:themeColor="text2"/>
      </w:rPr>
      <w:tblPr/>
      <w:tcPr>
        <w:tcBorders>
          <w:top w:val="single" w:sz="8" w:space="0" w:color="004C97" w:themeColor="accent4"/>
          <w:bottom w:val="single" w:sz="8" w:space="0" w:color="004C97" w:themeColor="accent4"/>
        </w:tcBorders>
      </w:tcPr>
    </w:tblStylePr>
    <w:tblStylePr w:type="firstCol">
      <w:rPr>
        <w:b/>
        <w:bCs/>
      </w:rPr>
    </w:tblStylePr>
    <w:tblStylePr w:type="lastCol">
      <w:rPr>
        <w:b/>
        <w:bCs/>
      </w:rPr>
      <w:tblPr/>
      <w:tcPr>
        <w:tcBorders>
          <w:top w:val="single" w:sz="8" w:space="0" w:color="004C97" w:themeColor="accent4"/>
          <w:bottom w:val="single" w:sz="8" w:space="0" w:color="004C97" w:themeColor="accent4"/>
        </w:tcBorders>
      </w:tcPr>
    </w:tblStylePr>
    <w:tblStylePr w:type="band1Vert">
      <w:tblPr/>
      <w:tcPr>
        <w:shd w:val="clear" w:color="auto" w:fill="A6D2FF" w:themeFill="accent4" w:themeFillTint="3F"/>
      </w:tcPr>
    </w:tblStylePr>
    <w:tblStylePr w:type="band1Horz">
      <w:tblPr/>
      <w:tcPr>
        <w:shd w:val="clear" w:color="auto" w:fill="A6D2FF"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5AAA64" w:themeColor="accent5"/>
        <w:bottom w:val="single" w:sz="8" w:space="0" w:color="5AAA64" w:themeColor="accent5"/>
      </w:tblBorders>
    </w:tblPr>
    <w:tblStylePr w:type="firstRow">
      <w:rPr>
        <w:rFonts w:asciiTheme="majorHAnsi" w:eastAsiaTheme="majorEastAsia" w:hAnsiTheme="majorHAnsi" w:cstheme="majorBidi"/>
      </w:rPr>
      <w:tblPr/>
      <w:tcPr>
        <w:tcBorders>
          <w:top w:val="nil"/>
          <w:bottom w:val="single" w:sz="8" w:space="0" w:color="5AAA64" w:themeColor="accent5"/>
        </w:tcBorders>
      </w:tcPr>
    </w:tblStylePr>
    <w:tblStylePr w:type="lastRow">
      <w:rPr>
        <w:b/>
        <w:bCs/>
        <w:color w:val="007586" w:themeColor="text2"/>
      </w:rPr>
      <w:tblPr/>
      <w:tcPr>
        <w:tcBorders>
          <w:top w:val="single" w:sz="8" w:space="0" w:color="5AAA64" w:themeColor="accent5"/>
          <w:bottom w:val="single" w:sz="8" w:space="0" w:color="5AAA64" w:themeColor="accent5"/>
        </w:tcBorders>
      </w:tcPr>
    </w:tblStylePr>
    <w:tblStylePr w:type="firstCol">
      <w:rPr>
        <w:b/>
        <w:bCs/>
      </w:rPr>
    </w:tblStylePr>
    <w:tblStylePr w:type="lastCol">
      <w:rPr>
        <w:b/>
        <w:bCs/>
      </w:rPr>
      <w:tblPr/>
      <w:tcPr>
        <w:tcBorders>
          <w:top w:val="single" w:sz="8" w:space="0" w:color="5AAA64" w:themeColor="accent5"/>
          <w:bottom w:val="single" w:sz="8" w:space="0" w:color="5AAA64" w:themeColor="accent5"/>
        </w:tcBorders>
      </w:tcPr>
    </w:tblStylePr>
    <w:tblStylePr w:type="band1Vert">
      <w:tblPr/>
      <w:tcPr>
        <w:shd w:val="clear" w:color="auto" w:fill="D6EAD8" w:themeFill="accent5" w:themeFillTint="3F"/>
      </w:tcPr>
    </w:tblStylePr>
    <w:tblStylePr w:type="band1Horz">
      <w:tblPr/>
      <w:tcPr>
        <w:shd w:val="clear" w:color="auto" w:fill="D6EAD8"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E6643C" w:themeColor="accent6"/>
        <w:bottom w:val="single" w:sz="8" w:space="0" w:color="E6643C" w:themeColor="accent6"/>
      </w:tblBorders>
    </w:tblPr>
    <w:tblStylePr w:type="firstRow">
      <w:rPr>
        <w:rFonts w:asciiTheme="majorHAnsi" w:eastAsiaTheme="majorEastAsia" w:hAnsiTheme="majorHAnsi" w:cstheme="majorBidi"/>
      </w:rPr>
      <w:tblPr/>
      <w:tcPr>
        <w:tcBorders>
          <w:top w:val="nil"/>
          <w:bottom w:val="single" w:sz="8" w:space="0" w:color="E6643C" w:themeColor="accent6"/>
        </w:tcBorders>
      </w:tcPr>
    </w:tblStylePr>
    <w:tblStylePr w:type="lastRow">
      <w:rPr>
        <w:b/>
        <w:bCs/>
        <w:color w:val="007586" w:themeColor="text2"/>
      </w:rPr>
      <w:tblPr/>
      <w:tcPr>
        <w:tcBorders>
          <w:top w:val="single" w:sz="8" w:space="0" w:color="E6643C" w:themeColor="accent6"/>
          <w:bottom w:val="single" w:sz="8" w:space="0" w:color="E6643C" w:themeColor="accent6"/>
        </w:tcBorders>
      </w:tcPr>
    </w:tblStylePr>
    <w:tblStylePr w:type="firstCol">
      <w:rPr>
        <w:b/>
        <w:bCs/>
      </w:rPr>
    </w:tblStylePr>
    <w:tblStylePr w:type="lastCol">
      <w:rPr>
        <w:b/>
        <w:bCs/>
      </w:rPr>
      <w:tblPr/>
      <w:tcPr>
        <w:tcBorders>
          <w:top w:val="single" w:sz="8" w:space="0" w:color="E6643C" w:themeColor="accent6"/>
          <w:bottom w:val="single" w:sz="8" w:space="0" w:color="E6643C" w:themeColor="accent6"/>
        </w:tcBorders>
      </w:tcPr>
    </w:tblStylePr>
    <w:tblStylePr w:type="band1Vert">
      <w:tblPr/>
      <w:tcPr>
        <w:shd w:val="clear" w:color="auto" w:fill="F8D8CE" w:themeFill="accent6" w:themeFillTint="3F"/>
      </w:tcPr>
    </w:tblStylePr>
    <w:tblStylePr w:type="band1Horz">
      <w:tblPr/>
      <w:tcPr>
        <w:shd w:val="clear" w:color="auto" w:fill="F8D8CE"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242A" w:themeColor="accent1"/>
        <w:left w:val="single" w:sz="8" w:space="0" w:color="1B242A" w:themeColor="accent1"/>
        <w:bottom w:val="single" w:sz="8" w:space="0" w:color="1B242A" w:themeColor="accent1"/>
        <w:right w:val="single" w:sz="8" w:space="0" w:color="1B242A" w:themeColor="accent1"/>
      </w:tblBorders>
    </w:tblPr>
    <w:tblStylePr w:type="firstRow">
      <w:rPr>
        <w:sz w:val="24"/>
        <w:szCs w:val="24"/>
      </w:rPr>
      <w:tblPr/>
      <w:tcPr>
        <w:tcBorders>
          <w:top w:val="nil"/>
          <w:left w:val="nil"/>
          <w:bottom w:val="single" w:sz="24" w:space="0" w:color="1B242A" w:themeColor="accent1"/>
          <w:right w:val="nil"/>
          <w:insideH w:val="nil"/>
          <w:insideV w:val="nil"/>
        </w:tcBorders>
        <w:shd w:val="clear" w:color="auto" w:fill="FFFFFF" w:themeFill="background1"/>
      </w:tcPr>
    </w:tblStylePr>
    <w:tblStylePr w:type="lastRow">
      <w:tblPr/>
      <w:tcPr>
        <w:tcBorders>
          <w:top w:val="single" w:sz="8" w:space="0" w:color="1B242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42A" w:themeColor="accent1"/>
          <w:insideH w:val="nil"/>
          <w:insideV w:val="nil"/>
        </w:tcBorders>
        <w:shd w:val="clear" w:color="auto" w:fill="FFFFFF" w:themeFill="background1"/>
      </w:tcPr>
    </w:tblStylePr>
    <w:tblStylePr w:type="lastCol">
      <w:tblPr/>
      <w:tcPr>
        <w:tcBorders>
          <w:top w:val="nil"/>
          <w:left w:val="single" w:sz="8" w:space="0" w:color="1B242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AD4" w:themeFill="accent1" w:themeFillTint="3F"/>
      </w:tcPr>
    </w:tblStylePr>
    <w:tblStylePr w:type="band1Horz">
      <w:tblPr/>
      <w:tcPr>
        <w:tcBorders>
          <w:top w:val="nil"/>
          <w:bottom w:val="nil"/>
          <w:insideH w:val="nil"/>
          <w:insideV w:val="nil"/>
        </w:tcBorders>
        <w:shd w:val="clear" w:color="auto" w:fill="BCCA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7586" w:themeColor="accent2"/>
        <w:left w:val="single" w:sz="8" w:space="0" w:color="007586" w:themeColor="accent2"/>
        <w:bottom w:val="single" w:sz="8" w:space="0" w:color="007586" w:themeColor="accent2"/>
        <w:right w:val="single" w:sz="8" w:space="0" w:color="007586" w:themeColor="accent2"/>
      </w:tblBorders>
    </w:tblPr>
    <w:tblStylePr w:type="firstRow">
      <w:rPr>
        <w:sz w:val="24"/>
        <w:szCs w:val="24"/>
      </w:rPr>
      <w:tblPr/>
      <w:tcPr>
        <w:tcBorders>
          <w:top w:val="nil"/>
          <w:left w:val="nil"/>
          <w:bottom w:val="single" w:sz="24" w:space="0" w:color="007586" w:themeColor="accent2"/>
          <w:right w:val="nil"/>
          <w:insideH w:val="nil"/>
          <w:insideV w:val="nil"/>
        </w:tcBorders>
        <w:shd w:val="clear" w:color="auto" w:fill="FFFFFF" w:themeFill="background1"/>
      </w:tcPr>
    </w:tblStylePr>
    <w:tblStylePr w:type="lastRow">
      <w:tblPr/>
      <w:tcPr>
        <w:tcBorders>
          <w:top w:val="single" w:sz="8" w:space="0" w:color="0075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586" w:themeColor="accent2"/>
          <w:insideH w:val="nil"/>
          <w:insideV w:val="nil"/>
        </w:tcBorders>
        <w:shd w:val="clear" w:color="auto" w:fill="FFFFFF" w:themeFill="background1"/>
      </w:tcPr>
    </w:tblStylePr>
    <w:tblStylePr w:type="lastCol">
      <w:tblPr/>
      <w:tcPr>
        <w:tcBorders>
          <w:top w:val="nil"/>
          <w:left w:val="single" w:sz="8" w:space="0" w:color="0075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2FF" w:themeFill="accent2" w:themeFillTint="3F"/>
      </w:tcPr>
    </w:tblStylePr>
    <w:tblStylePr w:type="band1Horz">
      <w:tblPr/>
      <w:tcPr>
        <w:tcBorders>
          <w:top w:val="nil"/>
          <w:bottom w:val="nil"/>
          <w:insideH w:val="nil"/>
          <w:insideV w:val="nil"/>
        </w:tcBorders>
        <w:shd w:val="clear" w:color="auto" w:fill="A2F2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B9EB" w:themeColor="accent3"/>
        <w:left w:val="single" w:sz="8" w:space="0" w:color="5AB9EB" w:themeColor="accent3"/>
        <w:bottom w:val="single" w:sz="8" w:space="0" w:color="5AB9EB" w:themeColor="accent3"/>
        <w:right w:val="single" w:sz="8" w:space="0" w:color="5AB9EB" w:themeColor="accent3"/>
      </w:tblBorders>
    </w:tblPr>
    <w:tblStylePr w:type="firstRow">
      <w:rPr>
        <w:sz w:val="24"/>
        <w:szCs w:val="24"/>
      </w:rPr>
      <w:tblPr/>
      <w:tcPr>
        <w:tcBorders>
          <w:top w:val="nil"/>
          <w:left w:val="nil"/>
          <w:bottom w:val="single" w:sz="24" w:space="0" w:color="5AB9EB" w:themeColor="accent3"/>
          <w:right w:val="nil"/>
          <w:insideH w:val="nil"/>
          <w:insideV w:val="nil"/>
        </w:tcBorders>
        <w:shd w:val="clear" w:color="auto" w:fill="FFFFFF" w:themeFill="background1"/>
      </w:tcPr>
    </w:tblStylePr>
    <w:tblStylePr w:type="lastRow">
      <w:tblPr/>
      <w:tcPr>
        <w:tcBorders>
          <w:top w:val="single" w:sz="8" w:space="0" w:color="5AB9E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B9EB" w:themeColor="accent3"/>
          <w:insideH w:val="nil"/>
          <w:insideV w:val="nil"/>
        </w:tcBorders>
        <w:shd w:val="clear" w:color="auto" w:fill="FFFFFF" w:themeFill="background1"/>
      </w:tcPr>
    </w:tblStylePr>
    <w:tblStylePr w:type="lastCol">
      <w:tblPr/>
      <w:tcPr>
        <w:tcBorders>
          <w:top w:val="nil"/>
          <w:left w:val="single" w:sz="8" w:space="0" w:color="5AB9E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FA" w:themeFill="accent3" w:themeFillTint="3F"/>
      </w:tcPr>
    </w:tblStylePr>
    <w:tblStylePr w:type="band1Horz">
      <w:tblPr/>
      <w:tcPr>
        <w:tcBorders>
          <w:top w:val="nil"/>
          <w:bottom w:val="nil"/>
          <w:insideH w:val="nil"/>
          <w:insideV w:val="nil"/>
        </w:tcBorders>
        <w:shd w:val="clear" w:color="auto" w:fill="D5ED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4C97" w:themeColor="accent4"/>
        <w:left w:val="single" w:sz="8" w:space="0" w:color="004C97" w:themeColor="accent4"/>
        <w:bottom w:val="single" w:sz="8" w:space="0" w:color="004C97" w:themeColor="accent4"/>
        <w:right w:val="single" w:sz="8" w:space="0" w:color="004C97" w:themeColor="accent4"/>
      </w:tblBorders>
    </w:tblPr>
    <w:tblStylePr w:type="firstRow">
      <w:rPr>
        <w:sz w:val="24"/>
        <w:szCs w:val="24"/>
      </w:rPr>
      <w:tblPr/>
      <w:tcPr>
        <w:tcBorders>
          <w:top w:val="nil"/>
          <w:left w:val="nil"/>
          <w:bottom w:val="single" w:sz="24" w:space="0" w:color="004C97" w:themeColor="accent4"/>
          <w:right w:val="nil"/>
          <w:insideH w:val="nil"/>
          <w:insideV w:val="nil"/>
        </w:tcBorders>
        <w:shd w:val="clear" w:color="auto" w:fill="FFFFFF" w:themeFill="background1"/>
      </w:tcPr>
    </w:tblStylePr>
    <w:tblStylePr w:type="lastRow">
      <w:tblPr/>
      <w:tcPr>
        <w:tcBorders>
          <w:top w:val="single" w:sz="8" w:space="0" w:color="004C9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C97" w:themeColor="accent4"/>
          <w:insideH w:val="nil"/>
          <w:insideV w:val="nil"/>
        </w:tcBorders>
        <w:shd w:val="clear" w:color="auto" w:fill="FFFFFF" w:themeFill="background1"/>
      </w:tcPr>
    </w:tblStylePr>
    <w:tblStylePr w:type="lastCol">
      <w:tblPr/>
      <w:tcPr>
        <w:tcBorders>
          <w:top w:val="nil"/>
          <w:left w:val="single" w:sz="8" w:space="0" w:color="004C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D2FF" w:themeFill="accent4" w:themeFillTint="3F"/>
      </w:tcPr>
    </w:tblStylePr>
    <w:tblStylePr w:type="band1Horz">
      <w:tblPr/>
      <w:tcPr>
        <w:tcBorders>
          <w:top w:val="nil"/>
          <w:bottom w:val="nil"/>
          <w:insideH w:val="nil"/>
          <w:insideV w:val="nil"/>
        </w:tcBorders>
        <w:shd w:val="clear" w:color="auto" w:fill="A6D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AAA64" w:themeColor="accent5"/>
        <w:left w:val="single" w:sz="8" w:space="0" w:color="5AAA64" w:themeColor="accent5"/>
        <w:bottom w:val="single" w:sz="8" w:space="0" w:color="5AAA64" w:themeColor="accent5"/>
        <w:right w:val="single" w:sz="8" w:space="0" w:color="5AAA64" w:themeColor="accent5"/>
      </w:tblBorders>
    </w:tblPr>
    <w:tblStylePr w:type="firstRow">
      <w:rPr>
        <w:sz w:val="24"/>
        <w:szCs w:val="24"/>
      </w:rPr>
      <w:tblPr/>
      <w:tcPr>
        <w:tcBorders>
          <w:top w:val="nil"/>
          <w:left w:val="nil"/>
          <w:bottom w:val="single" w:sz="24" w:space="0" w:color="5AAA64" w:themeColor="accent5"/>
          <w:right w:val="nil"/>
          <w:insideH w:val="nil"/>
          <w:insideV w:val="nil"/>
        </w:tcBorders>
        <w:shd w:val="clear" w:color="auto" w:fill="FFFFFF" w:themeFill="background1"/>
      </w:tcPr>
    </w:tblStylePr>
    <w:tblStylePr w:type="lastRow">
      <w:tblPr/>
      <w:tcPr>
        <w:tcBorders>
          <w:top w:val="single" w:sz="8" w:space="0" w:color="5AAA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A64" w:themeColor="accent5"/>
          <w:insideH w:val="nil"/>
          <w:insideV w:val="nil"/>
        </w:tcBorders>
        <w:shd w:val="clear" w:color="auto" w:fill="FFFFFF" w:themeFill="background1"/>
      </w:tcPr>
    </w:tblStylePr>
    <w:tblStylePr w:type="lastCol">
      <w:tblPr/>
      <w:tcPr>
        <w:tcBorders>
          <w:top w:val="nil"/>
          <w:left w:val="single" w:sz="8" w:space="0" w:color="5AAA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AD8" w:themeFill="accent5" w:themeFillTint="3F"/>
      </w:tcPr>
    </w:tblStylePr>
    <w:tblStylePr w:type="band1Horz">
      <w:tblPr/>
      <w:tcPr>
        <w:tcBorders>
          <w:top w:val="nil"/>
          <w:bottom w:val="nil"/>
          <w:insideH w:val="nil"/>
          <w:insideV w:val="nil"/>
        </w:tcBorders>
        <w:shd w:val="clear" w:color="auto" w:fill="D6EA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6643C" w:themeColor="accent6"/>
        <w:left w:val="single" w:sz="8" w:space="0" w:color="E6643C" w:themeColor="accent6"/>
        <w:bottom w:val="single" w:sz="8" w:space="0" w:color="E6643C" w:themeColor="accent6"/>
        <w:right w:val="single" w:sz="8" w:space="0" w:color="E6643C" w:themeColor="accent6"/>
      </w:tblBorders>
    </w:tblPr>
    <w:tblStylePr w:type="firstRow">
      <w:rPr>
        <w:sz w:val="24"/>
        <w:szCs w:val="24"/>
      </w:rPr>
      <w:tblPr/>
      <w:tcPr>
        <w:tcBorders>
          <w:top w:val="nil"/>
          <w:left w:val="nil"/>
          <w:bottom w:val="single" w:sz="24" w:space="0" w:color="E6643C" w:themeColor="accent6"/>
          <w:right w:val="nil"/>
          <w:insideH w:val="nil"/>
          <w:insideV w:val="nil"/>
        </w:tcBorders>
        <w:shd w:val="clear" w:color="auto" w:fill="FFFFFF" w:themeFill="background1"/>
      </w:tcPr>
    </w:tblStylePr>
    <w:tblStylePr w:type="lastRow">
      <w:tblPr/>
      <w:tcPr>
        <w:tcBorders>
          <w:top w:val="single" w:sz="8" w:space="0" w:color="E6643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6643C" w:themeColor="accent6"/>
          <w:insideH w:val="nil"/>
          <w:insideV w:val="nil"/>
        </w:tcBorders>
        <w:shd w:val="clear" w:color="auto" w:fill="FFFFFF" w:themeFill="background1"/>
      </w:tcPr>
    </w:tblStylePr>
    <w:tblStylePr w:type="lastCol">
      <w:tblPr/>
      <w:tcPr>
        <w:tcBorders>
          <w:top w:val="nil"/>
          <w:left w:val="single" w:sz="8" w:space="0" w:color="E6643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8CE" w:themeFill="accent6" w:themeFillTint="3F"/>
      </w:tcPr>
    </w:tblStylePr>
    <w:tblStylePr w:type="band1Horz">
      <w:tblPr/>
      <w:tcPr>
        <w:tcBorders>
          <w:top w:val="nil"/>
          <w:bottom w:val="nil"/>
          <w:insideH w:val="nil"/>
          <w:insideV w:val="nil"/>
        </w:tcBorders>
        <w:shd w:val="clear" w:color="auto" w:fill="F8D8C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single" w:sz="8" w:space="0" w:color="465D6D" w:themeColor="accent1" w:themeTint="BF"/>
      </w:tblBorders>
    </w:tblPr>
    <w:tblStylePr w:type="firstRow">
      <w:pPr>
        <w:spacing w:before="0" w:after="0" w:line="240" w:lineRule="auto"/>
      </w:pPr>
      <w:rPr>
        <w:b/>
        <w:bCs/>
        <w:color w:val="FFFFFF" w:themeColor="background1"/>
      </w:rPr>
      <w:tblPr/>
      <w:tcPr>
        <w:tcBorders>
          <w:top w:val="single" w:sz="8"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shd w:val="clear" w:color="auto" w:fill="1B242A" w:themeFill="accent1"/>
      </w:tcPr>
    </w:tblStylePr>
    <w:tblStylePr w:type="lastRow">
      <w:pPr>
        <w:spacing w:before="0" w:after="0" w:line="240" w:lineRule="auto"/>
      </w:pPr>
      <w:rPr>
        <w:b/>
        <w:bCs/>
      </w:rPr>
      <w:tblPr/>
      <w:tcPr>
        <w:tcBorders>
          <w:top w:val="double" w:sz="6" w:space="0" w:color="465D6D" w:themeColor="accent1" w:themeTint="BF"/>
          <w:left w:val="single" w:sz="8" w:space="0" w:color="465D6D" w:themeColor="accent1" w:themeTint="BF"/>
          <w:bottom w:val="single" w:sz="8" w:space="0" w:color="465D6D" w:themeColor="accent1" w:themeTint="BF"/>
          <w:right w:val="single" w:sz="8" w:space="0" w:color="465D6D"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AD4" w:themeFill="accent1" w:themeFillTint="3F"/>
      </w:tcPr>
    </w:tblStylePr>
    <w:tblStylePr w:type="band1Horz">
      <w:tblPr/>
      <w:tcPr>
        <w:tcBorders>
          <w:insideH w:val="nil"/>
          <w:insideV w:val="nil"/>
        </w:tcBorders>
        <w:shd w:val="clear" w:color="auto" w:fill="BCCAD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single" w:sz="8" w:space="0" w:color="00C6E4" w:themeColor="accent2" w:themeTint="BF"/>
      </w:tblBorders>
    </w:tblPr>
    <w:tblStylePr w:type="firstRow">
      <w:pPr>
        <w:spacing w:before="0" w:after="0" w:line="240" w:lineRule="auto"/>
      </w:pPr>
      <w:rPr>
        <w:b/>
        <w:bCs/>
        <w:color w:val="FFFFFF" w:themeColor="background1"/>
      </w:rPr>
      <w:tblPr/>
      <w:tcPr>
        <w:tcBorders>
          <w:top w:val="single" w:sz="8"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shd w:val="clear" w:color="auto" w:fill="007586" w:themeFill="accent2"/>
      </w:tcPr>
    </w:tblStylePr>
    <w:tblStylePr w:type="lastRow">
      <w:pPr>
        <w:spacing w:before="0" w:after="0" w:line="240" w:lineRule="auto"/>
      </w:pPr>
      <w:rPr>
        <w:b/>
        <w:bCs/>
      </w:rPr>
      <w:tblPr/>
      <w:tcPr>
        <w:tcBorders>
          <w:top w:val="double" w:sz="6" w:space="0" w:color="00C6E4" w:themeColor="accent2" w:themeTint="BF"/>
          <w:left w:val="single" w:sz="8" w:space="0" w:color="00C6E4" w:themeColor="accent2" w:themeTint="BF"/>
          <w:bottom w:val="single" w:sz="8" w:space="0" w:color="00C6E4" w:themeColor="accent2" w:themeTint="BF"/>
          <w:right w:val="single" w:sz="8" w:space="0" w:color="00C6E4" w:themeColor="accent2" w:themeTint="BF"/>
          <w:insideH w:val="nil"/>
          <w:insideV w:val="nil"/>
        </w:tcBorders>
      </w:tcPr>
    </w:tblStylePr>
    <w:tblStylePr w:type="firstCol">
      <w:rPr>
        <w:b/>
        <w:bCs/>
      </w:rPr>
    </w:tblStylePr>
    <w:tblStylePr w:type="lastCol">
      <w:rPr>
        <w:b/>
        <w:bCs/>
      </w:rPr>
    </w:tblStylePr>
    <w:tblStylePr w:type="band1Vert">
      <w:tblPr/>
      <w:tcPr>
        <w:shd w:val="clear" w:color="auto" w:fill="A2F2FF" w:themeFill="accent2" w:themeFillTint="3F"/>
      </w:tcPr>
    </w:tblStylePr>
    <w:tblStylePr w:type="band1Horz">
      <w:tblPr/>
      <w:tcPr>
        <w:tcBorders>
          <w:insideH w:val="nil"/>
          <w:insideV w:val="nil"/>
        </w:tcBorders>
        <w:shd w:val="clear" w:color="auto" w:fill="A2F2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single" w:sz="8" w:space="0" w:color="83CAF0" w:themeColor="accent3" w:themeTint="BF"/>
      </w:tblBorders>
    </w:tblPr>
    <w:tblStylePr w:type="firstRow">
      <w:pPr>
        <w:spacing w:before="0" w:after="0" w:line="240" w:lineRule="auto"/>
      </w:pPr>
      <w:rPr>
        <w:b/>
        <w:bCs/>
        <w:color w:val="FFFFFF" w:themeColor="background1"/>
      </w:rPr>
      <w:tblPr/>
      <w:tcPr>
        <w:tcBorders>
          <w:top w:val="single" w:sz="8"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shd w:val="clear" w:color="auto" w:fill="5AB9EB" w:themeFill="accent3"/>
      </w:tcPr>
    </w:tblStylePr>
    <w:tblStylePr w:type="lastRow">
      <w:pPr>
        <w:spacing w:before="0" w:after="0" w:line="240" w:lineRule="auto"/>
      </w:pPr>
      <w:rPr>
        <w:b/>
        <w:bCs/>
      </w:rPr>
      <w:tblPr/>
      <w:tcPr>
        <w:tcBorders>
          <w:top w:val="double" w:sz="6" w:space="0" w:color="83CAF0" w:themeColor="accent3" w:themeTint="BF"/>
          <w:left w:val="single" w:sz="8" w:space="0" w:color="83CAF0" w:themeColor="accent3" w:themeTint="BF"/>
          <w:bottom w:val="single" w:sz="8" w:space="0" w:color="83CAF0" w:themeColor="accent3" w:themeTint="BF"/>
          <w:right w:val="single" w:sz="8" w:space="0" w:color="83CAF0"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EDFA" w:themeFill="accent3" w:themeFillTint="3F"/>
      </w:tcPr>
    </w:tblStylePr>
    <w:tblStylePr w:type="band1Horz">
      <w:tblPr/>
      <w:tcPr>
        <w:tcBorders>
          <w:insideH w:val="nil"/>
          <w:insideV w:val="nil"/>
        </w:tcBorders>
        <w:shd w:val="clear" w:color="auto" w:fill="D5ED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single" w:sz="8" w:space="0" w:color="0078F1" w:themeColor="accent4" w:themeTint="BF"/>
      </w:tblBorders>
    </w:tblPr>
    <w:tblStylePr w:type="firstRow">
      <w:pPr>
        <w:spacing w:before="0" w:after="0" w:line="240" w:lineRule="auto"/>
      </w:pPr>
      <w:rPr>
        <w:b/>
        <w:bCs/>
        <w:color w:val="FFFFFF" w:themeColor="background1"/>
      </w:rPr>
      <w:tblPr/>
      <w:tcPr>
        <w:tcBorders>
          <w:top w:val="single" w:sz="8"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shd w:val="clear" w:color="auto" w:fill="004C97" w:themeFill="accent4"/>
      </w:tcPr>
    </w:tblStylePr>
    <w:tblStylePr w:type="lastRow">
      <w:pPr>
        <w:spacing w:before="0" w:after="0" w:line="240" w:lineRule="auto"/>
      </w:pPr>
      <w:rPr>
        <w:b/>
        <w:bCs/>
      </w:rPr>
      <w:tblPr/>
      <w:tcPr>
        <w:tcBorders>
          <w:top w:val="double" w:sz="6" w:space="0" w:color="0078F1" w:themeColor="accent4" w:themeTint="BF"/>
          <w:left w:val="single" w:sz="8" w:space="0" w:color="0078F1" w:themeColor="accent4" w:themeTint="BF"/>
          <w:bottom w:val="single" w:sz="8" w:space="0" w:color="0078F1" w:themeColor="accent4" w:themeTint="BF"/>
          <w:right w:val="single" w:sz="8" w:space="0" w:color="0078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A6D2FF" w:themeFill="accent4" w:themeFillTint="3F"/>
      </w:tcPr>
    </w:tblStylePr>
    <w:tblStylePr w:type="band1Horz">
      <w:tblPr/>
      <w:tcPr>
        <w:tcBorders>
          <w:insideH w:val="nil"/>
          <w:insideV w:val="nil"/>
        </w:tcBorders>
        <w:shd w:val="clear" w:color="auto" w:fill="A6D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single" w:sz="8" w:space="0" w:color="83BF8A" w:themeColor="accent5" w:themeTint="BF"/>
      </w:tblBorders>
    </w:tblPr>
    <w:tblStylePr w:type="firstRow">
      <w:pPr>
        <w:spacing w:before="0" w:after="0" w:line="240" w:lineRule="auto"/>
      </w:pPr>
      <w:rPr>
        <w:b/>
        <w:bCs/>
        <w:color w:val="FFFFFF" w:themeColor="background1"/>
      </w:rPr>
      <w:tblPr/>
      <w:tcPr>
        <w:tcBorders>
          <w:top w:val="single" w:sz="8"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shd w:val="clear" w:color="auto" w:fill="5AAA64" w:themeFill="accent5"/>
      </w:tcPr>
    </w:tblStylePr>
    <w:tblStylePr w:type="lastRow">
      <w:pPr>
        <w:spacing w:before="0" w:after="0" w:line="240" w:lineRule="auto"/>
      </w:pPr>
      <w:rPr>
        <w:b/>
        <w:bCs/>
      </w:rPr>
      <w:tblPr/>
      <w:tcPr>
        <w:tcBorders>
          <w:top w:val="double" w:sz="6" w:space="0" w:color="83BF8A" w:themeColor="accent5" w:themeTint="BF"/>
          <w:left w:val="single" w:sz="8" w:space="0" w:color="83BF8A" w:themeColor="accent5" w:themeTint="BF"/>
          <w:bottom w:val="single" w:sz="8" w:space="0" w:color="83BF8A" w:themeColor="accent5" w:themeTint="BF"/>
          <w:right w:val="single" w:sz="8" w:space="0" w:color="83BF8A"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AD8" w:themeFill="accent5" w:themeFillTint="3F"/>
      </w:tcPr>
    </w:tblStylePr>
    <w:tblStylePr w:type="band1Horz">
      <w:tblPr/>
      <w:tcPr>
        <w:tcBorders>
          <w:insideH w:val="nil"/>
          <w:insideV w:val="nil"/>
        </w:tcBorders>
        <w:shd w:val="clear" w:color="auto" w:fill="D6EA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single" w:sz="8" w:space="0" w:color="EC8A6C" w:themeColor="accent6" w:themeTint="BF"/>
      </w:tblBorders>
    </w:tblPr>
    <w:tblStylePr w:type="firstRow">
      <w:pPr>
        <w:spacing w:before="0" w:after="0" w:line="240" w:lineRule="auto"/>
      </w:pPr>
      <w:rPr>
        <w:b/>
        <w:bCs/>
        <w:color w:val="FFFFFF" w:themeColor="background1"/>
      </w:rPr>
      <w:tblPr/>
      <w:tcPr>
        <w:tcBorders>
          <w:top w:val="single" w:sz="8"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shd w:val="clear" w:color="auto" w:fill="E6643C" w:themeFill="accent6"/>
      </w:tcPr>
    </w:tblStylePr>
    <w:tblStylePr w:type="lastRow">
      <w:pPr>
        <w:spacing w:before="0" w:after="0" w:line="240" w:lineRule="auto"/>
      </w:pPr>
      <w:rPr>
        <w:b/>
        <w:bCs/>
      </w:rPr>
      <w:tblPr/>
      <w:tcPr>
        <w:tcBorders>
          <w:top w:val="double" w:sz="6" w:space="0" w:color="EC8A6C" w:themeColor="accent6" w:themeTint="BF"/>
          <w:left w:val="single" w:sz="8" w:space="0" w:color="EC8A6C" w:themeColor="accent6" w:themeTint="BF"/>
          <w:bottom w:val="single" w:sz="8" w:space="0" w:color="EC8A6C" w:themeColor="accent6" w:themeTint="BF"/>
          <w:right w:val="single" w:sz="8" w:space="0" w:color="EC8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D8CE" w:themeFill="accent6" w:themeFillTint="3F"/>
      </w:tcPr>
    </w:tblStylePr>
    <w:tblStylePr w:type="band1Horz">
      <w:tblPr/>
      <w:tcPr>
        <w:tcBorders>
          <w:insideH w:val="nil"/>
          <w:insideV w:val="nil"/>
        </w:tcBorders>
        <w:shd w:val="clear" w:color="auto" w:fill="F8D8C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242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B242A" w:themeFill="accent1"/>
      </w:tcPr>
    </w:tblStylePr>
    <w:tblStylePr w:type="lastCol">
      <w:rPr>
        <w:b/>
        <w:bCs/>
        <w:color w:val="FFFFFF" w:themeColor="background1"/>
      </w:rPr>
      <w:tblPr/>
      <w:tcPr>
        <w:tcBorders>
          <w:left w:val="nil"/>
          <w:right w:val="nil"/>
          <w:insideH w:val="nil"/>
          <w:insideV w:val="nil"/>
        </w:tcBorders>
        <w:shd w:val="clear" w:color="auto" w:fill="1B242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5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586" w:themeFill="accent2"/>
      </w:tcPr>
    </w:tblStylePr>
    <w:tblStylePr w:type="lastCol">
      <w:rPr>
        <w:b/>
        <w:bCs/>
        <w:color w:val="FFFFFF" w:themeColor="background1"/>
      </w:rPr>
      <w:tblPr/>
      <w:tcPr>
        <w:tcBorders>
          <w:left w:val="nil"/>
          <w:right w:val="nil"/>
          <w:insideH w:val="nil"/>
          <w:insideV w:val="nil"/>
        </w:tcBorders>
        <w:shd w:val="clear" w:color="auto" w:fill="0075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B9E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B9EB" w:themeFill="accent3"/>
      </w:tcPr>
    </w:tblStylePr>
    <w:tblStylePr w:type="lastCol">
      <w:rPr>
        <w:b/>
        <w:bCs/>
        <w:color w:val="FFFFFF" w:themeColor="background1"/>
      </w:rPr>
      <w:tblPr/>
      <w:tcPr>
        <w:tcBorders>
          <w:left w:val="nil"/>
          <w:right w:val="nil"/>
          <w:insideH w:val="nil"/>
          <w:insideV w:val="nil"/>
        </w:tcBorders>
        <w:shd w:val="clear" w:color="auto" w:fill="5AB9E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C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C97" w:themeFill="accent4"/>
      </w:tcPr>
    </w:tblStylePr>
    <w:tblStylePr w:type="lastCol">
      <w:rPr>
        <w:b/>
        <w:bCs/>
        <w:color w:val="FFFFFF" w:themeColor="background1"/>
      </w:rPr>
      <w:tblPr/>
      <w:tcPr>
        <w:tcBorders>
          <w:left w:val="nil"/>
          <w:right w:val="nil"/>
          <w:insideH w:val="nil"/>
          <w:insideV w:val="nil"/>
        </w:tcBorders>
        <w:shd w:val="clear" w:color="auto" w:fill="004C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A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AAA64" w:themeFill="accent5"/>
      </w:tcPr>
    </w:tblStylePr>
    <w:tblStylePr w:type="lastCol">
      <w:rPr>
        <w:b/>
        <w:bCs/>
        <w:color w:val="FFFFFF" w:themeColor="background1"/>
      </w:rPr>
      <w:tblPr/>
      <w:tcPr>
        <w:tcBorders>
          <w:left w:val="nil"/>
          <w:right w:val="nil"/>
          <w:insideH w:val="nil"/>
          <w:insideV w:val="nil"/>
        </w:tcBorders>
        <w:shd w:val="clear" w:color="auto" w:fill="5AAA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6643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6643C" w:themeFill="accent6"/>
      </w:tcPr>
    </w:tblStylePr>
    <w:tblStylePr w:type="lastCol">
      <w:rPr>
        <w:b/>
        <w:bCs/>
        <w:color w:val="FFFFFF" w:themeColor="background1"/>
      </w:rPr>
      <w:tblPr/>
      <w:tcPr>
        <w:tcBorders>
          <w:left w:val="nil"/>
          <w:right w:val="nil"/>
          <w:insideH w:val="nil"/>
          <w:insideV w:val="nil"/>
        </w:tcBorders>
        <w:shd w:val="clear" w:color="auto" w:fill="E6643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Vpullouttext">
    <w:name w:val="SCV pullout text"/>
    <w:basedOn w:val="SCVbody"/>
    <w:uiPriority w:val="13"/>
    <w:qFormat/>
    <w:rsid w:val="004D7778"/>
    <w:pPr>
      <w:spacing w:after="120"/>
    </w:pPr>
    <w:rPr>
      <w:color w:val="007586" w:themeColor="text2"/>
    </w:rPr>
  </w:style>
  <w:style w:type="paragraph" w:customStyle="1" w:styleId="SCVpulloutheading">
    <w:name w:val="SCV pullout heading"/>
    <w:basedOn w:val="SCVpullouttext"/>
    <w:next w:val="SCVpullouttext"/>
    <w:uiPriority w:val="13"/>
    <w:qFormat/>
    <w:rsid w:val="005C04F0"/>
    <w:pPr>
      <w:keepNext/>
      <w:keepLines/>
      <w:spacing w:line="240" w:lineRule="auto"/>
    </w:pPr>
    <w:rPr>
      <w:rFonts w:asciiTheme="majorHAnsi" w:hAnsiTheme="majorHAnsi"/>
      <w:b/>
      <w:sz w:val="24"/>
    </w:rPr>
  </w:style>
  <w:style w:type="table" w:customStyle="1" w:styleId="SCVInformationTable">
    <w:name w:val="SCV Information Table"/>
    <w:basedOn w:val="TableNormal"/>
    <w:uiPriority w:val="99"/>
    <w:rsid w:val="005C04F0"/>
    <w:pPr>
      <w:spacing w:before="0" w:line="288" w:lineRule="auto"/>
    </w:pPr>
    <w:tblPr>
      <w:tblCellMar>
        <w:top w:w="284" w:type="dxa"/>
        <w:left w:w="284" w:type="dxa"/>
        <w:bottom w:w="284" w:type="dxa"/>
        <w:right w:w="284" w:type="dxa"/>
      </w:tblCellMar>
    </w:tblPr>
    <w:tcPr>
      <w:shd w:val="clear" w:color="auto" w:fill="F2F2F2" w:themeFill="background1" w:themeFillShade="F2"/>
    </w:tcPr>
  </w:style>
  <w:style w:type="paragraph" w:styleId="NormalWeb">
    <w:name w:val="Normal (Web)"/>
    <w:basedOn w:val="Normal"/>
    <w:uiPriority w:val="99"/>
    <w:semiHidden/>
    <w:rsid w:val="00EA030C"/>
    <w:pPr>
      <w:spacing w:before="0" w:after="0" w:line="260" w:lineRule="atLeast"/>
    </w:pPr>
    <w:rPr>
      <w:rFonts w:eastAsia="Times New Roman" w:cs="Times New Roman"/>
      <w:color w:val="000000" w:themeColor="text1"/>
      <w:szCs w:val="24"/>
    </w:rPr>
  </w:style>
  <w:style w:type="character" w:customStyle="1" w:styleId="Heading5Char">
    <w:name w:val="Heading 5 Char"/>
    <w:basedOn w:val="DefaultParagraphFont"/>
    <w:link w:val="Heading5"/>
    <w:uiPriority w:val="1"/>
    <w:semiHidden/>
    <w:rsid w:val="00B15592"/>
    <w:rPr>
      <w:rFonts w:asciiTheme="majorHAnsi" w:eastAsiaTheme="majorEastAsia" w:hAnsiTheme="majorHAnsi" w:cstheme="majorBidi"/>
      <w:color w:val="141A1F" w:themeColor="accent1" w:themeShade="BF"/>
    </w:rPr>
  </w:style>
  <w:style w:type="paragraph" w:customStyle="1" w:styleId="SCVnumberloweralphaindent">
    <w:name w:val="SCV number lower alpha indent"/>
    <w:basedOn w:val="SCVbody"/>
    <w:uiPriority w:val="29"/>
    <w:rsid w:val="00AE5E04"/>
    <w:pPr>
      <w:numPr>
        <w:ilvl w:val="1"/>
        <w:numId w:val="2"/>
      </w:numPr>
      <w:spacing w:before="60" w:after="60"/>
    </w:pPr>
    <w:rPr>
      <w:rFonts w:eastAsia="Times New Roman" w:cstheme="minorHAnsi"/>
      <w:lang w:eastAsia="en-US"/>
    </w:rPr>
  </w:style>
  <w:style w:type="paragraph" w:customStyle="1" w:styleId="SCVtablebody">
    <w:name w:val="SCV table body"/>
    <w:uiPriority w:val="22"/>
    <w:qFormat/>
    <w:rsid w:val="000D1042"/>
    <w:pPr>
      <w:spacing w:before="80" w:after="60" w:line="240" w:lineRule="atLeast"/>
    </w:pPr>
    <w:rPr>
      <w:rFonts w:eastAsia="Times New Roman" w:cstheme="minorHAnsi"/>
      <w:sz w:val="18"/>
      <w:szCs w:val="21"/>
      <w:lang w:eastAsia="en-US"/>
    </w:rPr>
  </w:style>
  <w:style w:type="paragraph" w:customStyle="1" w:styleId="SCVnumberdigit">
    <w:name w:val="SCV number digit"/>
    <w:basedOn w:val="SCVbody"/>
    <w:uiPriority w:val="29"/>
    <w:rsid w:val="00AE5E04"/>
    <w:pPr>
      <w:numPr>
        <w:numId w:val="2"/>
      </w:numPr>
      <w:spacing w:before="60" w:after="60"/>
    </w:pPr>
    <w:rPr>
      <w:rFonts w:eastAsia="Times New Roman" w:cstheme="minorHAnsi"/>
      <w:lang w:eastAsia="en-US"/>
    </w:rPr>
  </w:style>
  <w:style w:type="paragraph" w:customStyle="1" w:styleId="SCVtablecolhead">
    <w:name w:val="SCV table col head"/>
    <w:uiPriority w:val="3"/>
    <w:qFormat/>
    <w:rsid w:val="002D6F3C"/>
    <w:pPr>
      <w:keepNext/>
      <w:keepLines/>
      <w:spacing w:before="80" w:after="60" w:line="240" w:lineRule="auto"/>
    </w:pPr>
    <w:rPr>
      <w:rFonts w:eastAsia="Times New Roman" w:cstheme="minorHAnsi"/>
      <w:b/>
      <w:color w:val="007586" w:themeColor="text2"/>
      <w:sz w:val="18"/>
      <w:szCs w:val="18"/>
      <w:lang w:eastAsia="en-US"/>
    </w:rPr>
  </w:style>
  <w:style w:type="paragraph" w:customStyle="1" w:styleId="SCVbodyaftertablefigure">
    <w:name w:val="SCV body after table/figure"/>
    <w:basedOn w:val="SCVbody"/>
    <w:next w:val="SCVbody"/>
    <w:uiPriority w:val="24"/>
    <w:rsid w:val="005C04F0"/>
    <w:pPr>
      <w:spacing w:before="240"/>
    </w:pPr>
    <w:rPr>
      <w:rFonts w:eastAsia="Times New Roman" w:cstheme="minorHAnsi"/>
      <w:lang w:eastAsia="en-US"/>
    </w:rPr>
  </w:style>
  <w:style w:type="paragraph" w:customStyle="1" w:styleId="SCVquote">
    <w:name w:val="SCV quote"/>
    <w:basedOn w:val="SCVbody"/>
    <w:uiPriority w:val="29"/>
    <w:rsid w:val="0078432C"/>
    <w:pPr>
      <w:ind w:left="397"/>
    </w:pPr>
    <w:rPr>
      <w:rFonts w:eastAsia="Times New Roman" w:cstheme="minorHAnsi"/>
      <w:color w:val="007586" w:themeColor="text2"/>
      <w:szCs w:val="18"/>
      <w:lang w:eastAsia="en-US"/>
    </w:rPr>
  </w:style>
  <w:style w:type="numbering" w:customStyle="1" w:styleId="ZZBulletsafternumbers">
    <w:name w:val="ZZ Bullets after numbers"/>
    <w:basedOn w:val="NoList"/>
    <w:uiPriority w:val="99"/>
    <w:rsid w:val="00FF411C"/>
    <w:pPr>
      <w:numPr>
        <w:numId w:val="7"/>
      </w:numPr>
    </w:pPr>
  </w:style>
  <w:style w:type="paragraph" w:customStyle="1" w:styleId="SCVbulletafternumbers">
    <w:name w:val="SCV bullet after numbers"/>
    <w:basedOn w:val="SCVbody"/>
    <w:uiPriority w:val="24"/>
    <w:rsid w:val="00AE5E04"/>
    <w:pPr>
      <w:spacing w:before="60" w:after="60"/>
      <w:ind w:left="794" w:hanging="397"/>
    </w:pPr>
  </w:style>
  <w:style w:type="paragraph" w:customStyle="1" w:styleId="SCVquotebullet1">
    <w:name w:val="SCV quote bullet 1"/>
    <w:basedOn w:val="SCVquote"/>
    <w:uiPriority w:val="29"/>
    <w:rsid w:val="00994B72"/>
    <w:pPr>
      <w:numPr>
        <w:numId w:val="10"/>
      </w:numPr>
      <w:spacing w:before="60" w:after="60"/>
    </w:pPr>
  </w:style>
  <w:style w:type="paragraph" w:customStyle="1" w:styleId="SCVquotebullet2">
    <w:name w:val="SCV quote bullet 2"/>
    <w:basedOn w:val="SCVquote"/>
    <w:uiPriority w:val="29"/>
    <w:rsid w:val="00994B72"/>
    <w:pPr>
      <w:numPr>
        <w:ilvl w:val="1"/>
        <w:numId w:val="10"/>
      </w:numPr>
      <w:spacing w:before="60" w:after="60"/>
    </w:pPr>
  </w:style>
  <w:style w:type="paragraph" w:customStyle="1" w:styleId="SCVtablebullet1">
    <w:name w:val="SCV table bullet 1"/>
    <w:basedOn w:val="SCVtablebody"/>
    <w:uiPriority w:val="23"/>
    <w:qFormat/>
    <w:rsid w:val="002D6F3C"/>
    <w:pPr>
      <w:numPr>
        <w:numId w:val="4"/>
      </w:numPr>
    </w:pPr>
    <w:rPr>
      <w:szCs w:val="18"/>
    </w:rPr>
  </w:style>
  <w:style w:type="paragraph" w:customStyle="1" w:styleId="SCVtablebullet2">
    <w:name w:val="SCV table bullet 2"/>
    <w:basedOn w:val="SCVtablebody"/>
    <w:uiPriority w:val="23"/>
    <w:rsid w:val="002D6F3C"/>
    <w:pPr>
      <w:numPr>
        <w:ilvl w:val="1"/>
        <w:numId w:val="4"/>
      </w:numPr>
    </w:pPr>
    <w:rPr>
      <w:szCs w:val="18"/>
    </w:rPr>
  </w:style>
  <w:style w:type="character" w:customStyle="1" w:styleId="SCVbodyChar">
    <w:name w:val="SCV body Char"/>
    <w:basedOn w:val="DefaultParagraphFont"/>
    <w:link w:val="SCVbody"/>
    <w:locked/>
    <w:rsid w:val="000D1042"/>
  </w:style>
  <w:style w:type="numbering" w:customStyle="1" w:styleId="ZZNumbersdigit">
    <w:name w:val="ZZ Numbers digit"/>
    <w:rsid w:val="00FF411C"/>
    <w:pPr>
      <w:numPr>
        <w:numId w:val="3"/>
      </w:numPr>
    </w:pPr>
  </w:style>
  <w:style w:type="numbering" w:customStyle="1" w:styleId="ZZTablebullets">
    <w:name w:val="ZZ Table bullets"/>
    <w:rsid w:val="0025578B"/>
    <w:pPr>
      <w:numPr>
        <w:numId w:val="5"/>
      </w:numPr>
    </w:pPr>
  </w:style>
  <w:style w:type="numbering" w:customStyle="1" w:styleId="ZZQuotebullets">
    <w:name w:val="ZZ Quote bullets"/>
    <w:rsid w:val="00994B72"/>
    <w:pPr>
      <w:numPr>
        <w:numId w:val="4"/>
      </w:numPr>
    </w:pPr>
  </w:style>
  <w:style w:type="paragraph" w:customStyle="1" w:styleId="SCVheader">
    <w:name w:val="SCV header"/>
    <w:basedOn w:val="Header"/>
    <w:uiPriority w:val="1"/>
    <w:rsid w:val="009905FA"/>
    <w:pPr>
      <w:pBdr>
        <w:bottom w:val="single" w:sz="24" w:space="1" w:color="CCCCD0"/>
      </w:pBdr>
    </w:pPr>
  </w:style>
  <w:style w:type="paragraph" w:customStyle="1" w:styleId="SCVtablerowhead">
    <w:name w:val="SCV table row head"/>
    <w:basedOn w:val="SCVtablecolhead"/>
    <w:uiPriority w:val="21"/>
    <w:qFormat/>
    <w:rsid w:val="00350441"/>
    <w:rPr>
      <w:rFonts w:cs="Times New Roman"/>
    </w:rPr>
  </w:style>
  <w:style w:type="paragraph" w:customStyle="1" w:styleId="SCVaccessibilitypara">
    <w:name w:val="SCV accessibility para"/>
    <w:basedOn w:val="SCVbody"/>
    <w:uiPriority w:val="29"/>
    <w:rsid w:val="00276717"/>
    <w:rPr>
      <w:sz w:val="24"/>
    </w:rPr>
  </w:style>
  <w:style w:type="character" w:styleId="UnresolvedMention">
    <w:name w:val="Unresolved Mention"/>
    <w:basedOn w:val="DefaultParagraphFont"/>
    <w:uiPriority w:val="99"/>
    <w:unhideWhenUsed/>
    <w:rsid w:val="00276717"/>
    <w:rPr>
      <w:color w:val="605E5C"/>
      <w:shd w:val="clear" w:color="auto" w:fill="E1DFDD"/>
    </w:rPr>
  </w:style>
  <w:style w:type="character" w:styleId="FollowedHyperlink">
    <w:name w:val="FollowedHyperlink"/>
    <w:basedOn w:val="DefaultParagraphFont"/>
    <w:uiPriority w:val="1"/>
    <w:rsid w:val="00AD1351"/>
    <w:rPr>
      <w:color w:val="007586" w:themeColor="text2"/>
      <w:u w:val="single"/>
    </w:rPr>
  </w:style>
  <w:style w:type="table" w:customStyle="1" w:styleId="SCVpulloutbox">
    <w:name w:val="SCV pullout box"/>
    <w:basedOn w:val="PlainTable1"/>
    <w:uiPriority w:val="99"/>
    <w:rsid w:val="00796484"/>
    <w:pPr>
      <w:spacing w:before="0" w:after="120" w:line="300" w:lineRule="auto"/>
    </w:p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4" w:type="dxa"/>
        <w:left w:w="284" w:type="dxa"/>
        <w:bottom w:w="113" w:type="dxa"/>
        <w:right w:w="284" w:type="dxa"/>
      </w:tblCellMar>
    </w:tblPr>
    <w:tcPr>
      <w:shd w:val="clear" w:color="auto" w:fill="EDF5F7"/>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CVtablenumber1">
    <w:name w:val="SCV table number 1"/>
    <w:basedOn w:val="SCVtablebody"/>
    <w:uiPriority w:val="29"/>
    <w:rsid w:val="00D863EB"/>
    <w:pPr>
      <w:numPr>
        <w:numId w:val="5"/>
      </w:numPr>
    </w:pPr>
  </w:style>
  <w:style w:type="paragraph" w:customStyle="1" w:styleId="SCVtablenumber2">
    <w:name w:val="SCV table number 2"/>
    <w:basedOn w:val="SCVtablebody"/>
    <w:uiPriority w:val="29"/>
    <w:rsid w:val="00D863EB"/>
    <w:pPr>
      <w:numPr>
        <w:ilvl w:val="1"/>
        <w:numId w:val="5"/>
      </w:numPr>
      <w:tabs>
        <w:tab w:val="clear" w:pos="340"/>
      </w:tabs>
      <w:spacing w:before="60" w:line="192" w:lineRule="atLeast"/>
    </w:pPr>
    <w:rPr>
      <w:rFonts w:eastAsiaTheme="minorHAnsi"/>
    </w:rPr>
  </w:style>
  <w:style w:type="paragraph" w:customStyle="1" w:styleId="SCVprotectivemarkingbelowsubtitle">
    <w:name w:val="SCV protective marking below subtitle"/>
    <w:basedOn w:val="SCVbody"/>
    <w:uiPriority w:val="1"/>
    <w:rsid w:val="00F024AD"/>
    <w:pPr>
      <w:spacing w:before="400" w:after="400" w:line="240" w:lineRule="auto"/>
    </w:pPr>
    <w:rPr>
      <w:caps/>
      <w:sz w:val="24"/>
      <w:szCs w:val="24"/>
    </w:rPr>
  </w:style>
  <w:style w:type="character" w:styleId="CommentReference">
    <w:name w:val="annotation reference"/>
    <w:basedOn w:val="DefaultParagraphFont"/>
    <w:uiPriority w:val="1"/>
    <w:semiHidden/>
    <w:unhideWhenUsed/>
    <w:rsid w:val="005416D7"/>
    <w:rPr>
      <w:sz w:val="16"/>
      <w:szCs w:val="16"/>
    </w:rPr>
  </w:style>
  <w:style w:type="paragraph" w:styleId="CommentText">
    <w:name w:val="annotation text"/>
    <w:basedOn w:val="Normal"/>
    <w:link w:val="CommentTextChar"/>
    <w:uiPriority w:val="1"/>
    <w:unhideWhenUsed/>
    <w:rsid w:val="005416D7"/>
    <w:pPr>
      <w:spacing w:line="240" w:lineRule="auto"/>
    </w:pPr>
  </w:style>
  <w:style w:type="character" w:customStyle="1" w:styleId="CommentTextChar">
    <w:name w:val="Comment Text Char"/>
    <w:basedOn w:val="DefaultParagraphFont"/>
    <w:link w:val="CommentText"/>
    <w:uiPriority w:val="1"/>
    <w:rsid w:val="005416D7"/>
  </w:style>
  <w:style w:type="paragraph" w:styleId="CommentSubject">
    <w:name w:val="annotation subject"/>
    <w:basedOn w:val="CommentText"/>
    <w:next w:val="CommentText"/>
    <w:link w:val="CommentSubjectChar"/>
    <w:uiPriority w:val="1"/>
    <w:semiHidden/>
    <w:unhideWhenUsed/>
    <w:rsid w:val="005416D7"/>
    <w:rPr>
      <w:b/>
      <w:bCs/>
    </w:rPr>
  </w:style>
  <w:style w:type="character" w:customStyle="1" w:styleId="CommentSubjectChar">
    <w:name w:val="Comment Subject Char"/>
    <w:basedOn w:val="CommentTextChar"/>
    <w:link w:val="CommentSubject"/>
    <w:uiPriority w:val="1"/>
    <w:semiHidden/>
    <w:rsid w:val="005416D7"/>
    <w:rPr>
      <w:b/>
      <w:bCs/>
    </w:rPr>
  </w:style>
  <w:style w:type="paragraph" w:styleId="Revision">
    <w:name w:val="Revision"/>
    <w:hidden/>
    <w:uiPriority w:val="99"/>
    <w:semiHidden/>
    <w:rsid w:val="005416D7"/>
    <w:pPr>
      <w:spacing w:before="0" w:after="0" w:line="240" w:lineRule="auto"/>
    </w:pPr>
  </w:style>
  <w:style w:type="paragraph" w:customStyle="1" w:styleId="SCVimprint">
    <w:name w:val="SCV imprint"/>
    <w:basedOn w:val="SCVbody"/>
    <w:uiPriority w:val="1"/>
    <w:rsid w:val="00B37FF8"/>
    <w:pPr>
      <w:spacing w:before="0" w:after="120"/>
    </w:pPr>
    <w:rPr>
      <w:sz w:val="18"/>
      <w:szCs w:val="18"/>
    </w:rPr>
  </w:style>
  <w:style w:type="paragraph" w:customStyle="1" w:styleId="SCVpulloutbullet">
    <w:name w:val="SCV pullout bullet"/>
    <w:basedOn w:val="SCVpullouttext"/>
    <w:uiPriority w:val="1"/>
    <w:rsid w:val="002F4173"/>
    <w:pPr>
      <w:numPr>
        <w:numId w:val="7"/>
      </w:numPr>
      <w:spacing w:before="0"/>
    </w:pPr>
  </w:style>
  <w:style w:type="numbering" w:customStyle="1" w:styleId="ZZPulloutbullets">
    <w:name w:val="ZZ Pullout bullets"/>
    <w:basedOn w:val="NoList"/>
    <w:uiPriority w:val="99"/>
    <w:rsid w:val="002F4173"/>
    <w:pPr>
      <w:numPr>
        <w:numId w:val="8"/>
      </w:numPr>
    </w:pPr>
  </w:style>
  <w:style w:type="paragraph" w:customStyle="1" w:styleId="SCVdate">
    <w:name w:val="SCV date"/>
    <w:basedOn w:val="SCVbody"/>
    <w:uiPriority w:val="1"/>
    <w:rsid w:val="00D15955"/>
    <w:pPr>
      <w:spacing w:before="0" w:after="0"/>
    </w:pPr>
    <w:rPr>
      <w:b/>
      <w:bCs/>
      <w:sz w:val="28"/>
      <w:szCs w:val="28"/>
    </w:rPr>
  </w:style>
  <w:style w:type="paragraph" w:customStyle="1" w:styleId="SCVborderabovetitle">
    <w:name w:val="SCV border above title"/>
    <w:basedOn w:val="SCVbody"/>
    <w:uiPriority w:val="1"/>
    <w:rsid w:val="00521CA5"/>
    <w:pPr>
      <w:pBdr>
        <w:top w:val="single" w:sz="24" w:space="1" w:color="D9D9D9" w:themeColor="background1" w:themeShade="D9"/>
      </w:pBdr>
      <w:spacing w:before="0" w:after="0"/>
    </w:pPr>
    <w:rPr>
      <w:sz w:val="12"/>
    </w:rPr>
  </w:style>
  <w:style w:type="paragraph" w:customStyle="1" w:styleId="paragraph">
    <w:name w:val="paragraph"/>
    <w:basedOn w:val="Normal"/>
    <w:rsid w:val="00CB3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B3E54"/>
  </w:style>
  <w:style w:type="character" w:customStyle="1" w:styleId="eop">
    <w:name w:val="eop"/>
    <w:basedOn w:val="DefaultParagraphFont"/>
    <w:rsid w:val="00CB3E54"/>
  </w:style>
  <w:style w:type="paragraph" w:customStyle="1" w:styleId="Bullet1">
    <w:name w:val="Bullet 1"/>
    <w:uiPriority w:val="1"/>
    <w:qFormat/>
    <w:rsid w:val="00614FC1"/>
    <w:pPr>
      <w:numPr>
        <w:numId w:val="9"/>
      </w:numPr>
      <w:spacing w:before="60" w:after="60"/>
    </w:pPr>
    <w:rPr>
      <w:rFonts w:ascii="VIC" w:eastAsia="Times New Roman" w:hAnsi="VIC" w:cs="Calibri"/>
    </w:rPr>
  </w:style>
  <w:style w:type="paragraph" w:customStyle="1" w:styleId="Bullet2">
    <w:name w:val="Bullet 2"/>
    <w:basedOn w:val="Bullet1"/>
    <w:uiPriority w:val="1"/>
    <w:qFormat/>
    <w:rsid w:val="00614FC1"/>
    <w:pPr>
      <w:numPr>
        <w:ilvl w:val="1"/>
      </w:numPr>
    </w:pPr>
  </w:style>
  <w:style w:type="paragraph" w:customStyle="1" w:styleId="Normalfollowingheading">
    <w:name w:val="Normal following heading"/>
    <w:basedOn w:val="Normal"/>
    <w:next w:val="Normal"/>
    <w:uiPriority w:val="1"/>
    <w:qFormat/>
    <w:rsid w:val="00065AA7"/>
    <w:pPr>
      <w:spacing w:before="0"/>
    </w:pPr>
    <w:rPr>
      <w:rFonts w:ascii="VIC" w:eastAsia="Times New Roman" w:hAnsi="VIC" w:cs="Calibri"/>
    </w:rPr>
  </w:style>
  <w:style w:type="character" w:styleId="Mention">
    <w:name w:val="Mention"/>
    <w:basedOn w:val="DefaultParagraphFont"/>
    <w:uiPriority w:val="99"/>
    <w:unhideWhenUsed/>
    <w:rsid w:val="00E23B35"/>
    <w:rPr>
      <w:color w:val="2B579A"/>
      <w:shd w:val="clear" w:color="auto" w:fill="E1DFDD"/>
    </w:rPr>
  </w:style>
  <w:style w:type="table" w:customStyle="1" w:styleId="TableGrid1">
    <w:name w:val="Table Grid1"/>
    <w:basedOn w:val="TableNormal"/>
    <w:next w:val="TableGrid"/>
    <w:uiPriority w:val="39"/>
    <w:rsid w:val="00A73C2E"/>
    <w:pPr>
      <w:spacing w:before="0" w:after="0" w:line="240" w:lineRule="auto"/>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oryText">
    <w:name w:val="Introductory Text"/>
    <w:basedOn w:val="Normal"/>
    <w:uiPriority w:val="1"/>
    <w:qFormat/>
    <w:rsid w:val="00B60348"/>
    <w:pPr>
      <w:spacing w:before="280" w:after="60"/>
    </w:pPr>
    <w:rPr>
      <w:b/>
      <w:color w:val="007586" w:themeColor="text2"/>
    </w:rPr>
  </w:style>
  <w:style w:type="paragraph" w:customStyle="1" w:styleId="Heading1numbered">
    <w:name w:val="Heading 1 numbered"/>
    <w:basedOn w:val="Heading1"/>
    <w:next w:val="NormalIndent"/>
    <w:qFormat/>
    <w:rsid w:val="005E3C00"/>
    <w:pPr>
      <w:framePr w:wrap="around" w:vAnchor="page" w:hAnchor="margin" w:y="1022"/>
      <w:suppressAutoHyphens w:val="0"/>
      <w:spacing w:before="0" w:after="120"/>
    </w:pPr>
    <w:rPr>
      <w:spacing w:val="-1"/>
      <w:sz w:val="48"/>
      <w:szCs w:val="28"/>
    </w:rPr>
  </w:style>
  <w:style w:type="paragraph" w:customStyle="1" w:styleId="Heading2numbered">
    <w:name w:val="Heading 2 numbered"/>
    <w:basedOn w:val="Heading2"/>
    <w:next w:val="NormalIndent"/>
    <w:qFormat/>
    <w:rsid w:val="005E3C00"/>
    <w:pPr>
      <w:spacing w:after="60"/>
    </w:pPr>
    <w:rPr>
      <w:rFonts w:ascii="VIC SemiBold" w:hAnsi="VIC SemiBold"/>
      <w:b w:val="0"/>
      <w:bCs w:val="0"/>
      <w:caps/>
      <w:color w:val="007586" w:themeColor="text2"/>
      <w:sz w:val="24"/>
    </w:rPr>
  </w:style>
  <w:style w:type="paragraph" w:customStyle="1" w:styleId="Heading3numbered">
    <w:name w:val="Heading 3 numbered"/>
    <w:basedOn w:val="Heading3"/>
    <w:next w:val="NormalIndent"/>
    <w:qFormat/>
    <w:rsid w:val="005E3C00"/>
    <w:pPr>
      <w:spacing w:after="50"/>
    </w:pPr>
    <w:rPr>
      <w:rFonts w:ascii="VIC SemiBold" w:hAnsi="VIC SemiBold"/>
      <w:b w:val="0"/>
      <w:bCs w:val="0"/>
      <w:color w:val="000000" w:themeColor="text1"/>
    </w:rPr>
  </w:style>
  <w:style w:type="paragraph" w:customStyle="1" w:styleId="Heading4numbered">
    <w:name w:val="Heading 4 numbered"/>
    <w:basedOn w:val="Heading4"/>
    <w:next w:val="NormalIndent"/>
    <w:qFormat/>
    <w:rsid w:val="005E3C00"/>
  </w:style>
  <w:style w:type="paragraph" w:styleId="NormalIndent">
    <w:name w:val="Normal Indent"/>
    <w:basedOn w:val="Normal"/>
    <w:semiHidden/>
    <w:qFormat/>
    <w:rsid w:val="005E3C0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0593">
      <w:bodyDiv w:val="1"/>
      <w:marLeft w:val="0"/>
      <w:marRight w:val="0"/>
      <w:marTop w:val="0"/>
      <w:marBottom w:val="0"/>
      <w:divBdr>
        <w:top w:val="none" w:sz="0" w:space="0" w:color="auto"/>
        <w:left w:val="none" w:sz="0" w:space="0" w:color="auto"/>
        <w:bottom w:val="none" w:sz="0" w:space="0" w:color="auto"/>
        <w:right w:val="none" w:sz="0" w:space="0" w:color="auto"/>
      </w:divBdr>
    </w:div>
    <w:div w:id="209846884">
      <w:bodyDiv w:val="1"/>
      <w:marLeft w:val="0"/>
      <w:marRight w:val="0"/>
      <w:marTop w:val="0"/>
      <w:marBottom w:val="0"/>
      <w:divBdr>
        <w:top w:val="none" w:sz="0" w:space="0" w:color="auto"/>
        <w:left w:val="none" w:sz="0" w:space="0" w:color="auto"/>
        <w:bottom w:val="none" w:sz="0" w:space="0" w:color="auto"/>
        <w:right w:val="none" w:sz="0" w:space="0" w:color="auto"/>
      </w:divBdr>
    </w:div>
    <w:div w:id="219707465">
      <w:bodyDiv w:val="1"/>
      <w:marLeft w:val="0"/>
      <w:marRight w:val="0"/>
      <w:marTop w:val="0"/>
      <w:marBottom w:val="0"/>
      <w:divBdr>
        <w:top w:val="none" w:sz="0" w:space="0" w:color="auto"/>
        <w:left w:val="none" w:sz="0" w:space="0" w:color="auto"/>
        <w:bottom w:val="none" w:sz="0" w:space="0" w:color="auto"/>
        <w:right w:val="none" w:sz="0" w:space="0" w:color="auto"/>
      </w:divBdr>
    </w:div>
    <w:div w:id="391854816">
      <w:bodyDiv w:val="1"/>
      <w:marLeft w:val="0"/>
      <w:marRight w:val="0"/>
      <w:marTop w:val="0"/>
      <w:marBottom w:val="0"/>
      <w:divBdr>
        <w:top w:val="none" w:sz="0" w:space="0" w:color="auto"/>
        <w:left w:val="none" w:sz="0" w:space="0" w:color="auto"/>
        <w:bottom w:val="none" w:sz="0" w:space="0" w:color="auto"/>
        <w:right w:val="none" w:sz="0" w:space="0" w:color="auto"/>
      </w:divBdr>
    </w:div>
    <w:div w:id="523133725">
      <w:bodyDiv w:val="1"/>
      <w:marLeft w:val="0"/>
      <w:marRight w:val="0"/>
      <w:marTop w:val="0"/>
      <w:marBottom w:val="0"/>
      <w:divBdr>
        <w:top w:val="none" w:sz="0" w:space="0" w:color="auto"/>
        <w:left w:val="none" w:sz="0" w:space="0" w:color="auto"/>
        <w:bottom w:val="none" w:sz="0" w:space="0" w:color="auto"/>
        <w:right w:val="none" w:sz="0" w:space="0" w:color="auto"/>
      </w:divBdr>
    </w:div>
    <w:div w:id="608271218">
      <w:bodyDiv w:val="1"/>
      <w:marLeft w:val="0"/>
      <w:marRight w:val="0"/>
      <w:marTop w:val="0"/>
      <w:marBottom w:val="0"/>
      <w:divBdr>
        <w:top w:val="none" w:sz="0" w:space="0" w:color="auto"/>
        <w:left w:val="none" w:sz="0" w:space="0" w:color="auto"/>
        <w:bottom w:val="none" w:sz="0" w:space="0" w:color="auto"/>
        <w:right w:val="none" w:sz="0" w:space="0" w:color="auto"/>
      </w:divBdr>
    </w:div>
    <w:div w:id="750584430">
      <w:bodyDiv w:val="1"/>
      <w:marLeft w:val="0"/>
      <w:marRight w:val="0"/>
      <w:marTop w:val="0"/>
      <w:marBottom w:val="0"/>
      <w:divBdr>
        <w:top w:val="none" w:sz="0" w:space="0" w:color="auto"/>
        <w:left w:val="none" w:sz="0" w:space="0" w:color="auto"/>
        <w:bottom w:val="none" w:sz="0" w:space="0" w:color="auto"/>
        <w:right w:val="none" w:sz="0" w:space="0" w:color="auto"/>
      </w:divBdr>
    </w:div>
    <w:div w:id="815031036">
      <w:bodyDiv w:val="1"/>
      <w:marLeft w:val="0"/>
      <w:marRight w:val="0"/>
      <w:marTop w:val="0"/>
      <w:marBottom w:val="0"/>
      <w:divBdr>
        <w:top w:val="none" w:sz="0" w:space="0" w:color="auto"/>
        <w:left w:val="none" w:sz="0" w:space="0" w:color="auto"/>
        <w:bottom w:val="none" w:sz="0" w:space="0" w:color="auto"/>
        <w:right w:val="none" w:sz="0" w:space="0" w:color="auto"/>
      </w:divBdr>
    </w:div>
    <w:div w:id="843667623">
      <w:bodyDiv w:val="1"/>
      <w:marLeft w:val="0"/>
      <w:marRight w:val="0"/>
      <w:marTop w:val="0"/>
      <w:marBottom w:val="0"/>
      <w:divBdr>
        <w:top w:val="none" w:sz="0" w:space="0" w:color="auto"/>
        <w:left w:val="none" w:sz="0" w:space="0" w:color="auto"/>
        <w:bottom w:val="none" w:sz="0" w:space="0" w:color="auto"/>
        <w:right w:val="none" w:sz="0" w:space="0" w:color="auto"/>
      </w:divBdr>
    </w:div>
    <w:div w:id="844511306">
      <w:bodyDiv w:val="1"/>
      <w:marLeft w:val="0"/>
      <w:marRight w:val="0"/>
      <w:marTop w:val="0"/>
      <w:marBottom w:val="0"/>
      <w:divBdr>
        <w:top w:val="none" w:sz="0" w:space="0" w:color="auto"/>
        <w:left w:val="none" w:sz="0" w:space="0" w:color="auto"/>
        <w:bottom w:val="none" w:sz="0" w:space="0" w:color="auto"/>
        <w:right w:val="none" w:sz="0" w:space="0" w:color="auto"/>
      </w:divBdr>
    </w:div>
    <w:div w:id="995648614">
      <w:bodyDiv w:val="1"/>
      <w:marLeft w:val="0"/>
      <w:marRight w:val="0"/>
      <w:marTop w:val="0"/>
      <w:marBottom w:val="0"/>
      <w:divBdr>
        <w:top w:val="none" w:sz="0" w:space="0" w:color="auto"/>
        <w:left w:val="none" w:sz="0" w:space="0" w:color="auto"/>
        <w:bottom w:val="none" w:sz="0" w:space="0" w:color="auto"/>
        <w:right w:val="none" w:sz="0" w:space="0" w:color="auto"/>
      </w:divBdr>
    </w:div>
    <w:div w:id="1593391197">
      <w:bodyDiv w:val="1"/>
      <w:marLeft w:val="0"/>
      <w:marRight w:val="0"/>
      <w:marTop w:val="0"/>
      <w:marBottom w:val="0"/>
      <w:divBdr>
        <w:top w:val="none" w:sz="0" w:space="0" w:color="auto"/>
        <w:left w:val="none" w:sz="0" w:space="0" w:color="auto"/>
        <w:bottom w:val="none" w:sz="0" w:space="0" w:color="auto"/>
        <w:right w:val="none" w:sz="0" w:space="0" w:color="auto"/>
      </w:divBdr>
    </w:div>
    <w:div w:id="1663965308">
      <w:bodyDiv w:val="1"/>
      <w:marLeft w:val="0"/>
      <w:marRight w:val="0"/>
      <w:marTop w:val="0"/>
      <w:marBottom w:val="0"/>
      <w:divBdr>
        <w:top w:val="none" w:sz="0" w:space="0" w:color="auto"/>
        <w:left w:val="none" w:sz="0" w:space="0" w:color="auto"/>
        <w:bottom w:val="none" w:sz="0" w:space="0" w:color="auto"/>
        <w:right w:val="none" w:sz="0" w:space="0" w:color="auto"/>
      </w:divBdr>
      <w:divsChild>
        <w:div w:id="823397019">
          <w:marLeft w:val="0"/>
          <w:marRight w:val="0"/>
          <w:marTop w:val="0"/>
          <w:marBottom w:val="0"/>
          <w:divBdr>
            <w:top w:val="none" w:sz="0" w:space="0" w:color="auto"/>
            <w:left w:val="none" w:sz="0" w:space="0" w:color="auto"/>
            <w:bottom w:val="none" w:sz="0" w:space="0" w:color="auto"/>
            <w:right w:val="none" w:sz="0" w:space="0" w:color="auto"/>
          </w:divBdr>
          <w:divsChild>
            <w:div w:id="639309320">
              <w:marLeft w:val="0"/>
              <w:marRight w:val="0"/>
              <w:marTop w:val="0"/>
              <w:marBottom w:val="0"/>
              <w:divBdr>
                <w:top w:val="none" w:sz="0" w:space="0" w:color="auto"/>
                <w:left w:val="none" w:sz="0" w:space="0" w:color="auto"/>
                <w:bottom w:val="none" w:sz="0" w:space="0" w:color="auto"/>
                <w:right w:val="none" w:sz="0" w:space="0" w:color="auto"/>
              </w:divBdr>
            </w:div>
          </w:divsChild>
        </w:div>
        <w:div w:id="1353263541">
          <w:marLeft w:val="0"/>
          <w:marRight w:val="0"/>
          <w:marTop w:val="0"/>
          <w:marBottom w:val="0"/>
          <w:divBdr>
            <w:top w:val="none" w:sz="0" w:space="0" w:color="auto"/>
            <w:left w:val="none" w:sz="0" w:space="0" w:color="auto"/>
            <w:bottom w:val="none" w:sz="0" w:space="0" w:color="auto"/>
            <w:right w:val="none" w:sz="0" w:space="0" w:color="auto"/>
          </w:divBdr>
        </w:div>
      </w:divsChild>
    </w:div>
    <w:div w:id="2073459748">
      <w:bodyDiv w:val="1"/>
      <w:marLeft w:val="0"/>
      <w:marRight w:val="0"/>
      <w:marTop w:val="0"/>
      <w:marBottom w:val="0"/>
      <w:divBdr>
        <w:top w:val="none" w:sz="0" w:space="0" w:color="auto"/>
        <w:left w:val="none" w:sz="0" w:space="0" w:color="auto"/>
        <w:bottom w:val="none" w:sz="0" w:space="0" w:color="auto"/>
        <w:right w:val="none" w:sz="0" w:space="0" w:color="auto"/>
      </w:divBdr>
    </w:div>
    <w:div w:id="2122797286">
      <w:bodyDiv w:val="1"/>
      <w:marLeft w:val="0"/>
      <w:marRight w:val="0"/>
      <w:marTop w:val="0"/>
      <w:marBottom w:val="0"/>
      <w:divBdr>
        <w:top w:val="none" w:sz="0" w:space="0" w:color="auto"/>
        <w:left w:val="none" w:sz="0" w:space="0" w:color="auto"/>
        <w:bottom w:val="none" w:sz="0" w:space="0" w:color="auto"/>
        <w:right w:val="none" w:sz="0" w:space="0" w:color="auto"/>
      </w:divBdr>
      <w:divsChild>
        <w:div w:id="229967322">
          <w:marLeft w:val="0"/>
          <w:marRight w:val="0"/>
          <w:marTop w:val="0"/>
          <w:marBottom w:val="0"/>
          <w:divBdr>
            <w:top w:val="none" w:sz="0" w:space="0" w:color="auto"/>
            <w:left w:val="none" w:sz="0" w:space="0" w:color="auto"/>
            <w:bottom w:val="none" w:sz="0" w:space="0" w:color="auto"/>
            <w:right w:val="none" w:sz="0" w:space="0" w:color="auto"/>
          </w:divBdr>
        </w:div>
        <w:div w:id="1060401595">
          <w:marLeft w:val="0"/>
          <w:marRight w:val="0"/>
          <w:marTop w:val="0"/>
          <w:marBottom w:val="0"/>
          <w:divBdr>
            <w:top w:val="none" w:sz="0" w:space="0" w:color="auto"/>
            <w:left w:val="none" w:sz="0" w:space="0" w:color="auto"/>
            <w:bottom w:val="none" w:sz="0" w:space="0" w:color="auto"/>
            <w:right w:val="none" w:sz="0" w:space="0" w:color="auto"/>
          </w:divBdr>
        </w:div>
        <w:div w:id="127062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psc.vic.gov.au/html-resources/code-of-conduct-for-victorian-public-sector-employ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psc.vic.gov.au/html-resources/code-of-conduct-for-victorian-public-sector-employe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ettersafercare.vic.gov.au/publications/a-guide-to-consumer-renumeration" TargetMode="External"/></Relationships>
</file>

<file path=word/documenttasks/documenttasks1.xml><?xml version="1.0" encoding="utf-8"?>
<t:Tasks xmlns:t="http://schemas.microsoft.com/office/tasks/2019/documenttasks" xmlns:oel="http://schemas.microsoft.com/office/2019/extlst">
  <t:Task id="{7E872381-A44C-4876-B1D9-46A42289C83E}">
    <t:Anchor>
      <t:Comment id="610230842"/>
    </t:Anchor>
    <t:History>
      <t:Event id="{FA9B81DC-CACD-4D4C-9A40-2214213294DB}" time="2021-06-07T03:23:13Z">
        <t:Attribution userId="S::felicity.loxton@safercare.vic.gov.au::db47addc-c9f8-4ea4-b25a-008de266972e" userProvider="AD" userName="Felicity Loxton (DHHS)"/>
        <t:Anchor>
          <t:Comment id="1188136304"/>
        </t:Anchor>
        <t:Create/>
      </t:Event>
      <t:Event id="{B8CA1FA6-C948-4F71-A1D2-8D290DCF86EC}" time="2021-06-07T03:23:13Z">
        <t:Attribution userId="S::felicity.loxton@safercare.vic.gov.au::db47addc-c9f8-4ea4-b25a-008de266972e" userProvider="AD" userName="Felicity Loxton (DHHS)"/>
        <t:Anchor>
          <t:Comment id="1188136304"/>
        </t:Anchor>
        <t:Assign userId="S::courtney.royston@safercare.vic.gov.au::fa4007c0-20d6-4ada-b63b-7d16f5284d6e" userProvider="AD" userName="Courtney Royston (DHHS)"/>
      </t:Event>
      <t:Event id="{F8A5C5A7-B055-4810-8492-04B1873DB32A}" time="2021-06-07T03:23:13Z">
        <t:Attribution userId="S::felicity.loxton@safercare.vic.gov.au::db47addc-c9f8-4ea4-b25a-008de266972e" userProvider="AD" userName="Felicity Loxton (DHHS)"/>
        <t:Anchor>
          <t:Comment id="1188136304"/>
        </t:Anchor>
        <t:SetTitle title="@Courtney Royston (DHHS) no not CAG, that's too micro-detail for them. Sign off can be with Director CoCE"/>
      </t:Event>
    </t:History>
  </t:Task>
  <t:Task id="{2B72EE3C-226D-4338-8672-C4B6C5B8DE56}">
    <t:Anchor>
      <t:Comment id="1310348912"/>
    </t:Anchor>
    <t:History>
      <t:Event id="{98C548B9-CB89-4BB9-A87C-CF348F6108E7}" time="2021-06-07T03:30:02Z">
        <t:Attribution userId="S::felicity.loxton@safercare.vic.gov.au::db47addc-c9f8-4ea4-b25a-008de266972e" userProvider="AD" userName="Felicity Loxton (DHHS)"/>
        <t:Anchor>
          <t:Comment id="1310348912"/>
        </t:Anchor>
        <t:Create/>
      </t:Event>
      <t:Event id="{06C3A06E-1019-4BB7-8154-FCF461D102FA}" time="2021-06-07T03:30:02Z">
        <t:Attribution userId="S::felicity.loxton@safercare.vic.gov.au::db47addc-c9f8-4ea4-b25a-008de266972e" userProvider="AD" userName="Felicity Loxton (DHHS)"/>
        <t:Anchor>
          <t:Comment id="1310348912"/>
        </t:Anchor>
        <t:Assign userId="S::courtney.royston@safercare.vic.gov.au::fa4007c0-20d6-4ada-b63b-7d16f5284d6e" userProvider="AD" userName="Courtney Royston (DHHS)"/>
      </t:Event>
      <t:Event id="{D86493B5-EB0F-423D-B1CD-C56D81B11813}" time="2021-06-07T03:30:02Z">
        <t:Attribution userId="S::felicity.loxton@safercare.vic.gov.au::db47addc-c9f8-4ea4-b25a-008de266972e" userProvider="AD" userName="Felicity Loxton (DHHS)"/>
        <t:Anchor>
          <t:Comment id="1310348912"/>
        </t:Anchor>
        <t:SetTitle title="@Courtney Royston (DHHS) I think the process is where an conflict is declared and accepted as a conflict by the chair the person removes themselves from the discussion. There my be instances where a person declairs a conflict, but the chair notes the …"/>
      </t:Event>
    </t:History>
  </t:Task>
  <t:Task id="{E52EFC08-B400-4196-A2F7-7187C46833B3}">
    <t:Anchor>
      <t:Comment id="1622586244"/>
    </t:Anchor>
    <t:History>
      <t:Event id="{6A2DD312-6173-4351-8ADF-ED3955A799F6}" time="2022-10-25T22:23:19.947Z">
        <t:Attribution userId="S::katherine.valastro@safercare.vic.gov.au::ba62ee98-568d-4fce-b085-58a1b1bd74fa" userProvider="AD" userName="Katherine Valastro (DHHS)"/>
        <t:Anchor>
          <t:Comment id="1622586244"/>
        </t:Anchor>
        <t:Create/>
      </t:Event>
      <t:Event id="{41D9F766-55F9-49E2-9311-953233FC71BC}" time="2022-10-25T22:23:19.947Z">
        <t:Attribution userId="S::katherine.valastro@safercare.vic.gov.au::ba62ee98-568d-4fce-b085-58a1b1bd74fa" userProvider="AD" userName="Katherine Valastro (DHHS)"/>
        <t:Anchor>
          <t:Comment id="1622586244"/>
        </t:Anchor>
        <t:Assign userId="S::amelia.johnston@safercare.vic.gov.au::c41550fc-b6ad-4a83-818f-5a3158e9a0e2" userProvider="AD" userName="Amelia Johnston (DHHS)"/>
      </t:Event>
      <t:Event id="{EA53F476-556D-43E8-9B3F-FD669B00F32D}" time="2022-10-25T22:23:19.947Z">
        <t:Attribution userId="S::katherine.valastro@safercare.vic.gov.au::ba62ee98-568d-4fce-b085-58a1b1bd74fa" userProvider="AD" userName="Katherine Valastro (DHHS)"/>
        <t:Anchor>
          <t:Comment id="1622586244"/>
        </t:Anchor>
        <t:SetTitle title="@Amelia Johnston (DHHS) @Natasha Knapic (DHHS) We are planning on establishing an acute LHN data group. should we call this out here?"/>
      </t:Event>
    </t:History>
  </t:Task>
</t:Tasks>
</file>

<file path=word/theme/theme1.xml><?xml version="1.0" encoding="utf-8"?>
<a:theme xmlns:a="http://schemas.openxmlformats.org/drawingml/2006/main" name="Office Theme">
  <a:themeElements>
    <a:clrScheme name="Safer Care Victoria">
      <a:dk1>
        <a:srgbClr val="000000"/>
      </a:dk1>
      <a:lt1>
        <a:srgbClr val="FFFFFF"/>
      </a:lt1>
      <a:dk2>
        <a:srgbClr val="007586"/>
      </a:dk2>
      <a:lt2>
        <a:srgbClr val="EDF5F7"/>
      </a:lt2>
      <a:accent1>
        <a:srgbClr val="1B242A"/>
      </a:accent1>
      <a:accent2>
        <a:srgbClr val="007586"/>
      </a:accent2>
      <a:accent3>
        <a:srgbClr val="5AB9EB"/>
      </a:accent3>
      <a:accent4>
        <a:srgbClr val="004C97"/>
      </a:accent4>
      <a:accent5>
        <a:srgbClr val="5AAA64"/>
      </a:accent5>
      <a:accent6>
        <a:srgbClr val="E6643C"/>
      </a:accent6>
      <a:hlink>
        <a:srgbClr val="004C97"/>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b2e4f9-c376-4e2f-bd2e-796d1bcd5746">
      <Terms xmlns="http://schemas.microsoft.com/office/infopath/2007/PartnerControls"/>
    </lcf76f155ced4ddcb4097134ff3c332f>
    <Readiness xmlns="31b2e4f9-c376-4e2f-bd2e-796d1bcd5746" xsi:nil="true"/>
    <TaxCatchAll xmlns="5ce0f2b5-5be5-4508-bce9-d7011ece0659" xsi:nil="true"/>
    <SharedWithUsers xmlns="7ee2ad8a-2b33-419f-875c-ac0e4cfc6b7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7" ma:contentTypeDescription="Create a new document." ma:contentTypeScope="" ma:versionID="047981721a719fa124a1560ac60189c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da8d29431e3527fe76d5365770e4cbd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LengthInSeconds" minOccurs="0"/>
                <xsd:element ref="ns2:Readines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Readiness" ma:index="21" nillable="true" ma:displayName="Readiness" ma:format="Dropdown" ma:internalName="Readiness">
      <xsd:simpleType>
        <xsd:restriction base="dms:Choice">
          <xsd:enumeration value="Ready"/>
          <xsd:enumeration value="Editing"/>
          <xsd:enumeration value="Alison Rv"/>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03d4191-8f1e-4a00-bb35-f18714e6ca55}"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DF8DAF-73D9-41AE-8762-2D5EAC8C6634}">
  <ds:schemaRefs>
    <ds:schemaRef ds:uri="http://schemas.microsoft.com/office/2006/metadata/properties"/>
    <ds:schemaRef ds:uri="http://schemas.microsoft.com/office/infopath/2007/PartnerControls"/>
    <ds:schemaRef ds:uri="31b2e4f9-c376-4e2f-bd2e-796d1bcd5746"/>
    <ds:schemaRef ds:uri="5ce0f2b5-5be5-4508-bce9-d7011ece0659"/>
    <ds:schemaRef ds:uri="7ee2ad8a-2b33-419f-875c-ac0e4cfc6b7f"/>
  </ds:schemaRefs>
</ds:datastoreItem>
</file>

<file path=customXml/itemProps2.xml><?xml version="1.0" encoding="utf-8"?>
<ds:datastoreItem xmlns:ds="http://schemas.openxmlformats.org/officeDocument/2006/customXml" ds:itemID="{237C3AF5-CA89-4BA6-A3F6-802DA759D473}">
  <ds:schemaRefs>
    <ds:schemaRef ds:uri="http://schemas.openxmlformats.org/officeDocument/2006/bibliography"/>
  </ds:schemaRefs>
</ds:datastoreItem>
</file>

<file path=customXml/itemProps3.xml><?xml version="1.0" encoding="utf-8"?>
<ds:datastoreItem xmlns:ds="http://schemas.openxmlformats.org/officeDocument/2006/customXml" ds:itemID="{022FD1DB-B45F-47BC-8C02-C4803A75A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DEBD3-3DB1-4877-945F-406D1FF9DB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2752</Words>
  <Characters>15691</Characters>
  <Application>Microsoft Office Word</Application>
  <DocSecurity>0</DocSecurity>
  <Lines>130</Lines>
  <Paragraphs>36</Paragraphs>
  <ScaleCrop>false</ScaleCrop>
  <Manager/>
  <Company>Safer Care Victoria</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 here</dc:title>
  <dc:subject/>
  <dc:creator>Emma Gumbleton (DHHS)</dc:creator>
  <cp:keywords/>
  <cp:lastModifiedBy>Brett Morris (DHHS)</cp:lastModifiedBy>
  <cp:revision>6</cp:revision>
  <cp:lastPrinted>2022-11-02T00:50:00Z</cp:lastPrinted>
  <dcterms:created xsi:type="dcterms:W3CDTF">2022-10-30T21:53:00Z</dcterms:created>
  <dcterms:modified xsi:type="dcterms:W3CDTF">2022-11-02T00:58:00Z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MSIP_Label_efdf5488-3066-4b6c-8fea-9472b8a1f34c_Enabled">
    <vt:lpwstr>true</vt:lpwstr>
  </property>
  <property fmtid="{D5CDD505-2E9C-101B-9397-08002B2CF9AE}" pid="5" name="MSIP_Label_efdf5488-3066-4b6c-8fea-9472b8a1f34c_SetDate">
    <vt:lpwstr>2021-07-23T01:11:56Z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08c8e6dd-a95d-4f86-8bda-a930a10f7e58</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Order">
    <vt:r8>87200</vt:r8>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ies>
</file>