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6F66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576A6AA7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53F429B3" w14:textId="6DB1A66B" w:rsidR="002E3ECB" w:rsidRDefault="00D26252" w:rsidP="002E3ECB">
      <w:pPr>
        <w:pStyle w:val="Heading1"/>
      </w:pPr>
      <w:r>
        <w:t>Developing recommendations</w:t>
      </w:r>
    </w:p>
    <w:p w14:paraId="27CE12D0" w14:textId="606B2A2D" w:rsidR="00105281" w:rsidRDefault="00105281" w:rsidP="00712C31">
      <w:pPr>
        <w:pStyle w:val="Heading2"/>
      </w:pPr>
      <w:r>
        <w:t>Recommendation checklist</w:t>
      </w:r>
    </w:p>
    <w:p w14:paraId="72F84CC4" w14:textId="77777777" w:rsidR="00105281" w:rsidRDefault="00105281" w:rsidP="00105281">
      <w:pPr>
        <w:pStyle w:val="SCVbullet1"/>
      </w:pPr>
      <w:r>
        <w:t>Is there at least one recommendation for each finding?</w:t>
      </w:r>
    </w:p>
    <w:p w14:paraId="3AA6024D" w14:textId="77777777" w:rsidR="00105281" w:rsidRDefault="00105281" w:rsidP="00105281">
      <w:pPr>
        <w:pStyle w:val="SCVbullet1"/>
      </w:pPr>
      <w:r>
        <w:t>Are the recommendations achievable on face value?</w:t>
      </w:r>
    </w:p>
    <w:p w14:paraId="0DB30AA2" w14:textId="77777777" w:rsidR="00105281" w:rsidRDefault="00105281" w:rsidP="00105281">
      <w:pPr>
        <w:pStyle w:val="SCVbullet1"/>
      </w:pPr>
      <w:r>
        <w:t xml:space="preserve">Are the significant majority (at least 50%) of recommendations rated as moderate or strong? </w:t>
      </w:r>
    </w:p>
    <w:p w14:paraId="0A3DE43B" w14:textId="1CC92D52" w:rsidR="00105281" w:rsidRDefault="00105281" w:rsidP="00105281">
      <w:pPr>
        <w:pStyle w:val="SCVbullet1"/>
      </w:pPr>
      <w:r>
        <w:t xml:space="preserve">Do the </w:t>
      </w:r>
      <w:r w:rsidR="00FD3CD0">
        <w:t xml:space="preserve">categories </w:t>
      </w:r>
      <w:r>
        <w:t>given in the report match the criteria in ‘Guide to the strength of recommendations</w:t>
      </w:r>
      <w:r w:rsidR="004F05E4">
        <w:t>’</w:t>
      </w:r>
      <w:r w:rsidR="00FD3CD0">
        <w:t xml:space="preserve"> below</w:t>
      </w:r>
      <w:r>
        <w:t>?</w:t>
      </w:r>
    </w:p>
    <w:p w14:paraId="0C08F63C" w14:textId="59036143" w:rsidR="00CD4D43" w:rsidRDefault="00F31E25" w:rsidP="00105281">
      <w:pPr>
        <w:pStyle w:val="SCVbullet1"/>
      </w:pPr>
      <w:r>
        <w:t xml:space="preserve">Have </w:t>
      </w:r>
      <w:r w:rsidR="00CD4D43">
        <w:t xml:space="preserve">the </w:t>
      </w:r>
      <w:r w:rsidR="00C74F19">
        <w:t xml:space="preserve">staff responsible for implementing the </w:t>
      </w:r>
      <w:r w:rsidR="00CD4D43">
        <w:t>recommendation</w:t>
      </w:r>
      <w:r w:rsidR="003E2554">
        <w:t xml:space="preserve"> </w:t>
      </w:r>
      <w:r>
        <w:t>been consulted in the development?</w:t>
      </w:r>
    </w:p>
    <w:p w14:paraId="15A7B70D" w14:textId="716F4F7E" w:rsidR="00A509FC" w:rsidRDefault="00A509FC" w:rsidP="00105281">
      <w:pPr>
        <w:pStyle w:val="SCVbullet1"/>
        <w:rPr>
          <w:rStyle w:val="SCVbodyChar"/>
        </w:rPr>
      </w:pPr>
      <w:r>
        <w:t>Are recommendations</w:t>
      </w:r>
      <w:r w:rsidR="00A923BF">
        <w:t xml:space="preserve"> </w:t>
      </w:r>
      <w:r w:rsidR="0080005C">
        <w:t>SMART (</w:t>
      </w:r>
      <w:r w:rsidR="0080005C" w:rsidRPr="008F42FD">
        <w:rPr>
          <w:rStyle w:val="SCVbodyChar"/>
        </w:rPr>
        <w:t>specific, measurable, achievable, relevant and timely</w:t>
      </w:r>
      <w:r w:rsidR="0080005C" w:rsidRPr="007067D2">
        <w:rPr>
          <w:rStyle w:val="SCVbodyChar"/>
        </w:rPr>
        <w:t>)</w:t>
      </w:r>
      <w:r w:rsidR="00015A34">
        <w:rPr>
          <w:rStyle w:val="SCVbodyChar"/>
        </w:rPr>
        <w:t>?</w:t>
      </w:r>
    </w:p>
    <w:p w14:paraId="0CFE77A5" w14:textId="69620BE5" w:rsidR="0080005C" w:rsidRPr="00105281" w:rsidRDefault="00015A34" w:rsidP="00105281">
      <w:pPr>
        <w:pStyle w:val="SCVbullet1"/>
      </w:pPr>
      <w:r>
        <w:t>H</w:t>
      </w:r>
      <w:r w:rsidR="0080005C">
        <w:t>ave</w:t>
      </w:r>
      <w:r w:rsidR="0080005C" w:rsidRPr="0080005C">
        <w:t xml:space="preserve"> potential unintended consequences </w:t>
      </w:r>
      <w:r>
        <w:t>o</w:t>
      </w:r>
      <w:r w:rsidR="0080005C" w:rsidRPr="0080005C">
        <w:t>f implement</w:t>
      </w:r>
      <w:r>
        <w:t>ation</w:t>
      </w:r>
      <w:r w:rsidR="0080005C" w:rsidRPr="0080005C">
        <w:t xml:space="preserve"> been assesse</w:t>
      </w:r>
      <w:r>
        <w:t>d?</w:t>
      </w:r>
    </w:p>
    <w:p w14:paraId="6BA07047" w14:textId="6E82B7B2" w:rsidR="002E3ECB" w:rsidRDefault="00712C31" w:rsidP="00712C31">
      <w:pPr>
        <w:pStyle w:val="Heading2"/>
      </w:pPr>
      <w:r>
        <w:t xml:space="preserve">Example </w:t>
      </w:r>
      <w:r w:rsidR="00C85E48">
        <w:t>recommendations</w:t>
      </w:r>
    </w:p>
    <w:p w14:paraId="6899BFBE" w14:textId="365E33CF" w:rsidR="00BD1BFD" w:rsidRDefault="00BD1BFD" w:rsidP="00BD1BFD">
      <w:pPr>
        <w:pStyle w:val="SCVbody"/>
        <w:rPr>
          <w:rStyle w:val="SCVbodyChar"/>
        </w:rPr>
      </w:pPr>
      <w:r>
        <w:rPr>
          <w:rStyle w:val="SCVbodyChar"/>
        </w:rPr>
        <w:t xml:space="preserve">The below table </w:t>
      </w:r>
      <w:r w:rsidR="00C721D9">
        <w:rPr>
          <w:rStyle w:val="SCVbodyChar"/>
        </w:rPr>
        <w:t xml:space="preserve">lists </w:t>
      </w:r>
      <w:r>
        <w:rPr>
          <w:rStyle w:val="SCVbodyChar"/>
        </w:rPr>
        <w:t>example</w:t>
      </w:r>
      <w:r w:rsidR="00BC4618">
        <w:rPr>
          <w:rStyle w:val="SCVbodyChar"/>
        </w:rPr>
        <w:t xml:space="preserve"> SMART</w:t>
      </w:r>
      <w:r w:rsidR="008F42FD" w:rsidRPr="007067D2">
        <w:rPr>
          <w:rStyle w:val="SCVbodyChar"/>
          <w:b/>
          <w:bCs/>
        </w:rPr>
        <w:t xml:space="preserve"> </w:t>
      </w:r>
      <w:r w:rsidR="00BC4618">
        <w:rPr>
          <w:rStyle w:val="SCVbodyChar"/>
        </w:rPr>
        <w:t xml:space="preserve">recommendations and </w:t>
      </w:r>
      <w:r w:rsidR="00C721D9">
        <w:rPr>
          <w:rStyle w:val="SCVbodyChar"/>
        </w:rPr>
        <w:t>what information to include</w:t>
      </w:r>
      <w:r w:rsidR="00BC4618">
        <w:rPr>
          <w:rStyle w:val="SCVbodyChar"/>
        </w:rPr>
        <w:t xml:space="preserve"> in the </w:t>
      </w:r>
      <w:r w:rsidR="00D83EFD">
        <w:rPr>
          <w:rStyle w:val="SCVbodyChar"/>
        </w:rPr>
        <w:t xml:space="preserve">required </w:t>
      </w:r>
      <w:r w:rsidR="00BC4618">
        <w:rPr>
          <w:rStyle w:val="SCVbodyChar"/>
        </w:rPr>
        <w:t xml:space="preserve">fields. </w:t>
      </w:r>
    </w:p>
    <w:p w14:paraId="0F1E3115" w14:textId="710D1BED" w:rsidR="00887C3C" w:rsidRDefault="00887C3C" w:rsidP="00887C3C">
      <w:pPr>
        <w:pStyle w:val="SCVbody"/>
        <w:rPr>
          <w:rStyle w:val="SCVbodyChar"/>
        </w:rPr>
      </w:pPr>
      <w:r>
        <w:rPr>
          <w:rStyle w:val="SCVbodyChar"/>
        </w:rPr>
        <w:t xml:space="preserve">When developing your </w:t>
      </w:r>
      <w:r w:rsidR="00CD4D43">
        <w:rPr>
          <w:rStyle w:val="SCVbodyChar"/>
        </w:rPr>
        <w:t>recommendations</w:t>
      </w:r>
      <w:r>
        <w:rPr>
          <w:rStyle w:val="SCVbodyChar"/>
        </w:rPr>
        <w:t xml:space="preserve">, </w:t>
      </w:r>
      <w:r w:rsidR="00CD4D43">
        <w:rPr>
          <w:rStyle w:val="SCVbodyChar"/>
        </w:rPr>
        <w:t>b</w:t>
      </w:r>
      <w:r w:rsidRPr="00887C3C">
        <w:rPr>
          <w:rStyle w:val="SCVbodyChar"/>
        </w:rPr>
        <w:t>e aware of the wider system implications</w:t>
      </w:r>
      <w:r w:rsidR="00CD4D43">
        <w:rPr>
          <w:rStyle w:val="SCVbodyChar"/>
        </w:rPr>
        <w:t xml:space="preserve"> and ensure recommendation owners are engaged in development. </w:t>
      </w:r>
      <w:r w:rsidRPr="00887C3C">
        <w:rPr>
          <w:rStyle w:val="SCVbodyChar"/>
        </w:rPr>
        <w:t xml:space="preserve">Validate </w:t>
      </w:r>
      <w:r w:rsidR="00CD4D43">
        <w:rPr>
          <w:rStyle w:val="SCVbodyChar"/>
        </w:rPr>
        <w:t xml:space="preserve">the recommendations </w:t>
      </w:r>
      <w:r w:rsidRPr="00887C3C">
        <w:rPr>
          <w:rStyle w:val="SCVbodyChar"/>
        </w:rPr>
        <w:t xml:space="preserve">against the findings </w:t>
      </w:r>
      <w:r w:rsidR="00CD4D43">
        <w:rPr>
          <w:rStyle w:val="SCVbodyChar"/>
        </w:rPr>
        <w:t>and c</w:t>
      </w:r>
      <w:r w:rsidRPr="00887C3C">
        <w:rPr>
          <w:rStyle w:val="SCVbodyChar"/>
        </w:rPr>
        <w:t xml:space="preserve">onsider </w:t>
      </w:r>
      <w:r w:rsidR="008E621D">
        <w:rPr>
          <w:rStyle w:val="SCVbodyChar"/>
        </w:rPr>
        <w:t xml:space="preserve">how you will </w:t>
      </w:r>
      <w:r w:rsidR="009806BB">
        <w:rPr>
          <w:rStyle w:val="SCVbodyChar"/>
        </w:rPr>
        <w:t>measure</w:t>
      </w:r>
      <w:r w:rsidR="008E621D">
        <w:rPr>
          <w:rStyle w:val="SCVbodyChar"/>
        </w:rPr>
        <w:t xml:space="preserve"> outcomes to give you confidence in a successful implementation and how </w:t>
      </w:r>
      <w:r w:rsidR="009806BB">
        <w:rPr>
          <w:rStyle w:val="SCVbodyChar"/>
        </w:rPr>
        <w:t xml:space="preserve">and when </w:t>
      </w:r>
      <w:r w:rsidR="008E621D">
        <w:rPr>
          <w:rStyle w:val="SCVbodyChar"/>
        </w:rPr>
        <w:t>you may evaluate the implementation</w:t>
      </w:r>
      <w:r w:rsidR="009806BB">
        <w:rPr>
          <w:rStyle w:val="SCVbodyChar"/>
        </w:rPr>
        <w:t xml:space="preserve"> down the track</w:t>
      </w:r>
      <w:r w:rsidR="00F31E25">
        <w:rPr>
          <w:rStyle w:val="SCVbodyCha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1900"/>
        <w:gridCol w:w="3412"/>
        <w:gridCol w:w="2710"/>
      </w:tblGrid>
      <w:tr w:rsidR="003D56A4" w14:paraId="3DD7382A" w14:textId="77777777" w:rsidTr="004F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</w:tcPr>
          <w:p w14:paraId="5D610778" w14:textId="2FE15338" w:rsidR="003D56A4" w:rsidRDefault="003D56A4" w:rsidP="00510E24">
            <w:pPr>
              <w:pStyle w:val="SCVtablecolhead"/>
              <w:rPr>
                <w:rStyle w:val="SCVbodyChar"/>
              </w:rPr>
            </w:pPr>
            <w:r w:rsidRPr="005347CB">
              <w:rPr>
                <w:rFonts w:eastAsiaTheme="minorEastAsia"/>
              </w:rPr>
              <w:t>Recommendation</w:t>
            </w:r>
          </w:p>
        </w:tc>
        <w:tc>
          <w:tcPr>
            <w:tcW w:w="1900" w:type="dxa"/>
          </w:tcPr>
          <w:p w14:paraId="70C3B8BF" w14:textId="33B51102" w:rsidR="003D56A4" w:rsidRPr="005347CB" w:rsidRDefault="003D56A4" w:rsidP="00510E24">
            <w:pPr>
              <w:pStyle w:val="SCVtablecolhead"/>
            </w:pPr>
            <w:r w:rsidRPr="003D56A4">
              <w:rPr>
                <w:rFonts w:eastAsiaTheme="minorEastAsia"/>
              </w:rPr>
              <w:t>Recommendation strength</w:t>
            </w:r>
          </w:p>
        </w:tc>
        <w:tc>
          <w:tcPr>
            <w:tcW w:w="3412" w:type="dxa"/>
          </w:tcPr>
          <w:p w14:paraId="6E687F3A" w14:textId="3A9B3EC4" w:rsidR="003D56A4" w:rsidRDefault="003D56A4" w:rsidP="00510E24">
            <w:pPr>
              <w:pStyle w:val="SCVtablecolhead"/>
              <w:rPr>
                <w:rStyle w:val="SCVbodyChar"/>
              </w:rPr>
            </w:pPr>
            <w:r w:rsidRPr="005347CB">
              <w:rPr>
                <w:rFonts w:eastAsiaTheme="minorEastAsia"/>
              </w:rPr>
              <w:t>Actions to achieve</w:t>
            </w:r>
          </w:p>
        </w:tc>
        <w:tc>
          <w:tcPr>
            <w:tcW w:w="2710" w:type="dxa"/>
          </w:tcPr>
          <w:p w14:paraId="39E5BED8" w14:textId="74DAD427" w:rsidR="003D56A4" w:rsidRDefault="003D56A4" w:rsidP="00510E24">
            <w:pPr>
              <w:pStyle w:val="SCVtablecolhead"/>
              <w:rPr>
                <w:rStyle w:val="SCVbodyChar"/>
              </w:rPr>
            </w:pPr>
            <w:r w:rsidRPr="005347CB">
              <w:rPr>
                <w:rFonts w:eastAsiaTheme="minorEastAsia"/>
              </w:rPr>
              <w:t>Outcome measure</w:t>
            </w:r>
          </w:p>
        </w:tc>
      </w:tr>
      <w:tr w:rsidR="003D56A4" w14:paraId="70FAF9F0" w14:textId="77777777" w:rsidTr="004F05E4">
        <w:tc>
          <w:tcPr>
            <w:tcW w:w="2410" w:type="dxa"/>
          </w:tcPr>
          <w:p w14:paraId="049278FB" w14:textId="285F8187" w:rsidR="003D56A4" w:rsidRDefault="003D56A4" w:rsidP="00F93846">
            <w:pPr>
              <w:pStyle w:val="SCVtablebody"/>
              <w:rPr>
                <w:rStyle w:val="SCVbodyChar"/>
              </w:rPr>
            </w:pPr>
            <w:r w:rsidRPr="00CE557C">
              <w:rPr>
                <w:rFonts w:eastAsiaTheme="minorEastAsia"/>
              </w:rPr>
              <w:t>Replace revolving doors at the main entrance into the building with powered sliding or swinging doors to reduce patient falls</w:t>
            </w:r>
          </w:p>
        </w:tc>
        <w:tc>
          <w:tcPr>
            <w:tcW w:w="1900" w:type="dxa"/>
          </w:tcPr>
          <w:p w14:paraId="190997B1" w14:textId="34BB7347" w:rsidR="003D56A4" w:rsidRPr="00F93846" w:rsidRDefault="003D56A4" w:rsidP="000800BD">
            <w:pPr>
              <w:pStyle w:val="SCVtablebullet1"/>
              <w:numPr>
                <w:ilvl w:val="0"/>
                <w:numId w:val="0"/>
              </w:numPr>
              <w:ind w:left="227" w:hanging="227"/>
            </w:pPr>
            <w:r>
              <w:t>Strong</w:t>
            </w:r>
          </w:p>
        </w:tc>
        <w:tc>
          <w:tcPr>
            <w:tcW w:w="3412" w:type="dxa"/>
          </w:tcPr>
          <w:p w14:paraId="72F8DACD" w14:textId="3897223F" w:rsidR="003D56A4" w:rsidRPr="00F93846" w:rsidRDefault="003D56A4" w:rsidP="00F93846">
            <w:pPr>
              <w:pStyle w:val="SCVtablebullet1"/>
            </w:pPr>
            <w:r w:rsidRPr="00F93846">
              <w:t>Obtain quotes to complete work</w:t>
            </w:r>
          </w:p>
          <w:p w14:paraId="4FEEE49B" w14:textId="77777777" w:rsidR="003D56A4" w:rsidRPr="00F93846" w:rsidRDefault="003D56A4" w:rsidP="00F93846">
            <w:pPr>
              <w:pStyle w:val="SCVtablebullet1"/>
            </w:pPr>
            <w:r w:rsidRPr="00F93846">
              <w:t>Select most appropriate quote</w:t>
            </w:r>
          </w:p>
          <w:p w14:paraId="0237E0DF" w14:textId="1AC4EB26" w:rsidR="003D56A4" w:rsidRPr="00F93846" w:rsidRDefault="003D56A4" w:rsidP="00F93846">
            <w:pPr>
              <w:pStyle w:val="SCVtablebullet1"/>
              <w:rPr>
                <w:rStyle w:val="SCVbodyChar"/>
              </w:rPr>
            </w:pPr>
            <w:r w:rsidRPr="00F93846">
              <w:rPr>
                <w:rStyle w:val="SCVbodyChar"/>
              </w:rPr>
              <w:t>Implement</w:t>
            </w:r>
            <w:r w:rsidRPr="00F93846">
              <w:t xml:space="preserve"> works</w:t>
            </w:r>
          </w:p>
        </w:tc>
        <w:tc>
          <w:tcPr>
            <w:tcW w:w="2710" w:type="dxa"/>
          </w:tcPr>
          <w:p w14:paraId="0F7DC64F" w14:textId="77777777" w:rsidR="003D56A4" w:rsidRPr="00F93846" w:rsidRDefault="003D56A4" w:rsidP="00F93846">
            <w:pPr>
              <w:pStyle w:val="SCVtablebullet1"/>
            </w:pPr>
            <w:r w:rsidRPr="00F93846">
              <w:t>New door implemented</w:t>
            </w:r>
          </w:p>
          <w:p w14:paraId="34BA7A84" w14:textId="6464653E" w:rsidR="003D56A4" w:rsidRPr="00F93846" w:rsidRDefault="003D56A4" w:rsidP="00F93846">
            <w:pPr>
              <w:pStyle w:val="SCVtablebullet1"/>
              <w:rPr>
                <w:rStyle w:val="SCVbodyChar"/>
              </w:rPr>
            </w:pPr>
            <w:r w:rsidRPr="00F93846">
              <w:t xml:space="preserve">Regular audits of falls show no further falls related to the front entrance. </w:t>
            </w:r>
          </w:p>
        </w:tc>
      </w:tr>
      <w:tr w:rsidR="003D56A4" w14:paraId="3E7B98D4" w14:textId="77777777" w:rsidTr="004F05E4">
        <w:tc>
          <w:tcPr>
            <w:tcW w:w="2410" w:type="dxa"/>
          </w:tcPr>
          <w:p w14:paraId="675350D0" w14:textId="3F23E499" w:rsidR="003D56A4" w:rsidRDefault="003D56A4" w:rsidP="00F93846">
            <w:pPr>
              <w:pStyle w:val="SCVtablebody"/>
              <w:rPr>
                <w:rStyle w:val="SCVbodyChar"/>
              </w:rPr>
            </w:pPr>
            <w:r w:rsidRPr="00CE557C">
              <w:rPr>
                <w:rFonts w:eastAsiaTheme="minorEastAsia"/>
              </w:rPr>
              <w:t>Conduct patient handover in a simulation lab environment, with after-action critiques and debriefing</w:t>
            </w:r>
          </w:p>
        </w:tc>
        <w:tc>
          <w:tcPr>
            <w:tcW w:w="1900" w:type="dxa"/>
          </w:tcPr>
          <w:p w14:paraId="55683E58" w14:textId="6F6E9A68" w:rsidR="003D56A4" w:rsidRPr="00F93846" w:rsidRDefault="000800BD" w:rsidP="000800BD">
            <w:pPr>
              <w:pStyle w:val="SCVtablebullet1"/>
              <w:numPr>
                <w:ilvl w:val="0"/>
                <w:numId w:val="0"/>
              </w:numPr>
            </w:pPr>
            <w:r>
              <w:t>Moderate</w:t>
            </w:r>
          </w:p>
        </w:tc>
        <w:tc>
          <w:tcPr>
            <w:tcW w:w="3412" w:type="dxa"/>
          </w:tcPr>
          <w:p w14:paraId="5F05A6A9" w14:textId="1B7E3FF4" w:rsidR="003D56A4" w:rsidRPr="00F93846" w:rsidRDefault="003D56A4" w:rsidP="00F93846">
            <w:pPr>
              <w:pStyle w:val="SCVtablebullet1"/>
            </w:pPr>
            <w:r w:rsidRPr="00F93846">
              <w:t>Develop and pilot simulation training</w:t>
            </w:r>
          </w:p>
          <w:p w14:paraId="76D77C81" w14:textId="77777777" w:rsidR="003D56A4" w:rsidRPr="00F93846" w:rsidRDefault="003D56A4" w:rsidP="00F93846">
            <w:pPr>
              <w:pStyle w:val="SCVtablebullet1"/>
            </w:pPr>
            <w:r w:rsidRPr="00F93846">
              <w:t>Upload training to mandatory training in learning management system</w:t>
            </w:r>
          </w:p>
          <w:p w14:paraId="2B70A333" w14:textId="6BF25C05" w:rsidR="003D56A4" w:rsidRPr="00F93846" w:rsidRDefault="003D56A4" w:rsidP="00F33C88">
            <w:pPr>
              <w:pStyle w:val="SCVtablebullet1"/>
            </w:pPr>
            <w:r w:rsidRPr="00F93846">
              <w:t>Conduct training</w:t>
            </w:r>
            <w:r w:rsidR="00D77F67">
              <w:t xml:space="preserve"> </w:t>
            </w:r>
          </w:p>
          <w:p w14:paraId="025039AC" w14:textId="1B31B718" w:rsidR="003D56A4" w:rsidRPr="00F93846" w:rsidRDefault="003D56A4" w:rsidP="00F93846">
            <w:pPr>
              <w:pStyle w:val="SCVtablebullet1"/>
              <w:rPr>
                <w:rStyle w:val="SCVbodyChar"/>
              </w:rPr>
            </w:pPr>
            <w:r w:rsidRPr="00F93846">
              <w:t>Nurse managers to follow up staff who have not completed training</w:t>
            </w:r>
          </w:p>
        </w:tc>
        <w:tc>
          <w:tcPr>
            <w:tcW w:w="2710" w:type="dxa"/>
          </w:tcPr>
          <w:p w14:paraId="5D49C5D8" w14:textId="77777777" w:rsidR="003D56A4" w:rsidRPr="00F93846" w:rsidRDefault="003D56A4" w:rsidP="00F93846">
            <w:pPr>
              <w:pStyle w:val="SCVtablebullet1"/>
            </w:pPr>
            <w:r w:rsidRPr="00F93846">
              <w:t>New simulation process available and implemented on LMS</w:t>
            </w:r>
          </w:p>
          <w:p w14:paraId="5AC1237F" w14:textId="7237DD29" w:rsidR="003D56A4" w:rsidRPr="00F93846" w:rsidRDefault="003D56A4" w:rsidP="00F93846">
            <w:pPr>
              <w:pStyle w:val="SCVtablebullet1"/>
              <w:rPr>
                <w:rStyle w:val="SCVbodyChar"/>
              </w:rPr>
            </w:pPr>
            <w:r w:rsidRPr="00F93846">
              <w:t>Audit of completed training shows &gt;80% compliance</w:t>
            </w:r>
          </w:p>
        </w:tc>
      </w:tr>
      <w:tr w:rsidR="003D56A4" w14:paraId="514B484F" w14:textId="77777777" w:rsidTr="004F05E4">
        <w:tc>
          <w:tcPr>
            <w:tcW w:w="2410" w:type="dxa"/>
          </w:tcPr>
          <w:p w14:paraId="26A2D7C1" w14:textId="4594919A" w:rsidR="003D56A4" w:rsidRDefault="003D56A4" w:rsidP="00F93846">
            <w:pPr>
              <w:pStyle w:val="SCVtablebody"/>
              <w:rPr>
                <w:rStyle w:val="SCVbodyChar"/>
              </w:rPr>
            </w:pPr>
            <w:r w:rsidRPr="00CE557C">
              <w:rPr>
                <w:rFonts w:eastAsiaTheme="minorEastAsia"/>
              </w:rPr>
              <w:t>Add caution labels to intravenous lines containing potassium chloride</w:t>
            </w:r>
          </w:p>
        </w:tc>
        <w:tc>
          <w:tcPr>
            <w:tcW w:w="1900" w:type="dxa"/>
          </w:tcPr>
          <w:p w14:paraId="0B9E1C95" w14:textId="38C2A2F8" w:rsidR="003D56A4" w:rsidRPr="00F93846" w:rsidRDefault="000800BD" w:rsidP="000800BD">
            <w:pPr>
              <w:pStyle w:val="SCVtablebullet1"/>
              <w:numPr>
                <w:ilvl w:val="0"/>
                <w:numId w:val="0"/>
              </w:numPr>
              <w:ind w:left="227" w:hanging="227"/>
            </w:pPr>
            <w:r>
              <w:t>Weak</w:t>
            </w:r>
          </w:p>
        </w:tc>
        <w:tc>
          <w:tcPr>
            <w:tcW w:w="3412" w:type="dxa"/>
          </w:tcPr>
          <w:p w14:paraId="6FA291CA" w14:textId="03E88E0C" w:rsidR="003D56A4" w:rsidRPr="00F93846" w:rsidRDefault="003D56A4" w:rsidP="00F93846">
            <w:pPr>
              <w:pStyle w:val="SCVtablebullet1"/>
            </w:pPr>
            <w:r w:rsidRPr="00F93846">
              <w:t>Scope, develop and roll out new sticker</w:t>
            </w:r>
          </w:p>
          <w:p w14:paraId="40BBD6F6" w14:textId="77777777" w:rsidR="003D56A4" w:rsidRPr="00F93846" w:rsidRDefault="003D56A4" w:rsidP="00F93846">
            <w:pPr>
              <w:pStyle w:val="SCVtablebullet1"/>
            </w:pPr>
            <w:r w:rsidRPr="00F93846">
              <w:t>Update procedure ‘administration of IV potassium’</w:t>
            </w:r>
          </w:p>
          <w:p w14:paraId="013270F1" w14:textId="77777777" w:rsidR="003D56A4" w:rsidRPr="00F93846" w:rsidRDefault="003D56A4" w:rsidP="00F93846">
            <w:pPr>
              <w:pStyle w:val="SCVtablebullet1"/>
            </w:pPr>
            <w:r w:rsidRPr="00F93846">
              <w:t>Create awareness program to share procedure changes</w:t>
            </w:r>
          </w:p>
          <w:p w14:paraId="503BDFAE" w14:textId="07236B4D" w:rsidR="003D56A4" w:rsidRPr="00F93846" w:rsidRDefault="003D56A4" w:rsidP="00F93846">
            <w:pPr>
              <w:pStyle w:val="SCVtablebullet1"/>
              <w:rPr>
                <w:rStyle w:val="SCVbodyChar"/>
              </w:rPr>
            </w:pPr>
            <w:r w:rsidRPr="00F93846">
              <w:t xml:space="preserve">Audit usage to sticker creating actions to address identified gaps. </w:t>
            </w:r>
          </w:p>
        </w:tc>
        <w:tc>
          <w:tcPr>
            <w:tcW w:w="2710" w:type="dxa"/>
          </w:tcPr>
          <w:p w14:paraId="74D820B8" w14:textId="77777777" w:rsidR="003D56A4" w:rsidRPr="00F93846" w:rsidRDefault="003D56A4" w:rsidP="00F93846">
            <w:pPr>
              <w:pStyle w:val="SCVtablebullet1"/>
            </w:pPr>
            <w:r w:rsidRPr="00F93846">
              <w:t>Stickers available on all applicable areas</w:t>
            </w:r>
          </w:p>
          <w:p w14:paraId="2400E483" w14:textId="226C1D95" w:rsidR="003D56A4" w:rsidRPr="00F93846" w:rsidRDefault="003D56A4" w:rsidP="00F93846">
            <w:pPr>
              <w:pStyle w:val="SCVtablebullet1"/>
              <w:rPr>
                <w:rStyle w:val="SCVbodyChar"/>
              </w:rPr>
            </w:pPr>
            <w:r w:rsidRPr="00F93846">
              <w:t xml:space="preserve">Audit of sticker usage compliance shows &gt;90% usage when indicated. </w:t>
            </w:r>
          </w:p>
        </w:tc>
      </w:tr>
    </w:tbl>
    <w:p w14:paraId="209F61C5" w14:textId="21B4246D" w:rsidR="00D26252" w:rsidRDefault="00712C31" w:rsidP="00712C31">
      <w:pPr>
        <w:pStyle w:val="Heading2"/>
      </w:pPr>
      <w:r>
        <w:lastRenderedPageBreak/>
        <w:t>Guide to the strength of recommendations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2760"/>
        <w:gridCol w:w="3501"/>
        <w:gridCol w:w="4164"/>
      </w:tblGrid>
      <w:tr w:rsidR="00C55FF5" w:rsidRPr="00C55FF5" w14:paraId="346AF483" w14:textId="77777777" w:rsidTr="00510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24" w:type="pct"/>
          </w:tcPr>
          <w:p w14:paraId="3FB0218D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Recommendation strength</w:t>
            </w:r>
          </w:p>
        </w:tc>
        <w:tc>
          <w:tcPr>
            <w:tcW w:w="1679" w:type="pct"/>
          </w:tcPr>
          <w:p w14:paraId="6303F36B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Recommendation category</w:t>
            </w:r>
          </w:p>
        </w:tc>
        <w:tc>
          <w:tcPr>
            <w:tcW w:w="1997" w:type="pct"/>
          </w:tcPr>
          <w:p w14:paraId="299E2E82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Example</w:t>
            </w:r>
          </w:p>
        </w:tc>
      </w:tr>
      <w:tr w:rsidR="00C55FF5" w:rsidRPr="00C55FF5" w14:paraId="34AEF496" w14:textId="77777777" w:rsidTr="00510E24">
        <w:tc>
          <w:tcPr>
            <w:tcW w:w="1324" w:type="pct"/>
          </w:tcPr>
          <w:p w14:paraId="063323C7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Strong actions</w:t>
            </w:r>
          </w:p>
        </w:tc>
        <w:tc>
          <w:tcPr>
            <w:tcW w:w="1679" w:type="pct"/>
          </w:tcPr>
          <w:p w14:paraId="72F04921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Architectural/physical changes in surroundings</w:t>
            </w:r>
          </w:p>
        </w:tc>
        <w:tc>
          <w:tcPr>
            <w:tcW w:w="1997" w:type="pct"/>
          </w:tcPr>
          <w:p w14:paraId="07326DE7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Replace revolving doors at the main entrance into the building with powered sliding or swinging doors to reduce patient falls.</w:t>
            </w:r>
          </w:p>
        </w:tc>
      </w:tr>
      <w:tr w:rsidR="00C55FF5" w:rsidRPr="00C55FF5" w14:paraId="0002B858" w14:textId="77777777" w:rsidTr="00510E24">
        <w:tc>
          <w:tcPr>
            <w:tcW w:w="1324" w:type="pct"/>
          </w:tcPr>
          <w:p w14:paraId="36E9E4C7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Strong actions</w:t>
            </w:r>
          </w:p>
        </w:tc>
        <w:tc>
          <w:tcPr>
            <w:tcW w:w="1679" w:type="pct"/>
          </w:tcPr>
          <w:p w14:paraId="45FA684E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New devices with usability testing</w:t>
            </w:r>
          </w:p>
        </w:tc>
        <w:tc>
          <w:tcPr>
            <w:tcW w:w="1997" w:type="pct"/>
          </w:tcPr>
          <w:p w14:paraId="32805326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Perform pre-purchase testing of blood glucose monitors and test strips to select the most appropriate for the patient population.</w:t>
            </w:r>
          </w:p>
        </w:tc>
      </w:tr>
      <w:tr w:rsidR="00C55FF5" w:rsidRPr="00C55FF5" w14:paraId="515B2E90" w14:textId="77777777" w:rsidTr="00510E24">
        <w:tc>
          <w:tcPr>
            <w:tcW w:w="1324" w:type="pct"/>
          </w:tcPr>
          <w:p w14:paraId="0366ABCA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Strong actions</w:t>
            </w:r>
          </w:p>
        </w:tc>
        <w:tc>
          <w:tcPr>
            <w:tcW w:w="1679" w:type="pct"/>
          </w:tcPr>
          <w:p w14:paraId="14D9111F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Engineering control (forcing functions which force the user to complete the action)</w:t>
            </w:r>
          </w:p>
        </w:tc>
        <w:tc>
          <w:tcPr>
            <w:tcW w:w="1997" w:type="pct"/>
          </w:tcPr>
          <w:p w14:paraId="66727E11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Eliminate the use of universal adapters and peripheral devices for medical equipment; use tubing/fittings that can only be connected the correct way.</w:t>
            </w:r>
          </w:p>
        </w:tc>
      </w:tr>
      <w:tr w:rsidR="00C55FF5" w:rsidRPr="00C55FF5" w14:paraId="7E557481" w14:textId="77777777" w:rsidTr="00510E24">
        <w:tc>
          <w:tcPr>
            <w:tcW w:w="1324" w:type="pct"/>
          </w:tcPr>
          <w:p w14:paraId="321622BB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Strong actions</w:t>
            </w:r>
          </w:p>
        </w:tc>
        <w:tc>
          <w:tcPr>
            <w:tcW w:w="1679" w:type="pct"/>
          </w:tcPr>
          <w:p w14:paraId="163F204D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Simplify process and remove unnecessary steps</w:t>
            </w:r>
          </w:p>
        </w:tc>
        <w:tc>
          <w:tcPr>
            <w:tcW w:w="1997" w:type="pct"/>
          </w:tcPr>
          <w:p w14:paraId="0EC6DE93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Remove unnecessary steps in a process; standardise the make and model of medication pumps used throughout the organisation; use barcoding for medication administration.</w:t>
            </w:r>
          </w:p>
        </w:tc>
      </w:tr>
      <w:tr w:rsidR="00C55FF5" w:rsidRPr="00C55FF5" w14:paraId="0B3F5812" w14:textId="77777777" w:rsidTr="00510E24">
        <w:tc>
          <w:tcPr>
            <w:tcW w:w="1324" w:type="pct"/>
          </w:tcPr>
          <w:p w14:paraId="2F638787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Strong actions</w:t>
            </w:r>
          </w:p>
        </w:tc>
        <w:tc>
          <w:tcPr>
            <w:tcW w:w="1679" w:type="pct"/>
          </w:tcPr>
          <w:p w14:paraId="185319E4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Tangible involvement by leadership</w:t>
            </w:r>
          </w:p>
        </w:tc>
        <w:tc>
          <w:tcPr>
            <w:tcW w:w="1997" w:type="pct"/>
          </w:tcPr>
          <w:p w14:paraId="4714FD1F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Participate in unit patient safety evaluations and interact with staff, purchase needed equipment, ensure staffing and workload is balanced.</w:t>
            </w:r>
          </w:p>
        </w:tc>
      </w:tr>
      <w:tr w:rsidR="00C55FF5" w:rsidRPr="00C55FF5" w14:paraId="47C6B91C" w14:textId="77777777" w:rsidTr="00510E24">
        <w:tc>
          <w:tcPr>
            <w:tcW w:w="1324" w:type="pct"/>
          </w:tcPr>
          <w:p w14:paraId="18225ACC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7901F6AF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Redundancy</w:t>
            </w:r>
          </w:p>
        </w:tc>
        <w:tc>
          <w:tcPr>
            <w:tcW w:w="1997" w:type="pct"/>
          </w:tcPr>
          <w:p w14:paraId="5B6188B7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Use two RNs to independently calculate high-risk medication dosages.</w:t>
            </w:r>
          </w:p>
        </w:tc>
      </w:tr>
      <w:tr w:rsidR="00C55FF5" w:rsidRPr="00C55FF5" w14:paraId="0764C2C8" w14:textId="77777777" w:rsidTr="00510E24">
        <w:tc>
          <w:tcPr>
            <w:tcW w:w="1324" w:type="pct"/>
          </w:tcPr>
          <w:p w14:paraId="2DB83ED7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104F8584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Increase in staffing/decrease in workload</w:t>
            </w:r>
          </w:p>
        </w:tc>
        <w:tc>
          <w:tcPr>
            <w:tcW w:w="1997" w:type="pct"/>
          </w:tcPr>
          <w:p w14:paraId="55C1D066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Make float staff available to assist when workloads peak during the day.</w:t>
            </w:r>
          </w:p>
        </w:tc>
      </w:tr>
      <w:tr w:rsidR="00C55FF5" w:rsidRPr="00C55FF5" w14:paraId="71D6D8E1" w14:textId="77777777" w:rsidTr="00510E24">
        <w:tc>
          <w:tcPr>
            <w:tcW w:w="1324" w:type="pct"/>
          </w:tcPr>
          <w:p w14:paraId="3F913172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4022C47F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Software enhancements or modifications</w:t>
            </w:r>
          </w:p>
        </w:tc>
        <w:tc>
          <w:tcPr>
            <w:tcW w:w="1997" w:type="pct"/>
          </w:tcPr>
          <w:p w14:paraId="10D90D10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Use computer alerts for drug–drug interactions.</w:t>
            </w:r>
          </w:p>
        </w:tc>
      </w:tr>
      <w:tr w:rsidR="00C55FF5" w:rsidRPr="00C55FF5" w14:paraId="01689F5E" w14:textId="77777777" w:rsidTr="00510E24">
        <w:tc>
          <w:tcPr>
            <w:tcW w:w="1324" w:type="pct"/>
          </w:tcPr>
          <w:p w14:paraId="5A4B272C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102AB182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Eliminate/reduce distractions</w:t>
            </w:r>
          </w:p>
        </w:tc>
        <w:tc>
          <w:tcPr>
            <w:tcW w:w="1997" w:type="pct"/>
          </w:tcPr>
          <w:p w14:paraId="50E878A1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Provide quiet rooms for programming PCA pumps; remove distractions for nurses when programming medication pumps.</w:t>
            </w:r>
          </w:p>
        </w:tc>
      </w:tr>
      <w:tr w:rsidR="00C55FF5" w:rsidRPr="00C55FF5" w14:paraId="311F2F98" w14:textId="77777777" w:rsidTr="00510E24">
        <w:tc>
          <w:tcPr>
            <w:tcW w:w="1324" w:type="pct"/>
          </w:tcPr>
          <w:p w14:paraId="25B69BB0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697F6DCD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Education using simulation-based training with periodic refresher sessions/observations</w:t>
            </w:r>
          </w:p>
        </w:tc>
        <w:tc>
          <w:tcPr>
            <w:tcW w:w="1997" w:type="pct"/>
          </w:tcPr>
          <w:p w14:paraId="58A44606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Conduct patient handover in a simulation lab environment, with after-action critiques and debriefing.</w:t>
            </w:r>
          </w:p>
        </w:tc>
      </w:tr>
      <w:tr w:rsidR="00C55FF5" w:rsidRPr="00C55FF5" w14:paraId="0C9E8E88" w14:textId="77777777" w:rsidTr="00510E24">
        <w:tc>
          <w:tcPr>
            <w:tcW w:w="1324" w:type="pct"/>
          </w:tcPr>
          <w:p w14:paraId="1471A4C6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66CB0F80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Checklist/cognitive aids</w:t>
            </w:r>
          </w:p>
        </w:tc>
        <w:tc>
          <w:tcPr>
            <w:tcW w:w="1997" w:type="pct"/>
          </w:tcPr>
          <w:p w14:paraId="171E9DF5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Use pre-induction and pre-incision checklists in operating rooms; use a checklist when reprocessing flexible fibre optic endoscopes.</w:t>
            </w:r>
          </w:p>
        </w:tc>
      </w:tr>
      <w:tr w:rsidR="00C55FF5" w:rsidRPr="00C55FF5" w14:paraId="3BD6C753" w14:textId="77777777" w:rsidTr="00510E24">
        <w:tc>
          <w:tcPr>
            <w:tcW w:w="1324" w:type="pct"/>
          </w:tcPr>
          <w:p w14:paraId="39CEB8AB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4A8F59FA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Eliminate look- and sound-alikes</w:t>
            </w:r>
          </w:p>
        </w:tc>
        <w:tc>
          <w:tcPr>
            <w:tcW w:w="1997" w:type="pct"/>
          </w:tcPr>
          <w:p w14:paraId="787BAE33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Do not store look-alikes next to one another in the medication room.</w:t>
            </w:r>
          </w:p>
        </w:tc>
      </w:tr>
      <w:tr w:rsidR="00C55FF5" w:rsidRPr="00C55FF5" w14:paraId="74E439CB" w14:textId="77777777" w:rsidTr="00510E24">
        <w:tc>
          <w:tcPr>
            <w:tcW w:w="1324" w:type="pct"/>
          </w:tcPr>
          <w:p w14:paraId="39A98B1A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384A3704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Standardised communication tools</w:t>
            </w:r>
          </w:p>
        </w:tc>
        <w:tc>
          <w:tcPr>
            <w:tcW w:w="1997" w:type="pct"/>
          </w:tcPr>
          <w:p w14:paraId="122D74BD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Use read-back for all critical lab values; use read-back or repeat-back for all verbal medication orders, use a standardised patient handover format.</w:t>
            </w:r>
          </w:p>
        </w:tc>
      </w:tr>
      <w:tr w:rsidR="00C55FF5" w:rsidRPr="00C55FF5" w14:paraId="5107E827" w14:textId="77777777" w:rsidTr="00510E24">
        <w:tc>
          <w:tcPr>
            <w:tcW w:w="1324" w:type="pct"/>
          </w:tcPr>
          <w:p w14:paraId="728A175B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Moderate actions</w:t>
            </w:r>
          </w:p>
        </w:tc>
        <w:tc>
          <w:tcPr>
            <w:tcW w:w="1679" w:type="pct"/>
          </w:tcPr>
          <w:p w14:paraId="36AEEC94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Standardise process</w:t>
            </w:r>
          </w:p>
        </w:tc>
        <w:tc>
          <w:tcPr>
            <w:tcW w:w="1997" w:type="pct"/>
          </w:tcPr>
          <w:p w14:paraId="6FB6C09B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 xml:space="preserve">Implementing a new standardised process for handover. </w:t>
            </w:r>
          </w:p>
        </w:tc>
      </w:tr>
      <w:tr w:rsidR="00C55FF5" w:rsidRPr="00C55FF5" w14:paraId="062D0BA7" w14:textId="77777777" w:rsidTr="00510E24">
        <w:tc>
          <w:tcPr>
            <w:tcW w:w="1324" w:type="pct"/>
          </w:tcPr>
          <w:p w14:paraId="37620519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Weak actions</w:t>
            </w:r>
          </w:p>
        </w:tc>
        <w:tc>
          <w:tcPr>
            <w:tcW w:w="1679" w:type="pct"/>
          </w:tcPr>
          <w:p w14:paraId="466A5D42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Double checks</w:t>
            </w:r>
          </w:p>
        </w:tc>
        <w:tc>
          <w:tcPr>
            <w:tcW w:w="1997" w:type="pct"/>
          </w:tcPr>
          <w:p w14:paraId="79888A42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One person calculates dosage, another person reviews their calculation.</w:t>
            </w:r>
          </w:p>
        </w:tc>
      </w:tr>
      <w:tr w:rsidR="00C55FF5" w:rsidRPr="00C55FF5" w14:paraId="59304630" w14:textId="77777777" w:rsidTr="00510E24">
        <w:tc>
          <w:tcPr>
            <w:tcW w:w="1324" w:type="pct"/>
          </w:tcPr>
          <w:p w14:paraId="0924BAF2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lastRenderedPageBreak/>
              <w:t>Weak actions</w:t>
            </w:r>
          </w:p>
        </w:tc>
        <w:tc>
          <w:tcPr>
            <w:tcW w:w="1679" w:type="pct"/>
          </w:tcPr>
          <w:p w14:paraId="61248F02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Warnings</w:t>
            </w:r>
          </w:p>
        </w:tc>
        <w:tc>
          <w:tcPr>
            <w:tcW w:w="1997" w:type="pct"/>
          </w:tcPr>
          <w:p w14:paraId="528F294D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Add audible alarms or caution labels.</w:t>
            </w:r>
          </w:p>
        </w:tc>
      </w:tr>
      <w:tr w:rsidR="00C55FF5" w:rsidRPr="00C55FF5" w14:paraId="780DFE98" w14:textId="77777777" w:rsidTr="00510E24">
        <w:tc>
          <w:tcPr>
            <w:tcW w:w="1324" w:type="pct"/>
          </w:tcPr>
          <w:p w14:paraId="2C0189C3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Weak actions</w:t>
            </w:r>
          </w:p>
        </w:tc>
        <w:tc>
          <w:tcPr>
            <w:tcW w:w="1679" w:type="pct"/>
          </w:tcPr>
          <w:p w14:paraId="520ECE03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New procedure/memorandum/policy</w:t>
            </w:r>
          </w:p>
        </w:tc>
        <w:tc>
          <w:tcPr>
            <w:tcW w:w="1997" w:type="pct"/>
          </w:tcPr>
          <w:p w14:paraId="1D023091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Remember to check IV sites every two hours.</w:t>
            </w:r>
          </w:p>
        </w:tc>
      </w:tr>
      <w:tr w:rsidR="00C55FF5" w:rsidRPr="00C55FF5" w14:paraId="5CBB0E34" w14:textId="77777777" w:rsidTr="00510E24">
        <w:tc>
          <w:tcPr>
            <w:tcW w:w="1324" w:type="pct"/>
          </w:tcPr>
          <w:p w14:paraId="4BECF7D7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Weak actions</w:t>
            </w:r>
          </w:p>
        </w:tc>
        <w:tc>
          <w:tcPr>
            <w:tcW w:w="1679" w:type="pct"/>
          </w:tcPr>
          <w:p w14:paraId="5CECDF3A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Training</w:t>
            </w:r>
          </w:p>
        </w:tc>
        <w:tc>
          <w:tcPr>
            <w:tcW w:w="1997" w:type="pct"/>
          </w:tcPr>
          <w:p w14:paraId="063C9209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Demonstrate the defibrillator during an in-service training.</w:t>
            </w:r>
          </w:p>
        </w:tc>
      </w:tr>
      <w:tr w:rsidR="00C55FF5" w:rsidRPr="00C55FF5" w14:paraId="46F8D191" w14:textId="77777777" w:rsidTr="00510E24">
        <w:tc>
          <w:tcPr>
            <w:tcW w:w="1324" w:type="pct"/>
          </w:tcPr>
          <w:p w14:paraId="0F1CBDCE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Weak Actions</w:t>
            </w:r>
          </w:p>
        </w:tc>
        <w:tc>
          <w:tcPr>
            <w:tcW w:w="1679" w:type="pct"/>
          </w:tcPr>
          <w:p w14:paraId="5CAA444D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Share outcomes/educational reference</w:t>
            </w:r>
          </w:p>
        </w:tc>
        <w:tc>
          <w:tcPr>
            <w:tcW w:w="1997" w:type="pct"/>
          </w:tcPr>
          <w:p w14:paraId="0B0B2E38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Present at M&amp;M as educational example. Share in newsletters. Add to orientation guides</w:t>
            </w:r>
          </w:p>
        </w:tc>
      </w:tr>
      <w:tr w:rsidR="00C55FF5" w:rsidRPr="00C55FF5" w14:paraId="4AEDE5BE" w14:textId="77777777" w:rsidTr="00510E24">
        <w:tc>
          <w:tcPr>
            <w:tcW w:w="1324" w:type="pct"/>
          </w:tcPr>
          <w:p w14:paraId="528C7C7E" w14:textId="77777777" w:rsidR="00C55FF5" w:rsidRPr="00C55FF5" w:rsidRDefault="00C55FF5" w:rsidP="00510E24">
            <w:pPr>
              <w:pStyle w:val="SCVtablecolhead"/>
              <w:keepNext w:val="0"/>
              <w:keepLines w:val="0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Weak actions</w:t>
            </w:r>
          </w:p>
        </w:tc>
        <w:tc>
          <w:tcPr>
            <w:tcW w:w="1679" w:type="pct"/>
          </w:tcPr>
          <w:p w14:paraId="7290DF49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Further review/develop action plan</w:t>
            </w:r>
          </w:p>
        </w:tc>
        <w:tc>
          <w:tcPr>
            <w:tcW w:w="1997" w:type="pct"/>
          </w:tcPr>
          <w:p w14:paraId="3AD2FAD7" w14:textId="77777777" w:rsidR="00C55FF5" w:rsidRPr="00C55FF5" w:rsidRDefault="00C55FF5" w:rsidP="00510E24">
            <w:pPr>
              <w:pStyle w:val="SCVtablebody"/>
              <w:rPr>
                <w:rFonts w:eastAsiaTheme="minorEastAsia"/>
              </w:rPr>
            </w:pPr>
            <w:r w:rsidRPr="00C55FF5">
              <w:rPr>
                <w:rFonts w:eastAsiaTheme="minorEastAsia"/>
              </w:rPr>
              <w:t>Present at M&amp;M as educational example. Share in newsletters. Add to orientation guides</w:t>
            </w:r>
          </w:p>
        </w:tc>
      </w:tr>
    </w:tbl>
    <w:p w14:paraId="25E72FB5" w14:textId="3E838FC0" w:rsidR="00B1051C" w:rsidRPr="00876171" w:rsidRDefault="00B1051C" w:rsidP="00C55FF5">
      <w:pPr>
        <w:pStyle w:val="SCVbody"/>
      </w:pPr>
    </w:p>
    <w:sectPr w:rsidR="00B1051C" w:rsidRPr="00876171" w:rsidSect="00875A24">
      <w:headerReference w:type="even" r:id="rId17"/>
      <w:headerReference w:type="default" r:id="rId18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3F7E" w14:textId="77777777" w:rsidR="00F34A97" w:rsidRDefault="00F34A97" w:rsidP="002D711A">
      <w:pPr>
        <w:spacing w:after="0" w:line="240" w:lineRule="auto"/>
      </w:pPr>
      <w:r>
        <w:separator/>
      </w:r>
    </w:p>
  </w:endnote>
  <w:endnote w:type="continuationSeparator" w:id="0">
    <w:p w14:paraId="65C0B8AF" w14:textId="77777777" w:rsidR="00F34A97" w:rsidRDefault="00F34A97" w:rsidP="002D711A">
      <w:pPr>
        <w:spacing w:after="0" w:line="240" w:lineRule="auto"/>
      </w:pPr>
      <w:r>
        <w:continuationSeparator/>
      </w:r>
    </w:p>
  </w:endnote>
  <w:endnote w:type="continuationNotice" w:id="1">
    <w:p w14:paraId="3EBB3475" w14:textId="77777777" w:rsidR="00F34A97" w:rsidRDefault="00F34A9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E242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555800E6" wp14:editId="2C2756D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E46376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800E6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uYsQIAAEgFAAAOAAAAZHJzL2Uyb0RvYy54bWysVEtv2zAMvg/YfxB02GmrnSZ2HqtTZOmy&#10;FUjbAOnQs6JHbMCWVEmJ3Q3776NkO+26nYZdbIqk+Pj4UReXTVWiIze2UDLDg7MYIy6pYoXcZ/jb&#10;/erDBCPriGSkVJJn+IlbfDl/++ai1jN+rnJVMm4QBJF2VusM587pWRRZmvOK2DOluQSjUKYiDo5m&#10;HzFDaoheldF5HKdRrQzTRlFuLWivWiOeh/hCcOruhLDcoTLDUJsLXxO+O/+N5hdktjdE5wXtyiD/&#10;UEVFCglJT6GuiCPoYIo/QlUFNcoq4c6oqiIlREF56AG6GcSvutnmRPPQC4Bj9Qkm+//C0tvjxqCC&#10;ZXiEkSQVjOhme71Z3ozHEzqiY0bSJBbjaRrHyS4RQ4ER45YCgj/ePR6U+/iV2HypGG9Ps2k8GieT&#10;YTp435l5sc9dZ5yMgCCd4aFgLu/0yTQ56Tclobzisr/TuqyUcty0chfgWjLedAHa3x1jC8k+H7n8&#10;zXELJAB2dq59YfdKd5r4lHvNRZ8WlD89OWptZ4DRVgNKrvmkGiB5r7eg9DNvhKn8H6aJwA40ezpR&#10;izcOUVCOkzQeDsBEwXaepuM4cC96vq2NdV+4qpAXMmyg6sAoclxbB5WAa+/ik0m1Ksoy0LeUqM5w&#10;OkzicOFkgRulhIu+h7ZWL7lm13SN7RR7gr6MatfCaroqIPmaWLchBvYA6oXddnfwEaWCJKqTMMqV&#10;+f43vfcHeoIVoxr2KsP28UAMx6i8lkDc6WA08osYDiCYl9pdr5WHaqlgZQfwemgaRO/ryl4URlUP&#10;sPoLnw1MRFLImeFdLy4dnMAATwfli0WQYeU0cWu51dSH9jB6SO+bB2J0h7uDid2qfvPI7BX8rW87&#10;gMXBKVGE2XhgWzQ7vGFdw8i6p8W/By/Pwev5AZz/A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ByivuYsQIAAEg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16E46376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894" w14:textId="71829854" w:rsidR="00385D03" w:rsidRPr="006B337A" w:rsidRDefault="00CD27BE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8242" behindDoc="0" locked="0" layoutInCell="0" allowOverlap="1" wp14:anchorId="7C3C37EB" wp14:editId="2D3A383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203D0" w14:textId="77777777" w:rsidR="00CD27BE" w:rsidRPr="00CD27BE" w:rsidRDefault="00CD27BE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C37EB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SurAIAAEwFAAAOAAAAZHJzL2Uyb0RvYy54bWysVMlu2zAQvRfoPxA89NRGcryrkQPXgZsA&#10;TmLAKXKmKdISIHEYko7lFv33DiXKSdOeil6o4Xuj2YcXl3VVkmdhbAEqpb2zmBKhOGSF2qX028Py&#10;04QS65jKWAlKpPQoLL2cvX93cdCJOIccykwYgkaUTQ46pblzOokiy3NRMXsGWigkJZiKObyaXZQZ&#10;dkDrVRmdx/EoOoDJtAEurEX0qiXprLEvpeDuXkorHClTirG55jTNufVnNLtgyc4wnRc8hMH+IYqK&#10;FQqdnkxdMcfI3hR/mKoKbsCCdGccqgikLLhocsBsevGbbDY506LJBYtj9alM9v+Z5XfPa0OKDHtH&#10;iWIVtuh2c7Ne3J7HWzGIx5OJZMNsINk2G0vG+1NKMmE5VvDHh6c9uM/XzOYLyER7S6bxYDyc9Ee9&#10;j4EWxS53gZwMcEAC8VhkLg/4cDo84euScVEJ1f3TqiwBnDCtHAzcqEzUwUD7WZuiYub4m9YGJwBH&#10;M+h1UT2ADkh8crwSsvOJ4E8/GQdtEyzQRmOJXP0Fal+lgFsEfcNraSr/xVYS5HHGjqe5ErUjHMHx&#10;cBT3e0hx5Pq93ngy9Gail7+1se6rgIp4IaUGo27GiT2vrGtVOxXvTMGyKEvEWVIqckjpqD+Mmx9O&#10;DBovFfrwObSxesnV2zp0O+SxheyI6RloV8NqviwwhhWzbs0M7gKGjfvt7vGQJaAvCBIlOZjvf8O9&#10;Po4ospQccLdSap/2zAhKyhuFwzvtDQZ+GZsLCuY1uu1Qta8WgGuLg4lRNaLXdWUnSgPVI67/3HtD&#10;iimOPlO67cSFwxsS+HxwMZ83Mq6dZm6lNpp7076EvrIP9SMzOpTfYePuoNs+lrzpQqvb9mG+dyCL&#10;pkW+vm01Q9lxZZsmh+fFvwmv743WyyM4+wU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B9gkrqwCAABM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6F8203D0" w14:textId="77777777" w:rsidR="00CD27BE" w:rsidRPr="00CD27BE" w:rsidRDefault="00CD27BE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557C" w:rsidDel="00CE557C">
      <w:t xml:space="preserve"> </w:t>
    </w:r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652B" w14:textId="77777777" w:rsidR="00510E24" w:rsidRDefault="0051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2EE6" w14:textId="77777777" w:rsidR="00F34A97" w:rsidRDefault="00F34A97" w:rsidP="00E33E08">
      <w:pPr>
        <w:spacing w:before="0" w:after="0" w:line="240" w:lineRule="auto"/>
      </w:pPr>
    </w:p>
  </w:footnote>
  <w:footnote w:type="continuationSeparator" w:id="0">
    <w:p w14:paraId="1B5B87A5" w14:textId="77777777" w:rsidR="00F34A97" w:rsidRDefault="00F34A97" w:rsidP="00E33E08">
      <w:pPr>
        <w:spacing w:before="0" w:after="0" w:line="240" w:lineRule="auto"/>
      </w:pPr>
    </w:p>
  </w:footnote>
  <w:footnote w:type="continuationNotice" w:id="1">
    <w:p w14:paraId="4BA23B98" w14:textId="77777777" w:rsidR="00F34A97" w:rsidRDefault="00F34A9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4D75" w14:textId="77777777" w:rsidR="00510E24" w:rsidRDefault="00510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23C" w14:textId="77777777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F5D5C24" wp14:editId="5BA49E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756F" w14:textId="77777777" w:rsidR="00510E24" w:rsidRDefault="00510E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9859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2750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5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668292428">
    <w:abstractNumId w:val="5"/>
  </w:num>
  <w:num w:numId="2" w16cid:durableId="1168518883">
    <w:abstractNumId w:val="2"/>
  </w:num>
  <w:num w:numId="3" w16cid:durableId="2077972337">
    <w:abstractNumId w:val="6"/>
  </w:num>
  <w:num w:numId="4" w16cid:durableId="1862815689">
    <w:abstractNumId w:val="4"/>
  </w:num>
  <w:num w:numId="5" w16cid:durableId="2060738662">
    <w:abstractNumId w:val="3"/>
  </w:num>
  <w:num w:numId="6" w16cid:durableId="1439443677">
    <w:abstractNumId w:val="7"/>
  </w:num>
  <w:num w:numId="7" w16cid:durableId="2029100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BE"/>
    <w:rsid w:val="00012F6F"/>
    <w:rsid w:val="00014213"/>
    <w:rsid w:val="00014B55"/>
    <w:rsid w:val="00015A34"/>
    <w:rsid w:val="00020E3E"/>
    <w:rsid w:val="0002328B"/>
    <w:rsid w:val="00023BF3"/>
    <w:rsid w:val="00024184"/>
    <w:rsid w:val="00026811"/>
    <w:rsid w:val="00036943"/>
    <w:rsid w:val="0004185E"/>
    <w:rsid w:val="000441AC"/>
    <w:rsid w:val="0004698F"/>
    <w:rsid w:val="000477DC"/>
    <w:rsid w:val="00056988"/>
    <w:rsid w:val="00072279"/>
    <w:rsid w:val="00075895"/>
    <w:rsid w:val="00075E6C"/>
    <w:rsid w:val="000800BD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281"/>
    <w:rsid w:val="00105EB8"/>
    <w:rsid w:val="001065D6"/>
    <w:rsid w:val="001068D5"/>
    <w:rsid w:val="001173E5"/>
    <w:rsid w:val="00121252"/>
    <w:rsid w:val="00121322"/>
    <w:rsid w:val="00124609"/>
    <w:rsid w:val="001254CE"/>
    <w:rsid w:val="001422CC"/>
    <w:rsid w:val="00142CC3"/>
    <w:rsid w:val="00145346"/>
    <w:rsid w:val="00150333"/>
    <w:rsid w:val="001617B6"/>
    <w:rsid w:val="00165E66"/>
    <w:rsid w:val="00174F38"/>
    <w:rsid w:val="00182120"/>
    <w:rsid w:val="001849FD"/>
    <w:rsid w:val="0019351B"/>
    <w:rsid w:val="00194B79"/>
    <w:rsid w:val="00196143"/>
    <w:rsid w:val="001A24FC"/>
    <w:rsid w:val="001C7BAE"/>
    <w:rsid w:val="001D1504"/>
    <w:rsid w:val="001D5E60"/>
    <w:rsid w:val="001E31FA"/>
    <w:rsid w:val="001E48F9"/>
    <w:rsid w:val="001E64F6"/>
    <w:rsid w:val="001E7AEB"/>
    <w:rsid w:val="0020143E"/>
    <w:rsid w:val="00204B82"/>
    <w:rsid w:val="00205C68"/>
    <w:rsid w:val="00222BEB"/>
    <w:rsid w:val="00223217"/>
    <w:rsid w:val="00225E60"/>
    <w:rsid w:val="00230BBB"/>
    <w:rsid w:val="0023202C"/>
    <w:rsid w:val="00234253"/>
    <w:rsid w:val="00234619"/>
    <w:rsid w:val="00234AFC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0726"/>
    <w:rsid w:val="00292D36"/>
    <w:rsid w:val="00294A5A"/>
    <w:rsid w:val="00297281"/>
    <w:rsid w:val="00297A47"/>
    <w:rsid w:val="002A27F9"/>
    <w:rsid w:val="002A4AD5"/>
    <w:rsid w:val="002A5891"/>
    <w:rsid w:val="002B03F1"/>
    <w:rsid w:val="002B1365"/>
    <w:rsid w:val="002B2E56"/>
    <w:rsid w:val="002B5E2B"/>
    <w:rsid w:val="002B6DAA"/>
    <w:rsid w:val="002C462C"/>
    <w:rsid w:val="002D6F3C"/>
    <w:rsid w:val="002D70F7"/>
    <w:rsid w:val="002D711A"/>
    <w:rsid w:val="002D7336"/>
    <w:rsid w:val="002E3396"/>
    <w:rsid w:val="002E3ECB"/>
    <w:rsid w:val="002F2953"/>
    <w:rsid w:val="002F4173"/>
    <w:rsid w:val="00303E66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4D98"/>
    <w:rsid w:val="0036778F"/>
    <w:rsid w:val="00385D03"/>
    <w:rsid w:val="0038771C"/>
    <w:rsid w:val="003A03DE"/>
    <w:rsid w:val="003A430B"/>
    <w:rsid w:val="003A541A"/>
    <w:rsid w:val="003A6923"/>
    <w:rsid w:val="003C2C67"/>
    <w:rsid w:val="003C2D4C"/>
    <w:rsid w:val="003C3B3A"/>
    <w:rsid w:val="003C5BA4"/>
    <w:rsid w:val="003D56A4"/>
    <w:rsid w:val="003E2554"/>
    <w:rsid w:val="003E3E26"/>
    <w:rsid w:val="003F1295"/>
    <w:rsid w:val="003F5102"/>
    <w:rsid w:val="003F76FC"/>
    <w:rsid w:val="004002EB"/>
    <w:rsid w:val="00401066"/>
    <w:rsid w:val="00407A79"/>
    <w:rsid w:val="004108A6"/>
    <w:rsid w:val="00422DDC"/>
    <w:rsid w:val="004231B5"/>
    <w:rsid w:val="004236C8"/>
    <w:rsid w:val="00427681"/>
    <w:rsid w:val="00433DB7"/>
    <w:rsid w:val="0043696B"/>
    <w:rsid w:val="00453750"/>
    <w:rsid w:val="00453FD5"/>
    <w:rsid w:val="00456941"/>
    <w:rsid w:val="00463C5A"/>
    <w:rsid w:val="004702EA"/>
    <w:rsid w:val="00471BE8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D01AC"/>
    <w:rsid w:val="004D3518"/>
    <w:rsid w:val="004D62D6"/>
    <w:rsid w:val="004D6898"/>
    <w:rsid w:val="004D7778"/>
    <w:rsid w:val="004E0327"/>
    <w:rsid w:val="004E44A1"/>
    <w:rsid w:val="004F05E4"/>
    <w:rsid w:val="004F2019"/>
    <w:rsid w:val="004F3F4E"/>
    <w:rsid w:val="00501DA9"/>
    <w:rsid w:val="005079B2"/>
    <w:rsid w:val="00510167"/>
    <w:rsid w:val="00510E24"/>
    <w:rsid w:val="00511E12"/>
    <w:rsid w:val="00513E86"/>
    <w:rsid w:val="00515958"/>
    <w:rsid w:val="00521CA5"/>
    <w:rsid w:val="00523E77"/>
    <w:rsid w:val="005306A2"/>
    <w:rsid w:val="0053416C"/>
    <w:rsid w:val="005347CB"/>
    <w:rsid w:val="005416D7"/>
    <w:rsid w:val="00541C2F"/>
    <w:rsid w:val="005450D9"/>
    <w:rsid w:val="00547A71"/>
    <w:rsid w:val="00552053"/>
    <w:rsid w:val="00552728"/>
    <w:rsid w:val="00552DE4"/>
    <w:rsid w:val="00560FE7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6087"/>
    <w:rsid w:val="00617BB5"/>
    <w:rsid w:val="006208C4"/>
    <w:rsid w:val="0062104B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072C"/>
    <w:rsid w:val="006C77A9"/>
    <w:rsid w:val="006D4720"/>
    <w:rsid w:val="006D5B85"/>
    <w:rsid w:val="006E0A48"/>
    <w:rsid w:val="006E6CDF"/>
    <w:rsid w:val="006E7C80"/>
    <w:rsid w:val="006F13F8"/>
    <w:rsid w:val="006F37F2"/>
    <w:rsid w:val="006F6693"/>
    <w:rsid w:val="00704EAC"/>
    <w:rsid w:val="007067D2"/>
    <w:rsid w:val="00707FE8"/>
    <w:rsid w:val="00712C31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514C0"/>
    <w:rsid w:val="007650D2"/>
    <w:rsid w:val="00766B5A"/>
    <w:rsid w:val="00767B8C"/>
    <w:rsid w:val="00772209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D5F9E"/>
    <w:rsid w:val="007D6713"/>
    <w:rsid w:val="007E098F"/>
    <w:rsid w:val="007E3BA2"/>
    <w:rsid w:val="007F1A4C"/>
    <w:rsid w:val="007F34D0"/>
    <w:rsid w:val="007F723F"/>
    <w:rsid w:val="007F7958"/>
    <w:rsid w:val="0080005C"/>
    <w:rsid w:val="008022C3"/>
    <w:rsid w:val="008041E6"/>
    <w:rsid w:val="00805113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5A24"/>
    <w:rsid w:val="00876171"/>
    <w:rsid w:val="008768AD"/>
    <w:rsid w:val="00880AC4"/>
    <w:rsid w:val="00887C3C"/>
    <w:rsid w:val="00892F98"/>
    <w:rsid w:val="00897447"/>
    <w:rsid w:val="008A1754"/>
    <w:rsid w:val="008A4900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E621D"/>
    <w:rsid w:val="008F04C8"/>
    <w:rsid w:val="008F42FD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70328"/>
    <w:rsid w:val="00972812"/>
    <w:rsid w:val="009806BB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35BB"/>
    <w:rsid w:val="00A05EBC"/>
    <w:rsid w:val="00A1562B"/>
    <w:rsid w:val="00A170F4"/>
    <w:rsid w:val="00A21408"/>
    <w:rsid w:val="00A21CFD"/>
    <w:rsid w:val="00A23024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509FC"/>
    <w:rsid w:val="00A612FE"/>
    <w:rsid w:val="00A66F4D"/>
    <w:rsid w:val="00A703B3"/>
    <w:rsid w:val="00A70B49"/>
    <w:rsid w:val="00A70BF1"/>
    <w:rsid w:val="00A740D4"/>
    <w:rsid w:val="00A8084F"/>
    <w:rsid w:val="00A83D73"/>
    <w:rsid w:val="00A923BF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7E4E"/>
    <w:rsid w:val="00AE271D"/>
    <w:rsid w:val="00AE5E04"/>
    <w:rsid w:val="00AF20A5"/>
    <w:rsid w:val="00AF4D58"/>
    <w:rsid w:val="00AF6666"/>
    <w:rsid w:val="00AF7BC5"/>
    <w:rsid w:val="00B00F1E"/>
    <w:rsid w:val="00B1051C"/>
    <w:rsid w:val="00B116E3"/>
    <w:rsid w:val="00B15592"/>
    <w:rsid w:val="00B16D2B"/>
    <w:rsid w:val="00B23AE9"/>
    <w:rsid w:val="00B37FF8"/>
    <w:rsid w:val="00B41DEC"/>
    <w:rsid w:val="00B41E03"/>
    <w:rsid w:val="00B46B50"/>
    <w:rsid w:val="00B515DB"/>
    <w:rsid w:val="00B51C51"/>
    <w:rsid w:val="00B52F51"/>
    <w:rsid w:val="00B556E1"/>
    <w:rsid w:val="00B673BB"/>
    <w:rsid w:val="00B73B9C"/>
    <w:rsid w:val="00B81B44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7DF0"/>
    <w:rsid w:val="00BC3422"/>
    <w:rsid w:val="00BC437C"/>
    <w:rsid w:val="00BC4618"/>
    <w:rsid w:val="00BC6008"/>
    <w:rsid w:val="00BC6E19"/>
    <w:rsid w:val="00BD05FA"/>
    <w:rsid w:val="00BD0B31"/>
    <w:rsid w:val="00BD1BFD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396D"/>
    <w:rsid w:val="00C06EB5"/>
    <w:rsid w:val="00C1145F"/>
    <w:rsid w:val="00C11CD1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55FF5"/>
    <w:rsid w:val="00C637E1"/>
    <w:rsid w:val="00C67EAC"/>
    <w:rsid w:val="00C70D50"/>
    <w:rsid w:val="00C721D9"/>
    <w:rsid w:val="00C72252"/>
    <w:rsid w:val="00C733A4"/>
    <w:rsid w:val="00C74F19"/>
    <w:rsid w:val="00C81050"/>
    <w:rsid w:val="00C85610"/>
    <w:rsid w:val="00C85E48"/>
    <w:rsid w:val="00C907D7"/>
    <w:rsid w:val="00C92338"/>
    <w:rsid w:val="00C95E66"/>
    <w:rsid w:val="00C96051"/>
    <w:rsid w:val="00C97B86"/>
    <w:rsid w:val="00CA05DC"/>
    <w:rsid w:val="00CA46CC"/>
    <w:rsid w:val="00CA7B47"/>
    <w:rsid w:val="00CB1DD6"/>
    <w:rsid w:val="00CB3976"/>
    <w:rsid w:val="00CB441A"/>
    <w:rsid w:val="00CC6087"/>
    <w:rsid w:val="00CD0307"/>
    <w:rsid w:val="00CD27BE"/>
    <w:rsid w:val="00CD3D1B"/>
    <w:rsid w:val="00CD4D43"/>
    <w:rsid w:val="00CE083F"/>
    <w:rsid w:val="00CE557C"/>
    <w:rsid w:val="00CF2474"/>
    <w:rsid w:val="00CF6E39"/>
    <w:rsid w:val="00CF6EC4"/>
    <w:rsid w:val="00D02663"/>
    <w:rsid w:val="00D04340"/>
    <w:rsid w:val="00D0633E"/>
    <w:rsid w:val="00D12E74"/>
    <w:rsid w:val="00D15955"/>
    <w:rsid w:val="00D21B7F"/>
    <w:rsid w:val="00D2312F"/>
    <w:rsid w:val="00D23B04"/>
    <w:rsid w:val="00D26252"/>
    <w:rsid w:val="00D269C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77F67"/>
    <w:rsid w:val="00D810F3"/>
    <w:rsid w:val="00D814B7"/>
    <w:rsid w:val="00D83EFD"/>
    <w:rsid w:val="00D863EB"/>
    <w:rsid w:val="00D90688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E774B"/>
    <w:rsid w:val="00DF52CC"/>
    <w:rsid w:val="00E001DC"/>
    <w:rsid w:val="00E06416"/>
    <w:rsid w:val="00E22A20"/>
    <w:rsid w:val="00E26B32"/>
    <w:rsid w:val="00E31CD4"/>
    <w:rsid w:val="00E31E60"/>
    <w:rsid w:val="00E33E08"/>
    <w:rsid w:val="00E407B6"/>
    <w:rsid w:val="00E41EF1"/>
    <w:rsid w:val="00E42942"/>
    <w:rsid w:val="00E53CEB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05E96"/>
    <w:rsid w:val="00F12312"/>
    <w:rsid w:val="00F177C7"/>
    <w:rsid w:val="00F17CE1"/>
    <w:rsid w:val="00F2115C"/>
    <w:rsid w:val="00F22ABA"/>
    <w:rsid w:val="00F31E25"/>
    <w:rsid w:val="00F349C9"/>
    <w:rsid w:val="00F34A97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90EA5"/>
    <w:rsid w:val="00F91F5A"/>
    <w:rsid w:val="00F93846"/>
    <w:rsid w:val="00F966B1"/>
    <w:rsid w:val="00F97D48"/>
    <w:rsid w:val="00FA0311"/>
    <w:rsid w:val="00FA1489"/>
    <w:rsid w:val="00FA39E1"/>
    <w:rsid w:val="00FB396D"/>
    <w:rsid w:val="00FD3CD0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D57D"/>
  <w15:docId w15:val="{57022037-E229-4AF2-B078-EC86B7B2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tabs>
        <w:tab w:val="clear" w:pos="0"/>
        <w:tab w:val="num" w:pos="340"/>
      </w:tabs>
      <w:spacing w:before="60" w:line="192" w:lineRule="atLeast"/>
      <w:ind w:left="680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character" w:styleId="Strong">
    <w:name w:val="Strong"/>
    <w:uiPriority w:val="22"/>
    <w:qFormat/>
    <w:rsid w:val="008F4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efeeb2-98ee-40ae-8e6f-80584a0b58b2">
      <UserInfo>
        <DisplayName>Joanne Miller (DHHS)</DisplayName>
        <AccountId>17</AccountId>
        <AccountType/>
      </UserInfo>
      <UserInfo>
        <DisplayName>Isabella Gleeson (DHHS)</DisplayName>
        <AccountId>37</AccountId>
        <AccountType/>
      </UserInfo>
      <UserInfo>
        <DisplayName>Ralph Tramm (DHHS)</DisplayName>
        <AccountId>61</AccountId>
        <AccountType/>
      </UserInfo>
      <UserInfo>
        <DisplayName>Raphaela Schnittker (DHHS)</DisplayName>
        <AccountId>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47D5319CB6249885FFDC7041916E6" ma:contentTypeVersion="9" ma:contentTypeDescription="Create a new document." ma:contentTypeScope="" ma:versionID="1c50ed6e222f3486c38c859d259faafc">
  <xsd:schema xmlns:xsd="http://www.w3.org/2001/XMLSchema" xmlns:xs="http://www.w3.org/2001/XMLSchema" xmlns:p="http://schemas.microsoft.com/office/2006/metadata/properties" xmlns:ns2="8d8587ae-0573-42be-83c9-07d20d680eec" xmlns:ns3="82efeeb2-98ee-40ae-8e6f-80584a0b58b2" targetNamespace="http://schemas.microsoft.com/office/2006/metadata/properties" ma:root="true" ma:fieldsID="1ed9536d1b75e60122dce26e8fcb8c88" ns2:_="" ns3:_="">
    <xsd:import namespace="8d8587ae-0573-42be-83c9-07d20d680eec"/>
    <xsd:import namespace="82efeeb2-98ee-40ae-8e6f-80584a0b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587ae-0573-42be-83c9-07d20d680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eeb2-98ee-40ae-8e6f-80584a0b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  <ds:schemaRef ds:uri="82efeeb2-98ee-40ae-8e6f-80584a0b58b2"/>
  </ds:schemaRefs>
</ds:datastoreItem>
</file>

<file path=customXml/itemProps2.xml><?xml version="1.0" encoding="utf-8"?>
<ds:datastoreItem xmlns:ds="http://schemas.openxmlformats.org/officeDocument/2006/customXml" ds:itemID="{EC8D1866-A153-4971-91ED-AE51F0699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587ae-0573-42be-83c9-07d20d680eec"/>
    <ds:schemaRef ds:uri="82efeeb2-98ee-40ae-8e6f-80584a0b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Emma Gumbleton (DHHS)</dc:creator>
  <cp:keywords/>
  <cp:lastModifiedBy>Kate De Clercq (DHHS)</cp:lastModifiedBy>
  <cp:revision>3</cp:revision>
  <cp:lastPrinted>2020-08-13T21:56:00Z</cp:lastPrinted>
  <dcterms:created xsi:type="dcterms:W3CDTF">2021-07-06T05:52:00Z</dcterms:created>
  <dcterms:modified xsi:type="dcterms:W3CDTF">2023-04-06T05:04:00Z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0x01010095D47D5319CB6249885FFDC7041916E6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2023-04-06T05:04:59Z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6410ec2f-f9b0-4ff3-96a0-9915e042209c</vt:lpwstr>
  </property>
  <property fmtid="{D5CDD505-2E9C-101B-9397-08002B2CF9AE}" pid="10" name="MSIP_Label_43e64453-338c-4f93-8a4d-0039a0a41f2a_ContentBits">
    <vt:lpwstr>2</vt:lpwstr>
  </property>
</Properties>
</file>