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DC58" w14:textId="2BE665E5" w:rsidR="00B26E8D" w:rsidRDefault="00B26E8D" w:rsidP="6B2AE678">
      <w:pPr>
        <w:autoSpaceDE w:val="0"/>
        <w:autoSpaceDN w:val="0"/>
        <w:adjustRightInd w:val="0"/>
        <w:spacing w:after="0" w:line="240" w:lineRule="auto"/>
        <w:rPr>
          <w:rFonts w:eastAsia="Times New Roman"/>
          <w:color w:val="000000"/>
          <w:sz w:val="24"/>
          <w:szCs w:val="24"/>
          <w:lang w:eastAsia="en-AU"/>
        </w:rPr>
      </w:pPr>
    </w:p>
    <w:p w14:paraId="67423743" w14:textId="77777777" w:rsidR="00B26E8D" w:rsidRDefault="00B26E8D">
      <w:pPr>
        <w:rPr>
          <w:rFonts w:eastAsia="Times New Roman" w:cstheme="minorHAnsi"/>
          <w:color w:val="000000"/>
          <w:sz w:val="24"/>
          <w:szCs w:val="24"/>
          <w:lang w:eastAsia="en-AU"/>
        </w:rPr>
      </w:pPr>
    </w:p>
    <w:p w14:paraId="5A8F0E72" w14:textId="77777777" w:rsidR="00B26E8D" w:rsidRDefault="00B26E8D">
      <w:pPr>
        <w:rPr>
          <w:rFonts w:eastAsia="Times New Roman" w:cstheme="minorHAnsi"/>
          <w:color w:val="000000"/>
          <w:sz w:val="24"/>
          <w:szCs w:val="24"/>
          <w:lang w:eastAsia="en-AU"/>
        </w:rPr>
      </w:pPr>
    </w:p>
    <w:p w14:paraId="11FB4A90" w14:textId="77777777" w:rsidR="00B26E8D" w:rsidRDefault="00B26E8D">
      <w:pPr>
        <w:rPr>
          <w:rFonts w:eastAsia="Times New Roman" w:cstheme="minorHAnsi"/>
          <w:color w:val="000000"/>
          <w:sz w:val="24"/>
          <w:szCs w:val="24"/>
          <w:lang w:eastAsia="en-AU"/>
        </w:rPr>
      </w:pPr>
    </w:p>
    <w:p w14:paraId="2A7EDE7F" w14:textId="57D47FCA" w:rsidR="00B26E8D" w:rsidRPr="003C55E6" w:rsidRDefault="5C606FCA" w:rsidP="769F93F4">
      <w:pPr>
        <w:rPr>
          <w:rFonts w:eastAsia="Times New Roman"/>
          <w:color w:val="33CCCC"/>
          <w:sz w:val="52"/>
          <w:szCs w:val="52"/>
          <w:lang w:eastAsia="en-AU"/>
        </w:rPr>
      </w:pPr>
      <w:r w:rsidRPr="475BC16C">
        <w:rPr>
          <w:rFonts w:eastAsia="Times New Roman"/>
          <w:color w:val="33CCCC"/>
          <w:sz w:val="52"/>
          <w:szCs w:val="52"/>
          <w:lang w:eastAsia="en-AU"/>
        </w:rPr>
        <w:t xml:space="preserve">Prevention of Surgical Site </w:t>
      </w:r>
      <w:r w:rsidR="7351DF9A" w:rsidRPr="475BC16C">
        <w:rPr>
          <w:rFonts w:eastAsia="Times New Roman"/>
          <w:color w:val="33CCCC"/>
          <w:sz w:val="52"/>
          <w:szCs w:val="52"/>
          <w:lang w:eastAsia="en-AU"/>
        </w:rPr>
        <w:t>I</w:t>
      </w:r>
      <w:r w:rsidRPr="475BC16C">
        <w:rPr>
          <w:rFonts w:eastAsia="Times New Roman"/>
          <w:color w:val="33CCCC"/>
          <w:sz w:val="52"/>
          <w:szCs w:val="52"/>
          <w:lang w:eastAsia="en-AU"/>
        </w:rPr>
        <w:t>nfection Complicating Colorectal Surgery</w:t>
      </w:r>
    </w:p>
    <w:p w14:paraId="55F809CF" w14:textId="77777777" w:rsidR="00B26E8D" w:rsidRDefault="00B26E8D">
      <w:pPr>
        <w:rPr>
          <w:rFonts w:eastAsia="Times New Roman" w:cstheme="minorHAnsi"/>
          <w:color w:val="000000"/>
          <w:sz w:val="24"/>
          <w:szCs w:val="24"/>
          <w:lang w:eastAsia="en-AU"/>
        </w:rPr>
      </w:pPr>
    </w:p>
    <w:p w14:paraId="7A00FC23" w14:textId="4C06B44F" w:rsidR="00B26E8D" w:rsidRPr="00B26E8D" w:rsidRDefault="00B26E8D">
      <w:pPr>
        <w:rPr>
          <w:rFonts w:eastAsia="Times New Roman" w:cstheme="minorHAnsi"/>
          <w:color w:val="000000"/>
          <w:sz w:val="36"/>
          <w:szCs w:val="36"/>
          <w:lang w:eastAsia="en-AU"/>
        </w:rPr>
      </w:pPr>
      <w:r w:rsidRPr="00B26E8D">
        <w:rPr>
          <w:rFonts w:eastAsia="Times New Roman" w:cstheme="minorHAnsi"/>
          <w:color w:val="000000"/>
          <w:sz w:val="36"/>
          <w:szCs w:val="36"/>
          <w:lang w:eastAsia="en-AU"/>
        </w:rPr>
        <w:t>Statewide guidance for Victoria</w:t>
      </w:r>
      <w:r w:rsidRPr="00B26E8D">
        <w:rPr>
          <w:rFonts w:eastAsia="Times New Roman" w:cstheme="minorHAnsi"/>
          <w:color w:val="000000"/>
          <w:sz w:val="36"/>
          <w:szCs w:val="36"/>
          <w:lang w:eastAsia="en-AU"/>
        </w:rPr>
        <w:br w:type="page"/>
      </w:r>
    </w:p>
    <w:p w14:paraId="4D91CDCB" w14:textId="49FC0EAF" w:rsidR="00B26E8D" w:rsidRPr="003C55E6" w:rsidRDefault="00B26E8D">
      <w:pPr>
        <w:rPr>
          <w:rFonts w:eastAsia="Times New Roman" w:cstheme="minorHAnsi"/>
          <w:color w:val="33CCCC"/>
          <w:sz w:val="40"/>
          <w:szCs w:val="40"/>
          <w:lang w:eastAsia="en-AU"/>
        </w:rPr>
      </w:pPr>
      <w:r w:rsidRPr="003C55E6">
        <w:rPr>
          <w:rFonts w:eastAsia="Times New Roman" w:cstheme="minorHAnsi"/>
          <w:color w:val="33CCCC"/>
          <w:sz w:val="40"/>
          <w:szCs w:val="40"/>
          <w:lang w:eastAsia="en-AU"/>
        </w:rPr>
        <w:lastRenderedPageBreak/>
        <w:t>About this document</w:t>
      </w:r>
    </w:p>
    <w:p w14:paraId="65CC297D" w14:textId="64608483" w:rsidR="00B26E8D" w:rsidRDefault="00B26E8D">
      <w:pPr>
        <w:rPr>
          <w:rFonts w:eastAsia="Times New Roman" w:cstheme="minorHAnsi"/>
          <w:color w:val="000000"/>
          <w:sz w:val="36"/>
          <w:szCs w:val="36"/>
          <w:lang w:eastAsia="en-AU"/>
        </w:rPr>
      </w:pPr>
    </w:p>
    <w:p w14:paraId="0A7336FA" w14:textId="03B78312" w:rsidR="00ED7A4F" w:rsidRDefault="5C606FCA">
      <w:bookmarkStart w:id="0" w:name="_Hlk196403113"/>
      <w:r>
        <w:t>This document outlines the Victorian best practice approach</w:t>
      </w:r>
      <w:r w:rsidR="686C115E">
        <w:t>/recommendations</w:t>
      </w:r>
      <w:r>
        <w:t xml:space="preserve"> for preventing surgical site infection</w:t>
      </w:r>
      <w:r w:rsidR="5CF47170">
        <w:t xml:space="preserve"> (SSI)</w:t>
      </w:r>
      <w:r>
        <w:t xml:space="preserve"> and enhancing outcomes following colorectal surgery. It will help </w:t>
      </w:r>
      <w:r w:rsidR="46D7B5B9">
        <w:t xml:space="preserve">perioperative </w:t>
      </w:r>
      <w:r>
        <w:t xml:space="preserve">colorectal </w:t>
      </w:r>
      <w:r w:rsidR="46D7B5B9">
        <w:t xml:space="preserve">teams </w:t>
      </w:r>
      <w:r>
        <w:t xml:space="preserve">to employ evidence-based best practice in colorectal surgery to optimise patient outcomes. </w:t>
      </w:r>
    </w:p>
    <w:p w14:paraId="6F0BFC5F" w14:textId="7195E485" w:rsidR="00ED7A4F" w:rsidRPr="00BB341A" w:rsidRDefault="00ED7A4F">
      <w:pPr>
        <w:rPr>
          <w:rFonts w:eastAsia="Times New Roman"/>
          <w:color w:val="000000"/>
          <w:lang w:eastAsia="en-AU"/>
        </w:rPr>
      </w:pPr>
      <w:r w:rsidRPr="691898F8">
        <w:rPr>
          <w:rFonts w:eastAsia="Times New Roman"/>
          <w:lang w:eastAsia="en-AU"/>
        </w:rPr>
        <w:t>The development of this clinical guideline was a collaboration between Safer Care Victoria, Victorian Healthcare-associated infection surveillance (VICNISS), and other subject matter experts including colorectal surgeons, anaesthetists, enhanced recovery after surgery (ERAS) co-ordinators and infection preventionists.</w:t>
      </w:r>
    </w:p>
    <w:bookmarkEnd w:id="0"/>
    <w:p w14:paraId="6A53E9BA" w14:textId="24511CA0" w:rsidR="00B26E8D" w:rsidRDefault="00B26E8D" w:rsidP="005907FC">
      <w:pPr>
        <w:autoSpaceDE w:val="0"/>
        <w:autoSpaceDN w:val="0"/>
        <w:adjustRightInd w:val="0"/>
        <w:spacing w:after="0" w:line="240" w:lineRule="auto"/>
        <w:rPr>
          <w:rFonts w:eastAsia="Times New Roman" w:cstheme="minorHAnsi"/>
          <w:color w:val="000000"/>
          <w:sz w:val="24"/>
          <w:szCs w:val="24"/>
          <w:lang w:eastAsia="en-AU"/>
        </w:rPr>
      </w:pPr>
    </w:p>
    <w:p w14:paraId="56C3DB66" w14:textId="32C4B784" w:rsidR="00B26E8D" w:rsidRDefault="00B26E8D" w:rsidP="005907FC">
      <w:pPr>
        <w:autoSpaceDE w:val="0"/>
        <w:autoSpaceDN w:val="0"/>
        <w:adjustRightInd w:val="0"/>
        <w:spacing w:after="0" w:line="240" w:lineRule="auto"/>
        <w:rPr>
          <w:rFonts w:eastAsia="Times New Roman" w:cstheme="minorHAnsi"/>
          <w:color w:val="000000"/>
          <w:sz w:val="24"/>
          <w:szCs w:val="24"/>
          <w:lang w:eastAsia="en-AU"/>
        </w:rPr>
      </w:pPr>
    </w:p>
    <w:p w14:paraId="3FC1062A" w14:textId="10FD6E8C" w:rsidR="00B26E8D" w:rsidRPr="003C55E6" w:rsidRDefault="00B26E8D" w:rsidP="005907FC">
      <w:pPr>
        <w:autoSpaceDE w:val="0"/>
        <w:autoSpaceDN w:val="0"/>
        <w:adjustRightInd w:val="0"/>
        <w:spacing w:after="0" w:line="240" w:lineRule="auto"/>
        <w:rPr>
          <w:rFonts w:eastAsia="Times New Roman" w:cstheme="minorHAnsi"/>
          <w:color w:val="33CCCC"/>
          <w:sz w:val="32"/>
          <w:szCs w:val="32"/>
          <w:lang w:eastAsia="en-AU"/>
        </w:rPr>
      </w:pPr>
      <w:r w:rsidRPr="003C55E6">
        <w:rPr>
          <w:rFonts w:eastAsia="Times New Roman" w:cstheme="minorHAnsi"/>
          <w:color w:val="33CCCC"/>
          <w:sz w:val="32"/>
          <w:szCs w:val="32"/>
          <w:lang w:eastAsia="en-AU"/>
        </w:rPr>
        <w:t>What Does this Guidance Cover?</w:t>
      </w:r>
    </w:p>
    <w:p w14:paraId="10B9FB2D" w14:textId="77777777" w:rsidR="00ED7A4F" w:rsidRDefault="00ED7A4F" w:rsidP="005907FC">
      <w:pPr>
        <w:autoSpaceDE w:val="0"/>
        <w:autoSpaceDN w:val="0"/>
        <w:adjustRightInd w:val="0"/>
        <w:spacing w:after="0" w:line="240" w:lineRule="auto"/>
        <w:rPr>
          <w:rFonts w:eastAsia="Times New Roman" w:cstheme="minorHAnsi"/>
          <w:color w:val="000000"/>
          <w:sz w:val="32"/>
          <w:szCs w:val="32"/>
          <w:lang w:eastAsia="en-AU"/>
        </w:rPr>
      </w:pPr>
    </w:p>
    <w:p w14:paraId="0E0E42F0" w14:textId="4E72447B" w:rsidR="00ED7A4F" w:rsidRDefault="00ED7A4F" w:rsidP="005907FC">
      <w:pPr>
        <w:autoSpaceDE w:val="0"/>
        <w:autoSpaceDN w:val="0"/>
        <w:adjustRightInd w:val="0"/>
        <w:spacing w:after="0" w:line="240" w:lineRule="auto"/>
        <w:rPr>
          <w:rFonts w:eastAsia="Times New Roman" w:cstheme="minorHAnsi"/>
          <w:sz w:val="24"/>
          <w:szCs w:val="24"/>
          <w:lang w:eastAsia="en-AU"/>
        </w:rPr>
      </w:pPr>
      <w:r w:rsidRPr="00936770">
        <w:rPr>
          <w:rFonts w:eastAsia="Times New Roman" w:cstheme="minorHAnsi"/>
          <w:sz w:val="24"/>
          <w:szCs w:val="24"/>
          <w:lang w:eastAsia="en-AU"/>
        </w:rPr>
        <w:t>Aim:</w:t>
      </w:r>
    </w:p>
    <w:p w14:paraId="535D6C47" w14:textId="4D1FC1EA" w:rsidR="00ED7A4F" w:rsidRPr="00BB341A" w:rsidRDefault="6D1DF16B" w:rsidP="475BC16C">
      <w:pPr>
        <w:autoSpaceDE w:val="0"/>
        <w:autoSpaceDN w:val="0"/>
        <w:adjustRightInd w:val="0"/>
        <w:spacing w:after="0" w:line="240" w:lineRule="auto"/>
        <w:rPr>
          <w:rFonts w:eastAsia="Times New Roman"/>
          <w:lang w:eastAsia="en-AU"/>
        </w:rPr>
      </w:pPr>
      <w:r w:rsidRPr="475BC16C">
        <w:rPr>
          <w:rFonts w:eastAsia="Times New Roman"/>
          <w:lang w:eastAsia="en-AU"/>
        </w:rPr>
        <w:t>The aim of this clinical guideline is the standardisation of practice and subsequent reduction in SSIs complicati</w:t>
      </w:r>
      <w:r w:rsidR="4A1C4C6E" w:rsidRPr="475BC16C">
        <w:rPr>
          <w:rFonts w:eastAsia="Times New Roman"/>
          <w:lang w:eastAsia="en-AU"/>
        </w:rPr>
        <w:t xml:space="preserve">ons following </w:t>
      </w:r>
      <w:r w:rsidRPr="475BC16C">
        <w:rPr>
          <w:rFonts w:eastAsia="Times New Roman"/>
          <w:lang w:eastAsia="en-AU"/>
        </w:rPr>
        <w:t>colorectal surgery across health services delivering major colorectal surgery in Victoria.</w:t>
      </w:r>
    </w:p>
    <w:p w14:paraId="087D89F6" w14:textId="77777777" w:rsidR="00ED7A4F" w:rsidRDefault="00ED7A4F" w:rsidP="005907FC">
      <w:pPr>
        <w:autoSpaceDE w:val="0"/>
        <w:autoSpaceDN w:val="0"/>
        <w:adjustRightInd w:val="0"/>
        <w:spacing w:after="0" w:line="240" w:lineRule="auto"/>
        <w:rPr>
          <w:rFonts w:eastAsia="Times New Roman" w:cstheme="minorHAnsi"/>
          <w:color w:val="000000"/>
          <w:sz w:val="32"/>
          <w:szCs w:val="32"/>
          <w:lang w:eastAsia="en-AU"/>
        </w:rPr>
      </w:pPr>
    </w:p>
    <w:p w14:paraId="5F38033B" w14:textId="05CD6D8E" w:rsidR="00B26E8D" w:rsidRDefault="00B26E8D" w:rsidP="005907FC">
      <w:pPr>
        <w:autoSpaceDE w:val="0"/>
        <w:autoSpaceDN w:val="0"/>
        <w:adjustRightInd w:val="0"/>
        <w:spacing w:after="0" w:line="240" w:lineRule="auto"/>
        <w:rPr>
          <w:rFonts w:eastAsia="Times New Roman" w:cstheme="minorHAnsi"/>
          <w:color w:val="000000"/>
          <w:sz w:val="24"/>
          <w:szCs w:val="24"/>
          <w:lang w:eastAsia="en-AU"/>
        </w:rPr>
      </w:pPr>
      <w:r w:rsidRPr="00936770">
        <w:rPr>
          <w:rFonts w:eastAsia="Times New Roman" w:cstheme="minorHAnsi"/>
          <w:color w:val="000000"/>
          <w:sz w:val="24"/>
          <w:szCs w:val="24"/>
          <w:lang w:eastAsia="en-AU"/>
        </w:rPr>
        <w:t>This document details</w:t>
      </w:r>
      <w:r w:rsidR="00936770">
        <w:rPr>
          <w:rFonts w:eastAsia="Times New Roman" w:cstheme="minorHAnsi"/>
          <w:color w:val="000000"/>
          <w:sz w:val="24"/>
          <w:szCs w:val="24"/>
          <w:lang w:eastAsia="en-AU"/>
        </w:rPr>
        <w:t>:</w:t>
      </w:r>
      <w:r w:rsidRPr="00B26E8D">
        <w:rPr>
          <w:rFonts w:eastAsia="Times New Roman" w:cstheme="minorHAnsi"/>
          <w:color w:val="000000"/>
          <w:sz w:val="24"/>
          <w:szCs w:val="24"/>
          <w:lang w:eastAsia="en-AU"/>
        </w:rPr>
        <w:t xml:space="preserve"> </w:t>
      </w:r>
    </w:p>
    <w:p w14:paraId="3DF480C8" w14:textId="69A24327" w:rsidR="00B26E8D" w:rsidRPr="00BB341A" w:rsidRDefault="004B4F33" w:rsidP="005907FC">
      <w:pPr>
        <w:autoSpaceDE w:val="0"/>
        <w:autoSpaceDN w:val="0"/>
        <w:adjustRightInd w:val="0"/>
        <w:spacing w:after="0" w:line="240" w:lineRule="auto"/>
        <w:rPr>
          <w:rFonts w:eastAsia="Times New Roman" w:cstheme="minorHAnsi"/>
          <w:color w:val="000000"/>
          <w:lang w:eastAsia="en-AU"/>
        </w:rPr>
      </w:pPr>
      <w:r w:rsidRPr="00BB341A">
        <w:rPr>
          <w:rFonts w:eastAsia="Times New Roman" w:cstheme="minorHAnsi"/>
          <w:color w:val="000000"/>
          <w:lang w:eastAsia="en-AU"/>
        </w:rPr>
        <w:t xml:space="preserve">A bundle of care to be delivered before, during and after surgery aimed at reducing surgical site infection. The elements of the bundle </w:t>
      </w:r>
      <w:r w:rsidR="00936770" w:rsidRPr="00BB341A">
        <w:rPr>
          <w:rFonts w:eastAsia="Times New Roman" w:cstheme="minorHAnsi"/>
          <w:color w:val="000000"/>
          <w:lang w:eastAsia="en-AU"/>
        </w:rPr>
        <w:t xml:space="preserve">which are evidence-based to reduce SSI </w:t>
      </w:r>
      <w:r w:rsidRPr="00BB341A">
        <w:rPr>
          <w:rFonts w:eastAsia="Times New Roman" w:cstheme="minorHAnsi"/>
          <w:color w:val="000000"/>
          <w:lang w:eastAsia="en-AU"/>
        </w:rPr>
        <w:t xml:space="preserve">have been graded as </w:t>
      </w:r>
      <w:r w:rsidR="00F50A41">
        <w:rPr>
          <w:rFonts w:eastAsia="Times New Roman" w:cstheme="minorHAnsi"/>
          <w:color w:val="000000"/>
          <w:lang w:eastAsia="en-AU"/>
        </w:rPr>
        <w:t>core (Table 1) and conditional (Table 2)</w:t>
      </w:r>
      <w:r w:rsidR="00936770" w:rsidRPr="00BB341A">
        <w:rPr>
          <w:rFonts w:eastAsia="Times New Roman" w:cstheme="minorHAnsi"/>
          <w:color w:val="000000"/>
          <w:lang w:eastAsia="en-AU"/>
        </w:rPr>
        <w:t xml:space="preserve">. </w:t>
      </w:r>
    </w:p>
    <w:p w14:paraId="7AD765A0" w14:textId="79455D51" w:rsidR="00714779" w:rsidRPr="00BB341A" w:rsidRDefault="00714779" w:rsidP="005907FC">
      <w:pPr>
        <w:autoSpaceDE w:val="0"/>
        <w:autoSpaceDN w:val="0"/>
        <w:adjustRightInd w:val="0"/>
        <w:spacing w:after="0" w:line="240" w:lineRule="auto"/>
        <w:rPr>
          <w:rFonts w:eastAsia="Times New Roman" w:cstheme="minorHAnsi"/>
          <w:color w:val="000000"/>
          <w:lang w:eastAsia="en-AU"/>
        </w:rPr>
      </w:pPr>
    </w:p>
    <w:p w14:paraId="05C013B5" w14:textId="62E53034" w:rsidR="00714779" w:rsidRPr="00BB341A" w:rsidRDefault="32FB02AA" w:rsidP="0B3A49C8">
      <w:pPr>
        <w:autoSpaceDE w:val="0"/>
        <w:autoSpaceDN w:val="0"/>
        <w:adjustRightInd w:val="0"/>
        <w:spacing w:after="0" w:line="240" w:lineRule="auto"/>
        <w:rPr>
          <w:rFonts w:eastAsia="Times New Roman"/>
          <w:color w:val="000000"/>
          <w:lang w:eastAsia="en-AU"/>
        </w:rPr>
      </w:pPr>
      <w:r w:rsidRPr="475BC16C">
        <w:rPr>
          <w:rFonts w:eastAsia="Times New Roman"/>
          <w:color w:val="000000" w:themeColor="text1"/>
          <w:lang w:eastAsia="en-AU"/>
        </w:rPr>
        <w:t xml:space="preserve">Essential ERAS items that promote enhanced recovery after surgery but are not targeted at reducing surgical site infection are listed in </w:t>
      </w:r>
      <w:r w:rsidR="70D63EB0" w:rsidRPr="475BC16C">
        <w:rPr>
          <w:rFonts w:eastAsia="Times New Roman"/>
          <w:color w:val="000000" w:themeColor="text1"/>
          <w:lang w:eastAsia="en-AU"/>
        </w:rPr>
        <w:t>Table 3</w:t>
      </w:r>
      <w:r w:rsidRPr="475BC16C">
        <w:rPr>
          <w:rFonts w:eastAsia="Times New Roman"/>
          <w:color w:val="000000" w:themeColor="text1"/>
          <w:lang w:eastAsia="en-AU"/>
        </w:rPr>
        <w:t xml:space="preserve"> for reference</w:t>
      </w:r>
      <w:r w:rsidR="70D63EB0" w:rsidRPr="475BC16C">
        <w:rPr>
          <w:rFonts w:eastAsia="Times New Roman"/>
          <w:color w:val="000000" w:themeColor="text1"/>
          <w:lang w:eastAsia="en-AU"/>
        </w:rPr>
        <w:t>.</w:t>
      </w:r>
    </w:p>
    <w:p w14:paraId="3A53CC3B" w14:textId="77777777" w:rsidR="004B4F33" w:rsidRPr="00BB341A" w:rsidRDefault="004B4F33" w:rsidP="005907FC">
      <w:pPr>
        <w:autoSpaceDE w:val="0"/>
        <w:autoSpaceDN w:val="0"/>
        <w:adjustRightInd w:val="0"/>
        <w:spacing w:after="0" w:line="240" w:lineRule="auto"/>
        <w:rPr>
          <w:rFonts w:eastAsia="Times New Roman" w:cstheme="minorHAnsi"/>
          <w:color w:val="000000"/>
          <w:lang w:eastAsia="en-AU"/>
        </w:rPr>
      </w:pPr>
    </w:p>
    <w:p w14:paraId="1ED9A950" w14:textId="0157DD2A" w:rsidR="004B4F33" w:rsidRPr="0017786E" w:rsidRDefault="46D7B5B9" w:rsidP="0017786E">
      <w:pPr>
        <w:pStyle w:val="CommentText"/>
        <w:rPr>
          <w:rFonts w:eastAsia="Times New Roman"/>
          <w:color w:val="000000"/>
          <w:sz w:val="22"/>
          <w:szCs w:val="22"/>
          <w:lang w:eastAsia="en-AU"/>
        </w:rPr>
      </w:pPr>
      <w:r w:rsidRPr="0017786E">
        <w:rPr>
          <w:rFonts w:eastAsia="Times New Roman"/>
          <w:color w:val="000000" w:themeColor="text1"/>
          <w:sz w:val="22"/>
          <w:szCs w:val="22"/>
          <w:lang w:eastAsia="en-AU"/>
        </w:rPr>
        <w:t>The</w:t>
      </w:r>
      <w:r w:rsidR="5CF47170" w:rsidRPr="0017786E">
        <w:rPr>
          <w:rFonts w:eastAsia="Times New Roman"/>
          <w:color w:val="000000" w:themeColor="text1"/>
          <w:sz w:val="22"/>
          <w:szCs w:val="22"/>
          <w:lang w:eastAsia="en-AU"/>
        </w:rPr>
        <w:t>se</w:t>
      </w:r>
      <w:r w:rsidRPr="0017786E">
        <w:rPr>
          <w:rFonts w:eastAsia="Times New Roman"/>
          <w:color w:val="000000" w:themeColor="text1"/>
          <w:sz w:val="22"/>
          <w:szCs w:val="22"/>
          <w:lang w:eastAsia="en-AU"/>
        </w:rPr>
        <w:t xml:space="preserve"> recommendations are based on consensus achieved in a modified Delphi process </w:t>
      </w:r>
      <w:r w:rsidR="3EA0BABE" w:rsidRPr="0017786E">
        <w:rPr>
          <w:rFonts w:eastAsia="Times New Roman"/>
          <w:color w:val="000000" w:themeColor="text1"/>
          <w:sz w:val="22"/>
          <w:szCs w:val="22"/>
          <w:lang w:eastAsia="en-AU"/>
        </w:rPr>
        <w:t xml:space="preserve">/ Nominal Group Technique </w:t>
      </w:r>
      <w:r w:rsidR="6D1DF16B" w:rsidRPr="0017786E">
        <w:rPr>
          <w:rFonts w:eastAsia="Times New Roman"/>
          <w:color w:val="000000" w:themeColor="text1"/>
          <w:sz w:val="22"/>
          <w:szCs w:val="22"/>
          <w:lang w:eastAsia="en-AU"/>
        </w:rPr>
        <w:t xml:space="preserve">involving an </w:t>
      </w:r>
      <w:r w:rsidRPr="0017786E">
        <w:rPr>
          <w:rFonts w:eastAsia="Times New Roman"/>
          <w:color w:val="000000" w:themeColor="text1"/>
          <w:sz w:val="22"/>
          <w:szCs w:val="22"/>
          <w:lang w:eastAsia="en-AU"/>
        </w:rPr>
        <w:t xml:space="preserve">Expert Advisory Group </w:t>
      </w:r>
      <w:r w:rsidR="4F747188" w:rsidRPr="0017786E">
        <w:rPr>
          <w:rFonts w:eastAsia="Times New Roman"/>
          <w:color w:val="000000" w:themeColor="text1"/>
          <w:sz w:val="22"/>
          <w:szCs w:val="22"/>
          <w:lang w:eastAsia="en-AU"/>
        </w:rPr>
        <w:t xml:space="preserve">(Appendix </w:t>
      </w:r>
      <w:r w:rsidR="70D63EB0" w:rsidRPr="0017786E">
        <w:rPr>
          <w:rFonts w:eastAsia="Times New Roman"/>
          <w:color w:val="000000" w:themeColor="text1"/>
          <w:sz w:val="22"/>
          <w:szCs w:val="22"/>
          <w:lang w:eastAsia="en-AU"/>
        </w:rPr>
        <w:t>A</w:t>
      </w:r>
      <w:r w:rsidR="4F747188" w:rsidRPr="0017786E">
        <w:rPr>
          <w:rFonts w:eastAsia="Times New Roman"/>
          <w:color w:val="000000" w:themeColor="text1"/>
          <w:sz w:val="22"/>
          <w:szCs w:val="22"/>
          <w:lang w:eastAsia="en-AU"/>
        </w:rPr>
        <w:t>)</w:t>
      </w:r>
      <w:r w:rsidRPr="0017786E">
        <w:rPr>
          <w:rFonts w:eastAsia="Times New Roman"/>
          <w:color w:val="000000" w:themeColor="text1"/>
          <w:sz w:val="22"/>
          <w:szCs w:val="22"/>
          <w:lang w:eastAsia="en-AU"/>
        </w:rPr>
        <w:t xml:space="preserve">. </w:t>
      </w:r>
      <w:r w:rsidR="0017786E">
        <w:rPr>
          <w:rFonts w:eastAsia="Times New Roman"/>
          <w:color w:val="000000" w:themeColor="text1"/>
          <w:sz w:val="22"/>
          <w:szCs w:val="22"/>
          <w:lang w:eastAsia="en-AU"/>
        </w:rPr>
        <w:t>Although t</w:t>
      </w:r>
      <w:r w:rsidR="0017786E" w:rsidRPr="0017786E">
        <w:rPr>
          <w:rFonts w:eastAsia="Times New Roman"/>
          <w:color w:val="000000" w:themeColor="text1"/>
          <w:sz w:val="22"/>
          <w:szCs w:val="22"/>
          <w:lang w:eastAsia="en-AU"/>
        </w:rPr>
        <w:t xml:space="preserve">he process did not involve a systematic formal review of the evidence, </w:t>
      </w:r>
      <w:r w:rsidR="0017786E" w:rsidRPr="0017786E">
        <w:rPr>
          <w:sz w:val="22"/>
          <w:szCs w:val="22"/>
        </w:rPr>
        <w:t xml:space="preserve">international </w:t>
      </w:r>
      <w:r w:rsidR="006F4AF9">
        <w:rPr>
          <w:sz w:val="22"/>
          <w:szCs w:val="22"/>
        </w:rPr>
        <w:t>recommend</w:t>
      </w:r>
      <w:r w:rsidR="006F4AF9" w:rsidRPr="0017786E">
        <w:rPr>
          <w:sz w:val="22"/>
          <w:szCs w:val="22"/>
        </w:rPr>
        <w:t>ations</w:t>
      </w:r>
      <w:r w:rsidR="0017786E" w:rsidRPr="0017786E">
        <w:rPr>
          <w:sz w:val="22"/>
          <w:szCs w:val="22"/>
        </w:rPr>
        <w:t xml:space="preserve"> (e.g. WHO) were reviewed as part of guideline development and</w:t>
      </w:r>
      <w:r w:rsidRPr="0017786E">
        <w:rPr>
          <w:rFonts w:eastAsia="Times New Roman"/>
          <w:color w:val="000000" w:themeColor="text1"/>
          <w:sz w:val="22"/>
          <w:szCs w:val="22"/>
          <w:lang w:eastAsia="en-AU"/>
        </w:rPr>
        <w:t xml:space="preserve"> the evidence has been</w:t>
      </w:r>
      <w:r w:rsidR="0017786E" w:rsidRPr="0017786E">
        <w:rPr>
          <w:rFonts w:eastAsia="Times New Roman"/>
          <w:color w:val="000000" w:themeColor="text1"/>
          <w:sz w:val="22"/>
          <w:szCs w:val="22"/>
          <w:lang w:eastAsia="en-AU"/>
        </w:rPr>
        <w:t xml:space="preserve"> accordingly</w:t>
      </w:r>
      <w:r w:rsidRPr="0017786E">
        <w:rPr>
          <w:rFonts w:eastAsia="Times New Roman"/>
          <w:color w:val="000000" w:themeColor="text1"/>
          <w:sz w:val="22"/>
          <w:szCs w:val="22"/>
          <w:lang w:eastAsia="en-AU"/>
        </w:rPr>
        <w:t xml:space="preserve"> cited</w:t>
      </w:r>
      <w:r w:rsidR="0017786E" w:rsidRPr="0017786E">
        <w:rPr>
          <w:rFonts w:eastAsia="Times New Roman"/>
          <w:color w:val="000000" w:themeColor="text1"/>
          <w:sz w:val="22"/>
          <w:szCs w:val="22"/>
          <w:lang w:eastAsia="en-AU"/>
        </w:rPr>
        <w:t>.</w:t>
      </w:r>
      <w:r w:rsidRPr="0017786E">
        <w:rPr>
          <w:rFonts w:eastAsia="Times New Roman"/>
          <w:color w:val="000000" w:themeColor="text1"/>
          <w:sz w:val="22"/>
          <w:szCs w:val="22"/>
          <w:lang w:eastAsia="en-AU"/>
        </w:rPr>
        <w:t xml:space="preserve"> </w:t>
      </w:r>
    </w:p>
    <w:p w14:paraId="4EFD0383" w14:textId="77777777" w:rsidR="004B4F33" w:rsidRPr="0017786E" w:rsidRDefault="004B4F33" w:rsidP="005907FC">
      <w:pPr>
        <w:autoSpaceDE w:val="0"/>
        <w:autoSpaceDN w:val="0"/>
        <w:adjustRightInd w:val="0"/>
        <w:spacing w:after="0" w:line="240" w:lineRule="auto"/>
        <w:rPr>
          <w:rFonts w:eastAsia="Times New Roman" w:cstheme="minorHAnsi"/>
          <w:color w:val="000000"/>
          <w:lang w:eastAsia="en-AU"/>
        </w:rPr>
      </w:pPr>
    </w:p>
    <w:p w14:paraId="077E675B" w14:textId="77777777" w:rsidR="004B4F33" w:rsidRDefault="004B4F33" w:rsidP="005907FC">
      <w:pPr>
        <w:autoSpaceDE w:val="0"/>
        <w:autoSpaceDN w:val="0"/>
        <w:adjustRightInd w:val="0"/>
        <w:spacing w:after="0" w:line="240" w:lineRule="auto"/>
        <w:rPr>
          <w:rFonts w:eastAsia="Times New Roman" w:cstheme="minorHAnsi"/>
          <w:color w:val="000000"/>
          <w:sz w:val="24"/>
          <w:szCs w:val="24"/>
          <w:lang w:eastAsia="en-AU"/>
        </w:rPr>
      </w:pPr>
    </w:p>
    <w:p w14:paraId="7BFC67AF" w14:textId="4B5E3991" w:rsidR="00B26E8D" w:rsidRDefault="00B26E8D" w:rsidP="005907FC">
      <w:pPr>
        <w:autoSpaceDE w:val="0"/>
        <w:autoSpaceDN w:val="0"/>
        <w:adjustRightInd w:val="0"/>
        <w:spacing w:after="0" w:line="240" w:lineRule="auto"/>
        <w:rPr>
          <w:rFonts w:eastAsia="Times New Roman" w:cstheme="minorHAnsi"/>
          <w:color w:val="000000"/>
          <w:sz w:val="24"/>
          <w:szCs w:val="24"/>
          <w:lang w:eastAsia="en-AU"/>
        </w:rPr>
      </w:pPr>
      <w:r w:rsidRPr="000115B7">
        <w:rPr>
          <w:rFonts w:eastAsia="Times New Roman" w:cstheme="minorHAnsi"/>
          <w:color w:val="000000"/>
          <w:sz w:val="24"/>
          <w:szCs w:val="24"/>
          <w:lang w:eastAsia="en-AU"/>
        </w:rPr>
        <w:t>It does not include:</w:t>
      </w:r>
    </w:p>
    <w:p w14:paraId="78D33A9A" w14:textId="5A7C185C" w:rsidR="00B26E8D" w:rsidRDefault="00B26E8D" w:rsidP="005907FC">
      <w:pPr>
        <w:autoSpaceDE w:val="0"/>
        <w:autoSpaceDN w:val="0"/>
        <w:adjustRightInd w:val="0"/>
        <w:spacing w:after="0" w:line="240" w:lineRule="auto"/>
        <w:rPr>
          <w:rFonts w:eastAsia="Times New Roman" w:cstheme="minorHAnsi"/>
          <w:color w:val="000000"/>
          <w:sz w:val="24"/>
          <w:szCs w:val="24"/>
          <w:lang w:eastAsia="en-AU"/>
        </w:rPr>
      </w:pPr>
    </w:p>
    <w:p w14:paraId="65BF6958" w14:textId="32B84C7D" w:rsidR="00B26E8D" w:rsidRPr="00BB341A" w:rsidRDefault="00911CB9" w:rsidP="005907FC">
      <w:pPr>
        <w:autoSpaceDE w:val="0"/>
        <w:autoSpaceDN w:val="0"/>
        <w:adjustRightInd w:val="0"/>
        <w:spacing w:after="0" w:line="240" w:lineRule="auto"/>
        <w:rPr>
          <w:rFonts w:eastAsia="Times New Roman" w:cstheme="minorHAnsi"/>
          <w:color w:val="000000"/>
          <w:lang w:eastAsia="en-AU"/>
        </w:rPr>
      </w:pPr>
      <w:r w:rsidRPr="00BB341A">
        <w:rPr>
          <w:rFonts w:eastAsia="Times New Roman" w:cstheme="minorHAnsi"/>
          <w:color w:val="000000"/>
          <w:lang w:eastAsia="en-AU"/>
        </w:rPr>
        <w:t>Detailed recommendations for risk mitigation practices pre-admission and prehabilitation</w:t>
      </w:r>
      <w:r w:rsidR="000115B7" w:rsidRPr="00BB341A">
        <w:rPr>
          <w:rFonts w:eastAsia="Times New Roman" w:cstheme="minorHAnsi"/>
          <w:color w:val="000000"/>
          <w:lang w:eastAsia="en-AU"/>
        </w:rPr>
        <w:t>.</w:t>
      </w:r>
    </w:p>
    <w:p w14:paraId="173F31E7" w14:textId="77777777" w:rsidR="00911CB9" w:rsidRPr="00BB341A" w:rsidRDefault="00911CB9" w:rsidP="005907FC">
      <w:pPr>
        <w:autoSpaceDE w:val="0"/>
        <w:autoSpaceDN w:val="0"/>
        <w:adjustRightInd w:val="0"/>
        <w:spacing w:after="0" w:line="240" w:lineRule="auto"/>
        <w:rPr>
          <w:rFonts w:eastAsia="Times New Roman" w:cstheme="minorHAnsi"/>
          <w:color w:val="000000"/>
          <w:lang w:eastAsia="en-AU"/>
        </w:rPr>
      </w:pPr>
    </w:p>
    <w:p w14:paraId="61266EEC" w14:textId="2DD498B3" w:rsidR="00B26E8D" w:rsidRPr="00BB341A" w:rsidRDefault="00B26E8D" w:rsidP="005907FC">
      <w:pPr>
        <w:autoSpaceDE w:val="0"/>
        <w:autoSpaceDN w:val="0"/>
        <w:adjustRightInd w:val="0"/>
        <w:spacing w:after="0" w:line="240" w:lineRule="auto"/>
      </w:pPr>
      <w:r w:rsidRPr="00BB341A">
        <w:t xml:space="preserve">This guideline is intended for adult patients. </w:t>
      </w:r>
    </w:p>
    <w:p w14:paraId="4FF2E371" w14:textId="16B69382" w:rsidR="00BB341A" w:rsidRDefault="00BB341A">
      <w:r>
        <w:br w:type="page"/>
      </w:r>
    </w:p>
    <w:p w14:paraId="7C867DED" w14:textId="5C4D519D" w:rsidR="00B26E8D" w:rsidRPr="003C55E6" w:rsidRDefault="00B26E8D" w:rsidP="00714779">
      <w:pPr>
        <w:rPr>
          <w:rFonts w:eastAsia="Times New Roman" w:cstheme="minorHAnsi"/>
          <w:color w:val="33CCCC"/>
          <w:sz w:val="32"/>
          <w:szCs w:val="32"/>
          <w:lang w:eastAsia="en-AU"/>
        </w:rPr>
      </w:pPr>
      <w:r w:rsidRPr="003C55E6">
        <w:rPr>
          <w:rFonts w:eastAsia="Times New Roman" w:cstheme="minorHAnsi"/>
          <w:color w:val="33CCCC"/>
          <w:sz w:val="32"/>
          <w:szCs w:val="32"/>
          <w:lang w:eastAsia="en-AU"/>
        </w:rPr>
        <w:lastRenderedPageBreak/>
        <w:t>BACKGROUND</w:t>
      </w:r>
    </w:p>
    <w:p w14:paraId="3D0750F4" w14:textId="77777777" w:rsidR="00F53C8A" w:rsidRDefault="00F53C8A" w:rsidP="005907FC">
      <w:pPr>
        <w:autoSpaceDE w:val="0"/>
        <w:autoSpaceDN w:val="0"/>
        <w:adjustRightInd w:val="0"/>
        <w:spacing w:after="0" w:line="240" w:lineRule="auto"/>
        <w:rPr>
          <w:rFonts w:eastAsia="Times New Roman" w:cstheme="minorHAnsi"/>
          <w:color w:val="000000"/>
          <w:sz w:val="24"/>
          <w:szCs w:val="24"/>
          <w:lang w:eastAsia="en-AU"/>
        </w:rPr>
      </w:pPr>
    </w:p>
    <w:p w14:paraId="733BDD22" w14:textId="1DC246A0" w:rsidR="005907FC" w:rsidRPr="0017786E" w:rsidRDefault="761DE33F" w:rsidP="475BC16C">
      <w:pPr>
        <w:autoSpaceDE w:val="0"/>
        <w:autoSpaceDN w:val="0"/>
        <w:adjustRightInd w:val="0"/>
        <w:spacing w:after="0" w:line="240" w:lineRule="auto"/>
        <w:rPr>
          <w:rFonts w:eastAsia="Times New Roman"/>
          <w:color w:val="000000" w:themeColor="text1"/>
          <w:lang w:eastAsia="en-AU"/>
        </w:rPr>
      </w:pPr>
      <w:r w:rsidRPr="475BC16C">
        <w:rPr>
          <w:rFonts w:eastAsia="Times New Roman"/>
          <w:color w:val="000000" w:themeColor="text1"/>
          <w:lang w:eastAsia="en-AU"/>
        </w:rPr>
        <w:t xml:space="preserve">Colorectal surgery has one of the highest rates of postoperative </w:t>
      </w:r>
      <w:r w:rsidR="0F49B5CD" w:rsidRPr="475BC16C">
        <w:rPr>
          <w:rFonts w:eastAsia="Times New Roman"/>
          <w:color w:val="000000" w:themeColor="text1"/>
          <w:lang w:eastAsia="en-AU"/>
        </w:rPr>
        <w:t>surgical site infection (</w:t>
      </w:r>
      <w:r w:rsidRPr="475BC16C">
        <w:rPr>
          <w:rFonts w:eastAsia="Times New Roman"/>
          <w:color w:val="000000" w:themeColor="text1"/>
          <w:lang w:eastAsia="en-AU"/>
        </w:rPr>
        <w:t>SSI</w:t>
      </w:r>
      <w:r w:rsidR="0F49B5CD" w:rsidRPr="475BC16C">
        <w:rPr>
          <w:rFonts w:eastAsia="Times New Roman"/>
          <w:color w:val="000000" w:themeColor="text1"/>
          <w:lang w:eastAsia="en-AU"/>
        </w:rPr>
        <w:t>)</w:t>
      </w:r>
      <w:r w:rsidRPr="475BC16C">
        <w:rPr>
          <w:rFonts w:eastAsia="Times New Roman"/>
          <w:color w:val="000000" w:themeColor="text1"/>
          <w:lang w:eastAsia="en-AU"/>
        </w:rPr>
        <w:t>, with published rates ranging</w:t>
      </w:r>
      <w:r w:rsidR="0F49B5CD" w:rsidRPr="475BC16C">
        <w:rPr>
          <w:rFonts w:eastAsia="Times New Roman"/>
          <w:color w:val="000000" w:themeColor="text1"/>
          <w:lang w:eastAsia="en-AU"/>
        </w:rPr>
        <w:t xml:space="preserve"> </w:t>
      </w:r>
      <w:r w:rsidRPr="475BC16C">
        <w:rPr>
          <w:rFonts w:eastAsia="Times New Roman"/>
          <w:color w:val="000000" w:themeColor="text1"/>
          <w:lang w:eastAsia="en-AU"/>
        </w:rPr>
        <w:t xml:space="preserve">from 15% to </w:t>
      </w:r>
      <w:r w:rsidR="0F49B5CD" w:rsidRPr="475BC16C">
        <w:rPr>
          <w:rFonts w:eastAsia="Times New Roman"/>
          <w:color w:val="000000" w:themeColor="text1"/>
          <w:lang w:eastAsia="en-AU"/>
        </w:rPr>
        <w:t xml:space="preserve">over </w:t>
      </w:r>
      <w:r w:rsidRPr="475BC16C">
        <w:rPr>
          <w:rFonts w:eastAsia="Times New Roman"/>
          <w:color w:val="000000" w:themeColor="text1"/>
          <w:lang w:eastAsia="en-AU"/>
        </w:rPr>
        <w:t>30%.</w:t>
      </w:r>
      <w:r w:rsidR="3770836C" w:rsidRPr="475BC16C">
        <w:rPr>
          <w:rFonts w:eastAsia="Times New Roman"/>
          <w:color w:val="000000" w:themeColor="text1"/>
          <w:lang w:eastAsia="en-AU"/>
        </w:rPr>
        <w:t xml:space="preserve"> [1-4]</w:t>
      </w:r>
      <w:r w:rsidRPr="475BC16C">
        <w:rPr>
          <w:rFonts w:eastAsia="Times New Roman"/>
          <w:color w:val="000000" w:themeColor="text1"/>
          <w:lang w:eastAsia="en-AU"/>
        </w:rPr>
        <w:t xml:space="preserve"> </w:t>
      </w:r>
      <w:r w:rsidR="51796F8B" w:rsidRPr="475BC16C">
        <w:rPr>
          <w:rFonts w:eastAsia="Times New Roman"/>
          <w:color w:val="000000" w:themeColor="text1"/>
          <w:lang w:eastAsia="en-AU"/>
        </w:rPr>
        <w:t xml:space="preserve">Surgical Site Infection includes superficial and deep wound infections, and deeper organ space infection within the pelvis, peritoneal cavity and retroperitoneum. </w:t>
      </w:r>
      <w:r w:rsidRPr="475BC16C">
        <w:rPr>
          <w:rFonts w:eastAsia="Times New Roman"/>
          <w:color w:val="000000" w:themeColor="text1"/>
          <w:lang w:eastAsia="en-AU"/>
        </w:rPr>
        <w:t xml:space="preserve">Left-sided colonic resections and rectal resections in particular have a higher incidence of postoperative SSI compared with right-sided colonic resections. </w:t>
      </w:r>
      <w:r w:rsidR="3770836C" w:rsidRPr="475BC16C">
        <w:t xml:space="preserve">The consequence of SSIs is increased discomfort for patients in terms of </w:t>
      </w:r>
      <w:r w:rsidR="51796F8B" w:rsidRPr="475BC16C">
        <w:t xml:space="preserve">wound discharge and breakdown, </w:t>
      </w:r>
      <w:r w:rsidR="3770836C" w:rsidRPr="475BC16C">
        <w:t xml:space="preserve">readmission to hospital </w:t>
      </w:r>
      <w:r w:rsidR="51796F8B" w:rsidRPr="475BC16C">
        <w:t>often with a requirement for interventional radiology to drain infections or</w:t>
      </w:r>
      <w:r w:rsidR="3770836C" w:rsidRPr="475BC16C">
        <w:t xml:space="preserve"> reoperation</w:t>
      </w:r>
      <w:r w:rsidR="51796F8B" w:rsidRPr="475BC16C">
        <w:t xml:space="preserve">. </w:t>
      </w:r>
      <w:r w:rsidR="3770836C" w:rsidRPr="475BC16C">
        <w:t xml:space="preserve">[5,6] </w:t>
      </w:r>
      <w:r w:rsidR="51796F8B" w:rsidRPr="475BC16C">
        <w:t xml:space="preserve">Recovery from surgery is prolonged and may involve complex wound dressings and drainage bags. The literature reports that </w:t>
      </w:r>
      <w:r w:rsidR="3770836C" w:rsidRPr="475BC16C">
        <w:t xml:space="preserve">60% of these </w:t>
      </w:r>
      <w:r w:rsidR="51796F8B" w:rsidRPr="475BC16C">
        <w:t xml:space="preserve">SSI </w:t>
      </w:r>
      <w:r w:rsidR="3770836C" w:rsidRPr="475BC16C">
        <w:t xml:space="preserve">outcomes </w:t>
      </w:r>
      <w:r w:rsidR="51796F8B" w:rsidRPr="475BC16C">
        <w:t xml:space="preserve">can </w:t>
      </w:r>
      <w:r w:rsidR="3770836C" w:rsidRPr="475BC16C">
        <w:t xml:space="preserve">be prevented </w:t>
      </w:r>
      <w:r w:rsidR="51796F8B" w:rsidRPr="475BC16C">
        <w:t xml:space="preserve">through </w:t>
      </w:r>
      <w:r w:rsidR="3770836C" w:rsidRPr="475BC16C">
        <w:t>the increased use of evidence-based measures.[7]</w:t>
      </w:r>
    </w:p>
    <w:p w14:paraId="4216472F" w14:textId="39286869" w:rsidR="005907FC" w:rsidRDefault="005907FC" w:rsidP="475BC16C">
      <w:pPr>
        <w:autoSpaceDE w:val="0"/>
        <w:autoSpaceDN w:val="0"/>
        <w:adjustRightInd w:val="0"/>
        <w:spacing w:after="0" w:line="240" w:lineRule="auto"/>
      </w:pPr>
    </w:p>
    <w:p w14:paraId="5E3A4B53" w14:textId="1403C399" w:rsidR="0017786E" w:rsidRPr="0017786E" w:rsidRDefault="0017786E" w:rsidP="475BC16C">
      <w:pPr>
        <w:autoSpaceDE w:val="0"/>
        <w:autoSpaceDN w:val="0"/>
        <w:adjustRightInd w:val="0"/>
        <w:spacing w:after="0" w:line="240" w:lineRule="auto"/>
        <w:rPr>
          <w:b/>
          <w:bCs/>
          <w:sz w:val="28"/>
          <w:szCs w:val="28"/>
        </w:rPr>
      </w:pPr>
      <w:r w:rsidRPr="0017786E">
        <w:rPr>
          <w:b/>
          <w:bCs/>
          <w:sz w:val="28"/>
          <w:szCs w:val="28"/>
        </w:rPr>
        <w:t>The need for standardised bundles of care</w:t>
      </w:r>
    </w:p>
    <w:p w14:paraId="6F736E2A" w14:textId="77777777" w:rsidR="0017786E" w:rsidRPr="00BB341A" w:rsidRDefault="0017786E" w:rsidP="475BC16C">
      <w:pPr>
        <w:autoSpaceDE w:val="0"/>
        <w:autoSpaceDN w:val="0"/>
        <w:adjustRightInd w:val="0"/>
        <w:spacing w:after="0" w:line="240" w:lineRule="auto"/>
      </w:pPr>
    </w:p>
    <w:p w14:paraId="052A97C1" w14:textId="5077AB05" w:rsidR="005907FC" w:rsidRPr="00BB341A" w:rsidRDefault="1081F069" w:rsidP="475BC16C">
      <w:pPr>
        <w:autoSpaceDE w:val="0"/>
        <w:autoSpaceDN w:val="0"/>
        <w:adjustRightInd w:val="0"/>
        <w:spacing w:after="0" w:line="240" w:lineRule="auto"/>
        <w:rPr>
          <w:rFonts w:eastAsiaTheme="minorEastAsia"/>
        </w:rPr>
      </w:pPr>
      <w:r w:rsidRPr="475BC16C">
        <w:rPr>
          <w:rFonts w:eastAsiaTheme="minorEastAsia"/>
        </w:rPr>
        <w:t xml:space="preserve">The enhanced recovery after surgery (ERAS) study group collaboration was established in 2000 in response to a lack of congruence in perioperative care across sites, unsatisfactory recovery rates, and diverse quality in terms of reporting outcomes. </w:t>
      </w:r>
      <w:r w:rsidR="3D57D2D3" w:rsidRPr="475BC16C">
        <w:rPr>
          <w:rFonts w:eastAsiaTheme="minorEastAsia"/>
        </w:rPr>
        <w:t xml:space="preserve">The first ERAS guideline in colorectal surgery was published in 2005, and more recent iterations </w:t>
      </w:r>
      <w:r w:rsidR="76FE68AB" w:rsidRPr="475BC16C">
        <w:rPr>
          <w:rFonts w:eastAsiaTheme="minorEastAsia"/>
        </w:rPr>
        <w:t>present</w:t>
      </w:r>
      <w:r w:rsidR="76FE68AB" w:rsidRPr="475BC16C">
        <w:rPr>
          <w:rFonts w:ascii="Calibri" w:eastAsia="Calibri" w:hAnsi="Calibri" w:cs="Calibri"/>
        </w:rPr>
        <w:t xml:space="preserve"> a consensus for optimal perioperative care in colorectal surgery and providing graded recommendations for each ERAS item within the ERAS protocol </w:t>
      </w:r>
      <w:r w:rsidR="7883F426" w:rsidRPr="475BC16C">
        <w:rPr>
          <w:rFonts w:eastAsiaTheme="minorEastAsia"/>
        </w:rPr>
        <w:t>according to the GRADE-system</w:t>
      </w:r>
      <w:r w:rsidR="70F5E918" w:rsidRPr="475BC16C">
        <w:rPr>
          <w:rFonts w:eastAsiaTheme="minorEastAsia"/>
        </w:rPr>
        <w:t xml:space="preserve">. </w:t>
      </w:r>
      <w:r w:rsidR="2238C84F" w:rsidRPr="475BC16C">
        <w:rPr>
          <w:rFonts w:eastAsiaTheme="minorEastAsia"/>
        </w:rPr>
        <w:t>[8,9]</w:t>
      </w:r>
      <w:r w:rsidR="104D5086" w:rsidRPr="475BC16C">
        <w:rPr>
          <w:rFonts w:eastAsiaTheme="minorEastAsia"/>
        </w:rPr>
        <w:t xml:space="preserve"> </w:t>
      </w:r>
    </w:p>
    <w:p w14:paraId="6E76B796" w14:textId="1D468A50" w:rsidR="005907FC" w:rsidRPr="00BB341A" w:rsidRDefault="005907FC" w:rsidP="475BC16C">
      <w:pPr>
        <w:autoSpaceDE w:val="0"/>
        <w:autoSpaceDN w:val="0"/>
        <w:adjustRightInd w:val="0"/>
        <w:spacing w:after="0" w:line="240" w:lineRule="auto"/>
        <w:rPr>
          <w:rFonts w:eastAsiaTheme="minorEastAsia"/>
        </w:rPr>
      </w:pPr>
    </w:p>
    <w:p w14:paraId="2CE1D39E" w14:textId="37C04989" w:rsidR="005907FC" w:rsidRPr="00BB341A" w:rsidRDefault="70F5E918" w:rsidP="475BC16C">
      <w:pPr>
        <w:autoSpaceDE w:val="0"/>
        <w:autoSpaceDN w:val="0"/>
        <w:adjustRightInd w:val="0"/>
        <w:spacing w:after="0" w:line="240" w:lineRule="auto"/>
        <w:rPr>
          <w:rFonts w:eastAsiaTheme="minorEastAsia"/>
        </w:rPr>
      </w:pPr>
      <w:r w:rsidRPr="475BC16C">
        <w:rPr>
          <w:rFonts w:eastAsiaTheme="minorEastAsia"/>
        </w:rPr>
        <w:t>When comparing ERAS protocols with traditional care in colorectal surgery, ERAS significantly reduce</w:t>
      </w:r>
      <w:r w:rsidR="2B5E760E" w:rsidRPr="475BC16C">
        <w:rPr>
          <w:rFonts w:eastAsiaTheme="minorEastAsia"/>
        </w:rPr>
        <w:t>s</w:t>
      </w:r>
      <w:r w:rsidRPr="475BC16C">
        <w:rPr>
          <w:rFonts w:eastAsiaTheme="minorEastAsia"/>
        </w:rPr>
        <w:t xml:space="preserve"> the risk for postoperative morbidity </w:t>
      </w:r>
      <w:r w:rsidR="44B20F55" w:rsidRPr="475BC16C">
        <w:rPr>
          <w:rFonts w:eastAsiaTheme="minorEastAsia"/>
        </w:rPr>
        <w:t>by</w:t>
      </w:r>
      <w:r w:rsidRPr="475BC16C">
        <w:rPr>
          <w:rFonts w:eastAsiaTheme="minorEastAsia"/>
        </w:rPr>
        <w:t xml:space="preserve"> 48% and median length of stay in hospital</w:t>
      </w:r>
      <w:r w:rsidR="36121A16" w:rsidRPr="475BC16C">
        <w:rPr>
          <w:rFonts w:eastAsiaTheme="minorEastAsia"/>
        </w:rPr>
        <w:t xml:space="preserve"> by</w:t>
      </w:r>
      <w:r w:rsidRPr="475BC16C">
        <w:rPr>
          <w:rFonts w:eastAsiaTheme="minorEastAsia"/>
        </w:rPr>
        <w:t xml:space="preserve"> 2.5 days.</w:t>
      </w:r>
      <w:r w:rsidR="0F4C59CA" w:rsidRPr="475BC16C">
        <w:rPr>
          <w:rFonts w:eastAsiaTheme="minorEastAsia"/>
        </w:rPr>
        <w:t xml:space="preserve"> [9,10]</w:t>
      </w:r>
      <w:r w:rsidRPr="475BC16C">
        <w:rPr>
          <w:rFonts w:eastAsiaTheme="minorEastAsia"/>
        </w:rPr>
        <w:t xml:space="preserve"> </w:t>
      </w:r>
      <w:r w:rsidR="752A6D5F" w:rsidRPr="475BC16C">
        <w:rPr>
          <w:rFonts w:eastAsiaTheme="minorEastAsia"/>
        </w:rPr>
        <w:t>Importantly</w:t>
      </w:r>
      <w:r w:rsidRPr="475BC16C">
        <w:rPr>
          <w:rFonts w:eastAsiaTheme="minorEastAsia"/>
        </w:rPr>
        <w:t xml:space="preserve">, current evidence in </w:t>
      </w:r>
      <w:r w:rsidR="34F75ABA" w:rsidRPr="475BC16C">
        <w:rPr>
          <w:rFonts w:eastAsiaTheme="minorEastAsia"/>
        </w:rPr>
        <w:t>support</w:t>
      </w:r>
      <w:r w:rsidRPr="475BC16C">
        <w:rPr>
          <w:rFonts w:eastAsiaTheme="minorEastAsia"/>
        </w:rPr>
        <w:t xml:space="preserve"> of the ERAS protocol </w:t>
      </w:r>
      <w:r w:rsidR="257DE13C" w:rsidRPr="475BC16C">
        <w:rPr>
          <w:rFonts w:eastAsiaTheme="minorEastAsia"/>
        </w:rPr>
        <w:t>applies</w:t>
      </w:r>
      <w:r w:rsidR="2E072F80" w:rsidRPr="475BC16C">
        <w:rPr>
          <w:rFonts w:eastAsiaTheme="minorEastAsia"/>
        </w:rPr>
        <w:t xml:space="preserve"> to</w:t>
      </w:r>
      <w:r w:rsidRPr="475BC16C">
        <w:rPr>
          <w:rFonts w:eastAsiaTheme="minorEastAsia"/>
        </w:rPr>
        <w:t xml:space="preserve"> the whole protocol and not for every single item within it</w:t>
      </w:r>
      <w:r w:rsidR="6DABA00F" w:rsidRPr="475BC16C">
        <w:rPr>
          <w:rFonts w:eastAsiaTheme="minorEastAsia"/>
        </w:rPr>
        <w:t xml:space="preserve"> as </w:t>
      </w:r>
      <w:r w:rsidRPr="475BC16C">
        <w:rPr>
          <w:rFonts w:eastAsiaTheme="minorEastAsia"/>
        </w:rPr>
        <w:t>the evidence base behind each item within the protocol is constantly changing depending on new</w:t>
      </w:r>
      <w:r w:rsidR="5D942277" w:rsidRPr="475BC16C">
        <w:rPr>
          <w:rFonts w:eastAsiaTheme="minorEastAsia"/>
        </w:rPr>
        <w:t>ly published</w:t>
      </w:r>
      <w:r w:rsidRPr="475BC16C">
        <w:rPr>
          <w:rFonts w:eastAsiaTheme="minorEastAsia"/>
        </w:rPr>
        <w:t xml:space="preserve"> evidence</w:t>
      </w:r>
      <w:r w:rsidR="265CB535" w:rsidRPr="475BC16C">
        <w:rPr>
          <w:rFonts w:eastAsiaTheme="minorEastAsia"/>
        </w:rPr>
        <w:t xml:space="preserve">. </w:t>
      </w:r>
      <w:r w:rsidR="5BB5F9FB" w:rsidRPr="475BC16C">
        <w:rPr>
          <w:rFonts w:eastAsiaTheme="minorEastAsia"/>
        </w:rPr>
        <w:t>[9]</w:t>
      </w:r>
    </w:p>
    <w:p w14:paraId="0714B574" w14:textId="3B4365B8" w:rsidR="475BC16C" w:rsidRDefault="475BC16C" w:rsidP="475BC16C">
      <w:pPr>
        <w:spacing w:after="0" w:line="240" w:lineRule="auto"/>
        <w:rPr>
          <w:rFonts w:ascii="Open Sans" w:eastAsia="Open Sans" w:hAnsi="Open Sans" w:cs="Open Sans"/>
          <w:color w:val="677788"/>
          <w:sz w:val="24"/>
          <w:szCs w:val="24"/>
        </w:rPr>
      </w:pPr>
    </w:p>
    <w:p w14:paraId="17641156" w14:textId="4C1CFF4D" w:rsidR="00974495" w:rsidRPr="00BB341A" w:rsidRDefault="7D7F6857" w:rsidP="475BC16C">
      <w:pPr>
        <w:autoSpaceDE w:val="0"/>
        <w:autoSpaceDN w:val="0"/>
        <w:adjustRightInd w:val="0"/>
        <w:spacing w:after="0" w:line="240" w:lineRule="auto"/>
      </w:pPr>
      <w:r w:rsidRPr="475BC16C">
        <w:rPr>
          <w:rFonts w:eastAsia="Times New Roman"/>
          <w:lang w:eastAsia="en-AU"/>
        </w:rPr>
        <w:t>Similarly, t</w:t>
      </w:r>
      <w:r w:rsidR="761DE33F" w:rsidRPr="475BC16C">
        <w:rPr>
          <w:rFonts w:eastAsia="Times New Roman"/>
          <w:lang w:eastAsia="en-AU"/>
        </w:rPr>
        <w:t xml:space="preserve">here is mounting evidence that implementation of prevention bundles </w:t>
      </w:r>
      <w:r w:rsidR="51796F8B" w:rsidRPr="475BC16C">
        <w:rPr>
          <w:rFonts w:eastAsia="Times New Roman"/>
          <w:lang w:eastAsia="en-AU"/>
        </w:rPr>
        <w:t xml:space="preserve">of care </w:t>
      </w:r>
      <w:r w:rsidR="40C8CCC8" w:rsidRPr="475BC16C">
        <w:rPr>
          <w:rFonts w:eastAsia="Times New Roman"/>
          <w:lang w:eastAsia="en-AU"/>
        </w:rPr>
        <w:t>is</w:t>
      </w:r>
      <w:r w:rsidR="51796F8B" w:rsidRPr="475BC16C">
        <w:rPr>
          <w:rFonts w:eastAsia="Times New Roman"/>
          <w:lang w:eastAsia="en-AU"/>
        </w:rPr>
        <w:t xml:space="preserve"> </w:t>
      </w:r>
      <w:r w:rsidR="761DE33F" w:rsidRPr="475BC16C">
        <w:rPr>
          <w:rFonts w:eastAsia="Times New Roman"/>
          <w:lang w:eastAsia="en-AU"/>
        </w:rPr>
        <w:t>associated with a reduced rate of SSI, particularly deep and organ space SSI after elective colorectal surgery.</w:t>
      </w:r>
      <w:r w:rsidR="3770836C" w:rsidRPr="475BC16C">
        <w:rPr>
          <w:rFonts w:eastAsia="Times New Roman"/>
          <w:lang w:eastAsia="en-AU"/>
        </w:rPr>
        <w:t xml:space="preserve"> </w:t>
      </w:r>
      <w:r w:rsidR="0F6E4291" w:rsidRPr="475BC16C">
        <w:t>Implementation of colorectal SSI bundles increases standardisation among surgical teams and decreases operative variance that then leads to reductions in SSIs and an improvement in surgical quality of care. [</w:t>
      </w:r>
      <w:r w:rsidR="55AF7933" w:rsidRPr="475BC16C">
        <w:t>11</w:t>
      </w:r>
      <w:r w:rsidR="0F6E4291" w:rsidRPr="475BC16C">
        <w:t xml:space="preserve">] </w:t>
      </w:r>
    </w:p>
    <w:p w14:paraId="30F52C0E" w14:textId="77777777" w:rsidR="00974495" w:rsidRPr="00BB341A" w:rsidRDefault="00974495" w:rsidP="005907FC">
      <w:pPr>
        <w:autoSpaceDE w:val="0"/>
        <w:autoSpaceDN w:val="0"/>
        <w:adjustRightInd w:val="0"/>
        <w:spacing w:after="0" w:line="240" w:lineRule="auto"/>
        <w:rPr>
          <w:rFonts w:cstheme="minorHAnsi"/>
        </w:rPr>
      </w:pPr>
    </w:p>
    <w:p w14:paraId="0842511A" w14:textId="4106ECEA" w:rsidR="003D17D1" w:rsidRPr="00BB341A" w:rsidRDefault="3770836C" w:rsidP="475BC16C">
      <w:pPr>
        <w:autoSpaceDE w:val="0"/>
        <w:autoSpaceDN w:val="0"/>
        <w:adjustRightInd w:val="0"/>
        <w:spacing w:after="0" w:line="240" w:lineRule="auto"/>
        <w:rPr>
          <w:rFonts w:eastAsia="Times New Roman"/>
          <w:lang w:eastAsia="en-AU"/>
        </w:rPr>
      </w:pPr>
      <w:r w:rsidRPr="475BC16C">
        <w:rPr>
          <w:rFonts w:eastAsia="Times New Roman"/>
          <w:lang w:eastAsia="en-AU"/>
        </w:rPr>
        <w:t xml:space="preserve">The earliest </w:t>
      </w:r>
      <w:r w:rsidR="2C660EB1" w:rsidRPr="475BC16C">
        <w:rPr>
          <w:rFonts w:eastAsia="Times New Roman"/>
          <w:lang w:eastAsia="en-AU"/>
        </w:rPr>
        <w:t xml:space="preserve">SSI </w:t>
      </w:r>
      <w:r w:rsidRPr="475BC16C">
        <w:rPr>
          <w:rFonts w:eastAsia="Times New Roman"/>
          <w:lang w:eastAsia="en-AU"/>
        </w:rPr>
        <w:t xml:space="preserve">prevention bundle, the </w:t>
      </w:r>
      <w:r w:rsidRPr="475BC16C">
        <w:t>Surgical Care Improvement Project (SCIP) bundle, [</w:t>
      </w:r>
      <w:r w:rsidR="1BFCD982" w:rsidRPr="475BC16C">
        <w:t>5</w:t>
      </w:r>
      <w:r w:rsidRPr="475BC16C">
        <w:t>]</w:t>
      </w:r>
      <w:r w:rsidR="1BFCD982" w:rsidRPr="475BC16C">
        <w:t xml:space="preserve"> </w:t>
      </w:r>
      <w:r w:rsidRPr="475BC16C">
        <w:t>was responsible for an 18% decrease in the odds of developing an SSI and a 4% cumulative decrease in SSI rates. [</w:t>
      </w:r>
      <w:r w:rsidR="5A63EF5A" w:rsidRPr="475BC16C">
        <w:t>12</w:t>
      </w:r>
      <w:r w:rsidRPr="475BC16C">
        <w:t>]</w:t>
      </w:r>
      <w:r w:rsidR="1BFCD982" w:rsidRPr="475BC16C">
        <w:t xml:space="preserve"> The SCIP bundle consisted of elements including intravenous (IV) antimicrobial prophylaxis consistent with published guidelines, hair removal with clippers instead of razors, blood glucose control, and maintenance of preoperative normothermia. [5]</w:t>
      </w:r>
      <w:r w:rsidR="576BB9E4" w:rsidRPr="475BC16C">
        <w:t xml:space="preserve"> </w:t>
      </w:r>
      <w:r w:rsidR="1BFCD982" w:rsidRPr="475BC16C">
        <w:t>More contemporary bundles consist of additional pre-admission, pre-operative, intra and post-operative elements, several of which are specific to colorectal procedures. These include the use of wound protectors</w:t>
      </w:r>
      <w:r w:rsidR="51796F8B" w:rsidRPr="475BC16C">
        <w:t>, glove changes,</w:t>
      </w:r>
      <w:r w:rsidR="0F6E4291" w:rsidRPr="475BC16C">
        <w:t xml:space="preserve"> and </w:t>
      </w:r>
      <w:r w:rsidR="576BB9E4" w:rsidRPr="475BC16C">
        <w:t xml:space="preserve">a </w:t>
      </w:r>
      <w:r w:rsidR="0F6E4291" w:rsidRPr="475BC16C">
        <w:t>clean instrument tray for wound closure. [1</w:t>
      </w:r>
      <w:r w:rsidR="69597572" w:rsidRPr="475BC16C">
        <w:t>3</w:t>
      </w:r>
      <w:r w:rsidR="32FB02AA" w:rsidRPr="475BC16C">
        <w:t>,1</w:t>
      </w:r>
      <w:r w:rsidR="34799693" w:rsidRPr="475BC16C">
        <w:t>4</w:t>
      </w:r>
      <w:r w:rsidR="0F6E4291" w:rsidRPr="475BC16C">
        <w:t>]</w:t>
      </w:r>
    </w:p>
    <w:p w14:paraId="73089C03" w14:textId="77777777" w:rsidR="005907FC" w:rsidRPr="00BB341A" w:rsidRDefault="005907FC" w:rsidP="005907FC">
      <w:pPr>
        <w:autoSpaceDE w:val="0"/>
        <w:autoSpaceDN w:val="0"/>
        <w:adjustRightInd w:val="0"/>
        <w:spacing w:after="0" w:line="240" w:lineRule="auto"/>
        <w:rPr>
          <w:rFonts w:cstheme="minorHAnsi"/>
        </w:rPr>
      </w:pPr>
    </w:p>
    <w:p w14:paraId="710A47ED" w14:textId="276B28B9" w:rsidR="00774E10" w:rsidRPr="00BB341A" w:rsidRDefault="0F49B5CD" w:rsidP="475BC16C">
      <w:pPr>
        <w:autoSpaceDE w:val="0"/>
        <w:autoSpaceDN w:val="0"/>
        <w:adjustRightInd w:val="0"/>
        <w:spacing w:after="0" w:line="240" w:lineRule="auto"/>
      </w:pPr>
      <w:r w:rsidRPr="475BC16C">
        <w:t>A meta-analysis of 23 studies with pre- and post-implementation data published in 2017 evaluated colorectal surgery SSI prevention bundles. They identified an SSI risk reduction of 44% for superficial SSI, and 34% for organ space SSI with the use of bundles. Bundles with sterile closure trays, mechanical bowel preparation (MBP) with oral antibiotics, and pre-closure glove changes had significantly greater SSI risk reduction.</w:t>
      </w:r>
      <w:r w:rsidR="0F6E4291" w:rsidRPr="475BC16C">
        <w:t xml:space="preserve"> [1</w:t>
      </w:r>
      <w:r w:rsidR="76A15C9E" w:rsidRPr="475BC16C">
        <w:t>5</w:t>
      </w:r>
      <w:r w:rsidR="0F6E4291" w:rsidRPr="475BC16C">
        <w:t>]</w:t>
      </w:r>
      <w:r w:rsidR="77492869" w:rsidRPr="475BC16C">
        <w:t xml:space="preserve"> </w:t>
      </w:r>
      <w:r w:rsidR="6217D32E" w:rsidRPr="475BC16C">
        <w:t>A supplementary analysis focusing on bundle size found that bundles with more than 11 components were responsible for a risk reduction of 63.3%</w:t>
      </w:r>
      <w:r w:rsidR="77492869" w:rsidRPr="475BC16C">
        <w:t>, and these optimal bundles included at least 1 of sterile closure trays, M</w:t>
      </w:r>
      <w:r w:rsidR="10B2F414" w:rsidRPr="475BC16C">
        <w:t>BP</w:t>
      </w:r>
      <w:r w:rsidR="77492869" w:rsidRPr="475BC16C">
        <w:t xml:space="preserve"> with oral </w:t>
      </w:r>
      <w:r w:rsidR="77492869" w:rsidRPr="475BC16C">
        <w:lastRenderedPageBreak/>
        <w:t>antibiotics, and pre-closure glove changes. [1</w:t>
      </w:r>
      <w:r w:rsidR="17268F95" w:rsidRPr="475BC16C">
        <w:t>6</w:t>
      </w:r>
      <w:r w:rsidR="77492869" w:rsidRPr="475BC16C">
        <w:t>]</w:t>
      </w:r>
      <w:r w:rsidR="1F56914A" w:rsidRPr="475BC16C">
        <w:t xml:space="preserve"> </w:t>
      </w:r>
      <w:r w:rsidR="18E5359B" w:rsidRPr="475BC16C">
        <w:t xml:space="preserve">A multimodal bundle, enhanced and amended over years, including application of a </w:t>
      </w:r>
      <w:r w:rsidR="18E5359B" w:rsidRPr="475BC16C">
        <w:rPr>
          <w:rFonts w:eastAsia="+mj-ea"/>
          <w:kern w:val="24"/>
        </w:rPr>
        <w:t>stoma bag prior to dressing (if applied) and 5-day padded Tegaderm dressing</w:t>
      </w:r>
      <w:r w:rsidR="18E5359B" w:rsidRPr="475BC16C">
        <w:t>, significantly reduced SSI in Scotland. [1</w:t>
      </w:r>
      <w:r w:rsidR="74B593F3" w:rsidRPr="475BC16C">
        <w:t>7</w:t>
      </w:r>
      <w:r w:rsidR="18E5359B" w:rsidRPr="475BC16C">
        <w:t xml:space="preserve">] </w:t>
      </w:r>
      <w:r w:rsidR="1F56914A" w:rsidRPr="475BC16C">
        <w:t xml:space="preserve">Most recently, a systematic review also found that </w:t>
      </w:r>
      <w:r w:rsidR="1F56914A" w:rsidRPr="475BC16C">
        <w:rPr>
          <w:color w:val="333333"/>
          <w:shd w:val="clear" w:color="auto" w:fill="FFFFFF"/>
        </w:rPr>
        <w:t>bundles containing ≥11 elements, consisting of both standard of care and new interventions, demonstrated the greatest SSI reduction following colorectal surgery. [1</w:t>
      </w:r>
      <w:r w:rsidR="45C0B696" w:rsidRPr="475BC16C">
        <w:rPr>
          <w:color w:val="333333"/>
          <w:shd w:val="clear" w:color="auto" w:fill="FFFFFF"/>
        </w:rPr>
        <w:t>8</w:t>
      </w:r>
      <w:r w:rsidR="1F56914A" w:rsidRPr="475BC16C">
        <w:rPr>
          <w:color w:val="333333"/>
          <w:shd w:val="clear" w:color="auto" w:fill="FFFFFF"/>
        </w:rPr>
        <w:t>]</w:t>
      </w:r>
    </w:p>
    <w:p w14:paraId="28CDE843" w14:textId="7E541D1D" w:rsidR="00845283" w:rsidRPr="00BB341A" w:rsidRDefault="00845283" w:rsidP="005907FC">
      <w:pPr>
        <w:autoSpaceDE w:val="0"/>
        <w:autoSpaceDN w:val="0"/>
        <w:adjustRightInd w:val="0"/>
        <w:spacing w:after="0" w:line="240" w:lineRule="auto"/>
        <w:rPr>
          <w:rFonts w:cstheme="minorHAnsi"/>
        </w:rPr>
      </w:pPr>
    </w:p>
    <w:p w14:paraId="7BEDEC60" w14:textId="2AD70642" w:rsidR="00845283" w:rsidRPr="00E8522E" w:rsidRDefault="77492869" w:rsidP="0B3A49C8">
      <w:pPr>
        <w:autoSpaceDE w:val="0"/>
        <w:autoSpaceDN w:val="0"/>
        <w:adjustRightInd w:val="0"/>
        <w:spacing w:after="0" w:line="240" w:lineRule="auto"/>
        <w:rPr>
          <w:rFonts w:eastAsia="Times New Roman"/>
          <w:lang w:eastAsia="en-AU"/>
        </w:rPr>
      </w:pPr>
      <w:r w:rsidRPr="0B3A49C8">
        <w:rPr>
          <w:rFonts w:eastAsia="Times New Roman"/>
          <w:lang w:eastAsia="en-AU"/>
        </w:rPr>
        <w:t>Locally, a study of patients undergoing elective left-sided colorectal procedures at Western Health implemented a bundle including 12 components and demonstrated a reduction in organ space SSI from 12.9% to 3.4%. [1</w:t>
      </w:r>
      <w:r w:rsidR="6EA779D7" w:rsidRPr="0B3A49C8">
        <w:rPr>
          <w:rFonts w:eastAsia="Times New Roman"/>
          <w:lang w:eastAsia="en-AU"/>
        </w:rPr>
        <w:t>9</w:t>
      </w:r>
      <w:r w:rsidRPr="0B3A49C8">
        <w:rPr>
          <w:rFonts w:eastAsia="Times New Roman"/>
          <w:lang w:eastAsia="en-AU"/>
        </w:rPr>
        <w:t xml:space="preserve">] </w:t>
      </w:r>
      <w:r w:rsidR="3E91014D" w:rsidRPr="0B3A49C8">
        <w:rPr>
          <w:rFonts w:eastAsia="Times New Roman"/>
          <w:lang w:eastAsia="en-AU"/>
        </w:rPr>
        <w:t xml:space="preserve">Notably, all recent bundles include </w:t>
      </w:r>
      <w:r w:rsidR="542DA215" w:rsidRPr="0B3A49C8">
        <w:rPr>
          <w:rFonts w:eastAsia="Times New Roman"/>
          <w:lang w:eastAsia="en-AU"/>
        </w:rPr>
        <w:t xml:space="preserve">pre-operative </w:t>
      </w:r>
      <w:r w:rsidR="3E91014D" w:rsidRPr="0B3A49C8">
        <w:rPr>
          <w:color w:val="2E2E2E"/>
          <w:shd w:val="clear" w:color="auto" w:fill="FFFFFF"/>
        </w:rPr>
        <w:t>oral antibiotics which are associated with a significant reduction in the risk of surgical</w:t>
      </w:r>
      <w:r w:rsidR="59829D68" w:rsidRPr="0B3A49C8">
        <w:rPr>
          <w:color w:val="2E2E2E"/>
          <w:shd w:val="clear" w:color="auto" w:fill="FFFFFF"/>
        </w:rPr>
        <w:t xml:space="preserve"> </w:t>
      </w:r>
      <w:r w:rsidR="3E91014D" w:rsidRPr="0B3A49C8">
        <w:rPr>
          <w:color w:val="2E2E2E"/>
          <w:shd w:val="clear" w:color="auto" w:fill="FFFFFF"/>
        </w:rPr>
        <w:t xml:space="preserve">site infections compared with no </w:t>
      </w:r>
      <w:r w:rsidR="457F96FD" w:rsidRPr="0B3A49C8">
        <w:rPr>
          <w:color w:val="2E2E2E"/>
          <w:shd w:val="clear" w:color="auto" w:fill="FFFFFF"/>
        </w:rPr>
        <w:t xml:space="preserve">pre-operative </w:t>
      </w:r>
      <w:r w:rsidR="3E91014D" w:rsidRPr="0B3A49C8">
        <w:rPr>
          <w:color w:val="2E2E2E"/>
          <w:shd w:val="clear" w:color="auto" w:fill="FFFFFF"/>
        </w:rPr>
        <w:t>oral antibiotics</w:t>
      </w:r>
      <w:r w:rsidR="10B2F414">
        <w:rPr>
          <w:color w:val="2E2E2E"/>
          <w:shd w:val="clear" w:color="auto" w:fill="FFFFFF"/>
        </w:rPr>
        <w:t xml:space="preserve"> even without mechanical bowel preparation</w:t>
      </w:r>
      <w:r w:rsidR="3E91014D" w:rsidRPr="0B3A49C8">
        <w:rPr>
          <w:color w:val="2E2E2E"/>
          <w:shd w:val="clear" w:color="auto" w:fill="FFFFFF"/>
        </w:rPr>
        <w:t>. [</w:t>
      </w:r>
      <w:r w:rsidR="0DF2DA17" w:rsidRPr="0B3A49C8">
        <w:rPr>
          <w:color w:val="2E2E2E"/>
          <w:shd w:val="clear" w:color="auto" w:fill="FFFFFF"/>
        </w:rPr>
        <w:t>20</w:t>
      </w:r>
      <w:r w:rsidR="4B5B2A35">
        <w:rPr>
          <w:color w:val="2E2E2E"/>
          <w:shd w:val="clear" w:color="auto" w:fill="FFFFFF"/>
        </w:rPr>
        <w:t>-</w:t>
      </w:r>
      <w:r w:rsidR="32B4C619">
        <w:rPr>
          <w:color w:val="2E2E2E"/>
          <w:shd w:val="clear" w:color="auto" w:fill="FFFFFF"/>
        </w:rPr>
        <w:t>22</w:t>
      </w:r>
      <w:r w:rsidR="3E91014D" w:rsidRPr="0B3A49C8">
        <w:rPr>
          <w:color w:val="2E2E2E"/>
          <w:shd w:val="clear" w:color="auto" w:fill="FFFFFF"/>
        </w:rPr>
        <w:t>]</w:t>
      </w:r>
      <w:r w:rsidR="6489D4E0" w:rsidRPr="0B3A49C8">
        <w:rPr>
          <w:color w:val="2E2E2E"/>
          <w:shd w:val="clear" w:color="auto" w:fill="FFFFFF"/>
        </w:rPr>
        <w:t xml:space="preserve"> Importantly, c</w:t>
      </w:r>
      <w:r w:rsidR="6489D4E0" w:rsidRPr="0B3A49C8">
        <w:rPr>
          <w:color w:val="222222"/>
          <w:shd w:val="clear" w:color="auto" w:fill="FFFFFF"/>
        </w:rPr>
        <w:t xml:space="preserve">ombined </w:t>
      </w:r>
      <w:r w:rsidR="494A43E3" w:rsidRPr="0B3A49C8">
        <w:rPr>
          <w:color w:val="222222"/>
          <w:shd w:val="clear" w:color="auto" w:fill="FFFFFF"/>
        </w:rPr>
        <w:t xml:space="preserve">pre-operative oral antibiotics and intravenous antibiotics for surgical antimicrobial prophylaxis are superior </w:t>
      </w:r>
      <w:r w:rsidR="6489D4E0" w:rsidRPr="0B3A49C8">
        <w:rPr>
          <w:color w:val="222222"/>
          <w:shd w:val="clear" w:color="auto" w:fill="FFFFFF"/>
        </w:rPr>
        <w:t>to either alone in preventing SSI</w:t>
      </w:r>
      <w:r w:rsidR="10B2F414">
        <w:rPr>
          <w:color w:val="222222"/>
          <w:shd w:val="clear" w:color="auto" w:fill="FFFFFF"/>
        </w:rPr>
        <w:t>, [</w:t>
      </w:r>
      <w:r w:rsidR="4B5B2A35">
        <w:rPr>
          <w:color w:val="222222"/>
          <w:shd w:val="clear" w:color="auto" w:fill="FFFFFF"/>
        </w:rPr>
        <w:t>2</w:t>
      </w:r>
      <w:r w:rsidR="48228EA1">
        <w:rPr>
          <w:color w:val="222222"/>
          <w:shd w:val="clear" w:color="auto" w:fill="FFFFFF"/>
        </w:rPr>
        <w:t>3</w:t>
      </w:r>
      <w:r w:rsidR="10B2F414">
        <w:rPr>
          <w:color w:val="222222"/>
          <w:shd w:val="clear" w:color="auto" w:fill="FFFFFF"/>
        </w:rPr>
        <w:t xml:space="preserve">] and </w:t>
      </w:r>
      <w:r w:rsidR="10B2F414">
        <w:t>MBP with oral antibiotics is preferable to MBP alone when MBP is used</w:t>
      </w:r>
      <w:r w:rsidR="6489D4E0" w:rsidRPr="0B3A49C8">
        <w:rPr>
          <w:color w:val="222222"/>
          <w:shd w:val="clear" w:color="auto" w:fill="FFFFFF"/>
        </w:rPr>
        <w:t>.</w:t>
      </w:r>
      <w:r w:rsidR="494A43E3" w:rsidRPr="0B3A49C8">
        <w:rPr>
          <w:color w:val="222222"/>
          <w:shd w:val="clear" w:color="auto" w:fill="FFFFFF"/>
        </w:rPr>
        <w:t xml:space="preserve"> </w:t>
      </w:r>
    </w:p>
    <w:p w14:paraId="0395084D" w14:textId="561DF8F0" w:rsidR="475BC16C" w:rsidRDefault="475BC16C" w:rsidP="475BC16C">
      <w:pPr>
        <w:spacing w:after="0" w:line="240" w:lineRule="auto"/>
        <w:rPr>
          <w:color w:val="222222"/>
        </w:rPr>
      </w:pPr>
    </w:p>
    <w:p w14:paraId="74AA62C9" w14:textId="22CC5406" w:rsidR="41CE5636" w:rsidRDefault="41CE5636" w:rsidP="475BC16C">
      <w:pPr>
        <w:spacing w:after="0"/>
        <w:rPr>
          <w:rFonts w:ascii="Calibri" w:eastAsia="Calibri" w:hAnsi="Calibri" w:cs="Calibri"/>
        </w:rPr>
      </w:pPr>
      <w:r w:rsidRPr="475BC16C">
        <w:rPr>
          <w:rFonts w:ascii="Calibri" w:eastAsia="Calibri" w:hAnsi="Calibri" w:cs="Calibri"/>
        </w:rPr>
        <w:t xml:space="preserve">Evidence for gender differences in patients undergoing ERAS programs associated with colorectal surgery are limited. There is no current evidence in support of providing different ERAS bundles for males and females, nor does gender influence adherence to the prescribed ERAS bundle of care. However, studies of colorectal outcomes suggest that men have a higher risk of SSI (20-45%), whilst women tend to experience a faster recovery and shorter length of hospital stay. </w:t>
      </w:r>
      <w:r w:rsidR="00837577">
        <w:rPr>
          <w:rFonts w:ascii="Calibri" w:eastAsia="Calibri" w:hAnsi="Calibri" w:cs="Calibri"/>
        </w:rPr>
        <w:t xml:space="preserve">One study has also found that female surgeons are more likely to consistently use all ERAS elements. </w:t>
      </w:r>
      <w:r w:rsidRPr="475BC16C">
        <w:rPr>
          <w:rFonts w:ascii="Calibri" w:eastAsia="Calibri" w:hAnsi="Calibri" w:cs="Calibri"/>
        </w:rPr>
        <w:t>Despite differences in SSI risk and speed of recovery, both genders benefit proportionately from colorectal ERAS programs.</w:t>
      </w:r>
      <w:r w:rsidR="66F6DEAB" w:rsidRPr="475BC16C">
        <w:rPr>
          <w:rFonts w:ascii="Calibri" w:eastAsia="Calibri" w:hAnsi="Calibri" w:cs="Calibri"/>
        </w:rPr>
        <w:t xml:space="preserve"> [24,25]</w:t>
      </w:r>
    </w:p>
    <w:p w14:paraId="43892520" w14:textId="5691CFD4" w:rsidR="475BC16C" w:rsidRDefault="475BC16C" w:rsidP="475BC16C">
      <w:pPr>
        <w:spacing w:after="0"/>
        <w:rPr>
          <w:rFonts w:ascii="Calibri" w:eastAsia="Calibri" w:hAnsi="Calibri" w:cs="Calibri"/>
        </w:rPr>
      </w:pPr>
    </w:p>
    <w:p w14:paraId="4F5994A7" w14:textId="3B7DB3AE" w:rsidR="475BC16C" w:rsidRDefault="475BC16C" w:rsidP="475BC16C">
      <w:pPr>
        <w:spacing w:after="0" w:line="240" w:lineRule="auto"/>
        <w:rPr>
          <w:color w:val="222222"/>
        </w:rPr>
      </w:pPr>
    </w:p>
    <w:p w14:paraId="3C1BFB4F" w14:textId="5F1BB3A1" w:rsidR="00BB341A" w:rsidRPr="00E8522E" w:rsidRDefault="00BB341A">
      <w:pPr>
        <w:rPr>
          <w:rFonts w:eastAsia="Times New Roman" w:cstheme="minorHAnsi"/>
          <w:lang w:eastAsia="en-AU"/>
        </w:rPr>
      </w:pPr>
      <w:r w:rsidRPr="00E8522E">
        <w:rPr>
          <w:rFonts w:eastAsia="Times New Roman" w:cstheme="minorHAnsi"/>
          <w:lang w:eastAsia="en-AU"/>
        </w:rPr>
        <w:br w:type="page"/>
      </w:r>
    </w:p>
    <w:p w14:paraId="27EC6CA8" w14:textId="4A4C9F38" w:rsidR="00C1619D" w:rsidRPr="003C55E6" w:rsidRDefault="003C55E6" w:rsidP="004A7992">
      <w:pPr>
        <w:rPr>
          <w:rFonts w:cstheme="minorHAnsi"/>
          <w:color w:val="33CCCC"/>
          <w:sz w:val="32"/>
          <w:szCs w:val="32"/>
        </w:rPr>
      </w:pPr>
      <w:r w:rsidRPr="003C55E6">
        <w:rPr>
          <w:rFonts w:cstheme="minorHAnsi"/>
          <w:color w:val="33CCCC"/>
          <w:sz w:val="32"/>
          <w:szCs w:val="32"/>
        </w:rPr>
        <w:lastRenderedPageBreak/>
        <w:t xml:space="preserve">RECOMMENDED </w:t>
      </w:r>
      <w:r w:rsidR="00DC6149">
        <w:rPr>
          <w:rFonts w:cstheme="minorHAnsi"/>
          <w:color w:val="33CCCC"/>
          <w:sz w:val="32"/>
          <w:szCs w:val="32"/>
        </w:rPr>
        <w:t xml:space="preserve">SSI </w:t>
      </w:r>
      <w:r w:rsidR="000D2561">
        <w:rPr>
          <w:rFonts w:cstheme="minorHAnsi"/>
          <w:color w:val="33CCCC"/>
          <w:sz w:val="32"/>
          <w:szCs w:val="32"/>
        </w:rPr>
        <w:t>PREVENTION BUNDLE</w:t>
      </w:r>
      <w:r w:rsidR="00830989" w:rsidRPr="003C55E6">
        <w:rPr>
          <w:rFonts w:cstheme="minorHAnsi"/>
          <w:color w:val="33CCCC"/>
          <w:sz w:val="32"/>
          <w:szCs w:val="32"/>
        </w:rPr>
        <w:t xml:space="preserve"> </w:t>
      </w:r>
      <w:r w:rsidRPr="003C55E6">
        <w:rPr>
          <w:rFonts w:cstheme="minorHAnsi"/>
          <w:color w:val="33CCCC"/>
          <w:sz w:val="32"/>
          <w:szCs w:val="32"/>
        </w:rPr>
        <w:t>FOR VICTORIAN COLORECTAL SURGERY PROGRAMS</w:t>
      </w:r>
    </w:p>
    <w:p w14:paraId="405C7447" w14:textId="77777777" w:rsidR="00466819" w:rsidRDefault="00466819"/>
    <w:p w14:paraId="4343216C" w14:textId="560CC547" w:rsidR="002E3C80" w:rsidRPr="00F55BDD" w:rsidRDefault="002E3C80">
      <w:pPr>
        <w:rPr>
          <w:b/>
          <w:bCs/>
          <w:sz w:val="28"/>
          <w:szCs w:val="28"/>
        </w:rPr>
      </w:pPr>
      <w:r w:rsidRPr="00F55BDD">
        <w:rPr>
          <w:b/>
          <w:bCs/>
          <w:sz w:val="28"/>
          <w:szCs w:val="28"/>
        </w:rPr>
        <w:t>Pre-Admission</w:t>
      </w:r>
    </w:p>
    <w:p w14:paraId="406F91F6" w14:textId="77777777" w:rsidR="00466819" w:rsidRDefault="00466819">
      <w:r>
        <w:t xml:space="preserve">All patients undergoing major colorectal surgery should be screened for modifiable risk factors. </w:t>
      </w:r>
    </w:p>
    <w:p w14:paraId="7ADBB73D" w14:textId="3682B4AF" w:rsidR="00466819" w:rsidRDefault="00466819">
      <w:r>
        <w:t>Some of these modifiable risk factors will impact upon SSI risk</w:t>
      </w:r>
      <w:r w:rsidR="002E3C80">
        <w:t>, for example:</w:t>
      </w:r>
    </w:p>
    <w:p w14:paraId="41D870C6" w14:textId="77777777" w:rsidR="00466819" w:rsidRDefault="00466819"/>
    <w:p w14:paraId="50E188F2" w14:textId="32DC2086" w:rsidR="00466819" w:rsidRPr="000315E6" w:rsidRDefault="00466819" w:rsidP="004C01D4">
      <w:pPr>
        <w:pStyle w:val="ListParagraph"/>
        <w:numPr>
          <w:ilvl w:val="0"/>
          <w:numId w:val="5"/>
        </w:numPr>
        <w:ind w:left="714" w:hanging="357"/>
        <w:rPr>
          <w:rFonts w:asciiTheme="minorHAnsi" w:hAnsiTheme="minorHAnsi" w:cstheme="minorHAnsi"/>
        </w:rPr>
      </w:pPr>
      <w:r w:rsidRPr="000315E6">
        <w:rPr>
          <w:rFonts w:asciiTheme="minorHAnsi" w:hAnsiTheme="minorHAnsi" w:cstheme="minorHAnsi"/>
        </w:rPr>
        <w:t>Smoking cessation</w:t>
      </w:r>
    </w:p>
    <w:p w14:paraId="69E23749" w14:textId="7BE00170" w:rsidR="00702A68" w:rsidRPr="004C01D4" w:rsidRDefault="74B2D72E" w:rsidP="475BC16C">
      <w:pPr>
        <w:pStyle w:val="ListParagraph"/>
        <w:numPr>
          <w:ilvl w:val="0"/>
          <w:numId w:val="5"/>
        </w:numPr>
        <w:ind w:left="714" w:hanging="357"/>
        <w:rPr>
          <w:rFonts w:asciiTheme="minorHAnsi" w:hAnsiTheme="minorHAnsi" w:cstheme="minorBidi"/>
        </w:rPr>
      </w:pPr>
      <w:r w:rsidRPr="475BC16C">
        <w:rPr>
          <w:rFonts w:asciiTheme="minorHAnsi" w:hAnsiTheme="minorHAnsi" w:cstheme="minorBidi"/>
        </w:rPr>
        <w:t>Cessation of h</w:t>
      </w:r>
      <w:r w:rsidR="157E5DFD" w:rsidRPr="475BC16C">
        <w:rPr>
          <w:rFonts w:asciiTheme="minorHAnsi" w:hAnsiTheme="minorHAnsi" w:cstheme="minorBidi"/>
        </w:rPr>
        <w:t>igh a</w:t>
      </w:r>
      <w:r w:rsidR="5CBC8A5D" w:rsidRPr="475BC16C">
        <w:rPr>
          <w:rFonts w:asciiTheme="minorHAnsi" w:hAnsiTheme="minorHAnsi" w:cstheme="minorBidi"/>
        </w:rPr>
        <w:t xml:space="preserve">lcohol </w:t>
      </w:r>
      <w:r w:rsidR="1284757F" w:rsidRPr="475BC16C">
        <w:rPr>
          <w:rFonts w:asciiTheme="minorHAnsi" w:hAnsiTheme="minorHAnsi" w:cstheme="minorBidi"/>
        </w:rPr>
        <w:t>intake</w:t>
      </w:r>
      <w:r w:rsidR="5CBC8A5D" w:rsidRPr="475BC16C">
        <w:rPr>
          <w:rFonts w:asciiTheme="minorHAnsi" w:hAnsiTheme="minorHAnsi" w:cstheme="minorBidi"/>
        </w:rPr>
        <w:t>, ideally 4 weeks prior to surgery</w:t>
      </w:r>
    </w:p>
    <w:p w14:paraId="0E7904B2" w14:textId="3AE5D4A7" w:rsidR="00466819" w:rsidRPr="000315E6" w:rsidRDefault="5DC99C9F" w:rsidP="475BC16C">
      <w:pPr>
        <w:pStyle w:val="ListParagraph"/>
        <w:numPr>
          <w:ilvl w:val="0"/>
          <w:numId w:val="5"/>
        </w:numPr>
        <w:ind w:left="714" w:hanging="357"/>
        <w:rPr>
          <w:rFonts w:asciiTheme="minorHAnsi" w:hAnsiTheme="minorHAnsi" w:cstheme="minorBidi"/>
        </w:rPr>
      </w:pPr>
      <w:r w:rsidRPr="475BC16C">
        <w:rPr>
          <w:rFonts w:asciiTheme="minorHAnsi" w:hAnsiTheme="minorHAnsi" w:cstheme="minorBidi"/>
        </w:rPr>
        <w:t xml:space="preserve">Enhancing </w:t>
      </w:r>
      <w:r w:rsidR="359CB0F7" w:rsidRPr="475BC16C">
        <w:rPr>
          <w:rFonts w:asciiTheme="minorHAnsi" w:hAnsiTheme="minorHAnsi" w:cstheme="minorBidi"/>
        </w:rPr>
        <w:t>d</w:t>
      </w:r>
      <w:r w:rsidR="0AE89C96" w:rsidRPr="475BC16C">
        <w:rPr>
          <w:rFonts w:asciiTheme="minorHAnsi" w:hAnsiTheme="minorHAnsi" w:cstheme="minorBidi"/>
        </w:rPr>
        <w:t>iabetes control (HbA1C &lt;7%)</w:t>
      </w:r>
    </w:p>
    <w:p w14:paraId="532E96B7" w14:textId="3F7B9613" w:rsidR="00466819" w:rsidRPr="000315E6" w:rsidRDefault="00911CB9" w:rsidP="004C01D4">
      <w:pPr>
        <w:pStyle w:val="ListParagraph"/>
        <w:numPr>
          <w:ilvl w:val="0"/>
          <w:numId w:val="5"/>
        </w:numPr>
        <w:ind w:left="714" w:hanging="357"/>
        <w:rPr>
          <w:rFonts w:asciiTheme="minorHAnsi" w:hAnsiTheme="minorHAnsi" w:cstheme="minorHAnsi"/>
        </w:rPr>
      </w:pPr>
      <w:r w:rsidRPr="000315E6">
        <w:rPr>
          <w:rFonts w:asciiTheme="minorHAnsi" w:hAnsiTheme="minorHAnsi" w:cstheme="minorHAnsi"/>
        </w:rPr>
        <w:t>Correction of m</w:t>
      </w:r>
      <w:r w:rsidR="00466819" w:rsidRPr="000315E6">
        <w:rPr>
          <w:rFonts w:asciiTheme="minorHAnsi" w:hAnsiTheme="minorHAnsi" w:cstheme="minorHAnsi"/>
        </w:rPr>
        <w:t>alnutrition</w:t>
      </w:r>
    </w:p>
    <w:p w14:paraId="279C683A" w14:textId="352EFD6E" w:rsidR="00466819" w:rsidRDefault="5DC99C9F" w:rsidP="475BC16C">
      <w:pPr>
        <w:pStyle w:val="ListParagraph"/>
        <w:numPr>
          <w:ilvl w:val="0"/>
          <w:numId w:val="5"/>
        </w:numPr>
        <w:ind w:left="714" w:hanging="357"/>
        <w:rPr>
          <w:rFonts w:asciiTheme="minorHAnsi" w:hAnsiTheme="minorHAnsi" w:cstheme="minorBidi"/>
        </w:rPr>
      </w:pPr>
      <w:r w:rsidRPr="475BC16C">
        <w:rPr>
          <w:rFonts w:asciiTheme="minorHAnsi" w:hAnsiTheme="minorHAnsi" w:cstheme="minorBidi"/>
        </w:rPr>
        <w:t>Correction of a</w:t>
      </w:r>
      <w:r w:rsidR="0AE89C96" w:rsidRPr="475BC16C">
        <w:rPr>
          <w:rFonts w:asciiTheme="minorHAnsi" w:hAnsiTheme="minorHAnsi" w:cstheme="minorBidi"/>
        </w:rPr>
        <w:t xml:space="preserve">naemia and </w:t>
      </w:r>
      <w:r w:rsidR="1DDA546B" w:rsidRPr="475BC16C">
        <w:rPr>
          <w:rFonts w:asciiTheme="minorHAnsi" w:hAnsiTheme="minorHAnsi" w:cstheme="minorBidi"/>
        </w:rPr>
        <w:t>i</w:t>
      </w:r>
      <w:r w:rsidR="0AE89C96" w:rsidRPr="475BC16C">
        <w:rPr>
          <w:rFonts w:asciiTheme="minorHAnsi" w:hAnsiTheme="minorHAnsi" w:cstheme="minorBidi"/>
        </w:rPr>
        <w:t xml:space="preserve">ron </w:t>
      </w:r>
      <w:r w:rsidR="09B447A6" w:rsidRPr="475BC16C">
        <w:rPr>
          <w:rFonts w:asciiTheme="minorHAnsi" w:hAnsiTheme="minorHAnsi" w:cstheme="minorBidi"/>
        </w:rPr>
        <w:t>d</w:t>
      </w:r>
      <w:r w:rsidR="0AE89C96" w:rsidRPr="475BC16C">
        <w:rPr>
          <w:rFonts w:asciiTheme="minorHAnsi" w:hAnsiTheme="minorHAnsi" w:cstheme="minorBidi"/>
        </w:rPr>
        <w:t>eficiency</w:t>
      </w:r>
    </w:p>
    <w:p w14:paraId="35B98BAA" w14:textId="716EFB92" w:rsidR="00466819" w:rsidRDefault="00702A68" w:rsidP="004C01D4">
      <w:pPr>
        <w:pStyle w:val="ListParagraph"/>
        <w:numPr>
          <w:ilvl w:val="0"/>
          <w:numId w:val="5"/>
        </w:numPr>
        <w:ind w:left="714" w:hanging="357"/>
        <w:rPr>
          <w:rFonts w:asciiTheme="minorHAnsi" w:hAnsiTheme="minorHAnsi" w:cstheme="minorHAnsi"/>
        </w:rPr>
      </w:pPr>
      <w:r>
        <w:rPr>
          <w:rFonts w:asciiTheme="minorHAnsi" w:hAnsiTheme="minorHAnsi" w:cstheme="minorHAnsi"/>
        </w:rPr>
        <w:t>Infection control screening</w:t>
      </w:r>
    </w:p>
    <w:p w14:paraId="689CCC10" w14:textId="77777777" w:rsidR="00702A68" w:rsidRPr="000315E6" w:rsidRDefault="00702A68" w:rsidP="004C01D4">
      <w:pPr>
        <w:pStyle w:val="ListParagraph"/>
        <w:numPr>
          <w:ilvl w:val="0"/>
          <w:numId w:val="5"/>
        </w:numPr>
        <w:ind w:left="714" w:hanging="357"/>
        <w:rPr>
          <w:rFonts w:asciiTheme="minorHAnsi" w:hAnsiTheme="minorHAnsi" w:cstheme="minorHAnsi"/>
        </w:rPr>
      </w:pPr>
      <w:r w:rsidRPr="000315E6">
        <w:rPr>
          <w:rFonts w:asciiTheme="minorHAnsi" w:hAnsiTheme="minorHAnsi" w:cstheme="minorHAnsi"/>
        </w:rPr>
        <w:t>Obesity</w:t>
      </w:r>
    </w:p>
    <w:p w14:paraId="49B61051" w14:textId="3EEB310D" w:rsidR="00702A68" w:rsidRPr="00702A68" w:rsidRDefault="5CBC8A5D" w:rsidP="475BC16C">
      <w:pPr>
        <w:pStyle w:val="ListParagraph"/>
        <w:numPr>
          <w:ilvl w:val="0"/>
          <w:numId w:val="5"/>
        </w:numPr>
        <w:ind w:left="714" w:hanging="357"/>
        <w:rPr>
          <w:rFonts w:asciiTheme="minorHAnsi" w:hAnsiTheme="minorHAnsi" w:cstheme="minorBidi"/>
        </w:rPr>
      </w:pPr>
      <w:r w:rsidRPr="475BC16C">
        <w:rPr>
          <w:rFonts w:asciiTheme="minorHAnsi" w:hAnsiTheme="minorHAnsi" w:cstheme="minorBidi"/>
        </w:rPr>
        <w:t>Comorbid</w:t>
      </w:r>
      <w:r w:rsidR="3F5D9EE4" w:rsidRPr="475BC16C">
        <w:rPr>
          <w:rFonts w:asciiTheme="minorHAnsi" w:hAnsiTheme="minorHAnsi" w:cstheme="minorBidi"/>
        </w:rPr>
        <w:t xml:space="preserve"> disease</w:t>
      </w:r>
      <w:r w:rsidRPr="475BC16C">
        <w:rPr>
          <w:rFonts w:asciiTheme="minorHAnsi" w:hAnsiTheme="minorHAnsi" w:cstheme="minorBidi"/>
        </w:rPr>
        <w:t xml:space="preserve"> management</w:t>
      </w:r>
    </w:p>
    <w:p w14:paraId="1D42337C" w14:textId="32CC2B5F" w:rsidR="00466819" w:rsidRPr="000315E6" w:rsidRDefault="00466819" w:rsidP="00702A68">
      <w:pPr>
        <w:pStyle w:val="ListParagraph"/>
        <w:spacing w:line="360" w:lineRule="auto"/>
        <w:rPr>
          <w:rFonts w:asciiTheme="minorHAnsi" w:hAnsiTheme="minorHAnsi" w:cstheme="minorHAnsi"/>
        </w:rPr>
      </w:pPr>
    </w:p>
    <w:p w14:paraId="5D3FA488" w14:textId="6D9D5461" w:rsidR="00911CB9" w:rsidRDefault="00911CB9"/>
    <w:p w14:paraId="735D1A99" w14:textId="0896CAFC" w:rsidR="002E3C80" w:rsidRPr="00847E4B" w:rsidRDefault="002E3C80">
      <w:pPr>
        <w:rPr>
          <w:rFonts w:cstheme="minorHAnsi"/>
        </w:rPr>
      </w:pPr>
      <w:r>
        <w:t>The time available before surg</w:t>
      </w:r>
      <w:r w:rsidR="00F55BDD">
        <w:t>ery</w:t>
      </w:r>
      <w:r>
        <w:t xml:space="preserve"> to optimise risk factors and offer prehabilitation will vary according to the clinical presentation, </w:t>
      </w:r>
      <w:r w:rsidR="00F55BDD">
        <w:t xml:space="preserve">and the urgency of the </w:t>
      </w:r>
      <w:r>
        <w:t xml:space="preserve">planned management of colorectal pathology. The earlier a patient requiring major colorectal surgery, particularly the higher risk patient, is referred to a high-risk clinic for assessment, the longer the time available to modify risk factors and enable the patient to prepare for their surgery. Ideally, patients likely to require major colorectal surgery </w:t>
      </w:r>
      <w:r w:rsidRPr="00847E4B">
        <w:rPr>
          <w:rFonts w:cstheme="minorHAnsi"/>
        </w:rPr>
        <w:t>should be referred at diagnosis, rather than awaiting the decision of a</w:t>
      </w:r>
      <w:r w:rsidR="000315E6" w:rsidRPr="00847E4B">
        <w:rPr>
          <w:rFonts w:cstheme="minorHAnsi"/>
        </w:rPr>
        <w:t xml:space="preserve"> multidisciplinary meeting</w:t>
      </w:r>
      <w:r w:rsidRPr="00847E4B">
        <w:rPr>
          <w:rFonts w:cstheme="minorHAnsi"/>
        </w:rPr>
        <w:t xml:space="preserve"> or scheduling for surgery.</w:t>
      </w:r>
      <w:r w:rsidR="00847E4B" w:rsidRPr="00847E4B">
        <w:rPr>
          <w:rFonts w:cstheme="minorHAnsi"/>
        </w:rPr>
        <w:t xml:space="preserve"> </w:t>
      </w:r>
      <w:r w:rsidR="00847E4B" w:rsidRPr="00847E4B">
        <w:rPr>
          <w:rFonts w:eastAsia="Times New Roman" w:cstheme="minorHAnsi"/>
        </w:rPr>
        <w:t xml:space="preserve">The in-patient admission process should include relevant questions to identify patients at risk of colonisation with multidrug-resistant organisms who </w:t>
      </w:r>
      <w:r w:rsidR="002E35D2">
        <w:rPr>
          <w:rFonts w:eastAsia="Times New Roman" w:cstheme="minorHAnsi"/>
        </w:rPr>
        <w:t xml:space="preserve">may </w:t>
      </w:r>
      <w:r w:rsidR="00847E4B" w:rsidRPr="00847E4B">
        <w:rPr>
          <w:rFonts w:eastAsia="Times New Roman" w:cstheme="minorHAnsi"/>
        </w:rPr>
        <w:t>require pre-emptive isolation and screening</w:t>
      </w:r>
      <w:r w:rsidR="00847E4B" w:rsidRPr="00847E4B">
        <w:rPr>
          <w:rFonts w:cstheme="minorHAnsi"/>
        </w:rPr>
        <w:t xml:space="preserve">. </w:t>
      </w:r>
      <w:r w:rsidR="00847E4B">
        <w:rPr>
          <w:rFonts w:cstheme="minorHAnsi"/>
        </w:rPr>
        <w:t>[</w:t>
      </w:r>
      <w:r w:rsidR="006F4AF9">
        <w:rPr>
          <w:rFonts w:cstheme="minorHAnsi"/>
        </w:rPr>
        <w:t>26</w:t>
      </w:r>
      <w:r w:rsidR="00847E4B">
        <w:rPr>
          <w:rFonts w:cstheme="minorHAnsi"/>
        </w:rPr>
        <w:t>]</w:t>
      </w:r>
    </w:p>
    <w:p w14:paraId="6EB6871D" w14:textId="7B46E8DD" w:rsidR="002E3C80" w:rsidRDefault="002E3C80"/>
    <w:p w14:paraId="6A605986" w14:textId="0EBF7270" w:rsidR="0017786E" w:rsidRDefault="002E35D2">
      <w:pPr>
        <w:rPr>
          <w:b/>
          <w:bCs/>
          <w:sz w:val="28"/>
          <w:szCs w:val="28"/>
        </w:rPr>
      </w:pPr>
      <w:r>
        <w:rPr>
          <w:b/>
          <w:bCs/>
          <w:sz w:val="28"/>
          <w:szCs w:val="28"/>
        </w:rPr>
        <w:t>Peri-operative Bundles of Care</w:t>
      </w:r>
    </w:p>
    <w:p w14:paraId="04B61CC3" w14:textId="77777777" w:rsidR="002E35D2" w:rsidRDefault="002E35D2" w:rsidP="002E35D2">
      <w:r>
        <w:t xml:space="preserve">The tables below outline the recommended bundle elements before, during and after surgery. Core elements for SSI prevention, defined as those where there is confidence that the benefits of the intervention outweigh the risks, are presented in table 1. Conditional elements for SSI prevention, those where the benefits of the intervention probably outweigh the risks, are displayed in table 2. [27] Table 3 includes ERAS elements for enhanced recovery. </w:t>
      </w:r>
    </w:p>
    <w:p w14:paraId="3792F889" w14:textId="178E50C8" w:rsidR="0017786E" w:rsidRDefault="0017786E">
      <w:r w:rsidRPr="0017786E">
        <w:t xml:space="preserve">Compliance of </w:t>
      </w:r>
      <w:r w:rsidRPr="0017786E">
        <w:rPr>
          <w:rFonts w:cstheme="minorHAnsi"/>
        </w:rPr>
        <w:t>≥</w:t>
      </w:r>
      <w:r w:rsidRPr="0017786E">
        <w:t>80% with bundle elements is recommended</w:t>
      </w:r>
      <w:r>
        <w:t>.</w:t>
      </w:r>
      <w:r w:rsidR="00B84C4D">
        <w:t xml:space="preserve"> [2</w:t>
      </w:r>
      <w:r w:rsidR="006F4AF9">
        <w:t>8</w:t>
      </w:r>
      <w:r w:rsidR="00B84C4D">
        <w:t>]</w:t>
      </w:r>
    </w:p>
    <w:p w14:paraId="5832941C" w14:textId="77777777" w:rsidR="00B84C4D" w:rsidRDefault="0017786E">
      <w:r>
        <w:lastRenderedPageBreak/>
        <w:t xml:space="preserve">At the individual health service level, assessment of compliance with individual bundle elements is strongly recommended. </w:t>
      </w:r>
    </w:p>
    <w:p w14:paraId="1DC96D0D" w14:textId="41FE6073" w:rsidR="002E3C80" w:rsidRPr="0017786E" w:rsidRDefault="00B84C4D">
      <w:r>
        <w:t xml:space="preserve">Explanatory notes have been provided to assist with local implementation. </w:t>
      </w:r>
      <w:r w:rsidR="002E3C80" w:rsidRPr="0017786E">
        <w:br w:type="page"/>
      </w:r>
    </w:p>
    <w:p w14:paraId="751F1995" w14:textId="71A44795" w:rsidR="002E3C80" w:rsidRDefault="00790597">
      <w:pPr>
        <w:rPr>
          <w:color w:val="33CCCC"/>
          <w:sz w:val="32"/>
          <w:szCs w:val="32"/>
        </w:rPr>
      </w:pPr>
      <w:r w:rsidRPr="00790597">
        <w:rPr>
          <w:color w:val="33CCCC"/>
          <w:sz w:val="32"/>
          <w:szCs w:val="32"/>
        </w:rPr>
        <w:lastRenderedPageBreak/>
        <w:t>Table 1 Core elements for SSI prevention</w:t>
      </w:r>
    </w:p>
    <w:tbl>
      <w:tblPr>
        <w:tblStyle w:val="TableGrid"/>
        <w:tblW w:w="10343" w:type="dxa"/>
        <w:tblLook w:val="04A0" w:firstRow="1" w:lastRow="0" w:firstColumn="1" w:lastColumn="0" w:noHBand="0" w:noVBand="1"/>
      </w:tblPr>
      <w:tblGrid>
        <w:gridCol w:w="1838"/>
        <w:gridCol w:w="4678"/>
        <w:gridCol w:w="3827"/>
      </w:tblGrid>
      <w:tr w:rsidR="002E3C80" w14:paraId="5F279E20" w14:textId="77777777" w:rsidTr="003F282C">
        <w:tc>
          <w:tcPr>
            <w:tcW w:w="1838" w:type="dxa"/>
            <w:shd w:val="clear" w:color="auto" w:fill="D9D9D9" w:themeFill="background1" w:themeFillShade="D9"/>
            <w:vAlign w:val="bottom"/>
          </w:tcPr>
          <w:p w14:paraId="4DD341B5" w14:textId="73871B50" w:rsidR="002E3C80" w:rsidRPr="005E72D8" w:rsidRDefault="002E3C80" w:rsidP="00C8637F">
            <w:pPr>
              <w:spacing w:after="80"/>
              <w:rPr>
                <w:b/>
                <w:bCs/>
                <w:sz w:val="24"/>
                <w:szCs w:val="24"/>
              </w:rPr>
            </w:pPr>
            <w:r w:rsidRPr="005E72D8">
              <w:rPr>
                <w:b/>
                <w:bCs/>
                <w:sz w:val="24"/>
                <w:szCs w:val="24"/>
              </w:rPr>
              <w:t>Bundle Element</w:t>
            </w:r>
            <w:r w:rsidR="00DC6149" w:rsidRPr="005E72D8">
              <w:rPr>
                <w:b/>
                <w:bCs/>
                <w:sz w:val="24"/>
                <w:szCs w:val="24"/>
              </w:rPr>
              <w:t>s</w:t>
            </w:r>
          </w:p>
        </w:tc>
        <w:tc>
          <w:tcPr>
            <w:tcW w:w="4678" w:type="dxa"/>
            <w:shd w:val="clear" w:color="auto" w:fill="D9D9D9" w:themeFill="background1" w:themeFillShade="D9"/>
            <w:vAlign w:val="bottom"/>
          </w:tcPr>
          <w:p w14:paraId="3C8C9C23" w14:textId="77262D73" w:rsidR="002E3C80" w:rsidRPr="005E72D8" w:rsidRDefault="004865A1" w:rsidP="00C8637F">
            <w:pPr>
              <w:spacing w:after="80"/>
              <w:rPr>
                <w:b/>
                <w:bCs/>
                <w:sz w:val="24"/>
                <w:szCs w:val="24"/>
              </w:rPr>
            </w:pPr>
            <w:r w:rsidRPr="005E72D8">
              <w:rPr>
                <w:b/>
                <w:bCs/>
                <w:sz w:val="24"/>
                <w:szCs w:val="24"/>
              </w:rPr>
              <w:t>Core elements for SSI prevention</w:t>
            </w:r>
          </w:p>
        </w:tc>
        <w:tc>
          <w:tcPr>
            <w:tcW w:w="3827" w:type="dxa"/>
            <w:shd w:val="clear" w:color="auto" w:fill="D9D9D9" w:themeFill="background1" w:themeFillShade="D9"/>
            <w:vAlign w:val="bottom"/>
          </w:tcPr>
          <w:p w14:paraId="794ECD51" w14:textId="10E281D1" w:rsidR="002E3C80" w:rsidRPr="005E72D8" w:rsidRDefault="1F46C8F6" w:rsidP="00C8637F">
            <w:pPr>
              <w:spacing w:after="80"/>
              <w:rPr>
                <w:b/>
                <w:bCs/>
                <w:sz w:val="24"/>
                <w:szCs w:val="24"/>
              </w:rPr>
            </w:pPr>
            <w:r w:rsidRPr="691898F8">
              <w:rPr>
                <w:b/>
                <w:bCs/>
                <w:sz w:val="24"/>
                <w:szCs w:val="24"/>
              </w:rPr>
              <w:t xml:space="preserve">Explanatory Notes &amp; </w:t>
            </w:r>
            <w:r w:rsidR="35178AB1" w:rsidRPr="691898F8">
              <w:rPr>
                <w:b/>
                <w:bCs/>
                <w:sz w:val="24"/>
                <w:szCs w:val="24"/>
              </w:rPr>
              <w:t>Considerations for implementation</w:t>
            </w:r>
          </w:p>
        </w:tc>
      </w:tr>
      <w:tr w:rsidR="005E72D8" w14:paraId="442D18B9" w14:textId="77777777" w:rsidTr="003F282C">
        <w:trPr>
          <w:trHeight w:val="1326"/>
        </w:trPr>
        <w:tc>
          <w:tcPr>
            <w:tcW w:w="1838" w:type="dxa"/>
            <w:vMerge w:val="restart"/>
          </w:tcPr>
          <w:p w14:paraId="0DEA1BA7" w14:textId="732F5224" w:rsidR="005E72D8" w:rsidRPr="005E72D8" w:rsidRDefault="005E72D8" w:rsidP="00615A56">
            <w:pPr>
              <w:spacing w:after="80"/>
              <w:rPr>
                <w:b/>
                <w:bCs/>
                <w:sz w:val="24"/>
                <w:szCs w:val="24"/>
              </w:rPr>
            </w:pPr>
            <w:r w:rsidRPr="005E72D8">
              <w:rPr>
                <w:b/>
                <w:bCs/>
                <w:sz w:val="24"/>
                <w:szCs w:val="24"/>
              </w:rPr>
              <w:t>Before Surgery</w:t>
            </w:r>
          </w:p>
        </w:tc>
        <w:tc>
          <w:tcPr>
            <w:tcW w:w="4678" w:type="dxa"/>
          </w:tcPr>
          <w:p w14:paraId="03B34590" w14:textId="4528E465" w:rsidR="008337C9" w:rsidRDefault="005E72D8" w:rsidP="008337C9">
            <w:pPr>
              <w:spacing w:after="80"/>
            </w:pPr>
            <w:r>
              <w:t>Oral antibiotics</w:t>
            </w:r>
            <w:r w:rsidR="008337C9">
              <w:t>: neomycin &amp; metronidazole</w:t>
            </w:r>
          </w:p>
          <w:p w14:paraId="693389F7" w14:textId="51E56D57" w:rsidR="005E72D8" w:rsidRDefault="005E72D8" w:rsidP="008337C9">
            <w:pPr>
              <w:spacing w:after="80"/>
            </w:pPr>
            <w:r>
              <w:t>If neomycin unavailable, use t</w:t>
            </w:r>
            <w:r w:rsidRPr="4D9F0599">
              <w:t xml:space="preserve">rimethoprim/sulfamethoxazole </w:t>
            </w:r>
            <w:r w:rsidR="008337C9">
              <w:t>&amp;</w:t>
            </w:r>
            <w:r>
              <w:t xml:space="preserve"> metronidazole</w:t>
            </w:r>
          </w:p>
        </w:tc>
        <w:tc>
          <w:tcPr>
            <w:tcW w:w="3827" w:type="dxa"/>
          </w:tcPr>
          <w:p w14:paraId="23169930" w14:textId="7A2E249E" w:rsidR="008337C9" w:rsidRDefault="4B5B2A35" w:rsidP="008337C9">
            <w:pPr>
              <w:spacing w:after="80"/>
            </w:pPr>
            <w:r>
              <w:t xml:space="preserve">Patients should be prescribed oral neomycin 1g </w:t>
            </w:r>
            <w:r w:rsidR="09DCBDC2">
              <w:t>&amp;</w:t>
            </w:r>
            <w:r>
              <w:t xml:space="preserve"> metronidazole 400mg at</w:t>
            </w:r>
            <w:r w:rsidR="69C898EB">
              <w:t xml:space="preserve"> </w:t>
            </w:r>
            <w:r w:rsidR="2E987415">
              <w:t>4-hour</w:t>
            </w:r>
            <w:r w:rsidR="69C898EB">
              <w:t xml:space="preserve"> intervals</w:t>
            </w:r>
            <w:r>
              <w:t xml:space="preserve"> </w:t>
            </w:r>
            <w:r w:rsidR="5CAC9D11">
              <w:t xml:space="preserve">(for </w:t>
            </w:r>
            <w:r w:rsidR="00847E4B">
              <w:t>example,</w:t>
            </w:r>
            <w:r w:rsidR="5CAC9D11">
              <w:t xml:space="preserve"> </w:t>
            </w:r>
            <w:r w:rsidR="290A75DA">
              <w:t>2-</w:t>
            </w:r>
            <w:r w:rsidR="5549E804">
              <w:t>3</w:t>
            </w:r>
            <w:r w:rsidR="3596C525">
              <w:t xml:space="preserve"> </w:t>
            </w:r>
            <w:r w:rsidR="5549E804">
              <w:t>p</w:t>
            </w:r>
            <w:r w:rsidR="709ED1B3">
              <w:t>.</w:t>
            </w:r>
            <w:r w:rsidR="5549E804">
              <w:t>m</w:t>
            </w:r>
            <w:r w:rsidR="7A50E65F">
              <w:t>.</w:t>
            </w:r>
            <w:r w:rsidR="5549E804">
              <w:t>,</w:t>
            </w:r>
            <w:r>
              <w:t xml:space="preserve"> </w:t>
            </w:r>
            <w:r w:rsidR="5803B950">
              <w:t>6-</w:t>
            </w:r>
            <w:r w:rsidR="5BA9325B">
              <w:t>7</w:t>
            </w:r>
            <w:r w:rsidR="22FEC3DC">
              <w:t xml:space="preserve"> </w:t>
            </w:r>
            <w:r w:rsidR="5549E804">
              <w:t>p</w:t>
            </w:r>
            <w:r w:rsidR="77325AD0">
              <w:t>.</w:t>
            </w:r>
            <w:r w:rsidR="5549E804">
              <w:t>m</w:t>
            </w:r>
            <w:r w:rsidR="37C7E5D4">
              <w:t>.</w:t>
            </w:r>
            <w:r>
              <w:t xml:space="preserve"> and 10</w:t>
            </w:r>
            <w:r w:rsidR="590F6850">
              <w:t>-</w:t>
            </w:r>
            <w:r w:rsidR="029D9502">
              <w:t>11</w:t>
            </w:r>
            <w:r w:rsidR="156EFCAD">
              <w:t xml:space="preserve"> </w:t>
            </w:r>
            <w:r w:rsidR="5549E804">
              <w:t>p</w:t>
            </w:r>
            <w:r w:rsidR="586CD0D1">
              <w:t>.</w:t>
            </w:r>
            <w:r w:rsidR="5549E804">
              <w:t>m</w:t>
            </w:r>
            <w:r w:rsidR="058807CA">
              <w:t>.</w:t>
            </w:r>
            <w:r w:rsidR="01AB8780">
              <w:t>)</w:t>
            </w:r>
            <w:r w:rsidR="11D64725">
              <w:t xml:space="preserve"> </w:t>
            </w:r>
            <w:r>
              <w:t>on the day prior to surgery</w:t>
            </w:r>
            <w:r w:rsidR="09DCBDC2">
              <w:t xml:space="preserve"> (total dose</w:t>
            </w:r>
            <w:r w:rsidR="1DD67AB0">
              <w:t xml:space="preserve">: </w:t>
            </w:r>
            <w:r w:rsidR="09DCBDC2">
              <w:t xml:space="preserve">neomycin </w:t>
            </w:r>
            <w:r w:rsidR="09DCBDC2" w:rsidRPr="0083290B">
              <w:rPr>
                <w:shd w:val="clear" w:color="auto" w:fill="FFFFFF" w:themeFill="background1"/>
              </w:rPr>
              <w:t>3</w:t>
            </w:r>
            <w:r w:rsidR="08DE0480" w:rsidRPr="0083290B">
              <w:rPr>
                <w:shd w:val="clear" w:color="auto" w:fill="FFFFFF" w:themeFill="background1"/>
              </w:rPr>
              <w:t>g</w:t>
            </w:r>
            <w:r w:rsidR="09DCBDC2" w:rsidRPr="00032544">
              <w:rPr>
                <w:shd w:val="clear" w:color="auto" w:fill="FFFFFF" w:themeFill="background1"/>
              </w:rPr>
              <w:t xml:space="preserve"> </w:t>
            </w:r>
            <w:r w:rsidR="09DCBDC2">
              <w:t>and metronidazole 1</w:t>
            </w:r>
            <w:r w:rsidR="4A7646AB">
              <w:t>.2</w:t>
            </w:r>
            <w:r w:rsidR="09DCBDC2">
              <w:t>g)</w:t>
            </w:r>
          </w:p>
          <w:p w14:paraId="7940C0B0" w14:textId="59E7DCB7" w:rsidR="005E72D8" w:rsidRDefault="09DCBDC2" w:rsidP="00615A56">
            <w:pPr>
              <w:spacing w:after="80"/>
            </w:pPr>
            <w:r>
              <w:t>Trimethoprim/sulfamethoxazole 160mg/800mg</w:t>
            </w:r>
            <w:r w:rsidR="57B48269">
              <w:t xml:space="preserve"> should be prescribed at 6</w:t>
            </w:r>
            <w:r w:rsidR="3DCF1111">
              <w:t xml:space="preserve"> </w:t>
            </w:r>
            <w:r w:rsidR="289F85FB">
              <w:t>a.m.</w:t>
            </w:r>
            <w:r w:rsidR="57B48269">
              <w:t xml:space="preserve"> on the day of surgery for morning cases and at 11</w:t>
            </w:r>
            <w:r w:rsidR="619299F1">
              <w:t xml:space="preserve"> a.m.</w:t>
            </w:r>
            <w:r w:rsidR="45CB3E7A">
              <w:t xml:space="preserve"> for afternoon cases.</w:t>
            </w:r>
          </w:p>
        </w:tc>
      </w:tr>
      <w:tr w:rsidR="005E72D8" w14:paraId="5766BE8F" w14:textId="77777777" w:rsidTr="003F282C">
        <w:tc>
          <w:tcPr>
            <w:tcW w:w="1838" w:type="dxa"/>
            <w:vMerge/>
          </w:tcPr>
          <w:p w14:paraId="111A438E" w14:textId="77777777" w:rsidR="005E72D8" w:rsidRPr="005E72D8" w:rsidRDefault="005E72D8" w:rsidP="00615A56">
            <w:pPr>
              <w:spacing w:after="80"/>
              <w:rPr>
                <w:sz w:val="24"/>
                <w:szCs w:val="24"/>
              </w:rPr>
            </w:pPr>
          </w:p>
        </w:tc>
        <w:tc>
          <w:tcPr>
            <w:tcW w:w="4678" w:type="dxa"/>
          </w:tcPr>
          <w:p w14:paraId="379E69F7" w14:textId="55B8749C" w:rsidR="005E72D8" w:rsidRDefault="005E72D8" w:rsidP="00615A56">
            <w:pPr>
              <w:spacing w:after="80"/>
            </w:pPr>
            <w:r>
              <w:t>+/- Mechanical Bowel Preparation (MBP)</w:t>
            </w:r>
          </w:p>
        </w:tc>
        <w:tc>
          <w:tcPr>
            <w:tcW w:w="3827" w:type="dxa"/>
          </w:tcPr>
          <w:p w14:paraId="5353F83B" w14:textId="70467088" w:rsidR="005E72D8" w:rsidRDefault="005E72D8" w:rsidP="00615A56">
            <w:pPr>
              <w:spacing w:after="80"/>
            </w:pPr>
          </w:p>
        </w:tc>
      </w:tr>
      <w:tr w:rsidR="005E72D8" w14:paraId="354EB13E" w14:textId="77777777" w:rsidTr="003F282C">
        <w:tc>
          <w:tcPr>
            <w:tcW w:w="1838" w:type="dxa"/>
            <w:vMerge/>
          </w:tcPr>
          <w:p w14:paraId="0ED74414" w14:textId="77777777" w:rsidR="005E72D8" w:rsidRPr="005E72D8" w:rsidRDefault="005E72D8" w:rsidP="00615A56">
            <w:pPr>
              <w:spacing w:after="80"/>
              <w:rPr>
                <w:sz w:val="24"/>
                <w:szCs w:val="24"/>
              </w:rPr>
            </w:pPr>
          </w:p>
        </w:tc>
        <w:tc>
          <w:tcPr>
            <w:tcW w:w="4678" w:type="dxa"/>
          </w:tcPr>
          <w:p w14:paraId="735B6A09" w14:textId="1BBC8BE9" w:rsidR="005E72D8" w:rsidRDefault="005E72D8" w:rsidP="00615A56">
            <w:pPr>
              <w:spacing w:after="80"/>
            </w:pPr>
            <w:r>
              <w:t>Pre-warming</w:t>
            </w:r>
          </w:p>
        </w:tc>
        <w:tc>
          <w:tcPr>
            <w:tcW w:w="3827" w:type="dxa"/>
          </w:tcPr>
          <w:p w14:paraId="14FFD302" w14:textId="77777777" w:rsidR="005E72D8" w:rsidRDefault="005E72D8" w:rsidP="00615A56">
            <w:pPr>
              <w:spacing w:after="80"/>
            </w:pPr>
          </w:p>
        </w:tc>
      </w:tr>
      <w:tr w:rsidR="005E72D8" w14:paraId="23817799" w14:textId="77777777" w:rsidTr="003F282C">
        <w:tc>
          <w:tcPr>
            <w:tcW w:w="1838" w:type="dxa"/>
            <w:vMerge/>
          </w:tcPr>
          <w:p w14:paraId="26F2763C" w14:textId="77777777" w:rsidR="005E72D8" w:rsidRPr="005E72D8" w:rsidRDefault="005E72D8" w:rsidP="00615A56">
            <w:pPr>
              <w:spacing w:after="80"/>
              <w:rPr>
                <w:sz w:val="24"/>
                <w:szCs w:val="24"/>
              </w:rPr>
            </w:pPr>
          </w:p>
        </w:tc>
        <w:tc>
          <w:tcPr>
            <w:tcW w:w="4678" w:type="dxa"/>
          </w:tcPr>
          <w:p w14:paraId="3EAEA60D" w14:textId="027F8613" w:rsidR="005E72D8" w:rsidRDefault="7379F4FE" w:rsidP="00615A56">
            <w:pPr>
              <w:spacing w:after="80"/>
            </w:pPr>
            <w:r>
              <w:t>Hair removal with clippers</w:t>
            </w:r>
            <w:r w:rsidR="4BDBE302">
              <w:t xml:space="preserve"> (single-use head)</w:t>
            </w:r>
          </w:p>
        </w:tc>
        <w:tc>
          <w:tcPr>
            <w:tcW w:w="3827" w:type="dxa"/>
          </w:tcPr>
          <w:p w14:paraId="4D251AC9" w14:textId="65ADD543" w:rsidR="005E72D8" w:rsidRDefault="005E72D8" w:rsidP="475BC16C">
            <w:pPr>
              <w:spacing w:after="80"/>
              <w:rPr>
                <w:rFonts w:ascii="Calibri" w:eastAsia="Calibri" w:hAnsi="Calibri" w:cs="Calibri"/>
              </w:rPr>
            </w:pPr>
          </w:p>
        </w:tc>
      </w:tr>
      <w:tr w:rsidR="005E72D8" w14:paraId="7F4A1509" w14:textId="77777777" w:rsidTr="003F282C">
        <w:tc>
          <w:tcPr>
            <w:tcW w:w="1838" w:type="dxa"/>
            <w:vMerge w:val="restart"/>
          </w:tcPr>
          <w:p w14:paraId="38D5F59C" w14:textId="1CB3490B" w:rsidR="005E72D8" w:rsidRPr="005E72D8" w:rsidRDefault="005E72D8" w:rsidP="00615A56">
            <w:pPr>
              <w:spacing w:after="80"/>
              <w:rPr>
                <w:sz w:val="24"/>
                <w:szCs w:val="24"/>
              </w:rPr>
            </w:pPr>
            <w:r w:rsidRPr="005E72D8">
              <w:rPr>
                <w:b/>
                <w:bCs/>
                <w:sz w:val="24"/>
                <w:szCs w:val="24"/>
              </w:rPr>
              <w:t>During Surgery and anaesthesia</w:t>
            </w:r>
          </w:p>
        </w:tc>
        <w:tc>
          <w:tcPr>
            <w:tcW w:w="4678" w:type="dxa"/>
          </w:tcPr>
          <w:p w14:paraId="033C3106" w14:textId="4BE4DEFF" w:rsidR="005E72D8" w:rsidRDefault="00216851" w:rsidP="00615A56">
            <w:pPr>
              <w:spacing w:after="80"/>
            </w:pPr>
            <w:r>
              <w:t>Discussion of bundle during team time out (surgical safety checklist)</w:t>
            </w:r>
          </w:p>
        </w:tc>
        <w:tc>
          <w:tcPr>
            <w:tcW w:w="3827" w:type="dxa"/>
          </w:tcPr>
          <w:p w14:paraId="3731745E" w14:textId="17C64140" w:rsidR="005E72D8" w:rsidRDefault="005E72D8" w:rsidP="00615A56">
            <w:pPr>
              <w:spacing w:after="80"/>
            </w:pPr>
          </w:p>
        </w:tc>
      </w:tr>
      <w:tr w:rsidR="00216851" w14:paraId="74387561" w14:textId="77777777" w:rsidTr="003F282C">
        <w:tc>
          <w:tcPr>
            <w:tcW w:w="1838" w:type="dxa"/>
            <w:vMerge/>
          </w:tcPr>
          <w:p w14:paraId="1D53927F" w14:textId="77777777" w:rsidR="00216851" w:rsidRPr="005E72D8" w:rsidRDefault="00216851" w:rsidP="00615A56">
            <w:pPr>
              <w:spacing w:after="80"/>
              <w:rPr>
                <w:sz w:val="24"/>
                <w:szCs w:val="24"/>
              </w:rPr>
            </w:pPr>
          </w:p>
        </w:tc>
        <w:tc>
          <w:tcPr>
            <w:tcW w:w="4678" w:type="dxa"/>
          </w:tcPr>
          <w:p w14:paraId="2A27CFBB" w14:textId="6BA250FA" w:rsidR="00216851" w:rsidRDefault="00216851" w:rsidP="00615A56">
            <w:pPr>
              <w:spacing w:after="80"/>
            </w:pPr>
            <w:r w:rsidRPr="00216851">
              <w:t>Skin preparation 2% chlorhexidine in 70% alcohol</w:t>
            </w:r>
          </w:p>
        </w:tc>
        <w:tc>
          <w:tcPr>
            <w:tcW w:w="3827" w:type="dxa"/>
          </w:tcPr>
          <w:p w14:paraId="5458F83F" w14:textId="77777777" w:rsidR="00216851" w:rsidRDefault="00216851" w:rsidP="00615A56">
            <w:pPr>
              <w:spacing w:after="80"/>
            </w:pPr>
          </w:p>
        </w:tc>
      </w:tr>
      <w:tr w:rsidR="005E72D8" w14:paraId="4F8FCA8E" w14:textId="77777777" w:rsidTr="003F282C">
        <w:tc>
          <w:tcPr>
            <w:tcW w:w="1838" w:type="dxa"/>
            <w:vMerge/>
          </w:tcPr>
          <w:p w14:paraId="5815F7C6" w14:textId="5CCC17A0" w:rsidR="005E72D8" w:rsidRPr="005E72D8" w:rsidRDefault="005E72D8" w:rsidP="00615A56">
            <w:pPr>
              <w:spacing w:after="80"/>
              <w:rPr>
                <w:sz w:val="24"/>
                <w:szCs w:val="24"/>
              </w:rPr>
            </w:pPr>
          </w:p>
        </w:tc>
        <w:tc>
          <w:tcPr>
            <w:tcW w:w="4678" w:type="dxa"/>
          </w:tcPr>
          <w:p w14:paraId="5DCF4A5C" w14:textId="06A343CA" w:rsidR="005E72D8" w:rsidRDefault="005E72D8" w:rsidP="00615A56">
            <w:pPr>
              <w:spacing w:after="80"/>
            </w:pPr>
            <w:r>
              <w:t>Pre-incision intravenous surgical antimicrobial prophylaxis</w:t>
            </w:r>
          </w:p>
        </w:tc>
        <w:tc>
          <w:tcPr>
            <w:tcW w:w="3827" w:type="dxa"/>
          </w:tcPr>
          <w:p w14:paraId="42CE753F" w14:textId="4AD6B6EB" w:rsidR="005E72D8" w:rsidRDefault="7379F4FE" w:rsidP="00615A56">
            <w:pPr>
              <w:spacing w:after="80"/>
            </w:pPr>
            <w:r>
              <w:t xml:space="preserve">Cephazolin 2g </w:t>
            </w:r>
            <w:r w:rsidR="587F4ACB">
              <w:t>(3 g if &gt;120kg)</w:t>
            </w:r>
            <w:r>
              <w:t xml:space="preserve"> should be administered </w:t>
            </w:r>
            <w:r w:rsidR="09DCBDC2">
              <w:t xml:space="preserve">intravenously </w:t>
            </w:r>
            <w:r>
              <w:t xml:space="preserve">within 60 minutes before </w:t>
            </w:r>
            <w:r w:rsidR="09DCBDC2">
              <w:t xml:space="preserve">skin </w:t>
            </w:r>
            <w:r>
              <w:t>incision.</w:t>
            </w:r>
          </w:p>
          <w:p w14:paraId="10E1EB3A" w14:textId="4BD3C941" w:rsidR="629B449B" w:rsidRDefault="629B449B" w:rsidP="475BC16C">
            <w:pPr>
              <w:spacing w:after="80"/>
            </w:pPr>
            <w:r>
              <w:t xml:space="preserve">Metronidazole 500mg should be administered intravenously within 120 minutes before skin incision. </w:t>
            </w:r>
          </w:p>
          <w:p w14:paraId="3928B94B" w14:textId="577D7DAF" w:rsidR="005E72D8" w:rsidRDefault="7379F4FE" w:rsidP="00615A56">
            <w:pPr>
              <w:spacing w:after="80"/>
            </w:pPr>
            <w:r>
              <w:t>For prolonged surgery or significant blood loss IV antibiotic doses must be repeated during surgery</w:t>
            </w:r>
            <w:r w:rsidR="57452158">
              <w:t xml:space="preserve">: every 4 hours for cefazolin, every </w:t>
            </w:r>
            <w:r w:rsidR="0FECBE91">
              <w:t>12</w:t>
            </w:r>
            <w:r w:rsidR="57452158">
              <w:t xml:space="preserve"> hours for metronidazole</w:t>
            </w:r>
            <w:r>
              <w:t xml:space="preserve">. </w:t>
            </w:r>
          </w:p>
          <w:p w14:paraId="2459C8BC" w14:textId="44CCE2A0" w:rsidR="005E72D8" w:rsidRDefault="0666CB46" w:rsidP="00615A56">
            <w:pPr>
              <w:spacing w:after="80"/>
            </w:pPr>
            <w:r>
              <w:t xml:space="preserve">If </w:t>
            </w:r>
            <w:r w:rsidR="7D0B6D8B">
              <w:t>severe penicillin allergy</w:t>
            </w:r>
            <w:r w:rsidR="47517EDD">
              <w:t xml:space="preserve"> </w:t>
            </w:r>
            <w:proofErr w:type="gramStart"/>
            <w:r w:rsidR="123D5440">
              <w:t>use</w:t>
            </w:r>
            <w:proofErr w:type="gramEnd"/>
            <w:r w:rsidR="123D5440">
              <w:t xml:space="preserve"> gentamicin</w:t>
            </w:r>
            <w:r w:rsidR="47517EDD">
              <w:t xml:space="preserve"> </w:t>
            </w:r>
            <w:r w:rsidR="5CD396EC">
              <w:t xml:space="preserve">&amp; metronidazole </w:t>
            </w:r>
          </w:p>
          <w:p w14:paraId="746486AF" w14:textId="3CEA9FED" w:rsidR="005E72D8" w:rsidRDefault="7379F4FE" w:rsidP="00615A56">
            <w:pPr>
              <w:spacing w:after="80"/>
            </w:pPr>
            <w:r>
              <w:t>Routine postoperative antibiotics are not recommended. </w:t>
            </w:r>
          </w:p>
        </w:tc>
      </w:tr>
      <w:tr w:rsidR="005E72D8" w14:paraId="69B5CF74" w14:textId="77777777" w:rsidTr="003F282C">
        <w:tc>
          <w:tcPr>
            <w:tcW w:w="1838" w:type="dxa"/>
            <w:vMerge/>
          </w:tcPr>
          <w:p w14:paraId="5A5A817A" w14:textId="0DE2E39A" w:rsidR="005E72D8" w:rsidRPr="005E72D8" w:rsidRDefault="005E72D8" w:rsidP="00615A56">
            <w:pPr>
              <w:spacing w:after="80"/>
              <w:rPr>
                <w:b/>
                <w:bCs/>
                <w:sz w:val="24"/>
                <w:szCs w:val="24"/>
              </w:rPr>
            </w:pPr>
          </w:p>
        </w:tc>
        <w:tc>
          <w:tcPr>
            <w:tcW w:w="4678" w:type="dxa"/>
          </w:tcPr>
          <w:p w14:paraId="5D2601A1" w14:textId="5B1431B7" w:rsidR="005E72D8" w:rsidRDefault="4357A104" w:rsidP="00615A56">
            <w:pPr>
              <w:spacing w:after="80"/>
              <w:rPr>
                <w:rFonts w:ascii="Calibri" w:eastAsia="Calibri" w:hAnsi="Calibri" w:cs="Calibri"/>
              </w:rPr>
            </w:pPr>
            <w:r w:rsidRPr="4139112A">
              <w:rPr>
                <w:rFonts w:ascii="Calibri" w:eastAsia="Calibri" w:hAnsi="Calibri" w:cs="Calibri"/>
              </w:rPr>
              <w:t>Use of or changing to a level 3 gown where</w:t>
            </w:r>
            <w:r w:rsidR="5E5C2D1B" w:rsidRPr="4139112A">
              <w:rPr>
                <w:rFonts w:ascii="Calibri" w:eastAsia="Calibri" w:hAnsi="Calibri" w:cs="Calibri"/>
              </w:rPr>
              <w:t xml:space="preserve"> </w:t>
            </w:r>
            <w:r w:rsidRPr="4139112A">
              <w:rPr>
                <w:rFonts w:ascii="Calibri" w:eastAsia="Calibri" w:hAnsi="Calibri" w:cs="Calibri"/>
              </w:rPr>
              <w:t>the operation is partly or completely open</w:t>
            </w:r>
          </w:p>
        </w:tc>
        <w:tc>
          <w:tcPr>
            <w:tcW w:w="3827" w:type="dxa"/>
          </w:tcPr>
          <w:p w14:paraId="1619754D" w14:textId="231DD0AA" w:rsidR="005E72D8" w:rsidRDefault="617AA32F" w:rsidP="00615A56">
            <w:pPr>
              <w:spacing w:after="80"/>
            </w:pPr>
            <w:r>
              <w:t>Level 3 gowns provide moderate fluid protection</w:t>
            </w:r>
            <w:r w:rsidR="74968539">
              <w:t xml:space="preserve"> and water </w:t>
            </w:r>
            <w:r>
              <w:t>resistan</w:t>
            </w:r>
            <w:r w:rsidR="57209953">
              <w:t xml:space="preserve">ce. They are resistant to water spray and offer some resistance to water penetration under constant contact with increasing pressure. </w:t>
            </w:r>
          </w:p>
        </w:tc>
      </w:tr>
      <w:tr w:rsidR="005E72D8" w14:paraId="3DD40859" w14:textId="77777777" w:rsidTr="003F282C">
        <w:tc>
          <w:tcPr>
            <w:tcW w:w="1838" w:type="dxa"/>
            <w:vMerge/>
          </w:tcPr>
          <w:p w14:paraId="7EE49617" w14:textId="77777777" w:rsidR="005E72D8" w:rsidRPr="005E72D8" w:rsidRDefault="005E72D8" w:rsidP="00615A56">
            <w:pPr>
              <w:spacing w:after="80"/>
              <w:rPr>
                <w:sz w:val="24"/>
                <w:szCs w:val="24"/>
              </w:rPr>
            </w:pPr>
          </w:p>
        </w:tc>
        <w:tc>
          <w:tcPr>
            <w:tcW w:w="4678" w:type="dxa"/>
          </w:tcPr>
          <w:p w14:paraId="4DE359B6" w14:textId="77777777" w:rsidR="005E72D8" w:rsidRDefault="005E72D8" w:rsidP="00615A56">
            <w:pPr>
              <w:spacing w:after="80"/>
            </w:pPr>
            <w:r>
              <w:t>Wound protector</w:t>
            </w:r>
          </w:p>
          <w:p w14:paraId="225EE159" w14:textId="6ACB1CDC" w:rsidR="005E72D8" w:rsidRDefault="005E72D8" w:rsidP="00615A56">
            <w:pPr>
              <w:spacing w:after="80"/>
            </w:pPr>
          </w:p>
        </w:tc>
        <w:tc>
          <w:tcPr>
            <w:tcW w:w="3827" w:type="dxa"/>
          </w:tcPr>
          <w:p w14:paraId="2CF7E9E0" w14:textId="0761ADDA" w:rsidR="005E72D8" w:rsidRDefault="005E72D8" w:rsidP="00615A56">
            <w:pPr>
              <w:spacing w:after="80"/>
            </w:pPr>
          </w:p>
        </w:tc>
      </w:tr>
      <w:tr w:rsidR="475BC16C" w14:paraId="7B814C7C" w14:textId="77777777" w:rsidTr="003F282C">
        <w:trPr>
          <w:trHeight w:val="300"/>
        </w:trPr>
        <w:tc>
          <w:tcPr>
            <w:tcW w:w="1838" w:type="dxa"/>
            <w:vMerge/>
          </w:tcPr>
          <w:p w14:paraId="7DE2341B" w14:textId="77777777" w:rsidR="004544DB" w:rsidRDefault="004544DB"/>
        </w:tc>
        <w:tc>
          <w:tcPr>
            <w:tcW w:w="4678" w:type="dxa"/>
          </w:tcPr>
          <w:p w14:paraId="70F5AE37" w14:textId="4985EA11" w:rsidR="475BC16C" w:rsidRDefault="475BC16C">
            <w:r>
              <w:t>Intraoperative warming</w:t>
            </w:r>
          </w:p>
        </w:tc>
        <w:tc>
          <w:tcPr>
            <w:tcW w:w="3827" w:type="dxa"/>
          </w:tcPr>
          <w:p w14:paraId="20A6B99C" w14:textId="059CF2DC" w:rsidR="475BC16C" w:rsidRDefault="475BC16C" w:rsidP="475BC16C">
            <w:pPr>
              <w:rPr>
                <w:rFonts w:ascii="Calibri" w:eastAsia="Calibri" w:hAnsi="Calibri" w:cs="Calibri"/>
              </w:rPr>
            </w:pPr>
            <w:r w:rsidRPr="475BC16C">
              <w:rPr>
                <w:rFonts w:ascii="Calibri" w:eastAsia="Calibri" w:hAnsi="Calibri" w:cs="Calibri"/>
              </w:rPr>
              <w:t>Intraoperative warm normal saline peritoneal washout</w:t>
            </w:r>
            <w:r w:rsidR="06797ED1" w:rsidRPr="475BC16C">
              <w:rPr>
                <w:rFonts w:ascii="Calibri" w:eastAsia="Calibri" w:hAnsi="Calibri" w:cs="Calibri"/>
              </w:rPr>
              <w:t xml:space="preserve"> recommended in the Oxford bundle.</w:t>
            </w:r>
          </w:p>
        </w:tc>
      </w:tr>
      <w:tr w:rsidR="005E72D8" w14:paraId="7F6356DA" w14:textId="77777777" w:rsidTr="003F282C">
        <w:tc>
          <w:tcPr>
            <w:tcW w:w="1838" w:type="dxa"/>
            <w:vMerge/>
          </w:tcPr>
          <w:p w14:paraId="0A510D3C" w14:textId="77777777" w:rsidR="005E72D8" w:rsidRPr="005E72D8" w:rsidRDefault="005E72D8" w:rsidP="00615A56">
            <w:pPr>
              <w:spacing w:after="80"/>
              <w:rPr>
                <w:sz w:val="24"/>
                <w:szCs w:val="24"/>
              </w:rPr>
            </w:pPr>
          </w:p>
        </w:tc>
        <w:tc>
          <w:tcPr>
            <w:tcW w:w="4678" w:type="dxa"/>
          </w:tcPr>
          <w:p w14:paraId="62757489" w14:textId="1F9816AA" w:rsidR="005E72D8" w:rsidRDefault="005E72D8" w:rsidP="00615A56">
            <w:pPr>
              <w:spacing w:after="80"/>
            </w:pPr>
            <w:r>
              <w:t>2 separate linear staplers for side-to-side anastomoses</w:t>
            </w:r>
          </w:p>
        </w:tc>
        <w:tc>
          <w:tcPr>
            <w:tcW w:w="3827" w:type="dxa"/>
          </w:tcPr>
          <w:p w14:paraId="4F049F62" w14:textId="489A408F" w:rsidR="005E72D8" w:rsidRDefault="005E72D8" w:rsidP="00615A56">
            <w:pPr>
              <w:spacing w:after="80"/>
            </w:pPr>
          </w:p>
        </w:tc>
      </w:tr>
      <w:tr w:rsidR="005E72D8" w14:paraId="7A628821" w14:textId="77777777" w:rsidTr="003F282C">
        <w:tc>
          <w:tcPr>
            <w:tcW w:w="1838" w:type="dxa"/>
            <w:vMerge/>
          </w:tcPr>
          <w:p w14:paraId="2107EAC0" w14:textId="77777777" w:rsidR="005E72D8" w:rsidRPr="005E72D8" w:rsidRDefault="005E72D8" w:rsidP="00615A56">
            <w:pPr>
              <w:spacing w:after="80"/>
              <w:rPr>
                <w:sz w:val="24"/>
                <w:szCs w:val="24"/>
              </w:rPr>
            </w:pPr>
          </w:p>
        </w:tc>
        <w:tc>
          <w:tcPr>
            <w:tcW w:w="4678" w:type="dxa"/>
          </w:tcPr>
          <w:p w14:paraId="47C57D79" w14:textId="0D1F1D02" w:rsidR="005E72D8" w:rsidRDefault="005E72D8" w:rsidP="00615A56">
            <w:pPr>
              <w:spacing w:after="80"/>
            </w:pPr>
            <w:r>
              <w:t>Glove change before wound closure</w:t>
            </w:r>
          </w:p>
        </w:tc>
        <w:tc>
          <w:tcPr>
            <w:tcW w:w="3827" w:type="dxa"/>
          </w:tcPr>
          <w:p w14:paraId="7E6B6DDC" w14:textId="2B807D95" w:rsidR="005E72D8" w:rsidRDefault="4D737EB9" w:rsidP="475BC16C">
            <w:pPr>
              <w:spacing w:after="80"/>
              <w:rPr>
                <w:rFonts w:ascii="Calibri" w:eastAsia="Calibri" w:hAnsi="Calibri" w:cs="Calibri"/>
              </w:rPr>
            </w:pPr>
            <w:r w:rsidRPr="475BC16C">
              <w:rPr>
                <w:rFonts w:ascii="Calibri" w:eastAsia="Calibri" w:hAnsi="Calibri" w:cs="Calibri"/>
              </w:rPr>
              <w:t>Glove change by the whole scrub team prior to incision</w:t>
            </w:r>
            <w:r w:rsidR="51A31226" w:rsidRPr="691898F8">
              <w:rPr>
                <w:rFonts w:ascii="Calibri" w:eastAsia="Calibri" w:hAnsi="Calibri" w:cs="Calibri"/>
              </w:rPr>
              <w:t>/</w:t>
            </w:r>
            <w:r w:rsidRPr="475BC16C">
              <w:rPr>
                <w:rFonts w:ascii="Calibri" w:eastAsia="Calibri" w:hAnsi="Calibri" w:cs="Calibri"/>
              </w:rPr>
              <w:t>closure</w:t>
            </w:r>
            <w:r w:rsidR="74E9E59B" w:rsidRPr="475BC16C">
              <w:rPr>
                <w:rFonts w:ascii="Calibri" w:eastAsia="Calibri" w:hAnsi="Calibri" w:cs="Calibri"/>
              </w:rPr>
              <w:t xml:space="preserve"> </w:t>
            </w:r>
            <w:r w:rsidR="26B49BE3" w:rsidRPr="691898F8">
              <w:rPr>
                <w:rFonts w:ascii="Calibri" w:eastAsia="Calibri" w:hAnsi="Calibri" w:cs="Calibri"/>
              </w:rPr>
              <w:t>are</w:t>
            </w:r>
            <w:r w:rsidR="5321E3F9" w:rsidRPr="691898F8">
              <w:rPr>
                <w:rFonts w:ascii="Calibri" w:eastAsia="Calibri" w:hAnsi="Calibri" w:cs="Calibri"/>
              </w:rPr>
              <w:t xml:space="preserve"> </w:t>
            </w:r>
            <w:r w:rsidR="74E9E59B" w:rsidRPr="475BC16C">
              <w:rPr>
                <w:rFonts w:ascii="Calibri" w:eastAsia="Calibri" w:hAnsi="Calibri" w:cs="Calibri"/>
              </w:rPr>
              <w:t>recommended in the Oxford bundle.</w:t>
            </w:r>
          </w:p>
        </w:tc>
      </w:tr>
      <w:tr w:rsidR="005E72D8" w14:paraId="3D5E6FA3" w14:textId="77777777" w:rsidTr="003F282C">
        <w:tc>
          <w:tcPr>
            <w:tcW w:w="1838" w:type="dxa"/>
            <w:vMerge/>
          </w:tcPr>
          <w:p w14:paraId="310D59E4" w14:textId="77777777" w:rsidR="005E72D8" w:rsidRPr="005E72D8" w:rsidRDefault="005E72D8" w:rsidP="00615A56">
            <w:pPr>
              <w:spacing w:after="80"/>
              <w:rPr>
                <w:sz w:val="24"/>
                <w:szCs w:val="24"/>
              </w:rPr>
            </w:pPr>
          </w:p>
        </w:tc>
        <w:tc>
          <w:tcPr>
            <w:tcW w:w="4678" w:type="dxa"/>
          </w:tcPr>
          <w:p w14:paraId="683E5C10" w14:textId="29D69D24" w:rsidR="005E72D8" w:rsidRPr="006E5E50" w:rsidRDefault="005E72D8" w:rsidP="00615A56">
            <w:pPr>
              <w:spacing w:after="80"/>
            </w:pPr>
            <w:r>
              <w:t>Quarantine of contaminated instruments on separate trolley</w:t>
            </w:r>
          </w:p>
        </w:tc>
        <w:tc>
          <w:tcPr>
            <w:tcW w:w="3827" w:type="dxa"/>
          </w:tcPr>
          <w:p w14:paraId="3B5EC2A8" w14:textId="6FBCC243" w:rsidR="005E72D8" w:rsidRDefault="005E72D8" w:rsidP="00615A56">
            <w:pPr>
              <w:spacing w:after="80"/>
            </w:pPr>
          </w:p>
        </w:tc>
      </w:tr>
      <w:tr w:rsidR="475BC16C" w14:paraId="68F681D7" w14:textId="77777777" w:rsidTr="003F282C">
        <w:trPr>
          <w:trHeight w:val="300"/>
        </w:trPr>
        <w:tc>
          <w:tcPr>
            <w:tcW w:w="1838" w:type="dxa"/>
            <w:vMerge/>
          </w:tcPr>
          <w:p w14:paraId="04F4317A" w14:textId="77777777" w:rsidR="004544DB" w:rsidRDefault="004544DB"/>
        </w:tc>
        <w:tc>
          <w:tcPr>
            <w:tcW w:w="4678" w:type="dxa"/>
            <w:shd w:val="clear" w:color="auto" w:fill="FFFFFF" w:themeFill="background1"/>
          </w:tcPr>
          <w:p w14:paraId="2739277C" w14:textId="3A46B52B" w:rsidR="475BC16C" w:rsidRDefault="42F70DEC" w:rsidP="4139112A">
            <w:pPr>
              <w:spacing w:after="80"/>
            </w:pPr>
            <w:r>
              <w:t>Provide new instruments for wound closure either by using a specific closing tray or by separating closing instruments to a protected area at the st</w:t>
            </w:r>
            <w:r w:rsidR="530170E9">
              <w:t>art of the case</w:t>
            </w:r>
          </w:p>
          <w:p w14:paraId="338CA945" w14:textId="18D636FE" w:rsidR="475BC16C" w:rsidRDefault="475BC16C" w:rsidP="475BC16C">
            <w:pPr>
              <w:rPr>
                <w:rFonts w:ascii="Calibri" w:eastAsia="Calibri" w:hAnsi="Calibri" w:cs="Calibri"/>
              </w:rPr>
            </w:pPr>
          </w:p>
        </w:tc>
        <w:tc>
          <w:tcPr>
            <w:tcW w:w="3827" w:type="dxa"/>
          </w:tcPr>
          <w:p w14:paraId="5E1E808B" w14:textId="721AADCA" w:rsidR="475BC16C" w:rsidRDefault="475BC16C" w:rsidP="475BC16C"/>
        </w:tc>
      </w:tr>
      <w:tr w:rsidR="005E72D8" w14:paraId="3C1C5059" w14:textId="77777777" w:rsidTr="003F282C">
        <w:tc>
          <w:tcPr>
            <w:tcW w:w="1838" w:type="dxa"/>
            <w:vMerge/>
          </w:tcPr>
          <w:p w14:paraId="2351F2C3" w14:textId="77777777" w:rsidR="005E72D8" w:rsidRPr="005E72D8" w:rsidRDefault="005E72D8" w:rsidP="00615A56">
            <w:pPr>
              <w:spacing w:after="80"/>
              <w:rPr>
                <w:sz w:val="24"/>
                <w:szCs w:val="24"/>
              </w:rPr>
            </w:pPr>
          </w:p>
        </w:tc>
        <w:tc>
          <w:tcPr>
            <w:tcW w:w="4678" w:type="dxa"/>
          </w:tcPr>
          <w:p w14:paraId="19DAD5B8" w14:textId="24508FC8" w:rsidR="005E72D8" w:rsidRDefault="005E72D8" w:rsidP="00615A56">
            <w:pPr>
              <w:spacing w:after="80"/>
            </w:pPr>
            <w:r>
              <w:t xml:space="preserve">Maintain </w:t>
            </w:r>
            <w:proofErr w:type="spellStart"/>
            <w:r w:rsidRPr="004865A1">
              <w:t>euglycaemia</w:t>
            </w:r>
            <w:proofErr w:type="spellEnd"/>
            <w:r w:rsidRPr="004865A1">
              <w:t xml:space="preserve"> (6-10)</w:t>
            </w:r>
          </w:p>
        </w:tc>
        <w:tc>
          <w:tcPr>
            <w:tcW w:w="3827" w:type="dxa"/>
          </w:tcPr>
          <w:p w14:paraId="7B45B421" w14:textId="5563DA2D" w:rsidR="005E72D8" w:rsidRDefault="00216851" w:rsidP="00615A56">
            <w:pPr>
              <w:spacing w:after="80"/>
            </w:pPr>
            <w:r>
              <w:t>A t</w:t>
            </w:r>
            <w:r w:rsidR="005E72D8">
              <w:t>ighter range should be considered for Type 1 diabetics</w:t>
            </w:r>
          </w:p>
        </w:tc>
      </w:tr>
      <w:tr w:rsidR="005E72D8" w14:paraId="72A37E28" w14:textId="77777777" w:rsidTr="003F282C">
        <w:tc>
          <w:tcPr>
            <w:tcW w:w="1838" w:type="dxa"/>
            <w:vMerge w:val="restart"/>
          </w:tcPr>
          <w:p w14:paraId="48611B51" w14:textId="0BAE0494" w:rsidR="005E72D8" w:rsidRPr="005E72D8" w:rsidRDefault="005E72D8" w:rsidP="00615A56">
            <w:pPr>
              <w:spacing w:after="80"/>
              <w:rPr>
                <w:b/>
                <w:bCs/>
                <w:sz w:val="24"/>
                <w:szCs w:val="24"/>
              </w:rPr>
            </w:pPr>
            <w:r w:rsidRPr="005E72D8">
              <w:rPr>
                <w:b/>
                <w:bCs/>
                <w:sz w:val="24"/>
                <w:szCs w:val="24"/>
              </w:rPr>
              <w:t>After Surgery</w:t>
            </w:r>
          </w:p>
        </w:tc>
        <w:tc>
          <w:tcPr>
            <w:tcW w:w="4678" w:type="dxa"/>
          </w:tcPr>
          <w:p w14:paraId="5061D5EE" w14:textId="155B630A" w:rsidR="005E72D8" w:rsidRDefault="005E72D8" w:rsidP="00615A56">
            <w:pPr>
              <w:spacing w:after="80"/>
            </w:pPr>
            <w:r>
              <w:t xml:space="preserve">Maintain </w:t>
            </w:r>
            <w:proofErr w:type="spellStart"/>
            <w:r>
              <w:t>euglycaemia</w:t>
            </w:r>
            <w:proofErr w:type="spellEnd"/>
            <w:r>
              <w:t xml:space="preserve"> </w:t>
            </w:r>
            <w:r w:rsidRPr="004865A1">
              <w:t>(6-10)</w:t>
            </w:r>
          </w:p>
        </w:tc>
        <w:tc>
          <w:tcPr>
            <w:tcW w:w="3827" w:type="dxa"/>
          </w:tcPr>
          <w:p w14:paraId="5458EDB1" w14:textId="24F9A388" w:rsidR="005E72D8" w:rsidRDefault="00216851" w:rsidP="00615A56">
            <w:pPr>
              <w:spacing w:after="80"/>
            </w:pPr>
            <w:r>
              <w:t>A tighter range should be considered for Type 1 diabetics</w:t>
            </w:r>
          </w:p>
        </w:tc>
      </w:tr>
      <w:tr w:rsidR="005E72D8" w14:paraId="3E6678B4" w14:textId="77777777" w:rsidTr="003F282C">
        <w:tc>
          <w:tcPr>
            <w:tcW w:w="1838" w:type="dxa"/>
            <w:vMerge/>
          </w:tcPr>
          <w:p w14:paraId="052BC317" w14:textId="77777777" w:rsidR="005E72D8" w:rsidRPr="005E72D8" w:rsidRDefault="005E72D8" w:rsidP="00615A56">
            <w:pPr>
              <w:spacing w:after="80"/>
              <w:rPr>
                <w:sz w:val="24"/>
                <w:szCs w:val="24"/>
              </w:rPr>
            </w:pPr>
          </w:p>
        </w:tc>
        <w:tc>
          <w:tcPr>
            <w:tcW w:w="4678" w:type="dxa"/>
          </w:tcPr>
          <w:p w14:paraId="7AE7F4E3" w14:textId="2DE51988" w:rsidR="005E72D8" w:rsidRDefault="005E72D8" w:rsidP="00615A56">
            <w:pPr>
              <w:spacing w:after="80"/>
            </w:pPr>
            <w:r>
              <w:t>Remove IDC by Day 1 in colon surgery, by Day 2 in rectal surgery</w:t>
            </w:r>
          </w:p>
        </w:tc>
        <w:tc>
          <w:tcPr>
            <w:tcW w:w="3827" w:type="dxa"/>
          </w:tcPr>
          <w:p w14:paraId="2FAA96C3" w14:textId="44272C8E" w:rsidR="005E72D8" w:rsidRDefault="005E72D8" w:rsidP="00615A56">
            <w:pPr>
              <w:spacing w:after="80"/>
            </w:pPr>
          </w:p>
        </w:tc>
      </w:tr>
    </w:tbl>
    <w:p w14:paraId="5BE6E507" w14:textId="77777777" w:rsidR="00702A68" w:rsidRDefault="00702A68">
      <w:pPr>
        <w:rPr>
          <w:color w:val="33CCCC"/>
          <w:sz w:val="32"/>
          <w:szCs w:val="32"/>
        </w:rPr>
      </w:pPr>
    </w:p>
    <w:p w14:paraId="627CDD50" w14:textId="49BDD2D6" w:rsidR="006F4AF9" w:rsidRDefault="006F4AF9">
      <w:pPr>
        <w:rPr>
          <w:color w:val="33CCCC"/>
          <w:sz w:val="32"/>
          <w:szCs w:val="32"/>
        </w:rPr>
      </w:pPr>
      <w:r>
        <w:rPr>
          <w:color w:val="33CCCC"/>
          <w:sz w:val="32"/>
          <w:szCs w:val="32"/>
        </w:rPr>
        <w:br w:type="page"/>
      </w:r>
    </w:p>
    <w:p w14:paraId="42A20BC4" w14:textId="7F54EFD9" w:rsidR="00A02538" w:rsidRDefault="00A02538">
      <w:pPr>
        <w:rPr>
          <w:color w:val="33CCCC"/>
          <w:sz w:val="32"/>
          <w:szCs w:val="32"/>
        </w:rPr>
      </w:pPr>
      <w:r>
        <w:rPr>
          <w:color w:val="33CCCC"/>
          <w:sz w:val="32"/>
          <w:szCs w:val="32"/>
        </w:rPr>
        <w:lastRenderedPageBreak/>
        <w:t>Table 2 – Conditional elements for SSI prevention</w:t>
      </w:r>
    </w:p>
    <w:tbl>
      <w:tblPr>
        <w:tblStyle w:val="TableGrid"/>
        <w:tblW w:w="0" w:type="auto"/>
        <w:tblLook w:val="04A0" w:firstRow="1" w:lastRow="0" w:firstColumn="1" w:lastColumn="0" w:noHBand="0" w:noVBand="1"/>
      </w:tblPr>
      <w:tblGrid>
        <w:gridCol w:w="1838"/>
        <w:gridCol w:w="4678"/>
        <w:gridCol w:w="3680"/>
      </w:tblGrid>
      <w:tr w:rsidR="00A02538" w14:paraId="3B9DEB73" w14:textId="77777777" w:rsidTr="00CC22DE">
        <w:tc>
          <w:tcPr>
            <w:tcW w:w="1838" w:type="dxa"/>
            <w:shd w:val="clear" w:color="auto" w:fill="D9D9D9" w:themeFill="background1" w:themeFillShade="D9"/>
            <w:vAlign w:val="bottom"/>
          </w:tcPr>
          <w:p w14:paraId="5E06041C" w14:textId="56A9E8A2" w:rsidR="00A02538" w:rsidRPr="00C8637F" w:rsidRDefault="00702A68" w:rsidP="00C8637F">
            <w:pPr>
              <w:rPr>
                <w:b/>
                <w:bCs/>
                <w:sz w:val="24"/>
                <w:szCs w:val="24"/>
              </w:rPr>
            </w:pPr>
            <w:r w:rsidRPr="00C8637F">
              <w:rPr>
                <w:b/>
                <w:bCs/>
                <w:sz w:val="24"/>
                <w:szCs w:val="24"/>
              </w:rPr>
              <w:t>Bundle elements</w:t>
            </w:r>
          </w:p>
        </w:tc>
        <w:tc>
          <w:tcPr>
            <w:tcW w:w="4678" w:type="dxa"/>
            <w:shd w:val="clear" w:color="auto" w:fill="D9D9D9" w:themeFill="background1" w:themeFillShade="D9"/>
            <w:vAlign w:val="bottom"/>
          </w:tcPr>
          <w:p w14:paraId="27D884A9" w14:textId="1A655E13" w:rsidR="00A02538" w:rsidRPr="00C8637F" w:rsidRDefault="00702A68" w:rsidP="00C8637F">
            <w:pPr>
              <w:rPr>
                <w:b/>
                <w:bCs/>
                <w:sz w:val="24"/>
                <w:szCs w:val="24"/>
              </w:rPr>
            </w:pPr>
            <w:r w:rsidRPr="00C8637F">
              <w:rPr>
                <w:b/>
                <w:bCs/>
                <w:sz w:val="24"/>
                <w:szCs w:val="24"/>
              </w:rPr>
              <w:t xml:space="preserve">Conditional elements for SSI prevention </w:t>
            </w:r>
          </w:p>
        </w:tc>
        <w:tc>
          <w:tcPr>
            <w:tcW w:w="3680" w:type="dxa"/>
            <w:shd w:val="clear" w:color="auto" w:fill="D9D9D9" w:themeFill="background1" w:themeFillShade="D9"/>
            <w:vAlign w:val="bottom"/>
          </w:tcPr>
          <w:p w14:paraId="3865FCBF" w14:textId="2587839E" w:rsidR="00A02538" w:rsidRPr="00C8637F" w:rsidRDefault="3AD9B5A3" w:rsidP="00C8637F">
            <w:pPr>
              <w:rPr>
                <w:b/>
                <w:bCs/>
                <w:sz w:val="24"/>
                <w:szCs w:val="24"/>
              </w:rPr>
            </w:pPr>
            <w:r w:rsidRPr="691898F8">
              <w:rPr>
                <w:b/>
                <w:bCs/>
                <w:sz w:val="24"/>
                <w:szCs w:val="24"/>
              </w:rPr>
              <w:t>Explanatory Notes</w:t>
            </w:r>
          </w:p>
        </w:tc>
      </w:tr>
      <w:tr w:rsidR="00702A68" w14:paraId="35895EA6" w14:textId="77777777" w:rsidTr="00CC22DE">
        <w:tc>
          <w:tcPr>
            <w:tcW w:w="1838" w:type="dxa"/>
          </w:tcPr>
          <w:p w14:paraId="0F69E451" w14:textId="3B19CF84" w:rsidR="00702A68" w:rsidRPr="00C8637F" w:rsidRDefault="00702A68" w:rsidP="00C8637F">
            <w:pPr>
              <w:rPr>
                <w:b/>
                <w:bCs/>
                <w:sz w:val="24"/>
                <w:szCs w:val="24"/>
              </w:rPr>
            </w:pPr>
            <w:r w:rsidRPr="00C8637F">
              <w:rPr>
                <w:b/>
                <w:bCs/>
                <w:sz w:val="24"/>
                <w:szCs w:val="24"/>
              </w:rPr>
              <w:t>Before Surgery</w:t>
            </w:r>
          </w:p>
        </w:tc>
        <w:tc>
          <w:tcPr>
            <w:tcW w:w="4678" w:type="dxa"/>
          </w:tcPr>
          <w:p w14:paraId="06189B6A" w14:textId="214226BF" w:rsidR="00702A68" w:rsidRDefault="54599E3C" w:rsidP="4139112A">
            <w:r w:rsidRPr="4139112A">
              <w:rPr>
                <w:rFonts w:ascii="Calibri" w:eastAsia="Calibri" w:hAnsi="Calibri" w:cs="Calibri"/>
              </w:rPr>
              <w:t>Surgeons should consider the relative benefits of MBP in each case.</w:t>
            </w:r>
          </w:p>
          <w:p w14:paraId="14737015" w14:textId="2CF9D279" w:rsidR="00702A68" w:rsidRDefault="00702A68" w:rsidP="4139112A"/>
          <w:p w14:paraId="6C68B0E5" w14:textId="4162B658" w:rsidR="00702A68" w:rsidRDefault="07852F4A" w:rsidP="00702A68">
            <w:r>
              <w:t>MBP with oral antibiotics is preferable to MBP alone when MBP is used</w:t>
            </w:r>
            <w:r w:rsidR="65BBC3E6">
              <w:t>.</w:t>
            </w:r>
          </w:p>
        </w:tc>
        <w:tc>
          <w:tcPr>
            <w:tcW w:w="3680" w:type="dxa"/>
          </w:tcPr>
          <w:p w14:paraId="5061F100" w14:textId="27761F29" w:rsidR="00702A68" w:rsidRDefault="00032544" w:rsidP="4139112A">
            <w:pPr>
              <w:rPr>
                <w:rFonts w:ascii="Calibri" w:eastAsia="Calibri" w:hAnsi="Calibri" w:cs="Calibri"/>
              </w:rPr>
            </w:pPr>
            <w:r w:rsidRPr="4139112A">
              <w:rPr>
                <w:rFonts w:ascii="Calibri" w:eastAsia="Calibri" w:hAnsi="Calibri" w:cs="Calibri"/>
              </w:rPr>
              <w:t xml:space="preserve">MBP </w:t>
            </w:r>
            <w:r w:rsidR="65BBC3E6" w:rsidRPr="4139112A">
              <w:rPr>
                <w:rFonts w:ascii="Calibri" w:eastAsia="Calibri" w:hAnsi="Calibri" w:cs="Calibri"/>
              </w:rPr>
              <w:t>may be utilised for reasons unrelated to prevention</w:t>
            </w:r>
            <w:r w:rsidR="3DF19D16" w:rsidRPr="4139112A">
              <w:rPr>
                <w:rFonts w:ascii="Calibri" w:eastAsia="Calibri" w:hAnsi="Calibri" w:cs="Calibri"/>
              </w:rPr>
              <w:t xml:space="preserve"> of SSI</w:t>
            </w:r>
            <w:r w:rsidR="65BBC3E6" w:rsidRPr="4139112A">
              <w:rPr>
                <w:rFonts w:ascii="Calibri" w:eastAsia="Calibri" w:hAnsi="Calibri" w:cs="Calibri"/>
              </w:rPr>
              <w:t>.</w:t>
            </w:r>
          </w:p>
          <w:p w14:paraId="5BB60A6F" w14:textId="547E2D13" w:rsidR="00702A68" w:rsidRDefault="00702A68" w:rsidP="4139112A">
            <w:pPr>
              <w:rPr>
                <w:rFonts w:ascii="Calibri" w:eastAsia="Calibri" w:hAnsi="Calibri" w:cs="Calibri"/>
              </w:rPr>
            </w:pPr>
          </w:p>
          <w:p w14:paraId="5E32D2D2" w14:textId="493BBA1B" w:rsidR="00702A68" w:rsidRDefault="00702A68" w:rsidP="4139112A">
            <w:pPr>
              <w:rPr>
                <w:rFonts w:ascii="Calibri" w:eastAsia="Calibri" w:hAnsi="Calibri" w:cs="Calibri"/>
              </w:rPr>
            </w:pPr>
          </w:p>
          <w:p w14:paraId="0757273F" w14:textId="4CEBFB27" w:rsidR="00702A68" w:rsidRDefault="00702A68" w:rsidP="00702A68"/>
        </w:tc>
      </w:tr>
      <w:tr w:rsidR="002E0627" w14:paraId="2E7F7985" w14:textId="77777777" w:rsidTr="00CC22DE">
        <w:tc>
          <w:tcPr>
            <w:tcW w:w="1838" w:type="dxa"/>
          </w:tcPr>
          <w:p w14:paraId="5860F62C" w14:textId="77777777" w:rsidR="002E0627" w:rsidRPr="00C8637F" w:rsidRDefault="002E0627" w:rsidP="00C8637F">
            <w:pPr>
              <w:rPr>
                <w:b/>
                <w:bCs/>
                <w:sz w:val="24"/>
                <w:szCs w:val="24"/>
              </w:rPr>
            </w:pPr>
          </w:p>
        </w:tc>
        <w:tc>
          <w:tcPr>
            <w:tcW w:w="4678" w:type="dxa"/>
          </w:tcPr>
          <w:p w14:paraId="1AD0DCDD" w14:textId="16BB98F6" w:rsidR="002E0627" w:rsidRDefault="002E0627" w:rsidP="00702A68">
            <w:r w:rsidRPr="475BC16C">
              <w:rPr>
                <w:rFonts w:ascii="Calibri" w:eastAsia="Calibri" w:hAnsi="Calibri" w:cs="Calibri"/>
              </w:rPr>
              <w:t xml:space="preserve">Hair removal should be conducted </w:t>
            </w:r>
            <w:r w:rsidR="1D86F100" w:rsidRPr="4139112A">
              <w:rPr>
                <w:rFonts w:ascii="Calibri" w:eastAsia="Calibri" w:hAnsi="Calibri" w:cs="Calibri"/>
              </w:rPr>
              <w:t>before entering</w:t>
            </w:r>
            <w:r w:rsidRPr="475BC16C">
              <w:rPr>
                <w:rFonts w:ascii="Calibri" w:eastAsia="Calibri" w:hAnsi="Calibri" w:cs="Calibri"/>
              </w:rPr>
              <w:t xml:space="preserve"> the operating room.</w:t>
            </w:r>
          </w:p>
        </w:tc>
        <w:tc>
          <w:tcPr>
            <w:tcW w:w="3680" w:type="dxa"/>
          </w:tcPr>
          <w:p w14:paraId="59B5CCD2" w14:textId="77777777" w:rsidR="002E0627" w:rsidRDefault="002E0627" w:rsidP="00702A68"/>
        </w:tc>
      </w:tr>
      <w:tr w:rsidR="00702A68" w14:paraId="083393DB" w14:textId="77777777" w:rsidTr="00CC22DE">
        <w:tc>
          <w:tcPr>
            <w:tcW w:w="1838" w:type="dxa"/>
          </w:tcPr>
          <w:p w14:paraId="08CFFC5D" w14:textId="273B4101" w:rsidR="00702A68" w:rsidRPr="00C8637F" w:rsidRDefault="00702A68" w:rsidP="00C8637F">
            <w:pPr>
              <w:rPr>
                <w:color w:val="33CCCC"/>
                <w:sz w:val="24"/>
                <w:szCs w:val="24"/>
              </w:rPr>
            </w:pPr>
            <w:r w:rsidRPr="00C8637F">
              <w:rPr>
                <w:b/>
                <w:bCs/>
                <w:sz w:val="24"/>
                <w:szCs w:val="24"/>
              </w:rPr>
              <w:t>During Surgery and anaesthesia</w:t>
            </w:r>
          </w:p>
        </w:tc>
        <w:tc>
          <w:tcPr>
            <w:tcW w:w="4678" w:type="dxa"/>
          </w:tcPr>
          <w:p w14:paraId="2E112C44" w14:textId="2987FC21" w:rsidR="00702A68" w:rsidRDefault="18CE5CA5" w:rsidP="475BC16C">
            <w:r w:rsidRPr="475BC16C">
              <w:rPr>
                <w:rFonts w:ascii="Calibri" w:eastAsia="Calibri" w:hAnsi="Calibri" w:cs="Calibri"/>
              </w:rPr>
              <w:t>Laparoscopic/minimally invasive/robotic approaches should be used whenever feasible in preference to an open approach</w:t>
            </w:r>
          </w:p>
        </w:tc>
        <w:tc>
          <w:tcPr>
            <w:tcW w:w="3680" w:type="dxa"/>
          </w:tcPr>
          <w:p w14:paraId="63DBF42F" w14:textId="77777777" w:rsidR="00702A68" w:rsidRDefault="00702A68" w:rsidP="00702A68">
            <w:pPr>
              <w:rPr>
                <w:color w:val="33CCCC"/>
                <w:sz w:val="32"/>
                <w:szCs w:val="32"/>
              </w:rPr>
            </w:pPr>
          </w:p>
        </w:tc>
      </w:tr>
      <w:tr w:rsidR="475BC16C" w14:paraId="376B9A17" w14:textId="77777777" w:rsidTr="00CC22DE">
        <w:trPr>
          <w:trHeight w:val="300"/>
        </w:trPr>
        <w:tc>
          <w:tcPr>
            <w:tcW w:w="1838" w:type="dxa"/>
          </w:tcPr>
          <w:p w14:paraId="29BB7FEC" w14:textId="2FF82862" w:rsidR="475BC16C" w:rsidRDefault="475BC16C" w:rsidP="475BC16C">
            <w:pPr>
              <w:rPr>
                <w:b/>
                <w:bCs/>
                <w:sz w:val="24"/>
                <w:szCs w:val="24"/>
              </w:rPr>
            </w:pPr>
          </w:p>
        </w:tc>
        <w:tc>
          <w:tcPr>
            <w:tcW w:w="4678" w:type="dxa"/>
          </w:tcPr>
          <w:p w14:paraId="7FA0F91A" w14:textId="5F6F1B4A" w:rsidR="475BC16C" w:rsidRDefault="18CE5CA5" w:rsidP="475BC16C">
            <w:r>
              <w:t>Re-draping before closure</w:t>
            </w:r>
          </w:p>
        </w:tc>
        <w:tc>
          <w:tcPr>
            <w:tcW w:w="3680" w:type="dxa"/>
          </w:tcPr>
          <w:p w14:paraId="3124F087" w14:textId="33800E87" w:rsidR="475BC16C" w:rsidRDefault="475BC16C" w:rsidP="475BC16C">
            <w:pPr>
              <w:rPr>
                <w:color w:val="33CCCC"/>
                <w:sz w:val="32"/>
                <w:szCs w:val="32"/>
              </w:rPr>
            </w:pPr>
          </w:p>
        </w:tc>
      </w:tr>
      <w:tr w:rsidR="00702A68" w14:paraId="58780FC2" w14:textId="77777777" w:rsidTr="00CC22DE">
        <w:trPr>
          <w:trHeight w:val="470"/>
        </w:trPr>
        <w:tc>
          <w:tcPr>
            <w:tcW w:w="1838" w:type="dxa"/>
          </w:tcPr>
          <w:p w14:paraId="3DBBF7CC" w14:textId="77777777" w:rsidR="00702A68" w:rsidRPr="00C8637F" w:rsidRDefault="00702A68" w:rsidP="00C8637F">
            <w:pPr>
              <w:rPr>
                <w:color w:val="33CCCC"/>
                <w:sz w:val="24"/>
                <w:szCs w:val="24"/>
              </w:rPr>
            </w:pPr>
          </w:p>
        </w:tc>
        <w:tc>
          <w:tcPr>
            <w:tcW w:w="4678" w:type="dxa"/>
          </w:tcPr>
          <w:p w14:paraId="6F1E32A2" w14:textId="53EA23C0" w:rsidR="00702A68" w:rsidRDefault="5CBC8A5D" w:rsidP="00702A68">
            <w:pPr>
              <w:rPr>
                <w:color w:val="33CCCC"/>
                <w:sz w:val="32"/>
                <w:szCs w:val="32"/>
              </w:rPr>
            </w:pPr>
            <w:r>
              <w:t>Gown change before wound closure</w:t>
            </w:r>
          </w:p>
        </w:tc>
        <w:tc>
          <w:tcPr>
            <w:tcW w:w="3680" w:type="dxa"/>
          </w:tcPr>
          <w:p w14:paraId="748975C5" w14:textId="77777777" w:rsidR="00702A68" w:rsidRDefault="00702A68" w:rsidP="00702A68">
            <w:pPr>
              <w:rPr>
                <w:color w:val="33CCCC"/>
                <w:sz w:val="32"/>
                <w:szCs w:val="32"/>
              </w:rPr>
            </w:pPr>
          </w:p>
        </w:tc>
      </w:tr>
      <w:tr w:rsidR="4139112A" w14:paraId="75F15F5E" w14:textId="77777777" w:rsidTr="00CC22DE">
        <w:trPr>
          <w:trHeight w:val="300"/>
        </w:trPr>
        <w:tc>
          <w:tcPr>
            <w:tcW w:w="1838" w:type="dxa"/>
          </w:tcPr>
          <w:p w14:paraId="7C9C687D" w14:textId="678F7EDD" w:rsidR="4139112A" w:rsidRDefault="4139112A" w:rsidP="4139112A">
            <w:pPr>
              <w:rPr>
                <w:color w:val="33CCCC"/>
                <w:sz w:val="24"/>
                <w:szCs w:val="24"/>
              </w:rPr>
            </w:pPr>
          </w:p>
        </w:tc>
        <w:tc>
          <w:tcPr>
            <w:tcW w:w="4678" w:type="dxa"/>
          </w:tcPr>
          <w:p w14:paraId="572F3DD3" w14:textId="22E385F2" w:rsidR="4139112A" w:rsidRDefault="4F8DC063" w:rsidP="4139112A">
            <w:r w:rsidRPr="4139112A">
              <w:rPr>
                <w:rFonts w:ascii="Calibri" w:eastAsia="Calibri" w:hAnsi="Calibri" w:cs="Calibri"/>
              </w:rPr>
              <w:t>Irrigation of the superficial layers of the incision with aqueous povidone iodine</w:t>
            </w:r>
          </w:p>
        </w:tc>
        <w:tc>
          <w:tcPr>
            <w:tcW w:w="3680" w:type="dxa"/>
          </w:tcPr>
          <w:p w14:paraId="306F2F25" w14:textId="53500EFD" w:rsidR="4139112A" w:rsidRDefault="4139112A" w:rsidP="4139112A">
            <w:pPr>
              <w:rPr>
                <w:color w:val="33CCCC"/>
                <w:sz w:val="32"/>
                <w:szCs w:val="32"/>
              </w:rPr>
            </w:pPr>
          </w:p>
        </w:tc>
      </w:tr>
      <w:tr w:rsidR="4139112A" w14:paraId="33ACC4C5" w14:textId="77777777" w:rsidTr="00CC22DE">
        <w:trPr>
          <w:trHeight w:val="300"/>
        </w:trPr>
        <w:tc>
          <w:tcPr>
            <w:tcW w:w="1838" w:type="dxa"/>
          </w:tcPr>
          <w:p w14:paraId="7382C9BF" w14:textId="4C973619" w:rsidR="4139112A" w:rsidRDefault="4139112A" w:rsidP="4139112A">
            <w:pPr>
              <w:rPr>
                <w:color w:val="33CCCC"/>
                <w:sz w:val="24"/>
                <w:szCs w:val="24"/>
              </w:rPr>
            </w:pPr>
          </w:p>
        </w:tc>
        <w:tc>
          <w:tcPr>
            <w:tcW w:w="4678" w:type="dxa"/>
          </w:tcPr>
          <w:p w14:paraId="4019ECC3" w14:textId="0C2F4555" w:rsidR="4139112A" w:rsidRDefault="4F8DC063" w:rsidP="4139112A">
            <w:pPr>
              <w:rPr>
                <w:rFonts w:ascii="Calibri" w:eastAsia="Calibri" w:hAnsi="Calibri" w:cs="Calibri"/>
              </w:rPr>
            </w:pPr>
            <w:r w:rsidRPr="4139112A">
              <w:rPr>
                <w:rFonts w:ascii="Calibri" w:eastAsia="Calibri" w:hAnsi="Calibri" w:cs="Calibri"/>
              </w:rPr>
              <w:t>Closure of the incision in layers, including subcuticular closure (no staples to skin)</w:t>
            </w:r>
          </w:p>
        </w:tc>
        <w:tc>
          <w:tcPr>
            <w:tcW w:w="3680" w:type="dxa"/>
          </w:tcPr>
          <w:p w14:paraId="4037527F" w14:textId="65A79360" w:rsidR="4139112A" w:rsidRDefault="4139112A" w:rsidP="4139112A">
            <w:pPr>
              <w:rPr>
                <w:color w:val="33CCCC"/>
                <w:sz w:val="32"/>
                <w:szCs w:val="32"/>
              </w:rPr>
            </w:pPr>
          </w:p>
        </w:tc>
      </w:tr>
      <w:tr w:rsidR="475BC16C" w14:paraId="336807A6" w14:textId="77777777" w:rsidTr="00CC22DE">
        <w:trPr>
          <w:trHeight w:val="300"/>
        </w:trPr>
        <w:tc>
          <w:tcPr>
            <w:tcW w:w="1838" w:type="dxa"/>
          </w:tcPr>
          <w:p w14:paraId="1547DA2E" w14:textId="5D2054F6" w:rsidR="475BC16C" w:rsidRDefault="475BC16C" w:rsidP="475BC16C">
            <w:pPr>
              <w:rPr>
                <w:color w:val="33CCCC"/>
                <w:sz w:val="24"/>
                <w:szCs w:val="24"/>
              </w:rPr>
            </w:pPr>
          </w:p>
        </w:tc>
        <w:tc>
          <w:tcPr>
            <w:tcW w:w="4678" w:type="dxa"/>
          </w:tcPr>
          <w:p w14:paraId="440C5427" w14:textId="1CF25A40" w:rsidR="5454165D" w:rsidRDefault="5454165D" w:rsidP="475BC16C">
            <w:r w:rsidRPr="475BC16C">
              <w:rPr>
                <w:rFonts w:ascii="Calibri" w:eastAsia="Calibri" w:hAnsi="Calibri" w:cs="Calibri"/>
              </w:rPr>
              <w:t>Wounds closed and dressings applied prior to opening the bowel to create the stoma</w:t>
            </w:r>
          </w:p>
        </w:tc>
        <w:tc>
          <w:tcPr>
            <w:tcW w:w="3680" w:type="dxa"/>
          </w:tcPr>
          <w:p w14:paraId="10159AB6" w14:textId="6DA07506" w:rsidR="475BC16C" w:rsidRDefault="475BC16C" w:rsidP="475BC16C">
            <w:pPr>
              <w:rPr>
                <w:color w:val="33CCCC"/>
                <w:sz w:val="32"/>
                <w:szCs w:val="32"/>
              </w:rPr>
            </w:pPr>
          </w:p>
        </w:tc>
      </w:tr>
      <w:tr w:rsidR="00702A68" w14:paraId="76DC5D03" w14:textId="77777777" w:rsidTr="00CC22DE">
        <w:tc>
          <w:tcPr>
            <w:tcW w:w="1838" w:type="dxa"/>
          </w:tcPr>
          <w:p w14:paraId="110175CC" w14:textId="5A01A940" w:rsidR="00702A68" w:rsidRPr="00C8637F" w:rsidRDefault="00702A68" w:rsidP="00C8637F">
            <w:pPr>
              <w:rPr>
                <w:color w:val="33CCCC"/>
                <w:sz w:val="24"/>
                <w:szCs w:val="24"/>
              </w:rPr>
            </w:pPr>
            <w:r w:rsidRPr="00C8637F">
              <w:rPr>
                <w:b/>
                <w:bCs/>
                <w:sz w:val="24"/>
                <w:szCs w:val="24"/>
              </w:rPr>
              <w:t>After Surgery</w:t>
            </w:r>
          </w:p>
        </w:tc>
        <w:tc>
          <w:tcPr>
            <w:tcW w:w="4678" w:type="dxa"/>
          </w:tcPr>
          <w:p w14:paraId="0010D14E" w14:textId="59E4385B" w:rsidR="00702A68" w:rsidRDefault="00702A68" w:rsidP="00702A68">
            <w:pPr>
              <w:rPr>
                <w:color w:val="33CCCC"/>
                <w:sz w:val="32"/>
                <w:szCs w:val="32"/>
              </w:rPr>
            </w:pPr>
            <w:r>
              <w:t>Occlusive dressing (5 days)</w:t>
            </w:r>
          </w:p>
        </w:tc>
        <w:tc>
          <w:tcPr>
            <w:tcW w:w="3680" w:type="dxa"/>
          </w:tcPr>
          <w:p w14:paraId="203A47AC" w14:textId="77777777" w:rsidR="00702A68" w:rsidRDefault="00702A68" w:rsidP="00702A68">
            <w:pPr>
              <w:rPr>
                <w:color w:val="33CCCC"/>
                <w:sz w:val="32"/>
                <w:szCs w:val="32"/>
              </w:rPr>
            </w:pPr>
          </w:p>
        </w:tc>
      </w:tr>
    </w:tbl>
    <w:p w14:paraId="064D44EC" w14:textId="582FBB4E" w:rsidR="00216851" w:rsidRDefault="00216851">
      <w:pPr>
        <w:rPr>
          <w:color w:val="33CCCC"/>
          <w:sz w:val="32"/>
          <w:szCs w:val="32"/>
        </w:rPr>
      </w:pPr>
    </w:p>
    <w:p w14:paraId="3209D676" w14:textId="77777777" w:rsidR="00216851" w:rsidRDefault="00216851">
      <w:pPr>
        <w:rPr>
          <w:color w:val="33CCCC"/>
          <w:sz w:val="32"/>
          <w:szCs w:val="32"/>
        </w:rPr>
      </w:pPr>
      <w:r>
        <w:rPr>
          <w:color w:val="33CCCC"/>
          <w:sz w:val="32"/>
          <w:szCs w:val="32"/>
        </w:rPr>
        <w:br w:type="page"/>
      </w:r>
    </w:p>
    <w:p w14:paraId="2A4C5F63" w14:textId="580E2763" w:rsidR="00A02538" w:rsidRDefault="00A02538" w:rsidP="00A02538">
      <w:pPr>
        <w:rPr>
          <w:color w:val="33CCCC"/>
          <w:sz w:val="32"/>
          <w:szCs w:val="32"/>
        </w:rPr>
      </w:pPr>
      <w:r>
        <w:rPr>
          <w:color w:val="33CCCC"/>
          <w:sz w:val="32"/>
          <w:szCs w:val="32"/>
        </w:rPr>
        <w:lastRenderedPageBreak/>
        <w:t>Table 3 – ERAS elements for enhanced recovery</w:t>
      </w:r>
    </w:p>
    <w:tbl>
      <w:tblPr>
        <w:tblStyle w:val="TableGrid"/>
        <w:tblW w:w="10201" w:type="dxa"/>
        <w:tblLook w:val="04A0" w:firstRow="1" w:lastRow="0" w:firstColumn="1" w:lastColumn="0" w:noHBand="0" w:noVBand="1"/>
      </w:tblPr>
      <w:tblGrid>
        <w:gridCol w:w="1838"/>
        <w:gridCol w:w="4678"/>
        <w:gridCol w:w="3685"/>
      </w:tblGrid>
      <w:tr w:rsidR="00CB1FB4" w14:paraId="16292E3F" w14:textId="77777777" w:rsidTr="00A971E2">
        <w:trPr>
          <w:trHeight w:val="363"/>
        </w:trPr>
        <w:tc>
          <w:tcPr>
            <w:tcW w:w="1838" w:type="dxa"/>
            <w:shd w:val="clear" w:color="auto" w:fill="D9D9D9" w:themeFill="background1" w:themeFillShade="D9"/>
            <w:vAlign w:val="bottom"/>
          </w:tcPr>
          <w:p w14:paraId="17123DE4" w14:textId="5C423D04" w:rsidR="00CB1FB4" w:rsidRPr="00C8637F" w:rsidRDefault="00CB1FB4" w:rsidP="000C38A7">
            <w:pPr>
              <w:rPr>
                <w:b/>
                <w:bCs/>
                <w:sz w:val="24"/>
                <w:szCs w:val="24"/>
              </w:rPr>
            </w:pPr>
            <w:r>
              <w:rPr>
                <w:b/>
                <w:bCs/>
                <w:sz w:val="24"/>
                <w:szCs w:val="24"/>
              </w:rPr>
              <w:t>Bundle elements</w:t>
            </w:r>
          </w:p>
        </w:tc>
        <w:tc>
          <w:tcPr>
            <w:tcW w:w="4678" w:type="dxa"/>
            <w:shd w:val="clear" w:color="auto" w:fill="D9D9D9" w:themeFill="background1" w:themeFillShade="D9"/>
            <w:vAlign w:val="bottom"/>
          </w:tcPr>
          <w:p w14:paraId="31DD07E8" w14:textId="23D04031" w:rsidR="00CB1FB4" w:rsidRPr="00C8637F" w:rsidRDefault="00CB1FB4" w:rsidP="000C38A7">
            <w:pPr>
              <w:rPr>
                <w:b/>
                <w:bCs/>
                <w:sz w:val="24"/>
                <w:szCs w:val="24"/>
              </w:rPr>
            </w:pPr>
            <w:r w:rsidRPr="00C8637F">
              <w:rPr>
                <w:b/>
                <w:bCs/>
                <w:sz w:val="24"/>
                <w:szCs w:val="24"/>
              </w:rPr>
              <w:t>ERAS elements</w:t>
            </w:r>
          </w:p>
        </w:tc>
        <w:tc>
          <w:tcPr>
            <w:tcW w:w="3685" w:type="dxa"/>
            <w:shd w:val="clear" w:color="auto" w:fill="D9D9D9" w:themeFill="background1" w:themeFillShade="D9"/>
            <w:vAlign w:val="bottom"/>
          </w:tcPr>
          <w:p w14:paraId="07850BFA" w14:textId="2F68CB48" w:rsidR="00CB1FB4" w:rsidRPr="00C8637F" w:rsidRDefault="2EA8E0DA" w:rsidP="00A971E2">
            <w:pPr>
              <w:spacing w:after="80"/>
              <w:rPr>
                <w:b/>
                <w:bCs/>
                <w:sz w:val="24"/>
                <w:szCs w:val="24"/>
              </w:rPr>
            </w:pPr>
            <w:r w:rsidRPr="691898F8">
              <w:rPr>
                <w:b/>
                <w:bCs/>
                <w:sz w:val="24"/>
                <w:szCs w:val="24"/>
              </w:rPr>
              <w:t>Explanatory Notes &amp; Considerations for implementation</w:t>
            </w:r>
          </w:p>
        </w:tc>
      </w:tr>
      <w:tr w:rsidR="00CB1FB4" w14:paraId="3C893348" w14:textId="77777777" w:rsidTr="00A971E2">
        <w:tc>
          <w:tcPr>
            <w:tcW w:w="1838" w:type="dxa"/>
            <w:vMerge w:val="restart"/>
          </w:tcPr>
          <w:p w14:paraId="4EF41EB9" w14:textId="77777777" w:rsidR="00CB1FB4" w:rsidRPr="00C8637F" w:rsidRDefault="015EE8B8" w:rsidP="000C38A7">
            <w:pPr>
              <w:rPr>
                <w:b/>
                <w:bCs/>
                <w:color w:val="33CCCC"/>
                <w:sz w:val="24"/>
                <w:szCs w:val="24"/>
              </w:rPr>
            </w:pPr>
            <w:r w:rsidRPr="475BC16C">
              <w:rPr>
                <w:b/>
                <w:bCs/>
                <w:sz w:val="24"/>
                <w:szCs w:val="24"/>
              </w:rPr>
              <w:t>Before Surgery</w:t>
            </w:r>
          </w:p>
        </w:tc>
        <w:tc>
          <w:tcPr>
            <w:tcW w:w="4678" w:type="dxa"/>
          </w:tcPr>
          <w:p w14:paraId="064B7D2C" w14:textId="3F8D7A58" w:rsidR="00CB1FB4" w:rsidRPr="00C8637F" w:rsidRDefault="015EE8B8" w:rsidP="475BC16C">
            <w:r>
              <w:t>Immunonutritio</w:t>
            </w:r>
            <w:r w:rsidR="4A424D58">
              <w:t>n</w:t>
            </w:r>
          </w:p>
        </w:tc>
        <w:tc>
          <w:tcPr>
            <w:tcW w:w="3685" w:type="dxa"/>
          </w:tcPr>
          <w:p w14:paraId="190DABEC" w14:textId="30052AD0" w:rsidR="00CB1FB4" w:rsidRPr="00C8637F" w:rsidRDefault="11F174A8" w:rsidP="475BC16C">
            <w:r w:rsidRPr="475BC16C">
              <w:t xml:space="preserve">Immunonutrition should be given </w:t>
            </w:r>
            <w:r w:rsidR="5686A3CD" w:rsidRPr="475BC16C">
              <w:t xml:space="preserve">for </w:t>
            </w:r>
            <w:r w:rsidRPr="475BC16C">
              <w:t>up to 5 days before surgery</w:t>
            </w:r>
            <w:r w:rsidR="72D2B90F">
              <w:t xml:space="preserve"> to reduce postoperative infectious complications</w:t>
            </w:r>
          </w:p>
        </w:tc>
      </w:tr>
      <w:tr w:rsidR="475BC16C" w14:paraId="0CEFBCDD" w14:textId="77777777" w:rsidTr="00A971E2">
        <w:trPr>
          <w:trHeight w:val="300"/>
        </w:trPr>
        <w:tc>
          <w:tcPr>
            <w:tcW w:w="1838" w:type="dxa"/>
            <w:vMerge/>
          </w:tcPr>
          <w:p w14:paraId="5525DC35" w14:textId="77777777" w:rsidR="004544DB" w:rsidRDefault="004544DB"/>
        </w:tc>
        <w:tc>
          <w:tcPr>
            <w:tcW w:w="4678" w:type="dxa"/>
          </w:tcPr>
          <w:p w14:paraId="12F1BFF5" w14:textId="4903BBF4" w:rsidR="390EDBF4" w:rsidRDefault="390EDBF4" w:rsidP="475BC16C">
            <w:r>
              <w:t>Comorbidities should be optimised before surgery and identified for postoperative planning</w:t>
            </w:r>
          </w:p>
        </w:tc>
        <w:tc>
          <w:tcPr>
            <w:tcW w:w="3685" w:type="dxa"/>
          </w:tcPr>
          <w:p w14:paraId="61835548" w14:textId="2ED9E75F" w:rsidR="475BC16C" w:rsidRDefault="475BC16C" w:rsidP="475BC16C"/>
        </w:tc>
      </w:tr>
      <w:tr w:rsidR="475BC16C" w14:paraId="53237A78" w14:textId="77777777" w:rsidTr="00A971E2">
        <w:trPr>
          <w:trHeight w:val="300"/>
        </w:trPr>
        <w:tc>
          <w:tcPr>
            <w:tcW w:w="1838" w:type="dxa"/>
            <w:vMerge/>
          </w:tcPr>
          <w:p w14:paraId="405D0534" w14:textId="77777777" w:rsidR="004544DB" w:rsidRDefault="004544DB"/>
        </w:tc>
        <w:tc>
          <w:tcPr>
            <w:tcW w:w="4678" w:type="dxa"/>
          </w:tcPr>
          <w:p w14:paraId="4273C212" w14:textId="44A49B03" w:rsidR="390EDBF4" w:rsidRDefault="390EDBF4" w:rsidP="475BC16C">
            <w:r>
              <w:t>Preadmission education and information should be provided to all patients prior to surgery</w:t>
            </w:r>
          </w:p>
        </w:tc>
        <w:tc>
          <w:tcPr>
            <w:tcW w:w="3685" w:type="dxa"/>
          </w:tcPr>
          <w:p w14:paraId="6F416AFA" w14:textId="0835C56F" w:rsidR="475BC16C" w:rsidRDefault="475BC16C" w:rsidP="475BC16C"/>
        </w:tc>
      </w:tr>
      <w:tr w:rsidR="00CB1FB4" w14:paraId="0042A2A8" w14:textId="77777777" w:rsidTr="00A971E2">
        <w:tc>
          <w:tcPr>
            <w:tcW w:w="1838" w:type="dxa"/>
            <w:vMerge/>
          </w:tcPr>
          <w:p w14:paraId="768133FC" w14:textId="77777777" w:rsidR="00CB1FB4" w:rsidRPr="00C8637F" w:rsidRDefault="00CB1FB4" w:rsidP="000C38A7">
            <w:pPr>
              <w:rPr>
                <w:color w:val="33CCCC"/>
                <w:sz w:val="24"/>
                <w:szCs w:val="24"/>
              </w:rPr>
            </w:pPr>
          </w:p>
        </w:tc>
        <w:tc>
          <w:tcPr>
            <w:tcW w:w="4678" w:type="dxa"/>
          </w:tcPr>
          <w:p w14:paraId="55B43ACA" w14:textId="274398B4" w:rsidR="00CB1FB4" w:rsidRPr="00702A68" w:rsidRDefault="00CB1FB4" w:rsidP="000C38A7">
            <w:r>
              <w:t>White (low residue) diet</w:t>
            </w:r>
          </w:p>
        </w:tc>
        <w:tc>
          <w:tcPr>
            <w:tcW w:w="3685" w:type="dxa"/>
          </w:tcPr>
          <w:p w14:paraId="7E40351D" w14:textId="77777777" w:rsidR="00CB1FB4" w:rsidRPr="00702A68" w:rsidRDefault="00CB1FB4" w:rsidP="000C38A7"/>
        </w:tc>
      </w:tr>
      <w:tr w:rsidR="00CB1FB4" w14:paraId="0E32C98A" w14:textId="77777777" w:rsidTr="00A971E2">
        <w:tc>
          <w:tcPr>
            <w:tcW w:w="1838" w:type="dxa"/>
            <w:vMerge/>
          </w:tcPr>
          <w:p w14:paraId="1766CA18" w14:textId="77777777" w:rsidR="00CB1FB4" w:rsidRPr="00C8637F" w:rsidRDefault="00CB1FB4" w:rsidP="000C38A7">
            <w:pPr>
              <w:rPr>
                <w:color w:val="33CCCC"/>
                <w:sz w:val="24"/>
                <w:szCs w:val="24"/>
              </w:rPr>
            </w:pPr>
          </w:p>
        </w:tc>
        <w:tc>
          <w:tcPr>
            <w:tcW w:w="4678" w:type="dxa"/>
          </w:tcPr>
          <w:p w14:paraId="5D63C400" w14:textId="04497232" w:rsidR="00CB1FB4" w:rsidRPr="00702A68" w:rsidRDefault="015EE8B8" w:rsidP="000C38A7">
            <w:r>
              <w:t>Dex drinks pre-surgery</w:t>
            </w:r>
          </w:p>
        </w:tc>
        <w:tc>
          <w:tcPr>
            <w:tcW w:w="3685" w:type="dxa"/>
          </w:tcPr>
          <w:p w14:paraId="57630E92" w14:textId="74114976" w:rsidR="00CB1FB4" w:rsidRPr="00702A68" w:rsidRDefault="48952DFD" w:rsidP="000C38A7">
            <w:r>
              <w:t>Preoperative carbohydrate loading (evening before and 2 hours before anaesthesia) may be used to improve insulin se</w:t>
            </w:r>
            <w:r w:rsidR="28655291">
              <w:t>nsitivity</w:t>
            </w:r>
          </w:p>
        </w:tc>
      </w:tr>
      <w:tr w:rsidR="00CB1FB4" w14:paraId="44E8EB3A" w14:textId="77777777" w:rsidTr="00A971E2">
        <w:tc>
          <w:tcPr>
            <w:tcW w:w="1838" w:type="dxa"/>
            <w:vMerge/>
          </w:tcPr>
          <w:p w14:paraId="4D6A6615" w14:textId="77777777" w:rsidR="00CB1FB4" w:rsidRPr="00C8637F" w:rsidRDefault="00CB1FB4" w:rsidP="000C38A7">
            <w:pPr>
              <w:rPr>
                <w:color w:val="33CCCC"/>
                <w:sz w:val="24"/>
                <w:szCs w:val="24"/>
              </w:rPr>
            </w:pPr>
          </w:p>
        </w:tc>
        <w:tc>
          <w:tcPr>
            <w:tcW w:w="4678" w:type="dxa"/>
          </w:tcPr>
          <w:p w14:paraId="05DB2141" w14:textId="50417FD6" w:rsidR="00CB1FB4" w:rsidRPr="00702A68" w:rsidRDefault="4F926BCE" w:rsidP="000C38A7">
            <w:r>
              <w:t xml:space="preserve">Sip clear fluids until sent to operating theatre </w:t>
            </w:r>
            <w:r w:rsidR="00CB1FB4">
              <w:t>(</w:t>
            </w:r>
            <w:proofErr w:type="spellStart"/>
            <w:r w:rsidR="00CB1FB4">
              <w:t>SipTilSend</w:t>
            </w:r>
            <w:proofErr w:type="spellEnd"/>
            <w:r w:rsidR="00CB1FB4">
              <w:t>)</w:t>
            </w:r>
          </w:p>
        </w:tc>
        <w:tc>
          <w:tcPr>
            <w:tcW w:w="3685" w:type="dxa"/>
          </w:tcPr>
          <w:p w14:paraId="42976420" w14:textId="39C520C0" w:rsidR="00CB1FB4" w:rsidRPr="00702A68" w:rsidRDefault="00B84585" w:rsidP="000C38A7">
            <w:hyperlink r:id="rId11" w:anchor=":~:text=4%2C5).-,Sip%20Til%20Send%20guideline,theatre%20or%20the%20procedural%20area." w:history="1">
              <w:r w:rsidRPr="2E390D6D">
                <w:rPr>
                  <w:rStyle w:val="Hyperlink"/>
                </w:rPr>
                <w:t>Statewide Sip Til Send fluid fasting guidance</w:t>
              </w:r>
            </w:hyperlink>
          </w:p>
        </w:tc>
      </w:tr>
      <w:tr w:rsidR="00CB1FB4" w14:paraId="45E701BE" w14:textId="77777777" w:rsidTr="00A971E2">
        <w:tc>
          <w:tcPr>
            <w:tcW w:w="1838" w:type="dxa"/>
            <w:vMerge/>
          </w:tcPr>
          <w:p w14:paraId="3694F47A" w14:textId="77777777" w:rsidR="00CB1FB4" w:rsidRPr="00C8637F" w:rsidRDefault="00CB1FB4" w:rsidP="000C38A7">
            <w:pPr>
              <w:rPr>
                <w:color w:val="33CCCC"/>
                <w:sz w:val="24"/>
                <w:szCs w:val="24"/>
              </w:rPr>
            </w:pPr>
          </w:p>
        </w:tc>
        <w:tc>
          <w:tcPr>
            <w:tcW w:w="4678" w:type="dxa"/>
          </w:tcPr>
          <w:p w14:paraId="0B73AF16" w14:textId="31EE0B62" w:rsidR="00CB1FB4" w:rsidRPr="00702A68" w:rsidRDefault="7AC2914B" w:rsidP="000C38A7">
            <w:r>
              <w:t>Short preoperative fasting (solids until 6 hours, c</w:t>
            </w:r>
            <w:r w:rsidR="015EE8B8">
              <w:t>lear fluids until 2 hours before</w:t>
            </w:r>
            <w:r w:rsidR="0C47D862">
              <w:t xml:space="preserve"> anaesthesia</w:t>
            </w:r>
            <w:r w:rsidR="015EE8B8">
              <w:t>)</w:t>
            </w:r>
          </w:p>
        </w:tc>
        <w:tc>
          <w:tcPr>
            <w:tcW w:w="3685" w:type="dxa"/>
          </w:tcPr>
          <w:p w14:paraId="70108C65" w14:textId="21DF9E52" w:rsidR="00CB1FB4" w:rsidRPr="00702A68" w:rsidRDefault="00CB1FB4" w:rsidP="000C38A7"/>
        </w:tc>
      </w:tr>
      <w:tr w:rsidR="00CB1FB4" w14:paraId="2A673276" w14:textId="77777777" w:rsidTr="00A971E2">
        <w:tc>
          <w:tcPr>
            <w:tcW w:w="1838" w:type="dxa"/>
            <w:vMerge/>
          </w:tcPr>
          <w:p w14:paraId="73A4D836" w14:textId="77777777" w:rsidR="00CB1FB4" w:rsidRPr="00C8637F" w:rsidRDefault="00CB1FB4" w:rsidP="000C38A7">
            <w:pPr>
              <w:rPr>
                <w:color w:val="33CCCC"/>
                <w:sz w:val="24"/>
                <w:szCs w:val="24"/>
              </w:rPr>
            </w:pPr>
          </w:p>
        </w:tc>
        <w:tc>
          <w:tcPr>
            <w:tcW w:w="4678" w:type="dxa"/>
          </w:tcPr>
          <w:p w14:paraId="16079165" w14:textId="11CD30AE" w:rsidR="00CB1FB4" w:rsidRDefault="00CB1FB4" w:rsidP="000C38A7"/>
        </w:tc>
        <w:tc>
          <w:tcPr>
            <w:tcW w:w="3685" w:type="dxa"/>
          </w:tcPr>
          <w:p w14:paraId="3B619A3F" w14:textId="77777777" w:rsidR="00CB1FB4" w:rsidRPr="00702A68" w:rsidRDefault="00CB1FB4" w:rsidP="000C38A7"/>
        </w:tc>
      </w:tr>
      <w:tr w:rsidR="00CB1FB4" w14:paraId="68C4D2E1" w14:textId="77777777" w:rsidTr="00A971E2">
        <w:tc>
          <w:tcPr>
            <w:tcW w:w="1838" w:type="dxa"/>
            <w:vMerge w:val="restart"/>
          </w:tcPr>
          <w:p w14:paraId="4A3AA406" w14:textId="77777777" w:rsidR="00CB1FB4" w:rsidRPr="00C8637F" w:rsidRDefault="00CB1FB4" w:rsidP="000C38A7">
            <w:pPr>
              <w:rPr>
                <w:color w:val="33CCCC"/>
                <w:sz w:val="24"/>
                <w:szCs w:val="24"/>
              </w:rPr>
            </w:pPr>
            <w:r w:rsidRPr="00C8637F">
              <w:rPr>
                <w:b/>
                <w:bCs/>
                <w:sz w:val="24"/>
                <w:szCs w:val="24"/>
              </w:rPr>
              <w:t>During Surgery and anaesthesia</w:t>
            </w:r>
          </w:p>
        </w:tc>
        <w:tc>
          <w:tcPr>
            <w:tcW w:w="4678" w:type="dxa"/>
          </w:tcPr>
          <w:p w14:paraId="46B35764" w14:textId="073D1E9D" w:rsidR="00CB1FB4" w:rsidRPr="00702A68" w:rsidRDefault="34DE8633" w:rsidP="000C38A7">
            <w:r>
              <w:t>Laparoscopic &amp; minimally invasive approaches (when appropriate)</w:t>
            </w:r>
          </w:p>
        </w:tc>
        <w:tc>
          <w:tcPr>
            <w:tcW w:w="3685" w:type="dxa"/>
          </w:tcPr>
          <w:p w14:paraId="692C6FAB" w14:textId="77777777" w:rsidR="00CB1FB4" w:rsidRPr="00702A68" w:rsidRDefault="00CB1FB4" w:rsidP="000C38A7"/>
        </w:tc>
      </w:tr>
      <w:tr w:rsidR="475BC16C" w14:paraId="01C36C29" w14:textId="77777777" w:rsidTr="00A971E2">
        <w:trPr>
          <w:trHeight w:val="300"/>
        </w:trPr>
        <w:tc>
          <w:tcPr>
            <w:tcW w:w="1838" w:type="dxa"/>
            <w:vMerge/>
          </w:tcPr>
          <w:p w14:paraId="40E53612" w14:textId="77777777" w:rsidR="004544DB" w:rsidRDefault="004544DB"/>
        </w:tc>
        <w:tc>
          <w:tcPr>
            <w:tcW w:w="4678" w:type="dxa"/>
          </w:tcPr>
          <w:p w14:paraId="3DF7B0F2" w14:textId="271E349F" w:rsidR="475BC16C" w:rsidRDefault="34DE8633" w:rsidP="475BC16C">
            <w:r>
              <w:t>Opioid sparing strategies (lidocaine infusion)</w:t>
            </w:r>
          </w:p>
        </w:tc>
        <w:tc>
          <w:tcPr>
            <w:tcW w:w="3685" w:type="dxa"/>
          </w:tcPr>
          <w:p w14:paraId="7724F557" w14:textId="25FF1EB7" w:rsidR="475BC16C" w:rsidRDefault="475BC16C" w:rsidP="475BC16C"/>
        </w:tc>
      </w:tr>
      <w:tr w:rsidR="475BC16C" w14:paraId="039EC135" w14:textId="77777777" w:rsidTr="00A971E2">
        <w:trPr>
          <w:trHeight w:val="300"/>
        </w:trPr>
        <w:tc>
          <w:tcPr>
            <w:tcW w:w="1838" w:type="dxa"/>
            <w:vMerge/>
          </w:tcPr>
          <w:p w14:paraId="3D64255D" w14:textId="77777777" w:rsidR="004544DB" w:rsidRDefault="004544DB"/>
        </w:tc>
        <w:tc>
          <w:tcPr>
            <w:tcW w:w="4678" w:type="dxa"/>
          </w:tcPr>
          <w:p w14:paraId="73173845" w14:textId="10B3A079" w:rsidR="1604B4CA" w:rsidRDefault="1604B4CA">
            <w:r>
              <w:t>Avoid epidurals in laparoscopic surgery</w:t>
            </w:r>
          </w:p>
        </w:tc>
        <w:tc>
          <w:tcPr>
            <w:tcW w:w="3685" w:type="dxa"/>
          </w:tcPr>
          <w:p w14:paraId="312CA909" w14:textId="5B8F6BC6" w:rsidR="475BC16C" w:rsidRDefault="475BC16C" w:rsidP="475BC16C"/>
        </w:tc>
      </w:tr>
      <w:tr w:rsidR="00CB1FB4" w14:paraId="0CD913B0" w14:textId="77777777" w:rsidTr="00A971E2">
        <w:tc>
          <w:tcPr>
            <w:tcW w:w="1838" w:type="dxa"/>
            <w:vMerge/>
          </w:tcPr>
          <w:p w14:paraId="61DAE0D2" w14:textId="77777777" w:rsidR="00CB1FB4" w:rsidRPr="00C8637F" w:rsidRDefault="00CB1FB4" w:rsidP="000C38A7">
            <w:pPr>
              <w:rPr>
                <w:color w:val="33CCCC"/>
                <w:sz w:val="24"/>
                <w:szCs w:val="24"/>
              </w:rPr>
            </w:pPr>
          </w:p>
        </w:tc>
        <w:tc>
          <w:tcPr>
            <w:tcW w:w="4678" w:type="dxa"/>
          </w:tcPr>
          <w:p w14:paraId="24EFC563" w14:textId="325DB5DB" w:rsidR="00CB1FB4" w:rsidRPr="00702A68" w:rsidRDefault="015EE8B8" w:rsidP="000C38A7">
            <w:r>
              <w:t>Goal-directed fluid therapy</w:t>
            </w:r>
          </w:p>
        </w:tc>
        <w:tc>
          <w:tcPr>
            <w:tcW w:w="3685" w:type="dxa"/>
          </w:tcPr>
          <w:p w14:paraId="1D742C6D" w14:textId="64E4CD8C" w:rsidR="00CB1FB4" w:rsidRPr="00702A68" w:rsidRDefault="3A126BF3" w:rsidP="000C38A7">
            <w:r>
              <w:t>To maintain a slightly positive fluid balance on the day of surgery</w:t>
            </w:r>
          </w:p>
        </w:tc>
      </w:tr>
      <w:tr w:rsidR="00CB1FB4" w14:paraId="6EF02529" w14:textId="77777777" w:rsidTr="00A971E2">
        <w:tc>
          <w:tcPr>
            <w:tcW w:w="1838" w:type="dxa"/>
            <w:vMerge/>
          </w:tcPr>
          <w:p w14:paraId="7ED5025A" w14:textId="77777777" w:rsidR="00CB1FB4" w:rsidRPr="00C8637F" w:rsidRDefault="00CB1FB4" w:rsidP="000C38A7">
            <w:pPr>
              <w:rPr>
                <w:color w:val="33CCCC"/>
                <w:sz w:val="24"/>
                <w:szCs w:val="24"/>
              </w:rPr>
            </w:pPr>
          </w:p>
        </w:tc>
        <w:tc>
          <w:tcPr>
            <w:tcW w:w="4678" w:type="dxa"/>
          </w:tcPr>
          <w:p w14:paraId="4CC83878" w14:textId="062CC389" w:rsidR="00CB1FB4" w:rsidRPr="00702A68" w:rsidRDefault="00CB1FB4" w:rsidP="000C38A7">
            <w:r>
              <w:t>CO</w:t>
            </w:r>
            <w:r w:rsidRPr="00702A68">
              <w:t xml:space="preserve">2 </w:t>
            </w:r>
            <w:r>
              <w:t>humidification</w:t>
            </w:r>
          </w:p>
        </w:tc>
        <w:tc>
          <w:tcPr>
            <w:tcW w:w="3685" w:type="dxa"/>
          </w:tcPr>
          <w:p w14:paraId="382B4483" w14:textId="77777777" w:rsidR="00CB1FB4" w:rsidRPr="00702A68" w:rsidRDefault="00CB1FB4" w:rsidP="000C38A7"/>
        </w:tc>
      </w:tr>
      <w:tr w:rsidR="00CB1FB4" w14:paraId="7AA5C20D" w14:textId="77777777" w:rsidTr="00A971E2">
        <w:tc>
          <w:tcPr>
            <w:tcW w:w="1838" w:type="dxa"/>
            <w:vMerge/>
          </w:tcPr>
          <w:p w14:paraId="2DCA890B" w14:textId="77777777" w:rsidR="00CB1FB4" w:rsidRPr="00C8637F" w:rsidRDefault="00CB1FB4" w:rsidP="000C38A7">
            <w:pPr>
              <w:rPr>
                <w:color w:val="33CCCC"/>
                <w:sz w:val="24"/>
                <w:szCs w:val="24"/>
              </w:rPr>
            </w:pPr>
          </w:p>
        </w:tc>
        <w:tc>
          <w:tcPr>
            <w:tcW w:w="4678" w:type="dxa"/>
          </w:tcPr>
          <w:p w14:paraId="4DF825E4" w14:textId="44DC0585" w:rsidR="00CB1FB4" w:rsidRDefault="00CB1FB4" w:rsidP="000C38A7">
            <w:r>
              <w:t>Warmed IV fluids</w:t>
            </w:r>
          </w:p>
        </w:tc>
        <w:tc>
          <w:tcPr>
            <w:tcW w:w="3685" w:type="dxa"/>
          </w:tcPr>
          <w:p w14:paraId="43D26CD3" w14:textId="77777777" w:rsidR="00CB1FB4" w:rsidRPr="00702A68" w:rsidRDefault="00CB1FB4" w:rsidP="000C38A7"/>
        </w:tc>
      </w:tr>
      <w:tr w:rsidR="00CB1FB4" w14:paraId="2C7371D8" w14:textId="77777777" w:rsidTr="00A971E2">
        <w:tc>
          <w:tcPr>
            <w:tcW w:w="1838" w:type="dxa"/>
            <w:vMerge/>
          </w:tcPr>
          <w:p w14:paraId="0DCE925B" w14:textId="77777777" w:rsidR="00CB1FB4" w:rsidRPr="00C8637F" w:rsidRDefault="00CB1FB4" w:rsidP="000C38A7">
            <w:pPr>
              <w:rPr>
                <w:color w:val="33CCCC"/>
                <w:sz w:val="24"/>
                <w:szCs w:val="24"/>
              </w:rPr>
            </w:pPr>
          </w:p>
        </w:tc>
        <w:tc>
          <w:tcPr>
            <w:tcW w:w="4678" w:type="dxa"/>
          </w:tcPr>
          <w:p w14:paraId="48D1554B" w14:textId="0D843792" w:rsidR="00CB1FB4" w:rsidRPr="00702A68" w:rsidRDefault="015EE8B8" w:rsidP="000C38A7">
            <w:r>
              <w:t xml:space="preserve">Minimise use of NGT </w:t>
            </w:r>
          </w:p>
        </w:tc>
        <w:tc>
          <w:tcPr>
            <w:tcW w:w="3685" w:type="dxa"/>
          </w:tcPr>
          <w:p w14:paraId="21C20CD8" w14:textId="4D1AC040" w:rsidR="00CB1FB4" w:rsidRPr="00702A68" w:rsidRDefault="2118A3AC" w:rsidP="000C38A7">
            <w:r>
              <w:t>Prophylactic NGT is not recommended after colorectal surgery</w:t>
            </w:r>
          </w:p>
        </w:tc>
      </w:tr>
      <w:tr w:rsidR="00CB1FB4" w14:paraId="04989F84" w14:textId="77777777" w:rsidTr="00A971E2">
        <w:tc>
          <w:tcPr>
            <w:tcW w:w="1838" w:type="dxa"/>
            <w:vMerge/>
          </w:tcPr>
          <w:p w14:paraId="5B228B72" w14:textId="77777777" w:rsidR="00CB1FB4" w:rsidRPr="00C8637F" w:rsidRDefault="00CB1FB4" w:rsidP="000C38A7">
            <w:pPr>
              <w:rPr>
                <w:color w:val="33CCCC"/>
                <w:sz w:val="24"/>
                <w:szCs w:val="24"/>
              </w:rPr>
            </w:pPr>
          </w:p>
        </w:tc>
        <w:tc>
          <w:tcPr>
            <w:tcW w:w="4678" w:type="dxa"/>
          </w:tcPr>
          <w:p w14:paraId="574C7E49" w14:textId="5C76FC96" w:rsidR="00CB1FB4" w:rsidRDefault="00CB1FB4" w:rsidP="000C38A7">
            <w:r>
              <w:t>VTE prophylaxis</w:t>
            </w:r>
          </w:p>
        </w:tc>
        <w:tc>
          <w:tcPr>
            <w:tcW w:w="3685" w:type="dxa"/>
          </w:tcPr>
          <w:p w14:paraId="2C95A99C" w14:textId="6C2982B3" w:rsidR="00CB1FB4" w:rsidRPr="00702A68" w:rsidRDefault="007F0BE1" w:rsidP="000C38A7">
            <w:hyperlink r:id="rId12" w:history="1">
              <w:r w:rsidRPr="2E390D6D">
                <w:rPr>
                  <w:rStyle w:val="Hyperlink"/>
                </w:rPr>
                <w:t>Victorian Guideline for the Prevention of Venous Thromboembolism in Adult Hospitalised Patients</w:t>
              </w:r>
            </w:hyperlink>
          </w:p>
        </w:tc>
      </w:tr>
      <w:tr w:rsidR="00CB1FB4" w14:paraId="4296D692" w14:textId="77777777" w:rsidTr="00A971E2">
        <w:tc>
          <w:tcPr>
            <w:tcW w:w="1838" w:type="dxa"/>
            <w:vMerge/>
          </w:tcPr>
          <w:p w14:paraId="53E3AC5B" w14:textId="77777777" w:rsidR="00CB1FB4" w:rsidRPr="00C8637F" w:rsidRDefault="00CB1FB4" w:rsidP="000C38A7">
            <w:pPr>
              <w:rPr>
                <w:color w:val="33CCCC"/>
                <w:sz w:val="24"/>
                <w:szCs w:val="24"/>
              </w:rPr>
            </w:pPr>
          </w:p>
        </w:tc>
        <w:tc>
          <w:tcPr>
            <w:tcW w:w="4678" w:type="dxa"/>
          </w:tcPr>
          <w:p w14:paraId="6057FD9E" w14:textId="1783E739" w:rsidR="00CB1FB4" w:rsidRDefault="00CB1FB4" w:rsidP="000C38A7">
            <w:r>
              <w:t>Minimise use of drains</w:t>
            </w:r>
          </w:p>
        </w:tc>
        <w:tc>
          <w:tcPr>
            <w:tcW w:w="3685" w:type="dxa"/>
          </w:tcPr>
          <w:p w14:paraId="2AA97915" w14:textId="3A4A2A9B" w:rsidR="00CB1FB4" w:rsidRPr="00702A68" w:rsidRDefault="00CB1FB4" w:rsidP="000C38A7"/>
        </w:tc>
      </w:tr>
      <w:tr w:rsidR="00CB1FB4" w14:paraId="1BB92E75" w14:textId="77777777" w:rsidTr="00A971E2">
        <w:tc>
          <w:tcPr>
            <w:tcW w:w="1838" w:type="dxa"/>
            <w:vMerge w:val="restart"/>
          </w:tcPr>
          <w:p w14:paraId="63E327DC" w14:textId="77777777" w:rsidR="00CB1FB4" w:rsidRPr="00C8637F" w:rsidRDefault="00CB1FB4" w:rsidP="00790597">
            <w:pPr>
              <w:rPr>
                <w:color w:val="33CCCC"/>
                <w:sz w:val="24"/>
                <w:szCs w:val="24"/>
              </w:rPr>
            </w:pPr>
            <w:r w:rsidRPr="00C8637F">
              <w:rPr>
                <w:b/>
                <w:bCs/>
                <w:sz w:val="24"/>
                <w:szCs w:val="24"/>
              </w:rPr>
              <w:t>After Surgery</w:t>
            </w:r>
          </w:p>
        </w:tc>
        <w:tc>
          <w:tcPr>
            <w:tcW w:w="4678" w:type="dxa"/>
          </w:tcPr>
          <w:p w14:paraId="1C7D0C33" w14:textId="30C1D315" w:rsidR="00CB1FB4" w:rsidRPr="00702A68" w:rsidRDefault="00CB1FB4" w:rsidP="00790597">
            <w:r>
              <w:t>Immunonutrition (5 days after)</w:t>
            </w:r>
          </w:p>
        </w:tc>
        <w:tc>
          <w:tcPr>
            <w:tcW w:w="3685" w:type="dxa"/>
          </w:tcPr>
          <w:p w14:paraId="0449BBE0" w14:textId="2211356F" w:rsidR="00CB1FB4" w:rsidRPr="00702A68" w:rsidRDefault="070DE18A" w:rsidP="00790597">
            <w:r>
              <w:t>Immunonutrition should be given for up to 5 days after surgery to reduce postoperative infectious complications</w:t>
            </w:r>
          </w:p>
        </w:tc>
      </w:tr>
      <w:tr w:rsidR="475BC16C" w14:paraId="1F150C9A" w14:textId="77777777" w:rsidTr="00A971E2">
        <w:trPr>
          <w:trHeight w:val="300"/>
        </w:trPr>
        <w:tc>
          <w:tcPr>
            <w:tcW w:w="1838" w:type="dxa"/>
            <w:vMerge/>
          </w:tcPr>
          <w:p w14:paraId="6815382F" w14:textId="77777777" w:rsidR="004544DB" w:rsidRDefault="004544DB"/>
        </w:tc>
        <w:tc>
          <w:tcPr>
            <w:tcW w:w="4678" w:type="dxa"/>
          </w:tcPr>
          <w:p w14:paraId="2199D9AC" w14:textId="76F96A23" w:rsidR="70AB7E73" w:rsidRDefault="70AB7E73" w:rsidP="475BC16C">
            <w:r>
              <w:t xml:space="preserve">Early oral </w:t>
            </w:r>
            <w:r w:rsidR="1BFC7E74">
              <w:t>nutrition</w:t>
            </w:r>
          </w:p>
        </w:tc>
        <w:tc>
          <w:tcPr>
            <w:tcW w:w="3685" w:type="dxa"/>
          </w:tcPr>
          <w:p w14:paraId="712C08FA" w14:textId="0C367633" w:rsidR="1BFC7E74" w:rsidRDefault="1BFC7E74" w:rsidP="475BC16C">
            <w:r>
              <w:t>Early gut feeding, preferably with oral nutritional supplements within 24 hours post-surgery to enhance nutrient intake, shorten hospital stay and restore gut</w:t>
            </w:r>
            <w:r w:rsidR="46565F0C">
              <w:t xml:space="preserve"> function</w:t>
            </w:r>
          </w:p>
        </w:tc>
      </w:tr>
      <w:tr w:rsidR="00CB1FB4" w14:paraId="5380F106" w14:textId="77777777" w:rsidTr="00A971E2">
        <w:tc>
          <w:tcPr>
            <w:tcW w:w="1838" w:type="dxa"/>
            <w:vMerge/>
          </w:tcPr>
          <w:p w14:paraId="7A74259D" w14:textId="77777777" w:rsidR="00CB1FB4" w:rsidRPr="0B3A49C8" w:rsidRDefault="00CB1FB4" w:rsidP="00790597">
            <w:pPr>
              <w:rPr>
                <w:b/>
                <w:bCs/>
              </w:rPr>
            </w:pPr>
          </w:p>
        </w:tc>
        <w:tc>
          <w:tcPr>
            <w:tcW w:w="4678" w:type="dxa"/>
          </w:tcPr>
          <w:p w14:paraId="54D3E6EE" w14:textId="46666C84" w:rsidR="00CB1FB4" w:rsidRDefault="06706638" w:rsidP="00790597">
            <w:r>
              <w:t>A</w:t>
            </w:r>
            <w:r w:rsidR="06E84C8C">
              <w:t>void epidurals &gt;48 hours for open surgery</w:t>
            </w:r>
          </w:p>
        </w:tc>
        <w:tc>
          <w:tcPr>
            <w:tcW w:w="3685" w:type="dxa"/>
          </w:tcPr>
          <w:p w14:paraId="604F0BB4" w14:textId="77777777" w:rsidR="00CB1FB4" w:rsidRPr="00702A68" w:rsidRDefault="00CB1FB4" w:rsidP="00790597"/>
        </w:tc>
      </w:tr>
      <w:tr w:rsidR="00CB1FB4" w14:paraId="7D6E4FD1" w14:textId="77777777" w:rsidTr="00A971E2">
        <w:tc>
          <w:tcPr>
            <w:tcW w:w="1838" w:type="dxa"/>
            <w:vMerge/>
          </w:tcPr>
          <w:p w14:paraId="5E2493FB" w14:textId="77777777" w:rsidR="00CB1FB4" w:rsidRPr="0B3A49C8" w:rsidRDefault="00CB1FB4" w:rsidP="00790597">
            <w:pPr>
              <w:rPr>
                <w:b/>
                <w:bCs/>
              </w:rPr>
            </w:pPr>
          </w:p>
        </w:tc>
        <w:tc>
          <w:tcPr>
            <w:tcW w:w="4678" w:type="dxa"/>
          </w:tcPr>
          <w:p w14:paraId="3C4DFAA5" w14:textId="7AAA6123" w:rsidR="00CB1FB4" w:rsidRDefault="00CB1FB4" w:rsidP="00790597">
            <w:r>
              <w:t>Minimise duration of PCAs</w:t>
            </w:r>
          </w:p>
        </w:tc>
        <w:tc>
          <w:tcPr>
            <w:tcW w:w="3685" w:type="dxa"/>
          </w:tcPr>
          <w:p w14:paraId="16956C74" w14:textId="77777777" w:rsidR="00CB1FB4" w:rsidRPr="00702A68" w:rsidRDefault="00CB1FB4" w:rsidP="00790597"/>
        </w:tc>
      </w:tr>
      <w:tr w:rsidR="00CB1FB4" w14:paraId="23403732" w14:textId="77777777" w:rsidTr="00A971E2">
        <w:tc>
          <w:tcPr>
            <w:tcW w:w="1838" w:type="dxa"/>
            <w:vMerge/>
          </w:tcPr>
          <w:p w14:paraId="763082A3" w14:textId="77777777" w:rsidR="00CB1FB4" w:rsidRPr="0B3A49C8" w:rsidRDefault="00CB1FB4" w:rsidP="00790597">
            <w:pPr>
              <w:rPr>
                <w:b/>
                <w:bCs/>
              </w:rPr>
            </w:pPr>
          </w:p>
        </w:tc>
        <w:tc>
          <w:tcPr>
            <w:tcW w:w="4678" w:type="dxa"/>
          </w:tcPr>
          <w:p w14:paraId="3E10A71E" w14:textId="5CA68530" w:rsidR="00CB1FB4" w:rsidRDefault="1A444067" w:rsidP="00790597">
            <w:r>
              <w:t>Early mobilisation</w:t>
            </w:r>
          </w:p>
        </w:tc>
        <w:tc>
          <w:tcPr>
            <w:tcW w:w="3685" w:type="dxa"/>
          </w:tcPr>
          <w:p w14:paraId="1FE80623" w14:textId="77777777" w:rsidR="00CB1FB4" w:rsidRPr="00702A68" w:rsidRDefault="00CB1FB4" w:rsidP="00790597"/>
        </w:tc>
      </w:tr>
    </w:tbl>
    <w:p w14:paraId="10F52817" w14:textId="52AAD132" w:rsidR="00C1619D" w:rsidRPr="003C55E6" w:rsidRDefault="00C1619D" w:rsidP="004A7992">
      <w:pPr>
        <w:rPr>
          <w:color w:val="33CCCC"/>
          <w:sz w:val="32"/>
          <w:szCs w:val="32"/>
        </w:rPr>
      </w:pPr>
      <w:r w:rsidRPr="003C55E6">
        <w:rPr>
          <w:color w:val="33CCCC"/>
          <w:sz w:val="32"/>
          <w:szCs w:val="32"/>
        </w:rPr>
        <w:t>References</w:t>
      </w:r>
    </w:p>
    <w:p w14:paraId="426F5148" w14:textId="4D5472D6" w:rsidR="00C1619D" w:rsidRPr="00BB341A" w:rsidRDefault="005907FC" w:rsidP="00C1619D">
      <w:pPr>
        <w:pStyle w:val="ListParagraph"/>
        <w:numPr>
          <w:ilvl w:val="0"/>
          <w:numId w:val="8"/>
        </w:numPr>
        <w:rPr>
          <w:rFonts w:asciiTheme="minorHAnsi" w:eastAsia="+mj-ea" w:hAnsiTheme="minorHAnsi" w:cstheme="minorHAnsi"/>
          <w:b/>
          <w:bCs/>
          <w:color w:val="FF0000"/>
          <w:kern w:val="24"/>
          <w:sz w:val="22"/>
          <w:szCs w:val="22"/>
        </w:rPr>
      </w:pPr>
      <w:proofErr w:type="spellStart"/>
      <w:r w:rsidRPr="00BB341A">
        <w:rPr>
          <w:rFonts w:asciiTheme="minorHAnsi" w:hAnsiTheme="minorHAnsi" w:cstheme="minorHAnsi"/>
          <w:sz w:val="22"/>
          <w:szCs w:val="22"/>
        </w:rPr>
        <w:t>Darouiche</w:t>
      </w:r>
      <w:proofErr w:type="spellEnd"/>
      <w:r w:rsidRPr="00BB341A">
        <w:rPr>
          <w:rFonts w:asciiTheme="minorHAnsi" w:hAnsiTheme="minorHAnsi" w:cstheme="minorHAnsi"/>
          <w:sz w:val="22"/>
          <w:szCs w:val="22"/>
        </w:rPr>
        <w:t xml:space="preserve"> RO, Wall MJ, Itani KMF, et al (2010) Chlorhexidine</w:t>
      </w:r>
      <w:r w:rsidR="008F0505" w:rsidRPr="00BB341A">
        <w:rPr>
          <w:rFonts w:asciiTheme="minorHAnsi" w:hAnsiTheme="minorHAnsi" w:cstheme="minorHAnsi"/>
          <w:sz w:val="22"/>
          <w:szCs w:val="22"/>
        </w:rPr>
        <w:t xml:space="preserve"> </w:t>
      </w:r>
      <w:r w:rsidRPr="00BB341A">
        <w:rPr>
          <w:rFonts w:asciiTheme="minorHAnsi" w:hAnsiTheme="minorHAnsi" w:cstheme="minorHAnsi"/>
          <w:sz w:val="22"/>
          <w:szCs w:val="22"/>
        </w:rPr>
        <w:t xml:space="preserve">alcohol versus povidone-iodine for surgical-site antisepsis. N Engl J Med 362:18–26.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10.1056/NEJMoa0810988</w:t>
      </w:r>
    </w:p>
    <w:p w14:paraId="779AACF1" w14:textId="77777777" w:rsidR="00C1619D" w:rsidRPr="00BB341A" w:rsidRDefault="005907FC"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Tanner J, Khan D, Aplin C, et al (2009) </w:t>
      </w:r>
      <w:proofErr w:type="gramStart"/>
      <w:r w:rsidRPr="00BB341A">
        <w:rPr>
          <w:rFonts w:asciiTheme="minorHAnsi" w:hAnsiTheme="minorHAnsi" w:cstheme="minorHAnsi"/>
          <w:sz w:val="22"/>
          <w:szCs w:val="22"/>
        </w:rPr>
        <w:t>Post-discharge</w:t>
      </w:r>
      <w:proofErr w:type="gramEnd"/>
      <w:r w:rsidRPr="00BB341A">
        <w:rPr>
          <w:rFonts w:asciiTheme="minorHAnsi" w:hAnsiTheme="minorHAnsi" w:cstheme="minorHAnsi"/>
          <w:sz w:val="22"/>
          <w:szCs w:val="22"/>
        </w:rPr>
        <w:t xml:space="preserve"> surveillance to identify colorectal surgical site infection rates and related costs. J Hosp Infect 72:243–250.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xml:space="preserve">: 10.1016/j.jhin.2009.03.021 </w:t>
      </w:r>
    </w:p>
    <w:p w14:paraId="0D718187" w14:textId="65DEBEF3" w:rsidR="005907FC" w:rsidRPr="00BB341A" w:rsidRDefault="005907FC"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Hübner M, Diana M, Zanetti G, et al (2011) Surgical site infections in colon surgery: the patient, the procedure, the hospital, and the surgeon. Arch Surg 146:1240–1245.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10.1001/archsurg.2011. 176</w:t>
      </w:r>
    </w:p>
    <w:p w14:paraId="2D506877" w14:textId="6EFAE97C" w:rsidR="00C1619D" w:rsidRPr="00BB341A" w:rsidRDefault="00C1619D"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Hewitt DB, </w:t>
      </w:r>
      <w:proofErr w:type="spellStart"/>
      <w:r w:rsidRPr="00BB341A">
        <w:rPr>
          <w:rFonts w:asciiTheme="minorHAnsi" w:hAnsiTheme="minorHAnsi" w:cstheme="minorHAnsi"/>
          <w:sz w:val="22"/>
          <w:szCs w:val="22"/>
        </w:rPr>
        <w:t>Tannouri</w:t>
      </w:r>
      <w:proofErr w:type="spellEnd"/>
      <w:r w:rsidRPr="00BB341A">
        <w:rPr>
          <w:rFonts w:asciiTheme="minorHAnsi" w:hAnsiTheme="minorHAnsi" w:cstheme="minorHAnsi"/>
          <w:sz w:val="22"/>
          <w:szCs w:val="22"/>
        </w:rPr>
        <w:t xml:space="preserve"> SS, Burkhart RA, et al (2017) Reducing colorectal surgical site infections: a novel, resident-driven, quality 1928 J </w:t>
      </w:r>
      <w:proofErr w:type="spellStart"/>
      <w:r w:rsidRPr="00BB341A">
        <w:rPr>
          <w:rFonts w:asciiTheme="minorHAnsi" w:hAnsiTheme="minorHAnsi" w:cstheme="minorHAnsi"/>
          <w:sz w:val="22"/>
          <w:szCs w:val="22"/>
        </w:rPr>
        <w:t>Gastrointest</w:t>
      </w:r>
      <w:proofErr w:type="spellEnd"/>
      <w:r w:rsidRPr="00BB341A">
        <w:rPr>
          <w:rFonts w:asciiTheme="minorHAnsi" w:hAnsiTheme="minorHAnsi" w:cstheme="minorHAnsi"/>
          <w:sz w:val="22"/>
          <w:szCs w:val="22"/>
        </w:rPr>
        <w:t xml:space="preserve"> Surg (2017) 21:1915–1930 initiative. Am J Surg 213:36–42.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10.1016/j.amjsurg.2016.04. 009</w:t>
      </w:r>
    </w:p>
    <w:p w14:paraId="5D09F00A" w14:textId="77777777" w:rsidR="00C1619D" w:rsidRPr="00BB341A" w:rsidRDefault="00C1619D"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Anderson DJ, Podgorny K, Berríos-Torres SI, et al (2014) Strategies to prevent surgical site infections in acute care hospitals: 2014 update. Infect Control Hosp Epidemiol 35:605–627.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xml:space="preserve">: 10. 1086/676022 </w:t>
      </w:r>
    </w:p>
    <w:p w14:paraId="2ADC34EE" w14:textId="7B4B44B5" w:rsidR="00C1619D" w:rsidRPr="00BB341A" w:rsidRDefault="00C1619D"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Keenan JE, Speicher PJ, Nussbaum DP, et al (2015) Improving outcomes in colorectal surgery by sequential implementation of multiple standardized care programs. Journal of the American College of Surgeons 221:404–</w:t>
      </w:r>
      <w:proofErr w:type="gramStart"/>
      <w:r w:rsidRPr="00BB341A">
        <w:rPr>
          <w:rFonts w:asciiTheme="minorHAnsi" w:hAnsiTheme="minorHAnsi" w:cstheme="minorHAnsi"/>
          <w:sz w:val="22"/>
          <w:szCs w:val="22"/>
        </w:rPr>
        <w:t>14.e</w:t>
      </w:r>
      <w:proofErr w:type="gramEnd"/>
      <w:r w:rsidRPr="00BB341A">
        <w:rPr>
          <w:rFonts w:asciiTheme="minorHAnsi" w:hAnsiTheme="minorHAnsi" w:cstheme="minorHAnsi"/>
          <w:sz w:val="22"/>
          <w:szCs w:val="22"/>
        </w:rPr>
        <w:t xml:space="preserve">1.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10.1016/</w:t>
      </w:r>
      <w:proofErr w:type="spellStart"/>
      <w:r w:rsidRPr="00BB341A">
        <w:rPr>
          <w:rFonts w:asciiTheme="minorHAnsi" w:hAnsiTheme="minorHAnsi" w:cstheme="minorHAnsi"/>
          <w:sz w:val="22"/>
          <w:szCs w:val="22"/>
        </w:rPr>
        <w:t>j.jamcollsurg</w:t>
      </w:r>
      <w:proofErr w:type="spellEnd"/>
      <w:r w:rsidRPr="00BB341A">
        <w:rPr>
          <w:rFonts w:asciiTheme="minorHAnsi" w:hAnsiTheme="minorHAnsi" w:cstheme="minorHAnsi"/>
          <w:sz w:val="22"/>
          <w:szCs w:val="22"/>
        </w:rPr>
        <w:t>. 2015.04.008</w:t>
      </w:r>
    </w:p>
    <w:p w14:paraId="1197D708" w14:textId="3ABA3DA2" w:rsidR="00C1619D" w:rsidRPr="00BB341A" w:rsidRDefault="3770836C" w:rsidP="00C1619D">
      <w:pPr>
        <w:pStyle w:val="ListParagraph"/>
        <w:numPr>
          <w:ilvl w:val="0"/>
          <w:numId w:val="8"/>
        </w:numPr>
        <w:rPr>
          <w:rFonts w:asciiTheme="minorHAnsi" w:eastAsia="+mj-ea" w:hAnsiTheme="minorHAnsi" w:cstheme="minorHAnsi"/>
          <w:b/>
          <w:bCs/>
          <w:color w:val="FF0000"/>
          <w:kern w:val="24"/>
          <w:sz w:val="22"/>
          <w:szCs w:val="22"/>
        </w:rPr>
      </w:pPr>
      <w:r w:rsidRPr="475BC16C">
        <w:rPr>
          <w:rFonts w:asciiTheme="minorHAnsi" w:hAnsiTheme="minorHAnsi" w:cstheme="minorBidi"/>
          <w:sz w:val="22"/>
          <w:szCs w:val="22"/>
        </w:rPr>
        <w:t xml:space="preserve">Meeks DW, Lally KP, Carrick MM, et al (2011) Compliance with guidelines to prevent surgical site infections: as simple as 1-2-3? Am J Surg 201:76–83. </w:t>
      </w:r>
      <w:proofErr w:type="spellStart"/>
      <w:r w:rsidRPr="475BC16C">
        <w:rPr>
          <w:rFonts w:asciiTheme="minorHAnsi" w:hAnsiTheme="minorHAnsi" w:cstheme="minorBidi"/>
          <w:sz w:val="22"/>
          <w:szCs w:val="22"/>
        </w:rPr>
        <w:t>doi</w:t>
      </w:r>
      <w:proofErr w:type="spellEnd"/>
      <w:r w:rsidRPr="475BC16C">
        <w:rPr>
          <w:rFonts w:asciiTheme="minorHAnsi" w:hAnsiTheme="minorHAnsi" w:cstheme="minorBidi"/>
          <w:sz w:val="22"/>
          <w:szCs w:val="22"/>
        </w:rPr>
        <w:t>: 10.1016/j.amjsurg.2009.07.050</w:t>
      </w:r>
    </w:p>
    <w:p w14:paraId="3A896D04" w14:textId="3E24380F" w:rsidR="462DDEF2" w:rsidRDefault="462DDEF2" w:rsidP="475BC16C">
      <w:pPr>
        <w:pStyle w:val="ListParagraph"/>
        <w:numPr>
          <w:ilvl w:val="0"/>
          <w:numId w:val="8"/>
        </w:numPr>
        <w:rPr>
          <w:rFonts w:asciiTheme="minorHAnsi" w:eastAsiaTheme="minorEastAsia" w:hAnsiTheme="minorHAnsi" w:cstheme="minorBidi"/>
          <w:sz w:val="22"/>
          <w:szCs w:val="22"/>
        </w:rPr>
      </w:pPr>
      <w:r w:rsidRPr="475BC16C">
        <w:rPr>
          <w:rFonts w:asciiTheme="minorHAnsi" w:eastAsiaTheme="minorEastAsia" w:hAnsiTheme="minorHAnsi" w:cstheme="minorBidi"/>
          <w:color w:val="222222"/>
          <w:sz w:val="22"/>
          <w:szCs w:val="22"/>
        </w:rPr>
        <w:t xml:space="preserve">Gustafsson UO, Scott MJ, Hubner M, Nygren J, </w:t>
      </w:r>
      <w:proofErr w:type="spellStart"/>
      <w:r w:rsidRPr="475BC16C">
        <w:rPr>
          <w:rFonts w:asciiTheme="minorHAnsi" w:eastAsiaTheme="minorEastAsia" w:hAnsiTheme="minorHAnsi" w:cstheme="minorBidi"/>
          <w:color w:val="222222"/>
          <w:sz w:val="22"/>
          <w:szCs w:val="22"/>
        </w:rPr>
        <w:t>Demartines</w:t>
      </w:r>
      <w:proofErr w:type="spellEnd"/>
      <w:r w:rsidRPr="475BC16C">
        <w:rPr>
          <w:rFonts w:asciiTheme="minorHAnsi" w:eastAsiaTheme="minorEastAsia" w:hAnsiTheme="minorHAnsi" w:cstheme="minorBidi"/>
          <w:color w:val="222222"/>
          <w:sz w:val="22"/>
          <w:szCs w:val="22"/>
        </w:rPr>
        <w:t xml:space="preserve"> N, Francis N, Rockall TA, Young-Fadok TM, Hill AG, Soop M, De Boer HD. Guidelines for perioperative care in elective colorectal surgery: enhanced recovery after surgery (ERAS®) society recommendations: 2018. World journal of surgery. 2019 Mar </w:t>
      </w:r>
      <w:proofErr w:type="gramStart"/>
      <w:r w:rsidRPr="475BC16C">
        <w:rPr>
          <w:rFonts w:asciiTheme="minorHAnsi" w:eastAsiaTheme="minorEastAsia" w:hAnsiTheme="minorHAnsi" w:cstheme="minorBidi"/>
          <w:color w:val="222222"/>
          <w:sz w:val="22"/>
          <w:szCs w:val="22"/>
        </w:rPr>
        <w:t>15;43:659</w:t>
      </w:r>
      <w:proofErr w:type="gramEnd"/>
      <w:r w:rsidRPr="475BC16C">
        <w:rPr>
          <w:rFonts w:asciiTheme="minorHAnsi" w:eastAsiaTheme="minorEastAsia" w:hAnsiTheme="minorHAnsi" w:cstheme="minorBidi"/>
          <w:color w:val="222222"/>
          <w:sz w:val="22"/>
          <w:szCs w:val="22"/>
        </w:rPr>
        <w:t>-95.</w:t>
      </w:r>
    </w:p>
    <w:p w14:paraId="23FC8EE9" w14:textId="3CE40FF4" w:rsidR="462DDEF2" w:rsidRDefault="462DDEF2" w:rsidP="475BC16C">
      <w:pPr>
        <w:pStyle w:val="ListParagraph"/>
        <w:numPr>
          <w:ilvl w:val="0"/>
          <w:numId w:val="8"/>
        </w:numPr>
        <w:rPr>
          <w:rFonts w:asciiTheme="minorHAnsi" w:eastAsiaTheme="minorEastAsia" w:hAnsiTheme="minorHAnsi" w:cstheme="minorBidi"/>
          <w:sz w:val="22"/>
          <w:szCs w:val="22"/>
        </w:rPr>
      </w:pPr>
      <w:r w:rsidRPr="475BC16C">
        <w:rPr>
          <w:rFonts w:asciiTheme="minorHAnsi" w:eastAsiaTheme="minorEastAsia" w:hAnsiTheme="minorHAnsi" w:cstheme="minorBidi"/>
          <w:sz w:val="22"/>
          <w:szCs w:val="22"/>
        </w:rPr>
        <w:t xml:space="preserve">ERAS Society </w:t>
      </w:r>
      <w:hyperlink r:id="rId13">
        <w:r w:rsidRPr="475BC16C">
          <w:rPr>
            <w:rStyle w:val="Hyperlink"/>
            <w:rFonts w:asciiTheme="minorHAnsi" w:eastAsiaTheme="minorEastAsia" w:hAnsiTheme="minorHAnsi" w:cstheme="minorBidi"/>
            <w:sz w:val="22"/>
            <w:szCs w:val="22"/>
          </w:rPr>
          <w:t>https://erassociety.org/specialty/colorectal/.Accessed</w:t>
        </w:r>
      </w:hyperlink>
      <w:r w:rsidRPr="475BC16C">
        <w:rPr>
          <w:rFonts w:asciiTheme="minorHAnsi" w:eastAsiaTheme="minorEastAsia" w:hAnsiTheme="minorHAnsi" w:cstheme="minorBidi"/>
          <w:sz w:val="22"/>
          <w:szCs w:val="22"/>
        </w:rPr>
        <w:t xml:space="preserve"> March 19, 2025</w:t>
      </w:r>
    </w:p>
    <w:p w14:paraId="46780FCE" w14:textId="0483D7D3" w:rsidR="5D9C22FB" w:rsidRDefault="5D9C22FB" w:rsidP="475BC16C">
      <w:pPr>
        <w:pStyle w:val="ListParagraph"/>
        <w:numPr>
          <w:ilvl w:val="0"/>
          <w:numId w:val="8"/>
        </w:numPr>
        <w:rPr>
          <w:rFonts w:asciiTheme="minorHAnsi" w:eastAsiaTheme="minorEastAsia" w:hAnsiTheme="minorHAnsi" w:cstheme="minorBidi"/>
          <w:sz w:val="22"/>
          <w:szCs w:val="22"/>
        </w:rPr>
      </w:pPr>
      <w:r w:rsidRPr="475BC16C">
        <w:rPr>
          <w:rFonts w:asciiTheme="minorHAnsi" w:eastAsiaTheme="minorEastAsia" w:hAnsiTheme="minorHAnsi" w:cstheme="minorBidi"/>
          <w:color w:val="222222"/>
          <w:sz w:val="22"/>
          <w:szCs w:val="22"/>
        </w:rPr>
        <w:t xml:space="preserve">Teeuwen PH, </w:t>
      </w:r>
      <w:proofErr w:type="spellStart"/>
      <w:r w:rsidRPr="475BC16C">
        <w:rPr>
          <w:rFonts w:asciiTheme="minorHAnsi" w:eastAsiaTheme="minorEastAsia" w:hAnsiTheme="minorHAnsi" w:cstheme="minorBidi"/>
          <w:color w:val="222222"/>
          <w:sz w:val="22"/>
          <w:szCs w:val="22"/>
        </w:rPr>
        <w:t>Bleichrodt</w:t>
      </w:r>
      <w:proofErr w:type="spellEnd"/>
      <w:r w:rsidRPr="475BC16C">
        <w:rPr>
          <w:rFonts w:asciiTheme="minorHAnsi" w:eastAsiaTheme="minorEastAsia" w:hAnsiTheme="minorHAnsi" w:cstheme="minorBidi"/>
          <w:color w:val="222222"/>
          <w:sz w:val="22"/>
          <w:szCs w:val="22"/>
        </w:rPr>
        <w:t xml:space="preserve"> RP, </w:t>
      </w:r>
      <w:proofErr w:type="spellStart"/>
      <w:r w:rsidRPr="475BC16C">
        <w:rPr>
          <w:rFonts w:asciiTheme="minorHAnsi" w:eastAsiaTheme="minorEastAsia" w:hAnsiTheme="minorHAnsi" w:cstheme="minorBidi"/>
          <w:color w:val="222222"/>
          <w:sz w:val="22"/>
          <w:szCs w:val="22"/>
        </w:rPr>
        <w:t>Strik</w:t>
      </w:r>
      <w:proofErr w:type="spellEnd"/>
      <w:r w:rsidRPr="475BC16C">
        <w:rPr>
          <w:rFonts w:asciiTheme="minorHAnsi" w:eastAsiaTheme="minorEastAsia" w:hAnsiTheme="minorHAnsi" w:cstheme="minorBidi"/>
          <w:color w:val="222222"/>
          <w:sz w:val="22"/>
          <w:szCs w:val="22"/>
        </w:rPr>
        <w:t xml:space="preserve"> C, Groenewoud JJ, Brinkert W, Van </w:t>
      </w:r>
      <w:proofErr w:type="spellStart"/>
      <w:r w:rsidRPr="475BC16C">
        <w:rPr>
          <w:rFonts w:asciiTheme="minorHAnsi" w:eastAsiaTheme="minorEastAsia" w:hAnsiTheme="minorHAnsi" w:cstheme="minorBidi"/>
          <w:color w:val="222222"/>
          <w:sz w:val="22"/>
          <w:szCs w:val="22"/>
        </w:rPr>
        <w:t>Laarhoven</w:t>
      </w:r>
      <w:proofErr w:type="spellEnd"/>
      <w:r w:rsidRPr="475BC16C">
        <w:rPr>
          <w:rFonts w:asciiTheme="minorHAnsi" w:eastAsiaTheme="minorEastAsia" w:hAnsiTheme="minorHAnsi" w:cstheme="minorBidi"/>
          <w:color w:val="222222"/>
          <w:sz w:val="22"/>
          <w:szCs w:val="22"/>
        </w:rPr>
        <w:t xml:space="preserve"> CJ, Van Goor H, </w:t>
      </w:r>
      <w:proofErr w:type="spellStart"/>
      <w:r w:rsidRPr="475BC16C">
        <w:rPr>
          <w:rFonts w:asciiTheme="minorHAnsi" w:eastAsiaTheme="minorEastAsia" w:hAnsiTheme="minorHAnsi" w:cstheme="minorBidi"/>
          <w:color w:val="222222"/>
          <w:sz w:val="22"/>
          <w:szCs w:val="22"/>
        </w:rPr>
        <w:t>Bremers</w:t>
      </w:r>
      <w:proofErr w:type="spellEnd"/>
      <w:r w:rsidRPr="475BC16C">
        <w:rPr>
          <w:rFonts w:asciiTheme="minorHAnsi" w:eastAsiaTheme="minorEastAsia" w:hAnsiTheme="minorHAnsi" w:cstheme="minorBidi"/>
          <w:color w:val="222222"/>
          <w:sz w:val="22"/>
          <w:szCs w:val="22"/>
        </w:rPr>
        <w:t xml:space="preserve"> AJ. Enhanced recovery after surgery (ERAS) versus conventional postoperative care in colorectal surgery. Journal of Gastrointestinal Surgery. 2010 Jan 1;14(1):88-95.</w:t>
      </w:r>
    </w:p>
    <w:p w14:paraId="670FFFF4" w14:textId="25B52F2A" w:rsidR="00774E10" w:rsidRPr="00BB341A" w:rsidRDefault="00774E10"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Fischer JE, Weintraub R (2015) Two senior surgeons’ view: prevention of surgical site infection associated with colorectal operations. Am J Surg 209:1107–1110.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xml:space="preserve">: 10.1016/j.amjsurg.2014.10. 024 </w:t>
      </w:r>
    </w:p>
    <w:p w14:paraId="5F12B9C7" w14:textId="790F9D3C" w:rsidR="00C1619D" w:rsidRPr="00BB341A" w:rsidRDefault="00C1619D"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Munday GS, Deveaux P, Roberts H, et al (2014) Impact of implementation of the Surgical Care Improvement Project and future strategies for improving quality in surgery. Am J Surg 208:835– 840.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10.1016/j.amjsurg.2014.05.005</w:t>
      </w:r>
    </w:p>
    <w:p w14:paraId="15440286" w14:textId="6E3075E4" w:rsidR="003D17D1" w:rsidRPr="00BB341A" w:rsidRDefault="00774E10"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sz w:val="22"/>
          <w:szCs w:val="22"/>
        </w:rPr>
        <w:t xml:space="preserve">Ban KA, </w:t>
      </w:r>
      <w:proofErr w:type="spellStart"/>
      <w:r w:rsidRPr="00BB341A">
        <w:rPr>
          <w:rFonts w:asciiTheme="minorHAnsi" w:hAnsiTheme="minorHAnsi" w:cstheme="minorHAnsi"/>
          <w:sz w:val="22"/>
          <w:szCs w:val="22"/>
        </w:rPr>
        <w:t>Minei</w:t>
      </w:r>
      <w:proofErr w:type="spellEnd"/>
      <w:r w:rsidRPr="00BB341A">
        <w:rPr>
          <w:rFonts w:asciiTheme="minorHAnsi" w:hAnsiTheme="minorHAnsi" w:cstheme="minorHAnsi"/>
          <w:sz w:val="22"/>
          <w:szCs w:val="22"/>
        </w:rPr>
        <w:t xml:space="preserve"> JP, </w:t>
      </w:r>
      <w:proofErr w:type="spellStart"/>
      <w:r w:rsidRPr="00BB341A">
        <w:rPr>
          <w:rFonts w:asciiTheme="minorHAnsi" w:hAnsiTheme="minorHAnsi" w:cstheme="minorHAnsi"/>
          <w:sz w:val="22"/>
          <w:szCs w:val="22"/>
        </w:rPr>
        <w:t>Laronga</w:t>
      </w:r>
      <w:proofErr w:type="spellEnd"/>
      <w:r w:rsidRPr="00BB341A">
        <w:rPr>
          <w:rFonts w:asciiTheme="minorHAnsi" w:hAnsiTheme="minorHAnsi" w:cstheme="minorHAnsi"/>
          <w:sz w:val="22"/>
          <w:szCs w:val="22"/>
        </w:rPr>
        <w:t xml:space="preserve"> C, et al (2017) American College of Surgeons and Surgical Infection Society: surgical site infection guidelines, 2016 update. Journal of the American College of Surgeons 224:59–74. </w:t>
      </w:r>
      <w:proofErr w:type="spellStart"/>
      <w:r w:rsidRPr="00BB341A">
        <w:rPr>
          <w:rFonts w:asciiTheme="minorHAnsi" w:hAnsiTheme="minorHAnsi" w:cstheme="minorHAnsi"/>
          <w:sz w:val="22"/>
          <w:szCs w:val="22"/>
        </w:rPr>
        <w:t>doi</w:t>
      </w:r>
      <w:proofErr w:type="spellEnd"/>
      <w:r w:rsidRPr="00BB341A">
        <w:rPr>
          <w:rFonts w:asciiTheme="minorHAnsi" w:hAnsiTheme="minorHAnsi" w:cstheme="minorHAnsi"/>
          <w:sz w:val="22"/>
          <w:szCs w:val="22"/>
        </w:rPr>
        <w:t>: 10.1016/j.jamcollsurg.2016.10.029</w:t>
      </w:r>
    </w:p>
    <w:p w14:paraId="5427AB0E" w14:textId="306018D5" w:rsidR="00714779" w:rsidRPr="00BB341A" w:rsidRDefault="00714779" w:rsidP="00C1619D">
      <w:pPr>
        <w:pStyle w:val="ListParagraph"/>
        <w:numPr>
          <w:ilvl w:val="0"/>
          <w:numId w:val="8"/>
        </w:numPr>
        <w:rPr>
          <w:rFonts w:asciiTheme="minorHAnsi" w:eastAsia="+mj-ea" w:hAnsiTheme="minorHAnsi" w:cstheme="minorHAnsi"/>
          <w:b/>
          <w:bCs/>
          <w:color w:val="FF0000"/>
          <w:kern w:val="24"/>
          <w:sz w:val="22"/>
          <w:szCs w:val="22"/>
        </w:rPr>
      </w:pPr>
      <w:r w:rsidRPr="00BB341A">
        <w:rPr>
          <w:rFonts w:asciiTheme="minorHAnsi" w:hAnsiTheme="minorHAnsi" w:cstheme="minorHAnsi"/>
          <w:color w:val="222222"/>
          <w:sz w:val="22"/>
          <w:szCs w:val="22"/>
          <w:shd w:val="clear" w:color="auto" w:fill="FFFFFF"/>
        </w:rPr>
        <w:t xml:space="preserve">Andoh AB, Francis AA, Abdulkarim AA, </w:t>
      </w:r>
      <w:proofErr w:type="spellStart"/>
      <w:r w:rsidRPr="00BB341A">
        <w:rPr>
          <w:rFonts w:asciiTheme="minorHAnsi" w:hAnsiTheme="minorHAnsi" w:cstheme="minorHAnsi"/>
          <w:color w:val="222222"/>
          <w:sz w:val="22"/>
          <w:szCs w:val="22"/>
          <w:shd w:val="clear" w:color="auto" w:fill="FFFFFF"/>
        </w:rPr>
        <w:t>Adesunkanmi</w:t>
      </w:r>
      <w:proofErr w:type="spellEnd"/>
      <w:r w:rsidRPr="00BB341A">
        <w:rPr>
          <w:rFonts w:asciiTheme="minorHAnsi" w:hAnsiTheme="minorHAnsi" w:cstheme="minorHAnsi"/>
          <w:color w:val="222222"/>
          <w:sz w:val="22"/>
          <w:szCs w:val="22"/>
          <w:shd w:val="clear" w:color="auto" w:fill="FFFFFF"/>
        </w:rPr>
        <w:t xml:space="preserve"> AO, Salako AA, </w:t>
      </w:r>
      <w:proofErr w:type="spellStart"/>
      <w:r w:rsidRPr="00BB341A">
        <w:rPr>
          <w:rFonts w:asciiTheme="minorHAnsi" w:hAnsiTheme="minorHAnsi" w:cstheme="minorHAnsi"/>
          <w:color w:val="222222"/>
          <w:sz w:val="22"/>
          <w:szCs w:val="22"/>
          <w:shd w:val="clear" w:color="auto" w:fill="FFFFFF"/>
        </w:rPr>
        <w:t>Soladoye</w:t>
      </w:r>
      <w:proofErr w:type="spellEnd"/>
      <w:r w:rsidRPr="00BB341A">
        <w:rPr>
          <w:rFonts w:asciiTheme="minorHAnsi" w:hAnsiTheme="minorHAnsi" w:cstheme="minorHAnsi"/>
          <w:color w:val="222222"/>
          <w:sz w:val="22"/>
          <w:szCs w:val="22"/>
          <w:shd w:val="clear" w:color="auto" w:fill="FFFFFF"/>
        </w:rPr>
        <w:t xml:space="preserve"> A, Sheshe AA, Sani A, Lawal AO, Lawal A, Tripathi A. Routine sterile glove and instrument change at the time of abdominal wound closure to prevent surgical site infection (</w:t>
      </w:r>
      <w:proofErr w:type="spellStart"/>
      <w:r w:rsidRPr="00BB341A">
        <w:rPr>
          <w:rFonts w:asciiTheme="minorHAnsi" w:hAnsiTheme="minorHAnsi" w:cstheme="minorHAnsi"/>
          <w:color w:val="222222"/>
          <w:sz w:val="22"/>
          <w:szCs w:val="22"/>
          <w:shd w:val="clear" w:color="auto" w:fill="FFFFFF"/>
        </w:rPr>
        <w:t>ChEETAh</w:t>
      </w:r>
      <w:proofErr w:type="spellEnd"/>
      <w:r w:rsidRPr="00BB341A">
        <w:rPr>
          <w:rFonts w:asciiTheme="minorHAnsi" w:hAnsiTheme="minorHAnsi" w:cstheme="minorHAnsi"/>
          <w:color w:val="222222"/>
          <w:sz w:val="22"/>
          <w:szCs w:val="22"/>
          <w:shd w:val="clear" w:color="auto" w:fill="FFFFFF"/>
        </w:rPr>
        <w:t>): a pragmatic, cluster-randomised trial in seven low-income and middle-income countries. The Lancet. 2022 Nov 19;400(10365):1767-76.</w:t>
      </w:r>
    </w:p>
    <w:p w14:paraId="6D6DDA7F" w14:textId="77777777" w:rsidR="00774E10" w:rsidRPr="00BB341A" w:rsidRDefault="00774E10" w:rsidP="00774E10">
      <w:pPr>
        <w:pStyle w:val="ListParagraph"/>
        <w:numPr>
          <w:ilvl w:val="0"/>
          <w:numId w:val="8"/>
        </w:numPr>
        <w:rPr>
          <w:rFonts w:asciiTheme="minorHAnsi" w:eastAsia="+mj-ea" w:hAnsiTheme="minorHAnsi" w:cstheme="minorHAnsi"/>
          <w:kern w:val="24"/>
          <w:sz w:val="22"/>
          <w:szCs w:val="22"/>
        </w:rPr>
      </w:pPr>
      <w:proofErr w:type="spellStart"/>
      <w:r w:rsidRPr="00BB341A">
        <w:rPr>
          <w:rFonts w:asciiTheme="minorHAnsi" w:eastAsia="+mj-ea" w:hAnsiTheme="minorHAnsi" w:cstheme="minorHAnsi"/>
          <w:kern w:val="24"/>
          <w:sz w:val="22"/>
          <w:szCs w:val="22"/>
        </w:rPr>
        <w:t>Zywot</w:t>
      </w:r>
      <w:proofErr w:type="spellEnd"/>
      <w:r w:rsidRPr="00BB341A">
        <w:rPr>
          <w:rFonts w:asciiTheme="minorHAnsi" w:eastAsia="+mj-ea" w:hAnsiTheme="minorHAnsi" w:cstheme="minorHAnsi"/>
          <w:kern w:val="24"/>
          <w:sz w:val="22"/>
          <w:szCs w:val="22"/>
        </w:rPr>
        <w:t xml:space="preserve"> A, Lau CS, Fletcher HS, Paul S. Bundles prevent surgical site infections after colorectal surgery: meta-analysis and systematic review. J Gastrointestinal Surg. 2017 ;21(11):1915-30.</w:t>
      </w:r>
    </w:p>
    <w:p w14:paraId="57A6B67F" w14:textId="71013D41" w:rsidR="00845283" w:rsidRPr="00BB341A" w:rsidRDefault="00845283" w:rsidP="00845283">
      <w:pPr>
        <w:pStyle w:val="ListParagraph"/>
        <w:numPr>
          <w:ilvl w:val="0"/>
          <w:numId w:val="8"/>
        </w:numPr>
        <w:rPr>
          <w:rFonts w:asciiTheme="minorHAnsi" w:eastAsia="+mj-ea" w:hAnsiTheme="minorHAnsi" w:cstheme="minorHAnsi"/>
          <w:kern w:val="24"/>
          <w:sz w:val="22"/>
          <w:szCs w:val="22"/>
        </w:rPr>
      </w:pPr>
      <w:r w:rsidRPr="00BB341A">
        <w:rPr>
          <w:rFonts w:asciiTheme="minorHAnsi" w:eastAsia="+mj-ea" w:hAnsiTheme="minorHAnsi" w:cstheme="minorHAnsi"/>
          <w:kern w:val="24"/>
          <w:sz w:val="22"/>
          <w:szCs w:val="22"/>
        </w:rPr>
        <w:t xml:space="preserve">Tomsic I, </w:t>
      </w:r>
      <w:proofErr w:type="spellStart"/>
      <w:r w:rsidRPr="00BB341A">
        <w:rPr>
          <w:rFonts w:asciiTheme="minorHAnsi" w:eastAsia="+mj-ea" w:hAnsiTheme="minorHAnsi" w:cstheme="minorHAnsi"/>
          <w:kern w:val="24"/>
          <w:sz w:val="22"/>
          <w:szCs w:val="22"/>
        </w:rPr>
        <w:t>Chaberny</w:t>
      </w:r>
      <w:proofErr w:type="spellEnd"/>
      <w:r w:rsidRPr="00BB341A">
        <w:rPr>
          <w:rFonts w:asciiTheme="minorHAnsi" w:eastAsia="+mj-ea" w:hAnsiTheme="minorHAnsi" w:cstheme="minorHAnsi"/>
          <w:kern w:val="24"/>
          <w:sz w:val="22"/>
          <w:szCs w:val="22"/>
        </w:rPr>
        <w:t xml:space="preserve"> IF, Heinze NR, Krauth C, Schock B, von </w:t>
      </w:r>
      <w:proofErr w:type="spellStart"/>
      <w:r w:rsidRPr="00BB341A">
        <w:rPr>
          <w:rFonts w:asciiTheme="minorHAnsi" w:eastAsia="+mj-ea" w:hAnsiTheme="minorHAnsi" w:cstheme="minorHAnsi"/>
          <w:kern w:val="24"/>
          <w:sz w:val="22"/>
          <w:szCs w:val="22"/>
        </w:rPr>
        <w:t>Lengerke</w:t>
      </w:r>
      <w:proofErr w:type="spellEnd"/>
      <w:r w:rsidRPr="00BB341A">
        <w:rPr>
          <w:rFonts w:asciiTheme="minorHAnsi" w:eastAsia="+mj-ea" w:hAnsiTheme="minorHAnsi" w:cstheme="minorHAnsi"/>
          <w:kern w:val="24"/>
          <w:sz w:val="22"/>
          <w:szCs w:val="22"/>
        </w:rPr>
        <w:t xml:space="preserve"> T. The role of bundle size for preventing surgical site infections after colorectal surgery: is </w:t>
      </w:r>
      <w:proofErr w:type="gramStart"/>
      <w:r w:rsidRPr="00BB341A">
        <w:rPr>
          <w:rFonts w:asciiTheme="minorHAnsi" w:eastAsia="+mj-ea" w:hAnsiTheme="minorHAnsi" w:cstheme="minorHAnsi"/>
          <w:kern w:val="24"/>
          <w:sz w:val="22"/>
          <w:szCs w:val="22"/>
        </w:rPr>
        <w:t>more better</w:t>
      </w:r>
      <w:proofErr w:type="gramEnd"/>
      <w:r w:rsidRPr="00BB341A">
        <w:rPr>
          <w:rFonts w:asciiTheme="minorHAnsi" w:eastAsia="+mj-ea" w:hAnsiTheme="minorHAnsi" w:cstheme="minorHAnsi"/>
          <w:kern w:val="24"/>
          <w:sz w:val="22"/>
          <w:szCs w:val="22"/>
        </w:rPr>
        <w:t xml:space="preserve">? J Gastrointestinal Surgery. </w:t>
      </w:r>
      <w:proofErr w:type="gramStart"/>
      <w:r w:rsidRPr="00BB341A">
        <w:rPr>
          <w:rFonts w:asciiTheme="minorHAnsi" w:eastAsia="+mj-ea" w:hAnsiTheme="minorHAnsi" w:cstheme="minorHAnsi"/>
          <w:kern w:val="24"/>
          <w:sz w:val="22"/>
          <w:szCs w:val="22"/>
        </w:rPr>
        <w:t>2018;22:765</w:t>
      </w:r>
      <w:proofErr w:type="gramEnd"/>
      <w:r w:rsidRPr="00BB341A">
        <w:rPr>
          <w:rFonts w:asciiTheme="minorHAnsi" w:eastAsia="+mj-ea" w:hAnsiTheme="minorHAnsi" w:cstheme="minorHAnsi"/>
          <w:kern w:val="24"/>
          <w:sz w:val="22"/>
          <w:szCs w:val="22"/>
        </w:rPr>
        <w:t>-6.</w:t>
      </w:r>
    </w:p>
    <w:p w14:paraId="5797E5EA" w14:textId="25CD441E" w:rsidR="00AE2709" w:rsidRPr="00BB341A" w:rsidRDefault="00AE2709" w:rsidP="00845283">
      <w:pPr>
        <w:pStyle w:val="ListParagraph"/>
        <w:numPr>
          <w:ilvl w:val="0"/>
          <w:numId w:val="8"/>
        </w:numPr>
        <w:rPr>
          <w:rFonts w:asciiTheme="minorHAnsi" w:eastAsia="+mj-ea" w:hAnsiTheme="minorHAnsi" w:cstheme="minorHAnsi"/>
          <w:kern w:val="24"/>
          <w:sz w:val="22"/>
          <w:szCs w:val="22"/>
        </w:rPr>
      </w:pPr>
      <w:r w:rsidRPr="00BB341A">
        <w:rPr>
          <w:rFonts w:asciiTheme="minorHAnsi" w:hAnsiTheme="minorHAnsi" w:cstheme="minorHAnsi"/>
          <w:color w:val="222222"/>
          <w:sz w:val="22"/>
          <w:szCs w:val="22"/>
          <w:shd w:val="clear" w:color="auto" w:fill="FFFFFF"/>
        </w:rPr>
        <w:lastRenderedPageBreak/>
        <w:t>Falconer R, Ramsay G, Hudson J, Watson A, Highland Colorectal SSI Group. Reducing surgical site infection rates in colorectal surgery–a quality improvement approach to implementing a comprehensive bundle. Colorectal Disease. 2021 Nov;23(11):2999-3007.</w:t>
      </w:r>
    </w:p>
    <w:p w14:paraId="7F8110B9" w14:textId="77777777" w:rsidR="008F0505" w:rsidRPr="00BB341A" w:rsidRDefault="008F0505" w:rsidP="008F0505">
      <w:pPr>
        <w:pStyle w:val="ListParagraph"/>
        <w:numPr>
          <w:ilvl w:val="0"/>
          <w:numId w:val="8"/>
        </w:numPr>
        <w:rPr>
          <w:rFonts w:asciiTheme="minorHAnsi" w:eastAsia="+mj-ea" w:hAnsiTheme="minorHAnsi" w:cstheme="minorHAnsi"/>
          <w:kern w:val="24"/>
          <w:sz w:val="22"/>
          <w:szCs w:val="22"/>
        </w:rPr>
      </w:pPr>
      <w:r w:rsidRPr="00BB341A">
        <w:rPr>
          <w:rFonts w:asciiTheme="minorHAnsi" w:eastAsia="+mj-ea" w:hAnsiTheme="minorHAnsi" w:cstheme="minorHAnsi"/>
          <w:kern w:val="24"/>
          <w:sz w:val="22"/>
          <w:szCs w:val="22"/>
        </w:rPr>
        <w:t>Pop-Vicas AE, Abad C, Baubie K, Osman F, Heise C, Safdar N. Colorectal bundles for surgical site infection prevention: a systematic review and meta-analysis. Infect Control Hosp Epidemiol. 2020;41(7):805-12.</w:t>
      </w:r>
    </w:p>
    <w:p w14:paraId="57241A8F" w14:textId="20822368" w:rsidR="00774E10" w:rsidRPr="00BB341A" w:rsidRDefault="00845283" w:rsidP="00C1619D">
      <w:pPr>
        <w:pStyle w:val="ListParagraph"/>
        <w:numPr>
          <w:ilvl w:val="0"/>
          <w:numId w:val="8"/>
        </w:numPr>
        <w:rPr>
          <w:rFonts w:asciiTheme="minorHAnsi" w:eastAsia="+mj-ea" w:hAnsiTheme="minorHAnsi" w:cstheme="minorHAnsi"/>
          <w:kern w:val="24"/>
          <w:sz w:val="22"/>
          <w:szCs w:val="22"/>
        </w:rPr>
      </w:pPr>
      <w:r w:rsidRPr="00BB341A">
        <w:rPr>
          <w:rFonts w:asciiTheme="minorHAnsi" w:hAnsiTheme="minorHAnsi" w:cstheme="minorHAnsi"/>
          <w:color w:val="222222"/>
          <w:sz w:val="22"/>
          <w:szCs w:val="22"/>
          <w:shd w:val="clear" w:color="auto" w:fill="FFFFFF"/>
        </w:rPr>
        <w:t>Faragher I, Tham N, Hong M, Guy S, Yeung J. Implementation of an organ space infection prevention bundle reduces the rate of organ space infection after elective colorectal surgery. BMJ Open Quality. 2021 May 1;10(2</w:t>
      </w:r>
      <w:proofErr w:type="gramStart"/>
      <w:r w:rsidRPr="00BB341A">
        <w:rPr>
          <w:rFonts w:asciiTheme="minorHAnsi" w:hAnsiTheme="minorHAnsi" w:cstheme="minorHAnsi"/>
          <w:color w:val="222222"/>
          <w:sz w:val="22"/>
          <w:szCs w:val="22"/>
          <w:shd w:val="clear" w:color="auto" w:fill="FFFFFF"/>
        </w:rPr>
        <w:t>):e</w:t>
      </w:r>
      <w:proofErr w:type="gramEnd"/>
      <w:r w:rsidRPr="00BB341A">
        <w:rPr>
          <w:rFonts w:asciiTheme="minorHAnsi" w:hAnsiTheme="minorHAnsi" w:cstheme="minorHAnsi"/>
          <w:color w:val="222222"/>
          <w:sz w:val="22"/>
          <w:szCs w:val="22"/>
          <w:shd w:val="clear" w:color="auto" w:fill="FFFFFF"/>
        </w:rPr>
        <w:t>001278</w:t>
      </w:r>
    </w:p>
    <w:p w14:paraId="3B950BDF" w14:textId="26ED5111" w:rsidR="00B9624B" w:rsidRPr="00BB341A" w:rsidRDefault="00B9624B" w:rsidP="00C1619D">
      <w:pPr>
        <w:pStyle w:val="ListParagraph"/>
        <w:numPr>
          <w:ilvl w:val="0"/>
          <w:numId w:val="8"/>
        </w:numPr>
        <w:rPr>
          <w:rFonts w:asciiTheme="minorHAnsi" w:eastAsia="+mj-ea" w:hAnsiTheme="minorHAnsi" w:cstheme="minorHAnsi"/>
          <w:kern w:val="24"/>
          <w:sz w:val="22"/>
          <w:szCs w:val="22"/>
        </w:rPr>
      </w:pPr>
      <w:proofErr w:type="spellStart"/>
      <w:r w:rsidRPr="00BB341A">
        <w:rPr>
          <w:rFonts w:asciiTheme="minorHAnsi" w:hAnsiTheme="minorHAnsi" w:cstheme="minorHAnsi"/>
          <w:color w:val="222222"/>
          <w:sz w:val="22"/>
          <w:szCs w:val="22"/>
          <w:shd w:val="clear" w:color="auto" w:fill="FFFFFF"/>
        </w:rPr>
        <w:t>Basany</w:t>
      </w:r>
      <w:proofErr w:type="spellEnd"/>
      <w:r w:rsidRPr="00BB341A">
        <w:rPr>
          <w:rFonts w:asciiTheme="minorHAnsi" w:hAnsiTheme="minorHAnsi" w:cstheme="minorHAnsi"/>
          <w:color w:val="222222"/>
          <w:sz w:val="22"/>
          <w:szCs w:val="22"/>
          <w:shd w:val="clear" w:color="auto" w:fill="FFFFFF"/>
        </w:rPr>
        <w:t xml:space="preserve"> EE, Solís-Peña A, Pellino G, Kreisler E, </w:t>
      </w:r>
      <w:proofErr w:type="spellStart"/>
      <w:r w:rsidRPr="00BB341A">
        <w:rPr>
          <w:rFonts w:asciiTheme="minorHAnsi" w:hAnsiTheme="minorHAnsi" w:cstheme="minorHAnsi"/>
          <w:color w:val="222222"/>
          <w:sz w:val="22"/>
          <w:szCs w:val="22"/>
          <w:shd w:val="clear" w:color="auto" w:fill="FFFFFF"/>
        </w:rPr>
        <w:t>Fraccalvieri</w:t>
      </w:r>
      <w:proofErr w:type="spellEnd"/>
      <w:r w:rsidRPr="00BB341A">
        <w:rPr>
          <w:rFonts w:asciiTheme="minorHAnsi" w:hAnsiTheme="minorHAnsi" w:cstheme="minorHAnsi"/>
          <w:color w:val="222222"/>
          <w:sz w:val="22"/>
          <w:szCs w:val="22"/>
          <w:shd w:val="clear" w:color="auto" w:fill="FFFFFF"/>
        </w:rPr>
        <w:t xml:space="preserve"> D, </w:t>
      </w:r>
      <w:proofErr w:type="spellStart"/>
      <w:r w:rsidRPr="00BB341A">
        <w:rPr>
          <w:rFonts w:asciiTheme="minorHAnsi" w:hAnsiTheme="minorHAnsi" w:cstheme="minorHAnsi"/>
          <w:color w:val="222222"/>
          <w:sz w:val="22"/>
          <w:szCs w:val="22"/>
          <w:shd w:val="clear" w:color="auto" w:fill="FFFFFF"/>
        </w:rPr>
        <w:t>Muinelo</w:t>
      </w:r>
      <w:proofErr w:type="spellEnd"/>
      <w:r w:rsidRPr="00BB341A">
        <w:rPr>
          <w:rFonts w:asciiTheme="minorHAnsi" w:hAnsiTheme="minorHAnsi" w:cstheme="minorHAnsi"/>
          <w:color w:val="222222"/>
          <w:sz w:val="22"/>
          <w:szCs w:val="22"/>
          <w:shd w:val="clear" w:color="auto" w:fill="FFFFFF"/>
        </w:rPr>
        <w:t>-Lorenzo M, Maseda-Díaz O, García-González JM, Santamaría-</w:t>
      </w:r>
      <w:proofErr w:type="spellStart"/>
      <w:r w:rsidRPr="00BB341A">
        <w:rPr>
          <w:rFonts w:asciiTheme="minorHAnsi" w:hAnsiTheme="minorHAnsi" w:cstheme="minorHAnsi"/>
          <w:color w:val="222222"/>
          <w:sz w:val="22"/>
          <w:szCs w:val="22"/>
          <w:shd w:val="clear" w:color="auto" w:fill="FFFFFF"/>
        </w:rPr>
        <w:t>Olabarrieta</w:t>
      </w:r>
      <w:proofErr w:type="spellEnd"/>
      <w:r w:rsidRPr="00BB341A">
        <w:rPr>
          <w:rFonts w:asciiTheme="minorHAnsi" w:hAnsiTheme="minorHAnsi" w:cstheme="minorHAnsi"/>
          <w:color w:val="222222"/>
          <w:sz w:val="22"/>
          <w:szCs w:val="22"/>
          <w:shd w:val="clear" w:color="auto" w:fill="FFFFFF"/>
        </w:rPr>
        <w:t xml:space="preserve"> M, Codina-Cazador A, Biondo S. Preoperative oral antibiotics and surgical-site infections in colon surgery (ORALEV): a multicentre, single-blind, pragmatic, randomised controlled trial. The lancet Gastroenterology &amp; hepatology. 2020 Aug 1;5(8):729-38.</w:t>
      </w:r>
    </w:p>
    <w:p w14:paraId="794BC2F1" w14:textId="465FF171" w:rsidR="00BB341A" w:rsidRPr="00E8522E" w:rsidRDefault="00BB341A" w:rsidP="00C1619D">
      <w:pPr>
        <w:pStyle w:val="ListParagraph"/>
        <w:numPr>
          <w:ilvl w:val="0"/>
          <w:numId w:val="8"/>
        </w:numPr>
        <w:rPr>
          <w:rFonts w:asciiTheme="minorHAnsi" w:eastAsia="+mj-ea" w:hAnsiTheme="minorHAnsi" w:cstheme="minorHAnsi"/>
          <w:kern w:val="24"/>
          <w:sz w:val="22"/>
          <w:szCs w:val="22"/>
        </w:rPr>
      </w:pPr>
      <w:proofErr w:type="spellStart"/>
      <w:r w:rsidRPr="00BB341A">
        <w:rPr>
          <w:rFonts w:asciiTheme="minorHAnsi" w:hAnsiTheme="minorHAnsi" w:cstheme="minorHAnsi"/>
          <w:color w:val="222222"/>
          <w:sz w:val="22"/>
          <w:szCs w:val="22"/>
          <w:shd w:val="clear" w:color="auto" w:fill="FFFFFF"/>
        </w:rPr>
        <w:t>Cawich</w:t>
      </w:r>
      <w:proofErr w:type="spellEnd"/>
      <w:r w:rsidRPr="00BB341A">
        <w:rPr>
          <w:rFonts w:asciiTheme="minorHAnsi" w:hAnsiTheme="minorHAnsi" w:cstheme="minorHAnsi"/>
          <w:color w:val="222222"/>
          <w:sz w:val="22"/>
          <w:szCs w:val="22"/>
          <w:shd w:val="clear" w:color="auto" w:fill="FFFFFF"/>
        </w:rPr>
        <w:t xml:space="preserve"> SO, Teelucksingh S, </w:t>
      </w:r>
      <w:proofErr w:type="spellStart"/>
      <w:r w:rsidRPr="00BB341A">
        <w:rPr>
          <w:rFonts w:asciiTheme="minorHAnsi" w:hAnsiTheme="minorHAnsi" w:cstheme="minorHAnsi"/>
          <w:color w:val="222222"/>
          <w:sz w:val="22"/>
          <w:szCs w:val="22"/>
          <w:shd w:val="clear" w:color="auto" w:fill="FFFFFF"/>
        </w:rPr>
        <w:t>Hassranah</w:t>
      </w:r>
      <w:proofErr w:type="spellEnd"/>
      <w:r w:rsidRPr="00BB341A">
        <w:rPr>
          <w:rFonts w:asciiTheme="minorHAnsi" w:hAnsiTheme="minorHAnsi" w:cstheme="minorHAnsi"/>
          <w:color w:val="222222"/>
          <w:sz w:val="22"/>
          <w:szCs w:val="22"/>
          <w:shd w:val="clear" w:color="auto" w:fill="FFFFFF"/>
        </w:rPr>
        <w:t xml:space="preserve"> S, </w:t>
      </w:r>
      <w:proofErr w:type="spellStart"/>
      <w:r w:rsidRPr="00BB341A">
        <w:rPr>
          <w:rFonts w:asciiTheme="minorHAnsi" w:hAnsiTheme="minorHAnsi" w:cstheme="minorHAnsi"/>
          <w:color w:val="222222"/>
          <w:sz w:val="22"/>
          <w:szCs w:val="22"/>
          <w:shd w:val="clear" w:color="auto" w:fill="FFFFFF"/>
        </w:rPr>
        <w:t>Naraynsingh</w:t>
      </w:r>
      <w:proofErr w:type="spellEnd"/>
      <w:r w:rsidRPr="00BB341A">
        <w:rPr>
          <w:rFonts w:asciiTheme="minorHAnsi" w:hAnsiTheme="minorHAnsi" w:cstheme="minorHAnsi"/>
          <w:color w:val="222222"/>
          <w:sz w:val="22"/>
          <w:szCs w:val="22"/>
          <w:shd w:val="clear" w:color="auto" w:fill="FFFFFF"/>
        </w:rPr>
        <w:t xml:space="preserve"> V. Role of oral antibiotics for prophylaxis against surgical site infections after elective colorectal surgery. World Journal of Gastrointestinal Surgery. 2017 Dec 12;9(12):246.</w:t>
      </w:r>
    </w:p>
    <w:p w14:paraId="74DE6CA8" w14:textId="77777777" w:rsidR="00032544" w:rsidRPr="00032544" w:rsidRDefault="00032544" w:rsidP="00C1619D">
      <w:pPr>
        <w:pStyle w:val="ListParagraph"/>
        <w:numPr>
          <w:ilvl w:val="0"/>
          <w:numId w:val="8"/>
        </w:numPr>
        <w:rPr>
          <w:rFonts w:asciiTheme="minorHAnsi" w:eastAsia="+mj-ea" w:hAnsiTheme="minorHAnsi" w:cstheme="minorHAnsi"/>
          <w:kern w:val="24"/>
          <w:sz w:val="22"/>
          <w:szCs w:val="22"/>
        </w:rPr>
      </w:pPr>
      <w:r w:rsidRPr="00032544">
        <w:rPr>
          <w:rFonts w:asciiTheme="minorHAnsi" w:hAnsiTheme="minorHAnsi" w:cstheme="minorHAnsi"/>
          <w:color w:val="222222"/>
          <w:sz w:val="22"/>
          <w:szCs w:val="22"/>
          <w:shd w:val="clear" w:color="auto" w:fill="FFFFFF"/>
        </w:rPr>
        <w:t xml:space="preserve">Cannon JA, Altom LK, </w:t>
      </w:r>
      <w:proofErr w:type="spellStart"/>
      <w:r w:rsidRPr="00032544">
        <w:rPr>
          <w:rFonts w:asciiTheme="minorHAnsi" w:hAnsiTheme="minorHAnsi" w:cstheme="minorHAnsi"/>
          <w:color w:val="222222"/>
          <w:sz w:val="22"/>
          <w:szCs w:val="22"/>
          <w:shd w:val="clear" w:color="auto" w:fill="FFFFFF"/>
        </w:rPr>
        <w:t>Deierhoi</w:t>
      </w:r>
      <w:proofErr w:type="spellEnd"/>
      <w:r w:rsidRPr="00032544">
        <w:rPr>
          <w:rFonts w:asciiTheme="minorHAnsi" w:hAnsiTheme="minorHAnsi" w:cstheme="minorHAnsi"/>
          <w:color w:val="222222"/>
          <w:sz w:val="22"/>
          <w:szCs w:val="22"/>
          <w:shd w:val="clear" w:color="auto" w:fill="FFFFFF"/>
        </w:rPr>
        <w:t xml:space="preserve"> RJ, Morris M, Richman JS, Vick CC, Itani KM, Hawn MT. Preoperative oral antibiotics reduce surgical site infection following elective colorectal resections. Diseases of the colon &amp; rectum. 2012 Nov 1;55(11):1160-6. </w:t>
      </w:r>
    </w:p>
    <w:p w14:paraId="72C2C055" w14:textId="7F2CCDC1" w:rsidR="00E8522E" w:rsidRPr="00E8522E" w:rsidRDefault="494A43E3" w:rsidP="475BC16C">
      <w:pPr>
        <w:pStyle w:val="ListParagraph"/>
        <w:numPr>
          <w:ilvl w:val="0"/>
          <w:numId w:val="8"/>
        </w:numPr>
        <w:rPr>
          <w:rFonts w:asciiTheme="minorHAnsi" w:eastAsiaTheme="minorEastAsia" w:hAnsiTheme="minorHAnsi" w:cstheme="minorBidi"/>
          <w:kern w:val="24"/>
          <w:sz w:val="22"/>
          <w:szCs w:val="22"/>
        </w:rPr>
      </w:pPr>
      <w:r w:rsidRPr="475BC16C">
        <w:rPr>
          <w:rFonts w:asciiTheme="minorHAnsi" w:hAnsiTheme="minorHAnsi" w:cstheme="minorBidi"/>
          <w:color w:val="222222"/>
          <w:sz w:val="22"/>
          <w:szCs w:val="22"/>
          <w:shd w:val="clear" w:color="auto" w:fill="FFFFFF"/>
        </w:rPr>
        <w:t>N</w:t>
      </w:r>
      <w:r w:rsidRPr="475BC16C">
        <w:rPr>
          <w:rFonts w:asciiTheme="minorHAnsi" w:eastAsiaTheme="minorEastAsia" w:hAnsiTheme="minorHAnsi" w:cstheme="minorBidi"/>
          <w:color w:val="222222"/>
          <w:sz w:val="22"/>
          <w:szCs w:val="22"/>
          <w:shd w:val="clear" w:color="auto" w:fill="FFFFFF"/>
        </w:rPr>
        <w:t xml:space="preserve">elson RL, Hassan M, Grant MD. Antibiotic prophylaxis in colorectal surgery: are oral, intravenous or both best and is mechanical bowel preparation </w:t>
      </w:r>
      <w:proofErr w:type="gramStart"/>
      <w:r w:rsidRPr="475BC16C">
        <w:rPr>
          <w:rFonts w:asciiTheme="minorHAnsi" w:eastAsiaTheme="minorEastAsia" w:hAnsiTheme="minorHAnsi" w:cstheme="minorBidi"/>
          <w:color w:val="222222"/>
          <w:sz w:val="22"/>
          <w:szCs w:val="22"/>
          <w:shd w:val="clear" w:color="auto" w:fill="FFFFFF"/>
        </w:rPr>
        <w:t>necessary?.</w:t>
      </w:r>
      <w:proofErr w:type="gramEnd"/>
      <w:r w:rsidRPr="475BC16C">
        <w:rPr>
          <w:rFonts w:asciiTheme="minorHAnsi" w:eastAsiaTheme="minorEastAsia" w:hAnsiTheme="minorHAnsi" w:cstheme="minorBidi"/>
          <w:color w:val="222222"/>
          <w:sz w:val="22"/>
          <w:szCs w:val="22"/>
          <w:shd w:val="clear" w:color="auto" w:fill="FFFFFF"/>
        </w:rPr>
        <w:t xml:space="preserve"> Techniques in coloproctology. 2020 </w:t>
      </w:r>
      <w:proofErr w:type="gramStart"/>
      <w:r w:rsidRPr="475BC16C">
        <w:rPr>
          <w:rFonts w:asciiTheme="minorHAnsi" w:eastAsiaTheme="minorEastAsia" w:hAnsiTheme="minorHAnsi" w:cstheme="minorBidi"/>
          <w:color w:val="222222"/>
          <w:sz w:val="22"/>
          <w:szCs w:val="22"/>
          <w:shd w:val="clear" w:color="auto" w:fill="FFFFFF"/>
        </w:rPr>
        <w:t>Dec;24:1233</w:t>
      </w:r>
      <w:proofErr w:type="gramEnd"/>
      <w:r w:rsidRPr="475BC16C">
        <w:rPr>
          <w:rFonts w:asciiTheme="minorHAnsi" w:eastAsiaTheme="minorEastAsia" w:hAnsiTheme="minorHAnsi" w:cstheme="minorBidi"/>
          <w:color w:val="222222"/>
          <w:sz w:val="22"/>
          <w:szCs w:val="22"/>
          <w:shd w:val="clear" w:color="auto" w:fill="FFFFFF"/>
        </w:rPr>
        <w:t>-46.</w:t>
      </w:r>
    </w:p>
    <w:p w14:paraId="2B7876B1" w14:textId="6D112F00" w:rsidR="02523228" w:rsidRDefault="02523228" w:rsidP="475BC16C">
      <w:pPr>
        <w:pStyle w:val="ListParagraph"/>
        <w:numPr>
          <w:ilvl w:val="0"/>
          <w:numId w:val="8"/>
        </w:numPr>
        <w:rPr>
          <w:rFonts w:asciiTheme="minorHAnsi" w:eastAsiaTheme="minorEastAsia" w:hAnsiTheme="minorHAnsi" w:cstheme="minorBidi"/>
          <w:color w:val="1B1B1B"/>
          <w:sz w:val="22"/>
          <w:szCs w:val="22"/>
        </w:rPr>
      </w:pPr>
      <w:proofErr w:type="spellStart"/>
      <w:r w:rsidRPr="475BC16C">
        <w:rPr>
          <w:rFonts w:asciiTheme="minorHAnsi" w:eastAsiaTheme="minorEastAsia" w:hAnsiTheme="minorHAnsi" w:cstheme="minorBidi"/>
          <w:color w:val="1B1B1B"/>
          <w:sz w:val="22"/>
          <w:szCs w:val="22"/>
        </w:rPr>
        <w:t>Calu</w:t>
      </w:r>
      <w:proofErr w:type="spellEnd"/>
      <w:r w:rsidRPr="475BC16C">
        <w:rPr>
          <w:rFonts w:asciiTheme="minorHAnsi" w:eastAsiaTheme="minorEastAsia" w:hAnsiTheme="minorHAnsi" w:cstheme="minorBidi"/>
          <w:color w:val="1B1B1B"/>
          <w:sz w:val="22"/>
          <w:szCs w:val="22"/>
        </w:rPr>
        <w:t xml:space="preserve"> V, </w:t>
      </w:r>
      <w:proofErr w:type="spellStart"/>
      <w:r w:rsidRPr="475BC16C">
        <w:rPr>
          <w:rFonts w:asciiTheme="minorHAnsi" w:eastAsiaTheme="minorEastAsia" w:hAnsiTheme="minorHAnsi" w:cstheme="minorBidi"/>
          <w:color w:val="1B1B1B"/>
          <w:sz w:val="22"/>
          <w:szCs w:val="22"/>
        </w:rPr>
        <w:t>Piriianu</w:t>
      </w:r>
      <w:proofErr w:type="spellEnd"/>
      <w:r w:rsidRPr="475BC16C">
        <w:rPr>
          <w:rFonts w:asciiTheme="minorHAnsi" w:eastAsiaTheme="minorEastAsia" w:hAnsiTheme="minorHAnsi" w:cstheme="minorBidi"/>
          <w:color w:val="1B1B1B"/>
          <w:sz w:val="22"/>
          <w:szCs w:val="22"/>
        </w:rPr>
        <w:t xml:space="preserve"> C, Miron A, </w:t>
      </w:r>
      <w:proofErr w:type="spellStart"/>
      <w:r w:rsidRPr="475BC16C">
        <w:rPr>
          <w:rFonts w:asciiTheme="minorHAnsi" w:eastAsiaTheme="minorEastAsia" w:hAnsiTheme="minorHAnsi" w:cstheme="minorBidi"/>
          <w:color w:val="1B1B1B"/>
          <w:sz w:val="22"/>
          <w:szCs w:val="22"/>
        </w:rPr>
        <w:t>Grigorean</w:t>
      </w:r>
      <w:proofErr w:type="spellEnd"/>
      <w:r w:rsidRPr="475BC16C">
        <w:rPr>
          <w:rFonts w:asciiTheme="minorHAnsi" w:eastAsiaTheme="minorEastAsia" w:hAnsiTheme="minorHAnsi" w:cstheme="minorBidi"/>
          <w:color w:val="1B1B1B"/>
          <w:sz w:val="22"/>
          <w:szCs w:val="22"/>
        </w:rPr>
        <w:t xml:space="preserve"> VT. Surgical Site Infections in Colorectal Cancer Surgeries: A Systematic Review and Meta-Analysis of the Impact of Surgical Approach and Associated Risk Factors. Life (Basel). 2024 Jul 5;14(7):850. </w:t>
      </w:r>
      <w:proofErr w:type="spellStart"/>
      <w:r w:rsidRPr="475BC16C">
        <w:rPr>
          <w:rFonts w:asciiTheme="minorHAnsi" w:eastAsiaTheme="minorEastAsia" w:hAnsiTheme="minorHAnsi" w:cstheme="minorBidi"/>
          <w:color w:val="1B1B1B"/>
          <w:sz w:val="22"/>
          <w:szCs w:val="22"/>
        </w:rPr>
        <w:t>doi</w:t>
      </w:r>
      <w:proofErr w:type="spellEnd"/>
      <w:r w:rsidRPr="475BC16C">
        <w:rPr>
          <w:rFonts w:asciiTheme="minorHAnsi" w:eastAsiaTheme="minorEastAsia" w:hAnsiTheme="minorHAnsi" w:cstheme="minorBidi"/>
          <w:color w:val="1B1B1B"/>
          <w:sz w:val="22"/>
          <w:szCs w:val="22"/>
        </w:rPr>
        <w:t>: 10.3390/life14070850. PMID: 39063604; PMCID: PMC11278392.</w:t>
      </w:r>
    </w:p>
    <w:p w14:paraId="3B82448E" w14:textId="13C033C3" w:rsidR="02523228" w:rsidRDefault="02523228" w:rsidP="475BC16C">
      <w:pPr>
        <w:pStyle w:val="ListParagraph"/>
        <w:numPr>
          <w:ilvl w:val="0"/>
          <w:numId w:val="8"/>
        </w:numPr>
        <w:rPr>
          <w:rFonts w:asciiTheme="minorHAnsi" w:eastAsiaTheme="minorEastAsia" w:hAnsiTheme="minorHAnsi" w:cstheme="minorBidi"/>
          <w:color w:val="1B1B1B"/>
          <w:sz w:val="22"/>
          <w:szCs w:val="22"/>
        </w:rPr>
      </w:pPr>
      <w:r w:rsidRPr="475BC16C">
        <w:rPr>
          <w:rFonts w:asciiTheme="minorHAnsi" w:eastAsiaTheme="minorEastAsia" w:hAnsiTheme="minorHAnsi" w:cstheme="minorBidi"/>
          <w:color w:val="1B1B1B"/>
          <w:sz w:val="22"/>
          <w:szCs w:val="22"/>
        </w:rPr>
        <w:t xml:space="preserve">Cai W, Wang L, Wang W, Zhou T. Systematic review and meta-analysis of the risk factors of surgical site infection in patients with colorectal cancer. </w:t>
      </w:r>
      <w:proofErr w:type="spellStart"/>
      <w:r w:rsidRPr="475BC16C">
        <w:rPr>
          <w:rFonts w:asciiTheme="minorHAnsi" w:eastAsiaTheme="minorEastAsia" w:hAnsiTheme="minorHAnsi" w:cstheme="minorBidi"/>
          <w:color w:val="1B1B1B"/>
          <w:sz w:val="22"/>
          <w:szCs w:val="22"/>
        </w:rPr>
        <w:t>Transl</w:t>
      </w:r>
      <w:proofErr w:type="spellEnd"/>
      <w:r w:rsidRPr="475BC16C">
        <w:rPr>
          <w:rFonts w:asciiTheme="minorHAnsi" w:eastAsiaTheme="minorEastAsia" w:hAnsiTheme="minorHAnsi" w:cstheme="minorBidi"/>
          <w:color w:val="1B1B1B"/>
          <w:sz w:val="22"/>
          <w:szCs w:val="22"/>
        </w:rPr>
        <w:t xml:space="preserve"> Cancer Res. 2022 Apr;11(4):857-871. </w:t>
      </w:r>
      <w:proofErr w:type="spellStart"/>
      <w:r w:rsidRPr="475BC16C">
        <w:rPr>
          <w:rFonts w:asciiTheme="minorHAnsi" w:eastAsiaTheme="minorEastAsia" w:hAnsiTheme="minorHAnsi" w:cstheme="minorBidi"/>
          <w:color w:val="1B1B1B"/>
          <w:sz w:val="22"/>
          <w:szCs w:val="22"/>
        </w:rPr>
        <w:t>doi</w:t>
      </w:r>
      <w:proofErr w:type="spellEnd"/>
      <w:r w:rsidRPr="475BC16C">
        <w:rPr>
          <w:rFonts w:asciiTheme="minorHAnsi" w:eastAsiaTheme="minorEastAsia" w:hAnsiTheme="minorHAnsi" w:cstheme="minorBidi"/>
          <w:color w:val="1B1B1B"/>
          <w:sz w:val="22"/>
          <w:szCs w:val="22"/>
        </w:rPr>
        <w:t>: 10.21037/tcr-22-627. PMID: 35571649; PMCID: PMC9091005.</w:t>
      </w:r>
    </w:p>
    <w:p w14:paraId="4F8E8D0E" w14:textId="2D1E6B89" w:rsidR="006F4AF9" w:rsidRDefault="006F4AF9" w:rsidP="475BC16C">
      <w:pPr>
        <w:pStyle w:val="ListParagraph"/>
        <w:numPr>
          <w:ilvl w:val="0"/>
          <w:numId w:val="8"/>
        </w:numPr>
        <w:rPr>
          <w:rFonts w:asciiTheme="minorHAnsi" w:eastAsiaTheme="minorEastAsia" w:hAnsiTheme="minorHAnsi" w:cstheme="minorBidi"/>
          <w:color w:val="1B1B1B"/>
          <w:sz w:val="22"/>
          <w:szCs w:val="22"/>
        </w:rPr>
      </w:pPr>
      <w:r w:rsidRPr="006F4AF9">
        <w:rPr>
          <w:rFonts w:asciiTheme="minorHAnsi" w:eastAsiaTheme="minorEastAsia" w:hAnsiTheme="minorHAnsi" w:cstheme="minorBidi"/>
          <w:color w:val="1B1B1B"/>
          <w:sz w:val="22"/>
          <w:szCs w:val="22"/>
        </w:rPr>
        <w:t xml:space="preserve">Victorian Department of Health Communicable Diseases Section (2023). Victorian guideline on </w:t>
      </w:r>
      <w:proofErr w:type="spellStart"/>
      <w:r w:rsidRPr="006F4AF9">
        <w:rPr>
          <w:rFonts w:asciiTheme="minorHAnsi" w:eastAsiaTheme="minorEastAsia" w:hAnsiTheme="minorHAnsi" w:cstheme="minorBidi"/>
          <w:color w:val="1B1B1B"/>
          <w:sz w:val="22"/>
          <w:szCs w:val="22"/>
        </w:rPr>
        <w:t>carbapenemase</w:t>
      </w:r>
      <w:proofErr w:type="spellEnd"/>
      <w:r w:rsidRPr="006F4AF9">
        <w:rPr>
          <w:rFonts w:asciiTheme="minorHAnsi" w:eastAsiaTheme="minorEastAsia" w:hAnsiTheme="minorHAnsi" w:cstheme="minorBidi"/>
          <w:color w:val="1B1B1B"/>
          <w:sz w:val="22"/>
          <w:szCs w:val="22"/>
        </w:rPr>
        <w:t xml:space="preserve"> producing organisms (version 1.1). Victorian Government, 1 Treasury Place, Melbourne, VIC 3000. Retrieved from: </w:t>
      </w:r>
      <w:hyperlink r:id="rId14" w:history="1">
        <w:r w:rsidRPr="00AF1FB5">
          <w:rPr>
            <w:rStyle w:val="Hyperlink"/>
            <w:rFonts w:asciiTheme="minorHAnsi" w:eastAsiaTheme="minorEastAsia" w:hAnsiTheme="minorHAnsi" w:cstheme="minorBidi"/>
            <w:sz w:val="22"/>
            <w:szCs w:val="22"/>
          </w:rPr>
          <w:t>https://www.health.vic.gov.au/infectious-diseases/victorian-guideline-on-cpo-for-health-services</w:t>
        </w:r>
      </w:hyperlink>
      <w:r w:rsidRPr="006F4AF9">
        <w:rPr>
          <w:rFonts w:asciiTheme="minorHAnsi" w:eastAsiaTheme="minorEastAsia" w:hAnsiTheme="minorHAnsi" w:cstheme="minorBidi"/>
          <w:color w:val="1B1B1B"/>
          <w:sz w:val="22"/>
          <w:szCs w:val="22"/>
        </w:rPr>
        <w:t>.</w:t>
      </w:r>
    </w:p>
    <w:p w14:paraId="07D3971B" w14:textId="77777777" w:rsidR="006F4AF9" w:rsidRPr="006F4AF9" w:rsidRDefault="006F4AF9" w:rsidP="006F4AF9">
      <w:pPr>
        <w:pStyle w:val="ListParagraph"/>
        <w:numPr>
          <w:ilvl w:val="0"/>
          <w:numId w:val="8"/>
        </w:numPr>
        <w:rPr>
          <w:rFonts w:asciiTheme="minorHAnsi" w:eastAsiaTheme="minorEastAsia" w:hAnsiTheme="minorHAnsi" w:cstheme="minorBidi"/>
          <w:color w:val="1B1B1B"/>
          <w:sz w:val="22"/>
          <w:szCs w:val="22"/>
        </w:rPr>
      </w:pPr>
      <w:r w:rsidRPr="006F4AF9">
        <w:rPr>
          <w:rFonts w:asciiTheme="minorHAnsi" w:eastAsiaTheme="minorEastAsia" w:hAnsiTheme="minorHAnsi" w:cstheme="minorBidi"/>
          <w:color w:val="1B1B1B"/>
          <w:sz w:val="22"/>
          <w:szCs w:val="22"/>
        </w:rPr>
        <w:t>Global guidelines for the prevention of surgical site infection, second edition. Geneva: World Health Organization; 2018. Licence: CC BY-NC-SA 3.0 IGO.</w:t>
      </w:r>
    </w:p>
    <w:p w14:paraId="0F03629C" w14:textId="7D9FAC63" w:rsidR="00B84C4D" w:rsidRDefault="00B84C4D" w:rsidP="00B84C4D">
      <w:pPr>
        <w:pStyle w:val="ListParagraph"/>
        <w:numPr>
          <w:ilvl w:val="0"/>
          <w:numId w:val="8"/>
        </w:numPr>
        <w:rPr>
          <w:rFonts w:asciiTheme="minorHAnsi" w:eastAsiaTheme="minorEastAsia" w:hAnsiTheme="minorHAnsi" w:cstheme="minorBidi"/>
          <w:color w:val="1B1B1B"/>
          <w:sz w:val="22"/>
          <w:szCs w:val="22"/>
        </w:rPr>
      </w:pPr>
      <w:r w:rsidRPr="00B84C4D">
        <w:rPr>
          <w:rFonts w:asciiTheme="minorHAnsi" w:eastAsiaTheme="minorEastAsia" w:hAnsiTheme="minorHAnsi" w:cstheme="minorBidi"/>
          <w:color w:val="1B1B1B"/>
          <w:sz w:val="22"/>
          <w:szCs w:val="22"/>
        </w:rPr>
        <w:t xml:space="preserve">Calderwood MS, Anderson DJ, </w:t>
      </w:r>
      <w:proofErr w:type="spellStart"/>
      <w:r w:rsidRPr="00B84C4D">
        <w:rPr>
          <w:rFonts w:asciiTheme="minorHAnsi" w:eastAsiaTheme="minorEastAsia" w:hAnsiTheme="minorHAnsi" w:cstheme="minorBidi"/>
          <w:color w:val="1B1B1B"/>
          <w:sz w:val="22"/>
          <w:szCs w:val="22"/>
        </w:rPr>
        <w:t>Bratzler</w:t>
      </w:r>
      <w:proofErr w:type="spellEnd"/>
      <w:r w:rsidRPr="00B84C4D">
        <w:rPr>
          <w:rFonts w:asciiTheme="minorHAnsi" w:eastAsiaTheme="minorEastAsia" w:hAnsiTheme="minorHAnsi" w:cstheme="minorBidi"/>
          <w:color w:val="1B1B1B"/>
          <w:sz w:val="22"/>
          <w:szCs w:val="22"/>
        </w:rPr>
        <w:t xml:space="preserve"> DW, Dellinger EP, Garcia-Houchins S, Maragakis LL, Nyquist AC, Perkins KM, </w:t>
      </w:r>
      <w:proofErr w:type="spellStart"/>
      <w:r w:rsidRPr="00B84C4D">
        <w:rPr>
          <w:rFonts w:asciiTheme="minorHAnsi" w:eastAsiaTheme="minorEastAsia" w:hAnsiTheme="minorHAnsi" w:cstheme="minorBidi"/>
          <w:color w:val="1B1B1B"/>
          <w:sz w:val="22"/>
          <w:szCs w:val="22"/>
        </w:rPr>
        <w:t>Preas</w:t>
      </w:r>
      <w:proofErr w:type="spellEnd"/>
      <w:r w:rsidRPr="00B84C4D">
        <w:rPr>
          <w:rFonts w:asciiTheme="minorHAnsi" w:eastAsiaTheme="minorEastAsia" w:hAnsiTheme="minorHAnsi" w:cstheme="minorBidi"/>
          <w:color w:val="1B1B1B"/>
          <w:sz w:val="22"/>
          <w:szCs w:val="22"/>
        </w:rPr>
        <w:t xml:space="preserve"> MA, Saiman L, </w:t>
      </w:r>
      <w:proofErr w:type="spellStart"/>
      <w:r w:rsidRPr="00B84C4D">
        <w:rPr>
          <w:rFonts w:asciiTheme="minorHAnsi" w:eastAsiaTheme="minorEastAsia" w:hAnsiTheme="minorHAnsi" w:cstheme="minorBidi"/>
          <w:color w:val="1B1B1B"/>
          <w:sz w:val="22"/>
          <w:szCs w:val="22"/>
        </w:rPr>
        <w:t>Schaffzin</w:t>
      </w:r>
      <w:proofErr w:type="spellEnd"/>
      <w:r w:rsidRPr="00B84C4D">
        <w:rPr>
          <w:rFonts w:asciiTheme="minorHAnsi" w:eastAsiaTheme="minorEastAsia" w:hAnsiTheme="minorHAnsi" w:cstheme="minorBidi"/>
          <w:color w:val="1B1B1B"/>
          <w:sz w:val="22"/>
          <w:szCs w:val="22"/>
        </w:rPr>
        <w:t xml:space="preserve"> JK, Schweizer M, Yokoe DS, Kaye KS. Strategies to prevent surgical site infections in acute-care hospitals: 2022 Update. Infect Control Hosp Epidemiol. 2023 May;44(5):695-720. </w:t>
      </w:r>
      <w:proofErr w:type="spellStart"/>
      <w:r w:rsidRPr="00B84C4D">
        <w:rPr>
          <w:rFonts w:asciiTheme="minorHAnsi" w:eastAsiaTheme="minorEastAsia" w:hAnsiTheme="minorHAnsi" w:cstheme="minorBidi"/>
          <w:color w:val="1B1B1B"/>
          <w:sz w:val="22"/>
          <w:szCs w:val="22"/>
        </w:rPr>
        <w:t>doi</w:t>
      </w:r>
      <w:proofErr w:type="spellEnd"/>
      <w:r w:rsidRPr="00B84C4D">
        <w:rPr>
          <w:rFonts w:asciiTheme="minorHAnsi" w:eastAsiaTheme="minorEastAsia" w:hAnsiTheme="minorHAnsi" w:cstheme="minorBidi"/>
          <w:color w:val="1B1B1B"/>
          <w:sz w:val="22"/>
          <w:szCs w:val="22"/>
        </w:rPr>
        <w:t xml:space="preserve">: 10.1017/ice.2023.67. </w:t>
      </w:r>
      <w:proofErr w:type="spellStart"/>
      <w:r w:rsidRPr="00B84C4D">
        <w:rPr>
          <w:rFonts w:asciiTheme="minorHAnsi" w:eastAsiaTheme="minorEastAsia" w:hAnsiTheme="minorHAnsi" w:cstheme="minorBidi"/>
          <w:color w:val="1B1B1B"/>
          <w:sz w:val="22"/>
          <w:szCs w:val="22"/>
        </w:rPr>
        <w:t>Epub</w:t>
      </w:r>
      <w:proofErr w:type="spellEnd"/>
      <w:r w:rsidRPr="00B84C4D">
        <w:rPr>
          <w:rFonts w:asciiTheme="minorHAnsi" w:eastAsiaTheme="minorEastAsia" w:hAnsiTheme="minorHAnsi" w:cstheme="minorBidi"/>
          <w:color w:val="1B1B1B"/>
          <w:sz w:val="22"/>
          <w:szCs w:val="22"/>
        </w:rPr>
        <w:t xml:space="preserve"> 2023 May 4. PMID: 37137483; PMCID: PMC10867741.</w:t>
      </w:r>
    </w:p>
    <w:p w14:paraId="7A42C52A" w14:textId="61D63BD8" w:rsidR="002974A4" w:rsidRPr="00BB341A" w:rsidRDefault="6A51FA60" w:rsidP="475BC16C">
      <w:pPr>
        <w:pStyle w:val="ListParagraph"/>
        <w:numPr>
          <w:ilvl w:val="0"/>
          <w:numId w:val="8"/>
        </w:numPr>
        <w:rPr>
          <w:rFonts w:asciiTheme="minorHAnsi" w:eastAsia="+mj-ea" w:hAnsiTheme="minorHAnsi" w:cstheme="minorBidi"/>
          <w:kern w:val="24"/>
          <w:sz w:val="22"/>
          <w:szCs w:val="22"/>
        </w:rPr>
      </w:pPr>
      <w:r w:rsidRPr="475BC16C">
        <w:rPr>
          <w:rFonts w:asciiTheme="minorHAnsi" w:eastAsiaTheme="minorEastAsia" w:hAnsiTheme="minorHAnsi" w:cstheme="minorBidi"/>
          <w:color w:val="222222"/>
          <w:sz w:val="22"/>
          <w:szCs w:val="22"/>
          <w:shd w:val="clear" w:color="auto" w:fill="FFFFFF"/>
        </w:rPr>
        <w:t xml:space="preserve">Wade RG, Burr NE, McCauley G, Bourke G, Efthimiou O. </w:t>
      </w:r>
      <w:r w:rsidRPr="475BC16C">
        <w:rPr>
          <w:rFonts w:asciiTheme="minorHAnsi" w:hAnsiTheme="minorHAnsi" w:cstheme="minorBidi"/>
          <w:color w:val="222222"/>
          <w:sz w:val="22"/>
          <w:szCs w:val="22"/>
          <w:shd w:val="clear" w:color="auto" w:fill="FFFFFF"/>
        </w:rPr>
        <w:t>The comparative efficacy of chlorhexidine gluconate and povidone-iodine antiseptics for the prevention of infection in clean surgery: a systematic review and network meta-analysis. Annals of surgery. 2021 Dec 1;274(6</w:t>
      </w:r>
      <w:proofErr w:type="gramStart"/>
      <w:r w:rsidRPr="475BC16C">
        <w:rPr>
          <w:rFonts w:asciiTheme="minorHAnsi" w:hAnsiTheme="minorHAnsi" w:cstheme="minorBidi"/>
          <w:color w:val="222222"/>
          <w:sz w:val="22"/>
          <w:szCs w:val="22"/>
          <w:shd w:val="clear" w:color="auto" w:fill="FFFFFF"/>
        </w:rPr>
        <w:t>):e</w:t>
      </w:r>
      <w:proofErr w:type="gramEnd"/>
      <w:r w:rsidRPr="475BC16C">
        <w:rPr>
          <w:rFonts w:asciiTheme="minorHAnsi" w:hAnsiTheme="minorHAnsi" w:cstheme="minorBidi"/>
          <w:color w:val="222222"/>
          <w:sz w:val="22"/>
          <w:szCs w:val="22"/>
          <w:shd w:val="clear" w:color="auto" w:fill="FFFFFF"/>
        </w:rPr>
        <w:t>481-8.</w:t>
      </w:r>
    </w:p>
    <w:p w14:paraId="02CB8ACD" w14:textId="6C81250F" w:rsidR="00714779" w:rsidRPr="00E8522E" w:rsidRDefault="00714779" w:rsidP="00C1619D">
      <w:pPr>
        <w:pStyle w:val="ListParagraph"/>
        <w:numPr>
          <w:ilvl w:val="0"/>
          <w:numId w:val="8"/>
        </w:numPr>
        <w:rPr>
          <w:rFonts w:asciiTheme="minorHAnsi" w:eastAsia="+mj-ea" w:hAnsiTheme="minorHAnsi" w:cstheme="minorHAnsi"/>
          <w:kern w:val="24"/>
          <w:sz w:val="22"/>
          <w:szCs w:val="22"/>
        </w:rPr>
      </w:pPr>
      <w:r w:rsidRPr="00BB341A">
        <w:rPr>
          <w:rFonts w:asciiTheme="minorHAnsi" w:eastAsia="+mj-ea" w:hAnsiTheme="minorHAnsi" w:cstheme="minorHAnsi"/>
          <w:kern w:val="24"/>
          <w:sz w:val="22"/>
          <w:szCs w:val="22"/>
        </w:rPr>
        <w:t xml:space="preserve">Khan A, Wong J, Riedel B, Laing E, Beaumont A, Kong J, Warrier S, Heriot A. The Impact of Peri-operative Enteral Immunonutrition on Post-operative Complications in Gastrointestinal </w:t>
      </w:r>
      <w:r w:rsidRPr="00E8522E">
        <w:rPr>
          <w:rFonts w:asciiTheme="minorHAnsi" w:eastAsia="+mj-ea" w:hAnsiTheme="minorHAnsi" w:cstheme="minorHAnsi"/>
          <w:kern w:val="24"/>
          <w:sz w:val="22"/>
          <w:szCs w:val="22"/>
        </w:rPr>
        <w:t xml:space="preserve">Cancer Surgery: A Meta-Analysis. Ann Surg Oncol. 2023 Jun;30(6):3619-3631. </w:t>
      </w:r>
      <w:proofErr w:type="spellStart"/>
      <w:r w:rsidRPr="00E8522E">
        <w:rPr>
          <w:rFonts w:asciiTheme="minorHAnsi" w:eastAsia="+mj-ea" w:hAnsiTheme="minorHAnsi" w:cstheme="minorHAnsi"/>
          <w:kern w:val="24"/>
          <w:sz w:val="22"/>
          <w:szCs w:val="22"/>
        </w:rPr>
        <w:t>doi</w:t>
      </w:r>
      <w:proofErr w:type="spellEnd"/>
      <w:r w:rsidRPr="00E8522E">
        <w:rPr>
          <w:rFonts w:asciiTheme="minorHAnsi" w:eastAsia="+mj-ea" w:hAnsiTheme="minorHAnsi" w:cstheme="minorHAnsi"/>
          <w:kern w:val="24"/>
          <w:sz w:val="22"/>
          <w:szCs w:val="22"/>
        </w:rPr>
        <w:t xml:space="preserve">: 10.1245/s10434-023-13265-1. </w:t>
      </w:r>
      <w:proofErr w:type="spellStart"/>
      <w:r w:rsidRPr="00E8522E">
        <w:rPr>
          <w:rFonts w:asciiTheme="minorHAnsi" w:eastAsia="+mj-ea" w:hAnsiTheme="minorHAnsi" w:cstheme="minorHAnsi"/>
          <w:kern w:val="24"/>
          <w:sz w:val="22"/>
          <w:szCs w:val="22"/>
        </w:rPr>
        <w:t>Epub</w:t>
      </w:r>
      <w:proofErr w:type="spellEnd"/>
      <w:r w:rsidRPr="00E8522E">
        <w:rPr>
          <w:rFonts w:asciiTheme="minorHAnsi" w:eastAsia="+mj-ea" w:hAnsiTheme="minorHAnsi" w:cstheme="minorHAnsi"/>
          <w:kern w:val="24"/>
          <w:sz w:val="22"/>
          <w:szCs w:val="22"/>
        </w:rPr>
        <w:t xml:space="preserve"> 2023 Feb 23. PMID: 36820938.</w:t>
      </w:r>
    </w:p>
    <w:p w14:paraId="31779D9F" w14:textId="468080FD" w:rsidR="002974A4" w:rsidRPr="00E8522E" w:rsidRDefault="002974A4" w:rsidP="00C1619D">
      <w:pPr>
        <w:pStyle w:val="ListParagraph"/>
        <w:numPr>
          <w:ilvl w:val="0"/>
          <w:numId w:val="8"/>
        </w:numPr>
        <w:rPr>
          <w:rFonts w:asciiTheme="minorHAnsi" w:eastAsia="+mj-ea" w:hAnsiTheme="minorHAnsi" w:cstheme="minorHAnsi"/>
          <w:kern w:val="24"/>
          <w:sz w:val="22"/>
          <w:szCs w:val="22"/>
        </w:rPr>
      </w:pPr>
      <w:r w:rsidRPr="00E8522E">
        <w:rPr>
          <w:rFonts w:asciiTheme="minorHAnsi" w:hAnsiTheme="minorHAnsi" w:cstheme="minorHAnsi"/>
          <w:color w:val="222222"/>
          <w:sz w:val="22"/>
          <w:szCs w:val="22"/>
          <w:shd w:val="clear" w:color="auto" w:fill="FFFFFF"/>
        </w:rPr>
        <w:lastRenderedPageBreak/>
        <w:t xml:space="preserve">Singh B, Mal G, Kalra RS, Marotta F. Probiotics and </w:t>
      </w:r>
      <w:proofErr w:type="spellStart"/>
      <w:r w:rsidRPr="00E8522E">
        <w:rPr>
          <w:rFonts w:asciiTheme="minorHAnsi" w:hAnsiTheme="minorHAnsi" w:cstheme="minorHAnsi"/>
          <w:color w:val="222222"/>
          <w:sz w:val="22"/>
          <w:szCs w:val="22"/>
          <w:shd w:val="clear" w:color="auto" w:fill="FFFFFF"/>
        </w:rPr>
        <w:t>Synbiotics</w:t>
      </w:r>
      <w:proofErr w:type="spellEnd"/>
      <w:r w:rsidRPr="00E8522E">
        <w:rPr>
          <w:rFonts w:asciiTheme="minorHAnsi" w:hAnsiTheme="minorHAnsi" w:cstheme="minorHAnsi"/>
          <w:color w:val="222222"/>
          <w:sz w:val="22"/>
          <w:szCs w:val="22"/>
          <w:shd w:val="clear" w:color="auto" w:fill="FFFFFF"/>
        </w:rPr>
        <w:t xml:space="preserve"> in Perioperative Treatments. </w:t>
      </w:r>
      <w:proofErr w:type="spellStart"/>
      <w:r w:rsidRPr="00E8522E">
        <w:rPr>
          <w:rFonts w:asciiTheme="minorHAnsi" w:hAnsiTheme="minorHAnsi" w:cstheme="minorHAnsi"/>
          <w:color w:val="222222"/>
          <w:sz w:val="22"/>
          <w:szCs w:val="22"/>
          <w:shd w:val="clear" w:color="auto" w:fill="FFFFFF"/>
        </w:rPr>
        <w:t>InProbiotics</w:t>
      </w:r>
      <w:proofErr w:type="spellEnd"/>
      <w:r w:rsidRPr="00E8522E">
        <w:rPr>
          <w:rFonts w:asciiTheme="minorHAnsi" w:hAnsiTheme="minorHAnsi" w:cstheme="minorHAnsi"/>
          <w:color w:val="222222"/>
          <w:sz w:val="22"/>
          <w:szCs w:val="22"/>
          <w:shd w:val="clear" w:color="auto" w:fill="FFFFFF"/>
        </w:rPr>
        <w:t xml:space="preserve"> as Live Biotherapeutics for Veterinary and Human Health, Volume 2: Functional Foods and Post-Genomics 2024 Nov 12 (pp. 411-421). Cham: Springer Nature Switzerland.</w:t>
      </w:r>
    </w:p>
    <w:p w14:paraId="4AE14EB0" w14:textId="1CD30883" w:rsidR="002974A4" w:rsidRPr="00E8522E" w:rsidRDefault="002974A4" w:rsidP="00C1619D">
      <w:pPr>
        <w:pStyle w:val="ListParagraph"/>
        <w:numPr>
          <w:ilvl w:val="0"/>
          <w:numId w:val="8"/>
        </w:numPr>
        <w:rPr>
          <w:rFonts w:asciiTheme="minorHAnsi" w:eastAsia="+mj-ea" w:hAnsiTheme="minorHAnsi" w:cstheme="minorHAnsi"/>
          <w:kern w:val="24"/>
          <w:sz w:val="22"/>
          <w:szCs w:val="22"/>
        </w:rPr>
      </w:pPr>
      <w:r w:rsidRPr="00E8522E">
        <w:rPr>
          <w:rFonts w:asciiTheme="minorHAnsi" w:hAnsiTheme="minorHAnsi" w:cstheme="minorHAnsi"/>
          <w:color w:val="222222"/>
          <w:sz w:val="22"/>
          <w:szCs w:val="22"/>
          <w:shd w:val="clear" w:color="auto" w:fill="FFFFFF"/>
        </w:rPr>
        <w:t xml:space="preserve">Jiang J, Ren F. Effect of probiotics and </w:t>
      </w:r>
      <w:proofErr w:type="spellStart"/>
      <w:r w:rsidRPr="00E8522E">
        <w:rPr>
          <w:rFonts w:asciiTheme="minorHAnsi" w:hAnsiTheme="minorHAnsi" w:cstheme="minorHAnsi"/>
          <w:color w:val="222222"/>
          <w:sz w:val="22"/>
          <w:szCs w:val="22"/>
          <w:shd w:val="clear" w:color="auto" w:fill="FFFFFF"/>
        </w:rPr>
        <w:t>synbiotics</w:t>
      </w:r>
      <w:proofErr w:type="spellEnd"/>
      <w:r w:rsidRPr="00E8522E">
        <w:rPr>
          <w:rFonts w:asciiTheme="minorHAnsi" w:hAnsiTheme="minorHAnsi" w:cstheme="minorHAnsi"/>
          <w:color w:val="222222"/>
          <w:sz w:val="22"/>
          <w:szCs w:val="22"/>
          <w:shd w:val="clear" w:color="auto" w:fill="FFFFFF"/>
        </w:rPr>
        <w:t xml:space="preserve"> on complications of wound infection after colorectal surgery: A meta‐analysis. International Wound Journal. 2024 Apr;21(4</w:t>
      </w:r>
      <w:proofErr w:type="gramStart"/>
      <w:r w:rsidRPr="00E8522E">
        <w:rPr>
          <w:rFonts w:asciiTheme="minorHAnsi" w:hAnsiTheme="minorHAnsi" w:cstheme="minorHAnsi"/>
          <w:color w:val="222222"/>
          <w:sz w:val="22"/>
          <w:szCs w:val="22"/>
          <w:shd w:val="clear" w:color="auto" w:fill="FFFFFF"/>
        </w:rPr>
        <w:t>):e</w:t>
      </w:r>
      <w:proofErr w:type="gramEnd"/>
      <w:r w:rsidRPr="00E8522E">
        <w:rPr>
          <w:rFonts w:asciiTheme="minorHAnsi" w:hAnsiTheme="minorHAnsi" w:cstheme="minorHAnsi"/>
          <w:color w:val="222222"/>
          <w:sz w:val="22"/>
          <w:szCs w:val="22"/>
          <w:shd w:val="clear" w:color="auto" w:fill="FFFFFF"/>
        </w:rPr>
        <w:t>14838.</w:t>
      </w:r>
    </w:p>
    <w:p w14:paraId="66FA57BD" w14:textId="06426318" w:rsidR="002974A4" w:rsidRPr="00BB341A" w:rsidRDefault="002974A4" w:rsidP="00C1619D">
      <w:pPr>
        <w:pStyle w:val="ListParagraph"/>
        <w:numPr>
          <w:ilvl w:val="0"/>
          <w:numId w:val="8"/>
        </w:numPr>
        <w:rPr>
          <w:rFonts w:asciiTheme="minorHAnsi" w:eastAsia="+mj-ea" w:hAnsiTheme="minorHAnsi" w:cstheme="minorHAnsi"/>
          <w:kern w:val="24"/>
          <w:sz w:val="22"/>
          <w:szCs w:val="22"/>
        </w:rPr>
      </w:pPr>
      <w:r w:rsidRPr="00E8522E">
        <w:rPr>
          <w:rFonts w:asciiTheme="minorHAnsi" w:hAnsiTheme="minorHAnsi" w:cstheme="minorHAnsi"/>
          <w:color w:val="222222"/>
          <w:sz w:val="22"/>
          <w:szCs w:val="22"/>
          <w:shd w:val="clear" w:color="auto" w:fill="FFFFFF"/>
        </w:rPr>
        <w:t xml:space="preserve">Mason SE, Kinross JM, Hendricks J, </w:t>
      </w:r>
      <w:proofErr w:type="spellStart"/>
      <w:r w:rsidRPr="00E8522E">
        <w:rPr>
          <w:rFonts w:asciiTheme="minorHAnsi" w:hAnsiTheme="minorHAnsi" w:cstheme="minorHAnsi"/>
          <w:color w:val="222222"/>
          <w:sz w:val="22"/>
          <w:szCs w:val="22"/>
          <w:shd w:val="clear" w:color="auto" w:fill="FFFFFF"/>
        </w:rPr>
        <w:t>Arulampalam</w:t>
      </w:r>
      <w:proofErr w:type="spellEnd"/>
      <w:r w:rsidRPr="00BB341A">
        <w:rPr>
          <w:rFonts w:asciiTheme="minorHAnsi" w:hAnsiTheme="minorHAnsi" w:cstheme="minorHAnsi"/>
          <w:color w:val="222222"/>
          <w:sz w:val="22"/>
          <w:szCs w:val="22"/>
          <w:shd w:val="clear" w:color="auto" w:fill="FFFFFF"/>
        </w:rPr>
        <w:t xml:space="preserve"> TH. Postoperative hypothermia and surgical site infection following peritoneal insufflation with warm, humidified carbon dioxide during laparoscopic colorectal surgery: a cohort study with cost-effectiveness analysis. Surgical endoscopy. 2017 </w:t>
      </w:r>
      <w:proofErr w:type="gramStart"/>
      <w:r w:rsidRPr="00BB341A">
        <w:rPr>
          <w:rFonts w:asciiTheme="minorHAnsi" w:hAnsiTheme="minorHAnsi" w:cstheme="minorHAnsi"/>
          <w:color w:val="222222"/>
          <w:sz w:val="22"/>
          <w:szCs w:val="22"/>
          <w:shd w:val="clear" w:color="auto" w:fill="FFFFFF"/>
        </w:rPr>
        <w:t>Apr;31:1923</w:t>
      </w:r>
      <w:proofErr w:type="gramEnd"/>
      <w:r w:rsidRPr="00BB341A">
        <w:rPr>
          <w:rFonts w:asciiTheme="minorHAnsi" w:hAnsiTheme="minorHAnsi" w:cstheme="minorHAnsi"/>
          <w:color w:val="222222"/>
          <w:sz w:val="22"/>
          <w:szCs w:val="22"/>
          <w:shd w:val="clear" w:color="auto" w:fill="FFFFFF"/>
        </w:rPr>
        <w:t>-9.</w:t>
      </w:r>
    </w:p>
    <w:p w14:paraId="3BE04CDC" w14:textId="01C10C0F" w:rsidR="002974A4" w:rsidRPr="00BB341A" w:rsidRDefault="6A51FA60" w:rsidP="475BC16C">
      <w:pPr>
        <w:pStyle w:val="ListParagraph"/>
        <w:numPr>
          <w:ilvl w:val="0"/>
          <w:numId w:val="8"/>
        </w:numPr>
        <w:rPr>
          <w:rFonts w:asciiTheme="minorHAnsi" w:eastAsiaTheme="minorEastAsia" w:hAnsiTheme="minorHAnsi" w:cstheme="minorBidi"/>
          <w:kern w:val="24"/>
          <w:sz w:val="22"/>
          <w:szCs w:val="22"/>
        </w:rPr>
      </w:pPr>
      <w:r w:rsidRPr="475BC16C">
        <w:rPr>
          <w:rFonts w:asciiTheme="minorHAnsi" w:eastAsiaTheme="minorEastAsia" w:hAnsiTheme="minorHAnsi" w:cstheme="minorBidi"/>
          <w:color w:val="222222"/>
          <w:sz w:val="22"/>
          <w:szCs w:val="22"/>
          <w:shd w:val="clear" w:color="auto" w:fill="FFFFFF"/>
        </w:rPr>
        <w:t xml:space="preserve">Mahfouz ME, </w:t>
      </w:r>
      <w:proofErr w:type="spellStart"/>
      <w:r w:rsidRPr="475BC16C">
        <w:rPr>
          <w:rFonts w:asciiTheme="minorHAnsi" w:eastAsiaTheme="minorEastAsia" w:hAnsiTheme="minorHAnsi" w:cstheme="minorBidi"/>
          <w:color w:val="222222"/>
          <w:sz w:val="22"/>
          <w:szCs w:val="22"/>
          <w:shd w:val="clear" w:color="auto" w:fill="FFFFFF"/>
        </w:rPr>
        <w:t>Althobaiti</w:t>
      </w:r>
      <w:proofErr w:type="spellEnd"/>
      <w:r w:rsidRPr="475BC16C">
        <w:rPr>
          <w:rFonts w:asciiTheme="minorHAnsi" w:eastAsiaTheme="minorEastAsia" w:hAnsiTheme="minorHAnsi" w:cstheme="minorBidi"/>
          <w:color w:val="222222"/>
          <w:sz w:val="22"/>
          <w:szCs w:val="22"/>
          <w:shd w:val="clear" w:color="auto" w:fill="FFFFFF"/>
        </w:rPr>
        <w:t xml:space="preserve"> HS, </w:t>
      </w:r>
      <w:proofErr w:type="spellStart"/>
      <w:r w:rsidRPr="475BC16C">
        <w:rPr>
          <w:rFonts w:asciiTheme="minorHAnsi" w:eastAsiaTheme="minorEastAsia" w:hAnsiTheme="minorHAnsi" w:cstheme="minorBidi"/>
          <w:color w:val="222222"/>
          <w:sz w:val="22"/>
          <w:szCs w:val="22"/>
          <w:shd w:val="clear" w:color="auto" w:fill="FFFFFF"/>
        </w:rPr>
        <w:t>Alqthami</w:t>
      </w:r>
      <w:proofErr w:type="spellEnd"/>
      <w:r w:rsidRPr="475BC16C">
        <w:rPr>
          <w:rFonts w:asciiTheme="minorHAnsi" w:eastAsiaTheme="minorEastAsia" w:hAnsiTheme="minorHAnsi" w:cstheme="minorBidi"/>
          <w:color w:val="222222"/>
          <w:sz w:val="22"/>
          <w:szCs w:val="22"/>
          <w:shd w:val="clear" w:color="auto" w:fill="FFFFFF"/>
        </w:rPr>
        <w:t xml:space="preserve"> AF, Alamri KA, Mahfouz YS, </w:t>
      </w:r>
      <w:proofErr w:type="spellStart"/>
      <w:r w:rsidRPr="475BC16C">
        <w:rPr>
          <w:rFonts w:asciiTheme="minorHAnsi" w:eastAsiaTheme="minorEastAsia" w:hAnsiTheme="minorHAnsi" w:cstheme="minorBidi"/>
          <w:color w:val="222222"/>
          <w:sz w:val="22"/>
          <w:szCs w:val="22"/>
          <w:shd w:val="clear" w:color="auto" w:fill="FFFFFF"/>
        </w:rPr>
        <w:t>Elashkar</w:t>
      </w:r>
      <w:proofErr w:type="spellEnd"/>
      <w:r w:rsidRPr="475BC16C">
        <w:rPr>
          <w:rFonts w:asciiTheme="minorHAnsi" w:eastAsiaTheme="minorEastAsia" w:hAnsiTheme="minorHAnsi" w:cstheme="minorBidi"/>
          <w:color w:val="222222"/>
          <w:sz w:val="22"/>
          <w:szCs w:val="22"/>
          <w:shd w:val="clear" w:color="auto" w:fill="FFFFFF"/>
        </w:rPr>
        <w:t xml:space="preserve"> MM, </w:t>
      </w:r>
      <w:proofErr w:type="spellStart"/>
      <w:r w:rsidRPr="475BC16C">
        <w:rPr>
          <w:rFonts w:asciiTheme="minorHAnsi" w:eastAsiaTheme="minorEastAsia" w:hAnsiTheme="minorHAnsi" w:cstheme="minorBidi"/>
          <w:color w:val="222222"/>
          <w:sz w:val="22"/>
          <w:szCs w:val="22"/>
          <w:shd w:val="clear" w:color="auto" w:fill="FFFFFF"/>
        </w:rPr>
        <w:t>Althomali</w:t>
      </w:r>
      <w:proofErr w:type="spellEnd"/>
      <w:r w:rsidRPr="475BC16C">
        <w:rPr>
          <w:rFonts w:asciiTheme="minorHAnsi" w:eastAsiaTheme="minorEastAsia" w:hAnsiTheme="minorHAnsi" w:cstheme="minorBidi"/>
          <w:color w:val="222222"/>
          <w:sz w:val="22"/>
          <w:szCs w:val="22"/>
          <w:shd w:val="clear" w:color="auto" w:fill="FFFFFF"/>
        </w:rPr>
        <w:t xml:space="preserve"> MM, Mahfouz SA. Prevalence of Surgical Site Infection (SSI) and Its Association </w:t>
      </w:r>
      <w:proofErr w:type="gramStart"/>
      <w:r w:rsidRPr="475BC16C">
        <w:rPr>
          <w:rFonts w:asciiTheme="minorHAnsi" w:eastAsiaTheme="minorEastAsia" w:hAnsiTheme="minorHAnsi" w:cstheme="minorBidi"/>
          <w:color w:val="222222"/>
          <w:sz w:val="22"/>
          <w:szCs w:val="22"/>
          <w:shd w:val="clear" w:color="auto" w:fill="FFFFFF"/>
        </w:rPr>
        <w:t>With</w:t>
      </w:r>
      <w:proofErr w:type="gramEnd"/>
      <w:r w:rsidRPr="475BC16C">
        <w:rPr>
          <w:rFonts w:asciiTheme="minorHAnsi" w:eastAsiaTheme="minorEastAsia" w:hAnsiTheme="minorHAnsi" w:cstheme="minorBidi"/>
          <w:color w:val="222222"/>
          <w:sz w:val="22"/>
          <w:szCs w:val="22"/>
          <w:shd w:val="clear" w:color="auto" w:fill="FFFFFF"/>
        </w:rPr>
        <w:t xml:space="preserve"> Vitamin D Deficiency. </w:t>
      </w:r>
      <w:proofErr w:type="spellStart"/>
      <w:r w:rsidRPr="475BC16C">
        <w:rPr>
          <w:rFonts w:asciiTheme="minorHAnsi" w:eastAsiaTheme="minorEastAsia" w:hAnsiTheme="minorHAnsi" w:cstheme="minorBidi"/>
          <w:color w:val="222222"/>
          <w:sz w:val="22"/>
          <w:szCs w:val="22"/>
          <w:shd w:val="clear" w:color="auto" w:fill="FFFFFF"/>
        </w:rPr>
        <w:t>Cureus</w:t>
      </w:r>
      <w:proofErr w:type="spellEnd"/>
      <w:r w:rsidRPr="475BC16C">
        <w:rPr>
          <w:rFonts w:asciiTheme="minorHAnsi" w:eastAsiaTheme="minorEastAsia" w:hAnsiTheme="minorHAnsi" w:cstheme="minorBidi"/>
          <w:color w:val="222222"/>
          <w:sz w:val="22"/>
          <w:szCs w:val="22"/>
          <w:shd w:val="clear" w:color="auto" w:fill="FFFFFF"/>
        </w:rPr>
        <w:t>. 2024 Jan;16(1).</w:t>
      </w:r>
    </w:p>
    <w:p w14:paraId="4EE43324" w14:textId="17388E48" w:rsidR="11B35736" w:rsidRDefault="11B35736" w:rsidP="475BC16C">
      <w:pPr>
        <w:pStyle w:val="ListParagraph"/>
        <w:numPr>
          <w:ilvl w:val="0"/>
          <w:numId w:val="8"/>
        </w:numPr>
        <w:rPr>
          <w:rFonts w:asciiTheme="minorHAnsi" w:eastAsiaTheme="minorEastAsia" w:hAnsiTheme="minorHAnsi" w:cstheme="minorBidi"/>
          <w:sz w:val="22"/>
          <w:szCs w:val="22"/>
        </w:rPr>
      </w:pPr>
      <w:r w:rsidRPr="475BC16C">
        <w:rPr>
          <w:rFonts w:asciiTheme="minorHAnsi" w:eastAsiaTheme="minorEastAsia" w:hAnsiTheme="minorHAnsi" w:cstheme="minorBidi"/>
          <w:color w:val="414042"/>
          <w:sz w:val="22"/>
          <w:szCs w:val="22"/>
        </w:rPr>
        <w:t xml:space="preserve">Therapeutic Guidelines. Melbourne: Therapeutic Guidelines Limited; accessed 17 March 2025. </w:t>
      </w:r>
      <w:hyperlink r:id="rId15">
        <w:r w:rsidRPr="475BC16C">
          <w:rPr>
            <w:rStyle w:val="Hyperlink"/>
            <w:rFonts w:asciiTheme="minorHAnsi" w:eastAsiaTheme="minorEastAsia" w:hAnsiTheme="minorHAnsi" w:cstheme="minorBidi"/>
            <w:color w:val="000000" w:themeColor="text1"/>
            <w:sz w:val="22"/>
            <w:szCs w:val="22"/>
          </w:rPr>
          <w:t>https://www.tg.org.au</w:t>
        </w:r>
      </w:hyperlink>
    </w:p>
    <w:p w14:paraId="5E8375D7" w14:textId="3BE16454" w:rsidR="395E5CE8" w:rsidRDefault="395E5CE8" w:rsidP="475BC16C">
      <w:pPr>
        <w:pStyle w:val="ListParagraph"/>
        <w:numPr>
          <w:ilvl w:val="0"/>
          <w:numId w:val="8"/>
        </w:numPr>
        <w:rPr>
          <w:rFonts w:asciiTheme="minorHAnsi" w:eastAsiaTheme="minorEastAsia" w:hAnsiTheme="minorHAnsi" w:cstheme="minorBidi"/>
          <w:sz w:val="22"/>
          <w:szCs w:val="22"/>
        </w:rPr>
      </w:pPr>
      <w:r w:rsidRPr="475BC16C">
        <w:rPr>
          <w:rFonts w:asciiTheme="minorHAnsi" w:eastAsiaTheme="minorEastAsia" w:hAnsiTheme="minorHAnsi" w:cstheme="minorBidi"/>
          <w:color w:val="222222"/>
          <w:sz w:val="22"/>
          <w:szCs w:val="22"/>
        </w:rPr>
        <w:t xml:space="preserve">Bond-Smith G, Butcher L, </w:t>
      </w:r>
      <w:proofErr w:type="spellStart"/>
      <w:r w:rsidRPr="475BC16C">
        <w:rPr>
          <w:rFonts w:asciiTheme="minorHAnsi" w:eastAsiaTheme="minorEastAsia" w:hAnsiTheme="minorHAnsi" w:cstheme="minorBidi"/>
          <w:color w:val="222222"/>
          <w:sz w:val="22"/>
          <w:szCs w:val="22"/>
        </w:rPr>
        <w:t>Soonawalla</w:t>
      </w:r>
      <w:proofErr w:type="spellEnd"/>
      <w:r w:rsidRPr="475BC16C">
        <w:rPr>
          <w:rFonts w:asciiTheme="minorHAnsi" w:eastAsiaTheme="minorEastAsia" w:hAnsiTheme="minorHAnsi" w:cstheme="minorBidi"/>
          <w:color w:val="222222"/>
          <w:sz w:val="22"/>
          <w:szCs w:val="22"/>
        </w:rPr>
        <w:t xml:space="preserve"> Z, Leaper D. How to reduce SSI: a new infection reduction bundle for HPB surgery. Journal of Wound Care. 2021 Apr 2;30(4):254-5.</w:t>
      </w:r>
    </w:p>
    <w:p w14:paraId="3C65BB21" w14:textId="5A9DD1D1" w:rsidR="07CF9F37" w:rsidRDefault="07CF9F37" w:rsidP="475BC16C">
      <w:pPr>
        <w:pStyle w:val="ListParagraph"/>
        <w:numPr>
          <w:ilvl w:val="0"/>
          <w:numId w:val="8"/>
        </w:numPr>
        <w:rPr>
          <w:rFonts w:ascii="Calibri" w:eastAsia="Calibri" w:hAnsi="Calibri" w:cs="Calibri"/>
          <w:sz w:val="22"/>
          <w:szCs w:val="22"/>
        </w:rPr>
      </w:pPr>
      <w:r w:rsidRPr="475BC16C">
        <w:rPr>
          <w:rFonts w:ascii="Calibri" w:eastAsia="Calibri" w:hAnsi="Calibri" w:cs="Calibri"/>
          <w:sz w:val="22"/>
          <w:szCs w:val="22"/>
        </w:rPr>
        <w:t xml:space="preserve">AORN Recommended Practices for Preoperative Patient Skin Antisepsis. In: Burlingame B, Denholm B, Link T, Ogg MJ, Spruce L, Spry C, et al., editors. Guidelines for Perioperative Practice. Denver, CO: AORN, Inc. Published online January 2016, </w:t>
      </w:r>
      <w:proofErr w:type="spellStart"/>
      <w:r w:rsidRPr="475BC16C">
        <w:rPr>
          <w:rFonts w:ascii="Calibri" w:eastAsia="Calibri" w:hAnsi="Calibri" w:cs="Calibri"/>
          <w:sz w:val="22"/>
          <w:szCs w:val="22"/>
        </w:rPr>
        <w:t>doi</w:t>
      </w:r>
      <w:proofErr w:type="spellEnd"/>
      <w:r w:rsidRPr="475BC16C">
        <w:rPr>
          <w:rFonts w:ascii="Calibri" w:eastAsia="Calibri" w:hAnsi="Calibri" w:cs="Calibri"/>
          <w:sz w:val="22"/>
          <w:szCs w:val="22"/>
        </w:rPr>
        <w:t>: 10.6015/psrp.15.01.043.</w:t>
      </w:r>
    </w:p>
    <w:p w14:paraId="48FC42BA" w14:textId="06E0626C" w:rsidR="07CF9F37" w:rsidRDefault="07CF9F37" w:rsidP="475BC16C">
      <w:pPr>
        <w:pStyle w:val="ListParagraph"/>
        <w:numPr>
          <w:ilvl w:val="0"/>
          <w:numId w:val="8"/>
        </w:numPr>
        <w:rPr>
          <w:rFonts w:ascii="Calibri" w:eastAsia="Calibri" w:hAnsi="Calibri" w:cs="Calibri"/>
          <w:sz w:val="22"/>
          <w:szCs w:val="22"/>
        </w:rPr>
      </w:pPr>
      <w:r w:rsidRPr="475BC16C">
        <w:rPr>
          <w:rFonts w:ascii="Calibri" w:eastAsia="Calibri" w:hAnsi="Calibri" w:cs="Calibri"/>
          <w:sz w:val="22"/>
          <w:szCs w:val="22"/>
        </w:rPr>
        <w:t xml:space="preserve"> Mangram AJ, Horan TC, Pearson ML et al 1999 Hospital Infection Control Practices Advisory Committee. Guideline for prevention of surgical site infection American Journal of Infection Control 27 (2) 97–134</w:t>
      </w:r>
    </w:p>
    <w:p w14:paraId="6487B2B5" w14:textId="1110B348" w:rsidR="07CF9F37" w:rsidRDefault="07CF9F37" w:rsidP="475BC16C">
      <w:pPr>
        <w:pStyle w:val="ListParagraph"/>
        <w:numPr>
          <w:ilvl w:val="0"/>
          <w:numId w:val="8"/>
        </w:numPr>
        <w:rPr>
          <w:rFonts w:ascii="Calibri" w:eastAsia="Calibri" w:hAnsi="Calibri" w:cs="Calibri"/>
          <w:sz w:val="22"/>
          <w:szCs w:val="22"/>
        </w:rPr>
      </w:pPr>
      <w:r w:rsidRPr="475BC16C">
        <w:rPr>
          <w:rFonts w:ascii="Calibri" w:eastAsia="Calibri" w:hAnsi="Calibri" w:cs="Calibri"/>
          <w:sz w:val="22"/>
          <w:szCs w:val="22"/>
        </w:rPr>
        <w:t xml:space="preserve"> Institute for Healthcare Improvement 2012 How-to guide: Prevent surgical site infections Cambridge, MA IHI Available from: </w:t>
      </w:r>
      <w:hyperlink r:id="rId16">
        <w:r w:rsidRPr="475BC16C">
          <w:rPr>
            <w:rStyle w:val="Hyperlink"/>
            <w:rFonts w:ascii="Calibri" w:eastAsia="Calibri" w:hAnsi="Calibri" w:cs="Calibri"/>
            <w:sz w:val="22"/>
            <w:szCs w:val="22"/>
          </w:rPr>
          <w:t>http://www.ihi.org/resources/Pages/Tools/</w:t>
        </w:r>
      </w:hyperlink>
      <w:r w:rsidRPr="475BC16C">
        <w:rPr>
          <w:rFonts w:ascii="Calibri" w:eastAsia="Calibri" w:hAnsi="Calibri" w:cs="Calibri"/>
          <w:sz w:val="22"/>
          <w:szCs w:val="22"/>
        </w:rPr>
        <w:t xml:space="preserve"> HowtoGuidePreventSurgicalSiteInfection.aspx </w:t>
      </w:r>
    </w:p>
    <w:p w14:paraId="0F2ED137" w14:textId="0BEE2E35" w:rsidR="07CF9F37" w:rsidRDefault="07CF9F37" w:rsidP="475BC16C">
      <w:pPr>
        <w:pStyle w:val="ListParagraph"/>
        <w:numPr>
          <w:ilvl w:val="0"/>
          <w:numId w:val="8"/>
        </w:numPr>
        <w:rPr>
          <w:rFonts w:ascii="Calibri" w:eastAsia="Calibri" w:hAnsi="Calibri" w:cs="Calibri"/>
          <w:color w:val="222222"/>
          <w:sz w:val="22"/>
          <w:szCs w:val="22"/>
        </w:rPr>
      </w:pPr>
      <w:r w:rsidRPr="475BC16C">
        <w:rPr>
          <w:rFonts w:ascii="Calibri" w:eastAsia="Calibri" w:hAnsi="Calibri" w:cs="Calibri"/>
          <w:color w:val="222222"/>
          <w:sz w:val="22"/>
          <w:szCs w:val="22"/>
        </w:rPr>
        <w:t xml:space="preserve"> Spencer M, </w:t>
      </w:r>
      <w:proofErr w:type="spellStart"/>
      <w:r w:rsidRPr="475BC16C">
        <w:rPr>
          <w:rFonts w:ascii="Calibri" w:eastAsia="Calibri" w:hAnsi="Calibri" w:cs="Calibri"/>
          <w:color w:val="222222"/>
          <w:sz w:val="22"/>
          <w:szCs w:val="22"/>
        </w:rPr>
        <w:t>Barnden</w:t>
      </w:r>
      <w:proofErr w:type="spellEnd"/>
      <w:r w:rsidRPr="475BC16C">
        <w:rPr>
          <w:rFonts w:ascii="Calibri" w:eastAsia="Calibri" w:hAnsi="Calibri" w:cs="Calibri"/>
          <w:color w:val="222222"/>
          <w:sz w:val="22"/>
          <w:szCs w:val="22"/>
        </w:rPr>
        <w:t xml:space="preserve"> M, Johnson HB, Fauerbach LL, Graham D, Edmiston Jr CE. Perioperative hair removal: A review of best practice and a practice improvement opportunity. Journal of perioperative practice. 2018 Jun;28(6):159-66.</w:t>
      </w:r>
    </w:p>
    <w:p w14:paraId="46F26D50" w14:textId="6B4E5D7D" w:rsidR="475BC16C" w:rsidRDefault="475BC16C" w:rsidP="475BC16C">
      <w:pPr>
        <w:pStyle w:val="ListParagraph"/>
        <w:rPr>
          <w:rFonts w:asciiTheme="minorHAnsi" w:eastAsiaTheme="minorEastAsia" w:hAnsiTheme="minorHAnsi" w:cstheme="minorBidi"/>
          <w:color w:val="222222"/>
          <w:sz w:val="22"/>
          <w:szCs w:val="22"/>
        </w:rPr>
      </w:pPr>
    </w:p>
    <w:p w14:paraId="3E5929FE" w14:textId="322E4E71" w:rsidR="00774E10" w:rsidRPr="00BB341A" w:rsidRDefault="00774E10" w:rsidP="475BC16C">
      <w:pPr>
        <w:rPr>
          <w:rFonts w:eastAsiaTheme="minorEastAsia"/>
          <w:b/>
          <w:bCs/>
          <w:color w:val="FF0000"/>
          <w:kern w:val="24"/>
        </w:rPr>
      </w:pPr>
    </w:p>
    <w:p w14:paraId="3584068A" w14:textId="24FBAC88" w:rsidR="00974495" w:rsidRPr="00BB341A" w:rsidRDefault="00974495" w:rsidP="004A7992">
      <w:pPr>
        <w:rPr>
          <w:rFonts w:eastAsia="+mj-ea" w:cstheme="minorHAnsi"/>
          <w:b/>
          <w:bCs/>
          <w:color w:val="FF0000"/>
          <w:kern w:val="24"/>
        </w:rPr>
      </w:pPr>
    </w:p>
    <w:p w14:paraId="66C3D96A" w14:textId="77777777" w:rsidR="00614B04" w:rsidRPr="00BB341A" w:rsidRDefault="00614B04" w:rsidP="00974495">
      <w:pPr>
        <w:rPr>
          <w:rFonts w:eastAsia="+mj-ea" w:cstheme="minorHAnsi"/>
          <w:b/>
          <w:bCs/>
          <w:kern w:val="24"/>
          <w:highlight w:val="yellow"/>
        </w:rPr>
      </w:pPr>
    </w:p>
    <w:p w14:paraId="5FC5D88E" w14:textId="4ABEA3C6" w:rsidR="00D92B8A" w:rsidRDefault="00D92B8A">
      <w:pPr>
        <w:rPr>
          <w:rFonts w:eastAsia="+mj-ea" w:cstheme="minorHAnsi"/>
          <w:b/>
          <w:bCs/>
          <w:kern w:val="24"/>
          <w:sz w:val="24"/>
          <w:szCs w:val="24"/>
        </w:rPr>
      </w:pPr>
      <w:r>
        <w:rPr>
          <w:rFonts w:eastAsia="+mj-ea" w:cstheme="minorHAnsi"/>
          <w:b/>
          <w:bCs/>
          <w:kern w:val="24"/>
          <w:sz w:val="24"/>
          <w:szCs w:val="24"/>
        </w:rPr>
        <w:br w:type="page"/>
      </w:r>
    </w:p>
    <w:p w14:paraId="0537E71C" w14:textId="58D66004" w:rsidR="00D92B8A" w:rsidRDefault="00D92B8A" w:rsidP="00D92B8A">
      <w:pPr>
        <w:autoSpaceDE w:val="0"/>
        <w:autoSpaceDN w:val="0"/>
        <w:adjustRightInd w:val="0"/>
        <w:spacing w:after="0" w:line="240" w:lineRule="auto"/>
        <w:rPr>
          <w:rFonts w:eastAsia="Times New Roman" w:cstheme="minorHAnsi"/>
          <w:color w:val="33CCCC"/>
          <w:sz w:val="32"/>
          <w:szCs w:val="32"/>
          <w:lang w:eastAsia="en-AU"/>
        </w:rPr>
      </w:pPr>
      <w:r>
        <w:rPr>
          <w:rFonts w:eastAsia="Times New Roman" w:cstheme="minorHAnsi"/>
          <w:color w:val="33CCCC"/>
          <w:sz w:val="32"/>
          <w:szCs w:val="32"/>
          <w:lang w:eastAsia="en-AU"/>
        </w:rPr>
        <w:lastRenderedPageBreak/>
        <w:t xml:space="preserve">Appendix </w:t>
      </w:r>
      <w:r w:rsidR="00F50A41">
        <w:rPr>
          <w:rFonts w:eastAsia="Times New Roman" w:cstheme="minorHAnsi"/>
          <w:color w:val="33CCCC"/>
          <w:sz w:val="32"/>
          <w:szCs w:val="32"/>
          <w:lang w:eastAsia="en-AU"/>
        </w:rPr>
        <w:t>A</w:t>
      </w:r>
    </w:p>
    <w:p w14:paraId="55961545" w14:textId="6F70C528" w:rsidR="00D92B8A" w:rsidRDefault="00D92B8A" w:rsidP="003F282C">
      <w:pPr>
        <w:autoSpaceDE w:val="0"/>
        <w:autoSpaceDN w:val="0"/>
        <w:adjustRightInd w:val="0"/>
        <w:spacing w:line="192" w:lineRule="auto"/>
        <w:rPr>
          <w:rFonts w:eastAsia="Times New Roman" w:cstheme="minorHAnsi"/>
          <w:color w:val="33CCCC"/>
          <w:sz w:val="32"/>
          <w:szCs w:val="32"/>
          <w:lang w:eastAsia="en-AU"/>
        </w:rPr>
      </w:pPr>
      <w:r>
        <w:rPr>
          <w:rFonts w:eastAsia="Times New Roman" w:cstheme="minorHAnsi"/>
          <w:color w:val="33CCCC"/>
          <w:sz w:val="32"/>
          <w:szCs w:val="32"/>
          <w:lang w:eastAsia="en-AU"/>
        </w:rPr>
        <w:t>Expert Advisory Group Members</w:t>
      </w:r>
    </w:p>
    <w:tbl>
      <w:tblPr>
        <w:tblStyle w:val="TableGrid"/>
        <w:tblW w:w="10490" w:type="dxa"/>
        <w:tblInd w:w="-289" w:type="dxa"/>
        <w:tblLayout w:type="fixed"/>
        <w:tblLook w:val="04A0" w:firstRow="1" w:lastRow="0" w:firstColumn="1" w:lastColumn="0" w:noHBand="0" w:noVBand="1"/>
      </w:tblPr>
      <w:tblGrid>
        <w:gridCol w:w="3114"/>
        <w:gridCol w:w="7376"/>
      </w:tblGrid>
      <w:tr w:rsidR="000115B7" w:rsidRPr="000115B7" w14:paraId="51F1DE48" w14:textId="77777777" w:rsidTr="00D16ECC">
        <w:trPr>
          <w:trHeight w:val="300"/>
        </w:trPr>
        <w:tc>
          <w:tcPr>
            <w:tcW w:w="3114" w:type="dxa"/>
            <w:vAlign w:val="center"/>
          </w:tcPr>
          <w:p w14:paraId="7A8534E6" w14:textId="76ED8C47" w:rsidR="000115B7" w:rsidRPr="00E8522E" w:rsidRDefault="000115B7" w:rsidP="00DF6279">
            <w:pPr>
              <w:ind w:left="750" w:hanging="750"/>
              <w:rPr>
                <w:rFonts w:cstheme="minorHAnsi"/>
              </w:rPr>
            </w:pPr>
            <w:r w:rsidRPr="00E8522E">
              <w:rPr>
                <w:rFonts w:cstheme="minorHAnsi"/>
              </w:rPr>
              <w:t>Professor N. Deborah Friedman</w:t>
            </w:r>
          </w:p>
        </w:tc>
        <w:tc>
          <w:tcPr>
            <w:tcW w:w="7376" w:type="dxa"/>
            <w:vAlign w:val="center"/>
          </w:tcPr>
          <w:p w14:paraId="5D06337B" w14:textId="15782C37" w:rsidR="000115B7" w:rsidRPr="00C94561" w:rsidRDefault="000115B7">
            <w:r w:rsidRPr="00C94561">
              <w:t>Infectious Diseases Physician, Victorian Infectious Diseases Service &amp; Director of</w:t>
            </w:r>
            <w:r w:rsidR="00C94561" w:rsidRPr="00C94561">
              <w:t xml:space="preserve"> </w:t>
            </w:r>
            <w:r w:rsidRPr="00C94561">
              <w:t xml:space="preserve">VICNISS </w:t>
            </w:r>
          </w:p>
        </w:tc>
      </w:tr>
      <w:tr w:rsidR="000115B7" w:rsidRPr="000115B7" w14:paraId="2EC360CB" w14:textId="77777777" w:rsidTr="00D16ECC">
        <w:trPr>
          <w:trHeight w:val="300"/>
        </w:trPr>
        <w:tc>
          <w:tcPr>
            <w:tcW w:w="3114" w:type="dxa"/>
            <w:vAlign w:val="center"/>
          </w:tcPr>
          <w:p w14:paraId="46E95FE0" w14:textId="679EFEC3" w:rsidR="000115B7" w:rsidRPr="00E8522E" w:rsidRDefault="000115B7" w:rsidP="00DF6279">
            <w:pPr>
              <w:ind w:left="750" w:hanging="750"/>
              <w:rPr>
                <w:rFonts w:cstheme="minorHAnsi"/>
              </w:rPr>
            </w:pPr>
            <w:r w:rsidRPr="00E8522E">
              <w:rPr>
                <w:rFonts w:cstheme="minorHAnsi"/>
              </w:rPr>
              <w:t>Professor David Watters</w:t>
            </w:r>
          </w:p>
        </w:tc>
        <w:tc>
          <w:tcPr>
            <w:tcW w:w="7376" w:type="dxa"/>
            <w:vAlign w:val="center"/>
          </w:tcPr>
          <w:p w14:paraId="3732B12A" w14:textId="77777777" w:rsidR="000115B7" w:rsidRPr="00E8522E" w:rsidRDefault="000115B7" w:rsidP="00DF6279">
            <w:pPr>
              <w:ind w:left="750" w:hanging="750"/>
              <w:rPr>
                <w:rFonts w:cstheme="minorHAnsi"/>
              </w:rPr>
            </w:pPr>
            <w:r w:rsidRPr="00E8522E">
              <w:rPr>
                <w:rFonts w:cstheme="minorHAnsi"/>
              </w:rPr>
              <w:t>Director of Surgery, Safer Care Victoria</w:t>
            </w:r>
          </w:p>
        </w:tc>
      </w:tr>
      <w:tr w:rsidR="000115B7" w:rsidRPr="000115B7" w14:paraId="11CE5C1F" w14:textId="77777777" w:rsidTr="00D16ECC">
        <w:trPr>
          <w:trHeight w:val="300"/>
        </w:trPr>
        <w:tc>
          <w:tcPr>
            <w:tcW w:w="3114" w:type="dxa"/>
            <w:vAlign w:val="center"/>
          </w:tcPr>
          <w:p w14:paraId="18650FA2" w14:textId="2902DBB4" w:rsidR="000115B7" w:rsidRPr="00E8522E" w:rsidRDefault="000115B7" w:rsidP="00DF6279">
            <w:pPr>
              <w:ind w:left="750" w:hanging="750"/>
              <w:rPr>
                <w:rFonts w:cstheme="minorHAnsi"/>
              </w:rPr>
            </w:pPr>
            <w:r w:rsidRPr="00E8522E">
              <w:rPr>
                <w:rFonts w:cstheme="minorHAnsi"/>
              </w:rPr>
              <w:t>Mr Ian Faragher</w:t>
            </w:r>
          </w:p>
        </w:tc>
        <w:tc>
          <w:tcPr>
            <w:tcW w:w="7376" w:type="dxa"/>
            <w:vAlign w:val="center"/>
          </w:tcPr>
          <w:p w14:paraId="6C519BAE" w14:textId="77777777" w:rsidR="000115B7" w:rsidRPr="00E8522E" w:rsidRDefault="000115B7" w:rsidP="00DF6279">
            <w:pPr>
              <w:ind w:left="750" w:hanging="750"/>
              <w:rPr>
                <w:rFonts w:cstheme="minorHAnsi"/>
              </w:rPr>
            </w:pPr>
            <w:r w:rsidRPr="00E8522E">
              <w:rPr>
                <w:rFonts w:cstheme="minorHAnsi"/>
              </w:rPr>
              <w:t>Colorectal Surgeon, Western Health</w:t>
            </w:r>
          </w:p>
        </w:tc>
      </w:tr>
      <w:tr w:rsidR="000115B7" w:rsidRPr="000115B7" w14:paraId="7C30F284" w14:textId="77777777" w:rsidTr="00D16ECC">
        <w:trPr>
          <w:trHeight w:val="300"/>
        </w:trPr>
        <w:tc>
          <w:tcPr>
            <w:tcW w:w="3114" w:type="dxa"/>
            <w:vAlign w:val="center"/>
          </w:tcPr>
          <w:p w14:paraId="34B0D91E" w14:textId="7A911CAA" w:rsidR="000115B7" w:rsidRPr="00E8522E" w:rsidRDefault="000115B7" w:rsidP="00DF6279">
            <w:pPr>
              <w:ind w:left="750" w:hanging="750"/>
              <w:rPr>
                <w:rFonts w:cstheme="minorHAnsi"/>
              </w:rPr>
            </w:pPr>
            <w:r w:rsidRPr="00E8522E">
              <w:rPr>
                <w:rFonts w:cstheme="minorHAnsi"/>
              </w:rPr>
              <w:t>Professor Bernhard Riedel</w:t>
            </w:r>
          </w:p>
        </w:tc>
        <w:tc>
          <w:tcPr>
            <w:tcW w:w="7376" w:type="dxa"/>
            <w:vAlign w:val="center"/>
          </w:tcPr>
          <w:p w14:paraId="5AB21087" w14:textId="77777777" w:rsidR="000115B7" w:rsidRPr="00E8522E" w:rsidRDefault="000115B7" w:rsidP="00DF6279">
            <w:pPr>
              <w:ind w:left="750" w:hanging="750"/>
              <w:rPr>
                <w:rFonts w:cstheme="minorHAnsi"/>
              </w:rPr>
            </w:pPr>
            <w:r w:rsidRPr="00E8522E">
              <w:rPr>
                <w:rFonts w:cstheme="minorHAnsi"/>
              </w:rPr>
              <w:t>Anaesthetist, Director of Anaesthetics, VCCC</w:t>
            </w:r>
          </w:p>
        </w:tc>
      </w:tr>
      <w:tr w:rsidR="000115B7" w:rsidRPr="000115B7" w14:paraId="23F2163C" w14:textId="77777777" w:rsidTr="00D16ECC">
        <w:trPr>
          <w:trHeight w:val="300"/>
        </w:trPr>
        <w:tc>
          <w:tcPr>
            <w:tcW w:w="3114" w:type="dxa"/>
            <w:vAlign w:val="center"/>
          </w:tcPr>
          <w:p w14:paraId="7CD4AC3C" w14:textId="2A746CF2" w:rsidR="000115B7" w:rsidRPr="00E8522E" w:rsidRDefault="000115B7" w:rsidP="00DF6279">
            <w:pPr>
              <w:ind w:left="750" w:hanging="750"/>
              <w:rPr>
                <w:rFonts w:cstheme="minorHAnsi"/>
              </w:rPr>
            </w:pPr>
            <w:r w:rsidRPr="00E8522E">
              <w:rPr>
                <w:rFonts w:cstheme="minorHAnsi"/>
              </w:rPr>
              <w:t>Ms Catherine Sinton</w:t>
            </w:r>
          </w:p>
        </w:tc>
        <w:tc>
          <w:tcPr>
            <w:tcW w:w="7376" w:type="dxa"/>
            <w:vAlign w:val="center"/>
          </w:tcPr>
          <w:p w14:paraId="0C7948FF" w14:textId="77777777" w:rsidR="000115B7" w:rsidRPr="00E8522E" w:rsidRDefault="000115B7" w:rsidP="00DF6279">
            <w:pPr>
              <w:ind w:left="750" w:hanging="750"/>
              <w:rPr>
                <w:rFonts w:cstheme="minorHAnsi"/>
              </w:rPr>
            </w:pPr>
            <w:r w:rsidRPr="00E8522E">
              <w:rPr>
                <w:rFonts w:cstheme="minorHAnsi"/>
              </w:rPr>
              <w:t>ERAS, Clinical Nurse Consultant, VCCC</w:t>
            </w:r>
          </w:p>
        </w:tc>
      </w:tr>
      <w:tr w:rsidR="000115B7" w:rsidRPr="000115B7" w14:paraId="54ED08AB" w14:textId="77777777" w:rsidTr="00D16ECC">
        <w:trPr>
          <w:trHeight w:val="300"/>
        </w:trPr>
        <w:tc>
          <w:tcPr>
            <w:tcW w:w="3114" w:type="dxa"/>
            <w:vAlign w:val="center"/>
          </w:tcPr>
          <w:p w14:paraId="194BCD19" w14:textId="624E7918" w:rsidR="000115B7" w:rsidRPr="00E8522E" w:rsidRDefault="000115B7" w:rsidP="00DF6279">
            <w:pPr>
              <w:ind w:left="750" w:hanging="750"/>
              <w:rPr>
                <w:rFonts w:cstheme="minorHAnsi"/>
              </w:rPr>
            </w:pPr>
            <w:r w:rsidRPr="00E8522E">
              <w:rPr>
                <w:rFonts w:cstheme="minorHAnsi"/>
              </w:rPr>
              <w:t>Ms Yvette Console</w:t>
            </w:r>
          </w:p>
        </w:tc>
        <w:tc>
          <w:tcPr>
            <w:tcW w:w="7376" w:type="dxa"/>
            <w:vAlign w:val="center"/>
          </w:tcPr>
          <w:p w14:paraId="275A7952" w14:textId="77777777" w:rsidR="000115B7" w:rsidRPr="00E8522E" w:rsidRDefault="000115B7" w:rsidP="00DF6279">
            <w:pPr>
              <w:ind w:left="750" w:hanging="750"/>
              <w:rPr>
                <w:rFonts w:cstheme="minorHAnsi"/>
              </w:rPr>
            </w:pPr>
            <w:r w:rsidRPr="00E8522E">
              <w:rPr>
                <w:rFonts w:cstheme="minorHAnsi"/>
              </w:rPr>
              <w:t>ERAS Nurse Coordinator, Barwon Health</w:t>
            </w:r>
          </w:p>
        </w:tc>
      </w:tr>
      <w:tr w:rsidR="000115B7" w:rsidRPr="000115B7" w14:paraId="539AFF8B" w14:textId="77777777" w:rsidTr="00D16ECC">
        <w:trPr>
          <w:trHeight w:val="300"/>
        </w:trPr>
        <w:tc>
          <w:tcPr>
            <w:tcW w:w="3114" w:type="dxa"/>
            <w:vAlign w:val="center"/>
          </w:tcPr>
          <w:p w14:paraId="247265B5" w14:textId="13C5EBA3" w:rsidR="000115B7" w:rsidRPr="00E8522E" w:rsidRDefault="000115B7" w:rsidP="00DF6279">
            <w:pPr>
              <w:ind w:left="750" w:hanging="750"/>
              <w:rPr>
                <w:rFonts w:cstheme="minorHAnsi"/>
              </w:rPr>
            </w:pPr>
            <w:r w:rsidRPr="00E8522E">
              <w:rPr>
                <w:rFonts w:cstheme="minorHAnsi"/>
              </w:rPr>
              <w:t>Ms Rowena Craig</w:t>
            </w:r>
          </w:p>
        </w:tc>
        <w:tc>
          <w:tcPr>
            <w:tcW w:w="7376" w:type="dxa"/>
            <w:vAlign w:val="center"/>
          </w:tcPr>
          <w:p w14:paraId="5440C38E" w14:textId="77777777" w:rsidR="000115B7" w:rsidRPr="00E8522E" w:rsidRDefault="000115B7" w:rsidP="00DF6279">
            <w:pPr>
              <w:ind w:left="750" w:hanging="750"/>
              <w:rPr>
                <w:rFonts w:cstheme="minorHAnsi"/>
              </w:rPr>
            </w:pPr>
            <w:r w:rsidRPr="00E8522E">
              <w:rPr>
                <w:rFonts w:cstheme="minorHAnsi"/>
              </w:rPr>
              <w:t>ERAS Nurse Coordinator, Grampians Health, Ballarat</w:t>
            </w:r>
          </w:p>
        </w:tc>
      </w:tr>
      <w:tr w:rsidR="000115B7" w:rsidRPr="000115B7" w14:paraId="2D9CE6BE" w14:textId="77777777" w:rsidTr="00D16ECC">
        <w:trPr>
          <w:trHeight w:val="300"/>
        </w:trPr>
        <w:tc>
          <w:tcPr>
            <w:tcW w:w="3114" w:type="dxa"/>
            <w:vAlign w:val="center"/>
          </w:tcPr>
          <w:p w14:paraId="7C4A52FB" w14:textId="0CBF0E66" w:rsidR="000115B7" w:rsidRPr="00E8522E" w:rsidRDefault="000115B7" w:rsidP="00DF6279">
            <w:pPr>
              <w:ind w:left="750" w:hanging="750"/>
              <w:rPr>
                <w:rFonts w:cstheme="minorHAnsi"/>
              </w:rPr>
            </w:pPr>
            <w:r w:rsidRPr="00E8522E">
              <w:rPr>
                <w:rFonts w:cstheme="minorHAnsi"/>
              </w:rPr>
              <w:t xml:space="preserve">Mr Thomas </w:t>
            </w:r>
            <w:proofErr w:type="spellStart"/>
            <w:r w:rsidRPr="00E8522E">
              <w:rPr>
                <w:rFonts w:cstheme="minorHAnsi"/>
              </w:rPr>
              <w:t>Suhardja</w:t>
            </w:r>
            <w:proofErr w:type="spellEnd"/>
          </w:p>
        </w:tc>
        <w:tc>
          <w:tcPr>
            <w:tcW w:w="7376" w:type="dxa"/>
            <w:vAlign w:val="center"/>
          </w:tcPr>
          <w:p w14:paraId="217200FE" w14:textId="77777777" w:rsidR="000115B7" w:rsidRPr="00E8522E" w:rsidRDefault="000115B7" w:rsidP="00DF6279">
            <w:pPr>
              <w:ind w:left="750" w:hanging="750"/>
              <w:rPr>
                <w:rFonts w:cstheme="minorHAnsi"/>
              </w:rPr>
            </w:pPr>
            <w:r w:rsidRPr="00E8522E">
              <w:rPr>
                <w:rFonts w:cstheme="minorHAnsi"/>
              </w:rPr>
              <w:t>Colorectal Surgeon, Monash Health</w:t>
            </w:r>
          </w:p>
        </w:tc>
      </w:tr>
      <w:tr w:rsidR="000115B7" w:rsidRPr="000115B7" w14:paraId="5F7B3FC4" w14:textId="77777777" w:rsidTr="00D16ECC">
        <w:trPr>
          <w:trHeight w:val="300"/>
        </w:trPr>
        <w:tc>
          <w:tcPr>
            <w:tcW w:w="3114" w:type="dxa"/>
            <w:vAlign w:val="center"/>
          </w:tcPr>
          <w:p w14:paraId="774CD206" w14:textId="113203EB" w:rsidR="000115B7" w:rsidRPr="00E8522E" w:rsidRDefault="000115B7" w:rsidP="00DF6279">
            <w:pPr>
              <w:ind w:left="750" w:hanging="750"/>
              <w:rPr>
                <w:rFonts w:cstheme="minorHAnsi"/>
              </w:rPr>
            </w:pPr>
            <w:r w:rsidRPr="00E8522E">
              <w:rPr>
                <w:rFonts w:cstheme="minorHAnsi"/>
              </w:rPr>
              <w:t>Mr William Teoh</w:t>
            </w:r>
          </w:p>
        </w:tc>
        <w:tc>
          <w:tcPr>
            <w:tcW w:w="7376" w:type="dxa"/>
            <w:vAlign w:val="center"/>
          </w:tcPr>
          <w:p w14:paraId="0EA15D0C" w14:textId="77777777" w:rsidR="000115B7" w:rsidRPr="00E8522E" w:rsidRDefault="000115B7" w:rsidP="00DF6279">
            <w:pPr>
              <w:ind w:left="750" w:hanging="750"/>
              <w:rPr>
                <w:rFonts w:cstheme="minorHAnsi"/>
              </w:rPr>
            </w:pPr>
            <w:r w:rsidRPr="00E8522E">
              <w:rPr>
                <w:rFonts w:cstheme="minorHAnsi"/>
              </w:rPr>
              <w:t>Colorectal Surgeon, Director of Colorectal Surgery, Monash Health</w:t>
            </w:r>
          </w:p>
        </w:tc>
      </w:tr>
      <w:tr w:rsidR="000115B7" w:rsidRPr="000115B7" w14:paraId="220313C3" w14:textId="77777777" w:rsidTr="00D16ECC">
        <w:trPr>
          <w:trHeight w:val="300"/>
        </w:trPr>
        <w:tc>
          <w:tcPr>
            <w:tcW w:w="3114" w:type="dxa"/>
            <w:vAlign w:val="center"/>
          </w:tcPr>
          <w:p w14:paraId="164A3B11" w14:textId="773E3229" w:rsidR="000115B7" w:rsidRPr="00E8522E" w:rsidRDefault="000115B7" w:rsidP="00DF6279">
            <w:pPr>
              <w:ind w:left="750" w:hanging="750"/>
              <w:rPr>
                <w:rFonts w:cstheme="minorHAnsi"/>
              </w:rPr>
            </w:pPr>
            <w:r w:rsidRPr="00E8522E">
              <w:rPr>
                <w:rFonts w:cstheme="minorHAnsi"/>
              </w:rPr>
              <w:t>Professor Glenn Guest</w:t>
            </w:r>
          </w:p>
        </w:tc>
        <w:tc>
          <w:tcPr>
            <w:tcW w:w="7376" w:type="dxa"/>
            <w:vAlign w:val="center"/>
          </w:tcPr>
          <w:p w14:paraId="05CCEF40" w14:textId="77777777" w:rsidR="000115B7" w:rsidRPr="00E8522E" w:rsidRDefault="000115B7" w:rsidP="00DF6279">
            <w:pPr>
              <w:ind w:left="750" w:hanging="750"/>
              <w:rPr>
                <w:rFonts w:cstheme="minorHAnsi"/>
              </w:rPr>
            </w:pPr>
            <w:r w:rsidRPr="00E8522E">
              <w:rPr>
                <w:rFonts w:cstheme="minorHAnsi"/>
              </w:rPr>
              <w:t>Colorectal Surgeon, Barwon Health &amp; Epworth Geelong</w:t>
            </w:r>
          </w:p>
        </w:tc>
      </w:tr>
      <w:tr w:rsidR="000115B7" w:rsidRPr="000115B7" w14:paraId="38858579" w14:textId="77777777" w:rsidTr="00D16ECC">
        <w:trPr>
          <w:trHeight w:val="300"/>
        </w:trPr>
        <w:tc>
          <w:tcPr>
            <w:tcW w:w="3114" w:type="dxa"/>
            <w:vAlign w:val="center"/>
          </w:tcPr>
          <w:p w14:paraId="6B19EB71" w14:textId="095EBAFD" w:rsidR="000115B7" w:rsidRPr="00E8522E" w:rsidRDefault="000115B7" w:rsidP="00DF6279">
            <w:pPr>
              <w:ind w:left="750" w:hanging="750"/>
              <w:rPr>
                <w:rFonts w:cstheme="minorHAnsi"/>
              </w:rPr>
            </w:pPr>
            <w:r w:rsidRPr="00E8522E">
              <w:rPr>
                <w:rFonts w:cstheme="minorHAnsi"/>
              </w:rPr>
              <w:t>Dr Rani Cha</w:t>
            </w:r>
            <w:r w:rsidR="00996BD3">
              <w:rPr>
                <w:rFonts w:cstheme="minorHAnsi"/>
              </w:rPr>
              <w:t>h</w:t>
            </w:r>
            <w:r w:rsidRPr="00E8522E">
              <w:rPr>
                <w:rFonts w:cstheme="minorHAnsi"/>
              </w:rPr>
              <w:t>al</w:t>
            </w:r>
          </w:p>
        </w:tc>
        <w:tc>
          <w:tcPr>
            <w:tcW w:w="7376" w:type="dxa"/>
            <w:vAlign w:val="center"/>
          </w:tcPr>
          <w:p w14:paraId="711E7543" w14:textId="77777777" w:rsidR="000115B7" w:rsidRPr="00E8522E" w:rsidRDefault="000115B7" w:rsidP="00DF6279">
            <w:pPr>
              <w:ind w:left="750" w:hanging="750"/>
              <w:rPr>
                <w:rFonts w:cstheme="minorHAnsi"/>
              </w:rPr>
            </w:pPr>
            <w:r w:rsidRPr="00E8522E">
              <w:rPr>
                <w:rFonts w:cstheme="minorHAnsi"/>
              </w:rPr>
              <w:t>Anaesthetist, VCCC</w:t>
            </w:r>
          </w:p>
        </w:tc>
      </w:tr>
      <w:tr w:rsidR="000115B7" w:rsidRPr="000115B7" w14:paraId="2D1A6370" w14:textId="77777777" w:rsidTr="00D16ECC">
        <w:trPr>
          <w:trHeight w:val="300"/>
        </w:trPr>
        <w:tc>
          <w:tcPr>
            <w:tcW w:w="3114" w:type="dxa"/>
            <w:vAlign w:val="center"/>
          </w:tcPr>
          <w:p w14:paraId="755E4FCA" w14:textId="2BE88E4B" w:rsidR="000115B7" w:rsidRPr="00E8522E" w:rsidRDefault="000115B7" w:rsidP="00DF6279">
            <w:pPr>
              <w:ind w:left="750" w:hanging="750"/>
              <w:rPr>
                <w:rFonts w:cstheme="minorHAnsi"/>
              </w:rPr>
            </w:pPr>
            <w:r w:rsidRPr="00E8522E">
              <w:rPr>
                <w:rFonts w:cstheme="minorHAnsi"/>
                <w:color w:val="262626"/>
              </w:rPr>
              <w:t xml:space="preserve">Dr </w:t>
            </w:r>
            <w:proofErr w:type="spellStart"/>
            <w:r w:rsidRPr="00E8522E">
              <w:rPr>
                <w:rFonts w:cstheme="minorHAnsi"/>
                <w:color w:val="262626"/>
              </w:rPr>
              <w:t>Traudi</w:t>
            </w:r>
            <w:proofErr w:type="spellEnd"/>
            <w:r w:rsidRPr="00E8522E">
              <w:rPr>
                <w:rFonts w:cstheme="minorHAnsi"/>
                <w:color w:val="262626"/>
              </w:rPr>
              <w:t xml:space="preserve"> </w:t>
            </w:r>
            <w:proofErr w:type="spellStart"/>
            <w:r w:rsidRPr="00E8522E">
              <w:rPr>
                <w:rFonts w:cstheme="minorHAnsi"/>
                <w:color w:val="262626"/>
              </w:rPr>
              <w:t>Almhofer</w:t>
            </w:r>
            <w:proofErr w:type="spellEnd"/>
          </w:p>
        </w:tc>
        <w:tc>
          <w:tcPr>
            <w:tcW w:w="7376" w:type="dxa"/>
            <w:vAlign w:val="center"/>
          </w:tcPr>
          <w:p w14:paraId="1EC600D3" w14:textId="77777777" w:rsidR="000115B7" w:rsidRPr="00E8522E" w:rsidRDefault="000115B7" w:rsidP="00DF6279">
            <w:pPr>
              <w:ind w:left="750" w:hanging="750"/>
              <w:rPr>
                <w:rFonts w:cstheme="minorHAnsi"/>
              </w:rPr>
            </w:pPr>
            <w:r w:rsidRPr="00E8522E">
              <w:rPr>
                <w:rFonts w:cstheme="minorHAnsi"/>
              </w:rPr>
              <w:t>Anaesthetist, Barwon Health</w:t>
            </w:r>
          </w:p>
        </w:tc>
      </w:tr>
      <w:tr w:rsidR="000115B7" w:rsidRPr="000115B7" w14:paraId="719EF8E0" w14:textId="77777777" w:rsidTr="00D16ECC">
        <w:trPr>
          <w:trHeight w:val="300"/>
        </w:trPr>
        <w:tc>
          <w:tcPr>
            <w:tcW w:w="3114" w:type="dxa"/>
            <w:vAlign w:val="center"/>
          </w:tcPr>
          <w:p w14:paraId="68658FC9" w14:textId="0DD8742C" w:rsidR="000115B7" w:rsidRPr="00E8522E" w:rsidRDefault="000115B7" w:rsidP="00DF6279">
            <w:pPr>
              <w:ind w:left="750" w:hanging="750"/>
              <w:rPr>
                <w:rFonts w:cstheme="minorHAnsi"/>
                <w:color w:val="262626"/>
              </w:rPr>
            </w:pPr>
            <w:r w:rsidRPr="00E8522E">
              <w:rPr>
                <w:rFonts w:cstheme="minorHAnsi"/>
                <w:color w:val="262626"/>
              </w:rPr>
              <w:t>Ms Liz Orr</w:t>
            </w:r>
          </w:p>
        </w:tc>
        <w:tc>
          <w:tcPr>
            <w:tcW w:w="7376" w:type="dxa"/>
            <w:vAlign w:val="center"/>
          </w:tcPr>
          <w:p w14:paraId="7EE9FD15" w14:textId="77777777" w:rsidR="000115B7" w:rsidRPr="00E8522E" w:rsidRDefault="000115B7" w:rsidP="00DF6279">
            <w:pPr>
              <w:ind w:left="750" w:hanging="750"/>
              <w:rPr>
                <w:rFonts w:cstheme="minorHAnsi"/>
              </w:rPr>
            </w:pPr>
            <w:r w:rsidRPr="00E8522E">
              <w:rPr>
                <w:rFonts w:cstheme="minorHAnsi"/>
              </w:rPr>
              <w:t xml:space="preserve">Infection Prevention Manager, Royal Melbourne Hospital </w:t>
            </w:r>
          </w:p>
        </w:tc>
      </w:tr>
      <w:tr w:rsidR="006C1E62" w:rsidRPr="000115B7" w14:paraId="16F5DABA" w14:textId="77777777" w:rsidTr="00D16ECC">
        <w:trPr>
          <w:trHeight w:val="300"/>
        </w:trPr>
        <w:tc>
          <w:tcPr>
            <w:tcW w:w="3114" w:type="dxa"/>
            <w:vAlign w:val="center"/>
          </w:tcPr>
          <w:p w14:paraId="178A5859" w14:textId="4AA6777E" w:rsidR="006C1E62" w:rsidRPr="00E8522E" w:rsidRDefault="006C1E62" w:rsidP="00DF6279">
            <w:pPr>
              <w:ind w:left="750" w:hanging="750"/>
              <w:rPr>
                <w:rFonts w:cstheme="minorHAnsi"/>
                <w:color w:val="262626"/>
              </w:rPr>
            </w:pPr>
            <w:r>
              <w:rPr>
                <w:rFonts w:cstheme="minorHAnsi"/>
                <w:color w:val="262626"/>
              </w:rPr>
              <w:t>A/Professor Leon Worth</w:t>
            </w:r>
          </w:p>
        </w:tc>
        <w:tc>
          <w:tcPr>
            <w:tcW w:w="7376" w:type="dxa"/>
            <w:vAlign w:val="center"/>
          </w:tcPr>
          <w:p w14:paraId="316BFDD6" w14:textId="6D889930" w:rsidR="006C1E62" w:rsidRPr="00E8522E" w:rsidRDefault="006C1E62" w:rsidP="00DF6279">
            <w:pPr>
              <w:ind w:left="750" w:hanging="750"/>
              <w:rPr>
                <w:rFonts w:cstheme="minorHAnsi"/>
              </w:rPr>
            </w:pPr>
            <w:r w:rsidRPr="006C1E62">
              <w:rPr>
                <w:rFonts w:cstheme="minorHAnsi"/>
              </w:rPr>
              <w:t>Infectious Diseases Physician, VICNISS</w:t>
            </w:r>
          </w:p>
        </w:tc>
      </w:tr>
    </w:tbl>
    <w:p w14:paraId="49C71C7A" w14:textId="77777777" w:rsidR="00D92B8A" w:rsidRPr="00D92B8A" w:rsidRDefault="00D92B8A" w:rsidP="00D92B8A">
      <w:pPr>
        <w:autoSpaceDE w:val="0"/>
        <w:autoSpaceDN w:val="0"/>
        <w:adjustRightInd w:val="0"/>
        <w:spacing w:after="0" w:line="240" w:lineRule="auto"/>
        <w:rPr>
          <w:rFonts w:eastAsia="Times New Roman" w:cstheme="minorHAnsi"/>
          <w:color w:val="33CCCC"/>
          <w:sz w:val="24"/>
          <w:szCs w:val="24"/>
          <w:lang w:eastAsia="en-AU"/>
        </w:rPr>
      </w:pPr>
    </w:p>
    <w:p w14:paraId="0E9DC4DD" w14:textId="77777777" w:rsidR="00A00850" w:rsidRDefault="00A00850" w:rsidP="00974495">
      <w:pPr>
        <w:rPr>
          <w:rFonts w:eastAsia="+mj-ea" w:cstheme="minorHAnsi"/>
          <w:b/>
          <w:bCs/>
          <w:kern w:val="24"/>
          <w:sz w:val="24"/>
          <w:szCs w:val="24"/>
        </w:rPr>
      </w:pPr>
    </w:p>
    <w:p w14:paraId="119B8CA8" w14:textId="03E2BAAB" w:rsidR="00FB6F6E" w:rsidRDefault="00FB6F6E" w:rsidP="00974495">
      <w:pPr>
        <w:rPr>
          <w:rFonts w:eastAsia="+mj-ea" w:cstheme="minorHAnsi"/>
          <w:b/>
          <w:bCs/>
          <w:kern w:val="24"/>
          <w:sz w:val="24"/>
          <w:szCs w:val="24"/>
        </w:rPr>
      </w:pPr>
    </w:p>
    <w:p w14:paraId="27DA2BFA" w14:textId="21A7BAD4" w:rsidR="004A7992" w:rsidRDefault="004A7992" w:rsidP="004A7992">
      <w:pPr>
        <w:rPr>
          <w:rFonts w:ascii="Arial" w:eastAsia="+mn-ea" w:hAnsi="Arial" w:cs="+mn-cs"/>
          <w:color w:val="000000"/>
          <w:kern w:val="24"/>
          <w:sz w:val="24"/>
          <w:szCs w:val="24"/>
          <w:lang w:eastAsia="en-AU"/>
        </w:rPr>
      </w:pPr>
    </w:p>
    <w:p w14:paraId="2B96354D" w14:textId="0044B6DD" w:rsidR="004A7992" w:rsidRPr="004A7992" w:rsidRDefault="004A7992" w:rsidP="004A7992">
      <w:pPr>
        <w:rPr>
          <w:sz w:val="24"/>
          <w:szCs w:val="24"/>
        </w:rPr>
      </w:pPr>
    </w:p>
    <w:sectPr w:rsidR="004A7992" w:rsidRPr="004A7992" w:rsidSect="00C8637F">
      <w:headerReference w:type="default" r:id="rId17"/>
      <w:footerReference w:type="even" r:id="rId18"/>
      <w:footerReference w:type="default" r:id="rId19"/>
      <w:footerReference w:type="first" r:id="rId20"/>
      <w:pgSz w:w="11906" w:h="16838"/>
      <w:pgMar w:top="1134"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335B" w14:textId="77777777" w:rsidR="00AD49D0" w:rsidRDefault="00AD49D0">
      <w:pPr>
        <w:spacing w:after="0" w:line="240" w:lineRule="auto"/>
      </w:pPr>
      <w:r>
        <w:separator/>
      </w:r>
    </w:p>
  </w:endnote>
  <w:endnote w:type="continuationSeparator" w:id="0">
    <w:p w14:paraId="701AD84B" w14:textId="77777777" w:rsidR="00AD49D0" w:rsidRDefault="00AD49D0">
      <w:pPr>
        <w:spacing w:after="0" w:line="240" w:lineRule="auto"/>
      </w:pPr>
      <w:r>
        <w:continuationSeparator/>
      </w:r>
    </w:p>
  </w:endnote>
  <w:endnote w:type="continuationNotice" w:id="1">
    <w:p w14:paraId="0B57A503" w14:textId="77777777" w:rsidR="00AD49D0" w:rsidRDefault="00AD4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j-ea">
    <w:charset w:val="00"/>
    <w:family w:val="roman"/>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2DEA" w14:textId="582524B9" w:rsidR="00C46C50" w:rsidRDefault="00C46C50">
    <w:pPr>
      <w:pStyle w:val="Footer"/>
    </w:pPr>
    <w:r>
      <w:rPr>
        <w:noProof/>
      </w:rPr>
      <mc:AlternateContent>
        <mc:Choice Requires="wps">
          <w:drawing>
            <wp:anchor distT="0" distB="0" distL="0" distR="0" simplePos="0" relativeHeight="251660288" behindDoc="0" locked="0" layoutInCell="1" allowOverlap="1" wp14:anchorId="23FEBC54" wp14:editId="19532675">
              <wp:simplePos x="635" y="635"/>
              <wp:positionH relativeFrom="page">
                <wp:align>center</wp:align>
              </wp:positionH>
              <wp:positionV relativeFrom="page">
                <wp:align>bottom</wp:align>
              </wp:positionV>
              <wp:extent cx="656590" cy="383540"/>
              <wp:effectExtent l="0" t="0" r="10160" b="0"/>
              <wp:wrapNone/>
              <wp:docPr id="45237268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22A5D4DB" w14:textId="4EE39E8A"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FEBC54" id="_x0000_t202" coordsize="21600,21600" o:spt="202" path="m,l,21600r21600,l21600,xe">
              <v:stroke joinstyle="miter"/>
              <v:path gradientshapeok="t" o:connecttype="rect"/>
            </v:shapetype>
            <v:shape id="Text Box 3" o:spid="_x0000_s1026" type="#_x0000_t202" alt="OFFICIAL" style="position:absolute;margin-left:0;margin-top:0;width:51.7pt;height:30.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filled="f" stroked="f">
              <v:textbox style="mso-fit-shape-to-text:t" inset="0,0,0,15pt">
                <w:txbxContent>
                  <w:p w14:paraId="22A5D4DB" w14:textId="4EE39E8A"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33C6" w14:textId="14315A44" w:rsidR="6B2AE678" w:rsidRDefault="00C46C50" w:rsidP="00DF6279">
    <w:pPr>
      <w:pStyle w:val="Footer"/>
    </w:pPr>
    <w:r>
      <w:rPr>
        <w:noProof/>
      </w:rPr>
      <mc:AlternateContent>
        <mc:Choice Requires="wps">
          <w:drawing>
            <wp:anchor distT="0" distB="0" distL="0" distR="0" simplePos="0" relativeHeight="251661312" behindDoc="0" locked="0" layoutInCell="1" allowOverlap="1" wp14:anchorId="4460A311" wp14:editId="0B2C59C8">
              <wp:simplePos x="635" y="635"/>
              <wp:positionH relativeFrom="page">
                <wp:align>center</wp:align>
              </wp:positionH>
              <wp:positionV relativeFrom="page">
                <wp:align>bottom</wp:align>
              </wp:positionV>
              <wp:extent cx="656590" cy="383540"/>
              <wp:effectExtent l="0" t="0" r="10160" b="0"/>
              <wp:wrapNone/>
              <wp:docPr id="13848382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4893FD60" w14:textId="706C1FB8"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0A311" id="_x0000_t202" coordsize="21600,21600" o:spt="202" path="m,l,21600r21600,l21600,xe">
              <v:stroke joinstyle="miter"/>
              <v:path gradientshapeok="t" o:connecttype="rect"/>
            </v:shapetype>
            <v:shape id="Text Box 4" o:spid="_x0000_s1027" type="#_x0000_t202" alt="OFFICIAL" style="position:absolute;margin-left:0;margin-top:0;width:51.7pt;height:30.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filled="f" stroked="f">
              <v:textbox style="mso-fit-shape-to-text:t" inset="0,0,0,15pt">
                <w:txbxContent>
                  <w:p w14:paraId="4893FD60" w14:textId="706C1FB8"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v:textbox>
              <w10:wrap anchorx="page" anchory="page"/>
            </v:shape>
          </w:pict>
        </mc:Fallback>
      </mc:AlternateContent>
    </w:r>
    <w:r w:rsidR="00333DDC">
      <w:rPr>
        <w:noProof/>
      </w:rPr>
      <mc:AlternateContent>
        <mc:Choice Requires="wps">
          <w:drawing>
            <wp:inline distT="0" distB="0" distL="114300" distR="114300" wp14:anchorId="027599B8" wp14:editId="333238B4">
              <wp:extent cx="6962775" cy="0"/>
              <wp:effectExtent l="0" t="0" r="0" b="0"/>
              <wp:docPr id="659509554" name="Straight Connector 6"/>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47218D1C"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" strokecolor="#a5a5a5 [3206]" strokeweight=".5pt">
              <v:stroke joinstyle="miter"/>
              <w10:anchorlock/>
            </v:line>
          </w:pict>
        </mc:Fallback>
      </mc:AlternateContent>
    </w:r>
    <w:r w:rsidR="00333DDC">
      <w:rPr>
        <w:noProof/>
      </w:rPr>
      <mc:AlternateContent>
        <mc:Choice Requires="wpg">
          <w:drawing>
            <wp:inline distT="0" distB="0" distL="114300" distR="114300" wp14:anchorId="391629B3" wp14:editId="2E33B695">
              <wp:extent cx="6553200" cy="274320"/>
              <wp:effectExtent l="0" t="0" r="0" b="0"/>
              <wp:docPr id="153868985" name="Group 164"/>
              <wp:cNvGraphicFramePr/>
              <a:graphic xmlns:a="http://schemas.openxmlformats.org/drawingml/2006/main">
                <a:graphicData uri="http://schemas.microsoft.com/office/word/2010/wordprocessingGroup">
                  <wpg:wgp>
                    <wpg:cNvGrpSpPr/>
                    <wpg:grpSpPr>
                      <a:xfrm>
                        <a:off x="0" y="0"/>
                        <a:ext cx="6553200" cy="274320"/>
                        <a:chOff x="-381000" y="0"/>
                        <a:chExt cx="6553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381000" y="9525"/>
                          <a:ext cx="6324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6C916" w14:textId="6774C8C6" w:rsidR="000E7A47" w:rsidRDefault="00000000">
                            <w:pPr>
                              <w:pStyle w:val="Footer"/>
                              <w:tabs>
                                <w:tab w:val="clear" w:pos="4680"/>
                                <w:tab w:val="clear" w:pos="9360"/>
                              </w:tabs>
                              <w:jc w:val="right"/>
                            </w:pPr>
                            <w:sdt>
                              <w:sdtPr>
                                <w:rPr>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84729" w:rsidRPr="00333DDC">
                                  <w:rPr>
                                    <w:sz w:val="16"/>
                                    <w:szCs w:val="16"/>
                                  </w:rPr>
                                  <w:t>April 2025</w:t>
                                </w:r>
                                <w:r w:rsidR="0051454E" w:rsidRPr="00333DDC">
                                  <w:rPr>
                                    <w:sz w:val="16"/>
                                    <w:szCs w:val="16"/>
                                  </w:rPr>
                                  <w:t>|</w:t>
                                </w:r>
                                <w:r w:rsidR="000E7A47" w:rsidRPr="00333DDC">
                                  <w:rPr>
                                    <w:sz w:val="16"/>
                                    <w:szCs w:val="16"/>
                                  </w:rPr>
                                  <w:t>Victorian Guidance on the use of perioperative bundles to prevent surgical site infection complicating colorectal surgery</w:t>
                                </w:r>
                              </w:sdtContent>
                            </w:sdt>
                            <w:r w:rsidR="000E7A47" w:rsidRPr="00D16ECC">
                              <w:rPr>
                                <w:caps/>
                                <w:sz w:val="20"/>
                                <w:szCs w:val="20"/>
                              </w:rPr>
                              <w:t> |</w:t>
                            </w:r>
                            <w:r w:rsidR="00617111" w:rsidRPr="00D16ECC">
                              <w:rPr>
                                <w:caps/>
                                <w:sz w:val="16"/>
                                <w:szCs w:val="16"/>
                              </w:rPr>
                              <w:t xml:space="preserve">Page </w:t>
                            </w:r>
                            <w:r w:rsidR="00617111" w:rsidRPr="00D16ECC">
                              <w:rPr>
                                <w:b/>
                                <w:bCs/>
                                <w:caps/>
                                <w:sz w:val="16"/>
                                <w:szCs w:val="16"/>
                              </w:rPr>
                              <w:fldChar w:fldCharType="begin"/>
                            </w:r>
                            <w:r w:rsidR="00617111" w:rsidRPr="00D16ECC">
                              <w:rPr>
                                <w:b/>
                                <w:bCs/>
                                <w:caps/>
                                <w:sz w:val="16"/>
                                <w:szCs w:val="16"/>
                              </w:rPr>
                              <w:instrText xml:space="preserve"> PAGE  \* Arabic  \* MERGEFORMAT </w:instrText>
                            </w:r>
                            <w:r w:rsidR="00617111" w:rsidRPr="00D16ECC">
                              <w:rPr>
                                <w:b/>
                                <w:bCs/>
                                <w:caps/>
                                <w:sz w:val="16"/>
                                <w:szCs w:val="16"/>
                              </w:rPr>
                              <w:fldChar w:fldCharType="separate"/>
                            </w:r>
                            <w:r w:rsidR="00617111" w:rsidRPr="00D16ECC">
                              <w:rPr>
                                <w:b/>
                                <w:bCs/>
                                <w:caps/>
                                <w:noProof/>
                                <w:sz w:val="16"/>
                                <w:szCs w:val="16"/>
                              </w:rPr>
                              <w:t>1</w:t>
                            </w:r>
                            <w:r w:rsidR="00617111" w:rsidRPr="00D16ECC">
                              <w:rPr>
                                <w:b/>
                                <w:bCs/>
                                <w:caps/>
                                <w:sz w:val="16"/>
                                <w:szCs w:val="16"/>
                              </w:rPr>
                              <w:fldChar w:fldCharType="end"/>
                            </w:r>
                            <w:r w:rsidR="00617111" w:rsidRPr="00D16ECC">
                              <w:rPr>
                                <w:caps/>
                                <w:sz w:val="16"/>
                                <w:szCs w:val="16"/>
                              </w:rPr>
                              <w:t xml:space="preserve"> of </w:t>
                            </w:r>
                            <w:r w:rsidR="00617111" w:rsidRPr="00D16ECC">
                              <w:rPr>
                                <w:b/>
                                <w:bCs/>
                                <w:caps/>
                                <w:sz w:val="16"/>
                                <w:szCs w:val="16"/>
                              </w:rPr>
                              <w:fldChar w:fldCharType="begin"/>
                            </w:r>
                            <w:r w:rsidR="00617111" w:rsidRPr="00D16ECC">
                              <w:rPr>
                                <w:b/>
                                <w:bCs/>
                                <w:caps/>
                                <w:sz w:val="16"/>
                                <w:szCs w:val="16"/>
                              </w:rPr>
                              <w:instrText xml:space="preserve"> NUMPAGES  \* Arabic  \* MERGEFORMAT </w:instrText>
                            </w:r>
                            <w:r w:rsidR="00617111" w:rsidRPr="00D16ECC">
                              <w:rPr>
                                <w:b/>
                                <w:bCs/>
                                <w:caps/>
                                <w:sz w:val="16"/>
                                <w:szCs w:val="16"/>
                              </w:rPr>
                              <w:fldChar w:fldCharType="separate"/>
                            </w:r>
                            <w:r w:rsidR="00617111" w:rsidRPr="00D16ECC">
                              <w:rPr>
                                <w:b/>
                                <w:bCs/>
                                <w:caps/>
                                <w:noProof/>
                                <w:sz w:val="16"/>
                                <w:szCs w:val="16"/>
                              </w:rPr>
                              <w:t>2</w:t>
                            </w:r>
                            <w:r w:rsidR="00617111" w:rsidRPr="00D16ECC">
                              <w:rPr>
                                <w:b/>
                                <w:bCs/>
                                <w:caps/>
                                <w:sz w:val="16"/>
                                <w:szCs w:val="16"/>
                              </w:rPr>
                              <w:fldChar w:fldCharType="end"/>
                            </w:r>
                            <w:r w:rsidR="000E7A47" w:rsidRPr="00D16ECC">
                              <w:rPr>
                                <w:caps/>
                                <w:color w:val="7F7F7F" w:themeColor="text1" w:themeTint="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0E7A47">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inline>
          </w:drawing>
        </mc:Choice>
        <mc:Fallback>
          <w:pict>
            <v:group w14:anchorId="391629B3" id="Group 164" o:spid="_x0000_s1028" style="width:516pt;height:21.6pt;mso-position-horizontal-relative:char;mso-position-vertical-relative:line" coordorigin="-3810" coordsize="6553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">
              <v:rect id="Rectangle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 id="Text Box 166" o:spid="_x0000_s1030" type="#_x0000_t202" style="position:absolute;left:-3810;top:95;width:6324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FE6C916" w14:textId="6774C8C6" w:rsidR="000E7A47" w:rsidRDefault="00000000">
                      <w:pPr>
                        <w:pStyle w:val="Footer"/>
                        <w:tabs>
                          <w:tab w:val="clear" w:pos="4680"/>
                          <w:tab w:val="clear" w:pos="9360"/>
                        </w:tabs>
                        <w:jc w:val="right"/>
                      </w:pPr>
                      <w:sdt>
                        <w:sdtPr>
                          <w:rPr>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84729" w:rsidRPr="00333DDC">
                            <w:rPr>
                              <w:sz w:val="16"/>
                              <w:szCs w:val="16"/>
                            </w:rPr>
                            <w:t>April 2025</w:t>
                          </w:r>
                          <w:r w:rsidR="0051454E" w:rsidRPr="00333DDC">
                            <w:rPr>
                              <w:sz w:val="16"/>
                              <w:szCs w:val="16"/>
                            </w:rPr>
                            <w:t>|</w:t>
                          </w:r>
                          <w:r w:rsidR="000E7A47" w:rsidRPr="00333DDC">
                            <w:rPr>
                              <w:sz w:val="16"/>
                              <w:szCs w:val="16"/>
                            </w:rPr>
                            <w:t>Victorian Guidance on the use of perioperative bundles to prevent surgical site infection complicating colorectal surgery</w:t>
                          </w:r>
                        </w:sdtContent>
                      </w:sdt>
                      <w:r w:rsidR="000E7A47" w:rsidRPr="00D16ECC">
                        <w:rPr>
                          <w:caps/>
                          <w:sz w:val="20"/>
                          <w:szCs w:val="20"/>
                        </w:rPr>
                        <w:t> |</w:t>
                      </w:r>
                      <w:r w:rsidR="00617111" w:rsidRPr="00D16ECC">
                        <w:rPr>
                          <w:caps/>
                          <w:sz w:val="16"/>
                          <w:szCs w:val="16"/>
                        </w:rPr>
                        <w:t xml:space="preserve">Page </w:t>
                      </w:r>
                      <w:r w:rsidR="00617111" w:rsidRPr="00D16ECC">
                        <w:rPr>
                          <w:b/>
                          <w:bCs/>
                          <w:caps/>
                          <w:sz w:val="16"/>
                          <w:szCs w:val="16"/>
                        </w:rPr>
                        <w:fldChar w:fldCharType="begin"/>
                      </w:r>
                      <w:r w:rsidR="00617111" w:rsidRPr="00D16ECC">
                        <w:rPr>
                          <w:b/>
                          <w:bCs/>
                          <w:caps/>
                          <w:sz w:val="16"/>
                          <w:szCs w:val="16"/>
                        </w:rPr>
                        <w:instrText xml:space="preserve"> PAGE  \* Arabic  \* MERGEFORMAT </w:instrText>
                      </w:r>
                      <w:r w:rsidR="00617111" w:rsidRPr="00D16ECC">
                        <w:rPr>
                          <w:b/>
                          <w:bCs/>
                          <w:caps/>
                          <w:sz w:val="16"/>
                          <w:szCs w:val="16"/>
                        </w:rPr>
                        <w:fldChar w:fldCharType="separate"/>
                      </w:r>
                      <w:r w:rsidR="00617111" w:rsidRPr="00D16ECC">
                        <w:rPr>
                          <w:b/>
                          <w:bCs/>
                          <w:caps/>
                          <w:noProof/>
                          <w:sz w:val="16"/>
                          <w:szCs w:val="16"/>
                        </w:rPr>
                        <w:t>1</w:t>
                      </w:r>
                      <w:r w:rsidR="00617111" w:rsidRPr="00D16ECC">
                        <w:rPr>
                          <w:b/>
                          <w:bCs/>
                          <w:caps/>
                          <w:sz w:val="16"/>
                          <w:szCs w:val="16"/>
                        </w:rPr>
                        <w:fldChar w:fldCharType="end"/>
                      </w:r>
                      <w:r w:rsidR="00617111" w:rsidRPr="00D16ECC">
                        <w:rPr>
                          <w:caps/>
                          <w:sz w:val="16"/>
                          <w:szCs w:val="16"/>
                        </w:rPr>
                        <w:t xml:space="preserve"> of </w:t>
                      </w:r>
                      <w:r w:rsidR="00617111" w:rsidRPr="00D16ECC">
                        <w:rPr>
                          <w:b/>
                          <w:bCs/>
                          <w:caps/>
                          <w:sz w:val="16"/>
                          <w:szCs w:val="16"/>
                        </w:rPr>
                        <w:fldChar w:fldCharType="begin"/>
                      </w:r>
                      <w:r w:rsidR="00617111" w:rsidRPr="00D16ECC">
                        <w:rPr>
                          <w:b/>
                          <w:bCs/>
                          <w:caps/>
                          <w:sz w:val="16"/>
                          <w:szCs w:val="16"/>
                        </w:rPr>
                        <w:instrText xml:space="preserve"> NUMPAGES  \* Arabic  \* MERGEFORMAT </w:instrText>
                      </w:r>
                      <w:r w:rsidR="00617111" w:rsidRPr="00D16ECC">
                        <w:rPr>
                          <w:b/>
                          <w:bCs/>
                          <w:caps/>
                          <w:sz w:val="16"/>
                          <w:szCs w:val="16"/>
                        </w:rPr>
                        <w:fldChar w:fldCharType="separate"/>
                      </w:r>
                      <w:r w:rsidR="00617111" w:rsidRPr="00D16ECC">
                        <w:rPr>
                          <w:b/>
                          <w:bCs/>
                          <w:caps/>
                          <w:noProof/>
                          <w:sz w:val="16"/>
                          <w:szCs w:val="16"/>
                        </w:rPr>
                        <w:t>2</w:t>
                      </w:r>
                      <w:r w:rsidR="00617111" w:rsidRPr="00D16ECC">
                        <w:rPr>
                          <w:b/>
                          <w:bCs/>
                          <w:caps/>
                          <w:sz w:val="16"/>
                          <w:szCs w:val="16"/>
                        </w:rPr>
                        <w:fldChar w:fldCharType="end"/>
                      </w:r>
                      <w:r w:rsidR="000E7A47" w:rsidRPr="00D16ECC">
                        <w:rPr>
                          <w:caps/>
                          <w:color w:val="7F7F7F" w:themeColor="text1" w:themeTint="80"/>
                          <w:sz w:val="20"/>
                          <w:szCs w:val="20"/>
                        </w:rPr>
                        <w:t>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0E7A47">
                            <w:rPr>
                              <w:color w:val="808080" w:themeColor="background1" w:themeShade="80"/>
                              <w:sz w:val="20"/>
                              <w:szCs w:val="20"/>
                            </w:rPr>
                            <w:t xml:space="preserve">     </w:t>
                          </w:r>
                        </w:sdtContent>
                      </w:sdt>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0819" w14:textId="64CF44B9" w:rsidR="00C46C50" w:rsidRDefault="00C46C50">
    <w:pPr>
      <w:pStyle w:val="Footer"/>
    </w:pPr>
    <w:r>
      <w:rPr>
        <w:noProof/>
      </w:rPr>
      <mc:AlternateContent>
        <mc:Choice Requires="wps">
          <w:drawing>
            <wp:anchor distT="0" distB="0" distL="0" distR="0" simplePos="0" relativeHeight="251659264" behindDoc="0" locked="0" layoutInCell="1" allowOverlap="1" wp14:anchorId="7E8C67F0" wp14:editId="51D56752">
              <wp:simplePos x="635" y="635"/>
              <wp:positionH relativeFrom="page">
                <wp:align>center</wp:align>
              </wp:positionH>
              <wp:positionV relativeFrom="page">
                <wp:align>bottom</wp:align>
              </wp:positionV>
              <wp:extent cx="656590" cy="383540"/>
              <wp:effectExtent l="0" t="0" r="10160" b="0"/>
              <wp:wrapNone/>
              <wp:docPr id="9445603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2D3067CC" w14:textId="350AC03F"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C67F0" id="_x0000_t202" coordsize="21600,21600" o:spt="202" path="m,l,21600r21600,l21600,xe">
              <v:stroke joinstyle="miter"/>
              <v:path gradientshapeok="t" o:connecttype="rect"/>
            </v:shapetype>
            <v:shape id="Text Box 2" o:spid="_x0000_s1031" type="#_x0000_t202" alt="OFFICIAL" style="position:absolute;margin-left:0;margin-top:0;width:51.7pt;height:30.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" filled="f" stroked="f">
              <v:textbox style="mso-fit-shape-to-text:t" inset="0,0,0,15pt">
                <w:txbxContent>
                  <w:p w14:paraId="2D3067CC" w14:textId="350AC03F" w:rsidR="00C46C50" w:rsidRPr="00C46C50" w:rsidRDefault="00C46C50" w:rsidP="00C46C50">
                    <w:pPr>
                      <w:spacing w:after="0"/>
                      <w:rPr>
                        <w:rFonts w:ascii="Arial Black" w:eastAsia="Arial Black" w:hAnsi="Arial Black" w:cs="Arial Black"/>
                        <w:noProof/>
                        <w:color w:val="000000"/>
                        <w:sz w:val="20"/>
                        <w:szCs w:val="20"/>
                      </w:rPr>
                    </w:pPr>
                    <w:r w:rsidRPr="00C46C5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7B8F" w14:textId="77777777" w:rsidR="00AD49D0" w:rsidRDefault="00AD49D0">
      <w:pPr>
        <w:spacing w:after="0" w:line="240" w:lineRule="auto"/>
      </w:pPr>
      <w:r>
        <w:separator/>
      </w:r>
    </w:p>
  </w:footnote>
  <w:footnote w:type="continuationSeparator" w:id="0">
    <w:p w14:paraId="642FB580" w14:textId="77777777" w:rsidR="00AD49D0" w:rsidRDefault="00AD49D0">
      <w:pPr>
        <w:spacing w:after="0" w:line="240" w:lineRule="auto"/>
      </w:pPr>
      <w:r>
        <w:continuationSeparator/>
      </w:r>
    </w:p>
  </w:footnote>
  <w:footnote w:type="continuationNotice" w:id="1">
    <w:p w14:paraId="25D76B33" w14:textId="77777777" w:rsidR="00AD49D0" w:rsidRDefault="00AD4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2671"/>
    </w:tblGrid>
    <w:tr w:rsidR="6B2AE678" w14:paraId="241FEE0D" w14:textId="77777777" w:rsidTr="0069623B">
      <w:trPr>
        <w:trHeight w:val="300"/>
      </w:trPr>
      <w:tc>
        <w:tcPr>
          <w:tcW w:w="3400" w:type="dxa"/>
        </w:tcPr>
        <w:p w14:paraId="43A76D56" w14:textId="4F18A26E" w:rsidR="6B2AE678" w:rsidRDefault="0069623B" w:rsidP="00DF6279">
          <w:pPr>
            <w:pStyle w:val="Header"/>
            <w:ind w:left="-115"/>
          </w:pPr>
          <w:r>
            <w:rPr>
              <w:noProof/>
            </w:rPr>
            <w:drawing>
              <wp:inline distT="0" distB="0" distL="0" distR="0" wp14:anchorId="7F1C3591" wp14:editId="783FF32F">
                <wp:extent cx="1143000" cy="856615"/>
                <wp:effectExtent l="0" t="0" r="0" b="635"/>
                <wp:docPr id="163775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000" t="29037"/>
                        <a:stretch/>
                      </pic:blipFill>
                      <pic:spPr bwMode="auto">
                        <a:xfrm>
                          <a:off x="0" y="0"/>
                          <a:ext cx="1143000" cy="856615"/>
                        </a:xfrm>
                        <a:prstGeom prst="rect">
                          <a:avLst/>
                        </a:prstGeom>
                        <a:noFill/>
                        <a:ln>
                          <a:noFill/>
                        </a:ln>
                        <a:extLst>
                          <a:ext uri="{53640926-AAD7-44D8-BBD7-CCE9431645EC}">
                            <a14:shadowObscured xmlns:a14="http://schemas.microsoft.com/office/drawing/2010/main"/>
                          </a:ext>
                        </a:extLst>
                      </pic:spPr>
                    </pic:pic>
                  </a:graphicData>
                </a:graphic>
              </wp:inline>
            </w:drawing>
          </w:r>
        </w:p>
        <w:p w14:paraId="3486024A" w14:textId="04E54C3D" w:rsidR="0069623B" w:rsidRPr="0069623B" w:rsidRDefault="0069623B" w:rsidP="0069623B"/>
      </w:tc>
      <w:tc>
        <w:tcPr>
          <w:tcW w:w="3400" w:type="dxa"/>
        </w:tcPr>
        <w:p w14:paraId="632B8BC7" w14:textId="579FCF22" w:rsidR="6B2AE678" w:rsidRDefault="6B2AE678" w:rsidP="00DF6279">
          <w:pPr>
            <w:pStyle w:val="Header"/>
            <w:jc w:val="center"/>
          </w:pPr>
        </w:p>
      </w:tc>
      <w:tc>
        <w:tcPr>
          <w:tcW w:w="2671" w:type="dxa"/>
        </w:tcPr>
        <w:p w14:paraId="5C3F2EC0" w14:textId="7940D2BE" w:rsidR="6B2AE678" w:rsidRDefault="00EE1382" w:rsidP="00DF6279">
          <w:pPr>
            <w:pStyle w:val="Header"/>
            <w:ind w:right="-115"/>
            <w:jc w:val="center"/>
          </w:pPr>
          <w:r>
            <w:rPr>
              <w:noProof/>
            </w:rPr>
            <w:drawing>
              <wp:inline distT="0" distB="0" distL="0" distR="0" wp14:anchorId="46E1AC73" wp14:editId="6652708C">
                <wp:extent cx="1560870" cy="662521"/>
                <wp:effectExtent l="0" t="0" r="1270" b="4445"/>
                <wp:docPr id="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576908" cy="669328"/>
                        </a:xfrm>
                        <a:prstGeom prst="rect">
                          <a:avLst/>
                        </a:prstGeom>
                      </pic:spPr>
                    </pic:pic>
                  </a:graphicData>
                </a:graphic>
              </wp:inline>
            </w:drawing>
          </w:r>
        </w:p>
      </w:tc>
    </w:tr>
  </w:tbl>
  <w:p w14:paraId="5ACEC1E4" w14:textId="1AD1BE82" w:rsidR="6B2AE678" w:rsidRDefault="00EE1382" w:rsidP="00DF6279">
    <w:pPr>
      <w:pStyle w:val="Header"/>
    </w:pPr>
    <w:r>
      <w:rPr>
        <w:noProof/>
      </w:rPr>
      <mc:AlternateContent>
        <mc:Choice Requires="wps">
          <w:drawing>
            <wp:anchor distT="0" distB="0" distL="114300" distR="114300" simplePos="0" relativeHeight="251658240" behindDoc="0" locked="0" layoutInCell="1" allowOverlap="1" wp14:anchorId="7B864662" wp14:editId="5775FBD6">
              <wp:simplePos x="0" y="0"/>
              <wp:positionH relativeFrom="column">
                <wp:posOffset>-159385</wp:posOffset>
              </wp:positionH>
              <wp:positionV relativeFrom="paragraph">
                <wp:posOffset>55245</wp:posOffset>
              </wp:positionV>
              <wp:extent cx="6629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AF34B36"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5pt,4.35pt" to="509.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EA0"/>
    <w:multiLevelType w:val="hybridMultilevel"/>
    <w:tmpl w:val="7196162C"/>
    <w:lvl w:ilvl="0" w:tplc="E45ADBB8">
      <w:start w:val="1"/>
      <w:numFmt w:val="bullet"/>
      <w:lvlText w:val=""/>
      <w:lvlJc w:val="left"/>
      <w:pPr>
        <w:ind w:left="720" w:hanging="360"/>
      </w:pPr>
      <w:rPr>
        <w:rFonts w:ascii="Symbol" w:hAnsi="Symbol" w:hint="default"/>
      </w:rPr>
    </w:lvl>
    <w:lvl w:ilvl="1" w:tplc="B8AE6D82">
      <w:start w:val="1"/>
      <w:numFmt w:val="bullet"/>
      <w:lvlText w:val="o"/>
      <w:lvlJc w:val="left"/>
      <w:pPr>
        <w:ind w:left="1440" w:hanging="360"/>
      </w:pPr>
      <w:rPr>
        <w:rFonts w:ascii="Courier New" w:hAnsi="Courier New" w:hint="default"/>
      </w:rPr>
    </w:lvl>
    <w:lvl w:ilvl="2" w:tplc="7A467114">
      <w:start w:val="1"/>
      <w:numFmt w:val="bullet"/>
      <w:lvlText w:val=""/>
      <w:lvlJc w:val="left"/>
      <w:pPr>
        <w:ind w:left="2160" w:hanging="360"/>
      </w:pPr>
      <w:rPr>
        <w:rFonts w:ascii="Wingdings" w:hAnsi="Wingdings" w:hint="default"/>
      </w:rPr>
    </w:lvl>
    <w:lvl w:ilvl="3" w:tplc="8646C402">
      <w:start w:val="1"/>
      <w:numFmt w:val="bullet"/>
      <w:lvlText w:val=""/>
      <w:lvlJc w:val="left"/>
      <w:pPr>
        <w:ind w:left="2880" w:hanging="360"/>
      </w:pPr>
      <w:rPr>
        <w:rFonts w:ascii="Symbol" w:hAnsi="Symbol" w:hint="default"/>
      </w:rPr>
    </w:lvl>
    <w:lvl w:ilvl="4" w:tplc="FD7E8EF6">
      <w:start w:val="1"/>
      <w:numFmt w:val="bullet"/>
      <w:lvlText w:val="o"/>
      <w:lvlJc w:val="left"/>
      <w:pPr>
        <w:ind w:left="3600" w:hanging="360"/>
      </w:pPr>
      <w:rPr>
        <w:rFonts w:ascii="Courier New" w:hAnsi="Courier New" w:hint="default"/>
      </w:rPr>
    </w:lvl>
    <w:lvl w:ilvl="5" w:tplc="15F0E12C">
      <w:start w:val="1"/>
      <w:numFmt w:val="bullet"/>
      <w:lvlText w:val=""/>
      <w:lvlJc w:val="left"/>
      <w:pPr>
        <w:ind w:left="4320" w:hanging="360"/>
      </w:pPr>
      <w:rPr>
        <w:rFonts w:ascii="Wingdings" w:hAnsi="Wingdings" w:hint="default"/>
      </w:rPr>
    </w:lvl>
    <w:lvl w:ilvl="6" w:tplc="0EF6661E">
      <w:start w:val="1"/>
      <w:numFmt w:val="bullet"/>
      <w:lvlText w:val=""/>
      <w:lvlJc w:val="left"/>
      <w:pPr>
        <w:ind w:left="5040" w:hanging="360"/>
      </w:pPr>
      <w:rPr>
        <w:rFonts w:ascii="Symbol" w:hAnsi="Symbol" w:hint="default"/>
      </w:rPr>
    </w:lvl>
    <w:lvl w:ilvl="7" w:tplc="E55A5224">
      <w:start w:val="1"/>
      <w:numFmt w:val="bullet"/>
      <w:lvlText w:val="o"/>
      <w:lvlJc w:val="left"/>
      <w:pPr>
        <w:ind w:left="5760" w:hanging="360"/>
      </w:pPr>
      <w:rPr>
        <w:rFonts w:ascii="Courier New" w:hAnsi="Courier New" w:hint="default"/>
      </w:rPr>
    </w:lvl>
    <w:lvl w:ilvl="8" w:tplc="B60C73C8">
      <w:start w:val="1"/>
      <w:numFmt w:val="bullet"/>
      <w:lvlText w:val=""/>
      <w:lvlJc w:val="left"/>
      <w:pPr>
        <w:ind w:left="6480" w:hanging="360"/>
      </w:pPr>
      <w:rPr>
        <w:rFonts w:ascii="Wingdings" w:hAnsi="Wingdings" w:hint="default"/>
      </w:rPr>
    </w:lvl>
  </w:abstractNum>
  <w:abstractNum w:abstractNumId="1" w15:restartNumberingAfterBreak="0">
    <w:nsid w:val="2D988F91"/>
    <w:multiLevelType w:val="hybridMultilevel"/>
    <w:tmpl w:val="868E566C"/>
    <w:lvl w:ilvl="0" w:tplc="CB843E44">
      <w:start w:val="1"/>
      <w:numFmt w:val="bullet"/>
      <w:lvlText w:val=""/>
      <w:lvlJc w:val="left"/>
      <w:pPr>
        <w:ind w:left="720" w:hanging="360"/>
      </w:pPr>
      <w:rPr>
        <w:rFonts w:ascii="Symbol" w:hAnsi="Symbol" w:hint="default"/>
      </w:rPr>
    </w:lvl>
    <w:lvl w:ilvl="1" w:tplc="3C60A522">
      <w:start w:val="1"/>
      <w:numFmt w:val="bullet"/>
      <w:lvlText w:val="o"/>
      <w:lvlJc w:val="left"/>
      <w:pPr>
        <w:ind w:left="1440" w:hanging="360"/>
      </w:pPr>
      <w:rPr>
        <w:rFonts w:ascii="Courier New" w:hAnsi="Courier New" w:hint="default"/>
      </w:rPr>
    </w:lvl>
    <w:lvl w:ilvl="2" w:tplc="7B76FE8C">
      <w:start w:val="1"/>
      <w:numFmt w:val="bullet"/>
      <w:lvlText w:val=""/>
      <w:lvlJc w:val="left"/>
      <w:pPr>
        <w:ind w:left="2160" w:hanging="360"/>
      </w:pPr>
      <w:rPr>
        <w:rFonts w:ascii="Wingdings" w:hAnsi="Wingdings" w:hint="default"/>
      </w:rPr>
    </w:lvl>
    <w:lvl w:ilvl="3" w:tplc="E7BE2408">
      <w:start w:val="1"/>
      <w:numFmt w:val="bullet"/>
      <w:lvlText w:val=""/>
      <w:lvlJc w:val="left"/>
      <w:pPr>
        <w:ind w:left="2880" w:hanging="360"/>
      </w:pPr>
      <w:rPr>
        <w:rFonts w:ascii="Symbol" w:hAnsi="Symbol" w:hint="default"/>
      </w:rPr>
    </w:lvl>
    <w:lvl w:ilvl="4" w:tplc="9D02E20C">
      <w:start w:val="1"/>
      <w:numFmt w:val="bullet"/>
      <w:lvlText w:val="o"/>
      <w:lvlJc w:val="left"/>
      <w:pPr>
        <w:ind w:left="3600" w:hanging="360"/>
      </w:pPr>
      <w:rPr>
        <w:rFonts w:ascii="Courier New" w:hAnsi="Courier New" w:hint="default"/>
      </w:rPr>
    </w:lvl>
    <w:lvl w:ilvl="5" w:tplc="68E8E3A8">
      <w:start w:val="1"/>
      <w:numFmt w:val="bullet"/>
      <w:lvlText w:val=""/>
      <w:lvlJc w:val="left"/>
      <w:pPr>
        <w:ind w:left="4320" w:hanging="360"/>
      </w:pPr>
      <w:rPr>
        <w:rFonts w:ascii="Wingdings" w:hAnsi="Wingdings" w:hint="default"/>
      </w:rPr>
    </w:lvl>
    <w:lvl w:ilvl="6" w:tplc="606A3822">
      <w:start w:val="1"/>
      <w:numFmt w:val="bullet"/>
      <w:lvlText w:val=""/>
      <w:lvlJc w:val="left"/>
      <w:pPr>
        <w:ind w:left="5040" w:hanging="360"/>
      </w:pPr>
      <w:rPr>
        <w:rFonts w:ascii="Symbol" w:hAnsi="Symbol" w:hint="default"/>
      </w:rPr>
    </w:lvl>
    <w:lvl w:ilvl="7" w:tplc="D86AFD9E">
      <w:start w:val="1"/>
      <w:numFmt w:val="bullet"/>
      <w:lvlText w:val="o"/>
      <w:lvlJc w:val="left"/>
      <w:pPr>
        <w:ind w:left="5760" w:hanging="360"/>
      </w:pPr>
      <w:rPr>
        <w:rFonts w:ascii="Courier New" w:hAnsi="Courier New" w:hint="default"/>
      </w:rPr>
    </w:lvl>
    <w:lvl w:ilvl="8" w:tplc="1CB6E172">
      <w:start w:val="1"/>
      <w:numFmt w:val="bullet"/>
      <w:lvlText w:val=""/>
      <w:lvlJc w:val="left"/>
      <w:pPr>
        <w:ind w:left="6480" w:hanging="360"/>
      </w:pPr>
      <w:rPr>
        <w:rFonts w:ascii="Wingdings" w:hAnsi="Wingdings" w:hint="default"/>
      </w:rPr>
    </w:lvl>
  </w:abstractNum>
  <w:abstractNum w:abstractNumId="2" w15:restartNumberingAfterBreak="0">
    <w:nsid w:val="3BD810BA"/>
    <w:multiLevelType w:val="hybridMultilevel"/>
    <w:tmpl w:val="9A8EB4AC"/>
    <w:lvl w:ilvl="0" w:tplc="93CEF3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7B2670"/>
    <w:multiLevelType w:val="hybridMultilevel"/>
    <w:tmpl w:val="E5301FF6"/>
    <w:lvl w:ilvl="0" w:tplc="F5E4ABB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5532BD"/>
    <w:multiLevelType w:val="hybridMultilevel"/>
    <w:tmpl w:val="654EF0CE"/>
    <w:lvl w:ilvl="0" w:tplc="C47E955E">
      <w:start w:val="1"/>
      <w:numFmt w:val="bullet"/>
      <w:lvlText w:val="•"/>
      <w:lvlJc w:val="left"/>
      <w:pPr>
        <w:tabs>
          <w:tab w:val="num" w:pos="720"/>
        </w:tabs>
        <w:ind w:left="720" w:hanging="360"/>
      </w:pPr>
      <w:rPr>
        <w:rFonts w:ascii="Arial" w:hAnsi="Arial" w:hint="default"/>
      </w:rPr>
    </w:lvl>
    <w:lvl w:ilvl="1" w:tplc="9DE87C9E" w:tentative="1">
      <w:start w:val="1"/>
      <w:numFmt w:val="bullet"/>
      <w:lvlText w:val="•"/>
      <w:lvlJc w:val="left"/>
      <w:pPr>
        <w:tabs>
          <w:tab w:val="num" w:pos="1440"/>
        </w:tabs>
        <w:ind w:left="1440" w:hanging="360"/>
      </w:pPr>
      <w:rPr>
        <w:rFonts w:ascii="Arial" w:hAnsi="Arial" w:hint="default"/>
      </w:rPr>
    </w:lvl>
    <w:lvl w:ilvl="2" w:tplc="16C29218" w:tentative="1">
      <w:start w:val="1"/>
      <w:numFmt w:val="bullet"/>
      <w:lvlText w:val="•"/>
      <w:lvlJc w:val="left"/>
      <w:pPr>
        <w:tabs>
          <w:tab w:val="num" w:pos="2160"/>
        </w:tabs>
        <w:ind w:left="2160" w:hanging="360"/>
      </w:pPr>
      <w:rPr>
        <w:rFonts w:ascii="Arial" w:hAnsi="Arial" w:hint="default"/>
      </w:rPr>
    </w:lvl>
    <w:lvl w:ilvl="3" w:tplc="0BA66204" w:tentative="1">
      <w:start w:val="1"/>
      <w:numFmt w:val="bullet"/>
      <w:lvlText w:val="•"/>
      <w:lvlJc w:val="left"/>
      <w:pPr>
        <w:tabs>
          <w:tab w:val="num" w:pos="2880"/>
        </w:tabs>
        <w:ind w:left="2880" w:hanging="360"/>
      </w:pPr>
      <w:rPr>
        <w:rFonts w:ascii="Arial" w:hAnsi="Arial" w:hint="default"/>
      </w:rPr>
    </w:lvl>
    <w:lvl w:ilvl="4" w:tplc="C4C2D8B6" w:tentative="1">
      <w:start w:val="1"/>
      <w:numFmt w:val="bullet"/>
      <w:lvlText w:val="•"/>
      <w:lvlJc w:val="left"/>
      <w:pPr>
        <w:tabs>
          <w:tab w:val="num" w:pos="3600"/>
        </w:tabs>
        <w:ind w:left="3600" w:hanging="360"/>
      </w:pPr>
      <w:rPr>
        <w:rFonts w:ascii="Arial" w:hAnsi="Arial" w:hint="default"/>
      </w:rPr>
    </w:lvl>
    <w:lvl w:ilvl="5" w:tplc="727C63EA" w:tentative="1">
      <w:start w:val="1"/>
      <w:numFmt w:val="bullet"/>
      <w:lvlText w:val="•"/>
      <w:lvlJc w:val="left"/>
      <w:pPr>
        <w:tabs>
          <w:tab w:val="num" w:pos="4320"/>
        </w:tabs>
        <w:ind w:left="4320" w:hanging="360"/>
      </w:pPr>
      <w:rPr>
        <w:rFonts w:ascii="Arial" w:hAnsi="Arial" w:hint="default"/>
      </w:rPr>
    </w:lvl>
    <w:lvl w:ilvl="6" w:tplc="9656D642" w:tentative="1">
      <w:start w:val="1"/>
      <w:numFmt w:val="bullet"/>
      <w:lvlText w:val="•"/>
      <w:lvlJc w:val="left"/>
      <w:pPr>
        <w:tabs>
          <w:tab w:val="num" w:pos="5040"/>
        </w:tabs>
        <w:ind w:left="5040" w:hanging="360"/>
      </w:pPr>
      <w:rPr>
        <w:rFonts w:ascii="Arial" w:hAnsi="Arial" w:hint="default"/>
      </w:rPr>
    </w:lvl>
    <w:lvl w:ilvl="7" w:tplc="30DE31BA" w:tentative="1">
      <w:start w:val="1"/>
      <w:numFmt w:val="bullet"/>
      <w:lvlText w:val="•"/>
      <w:lvlJc w:val="left"/>
      <w:pPr>
        <w:tabs>
          <w:tab w:val="num" w:pos="5760"/>
        </w:tabs>
        <w:ind w:left="5760" w:hanging="360"/>
      </w:pPr>
      <w:rPr>
        <w:rFonts w:ascii="Arial" w:hAnsi="Arial" w:hint="default"/>
      </w:rPr>
    </w:lvl>
    <w:lvl w:ilvl="8" w:tplc="05889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944698"/>
    <w:multiLevelType w:val="multilevel"/>
    <w:tmpl w:val="EF7A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5E2858"/>
    <w:multiLevelType w:val="hybridMultilevel"/>
    <w:tmpl w:val="EEC252CE"/>
    <w:lvl w:ilvl="0" w:tplc="028894DC">
      <w:start w:val="1"/>
      <w:numFmt w:val="bullet"/>
      <w:lvlText w:val="•"/>
      <w:lvlJc w:val="left"/>
      <w:pPr>
        <w:tabs>
          <w:tab w:val="num" w:pos="720"/>
        </w:tabs>
        <w:ind w:left="720" w:hanging="360"/>
      </w:pPr>
      <w:rPr>
        <w:rFonts w:ascii="Arial" w:hAnsi="Arial" w:hint="default"/>
      </w:rPr>
    </w:lvl>
    <w:lvl w:ilvl="1" w:tplc="3BE87E1C" w:tentative="1">
      <w:start w:val="1"/>
      <w:numFmt w:val="bullet"/>
      <w:lvlText w:val="•"/>
      <w:lvlJc w:val="left"/>
      <w:pPr>
        <w:tabs>
          <w:tab w:val="num" w:pos="1440"/>
        </w:tabs>
        <w:ind w:left="1440" w:hanging="360"/>
      </w:pPr>
      <w:rPr>
        <w:rFonts w:ascii="Arial" w:hAnsi="Arial" w:hint="default"/>
      </w:rPr>
    </w:lvl>
    <w:lvl w:ilvl="2" w:tplc="6440746E" w:tentative="1">
      <w:start w:val="1"/>
      <w:numFmt w:val="bullet"/>
      <w:lvlText w:val="•"/>
      <w:lvlJc w:val="left"/>
      <w:pPr>
        <w:tabs>
          <w:tab w:val="num" w:pos="2160"/>
        </w:tabs>
        <w:ind w:left="2160" w:hanging="360"/>
      </w:pPr>
      <w:rPr>
        <w:rFonts w:ascii="Arial" w:hAnsi="Arial" w:hint="default"/>
      </w:rPr>
    </w:lvl>
    <w:lvl w:ilvl="3" w:tplc="33720E32" w:tentative="1">
      <w:start w:val="1"/>
      <w:numFmt w:val="bullet"/>
      <w:lvlText w:val="•"/>
      <w:lvlJc w:val="left"/>
      <w:pPr>
        <w:tabs>
          <w:tab w:val="num" w:pos="2880"/>
        </w:tabs>
        <w:ind w:left="2880" w:hanging="360"/>
      </w:pPr>
      <w:rPr>
        <w:rFonts w:ascii="Arial" w:hAnsi="Arial" w:hint="default"/>
      </w:rPr>
    </w:lvl>
    <w:lvl w:ilvl="4" w:tplc="F63E2AFA" w:tentative="1">
      <w:start w:val="1"/>
      <w:numFmt w:val="bullet"/>
      <w:lvlText w:val="•"/>
      <w:lvlJc w:val="left"/>
      <w:pPr>
        <w:tabs>
          <w:tab w:val="num" w:pos="3600"/>
        </w:tabs>
        <w:ind w:left="3600" w:hanging="360"/>
      </w:pPr>
      <w:rPr>
        <w:rFonts w:ascii="Arial" w:hAnsi="Arial" w:hint="default"/>
      </w:rPr>
    </w:lvl>
    <w:lvl w:ilvl="5" w:tplc="4694F760" w:tentative="1">
      <w:start w:val="1"/>
      <w:numFmt w:val="bullet"/>
      <w:lvlText w:val="•"/>
      <w:lvlJc w:val="left"/>
      <w:pPr>
        <w:tabs>
          <w:tab w:val="num" w:pos="4320"/>
        </w:tabs>
        <w:ind w:left="4320" w:hanging="360"/>
      </w:pPr>
      <w:rPr>
        <w:rFonts w:ascii="Arial" w:hAnsi="Arial" w:hint="default"/>
      </w:rPr>
    </w:lvl>
    <w:lvl w:ilvl="6" w:tplc="CED68EA6" w:tentative="1">
      <w:start w:val="1"/>
      <w:numFmt w:val="bullet"/>
      <w:lvlText w:val="•"/>
      <w:lvlJc w:val="left"/>
      <w:pPr>
        <w:tabs>
          <w:tab w:val="num" w:pos="5040"/>
        </w:tabs>
        <w:ind w:left="5040" w:hanging="360"/>
      </w:pPr>
      <w:rPr>
        <w:rFonts w:ascii="Arial" w:hAnsi="Arial" w:hint="default"/>
      </w:rPr>
    </w:lvl>
    <w:lvl w:ilvl="7" w:tplc="11EA9552" w:tentative="1">
      <w:start w:val="1"/>
      <w:numFmt w:val="bullet"/>
      <w:lvlText w:val="•"/>
      <w:lvlJc w:val="left"/>
      <w:pPr>
        <w:tabs>
          <w:tab w:val="num" w:pos="5760"/>
        </w:tabs>
        <w:ind w:left="5760" w:hanging="360"/>
      </w:pPr>
      <w:rPr>
        <w:rFonts w:ascii="Arial" w:hAnsi="Arial" w:hint="default"/>
      </w:rPr>
    </w:lvl>
    <w:lvl w:ilvl="8" w:tplc="0B088F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9E7B1C"/>
    <w:multiLevelType w:val="hybridMultilevel"/>
    <w:tmpl w:val="B338DACA"/>
    <w:lvl w:ilvl="0" w:tplc="17EE5B38">
      <w:start w:val="1"/>
      <w:numFmt w:val="bullet"/>
      <w:lvlText w:val=""/>
      <w:lvlJc w:val="left"/>
      <w:pPr>
        <w:ind w:left="720" w:hanging="360"/>
      </w:pPr>
      <w:rPr>
        <w:rFonts w:ascii="Symbol" w:hAnsi="Symbol" w:hint="default"/>
      </w:rPr>
    </w:lvl>
    <w:lvl w:ilvl="1" w:tplc="E9E44D48">
      <w:start w:val="1"/>
      <w:numFmt w:val="bullet"/>
      <w:lvlText w:val="o"/>
      <w:lvlJc w:val="left"/>
      <w:pPr>
        <w:ind w:left="1440" w:hanging="360"/>
      </w:pPr>
      <w:rPr>
        <w:rFonts w:ascii="Courier New" w:hAnsi="Courier New" w:hint="default"/>
      </w:rPr>
    </w:lvl>
    <w:lvl w:ilvl="2" w:tplc="17BE3CEC">
      <w:start w:val="1"/>
      <w:numFmt w:val="bullet"/>
      <w:lvlText w:val=""/>
      <w:lvlJc w:val="left"/>
      <w:pPr>
        <w:ind w:left="2160" w:hanging="360"/>
      </w:pPr>
      <w:rPr>
        <w:rFonts w:ascii="Wingdings" w:hAnsi="Wingdings" w:hint="default"/>
      </w:rPr>
    </w:lvl>
    <w:lvl w:ilvl="3" w:tplc="7D7A2C6C">
      <w:start w:val="1"/>
      <w:numFmt w:val="bullet"/>
      <w:lvlText w:val=""/>
      <w:lvlJc w:val="left"/>
      <w:pPr>
        <w:ind w:left="2880" w:hanging="360"/>
      </w:pPr>
      <w:rPr>
        <w:rFonts w:ascii="Symbol" w:hAnsi="Symbol" w:hint="default"/>
      </w:rPr>
    </w:lvl>
    <w:lvl w:ilvl="4" w:tplc="B85C1418">
      <w:start w:val="1"/>
      <w:numFmt w:val="bullet"/>
      <w:lvlText w:val="o"/>
      <w:lvlJc w:val="left"/>
      <w:pPr>
        <w:ind w:left="3600" w:hanging="360"/>
      </w:pPr>
      <w:rPr>
        <w:rFonts w:ascii="Courier New" w:hAnsi="Courier New" w:hint="default"/>
      </w:rPr>
    </w:lvl>
    <w:lvl w:ilvl="5" w:tplc="43CC5850">
      <w:start w:val="1"/>
      <w:numFmt w:val="bullet"/>
      <w:lvlText w:val=""/>
      <w:lvlJc w:val="left"/>
      <w:pPr>
        <w:ind w:left="4320" w:hanging="360"/>
      </w:pPr>
      <w:rPr>
        <w:rFonts w:ascii="Wingdings" w:hAnsi="Wingdings" w:hint="default"/>
      </w:rPr>
    </w:lvl>
    <w:lvl w:ilvl="6" w:tplc="7CC2A928">
      <w:start w:val="1"/>
      <w:numFmt w:val="bullet"/>
      <w:lvlText w:val=""/>
      <w:lvlJc w:val="left"/>
      <w:pPr>
        <w:ind w:left="5040" w:hanging="360"/>
      </w:pPr>
      <w:rPr>
        <w:rFonts w:ascii="Symbol" w:hAnsi="Symbol" w:hint="default"/>
      </w:rPr>
    </w:lvl>
    <w:lvl w:ilvl="7" w:tplc="F302318C">
      <w:start w:val="1"/>
      <w:numFmt w:val="bullet"/>
      <w:lvlText w:val="o"/>
      <w:lvlJc w:val="left"/>
      <w:pPr>
        <w:ind w:left="5760" w:hanging="360"/>
      </w:pPr>
      <w:rPr>
        <w:rFonts w:ascii="Courier New" w:hAnsi="Courier New" w:hint="default"/>
      </w:rPr>
    </w:lvl>
    <w:lvl w:ilvl="8" w:tplc="1C2066F4">
      <w:start w:val="1"/>
      <w:numFmt w:val="bullet"/>
      <w:lvlText w:val=""/>
      <w:lvlJc w:val="left"/>
      <w:pPr>
        <w:ind w:left="6480" w:hanging="360"/>
      </w:pPr>
      <w:rPr>
        <w:rFonts w:ascii="Wingdings" w:hAnsi="Wingdings" w:hint="default"/>
      </w:rPr>
    </w:lvl>
  </w:abstractNum>
  <w:abstractNum w:abstractNumId="8" w15:restartNumberingAfterBreak="0">
    <w:nsid w:val="71B35B35"/>
    <w:multiLevelType w:val="hybridMultilevel"/>
    <w:tmpl w:val="A75263AE"/>
    <w:lvl w:ilvl="0" w:tplc="9CB6639E">
      <w:start w:val="1"/>
      <w:numFmt w:val="bullet"/>
      <w:lvlText w:val=""/>
      <w:lvlJc w:val="left"/>
      <w:pPr>
        <w:ind w:left="720" w:hanging="360"/>
      </w:pPr>
      <w:rPr>
        <w:rFonts w:ascii="Symbol" w:hAnsi="Symbol" w:hint="default"/>
      </w:rPr>
    </w:lvl>
    <w:lvl w:ilvl="1" w:tplc="2B70B4C6">
      <w:start w:val="1"/>
      <w:numFmt w:val="bullet"/>
      <w:lvlText w:val="o"/>
      <w:lvlJc w:val="left"/>
      <w:pPr>
        <w:ind w:left="1440" w:hanging="360"/>
      </w:pPr>
      <w:rPr>
        <w:rFonts w:ascii="Courier New" w:hAnsi="Courier New" w:hint="default"/>
      </w:rPr>
    </w:lvl>
    <w:lvl w:ilvl="2" w:tplc="C55253B8">
      <w:start w:val="1"/>
      <w:numFmt w:val="bullet"/>
      <w:lvlText w:val=""/>
      <w:lvlJc w:val="left"/>
      <w:pPr>
        <w:ind w:left="2160" w:hanging="360"/>
      </w:pPr>
      <w:rPr>
        <w:rFonts w:ascii="Wingdings" w:hAnsi="Wingdings" w:hint="default"/>
      </w:rPr>
    </w:lvl>
    <w:lvl w:ilvl="3" w:tplc="43C89DC4">
      <w:start w:val="1"/>
      <w:numFmt w:val="bullet"/>
      <w:lvlText w:val=""/>
      <w:lvlJc w:val="left"/>
      <w:pPr>
        <w:ind w:left="2880" w:hanging="360"/>
      </w:pPr>
      <w:rPr>
        <w:rFonts w:ascii="Symbol" w:hAnsi="Symbol" w:hint="default"/>
      </w:rPr>
    </w:lvl>
    <w:lvl w:ilvl="4" w:tplc="DB0E6566">
      <w:start w:val="1"/>
      <w:numFmt w:val="bullet"/>
      <w:lvlText w:val="o"/>
      <w:lvlJc w:val="left"/>
      <w:pPr>
        <w:ind w:left="3600" w:hanging="360"/>
      </w:pPr>
      <w:rPr>
        <w:rFonts w:ascii="Courier New" w:hAnsi="Courier New" w:hint="default"/>
      </w:rPr>
    </w:lvl>
    <w:lvl w:ilvl="5" w:tplc="983A567C">
      <w:start w:val="1"/>
      <w:numFmt w:val="bullet"/>
      <w:lvlText w:val=""/>
      <w:lvlJc w:val="left"/>
      <w:pPr>
        <w:ind w:left="4320" w:hanging="360"/>
      </w:pPr>
      <w:rPr>
        <w:rFonts w:ascii="Wingdings" w:hAnsi="Wingdings" w:hint="default"/>
      </w:rPr>
    </w:lvl>
    <w:lvl w:ilvl="6" w:tplc="60367916">
      <w:start w:val="1"/>
      <w:numFmt w:val="bullet"/>
      <w:lvlText w:val=""/>
      <w:lvlJc w:val="left"/>
      <w:pPr>
        <w:ind w:left="5040" w:hanging="360"/>
      </w:pPr>
      <w:rPr>
        <w:rFonts w:ascii="Symbol" w:hAnsi="Symbol" w:hint="default"/>
      </w:rPr>
    </w:lvl>
    <w:lvl w:ilvl="7" w:tplc="BE18451E">
      <w:start w:val="1"/>
      <w:numFmt w:val="bullet"/>
      <w:lvlText w:val="o"/>
      <w:lvlJc w:val="left"/>
      <w:pPr>
        <w:ind w:left="5760" w:hanging="360"/>
      </w:pPr>
      <w:rPr>
        <w:rFonts w:ascii="Courier New" w:hAnsi="Courier New" w:hint="default"/>
      </w:rPr>
    </w:lvl>
    <w:lvl w:ilvl="8" w:tplc="EBAE031C">
      <w:start w:val="1"/>
      <w:numFmt w:val="bullet"/>
      <w:lvlText w:val=""/>
      <w:lvlJc w:val="left"/>
      <w:pPr>
        <w:ind w:left="6480" w:hanging="360"/>
      </w:pPr>
      <w:rPr>
        <w:rFonts w:ascii="Wingdings" w:hAnsi="Wingdings" w:hint="default"/>
      </w:rPr>
    </w:lvl>
  </w:abstractNum>
  <w:abstractNum w:abstractNumId="9" w15:restartNumberingAfterBreak="0">
    <w:nsid w:val="76421C46"/>
    <w:multiLevelType w:val="multilevel"/>
    <w:tmpl w:val="9D1C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E4F1F"/>
    <w:multiLevelType w:val="hybridMultilevel"/>
    <w:tmpl w:val="2C4CE406"/>
    <w:lvl w:ilvl="0" w:tplc="4AA4C4D8">
      <w:start w:val="1"/>
      <w:numFmt w:val="bullet"/>
      <w:lvlText w:val=""/>
      <w:lvlJc w:val="left"/>
      <w:pPr>
        <w:ind w:left="720" w:hanging="360"/>
      </w:pPr>
      <w:rPr>
        <w:rFonts w:ascii="Symbol" w:hAnsi="Symbol" w:hint="default"/>
      </w:rPr>
    </w:lvl>
    <w:lvl w:ilvl="1" w:tplc="36ACBD80">
      <w:start w:val="1"/>
      <w:numFmt w:val="bullet"/>
      <w:lvlText w:val="o"/>
      <w:lvlJc w:val="left"/>
      <w:pPr>
        <w:ind w:left="1440" w:hanging="360"/>
      </w:pPr>
      <w:rPr>
        <w:rFonts w:ascii="Courier New" w:hAnsi="Courier New" w:hint="default"/>
      </w:rPr>
    </w:lvl>
    <w:lvl w:ilvl="2" w:tplc="472CB386">
      <w:start w:val="1"/>
      <w:numFmt w:val="bullet"/>
      <w:lvlText w:val=""/>
      <w:lvlJc w:val="left"/>
      <w:pPr>
        <w:ind w:left="2160" w:hanging="360"/>
      </w:pPr>
      <w:rPr>
        <w:rFonts w:ascii="Wingdings" w:hAnsi="Wingdings" w:hint="default"/>
      </w:rPr>
    </w:lvl>
    <w:lvl w:ilvl="3" w:tplc="B44074D4">
      <w:start w:val="1"/>
      <w:numFmt w:val="bullet"/>
      <w:lvlText w:val=""/>
      <w:lvlJc w:val="left"/>
      <w:pPr>
        <w:ind w:left="2880" w:hanging="360"/>
      </w:pPr>
      <w:rPr>
        <w:rFonts w:ascii="Symbol" w:hAnsi="Symbol" w:hint="default"/>
      </w:rPr>
    </w:lvl>
    <w:lvl w:ilvl="4" w:tplc="47641352">
      <w:start w:val="1"/>
      <w:numFmt w:val="bullet"/>
      <w:lvlText w:val="o"/>
      <w:lvlJc w:val="left"/>
      <w:pPr>
        <w:ind w:left="3600" w:hanging="360"/>
      </w:pPr>
      <w:rPr>
        <w:rFonts w:ascii="Courier New" w:hAnsi="Courier New" w:hint="default"/>
      </w:rPr>
    </w:lvl>
    <w:lvl w:ilvl="5" w:tplc="79449250">
      <w:start w:val="1"/>
      <w:numFmt w:val="bullet"/>
      <w:lvlText w:val=""/>
      <w:lvlJc w:val="left"/>
      <w:pPr>
        <w:ind w:left="4320" w:hanging="360"/>
      </w:pPr>
      <w:rPr>
        <w:rFonts w:ascii="Wingdings" w:hAnsi="Wingdings" w:hint="default"/>
      </w:rPr>
    </w:lvl>
    <w:lvl w:ilvl="6" w:tplc="9ACE3F7A">
      <w:start w:val="1"/>
      <w:numFmt w:val="bullet"/>
      <w:lvlText w:val=""/>
      <w:lvlJc w:val="left"/>
      <w:pPr>
        <w:ind w:left="5040" w:hanging="360"/>
      </w:pPr>
      <w:rPr>
        <w:rFonts w:ascii="Symbol" w:hAnsi="Symbol" w:hint="default"/>
      </w:rPr>
    </w:lvl>
    <w:lvl w:ilvl="7" w:tplc="960EFF1A">
      <w:start w:val="1"/>
      <w:numFmt w:val="bullet"/>
      <w:lvlText w:val="o"/>
      <w:lvlJc w:val="left"/>
      <w:pPr>
        <w:ind w:left="5760" w:hanging="360"/>
      </w:pPr>
      <w:rPr>
        <w:rFonts w:ascii="Courier New" w:hAnsi="Courier New" w:hint="default"/>
      </w:rPr>
    </w:lvl>
    <w:lvl w:ilvl="8" w:tplc="24ECEEDA">
      <w:start w:val="1"/>
      <w:numFmt w:val="bullet"/>
      <w:lvlText w:val=""/>
      <w:lvlJc w:val="left"/>
      <w:pPr>
        <w:ind w:left="6480" w:hanging="360"/>
      </w:pPr>
      <w:rPr>
        <w:rFonts w:ascii="Wingdings" w:hAnsi="Wingdings" w:hint="default"/>
      </w:rPr>
    </w:lvl>
  </w:abstractNum>
  <w:num w:numId="1" w16cid:durableId="1879200835">
    <w:abstractNumId w:val="0"/>
  </w:num>
  <w:num w:numId="2" w16cid:durableId="1750544353">
    <w:abstractNumId w:val="10"/>
  </w:num>
  <w:num w:numId="3" w16cid:durableId="603535700">
    <w:abstractNumId w:val="7"/>
  </w:num>
  <w:num w:numId="4" w16cid:durableId="1811173421">
    <w:abstractNumId w:val="8"/>
  </w:num>
  <w:num w:numId="5" w16cid:durableId="1837304748">
    <w:abstractNumId w:val="1"/>
  </w:num>
  <w:num w:numId="6" w16cid:durableId="232547729">
    <w:abstractNumId w:val="4"/>
  </w:num>
  <w:num w:numId="7" w16cid:durableId="425005269">
    <w:abstractNumId w:val="6"/>
  </w:num>
  <w:num w:numId="8" w16cid:durableId="676923759">
    <w:abstractNumId w:val="2"/>
  </w:num>
  <w:num w:numId="9" w16cid:durableId="286090378">
    <w:abstractNumId w:val="9"/>
  </w:num>
  <w:num w:numId="10" w16cid:durableId="534272135">
    <w:abstractNumId w:val="5"/>
  </w:num>
  <w:num w:numId="11" w16cid:durableId="2078891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92"/>
    <w:rsid w:val="000115B7"/>
    <w:rsid w:val="00020799"/>
    <w:rsid w:val="000315E6"/>
    <w:rsid w:val="00032544"/>
    <w:rsid w:val="00087791"/>
    <w:rsid w:val="000A7457"/>
    <w:rsid w:val="000B56F7"/>
    <w:rsid w:val="000C38A7"/>
    <w:rsid w:val="000D2561"/>
    <w:rsid w:val="000E7A47"/>
    <w:rsid w:val="000F1A0B"/>
    <w:rsid w:val="00132CB5"/>
    <w:rsid w:val="00152B25"/>
    <w:rsid w:val="00160DC3"/>
    <w:rsid w:val="0017786E"/>
    <w:rsid w:val="001A04DA"/>
    <w:rsid w:val="001A4013"/>
    <w:rsid w:val="001D4FDC"/>
    <w:rsid w:val="001E042F"/>
    <w:rsid w:val="001E12AB"/>
    <w:rsid w:val="00216851"/>
    <w:rsid w:val="002350F5"/>
    <w:rsid w:val="002651FF"/>
    <w:rsid w:val="002974A4"/>
    <w:rsid w:val="002B0F81"/>
    <w:rsid w:val="002E0627"/>
    <w:rsid w:val="002E35D2"/>
    <w:rsid w:val="002E3C80"/>
    <w:rsid w:val="002E4C9C"/>
    <w:rsid w:val="00333DDC"/>
    <w:rsid w:val="00345ED9"/>
    <w:rsid w:val="00362F35"/>
    <w:rsid w:val="003638A1"/>
    <w:rsid w:val="00366AA1"/>
    <w:rsid w:val="00371F10"/>
    <w:rsid w:val="003805A3"/>
    <w:rsid w:val="00390780"/>
    <w:rsid w:val="003A348A"/>
    <w:rsid w:val="003C55E6"/>
    <w:rsid w:val="003C71B7"/>
    <w:rsid w:val="003D17D1"/>
    <w:rsid w:val="003F282C"/>
    <w:rsid w:val="004544DB"/>
    <w:rsid w:val="0046493B"/>
    <w:rsid w:val="00466819"/>
    <w:rsid w:val="004865A1"/>
    <w:rsid w:val="004A7992"/>
    <w:rsid w:val="004B4F33"/>
    <w:rsid w:val="004C01D4"/>
    <w:rsid w:val="0051454E"/>
    <w:rsid w:val="00534352"/>
    <w:rsid w:val="0055731C"/>
    <w:rsid w:val="00581E3F"/>
    <w:rsid w:val="005907FC"/>
    <w:rsid w:val="00597858"/>
    <w:rsid w:val="005E72D8"/>
    <w:rsid w:val="00603241"/>
    <w:rsid w:val="00614B04"/>
    <w:rsid w:val="00615A56"/>
    <w:rsid w:val="00617111"/>
    <w:rsid w:val="00627E10"/>
    <w:rsid w:val="0063760F"/>
    <w:rsid w:val="0065386F"/>
    <w:rsid w:val="0069623B"/>
    <w:rsid w:val="006A03E8"/>
    <w:rsid w:val="006B0F12"/>
    <w:rsid w:val="006B7882"/>
    <w:rsid w:val="006C1E62"/>
    <w:rsid w:val="006E5E50"/>
    <w:rsid w:val="006E6826"/>
    <w:rsid w:val="006F4AF9"/>
    <w:rsid w:val="00702A68"/>
    <w:rsid w:val="007133AC"/>
    <w:rsid w:val="00714779"/>
    <w:rsid w:val="00740DC4"/>
    <w:rsid w:val="007563D9"/>
    <w:rsid w:val="00774E10"/>
    <w:rsid w:val="00790597"/>
    <w:rsid w:val="0079586C"/>
    <w:rsid w:val="007B774C"/>
    <w:rsid w:val="007D6958"/>
    <w:rsid w:val="007D7D89"/>
    <w:rsid w:val="007F0BE1"/>
    <w:rsid w:val="00813247"/>
    <w:rsid w:val="00826ECF"/>
    <w:rsid w:val="00830989"/>
    <w:rsid w:val="00831865"/>
    <w:rsid w:val="0083290B"/>
    <w:rsid w:val="008337C9"/>
    <w:rsid w:val="00836039"/>
    <w:rsid w:val="00837577"/>
    <w:rsid w:val="00845283"/>
    <w:rsid w:val="00847E4B"/>
    <w:rsid w:val="008577E4"/>
    <w:rsid w:val="0087494A"/>
    <w:rsid w:val="00890318"/>
    <w:rsid w:val="00894BC1"/>
    <w:rsid w:val="00898A5B"/>
    <w:rsid w:val="008C11F8"/>
    <w:rsid w:val="008F0505"/>
    <w:rsid w:val="00911CB9"/>
    <w:rsid w:val="00936770"/>
    <w:rsid w:val="00964438"/>
    <w:rsid w:val="009647B2"/>
    <w:rsid w:val="00971248"/>
    <w:rsid w:val="00972EA1"/>
    <w:rsid w:val="00974495"/>
    <w:rsid w:val="00995AB1"/>
    <w:rsid w:val="00996BD3"/>
    <w:rsid w:val="009C1B77"/>
    <w:rsid w:val="009C2AD3"/>
    <w:rsid w:val="009F0177"/>
    <w:rsid w:val="00A00850"/>
    <w:rsid w:val="00A02538"/>
    <w:rsid w:val="00A1104A"/>
    <w:rsid w:val="00A2385F"/>
    <w:rsid w:val="00A90825"/>
    <w:rsid w:val="00A971E2"/>
    <w:rsid w:val="00A97DEB"/>
    <w:rsid w:val="00AB2EA2"/>
    <w:rsid w:val="00AC7802"/>
    <w:rsid w:val="00AD3C0A"/>
    <w:rsid w:val="00AD49D0"/>
    <w:rsid w:val="00AE2709"/>
    <w:rsid w:val="00AE5ED6"/>
    <w:rsid w:val="00AF2E9E"/>
    <w:rsid w:val="00B03F22"/>
    <w:rsid w:val="00B26E8D"/>
    <w:rsid w:val="00B5799E"/>
    <w:rsid w:val="00B84585"/>
    <w:rsid w:val="00B84C4D"/>
    <w:rsid w:val="00B87F25"/>
    <w:rsid w:val="00B9624B"/>
    <w:rsid w:val="00BB1508"/>
    <w:rsid w:val="00BB341A"/>
    <w:rsid w:val="00BB7F51"/>
    <w:rsid w:val="00BD0EF1"/>
    <w:rsid w:val="00C1619D"/>
    <w:rsid w:val="00C46C50"/>
    <w:rsid w:val="00C62298"/>
    <w:rsid w:val="00C80B3F"/>
    <w:rsid w:val="00C8637F"/>
    <w:rsid w:val="00C94561"/>
    <w:rsid w:val="00CB1FB4"/>
    <w:rsid w:val="00CC22DE"/>
    <w:rsid w:val="00CE1AB8"/>
    <w:rsid w:val="00CF14AF"/>
    <w:rsid w:val="00D16ECC"/>
    <w:rsid w:val="00D5215F"/>
    <w:rsid w:val="00D60CB5"/>
    <w:rsid w:val="00D61F24"/>
    <w:rsid w:val="00D92B8A"/>
    <w:rsid w:val="00DA41FB"/>
    <w:rsid w:val="00DB3809"/>
    <w:rsid w:val="00DC6149"/>
    <w:rsid w:val="00DF6279"/>
    <w:rsid w:val="00DF6711"/>
    <w:rsid w:val="00E52D93"/>
    <w:rsid w:val="00E67D5F"/>
    <w:rsid w:val="00E84729"/>
    <w:rsid w:val="00E8522E"/>
    <w:rsid w:val="00EA7DE8"/>
    <w:rsid w:val="00EB496C"/>
    <w:rsid w:val="00EC0BD0"/>
    <w:rsid w:val="00ED7A4F"/>
    <w:rsid w:val="00EE1382"/>
    <w:rsid w:val="00EE30C7"/>
    <w:rsid w:val="00F02B92"/>
    <w:rsid w:val="00F148F9"/>
    <w:rsid w:val="00F50A41"/>
    <w:rsid w:val="00F53C8A"/>
    <w:rsid w:val="00F557BC"/>
    <w:rsid w:val="00F55BDD"/>
    <w:rsid w:val="00FA38B7"/>
    <w:rsid w:val="00FB6F6E"/>
    <w:rsid w:val="00FB7BE4"/>
    <w:rsid w:val="00FF585A"/>
    <w:rsid w:val="0143C0D3"/>
    <w:rsid w:val="015EE8B8"/>
    <w:rsid w:val="01AB8780"/>
    <w:rsid w:val="02523228"/>
    <w:rsid w:val="029D9502"/>
    <w:rsid w:val="035816E9"/>
    <w:rsid w:val="042F2A9D"/>
    <w:rsid w:val="0430729E"/>
    <w:rsid w:val="043431FA"/>
    <w:rsid w:val="04A1AD36"/>
    <w:rsid w:val="0510A634"/>
    <w:rsid w:val="052B7886"/>
    <w:rsid w:val="058807CA"/>
    <w:rsid w:val="05FE223C"/>
    <w:rsid w:val="061F0794"/>
    <w:rsid w:val="06405BE5"/>
    <w:rsid w:val="0666CB46"/>
    <w:rsid w:val="06706638"/>
    <w:rsid w:val="06797ED1"/>
    <w:rsid w:val="069D55E0"/>
    <w:rsid w:val="06A826D3"/>
    <w:rsid w:val="06C4B051"/>
    <w:rsid w:val="06E84C8C"/>
    <w:rsid w:val="06F080C0"/>
    <w:rsid w:val="070DE18A"/>
    <w:rsid w:val="07595623"/>
    <w:rsid w:val="07852F4A"/>
    <w:rsid w:val="07CF9F37"/>
    <w:rsid w:val="07F9AEDD"/>
    <w:rsid w:val="08B0AFDB"/>
    <w:rsid w:val="08DE0480"/>
    <w:rsid w:val="09B447A6"/>
    <w:rsid w:val="09DCBDC2"/>
    <w:rsid w:val="0AA5343D"/>
    <w:rsid w:val="0ADB22FB"/>
    <w:rsid w:val="0AE89C96"/>
    <w:rsid w:val="0B058097"/>
    <w:rsid w:val="0B3A49C8"/>
    <w:rsid w:val="0B7882AE"/>
    <w:rsid w:val="0BBFE05A"/>
    <w:rsid w:val="0C47D862"/>
    <w:rsid w:val="0DF2DA17"/>
    <w:rsid w:val="0E1B2CF9"/>
    <w:rsid w:val="0EEC75FE"/>
    <w:rsid w:val="0F41410E"/>
    <w:rsid w:val="0F49B5CD"/>
    <w:rsid w:val="0F4C59CA"/>
    <w:rsid w:val="0F6E4291"/>
    <w:rsid w:val="0F864C29"/>
    <w:rsid w:val="0FCB4316"/>
    <w:rsid w:val="0FE59441"/>
    <w:rsid w:val="0FECBE91"/>
    <w:rsid w:val="104D5086"/>
    <w:rsid w:val="10712A67"/>
    <w:rsid w:val="1081F069"/>
    <w:rsid w:val="10B2F414"/>
    <w:rsid w:val="1101CCE7"/>
    <w:rsid w:val="11360566"/>
    <w:rsid w:val="11B35736"/>
    <w:rsid w:val="11C64BA7"/>
    <w:rsid w:val="11D64725"/>
    <w:rsid w:val="11F174A8"/>
    <w:rsid w:val="123D5440"/>
    <w:rsid w:val="125DAA05"/>
    <w:rsid w:val="1284757F"/>
    <w:rsid w:val="131FBCBF"/>
    <w:rsid w:val="13EEC104"/>
    <w:rsid w:val="13F2103F"/>
    <w:rsid w:val="13F29BC5"/>
    <w:rsid w:val="145C02BE"/>
    <w:rsid w:val="147478FF"/>
    <w:rsid w:val="156EFCAD"/>
    <w:rsid w:val="157E5DFD"/>
    <w:rsid w:val="1604B4CA"/>
    <w:rsid w:val="162F1644"/>
    <w:rsid w:val="163842F9"/>
    <w:rsid w:val="165323BC"/>
    <w:rsid w:val="16B5D9A5"/>
    <w:rsid w:val="16BC7DE6"/>
    <w:rsid w:val="17268F95"/>
    <w:rsid w:val="177B8824"/>
    <w:rsid w:val="177FDD32"/>
    <w:rsid w:val="1809B333"/>
    <w:rsid w:val="18220443"/>
    <w:rsid w:val="189333E6"/>
    <w:rsid w:val="18CE5CA5"/>
    <w:rsid w:val="18E5359B"/>
    <w:rsid w:val="19813237"/>
    <w:rsid w:val="1A04E2A6"/>
    <w:rsid w:val="1A444067"/>
    <w:rsid w:val="1AF935D3"/>
    <w:rsid w:val="1B0B0679"/>
    <w:rsid w:val="1B54FC26"/>
    <w:rsid w:val="1BFC7E74"/>
    <w:rsid w:val="1BFCD982"/>
    <w:rsid w:val="1C02A37B"/>
    <w:rsid w:val="1C1FFC49"/>
    <w:rsid w:val="1C33F078"/>
    <w:rsid w:val="1D24E5E3"/>
    <w:rsid w:val="1D86F100"/>
    <w:rsid w:val="1D8973E5"/>
    <w:rsid w:val="1D9CD853"/>
    <w:rsid w:val="1DD67AB0"/>
    <w:rsid w:val="1DDA546B"/>
    <w:rsid w:val="1DF753FD"/>
    <w:rsid w:val="1E36AE28"/>
    <w:rsid w:val="1E4BEA20"/>
    <w:rsid w:val="1F11313B"/>
    <w:rsid w:val="1F46C8F6"/>
    <w:rsid w:val="1F56914A"/>
    <w:rsid w:val="20E4F859"/>
    <w:rsid w:val="2118A3AC"/>
    <w:rsid w:val="2195C6A1"/>
    <w:rsid w:val="2216A784"/>
    <w:rsid w:val="2238C84F"/>
    <w:rsid w:val="22F63E77"/>
    <w:rsid w:val="22FEC3DC"/>
    <w:rsid w:val="231977AA"/>
    <w:rsid w:val="23D12798"/>
    <w:rsid w:val="23F7730C"/>
    <w:rsid w:val="247F75F5"/>
    <w:rsid w:val="2486AA70"/>
    <w:rsid w:val="256E4F0B"/>
    <w:rsid w:val="257DE13C"/>
    <w:rsid w:val="259FAAA4"/>
    <w:rsid w:val="25BB3427"/>
    <w:rsid w:val="25CBCDC2"/>
    <w:rsid w:val="25F0294B"/>
    <w:rsid w:val="265CB535"/>
    <w:rsid w:val="26B49BE3"/>
    <w:rsid w:val="26D56835"/>
    <w:rsid w:val="27371751"/>
    <w:rsid w:val="280F3C27"/>
    <w:rsid w:val="282DB348"/>
    <w:rsid w:val="28655291"/>
    <w:rsid w:val="289F85FB"/>
    <w:rsid w:val="28E1632E"/>
    <w:rsid w:val="290A75DA"/>
    <w:rsid w:val="290D00D9"/>
    <w:rsid w:val="2939FADD"/>
    <w:rsid w:val="294622B6"/>
    <w:rsid w:val="297F2E2A"/>
    <w:rsid w:val="2A65DDA6"/>
    <w:rsid w:val="2B24B5F0"/>
    <w:rsid w:val="2B5754CE"/>
    <w:rsid w:val="2B5E760E"/>
    <w:rsid w:val="2B927894"/>
    <w:rsid w:val="2BF88AE8"/>
    <w:rsid w:val="2C2B4994"/>
    <w:rsid w:val="2C5C4347"/>
    <w:rsid w:val="2C660EB1"/>
    <w:rsid w:val="2C89E07D"/>
    <w:rsid w:val="2C9602B2"/>
    <w:rsid w:val="2C99E983"/>
    <w:rsid w:val="2CC5DBDB"/>
    <w:rsid w:val="2CCCB249"/>
    <w:rsid w:val="2CF1926A"/>
    <w:rsid w:val="2D315511"/>
    <w:rsid w:val="2DB75CE7"/>
    <w:rsid w:val="2E072F80"/>
    <w:rsid w:val="2E390D6D"/>
    <w:rsid w:val="2E987415"/>
    <w:rsid w:val="2EA8E0DA"/>
    <w:rsid w:val="2EEE1A93"/>
    <w:rsid w:val="2F71310E"/>
    <w:rsid w:val="2F92B77C"/>
    <w:rsid w:val="31165E0C"/>
    <w:rsid w:val="32B4C619"/>
    <w:rsid w:val="32FB02AA"/>
    <w:rsid w:val="338EDFF4"/>
    <w:rsid w:val="34799693"/>
    <w:rsid w:val="34BD2707"/>
    <w:rsid w:val="34DE8633"/>
    <w:rsid w:val="34F75ABA"/>
    <w:rsid w:val="34F8B676"/>
    <w:rsid w:val="35178AB1"/>
    <w:rsid w:val="3536CC38"/>
    <w:rsid w:val="356269D5"/>
    <w:rsid w:val="3587EBDC"/>
    <w:rsid w:val="3596C525"/>
    <w:rsid w:val="359CB0F7"/>
    <w:rsid w:val="35A84D7D"/>
    <w:rsid w:val="35B0009B"/>
    <w:rsid w:val="35FB7D78"/>
    <w:rsid w:val="3605B02C"/>
    <w:rsid w:val="36121A16"/>
    <w:rsid w:val="36D8803D"/>
    <w:rsid w:val="375E59B3"/>
    <w:rsid w:val="3770836C"/>
    <w:rsid w:val="3770E5B6"/>
    <w:rsid w:val="37C7E5D4"/>
    <w:rsid w:val="390EDBF4"/>
    <w:rsid w:val="395E5CE8"/>
    <w:rsid w:val="39D0C141"/>
    <w:rsid w:val="3A126BF3"/>
    <w:rsid w:val="3AB10C02"/>
    <w:rsid w:val="3AD1DC52"/>
    <w:rsid w:val="3AD9B5A3"/>
    <w:rsid w:val="3ADC7FE0"/>
    <w:rsid w:val="3B3D29B5"/>
    <w:rsid w:val="3B48E61B"/>
    <w:rsid w:val="3B891145"/>
    <w:rsid w:val="3B8C9BDB"/>
    <w:rsid w:val="3BF950E1"/>
    <w:rsid w:val="3C0BD9DD"/>
    <w:rsid w:val="3C0DDDA7"/>
    <w:rsid w:val="3C236D79"/>
    <w:rsid w:val="3D39777F"/>
    <w:rsid w:val="3D57D2D3"/>
    <w:rsid w:val="3D780AFE"/>
    <w:rsid w:val="3DBA79B0"/>
    <w:rsid w:val="3DBB060A"/>
    <w:rsid w:val="3DCF1111"/>
    <w:rsid w:val="3DD50C6C"/>
    <w:rsid w:val="3DF19D16"/>
    <w:rsid w:val="3E73F9BB"/>
    <w:rsid w:val="3E91014D"/>
    <w:rsid w:val="3EA0BABE"/>
    <w:rsid w:val="3F07DC21"/>
    <w:rsid w:val="3F22EAB1"/>
    <w:rsid w:val="3F2F77C3"/>
    <w:rsid w:val="3F5D9EE4"/>
    <w:rsid w:val="3FD5C943"/>
    <w:rsid w:val="3FEE845F"/>
    <w:rsid w:val="3FF25850"/>
    <w:rsid w:val="407F430C"/>
    <w:rsid w:val="40C8CCC8"/>
    <w:rsid w:val="4139112A"/>
    <w:rsid w:val="4153F326"/>
    <w:rsid w:val="41AC31D8"/>
    <w:rsid w:val="41CE5636"/>
    <w:rsid w:val="427EA5BA"/>
    <w:rsid w:val="427ED408"/>
    <w:rsid w:val="42F70DEC"/>
    <w:rsid w:val="4312BB62"/>
    <w:rsid w:val="4357A104"/>
    <w:rsid w:val="43AEEFB1"/>
    <w:rsid w:val="43B0AC46"/>
    <w:rsid w:val="43B38F42"/>
    <w:rsid w:val="44B20F55"/>
    <w:rsid w:val="451F1D1D"/>
    <w:rsid w:val="457F96FD"/>
    <w:rsid w:val="45C0B696"/>
    <w:rsid w:val="45CB3E7A"/>
    <w:rsid w:val="45CF7E6F"/>
    <w:rsid w:val="45D1BA45"/>
    <w:rsid w:val="462DDEF2"/>
    <w:rsid w:val="46565F0C"/>
    <w:rsid w:val="466D6FB8"/>
    <w:rsid w:val="46D7B5B9"/>
    <w:rsid w:val="47247A7A"/>
    <w:rsid w:val="47517EDD"/>
    <w:rsid w:val="4757A5D4"/>
    <w:rsid w:val="475BC16C"/>
    <w:rsid w:val="48228EA1"/>
    <w:rsid w:val="48416F72"/>
    <w:rsid w:val="487117B2"/>
    <w:rsid w:val="48952DFD"/>
    <w:rsid w:val="48D8FBF0"/>
    <w:rsid w:val="49417818"/>
    <w:rsid w:val="494A43E3"/>
    <w:rsid w:val="4955E508"/>
    <w:rsid w:val="497EC7F4"/>
    <w:rsid w:val="49B754D7"/>
    <w:rsid w:val="49BCF049"/>
    <w:rsid w:val="4A1C4C6E"/>
    <w:rsid w:val="4A424D58"/>
    <w:rsid w:val="4A7646AB"/>
    <w:rsid w:val="4A77402F"/>
    <w:rsid w:val="4B5B2A35"/>
    <w:rsid w:val="4B8E029D"/>
    <w:rsid w:val="4B94EB98"/>
    <w:rsid w:val="4BDA7A89"/>
    <w:rsid w:val="4BDBE302"/>
    <w:rsid w:val="4BE13A5F"/>
    <w:rsid w:val="4C5B0CA4"/>
    <w:rsid w:val="4CC8EF5C"/>
    <w:rsid w:val="4D737EB9"/>
    <w:rsid w:val="4E331225"/>
    <w:rsid w:val="4E3B02E2"/>
    <w:rsid w:val="4E4795AD"/>
    <w:rsid w:val="4E9B863E"/>
    <w:rsid w:val="4F312883"/>
    <w:rsid w:val="4F747188"/>
    <w:rsid w:val="4F8DC063"/>
    <w:rsid w:val="4F926BCE"/>
    <w:rsid w:val="4FE2E8CD"/>
    <w:rsid w:val="50869F97"/>
    <w:rsid w:val="50E782D2"/>
    <w:rsid w:val="5108FF28"/>
    <w:rsid w:val="51796F8B"/>
    <w:rsid w:val="51A31226"/>
    <w:rsid w:val="5253E654"/>
    <w:rsid w:val="5296571A"/>
    <w:rsid w:val="530170E9"/>
    <w:rsid w:val="5321E3F9"/>
    <w:rsid w:val="533501CD"/>
    <w:rsid w:val="53494E06"/>
    <w:rsid w:val="542DA215"/>
    <w:rsid w:val="5454165D"/>
    <w:rsid w:val="54599E3C"/>
    <w:rsid w:val="5467BF06"/>
    <w:rsid w:val="54A295D7"/>
    <w:rsid w:val="5537FBFF"/>
    <w:rsid w:val="5549E804"/>
    <w:rsid w:val="55AF7933"/>
    <w:rsid w:val="566D4AD4"/>
    <w:rsid w:val="56841203"/>
    <w:rsid w:val="5686A3CD"/>
    <w:rsid w:val="56AEB58E"/>
    <w:rsid w:val="56F6F1A5"/>
    <w:rsid w:val="57209953"/>
    <w:rsid w:val="57452158"/>
    <w:rsid w:val="576BB9E4"/>
    <w:rsid w:val="57B48269"/>
    <w:rsid w:val="5803B950"/>
    <w:rsid w:val="586CD0D1"/>
    <w:rsid w:val="587F4ACB"/>
    <w:rsid w:val="5895C336"/>
    <w:rsid w:val="58E1E395"/>
    <w:rsid w:val="590F6850"/>
    <w:rsid w:val="593EBABD"/>
    <w:rsid w:val="59829D68"/>
    <w:rsid w:val="5A0FA629"/>
    <w:rsid w:val="5A63EF5A"/>
    <w:rsid w:val="5B85B15D"/>
    <w:rsid w:val="5BA9325B"/>
    <w:rsid w:val="5BB5F9FB"/>
    <w:rsid w:val="5C606FCA"/>
    <w:rsid w:val="5CAC9D11"/>
    <w:rsid w:val="5CBC8A5D"/>
    <w:rsid w:val="5CD396EC"/>
    <w:rsid w:val="5CF47170"/>
    <w:rsid w:val="5D001B5E"/>
    <w:rsid w:val="5D86B608"/>
    <w:rsid w:val="5D942277"/>
    <w:rsid w:val="5D9C22FB"/>
    <w:rsid w:val="5DC99C9F"/>
    <w:rsid w:val="5DCFF273"/>
    <w:rsid w:val="5DFEFFA3"/>
    <w:rsid w:val="5E5C2D1B"/>
    <w:rsid w:val="5E8F7EF9"/>
    <w:rsid w:val="5FA20A7E"/>
    <w:rsid w:val="60985B45"/>
    <w:rsid w:val="60EA34AA"/>
    <w:rsid w:val="61496D1F"/>
    <w:rsid w:val="617AA32F"/>
    <w:rsid w:val="619299F1"/>
    <w:rsid w:val="619E4ECC"/>
    <w:rsid w:val="61ADD586"/>
    <w:rsid w:val="6217D32E"/>
    <w:rsid w:val="62289DED"/>
    <w:rsid w:val="623FF94E"/>
    <w:rsid w:val="629B449B"/>
    <w:rsid w:val="63960AAB"/>
    <w:rsid w:val="63D09BA9"/>
    <w:rsid w:val="6489D4E0"/>
    <w:rsid w:val="6497FD8B"/>
    <w:rsid w:val="64F23D66"/>
    <w:rsid w:val="65BBC3E6"/>
    <w:rsid w:val="6632CE05"/>
    <w:rsid w:val="666AEF0C"/>
    <w:rsid w:val="66F6DEAB"/>
    <w:rsid w:val="6712B21B"/>
    <w:rsid w:val="678D7134"/>
    <w:rsid w:val="686C115E"/>
    <w:rsid w:val="68990046"/>
    <w:rsid w:val="691898F8"/>
    <w:rsid w:val="69597572"/>
    <w:rsid w:val="69C898EB"/>
    <w:rsid w:val="6A24827D"/>
    <w:rsid w:val="6A51FA60"/>
    <w:rsid w:val="6A668135"/>
    <w:rsid w:val="6AA7B206"/>
    <w:rsid w:val="6B2AE678"/>
    <w:rsid w:val="6B636570"/>
    <w:rsid w:val="6BD7C908"/>
    <w:rsid w:val="6BE4CBCA"/>
    <w:rsid w:val="6CC5B946"/>
    <w:rsid w:val="6D1DF16B"/>
    <w:rsid w:val="6DABA00F"/>
    <w:rsid w:val="6E35197C"/>
    <w:rsid w:val="6EA779D7"/>
    <w:rsid w:val="6F336505"/>
    <w:rsid w:val="709ED1B3"/>
    <w:rsid w:val="70AB7E73"/>
    <w:rsid w:val="70CF252A"/>
    <w:rsid w:val="70D63EB0"/>
    <w:rsid w:val="70F5E918"/>
    <w:rsid w:val="7101D604"/>
    <w:rsid w:val="7186C342"/>
    <w:rsid w:val="71A2D823"/>
    <w:rsid w:val="72044DFD"/>
    <w:rsid w:val="72D2B90F"/>
    <w:rsid w:val="72E91D4C"/>
    <w:rsid w:val="7351DF9A"/>
    <w:rsid w:val="7379F4FE"/>
    <w:rsid w:val="7476EF2C"/>
    <w:rsid w:val="7486D3B2"/>
    <w:rsid w:val="74968539"/>
    <w:rsid w:val="74B2D72E"/>
    <w:rsid w:val="74B593F3"/>
    <w:rsid w:val="74E9E59B"/>
    <w:rsid w:val="752A6D5F"/>
    <w:rsid w:val="75A80EF4"/>
    <w:rsid w:val="760D769A"/>
    <w:rsid w:val="761DE33F"/>
    <w:rsid w:val="769C7B94"/>
    <w:rsid w:val="769F93F4"/>
    <w:rsid w:val="76A15C9E"/>
    <w:rsid w:val="76F82317"/>
    <w:rsid w:val="76FE68AB"/>
    <w:rsid w:val="77325AD0"/>
    <w:rsid w:val="77492869"/>
    <w:rsid w:val="77A14CB0"/>
    <w:rsid w:val="77F2F284"/>
    <w:rsid w:val="780E09CD"/>
    <w:rsid w:val="784F986F"/>
    <w:rsid w:val="7883F426"/>
    <w:rsid w:val="798CE269"/>
    <w:rsid w:val="799A35CA"/>
    <w:rsid w:val="7A50E65F"/>
    <w:rsid w:val="7A650A14"/>
    <w:rsid w:val="7AC2914B"/>
    <w:rsid w:val="7B686233"/>
    <w:rsid w:val="7B9DE966"/>
    <w:rsid w:val="7BB1BD32"/>
    <w:rsid w:val="7BBE189B"/>
    <w:rsid w:val="7BCE1A90"/>
    <w:rsid w:val="7D0B6D8B"/>
    <w:rsid w:val="7D42A641"/>
    <w:rsid w:val="7D7F6857"/>
    <w:rsid w:val="7DABA99C"/>
    <w:rsid w:val="7E623D68"/>
    <w:rsid w:val="7ECC9AE6"/>
    <w:rsid w:val="7F42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C00CA"/>
  <w15:chartTrackingRefBased/>
  <w15:docId w15:val="{24E7ABBD-27DF-4F92-9477-26D52F18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9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A7992"/>
    <w:pPr>
      <w:spacing w:after="0" w:line="240" w:lineRule="auto"/>
      <w:ind w:left="720"/>
      <w:contextualSpacing/>
    </w:pPr>
    <w:rPr>
      <w:rFonts w:ascii="Times New Roman" w:eastAsia="Times New Roman" w:hAnsi="Times New Roman" w:cs="Times New Roman"/>
      <w:sz w:val="24"/>
      <w:szCs w:val="24"/>
      <w:lang w:eastAsia="en-AU"/>
    </w:rPr>
  </w:style>
  <w:style w:type="paragraph" w:styleId="Revision">
    <w:name w:val="Revision"/>
    <w:hidden/>
    <w:uiPriority w:val="99"/>
    <w:semiHidden/>
    <w:rsid w:val="004B4F33"/>
    <w:pPr>
      <w:spacing w:after="0" w:line="240" w:lineRule="auto"/>
    </w:pPr>
  </w:style>
  <w:style w:type="character" w:styleId="CommentReference">
    <w:name w:val="annotation reference"/>
    <w:basedOn w:val="DefaultParagraphFont"/>
    <w:uiPriority w:val="99"/>
    <w:semiHidden/>
    <w:unhideWhenUsed/>
    <w:rsid w:val="00830989"/>
    <w:rPr>
      <w:sz w:val="16"/>
      <w:szCs w:val="16"/>
    </w:rPr>
  </w:style>
  <w:style w:type="paragraph" w:styleId="CommentText">
    <w:name w:val="annotation text"/>
    <w:basedOn w:val="Normal"/>
    <w:link w:val="CommentTextChar"/>
    <w:uiPriority w:val="99"/>
    <w:unhideWhenUsed/>
    <w:rsid w:val="00830989"/>
    <w:pPr>
      <w:spacing w:line="240" w:lineRule="auto"/>
    </w:pPr>
    <w:rPr>
      <w:sz w:val="20"/>
      <w:szCs w:val="20"/>
    </w:rPr>
  </w:style>
  <w:style w:type="character" w:customStyle="1" w:styleId="CommentTextChar">
    <w:name w:val="Comment Text Char"/>
    <w:basedOn w:val="DefaultParagraphFont"/>
    <w:link w:val="CommentText"/>
    <w:uiPriority w:val="99"/>
    <w:rsid w:val="00830989"/>
    <w:rPr>
      <w:sz w:val="20"/>
      <w:szCs w:val="20"/>
    </w:rPr>
  </w:style>
  <w:style w:type="paragraph" w:styleId="CommentSubject">
    <w:name w:val="annotation subject"/>
    <w:basedOn w:val="CommentText"/>
    <w:next w:val="CommentText"/>
    <w:link w:val="CommentSubjectChar"/>
    <w:uiPriority w:val="99"/>
    <w:semiHidden/>
    <w:unhideWhenUsed/>
    <w:rsid w:val="00830989"/>
    <w:rPr>
      <w:b/>
      <w:bCs/>
    </w:rPr>
  </w:style>
  <w:style w:type="character" w:customStyle="1" w:styleId="CommentSubjectChar">
    <w:name w:val="Comment Subject Char"/>
    <w:basedOn w:val="CommentTextChar"/>
    <w:link w:val="CommentSubject"/>
    <w:uiPriority w:val="99"/>
    <w:semiHidden/>
    <w:rsid w:val="00830989"/>
    <w:rPr>
      <w:b/>
      <w:bCs/>
      <w:sz w:val="20"/>
      <w:szCs w:val="20"/>
    </w:rPr>
  </w:style>
  <w:style w:type="table" w:styleId="TableGrid">
    <w:name w:val="Table Grid"/>
    <w:basedOn w:val="TableNormal"/>
    <w:uiPriority w:val="59"/>
    <w:rsid w:val="002E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597"/>
    <w:rPr>
      <w:color w:val="0563C1" w:themeColor="hyperlink"/>
      <w:u w:val="single"/>
    </w:rPr>
  </w:style>
  <w:style w:type="character" w:styleId="UnresolvedMention">
    <w:name w:val="Unresolved Mention"/>
    <w:basedOn w:val="DefaultParagraphFont"/>
    <w:uiPriority w:val="99"/>
    <w:semiHidden/>
    <w:unhideWhenUsed/>
    <w:rsid w:val="00C8637F"/>
    <w:rPr>
      <w:color w:val="605E5C"/>
      <w:shd w:val="clear" w:color="auto" w:fill="E1DFDD"/>
    </w:rPr>
  </w:style>
  <w:style w:type="character" w:styleId="FollowedHyperlink">
    <w:name w:val="FollowedHyperlink"/>
    <w:basedOn w:val="DefaultParagraphFont"/>
    <w:uiPriority w:val="99"/>
    <w:semiHidden/>
    <w:unhideWhenUsed/>
    <w:rsid w:val="00C8637F"/>
    <w:rPr>
      <w:color w:val="0563C1" w:themeColor="followedHyperlink"/>
      <w:u w:val="single"/>
    </w:rPr>
  </w:style>
  <w:style w:type="paragraph" w:styleId="Header">
    <w:name w:val="header"/>
    <w:basedOn w:val="Normal"/>
    <w:uiPriority w:val="99"/>
    <w:unhideWhenUsed/>
    <w:rsid w:val="6B2AE678"/>
    <w:pPr>
      <w:tabs>
        <w:tab w:val="center" w:pos="4680"/>
        <w:tab w:val="right" w:pos="9360"/>
      </w:tabs>
      <w:spacing w:after="0" w:line="240" w:lineRule="auto"/>
    </w:pPr>
  </w:style>
  <w:style w:type="paragraph" w:styleId="Footer">
    <w:name w:val="footer"/>
    <w:basedOn w:val="Normal"/>
    <w:link w:val="FooterChar"/>
    <w:uiPriority w:val="99"/>
    <w:unhideWhenUsed/>
    <w:rsid w:val="6B2AE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320">
      <w:bodyDiv w:val="1"/>
      <w:marLeft w:val="0"/>
      <w:marRight w:val="0"/>
      <w:marTop w:val="0"/>
      <w:marBottom w:val="0"/>
      <w:divBdr>
        <w:top w:val="none" w:sz="0" w:space="0" w:color="auto"/>
        <w:left w:val="none" w:sz="0" w:space="0" w:color="auto"/>
        <w:bottom w:val="none" w:sz="0" w:space="0" w:color="auto"/>
        <w:right w:val="none" w:sz="0" w:space="0" w:color="auto"/>
      </w:divBdr>
    </w:div>
    <w:div w:id="43220186">
      <w:bodyDiv w:val="1"/>
      <w:marLeft w:val="0"/>
      <w:marRight w:val="0"/>
      <w:marTop w:val="0"/>
      <w:marBottom w:val="0"/>
      <w:divBdr>
        <w:top w:val="none" w:sz="0" w:space="0" w:color="auto"/>
        <w:left w:val="none" w:sz="0" w:space="0" w:color="auto"/>
        <w:bottom w:val="none" w:sz="0" w:space="0" w:color="auto"/>
        <w:right w:val="none" w:sz="0" w:space="0" w:color="auto"/>
      </w:divBdr>
    </w:div>
    <w:div w:id="56979378">
      <w:bodyDiv w:val="1"/>
      <w:marLeft w:val="0"/>
      <w:marRight w:val="0"/>
      <w:marTop w:val="0"/>
      <w:marBottom w:val="0"/>
      <w:divBdr>
        <w:top w:val="none" w:sz="0" w:space="0" w:color="auto"/>
        <w:left w:val="none" w:sz="0" w:space="0" w:color="auto"/>
        <w:bottom w:val="none" w:sz="0" w:space="0" w:color="auto"/>
        <w:right w:val="none" w:sz="0" w:space="0" w:color="auto"/>
      </w:divBdr>
      <w:divsChild>
        <w:div w:id="106900166">
          <w:marLeft w:val="0"/>
          <w:marRight w:val="0"/>
          <w:marTop w:val="0"/>
          <w:marBottom w:val="0"/>
          <w:divBdr>
            <w:top w:val="none" w:sz="0" w:space="0" w:color="auto"/>
            <w:left w:val="none" w:sz="0" w:space="0" w:color="auto"/>
            <w:bottom w:val="none" w:sz="0" w:space="0" w:color="auto"/>
            <w:right w:val="none" w:sz="0" w:space="0" w:color="auto"/>
          </w:divBdr>
        </w:div>
        <w:div w:id="1126891774">
          <w:marLeft w:val="0"/>
          <w:marRight w:val="0"/>
          <w:marTop w:val="0"/>
          <w:marBottom w:val="0"/>
          <w:divBdr>
            <w:top w:val="none" w:sz="0" w:space="0" w:color="auto"/>
            <w:left w:val="none" w:sz="0" w:space="0" w:color="auto"/>
            <w:bottom w:val="none" w:sz="0" w:space="0" w:color="auto"/>
            <w:right w:val="none" w:sz="0" w:space="0" w:color="auto"/>
          </w:divBdr>
        </w:div>
      </w:divsChild>
    </w:div>
    <w:div w:id="175314575">
      <w:bodyDiv w:val="1"/>
      <w:marLeft w:val="0"/>
      <w:marRight w:val="0"/>
      <w:marTop w:val="0"/>
      <w:marBottom w:val="0"/>
      <w:divBdr>
        <w:top w:val="none" w:sz="0" w:space="0" w:color="auto"/>
        <w:left w:val="none" w:sz="0" w:space="0" w:color="auto"/>
        <w:bottom w:val="none" w:sz="0" w:space="0" w:color="auto"/>
        <w:right w:val="none" w:sz="0" w:space="0" w:color="auto"/>
      </w:divBdr>
    </w:div>
    <w:div w:id="291719076">
      <w:bodyDiv w:val="1"/>
      <w:marLeft w:val="0"/>
      <w:marRight w:val="0"/>
      <w:marTop w:val="0"/>
      <w:marBottom w:val="0"/>
      <w:divBdr>
        <w:top w:val="none" w:sz="0" w:space="0" w:color="auto"/>
        <w:left w:val="none" w:sz="0" w:space="0" w:color="auto"/>
        <w:bottom w:val="none" w:sz="0" w:space="0" w:color="auto"/>
        <w:right w:val="none" w:sz="0" w:space="0" w:color="auto"/>
      </w:divBdr>
    </w:div>
    <w:div w:id="412699640">
      <w:bodyDiv w:val="1"/>
      <w:marLeft w:val="0"/>
      <w:marRight w:val="0"/>
      <w:marTop w:val="0"/>
      <w:marBottom w:val="0"/>
      <w:divBdr>
        <w:top w:val="none" w:sz="0" w:space="0" w:color="auto"/>
        <w:left w:val="none" w:sz="0" w:space="0" w:color="auto"/>
        <w:bottom w:val="none" w:sz="0" w:space="0" w:color="auto"/>
        <w:right w:val="none" w:sz="0" w:space="0" w:color="auto"/>
      </w:divBdr>
    </w:div>
    <w:div w:id="456879186">
      <w:bodyDiv w:val="1"/>
      <w:marLeft w:val="0"/>
      <w:marRight w:val="0"/>
      <w:marTop w:val="0"/>
      <w:marBottom w:val="0"/>
      <w:divBdr>
        <w:top w:val="none" w:sz="0" w:space="0" w:color="auto"/>
        <w:left w:val="none" w:sz="0" w:space="0" w:color="auto"/>
        <w:bottom w:val="none" w:sz="0" w:space="0" w:color="auto"/>
        <w:right w:val="none" w:sz="0" w:space="0" w:color="auto"/>
      </w:divBdr>
      <w:divsChild>
        <w:div w:id="888957473">
          <w:marLeft w:val="0"/>
          <w:marRight w:val="0"/>
          <w:marTop w:val="0"/>
          <w:marBottom w:val="0"/>
          <w:divBdr>
            <w:top w:val="none" w:sz="0" w:space="0" w:color="auto"/>
            <w:left w:val="none" w:sz="0" w:space="0" w:color="auto"/>
            <w:bottom w:val="none" w:sz="0" w:space="0" w:color="auto"/>
            <w:right w:val="none" w:sz="0" w:space="0" w:color="auto"/>
          </w:divBdr>
        </w:div>
        <w:div w:id="2098282872">
          <w:marLeft w:val="0"/>
          <w:marRight w:val="0"/>
          <w:marTop w:val="0"/>
          <w:marBottom w:val="0"/>
          <w:divBdr>
            <w:top w:val="none" w:sz="0" w:space="0" w:color="auto"/>
            <w:left w:val="none" w:sz="0" w:space="0" w:color="auto"/>
            <w:bottom w:val="none" w:sz="0" w:space="0" w:color="auto"/>
            <w:right w:val="none" w:sz="0" w:space="0" w:color="auto"/>
          </w:divBdr>
        </w:div>
      </w:divsChild>
    </w:div>
    <w:div w:id="675769884">
      <w:bodyDiv w:val="1"/>
      <w:marLeft w:val="0"/>
      <w:marRight w:val="0"/>
      <w:marTop w:val="0"/>
      <w:marBottom w:val="0"/>
      <w:divBdr>
        <w:top w:val="none" w:sz="0" w:space="0" w:color="auto"/>
        <w:left w:val="none" w:sz="0" w:space="0" w:color="auto"/>
        <w:bottom w:val="none" w:sz="0" w:space="0" w:color="auto"/>
        <w:right w:val="none" w:sz="0" w:space="0" w:color="auto"/>
      </w:divBdr>
      <w:divsChild>
        <w:div w:id="353460268">
          <w:marLeft w:val="0"/>
          <w:marRight w:val="0"/>
          <w:marTop w:val="0"/>
          <w:marBottom w:val="0"/>
          <w:divBdr>
            <w:top w:val="none" w:sz="0" w:space="0" w:color="auto"/>
            <w:left w:val="none" w:sz="0" w:space="0" w:color="auto"/>
            <w:bottom w:val="none" w:sz="0" w:space="0" w:color="auto"/>
            <w:right w:val="none" w:sz="0" w:space="0" w:color="auto"/>
          </w:divBdr>
        </w:div>
        <w:div w:id="756638131">
          <w:marLeft w:val="0"/>
          <w:marRight w:val="0"/>
          <w:marTop w:val="0"/>
          <w:marBottom w:val="0"/>
          <w:divBdr>
            <w:top w:val="none" w:sz="0" w:space="0" w:color="auto"/>
            <w:left w:val="none" w:sz="0" w:space="0" w:color="auto"/>
            <w:bottom w:val="none" w:sz="0" w:space="0" w:color="auto"/>
            <w:right w:val="none" w:sz="0" w:space="0" w:color="auto"/>
          </w:divBdr>
        </w:div>
      </w:divsChild>
    </w:div>
    <w:div w:id="879631644">
      <w:bodyDiv w:val="1"/>
      <w:marLeft w:val="0"/>
      <w:marRight w:val="0"/>
      <w:marTop w:val="0"/>
      <w:marBottom w:val="0"/>
      <w:divBdr>
        <w:top w:val="none" w:sz="0" w:space="0" w:color="auto"/>
        <w:left w:val="none" w:sz="0" w:space="0" w:color="auto"/>
        <w:bottom w:val="none" w:sz="0" w:space="0" w:color="auto"/>
        <w:right w:val="none" w:sz="0" w:space="0" w:color="auto"/>
      </w:divBdr>
    </w:div>
    <w:div w:id="964123401">
      <w:bodyDiv w:val="1"/>
      <w:marLeft w:val="0"/>
      <w:marRight w:val="0"/>
      <w:marTop w:val="0"/>
      <w:marBottom w:val="0"/>
      <w:divBdr>
        <w:top w:val="none" w:sz="0" w:space="0" w:color="auto"/>
        <w:left w:val="none" w:sz="0" w:space="0" w:color="auto"/>
        <w:bottom w:val="none" w:sz="0" w:space="0" w:color="auto"/>
        <w:right w:val="none" w:sz="0" w:space="0" w:color="auto"/>
      </w:divBdr>
    </w:div>
    <w:div w:id="1039162810">
      <w:bodyDiv w:val="1"/>
      <w:marLeft w:val="0"/>
      <w:marRight w:val="0"/>
      <w:marTop w:val="0"/>
      <w:marBottom w:val="0"/>
      <w:divBdr>
        <w:top w:val="none" w:sz="0" w:space="0" w:color="auto"/>
        <w:left w:val="none" w:sz="0" w:space="0" w:color="auto"/>
        <w:bottom w:val="none" w:sz="0" w:space="0" w:color="auto"/>
        <w:right w:val="none" w:sz="0" w:space="0" w:color="auto"/>
      </w:divBdr>
    </w:div>
    <w:div w:id="1267031927">
      <w:bodyDiv w:val="1"/>
      <w:marLeft w:val="0"/>
      <w:marRight w:val="0"/>
      <w:marTop w:val="0"/>
      <w:marBottom w:val="0"/>
      <w:divBdr>
        <w:top w:val="none" w:sz="0" w:space="0" w:color="auto"/>
        <w:left w:val="none" w:sz="0" w:space="0" w:color="auto"/>
        <w:bottom w:val="none" w:sz="0" w:space="0" w:color="auto"/>
        <w:right w:val="none" w:sz="0" w:space="0" w:color="auto"/>
      </w:divBdr>
      <w:divsChild>
        <w:div w:id="881525269">
          <w:marLeft w:val="0"/>
          <w:marRight w:val="0"/>
          <w:marTop w:val="0"/>
          <w:marBottom w:val="0"/>
          <w:divBdr>
            <w:top w:val="none" w:sz="0" w:space="0" w:color="auto"/>
            <w:left w:val="none" w:sz="0" w:space="0" w:color="auto"/>
            <w:bottom w:val="none" w:sz="0" w:space="0" w:color="auto"/>
            <w:right w:val="none" w:sz="0" w:space="0" w:color="auto"/>
          </w:divBdr>
        </w:div>
        <w:div w:id="1545680294">
          <w:marLeft w:val="0"/>
          <w:marRight w:val="0"/>
          <w:marTop w:val="0"/>
          <w:marBottom w:val="0"/>
          <w:divBdr>
            <w:top w:val="none" w:sz="0" w:space="0" w:color="auto"/>
            <w:left w:val="none" w:sz="0" w:space="0" w:color="auto"/>
            <w:bottom w:val="none" w:sz="0" w:space="0" w:color="auto"/>
            <w:right w:val="none" w:sz="0" w:space="0" w:color="auto"/>
          </w:divBdr>
        </w:div>
      </w:divsChild>
    </w:div>
    <w:div w:id="1436753299">
      <w:bodyDiv w:val="1"/>
      <w:marLeft w:val="0"/>
      <w:marRight w:val="0"/>
      <w:marTop w:val="0"/>
      <w:marBottom w:val="0"/>
      <w:divBdr>
        <w:top w:val="none" w:sz="0" w:space="0" w:color="auto"/>
        <w:left w:val="none" w:sz="0" w:space="0" w:color="auto"/>
        <w:bottom w:val="none" w:sz="0" w:space="0" w:color="auto"/>
        <w:right w:val="none" w:sz="0" w:space="0" w:color="auto"/>
      </w:divBdr>
    </w:div>
    <w:div w:id="1482962213">
      <w:bodyDiv w:val="1"/>
      <w:marLeft w:val="0"/>
      <w:marRight w:val="0"/>
      <w:marTop w:val="0"/>
      <w:marBottom w:val="0"/>
      <w:divBdr>
        <w:top w:val="none" w:sz="0" w:space="0" w:color="auto"/>
        <w:left w:val="none" w:sz="0" w:space="0" w:color="auto"/>
        <w:bottom w:val="none" w:sz="0" w:space="0" w:color="auto"/>
        <w:right w:val="none" w:sz="0" w:space="0" w:color="auto"/>
      </w:divBdr>
      <w:divsChild>
        <w:div w:id="126166578">
          <w:marLeft w:val="274"/>
          <w:marRight w:val="0"/>
          <w:marTop w:val="58"/>
          <w:marBottom w:val="0"/>
          <w:divBdr>
            <w:top w:val="none" w:sz="0" w:space="0" w:color="auto"/>
            <w:left w:val="none" w:sz="0" w:space="0" w:color="auto"/>
            <w:bottom w:val="none" w:sz="0" w:space="0" w:color="auto"/>
            <w:right w:val="none" w:sz="0" w:space="0" w:color="auto"/>
          </w:divBdr>
        </w:div>
        <w:div w:id="1467117017">
          <w:marLeft w:val="274"/>
          <w:marRight w:val="0"/>
          <w:marTop w:val="53"/>
          <w:marBottom w:val="0"/>
          <w:divBdr>
            <w:top w:val="none" w:sz="0" w:space="0" w:color="auto"/>
            <w:left w:val="none" w:sz="0" w:space="0" w:color="auto"/>
            <w:bottom w:val="none" w:sz="0" w:space="0" w:color="auto"/>
            <w:right w:val="none" w:sz="0" w:space="0" w:color="auto"/>
          </w:divBdr>
        </w:div>
        <w:div w:id="1628002552">
          <w:marLeft w:val="274"/>
          <w:marRight w:val="0"/>
          <w:marTop w:val="58"/>
          <w:marBottom w:val="0"/>
          <w:divBdr>
            <w:top w:val="none" w:sz="0" w:space="0" w:color="auto"/>
            <w:left w:val="none" w:sz="0" w:space="0" w:color="auto"/>
            <w:bottom w:val="none" w:sz="0" w:space="0" w:color="auto"/>
            <w:right w:val="none" w:sz="0" w:space="0" w:color="auto"/>
          </w:divBdr>
        </w:div>
        <w:div w:id="1682316633">
          <w:marLeft w:val="274"/>
          <w:marRight w:val="0"/>
          <w:marTop w:val="58"/>
          <w:marBottom w:val="0"/>
          <w:divBdr>
            <w:top w:val="none" w:sz="0" w:space="0" w:color="auto"/>
            <w:left w:val="none" w:sz="0" w:space="0" w:color="auto"/>
            <w:bottom w:val="none" w:sz="0" w:space="0" w:color="auto"/>
            <w:right w:val="none" w:sz="0" w:space="0" w:color="auto"/>
          </w:divBdr>
        </w:div>
        <w:div w:id="1932735248">
          <w:marLeft w:val="274"/>
          <w:marRight w:val="0"/>
          <w:marTop w:val="53"/>
          <w:marBottom w:val="0"/>
          <w:divBdr>
            <w:top w:val="none" w:sz="0" w:space="0" w:color="auto"/>
            <w:left w:val="none" w:sz="0" w:space="0" w:color="auto"/>
            <w:bottom w:val="none" w:sz="0" w:space="0" w:color="auto"/>
            <w:right w:val="none" w:sz="0" w:space="0" w:color="auto"/>
          </w:divBdr>
        </w:div>
        <w:div w:id="2011105737">
          <w:marLeft w:val="274"/>
          <w:marRight w:val="0"/>
          <w:marTop w:val="58"/>
          <w:marBottom w:val="0"/>
          <w:divBdr>
            <w:top w:val="none" w:sz="0" w:space="0" w:color="auto"/>
            <w:left w:val="none" w:sz="0" w:space="0" w:color="auto"/>
            <w:bottom w:val="none" w:sz="0" w:space="0" w:color="auto"/>
            <w:right w:val="none" w:sz="0" w:space="0" w:color="auto"/>
          </w:divBdr>
        </w:div>
        <w:div w:id="2088644444">
          <w:marLeft w:val="274"/>
          <w:marRight w:val="0"/>
          <w:marTop w:val="53"/>
          <w:marBottom w:val="0"/>
          <w:divBdr>
            <w:top w:val="none" w:sz="0" w:space="0" w:color="auto"/>
            <w:left w:val="none" w:sz="0" w:space="0" w:color="auto"/>
            <w:bottom w:val="none" w:sz="0" w:space="0" w:color="auto"/>
            <w:right w:val="none" w:sz="0" w:space="0" w:color="auto"/>
          </w:divBdr>
        </w:div>
      </w:divsChild>
    </w:div>
    <w:div w:id="1674529673">
      <w:bodyDiv w:val="1"/>
      <w:marLeft w:val="0"/>
      <w:marRight w:val="0"/>
      <w:marTop w:val="0"/>
      <w:marBottom w:val="0"/>
      <w:divBdr>
        <w:top w:val="none" w:sz="0" w:space="0" w:color="auto"/>
        <w:left w:val="none" w:sz="0" w:space="0" w:color="auto"/>
        <w:bottom w:val="none" w:sz="0" w:space="0" w:color="auto"/>
        <w:right w:val="none" w:sz="0" w:space="0" w:color="auto"/>
      </w:divBdr>
    </w:div>
    <w:div w:id="1890993975">
      <w:bodyDiv w:val="1"/>
      <w:marLeft w:val="0"/>
      <w:marRight w:val="0"/>
      <w:marTop w:val="0"/>
      <w:marBottom w:val="0"/>
      <w:divBdr>
        <w:top w:val="none" w:sz="0" w:space="0" w:color="auto"/>
        <w:left w:val="none" w:sz="0" w:space="0" w:color="auto"/>
        <w:bottom w:val="none" w:sz="0" w:space="0" w:color="auto"/>
        <w:right w:val="none" w:sz="0" w:space="0" w:color="auto"/>
      </w:divBdr>
    </w:div>
    <w:div w:id="1901331140">
      <w:bodyDiv w:val="1"/>
      <w:marLeft w:val="0"/>
      <w:marRight w:val="0"/>
      <w:marTop w:val="0"/>
      <w:marBottom w:val="0"/>
      <w:divBdr>
        <w:top w:val="none" w:sz="0" w:space="0" w:color="auto"/>
        <w:left w:val="none" w:sz="0" w:space="0" w:color="auto"/>
        <w:bottom w:val="none" w:sz="0" w:space="0" w:color="auto"/>
        <w:right w:val="none" w:sz="0" w:space="0" w:color="auto"/>
      </w:divBdr>
    </w:div>
    <w:div w:id="20439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society.org/specialty/colorectal/.Access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rcare.vic.gov.au/sites/default/files/2023-10/Guideline%20for%20the%20Prevention%20of%20Venous%20Thromboembolism.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hi.org/resources/Pages/Tool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care.vic.gov.au/best-practice-improvement/clinical-guidance/non-urgent-elective-surgery/sip-til-send-fluid-fasting" TargetMode="External"/><Relationship Id="rId5" Type="http://schemas.openxmlformats.org/officeDocument/2006/relationships/numbering" Target="numbering.xml"/><Relationship Id="rId15" Type="http://schemas.openxmlformats.org/officeDocument/2006/relationships/hyperlink" Target="https://www.tg.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infectious-diseases/victorian-guideline-on-cpo-for-health-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D298C27FCE34DB04299BDEE011C03" ma:contentTypeVersion="16" ma:contentTypeDescription="Create a new document." ma:contentTypeScope="" ma:versionID="c3460f9c27aa188fc259197c9cb89557">
  <xsd:schema xmlns:xsd="http://www.w3.org/2001/XMLSchema" xmlns:xs="http://www.w3.org/2001/XMLSchema" xmlns:p="http://schemas.microsoft.com/office/2006/metadata/properties" xmlns:ns2="e130be02-a26d-474a-bfd5-7a20096b30ed" xmlns:ns3="a7c140a1-5f86-41ab-9d2f-7c87b64b5606" targetNamespace="http://schemas.microsoft.com/office/2006/metadata/properties" ma:root="true" ma:fieldsID="de124070c1cdeda0e4b808b01310129e" ns2:_="" ns3:_="">
    <xsd:import namespace="e130be02-a26d-474a-bfd5-7a20096b30ed"/>
    <xsd:import namespace="a7c140a1-5f86-41ab-9d2f-7c87b64b5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0be02-a26d-474a-bfd5-7a20096b3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7da680-6f22-49d7-a861-048349b6ce0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140a1-5f86-41ab-9d2f-7c87b64b5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624bfa-f0a1-480b-bb51-a0e3c9fb2785}" ma:internalName="TaxCatchAll" ma:showField="CatchAllData" ma:web="a7c140a1-5f86-41ab-9d2f-7c87b64b5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c140a1-5f86-41ab-9d2f-7c87b64b5606" xsi:nil="true"/>
    <lcf76f155ced4ddcb4097134ff3c332f xmlns="e130be02-a26d-474a-bfd5-7a20096b30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A857-824C-4D3E-988A-E91B6B75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0be02-a26d-474a-bfd5-7a20096b30ed"/>
    <ds:schemaRef ds:uri="a7c140a1-5f86-41ab-9d2f-7c87b64b5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03EE1-0290-4844-A9C0-889D9441EBB0}">
  <ds:schemaRefs>
    <ds:schemaRef ds:uri="http://schemas.microsoft.com/sharepoint/v3/contenttype/forms"/>
  </ds:schemaRefs>
</ds:datastoreItem>
</file>

<file path=customXml/itemProps3.xml><?xml version="1.0" encoding="utf-8"?>
<ds:datastoreItem xmlns:ds="http://schemas.openxmlformats.org/officeDocument/2006/customXml" ds:itemID="{98B91AE7-9D17-4C74-B425-A8C0E4C8C443}">
  <ds:schemaRefs>
    <ds:schemaRef ds:uri="http://schemas.microsoft.com/office/2006/metadata/properties"/>
    <ds:schemaRef ds:uri="http://schemas.microsoft.com/office/infopath/2007/PartnerControls"/>
    <ds:schemaRef ds:uri="a7c140a1-5f86-41ab-9d2f-7c87b64b5606"/>
    <ds:schemaRef ds:uri="e130be02-a26d-474a-bfd5-7a20096b30ed"/>
  </ds:schemaRefs>
</ds:datastoreItem>
</file>

<file path=customXml/itemProps4.xml><?xml version="1.0" encoding="utf-8"?>
<ds:datastoreItem xmlns:ds="http://schemas.openxmlformats.org/officeDocument/2006/customXml" ds:itemID="{5CE15926-EE6B-4266-B10D-189E3A9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April 2025|Victorian Guidance on the use of perioperative bundles to prevent surgical site infection complicating colorectal surgery</vt:lpstr>
    </vt:vector>
  </TitlesOfParts>
  <Company>Melbourne Health</Company>
  <LinksUpToDate>false</LinksUpToDate>
  <CharactersWithSpaces>26309</CharactersWithSpaces>
  <SharedDoc>false</SharedDoc>
  <HLinks>
    <vt:vector size="36" baseType="variant">
      <vt:variant>
        <vt:i4>4915281</vt:i4>
      </vt:variant>
      <vt:variant>
        <vt:i4>15</vt:i4>
      </vt:variant>
      <vt:variant>
        <vt:i4>0</vt:i4>
      </vt:variant>
      <vt:variant>
        <vt:i4>5</vt:i4>
      </vt:variant>
      <vt:variant>
        <vt:lpwstr>http://www.ihi.org/resources/Pages/Tools/</vt:lpwstr>
      </vt:variant>
      <vt:variant>
        <vt:lpwstr/>
      </vt:variant>
      <vt:variant>
        <vt:i4>6881331</vt:i4>
      </vt:variant>
      <vt:variant>
        <vt:i4>12</vt:i4>
      </vt:variant>
      <vt:variant>
        <vt:i4>0</vt:i4>
      </vt:variant>
      <vt:variant>
        <vt:i4>5</vt:i4>
      </vt:variant>
      <vt:variant>
        <vt:lpwstr>https://www.tg.org.au/</vt:lpwstr>
      </vt:variant>
      <vt:variant>
        <vt:lpwstr/>
      </vt:variant>
      <vt:variant>
        <vt:i4>262170</vt:i4>
      </vt:variant>
      <vt:variant>
        <vt:i4>9</vt:i4>
      </vt:variant>
      <vt:variant>
        <vt:i4>0</vt:i4>
      </vt:variant>
      <vt:variant>
        <vt:i4>5</vt:i4>
      </vt:variant>
      <vt:variant>
        <vt:lpwstr>https://www.health.vic.gov.au/infectious-diseases/victorian-guideline-on-cpo-for-health-services</vt:lpwstr>
      </vt:variant>
      <vt:variant>
        <vt:lpwstr/>
      </vt:variant>
      <vt:variant>
        <vt:i4>7995502</vt:i4>
      </vt:variant>
      <vt:variant>
        <vt:i4>6</vt:i4>
      </vt:variant>
      <vt:variant>
        <vt:i4>0</vt:i4>
      </vt:variant>
      <vt:variant>
        <vt:i4>5</vt:i4>
      </vt:variant>
      <vt:variant>
        <vt:lpwstr>https://erassociety.org/specialty/colorectal/.Accessed</vt:lpwstr>
      </vt:variant>
      <vt:variant>
        <vt:lpwstr/>
      </vt:variant>
      <vt:variant>
        <vt:i4>2490414</vt:i4>
      </vt:variant>
      <vt:variant>
        <vt:i4>3</vt:i4>
      </vt:variant>
      <vt:variant>
        <vt:i4>0</vt:i4>
      </vt:variant>
      <vt:variant>
        <vt:i4>5</vt:i4>
      </vt:variant>
      <vt:variant>
        <vt:lpwstr>https://www.safercare.vic.gov.au/sites/default/files/2023-10/Guideline for the Prevention of Venous Thromboembolism.pdf</vt:lpwstr>
      </vt:variant>
      <vt:variant>
        <vt:lpwstr/>
      </vt:variant>
      <vt:variant>
        <vt:i4>6619247</vt:i4>
      </vt:variant>
      <vt:variant>
        <vt:i4>0</vt:i4>
      </vt:variant>
      <vt:variant>
        <vt:i4>0</vt:i4>
      </vt:variant>
      <vt:variant>
        <vt:i4>5</vt:i4>
      </vt:variant>
      <vt:variant>
        <vt:lpwstr>https://www.safercare.vic.gov.au/best-practice-improvement/clinical-guidance/non-urgent-elective-surgery/sip-til-send-fluid-fasting</vt:lpwstr>
      </vt:variant>
      <vt:variant>
        <vt:lpwstr>:~:text=4%2C5).-,Sip%20Til%20Send%20guideline,theatre%20or%20the%20procedural%20area.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2025|Victorian Guidance on the use of perioperative bundles to prevent surgical site infection complicating colorectal surgery</dc:title>
  <dc:subject/>
  <dc:creator>Safer Care Victoria</dc:creator>
  <cp:keywords/>
  <dc:description/>
  <cp:lastModifiedBy>Max Arnold (Health)</cp:lastModifiedBy>
  <cp:revision>3</cp:revision>
  <cp:lastPrinted>2025-05-07T23:22:00Z</cp:lastPrinted>
  <dcterms:created xsi:type="dcterms:W3CDTF">2025-05-07T23:22:00Z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0x010100E24D298C27FCE34DB04299BDEE011C03</vt:lpwstr>
  </property>
  <property fmtid="{D5CDD505-2E9C-101B-9397-08002B2CF9AE}" pid="3" name="MediaServiceImageTags">
    <vt:lpwstr/>
  </property>
  <property fmtid="{D5CDD505-2E9C-101B-9397-08002B2CF9AE}" pid="4" name="ClassificationContentMarkingFooterShapeIds">
    <vt:lpwstr>384cd8bc,1af6a8d0,528af498</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2025-04-24T07:23:39Z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ad55cc4d-b46c-43b5-a985-5791a7b2ee56</vt:lpwstr>
  </property>
  <property fmtid="{D5CDD505-2E9C-101B-9397-08002B2CF9AE}" pid="13" name="MSIP_Label_43e64453-338c-4f93-8a4d-0039a0a41f2a_ContentBits">
    <vt:lpwstr>2</vt:lpwstr>
  </property>
  <property fmtid="{D5CDD505-2E9C-101B-9397-08002B2CF9AE}" pid="14" name="MSIP_Label_43e64453-338c-4f93-8a4d-0039a0a41f2a_Tag">
    <vt:lpwstr>10, 0, 1, 1</vt:lpwstr>
  </property>
</Properties>
</file>