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5670" w:rightFromText="5670" w:vertAnchor="page" w:horzAnchor="page" w:tblpX="852" w:tblpY="4310"/>
        <w:tblOverlap w:val="never"/>
        <w:tblW w:w="6804" w:type="dxa"/>
        <w:tblBorders>
          <w:insideH w:val="single" w:sz="24" w:space="0" w:color="CCCCD0" w:themeColor="accent6"/>
        </w:tblBorders>
        <w:tblCellMar>
          <w:left w:w="0" w:type="dxa"/>
          <w:right w:w="0" w:type="dxa"/>
        </w:tblCellMar>
        <w:tblLook w:val="0620" w:firstRow="1" w:lastRow="0" w:firstColumn="0" w:lastColumn="0" w:noHBand="1" w:noVBand="1"/>
      </w:tblPr>
      <w:tblGrid>
        <w:gridCol w:w="6804"/>
      </w:tblGrid>
      <w:tr w:rsidR="0050356B" w14:paraId="5D3F1C06" w14:textId="77777777" w:rsidTr="0050356B">
        <w:trPr>
          <w:trHeight w:val="57"/>
        </w:trPr>
        <w:tc>
          <w:tcPr>
            <w:tcW w:w="6804" w:type="dxa"/>
            <w:shd w:val="clear" w:color="auto" w:fill="auto"/>
            <w:tcMar>
              <w:top w:w="312" w:type="dxa"/>
            </w:tcMar>
          </w:tcPr>
          <w:p w14:paraId="7811C853" w14:textId="0E9B37E1" w:rsidR="0050356B" w:rsidRPr="005F00E9" w:rsidRDefault="00887319" w:rsidP="005F00E9">
            <w:pPr>
              <w:pStyle w:val="Date"/>
              <w:framePr w:hSpace="0" w:wrap="auto" w:vAnchor="margin" w:hAnchor="text" w:xAlign="left" w:yAlign="inline"/>
              <w:suppressOverlap w:val="0"/>
            </w:pPr>
            <w:r>
              <w:t>June</w:t>
            </w:r>
            <w:r w:rsidR="000A396F">
              <w:t xml:space="preserve"> 2025</w:t>
            </w:r>
          </w:p>
        </w:tc>
      </w:tr>
      <w:tr w:rsidR="00A46288" w14:paraId="6C0C2750" w14:textId="77777777" w:rsidTr="0050356B">
        <w:trPr>
          <w:trHeight w:val="2948"/>
        </w:trPr>
        <w:tc>
          <w:tcPr>
            <w:tcW w:w="6804" w:type="dxa"/>
            <w:shd w:val="clear" w:color="auto" w:fill="auto"/>
            <w:tcMar>
              <w:top w:w="312" w:type="dxa"/>
            </w:tcMar>
          </w:tcPr>
          <w:sdt>
            <w:sdtPr>
              <w:alias w:val="Title"/>
              <w:tag w:val=""/>
              <w:id w:val="-1484688983"/>
              <w:placeholder>
                <w:docPart w:val="DD699F26C689449DA34529243DE60F8D"/>
              </w:placeholder>
              <w:dataBinding w:prefixMappings="xmlns:ns0='http://purl.org/dc/elements/1.1/' xmlns:ns1='http://schemas.openxmlformats.org/package/2006/metadata/core-properties' " w:xpath="/ns1:coreProperties[1]/ns0:title[1]" w:storeItemID="{6C3C8BC8-F283-45AE-878A-BAB7291924A1}"/>
              <w:text/>
            </w:sdtPr>
            <w:sdtContent>
              <w:p w14:paraId="59230664" w14:textId="67D4A1DF" w:rsidR="00A46288" w:rsidRPr="00C5410D" w:rsidRDefault="00C515C1" w:rsidP="00C5410D">
                <w:pPr>
                  <w:pStyle w:val="Title"/>
                  <w:framePr w:hSpace="0" w:wrap="auto" w:vAnchor="margin" w:hAnchor="text" w:xAlign="left" w:yAlign="inline"/>
                  <w:suppressOverlap w:val="0"/>
                </w:pPr>
                <w:r>
                  <w:t xml:space="preserve">Analgesic </w:t>
                </w:r>
                <w:r w:rsidR="00011CFF">
                  <w:t>s</w:t>
                </w:r>
                <w:r>
                  <w:t xml:space="preserve">tewardship </w:t>
                </w:r>
                <w:r w:rsidR="00011CFF">
                  <w:t>t</w:t>
                </w:r>
                <w:r>
                  <w:t>oolkit</w:t>
                </w:r>
              </w:p>
            </w:sdtContent>
          </w:sdt>
          <w:p w14:paraId="615D3BAE" w14:textId="3DD7DA2A" w:rsidR="00C5410D" w:rsidRPr="00185A02" w:rsidRDefault="00C5410D">
            <w:pPr>
              <w:pStyle w:val="Subtitle"/>
            </w:pPr>
            <w:r w:rsidRPr="00185A02">
              <w:t xml:space="preserve">For </w:t>
            </w:r>
            <w:r w:rsidR="00C515C1">
              <w:t>health</w:t>
            </w:r>
            <w:r w:rsidRPr="00185A02">
              <w:t xml:space="preserve"> </w:t>
            </w:r>
            <w:r w:rsidR="005F00E9" w:rsidRPr="00185A02">
              <w:t>s</w:t>
            </w:r>
            <w:r w:rsidRPr="00185A02">
              <w:t>ervices</w:t>
            </w:r>
          </w:p>
          <w:p w14:paraId="2FB91FF8" w14:textId="2115EE21" w:rsidR="00A46288" w:rsidRPr="00BF3854" w:rsidRDefault="00A46288" w:rsidP="00951B46">
            <w:pPr>
              <w:pStyle w:val="Subtitle"/>
            </w:pPr>
          </w:p>
        </w:tc>
      </w:tr>
    </w:tbl>
    <w:p w14:paraId="294D0713" w14:textId="77777777" w:rsidR="00A46288" w:rsidRDefault="00A46288" w:rsidP="00A46288">
      <w:pPr>
        <w:pStyle w:val="NoSpacing"/>
      </w:pPr>
    </w:p>
    <w:p w14:paraId="0B1523AB" w14:textId="77777777" w:rsidR="00A46288" w:rsidRDefault="00A46288" w:rsidP="00185A02">
      <w:pPr>
        <w:rPr>
          <w:bCs/>
        </w:rPr>
        <w:sectPr w:rsidR="00A46288" w:rsidSect="00257461">
          <w:headerReference w:type="default" r:id="rId11"/>
          <w:footerReference w:type="even" r:id="rId12"/>
          <w:footerReference w:type="default" r:id="rId13"/>
          <w:headerReference w:type="first" r:id="rId14"/>
          <w:pgSz w:w="11906" w:h="16838" w:code="9"/>
          <w:pgMar w:top="3402" w:right="851" w:bottom="1361" w:left="851" w:header="539" w:footer="624" w:gutter="0"/>
          <w:pgNumType w:start="1"/>
          <w:cols w:space="284"/>
          <w:titlePg/>
          <w:docGrid w:linePitch="360"/>
        </w:sectPr>
      </w:pPr>
    </w:p>
    <w:tbl>
      <w:tblPr>
        <w:tblStyle w:val="SCVInformationTable"/>
        <w:tblpPr w:leftFromText="181" w:rightFromText="181" w:horzAnchor="page" w:tblpX="852" w:tblpYSpec="bottom"/>
        <w:tblW w:w="10348" w:type="dxa"/>
        <w:tblLayout w:type="fixed"/>
        <w:tblLook w:val="0600" w:firstRow="0" w:lastRow="0" w:firstColumn="0" w:lastColumn="0" w:noHBand="1" w:noVBand="1"/>
      </w:tblPr>
      <w:tblGrid>
        <w:gridCol w:w="4820"/>
        <w:gridCol w:w="3685"/>
        <w:gridCol w:w="1843"/>
      </w:tblGrid>
      <w:tr w:rsidR="005F00E9" w:rsidRPr="00736C0C" w14:paraId="02B338A6" w14:textId="77777777" w:rsidTr="00185A02">
        <w:trPr>
          <w:trHeight w:val="2041"/>
        </w:trPr>
        <w:tc>
          <w:tcPr>
            <w:tcW w:w="4820" w:type="dxa"/>
            <w:tcMar>
              <w:left w:w="113" w:type="dxa"/>
            </w:tcMar>
          </w:tcPr>
          <w:p w14:paraId="450620B3" w14:textId="2D88D12D" w:rsidR="008116D8" w:rsidRPr="008116D8" w:rsidRDefault="008116D8" w:rsidP="00951B46">
            <w:r w:rsidRPr="00185A02">
              <w:rPr>
                <w:sz w:val="24"/>
                <w:szCs w:val="36"/>
              </w:rPr>
              <w:lastRenderedPageBreak/>
              <w:t>To receive this publication in</w:t>
            </w:r>
            <w:r w:rsidR="005F00E9">
              <w:rPr>
                <w:sz w:val="24"/>
                <w:szCs w:val="36"/>
              </w:rPr>
              <w:br/>
            </w:r>
            <w:r w:rsidRPr="00185A02">
              <w:rPr>
                <w:sz w:val="24"/>
                <w:szCs w:val="36"/>
              </w:rPr>
              <w:t xml:space="preserve"> an accessible format phone </w:t>
            </w:r>
            <w:r w:rsidRPr="00185A02">
              <w:rPr>
                <w:sz w:val="24"/>
                <w:szCs w:val="36"/>
              </w:rPr>
              <w:br/>
              <w:t xml:space="preserve">03 9096 1384, using the National </w:t>
            </w:r>
            <w:r w:rsidR="005F00E9">
              <w:rPr>
                <w:sz w:val="24"/>
                <w:szCs w:val="36"/>
              </w:rPr>
              <w:br/>
            </w:r>
            <w:r w:rsidRPr="00185A02">
              <w:rPr>
                <w:sz w:val="24"/>
                <w:szCs w:val="36"/>
              </w:rPr>
              <w:t xml:space="preserve">Relay Service 13 36 </w:t>
            </w:r>
            <w:r w:rsidRPr="00185A02">
              <w:rPr>
                <w:spacing w:val="-2"/>
                <w:sz w:val="24"/>
                <w:szCs w:val="36"/>
              </w:rPr>
              <w:t xml:space="preserve">77 if required, or </w:t>
            </w:r>
            <w:r w:rsidR="005F00E9">
              <w:rPr>
                <w:spacing w:val="-2"/>
                <w:sz w:val="24"/>
                <w:szCs w:val="36"/>
              </w:rPr>
              <w:br/>
            </w:r>
            <w:r w:rsidRPr="00185A02">
              <w:rPr>
                <w:spacing w:val="-2"/>
                <w:sz w:val="24"/>
                <w:szCs w:val="36"/>
              </w:rPr>
              <w:t xml:space="preserve">email </w:t>
            </w:r>
            <w:r w:rsidR="005F00E9">
              <w:rPr>
                <w:sz w:val="24"/>
                <w:szCs w:val="36"/>
              </w:rPr>
              <w:t>info@safercare.vic.gov.au</w:t>
            </w:r>
          </w:p>
        </w:tc>
        <w:tc>
          <w:tcPr>
            <w:tcW w:w="3685" w:type="dxa"/>
          </w:tcPr>
          <w:p w14:paraId="17215B1B" w14:textId="77777777" w:rsidR="008116D8" w:rsidRDefault="008116D8" w:rsidP="00951B46">
            <w:r w:rsidRPr="00736C0C">
              <w:t xml:space="preserve">Authorised and </w:t>
            </w:r>
            <w:r w:rsidRPr="00736C0C">
              <w:rPr>
                <w:spacing w:val="-2"/>
              </w:rPr>
              <w:t>published by the Victorian</w:t>
            </w:r>
            <w:r w:rsidRPr="00736C0C">
              <w:t xml:space="preserve"> Government, 1</w:t>
            </w:r>
            <w:r>
              <w:t xml:space="preserve"> </w:t>
            </w:r>
            <w:r w:rsidRPr="00736C0C">
              <w:t>Treasury Place, Melbourne.</w:t>
            </w:r>
          </w:p>
          <w:p w14:paraId="75B0D9BF" w14:textId="587EA595" w:rsidR="008116D8" w:rsidRPr="00736C0C" w:rsidRDefault="008116D8" w:rsidP="00185A02">
            <w:r w:rsidRPr="00736C0C">
              <w:t>© State of Victoria, Australia,</w:t>
            </w:r>
            <w:r>
              <w:t xml:space="preserve"> </w:t>
            </w:r>
            <w:r w:rsidRPr="00736C0C">
              <w:t>Safer Care Victoria,</w:t>
            </w:r>
            <w:r>
              <w:t xml:space="preserve"> </w:t>
            </w:r>
            <w:r w:rsidR="00887319">
              <w:t>June</w:t>
            </w:r>
            <w:r w:rsidR="00CE1D2C">
              <w:t xml:space="preserve"> 2025</w:t>
            </w:r>
          </w:p>
          <w:p w14:paraId="1C9E6468" w14:textId="03C1A176" w:rsidR="008116D8" w:rsidRPr="00736C0C" w:rsidRDefault="008116D8" w:rsidP="00185A02">
            <w:r w:rsidRPr="00736C0C">
              <w:t xml:space="preserve">ISBN </w:t>
            </w:r>
            <w:r w:rsidRPr="000A2CD1">
              <w:fldChar w:fldCharType="begin"/>
            </w:r>
            <w:r w:rsidRPr="000A2CD1">
              <w:instrText xml:space="preserve"> Macrobutton NoMacro xxxxxxx</w:instrText>
            </w:r>
            <w:r w:rsidRPr="000A2CD1">
              <w:fldChar w:fldCharType="end"/>
            </w:r>
            <w:r>
              <w:t xml:space="preserve"> </w:t>
            </w:r>
            <w:r w:rsidRPr="00736C0C">
              <w:t>(online)</w:t>
            </w:r>
          </w:p>
          <w:p w14:paraId="037EB28A" w14:textId="0C7BB853" w:rsidR="008116D8" w:rsidRPr="00736C0C" w:rsidRDefault="008116D8" w:rsidP="00185A02">
            <w:r w:rsidRPr="00736C0C">
              <w:t xml:space="preserve">Available at </w:t>
            </w:r>
            <w:hyperlink r:id="rId15" w:history="1">
              <w:r w:rsidRPr="00EE4C3F">
                <w:rPr>
                  <w:color w:val="4D92C0"/>
                </w:rPr>
                <w:t>www.</w:t>
              </w:r>
              <w:r w:rsidRPr="004A4FB7">
                <w:rPr>
                  <w:color w:val="4D92C0"/>
                </w:rPr>
                <w:t>safercare</w:t>
              </w:r>
              <w:r w:rsidRPr="00EE4C3F">
                <w:rPr>
                  <w:color w:val="4D92C0"/>
                </w:rPr>
                <w:t>.vic</w:t>
              </w:r>
            </w:hyperlink>
            <w:r>
              <w:rPr>
                <w:color w:val="4D92C0"/>
              </w:rPr>
              <w:t>.</w:t>
            </w:r>
            <w:r w:rsidRPr="00EE4C3F">
              <w:rPr>
                <w:color w:val="4D92C0"/>
              </w:rPr>
              <w:t>gov.au</w:t>
            </w:r>
            <w:r w:rsidRPr="000D01D2">
              <w:rPr>
                <w:color w:val="4382B9"/>
              </w:rPr>
              <w:t xml:space="preserve"> </w:t>
            </w:r>
          </w:p>
        </w:tc>
        <w:tc>
          <w:tcPr>
            <w:tcW w:w="1843" w:type="dxa"/>
          </w:tcPr>
          <w:p w14:paraId="2E9419EC" w14:textId="77777777" w:rsidR="008116D8" w:rsidRPr="00736C0C" w:rsidRDefault="008116D8" w:rsidP="00185A02">
            <w:r w:rsidRPr="00736C0C">
              <w:rPr>
                <w:noProof/>
              </w:rPr>
              <w:drawing>
                <wp:inline distT="0" distB="0" distL="0" distR="0" wp14:anchorId="18453A01" wp14:editId="2C277065">
                  <wp:extent cx="795600" cy="453600"/>
                  <wp:effectExtent l="0" t="0" r="5080" b="3810"/>
                  <wp:docPr id="16" name="Picture 16" descr="Victor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Vic State Government.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95600" cy="453600"/>
                          </a:xfrm>
                          <a:prstGeom prst="rect">
                            <a:avLst/>
                          </a:prstGeom>
                        </pic:spPr>
                      </pic:pic>
                    </a:graphicData>
                  </a:graphic>
                </wp:inline>
              </w:drawing>
            </w:r>
          </w:p>
        </w:tc>
      </w:tr>
    </w:tbl>
    <w:p w14:paraId="5D6625E3" w14:textId="2DA8A3DC" w:rsidR="00044789" w:rsidRDefault="007C4073">
      <w:r>
        <w:fldChar w:fldCharType="begin"/>
      </w:r>
      <w:r>
        <w:instrText xml:space="preserve"> Macrobutton NoMacro  </w:instrText>
      </w:r>
      <w:r>
        <w:fldChar w:fldCharType="end"/>
      </w:r>
    </w:p>
    <w:p w14:paraId="4CCD5005" w14:textId="39A2E865" w:rsidR="00044789" w:rsidRDefault="00494B50">
      <w:r>
        <w:rPr>
          <w:noProof/>
        </w:rPr>
        <mc:AlternateContent>
          <mc:Choice Requires="wps">
            <w:drawing>
              <wp:anchor distT="0" distB="0" distL="114300" distR="114300" simplePos="0" relativeHeight="251658242" behindDoc="0" locked="0" layoutInCell="1" allowOverlap="1" wp14:anchorId="06E4A5B4" wp14:editId="3ECEC82F">
                <wp:simplePos x="0" y="0"/>
                <wp:positionH relativeFrom="column">
                  <wp:posOffset>70770</wp:posOffset>
                </wp:positionH>
                <wp:positionV relativeFrom="paragraph">
                  <wp:posOffset>3948300</wp:posOffset>
                </wp:positionV>
                <wp:extent cx="6287770" cy="1660849"/>
                <wp:effectExtent l="0" t="0" r="0" b="0"/>
                <wp:wrapNone/>
                <wp:docPr id="4584875" name="Text Box 4584875"/>
                <wp:cNvGraphicFramePr/>
                <a:graphic xmlns:a="http://schemas.openxmlformats.org/drawingml/2006/main">
                  <a:graphicData uri="http://schemas.microsoft.com/office/word/2010/wordprocessingShape">
                    <wps:wsp>
                      <wps:cNvSpPr txBox="1"/>
                      <wps:spPr>
                        <a:xfrm>
                          <a:off x="0" y="0"/>
                          <a:ext cx="6287770" cy="1660849"/>
                        </a:xfrm>
                        <a:prstGeom prst="rect">
                          <a:avLst/>
                        </a:prstGeom>
                        <a:solidFill>
                          <a:schemeClr val="lt1"/>
                        </a:solidFill>
                        <a:ln w="6350">
                          <a:noFill/>
                        </a:ln>
                      </wps:spPr>
                      <wps:txbx>
                        <w:txbxContent>
                          <w:p w14:paraId="063E2ADD" w14:textId="77777777" w:rsidR="00654AAF" w:rsidRPr="00CC36E3" w:rsidRDefault="00654AAF" w:rsidP="005F00E9">
                            <w:pPr>
                              <w:pStyle w:val="Heading2"/>
                            </w:pPr>
                            <w:bookmarkStart w:id="0" w:name="_Toc44397352"/>
                            <w:bookmarkStart w:id="1" w:name="_Toc44397516"/>
                            <w:bookmarkStart w:id="2" w:name="_Toc44397874"/>
                            <w:bookmarkStart w:id="3" w:name="_Toc103871422"/>
                            <w:r w:rsidRPr="00CC36E3">
                              <w:t>Document version control</w:t>
                            </w:r>
                            <w:bookmarkEnd w:id="0"/>
                            <w:bookmarkEnd w:id="1"/>
                            <w:bookmarkEnd w:id="2"/>
                            <w:bookmarkEnd w:id="3"/>
                          </w:p>
                          <w:tbl>
                            <w:tblPr>
                              <w:tblStyle w:val="TableGrid"/>
                              <w:tblW w:w="9864" w:type="dxa"/>
                              <w:tblLayout w:type="fixed"/>
                              <w:tblLook w:val="04A0" w:firstRow="1" w:lastRow="0" w:firstColumn="1" w:lastColumn="0" w:noHBand="0" w:noVBand="1"/>
                            </w:tblPr>
                            <w:tblGrid>
                              <w:gridCol w:w="2466"/>
                              <w:gridCol w:w="2466"/>
                              <w:gridCol w:w="2466"/>
                              <w:gridCol w:w="2466"/>
                            </w:tblGrid>
                            <w:tr w:rsidR="00654AAF" w:rsidRPr="00CC36E3" w14:paraId="39B7E926" w14:textId="77777777" w:rsidTr="008C7F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6" w:type="dxa"/>
                                </w:tcPr>
                                <w:p w14:paraId="19FF042E" w14:textId="77777777" w:rsidR="00654AAF" w:rsidRPr="00CC36E3" w:rsidRDefault="00654AAF" w:rsidP="005F00E9">
                                  <w:pPr>
                                    <w:rPr>
                                      <w:bCs/>
                                    </w:rPr>
                                  </w:pPr>
                                  <w:r w:rsidRPr="00CC36E3">
                                    <w:t>Version</w:t>
                                  </w:r>
                                </w:p>
                              </w:tc>
                              <w:tc>
                                <w:tcPr>
                                  <w:tcW w:w="2466" w:type="dxa"/>
                                </w:tcPr>
                                <w:p w14:paraId="67500C69" w14:textId="77777777" w:rsidR="00654AAF" w:rsidRPr="00CC36E3" w:rsidRDefault="00654AAF" w:rsidP="005F00E9">
                                  <w:pPr>
                                    <w:cnfStyle w:val="100000000000" w:firstRow="1" w:lastRow="0" w:firstColumn="0" w:lastColumn="0" w:oddVBand="0" w:evenVBand="0" w:oddHBand="0" w:evenHBand="0" w:firstRowFirstColumn="0" w:firstRowLastColumn="0" w:lastRowFirstColumn="0" w:lastRowLastColumn="0"/>
                                    <w:rPr>
                                      <w:b w:val="0"/>
                                      <w:bCs/>
                                    </w:rPr>
                                  </w:pPr>
                                  <w:r w:rsidRPr="00CC36E3">
                                    <w:t>Date</w:t>
                                  </w:r>
                                </w:p>
                              </w:tc>
                              <w:tc>
                                <w:tcPr>
                                  <w:tcW w:w="2466" w:type="dxa"/>
                                </w:tcPr>
                                <w:p w14:paraId="04F8FEBA" w14:textId="77777777" w:rsidR="00654AAF" w:rsidRPr="00CC36E3" w:rsidRDefault="00654AAF" w:rsidP="005F00E9">
                                  <w:pPr>
                                    <w:cnfStyle w:val="100000000000" w:firstRow="1" w:lastRow="0" w:firstColumn="0" w:lastColumn="0" w:oddVBand="0" w:evenVBand="0" w:oddHBand="0" w:evenHBand="0" w:firstRowFirstColumn="0" w:firstRowLastColumn="0" w:lastRowFirstColumn="0" w:lastRowLastColumn="0"/>
                                    <w:rPr>
                                      <w:b w:val="0"/>
                                      <w:bCs/>
                                    </w:rPr>
                                  </w:pPr>
                                  <w:r w:rsidRPr="00CC36E3">
                                    <w:t>Updated by</w:t>
                                  </w:r>
                                </w:p>
                              </w:tc>
                              <w:tc>
                                <w:tcPr>
                                  <w:tcW w:w="2466" w:type="dxa"/>
                                </w:tcPr>
                                <w:p w14:paraId="5F50CC3B" w14:textId="77777777" w:rsidR="00654AAF" w:rsidRPr="00CC36E3" w:rsidRDefault="00654AAF" w:rsidP="005F00E9">
                                  <w:pPr>
                                    <w:cnfStyle w:val="100000000000" w:firstRow="1" w:lastRow="0" w:firstColumn="0" w:lastColumn="0" w:oddVBand="0" w:evenVBand="0" w:oddHBand="0" w:evenHBand="0" w:firstRowFirstColumn="0" w:firstRowLastColumn="0" w:lastRowFirstColumn="0" w:lastRowLastColumn="0"/>
                                    <w:rPr>
                                      <w:b w:val="0"/>
                                      <w:bCs/>
                                    </w:rPr>
                                  </w:pPr>
                                  <w:r w:rsidRPr="00CC36E3">
                                    <w:t>Comment</w:t>
                                  </w:r>
                                </w:p>
                              </w:tc>
                            </w:tr>
                            <w:tr w:rsidR="00654AAF" w:rsidRPr="00CC36E3" w14:paraId="4771A001" w14:textId="77777777" w:rsidTr="00F10F6C">
                              <w:tc>
                                <w:tcPr>
                                  <w:cnfStyle w:val="001000000000" w:firstRow="0" w:lastRow="0" w:firstColumn="1" w:lastColumn="0" w:oddVBand="0" w:evenVBand="0" w:oddHBand="0" w:evenHBand="0" w:firstRowFirstColumn="0" w:firstRowLastColumn="0" w:lastRowFirstColumn="0" w:lastRowLastColumn="0"/>
                                  <w:tcW w:w="2466" w:type="dxa"/>
                                  <w:tcBorders>
                                    <w:bottom w:val="single" w:sz="2" w:space="0" w:color="80808B" w:themeColor="accent5"/>
                                  </w:tcBorders>
                                </w:tcPr>
                                <w:p w14:paraId="5F7817FE" w14:textId="77777777" w:rsidR="00654AAF" w:rsidRPr="002C4BA9" w:rsidRDefault="00654AAF" w:rsidP="005F00E9">
                                  <w:r w:rsidRPr="002C4BA9">
                                    <w:t>1.0</w:t>
                                  </w:r>
                                </w:p>
                              </w:tc>
                              <w:tc>
                                <w:tcPr>
                                  <w:tcW w:w="2466" w:type="dxa"/>
                                  <w:tcBorders>
                                    <w:bottom w:val="single" w:sz="2" w:space="0" w:color="80808B" w:themeColor="accent5"/>
                                  </w:tcBorders>
                                </w:tcPr>
                                <w:p w14:paraId="1D3D462A" w14:textId="34242377" w:rsidR="00654AAF" w:rsidRPr="002C4BA9" w:rsidRDefault="00585DF2" w:rsidP="005F00E9">
                                  <w:pPr>
                                    <w:cnfStyle w:val="000000000000" w:firstRow="0" w:lastRow="0" w:firstColumn="0" w:lastColumn="0" w:oddVBand="0" w:evenVBand="0" w:oddHBand="0" w:evenHBand="0" w:firstRowFirstColumn="0" w:firstRowLastColumn="0" w:lastRowFirstColumn="0" w:lastRowLastColumn="0"/>
                                  </w:pPr>
                                  <w:r>
                                    <w:t>12</w:t>
                                  </w:r>
                                  <w:r w:rsidR="00454C1F">
                                    <w:t>/0</w:t>
                                  </w:r>
                                  <w:r>
                                    <w:t>7</w:t>
                                  </w:r>
                                  <w:r w:rsidR="00454C1F">
                                    <w:t>/2022</w:t>
                                  </w:r>
                                </w:p>
                              </w:tc>
                              <w:tc>
                                <w:tcPr>
                                  <w:tcW w:w="2466" w:type="dxa"/>
                                  <w:tcBorders>
                                    <w:bottom w:val="single" w:sz="2" w:space="0" w:color="80808B" w:themeColor="accent5"/>
                                  </w:tcBorders>
                                </w:tcPr>
                                <w:p w14:paraId="52B97965" w14:textId="0E75BA25" w:rsidR="00654AAF" w:rsidRPr="002C4BA9" w:rsidRDefault="00C515C1" w:rsidP="005F00E9">
                                  <w:pPr>
                                    <w:cnfStyle w:val="000000000000" w:firstRow="0" w:lastRow="0" w:firstColumn="0" w:lastColumn="0" w:oddVBand="0" w:evenVBand="0" w:oddHBand="0" w:evenHBand="0" w:firstRowFirstColumn="0" w:firstRowLastColumn="0" w:lastRowFirstColumn="0" w:lastRowLastColumn="0"/>
                                  </w:pPr>
                                  <w:r>
                                    <w:t>Medicines Improvement</w:t>
                                  </w:r>
                                  <w:r w:rsidR="00CB6EF2">
                                    <w:t>, System Safety</w:t>
                                  </w:r>
                                </w:p>
                              </w:tc>
                              <w:tc>
                                <w:tcPr>
                                  <w:tcW w:w="2466" w:type="dxa"/>
                                  <w:tcBorders>
                                    <w:bottom w:val="single" w:sz="2" w:space="0" w:color="80808B" w:themeColor="accent5"/>
                                  </w:tcBorders>
                                </w:tcPr>
                                <w:p w14:paraId="3073041D" w14:textId="77777777" w:rsidR="00654AAF" w:rsidRPr="002C4BA9" w:rsidRDefault="00654AAF" w:rsidP="005F00E9">
                                  <w:pPr>
                                    <w:cnfStyle w:val="000000000000" w:firstRow="0" w:lastRow="0" w:firstColumn="0" w:lastColumn="0" w:oddVBand="0" w:evenVBand="0" w:oddHBand="0" w:evenHBand="0" w:firstRowFirstColumn="0" w:firstRowLastColumn="0" w:lastRowFirstColumn="0" w:lastRowLastColumn="0"/>
                                  </w:pPr>
                                </w:p>
                              </w:tc>
                            </w:tr>
                            <w:tr w:rsidR="008C7FC3" w:rsidRPr="00CC36E3" w14:paraId="139C361A" w14:textId="77777777" w:rsidTr="00DD2BD9">
                              <w:trPr>
                                <w:trHeight w:val="2835"/>
                              </w:trPr>
                              <w:tc>
                                <w:tcPr>
                                  <w:cnfStyle w:val="001000000000" w:firstRow="0" w:lastRow="0" w:firstColumn="1" w:lastColumn="0" w:oddVBand="0" w:evenVBand="0" w:oddHBand="0" w:evenHBand="0" w:firstRowFirstColumn="0" w:firstRowLastColumn="0" w:lastRowFirstColumn="0" w:lastRowLastColumn="0"/>
                                  <w:tcW w:w="2466" w:type="dxa"/>
                                </w:tcPr>
                                <w:p w14:paraId="144A3FA9" w14:textId="1F22C995" w:rsidR="008C7FC3" w:rsidRPr="002C4BA9" w:rsidRDefault="005835A8" w:rsidP="008C7FC3">
                                  <w:r>
                                    <w:t>2</w:t>
                                  </w:r>
                                  <w:r w:rsidR="008C7FC3" w:rsidRPr="002C4BA9">
                                    <w:t>.0</w:t>
                                  </w:r>
                                </w:p>
                              </w:tc>
                              <w:tc>
                                <w:tcPr>
                                  <w:tcW w:w="2466" w:type="dxa"/>
                                </w:tcPr>
                                <w:p w14:paraId="7F78E479" w14:textId="790A27A8" w:rsidR="008C7FC3" w:rsidRDefault="008C7FC3" w:rsidP="008C7FC3">
                                  <w:pPr>
                                    <w:cnfStyle w:val="000000000000" w:firstRow="0" w:lastRow="0" w:firstColumn="0" w:lastColumn="0" w:oddVBand="0" w:evenVBand="0" w:oddHBand="0" w:evenHBand="0" w:firstRowFirstColumn="0" w:firstRowLastColumn="0" w:lastRowFirstColumn="0" w:lastRowLastColumn="0"/>
                                  </w:pPr>
                                  <w:r>
                                    <w:t>12/06/2025</w:t>
                                  </w:r>
                                </w:p>
                              </w:tc>
                              <w:tc>
                                <w:tcPr>
                                  <w:tcW w:w="2466" w:type="dxa"/>
                                </w:tcPr>
                                <w:p w14:paraId="5BE1EAFE" w14:textId="387A9F36" w:rsidR="008C7FC3" w:rsidRDefault="008C7FC3" w:rsidP="008C7FC3">
                                  <w:pPr>
                                    <w:cnfStyle w:val="000000000000" w:firstRow="0" w:lastRow="0" w:firstColumn="0" w:lastColumn="0" w:oddVBand="0" w:evenVBand="0" w:oddHBand="0" w:evenHBand="0" w:firstRowFirstColumn="0" w:firstRowLastColumn="0" w:lastRowFirstColumn="0" w:lastRowLastColumn="0"/>
                                  </w:pPr>
                                  <w:r>
                                    <w:t xml:space="preserve">Medicines </w:t>
                                  </w:r>
                                  <w:r w:rsidR="00DD2BD9">
                                    <w:t>Improvement, Clinical and Professional Leadership Unit</w:t>
                                  </w:r>
                                </w:p>
                              </w:tc>
                              <w:tc>
                                <w:tcPr>
                                  <w:tcW w:w="2466" w:type="dxa"/>
                                </w:tcPr>
                                <w:p w14:paraId="050107FD" w14:textId="3F77CEB4" w:rsidR="008C7FC3" w:rsidRPr="002C4BA9" w:rsidRDefault="00B470D7" w:rsidP="008C7FC3">
                                  <w:pPr>
                                    <w:cnfStyle w:val="000000000000" w:firstRow="0" w:lastRow="0" w:firstColumn="0" w:lastColumn="0" w:oddVBand="0" w:evenVBand="0" w:oddHBand="0" w:evenHBand="0" w:firstRowFirstColumn="0" w:firstRowLastColumn="0" w:lastRowFirstColumn="0" w:lastRowLastColumn="0"/>
                                  </w:pPr>
                                  <w:r>
                                    <w:t>Minor revision</w:t>
                                  </w:r>
                                </w:p>
                              </w:tc>
                            </w:tr>
                          </w:tbl>
                          <w:p w14:paraId="0E653AEA" w14:textId="77777777" w:rsidR="00654AAF" w:rsidRDefault="00654AAF" w:rsidP="005F00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E4A5B4" id="_x0000_t202" coordsize="21600,21600" o:spt="202" path="m,l,21600r21600,l21600,xe">
                <v:stroke joinstyle="miter"/>
                <v:path gradientshapeok="t" o:connecttype="rect"/>
              </v:shapetype>
              <v:shape id="Text Box 4584875" o:spid="_x0000_s1026" type="#_x0000_t202" style="position:absolute;margin-left:5.55pt;margin-top:310.9pt;width:495.1pt;height:130.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qBQLQIAAFUEAAAOAAAAZHJzL2Uyb0RvYy54bWysVE2P2jAQvVfqf7B8LwmUBTYirCgrqkpo&#10;dyW22rNxbBLJ8bi2IaG/vmMnfHTbU9WLM+MZP8+8ec78oa0VOQrrKtA5HQ5SSoTmUFR6n9Pvr+tP&#10;M0qcZ7pgCrTI6Uk4+rD4+GHemEyMoARVCEsQRLusMTktvTdZkjheipq5ARihMSjB1syja/dJYVmD&#10;6LVKRmk6SRqwhbHAhXO4+9gF6SLiSym4f5bSCU9UTrE2H1cb111Yk8WcZXvLTFnxvgz2D1XUrNJ4&#10;6QXqkXlGDrb6A6quuAUH0g841AlIWXERe8Buhum7brYlMyL2guQ4c6HJ/T9Y/nTcmhdLfPsFWhxg&#10;IKQxLnO4Gfpppa3DFyslGEcKTxfaROsJx83JaDadTjHEMTacTNLZ+D7gJNfjxjr/VUBNgpFTi3OJ&#10;dLHjxvku9ZwSbnOgqmJdKRWdoAWxUpYcGU5R+Vgkgv+WpTRpsJTPd2kE1hCOd8hKYy3XpoLl213b&#10;d7qD4oQEWOi04QxfV1jkhjn/wiyKARtDgftnXKQCvAR6i5IS7M+/7Yd8nBFGKWlQXDl1Pw7MCkrU&#10;N43Tux+Ox0GN0RnfTUfo2NvI7jaiD/UKsPMhPiXDoxnyvTqb0kL9hu9gGW7FENMc786pP5sr30ke&#10;3xEXy2VMQv0Z5jd6a3iADkyHEby2b8yafk4eR/wEZxmy7N24utxwUsPy4EFWcZaB4I7VnnfUblRD&#10;/87C47j1Y9b1b7D4BQAA//8DAFBLAwQUAAYACAAAACEAx8foIuEAAAALAQAADwAAAGRycy9kb3du&#10;cmV2LnhtbEyPy07DMBBF90j8gzVIbBC13UCJQpwKIR5SdzQtiJ0bD0lEPI5iNwl/j7uC5dUc3Tk3&#10;X8+2YyMOvnWkQC4EMKTKmZZqBbvy+ToF5oMmoztHqOAHPayL87NcZ8ZN9IbjNtQslpDPtIImhD7j&#10;3FcNWu0XrkeKty83WB1iHGpuBj3FctvxpRArbnVL8UOje3xssPreHq2Cz6v6Y+Pnl/2U3Cb90+tY&#10;3r2bUqnLi/nhHljAOfzBcNKP6lBEp4M7kvGsi1nKSCpYLWWccAKEkAmwg4I0TW6AFzn/v6H4BQAA&#10;//8DAFBLAQItABQABgAIAAAAIQC2gziS/gAAAOEBAAATAAAAAAAAAAAAAAAAAAAAAABbQ29udGVu&#10;dF9UeXBlc10ueG1sUEsBAi0AFAAGAAgAAAAhADj9If/WAAAAlAEAAAsAAAAAAAAAAAAAAAAALwEA&#10;AF9yZWxzLy5yZWxzUEsBAi0AFAAGAAgAAAAhANp6oFAtAgAAVQQAAA4AAAAAAAAAAAAAAAAALgIA&#10;AGRycy9lMm9Eb2MueG1sUEsBAi0AFAAGAAgAAAAhAMfH6CLhAAAACwEAAA8AAAAAAAAAAAAAAAAA&#10;hwQAAGRycy9kb3ducmV2LnhtbFBLBQYAAAAABAAEAPMAAACVBQAAAAA=&#10;" fillcolor="white [3201]" stroked="f" strokeweight=".5pt">
                <v:textbox>
                  <w:txbxContent>
                    <w:p w14:paraId="063E2ADD" w14:textId="77777777" w:rsidR="00654AAF" w:rsidRPr="00CC36E3" w:rsidRDefault="00654AAF" w:rsidP="005F00E9">
                      <w:pPr>
                        <w:pStyle w:val="Heading2"/>
                      </w:pPr>
                      <w:bookmarkStart w:id="4" w:name="_Toc44397352"/>
                      <w:bookmarkStart w:id="5" w:name="_Toc44397516"/>
                      <w:bookmarkStart w:id="6" w:name="_Toc44397874"/>
                      <w:bookmarkStart w:id="7" w:name="_Toc103871422"/>
                      <w:r w:rsidRPr="00CC36E3">
                        <w:t>Document version control</w:t>
                      </w:r>
                      <w:bookmarkEnd w:id="4"/>
                      <w:bookmarkEnd w:id="5"/>
                      <w:bookmarkEnd w:id="6"/>
                      <w:bookmarkEnd w:id="7"/>
                    </w:p>
                    <w:tbl>
                      <w:tblPr>
                        <w:tblStyle w:val="TableGrid"/>
                        <w:tblW w:w="9864" w:type="dxa"/>
                        <w:tblLayout w:type="fixed"/>
                        <w:tblLook w:val="04A0" w:firstRow="1" w:lastRow="0" w:firstColumn="1" w:lastColumn="0" w:noHBand="0" w:noVBand="1"/>
                      </w:tblPr>
                      <w:tblGrid>
                        <w:gridCol w:w="2466"/>
                        <w:gridCol w:w="2466"/>
                        <w:gridCol w:w="2466"/>
                        <w:gridCol w:w="2466"/>
                      </w:tblGrid>
                      <w:tr w:rsidR="00654AAF" w:rsidRPr="00CC36E3" w14:paraId="39B7E926" w14:textId="77777777" w:rsidTr="008C7F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6" w:type="dxa"/>
                          </w:tcPr>
                          <w:p w14:paraId="19FF042E" w14:textId="77777777" w:rsidR="00654AAF" w:rsidRPr="00CC36E3" w:rsidRDefault="00654AAF" w:rsidP="005F00E9">
                            <w:pPr>
                              <w:rPr>
                                <w:bCs/>
                              </w:rPr>
                            </w:pPr>
                            <w:r w:rsidRPr="00CC36E3">
                              <w:t>Version</w:t>
                            </w:r>
                          </w:p>
                        </w:tc>
                        <w:tc>
                          <w:tcPr>
                            <w:tcW w:w="2466" w:type="dxa"/>
                          </w:tcPr>
                          <w:p w14:paraId="67500C69" w14:textId="77777777" w:rsidR="00654AAF" w:rsidRPr="00CC36E3" w:rsidRDefault="00654AAF" w:rsidP="005F00E9">
                            <w:pPr>
                              <w:cnfStyle w:val="100000000000" w:firstRow="1" w:lastRow="0" w:firstColumn="0" w:lastColumn="0" w:oddVBand="0" w:evenVBand="0" w:oddHBand="0" w:evenHBand="0" w:firstRowFirstColumn="0" w:firstRowLastColumn="0" w:lastRowFirstColumn="0" w:lastRowLastColumn="0"/>
                              <w:rPr>
                                <w:b w:val="0"/>
                                <w:bCs/>
                              </w:rPr>
                            </w:pPr>
                            <w:r w:rsidRPr="00CC36E3">
                              <w:t>Date</w:t>
                            </w:r>
                          </w:p>
                        </w:tc>
                        <w:tc>
                          <w:tcPr>
                            <w:tcW w:w="2466" w:type="dxa"/>
                          </w:tcPr>
                          <w:p w14:paraId="04F8FEBA" w14:textId="77777777" w:rsidR="00654AAF" w:rsidRPr="00CC36E3" w:rsidRDefault="00654AAF" w:rsidP="005F00E9">
                            <w:pPr>
                              <w:cnfStyle w:val="100000000000" w:firstRow="1" w:lastRow="0" w:firstColumn="0" w:lastColumn="0" w:oddVBand="0" w:evenVBand="0" w:oddHBand="0" w:evenHBand="0" w:firstRowFirstColumn="0" w:firstRowLastColumn="0" w:lastRowFirstColumn="0" w:lastRowLastColumn="0"/>
                              <w:rPr>
                                <w:b w:val="0"/>
                                <w:bCs/>
                              </w:rPr>
                            </w:pPr>
                            <w:r w:rsidRPr="00CC36E3">
                              <w:t>Updated by</w:t>
                            </w:r>
                          </w:p>
                        </w:tc>
                        <w:tc>
                          <w:tcPr>
                            <w:tcW w:w="2466" w:type="dxa"/>
                          </w:tcPr>
                          <w:p w14:paraId="5F50CC3B" w14:textId="77777777" w:rsidR="00654AAF" w:rsidRPr="00CC36E3" w:rsidRDefault="00654AAF" w:rsidP="005F00E9">
                            <w:pPr>
                              <w:cnfStyle w:val="100000000000" w:firstRow="1" w:lastRow="0" w:firstColumn="0" w:lastColumn="0" w:oddVBand="0" w:evenVBand="0" w:oddHBand="0" w:evenHBand="0" w:firstRowFirstColumn="0" w:firstRowLastColumn="0" w:lastRowFirstColumn="0" w:lastRowLastColumn="0"/>
                              <w:rPr>
                                <w:b w:val="0"/>
                                <w:bCs/>
                              </w:rPr>
                            </w:pPr>
                            <w:r w:rsidRPr="00CC36E3">
                              <w:t>Comment</w:t>
                            </w:r>
                          </w:p>
                        </w:tc>
                      </w:tr>
                      <w:tr w:rsidR="00654AAF" w:rsidRPr="00CC36E3" w14:paraId="4771A001" w14:textId="77777777" w:rsidTr="00F10F6C">
                        <w:tc>
                          <w:tcPr>
                            <w:cnfStyle w:val="001000000000" w:firstRow="0" w:lastRow="0" w:firstColumn="1" w:lastColumn="0" w:oddVBand="0" w:evenVBand="0" w:oddHBand="0" w:evenHBand="0" w:firstRowFirstColumn="0" w:firstRowLastColumn="0" w:lastRowFirstColumn="0" w:lastRowLastColumn="0"/>
                            <w:tcW w:w="2466" w:type="dxa"/>
                            <w:tcBorders>
                              <w:bottom w:val="single" w:sz="2" w:space="0" w:color="80808B" w:themeColor="accent5"/>
                            </w:tcBorders>
                          </w:tcPr>
                          <w:p w14:paraId="5F7817FE" w14:textId="77777777" w:rsidR="00654AAF" w:rsidRPr="002C4BA9" w:rsidRDefault="00654AAF" w:rsidP="005F00E9">
                            <w:r w:rsidRPr="002C4BA9">
                              <w:t>1.0</w:t>
                            </w:r>
                          </w:p>
                        </w:tc>
                        <w:tc>
                          <w:tcPr>
                            <w:tcW w:w="2466" w:type="dxa"/>
                            <w:tcBorders>
                              <w:bottom w:val="single" w:sz="2" w:space="0" w:color="80808B" w:themeColor="accent5"/>
                            </w:tcBorders>
                          </w:tcPr>
                          <w:p w14:paraId="1D3D462A" w14:textId="34242377" w:rsidR="00654AAF" w:rsidRPr="002C4BA9" w:rsidRDefault="00585DF2" w:rsidP="005F00E9">
                            <w:pPr>
                              <w:cnfStyle w:val="000000000000" w:firstRow="0" w:lastRow="0" w:firstColumn="0" w:lastColumn="0" w:oddVBand="0" w:evenVBand="0" w:oddHBand="0" w:evenHBand="0" w:firstRowFirstColumn="0" w:firstRowLastColumn="0" w:lastRowFirstColumn="0" w:lastRowLastColumn="0"/>
                            </w:pPr>
                            <w:r>
                              <w:t>12</w:t>
                            </w:r>
                            <w:r w:rsidR="00454C1F">
                              <w:t>/0</w:t>
                            </w:r>
                            <w:r>
                              <w:t>7</w:t>
                            </w:r>
                            <w:r w:rsidR="00454C1F">
                              <w:t>/2022</w:t>
                            </w:r>
                          </w:p>
                        </w:tc>
                        <w:tc>
                          <w:tcPr>
                            <w:tcW w:w="2466" w:type="dxa"/>
                            <w:tcBorders>
                              <w:bottom w:val="single" w:sz="2" w:space="0" w:color="80808B" w:themeColor="accent5"/>
                            </w:tcBorders>
                          </w:tcPr>
                          <w:p w14:paraId="52B97965" w14:textId="0E75BA25" w:rsidR="00654AAF" w:rsidRPr="002C4BA9" w:rsidRDefault="00C515C1" w:rsidP="005F00E9">
                            <w:pPr>
                              <w:cnfStyle w:val="000000000000" w:firstRow="0" w:lastRow="0" w:firstColumn="0" w:lastColumn="0" w:oddVBand="0" w:evenVBand="0" w:oddHBand="0" w:evenHBand="0" w:firstRowFirstColumn="0" w:firstRowLastColumn="0" w:lastRowFirstColumn="0" w:lastRowLastColumn="0"/>
                            </w:pPr>
                            <w:r>
                              <w:t>Medicines Improvement</w:t>
                            </w:r>
                            <w:r w:rsidR="00CB6EF2">
                              <w:t>, System Safety</w:t>
                            </w:r>
                          </w:p>
                        </w:tc>
                        <w:tc>
                          <w:tcPr>
                            <w:tcW w:w="2466" w:type="dxa"/>
                            <w:tcBorders>
                              <w:bottom w:val="single" w:sz="2" w:space="0" w:color="80808B" w:themeColor="accent5"/>
                            </w:tcBorders>
                          </w:tcPr>
                          <w:p w14:paraId="3073041D" w14:textId="77777777" w:rsidR="00654AAF" w:rsidRPr="002C4BA9" w:rsidRDefault="00654AAF" w:rsidP="005F00E9">
                            <w:pPr>
                              <w:cnfStyle w:val="000000000000" w:firstRow="0" w:lastRow="0" w:firstColumn="0" w:lastColumn="0" w:oddVBand="0" w:evenVBand="0" w:oddHBand="0" w:evenHBand="0" w:firstRowFirstColumn="0" w:firstRowLastColumn="0" w:lastRowFirstColumn="0" w:lastRowLastColumn="0"/>
                            </w:pPr>
                          </w:p>
                        </w:tc>
                      </w:tr>
                      <w:tr w:rsidR="008C7FC3" w:rsidRPr="00CC36E3" w14:paraId="139C361A" w14:textId="77777777" w:rsidTr="00DD2BD9">
                        <w:trPr>
                          <w:trHeight w:val="2835"/>
                        </w:trPr>
                        <w:tc>
                          <w:tcPr>
                            <w:cnfStyle w:val="001000000000" w:firstRow="0" w:lastRow="0" w:firstColumn="1" w:lastColumn="0" w:oddVBand="0" w:evenVBand="0" w:oddHBand="0" w:evenHBand="0" w:firstRowFirstColumn="0" w:firstRowLastColumn="0" w:lastRowFirstColumn="0" w:lastRowLastColumn="0"/>
                            <w:tcW w:w="2466" w:type="dxa"/>
                          </w:tcPr>
                          <w:p w14:paraId="144A3FA9" w14:textId="1F22C995" w:rsidR="008C7FC3" w:rsidRPr="002C4BA9" w:rsidRDefault="005835A8" w:rsidP="008C7FC3">
                            <w:r>
                              <w:t>2</w:t>
                            </w:r>
                            <w:r w:rsidR="008C7FC3" w:rsidRPr="002C4BA9">
                              <w:t>.0</w:t>
                            </w:r>
                          </w:p>
                        </w:tc>
                        <w:tc>
                          <w:tcPr>
                            <w:tcW w:w="2466" w:type="dxa"/>
                          </w:tcPr>
                          <w:p w14:paraId="7F78E479" w14:textId="790A27A8" w:rsidR="008C7FC3" w:rsidRDefault="008C7FC3" w:rsidP="008C7FC3">
                            <w:pPr>
                              <w:cnfStyle w:val="000000000000" w:firstRow="0" w:lastRow="0" w:firstColumn="0" w:lastColumn="0" w:oddVBand="0" w:evenVBand="0" w:oddHBand="0" w:evenHBand="0" w:firstRowFirstColumn="0" w:firstRowLastColumn="0" w:lastRowFirstColumn="0" w:lastRowLastColumn="0"/>
                            </w:pPr>
                            <w:r>
                              <w:t>12/06/2025</w:t>
                            </w:r>
                          </w:p>
                        </w:tc>
                        <w:tc>
                          <w:tcPr>
                            <w:tcW w:w="2466" w:type="dxa"/>
                          </w:tcPr>
                          <w:p w14:paraId="5BE1EAFE" w14:textId="387A9F36" w:rsidR="008C7FC3" w:rsidRDefault="008C7FC3" w:rsidP="008C7FC3">
                            <w:pPr>
                              <w:cnfStyle w:val="000000000000" w:firstRow="0" w:lastRow="0" w:firstColumn="0" w:lastColumn="0" w:oddVBand="0" w:evenVBand="0" w:oddHBand="0" w:evenHBand="0" w:firstRowFirstColumn="0" w:firstRowLastColumn="0" w:lastRowFirstColumn="0" w:lastRowLastColumn="0"/>
                            </w:pPr>
                            <w:r>
                              <w:t xml:space="preserve">Medicines </w:t>
                            </w:r>
                            <w:r w:rsidR="00DD2BD9">
                              <w:t>Improvement, Clinical and Professional Leadership Unit</w:t>
                            </w:r>
                          </w:p>
                        </w:tc>
                        <w:tc>
                          <w:tcPr>
                            <w:tcW w:w="2466" w:type="dxa"/>
                          </w:tcPr>
                          <w:p w14:paraId="050107FD" w14:textId="3F77CEB4" w:rsidR="008C7FC3" w:rsidRPr="002C4BA9" w:rsidRDefault="00B470D7" w:rsidP="008C7FC3">
                            <w:pPr>
                              <w:cnfStyle w:val="000000000000" w:firstRow="0" w:lastRow="0" w:firstColumn="0" w:lastColumn="0" w:oddVBand="0" w:evenVBand="0" w:oddHBand="0" w:evenHBand="0" w:firstRowFirstColumn="0" w:firstRowLastColumn="0" w:lastRowFirstColumn="0" w:lastRowLastColumn="0"/>
                            </w:pPr>
                            <w:r>
                              <w:t>Minor revision</w:t>
                            </w:r>
                          </w:p>
                        </w:tc>
                      </w:tr>
                    </w:tbl>
                    <w:p w14:paraId="0E653AEA" w14:textId="77777777" w:rsidR="00654AAF" w:rsidRDefault="00654AAF" w:rsidP="005F00E9"/>
                  </w:txbxContent>
                </v:textbox>
              </v:shape>
            </w:pict>
          </mc:Fallback>
        </mc:AlternateContent>
      </w:r>
      <w:r w:rsidR="00044789">
        <w:br w:type="page"/>
      </w:r>
    </w:p>
    <w:p w14:paraId="3FA72C61" w14:textId="32C864BC" w:rsidR="0086277A" w:rsidRDefault="007C4073">
      <w:pPr>
        <w:sectPr w:rsidR="0086277A" w:rsidSect="007C4073">
          <w:headerReference w:type="first" r:id="rId17"/>
          <w:footerReference w:type="first" r:id="rId18"/>
          <w:pgSz w:w="11906" w:h="16838" w:code="9"/>
          <w:pgMar w:top="3402" w:right="851" w:bottom="1361" w:left="851" w:header="539" w:footer="624" w:gutter="0"/>
          <w:cols w:num="2" w:space="284"/>
          <w:docGrid w:linePitch="360"/>
        </w:sectPr>
      </w:pPr>
      <w:r>
        <w:rPr>
          <w:noProof/>
        </w:rPr>
        <w:lastRenderedPageBreak/>
        <w:drawing>
          <wp:anchor distT="0" distB="0" distL="114300" distR="114300" simplePos="0" relativeHeight="251658240" behindDoc="1" locked="1" layoutInCell="1" allowOverlap="1" wp14:anchorId="481D7E8F" wp14:editId="767D6ADF">
            <wp:simplePos x="0" y="0"/>
            <wp:positionH relativeFrom="page">
              <wp:align>left</wp:align>
            </wp:positionH>
            <wp:positionV relativeFrom="page">
              <wp:posOffset>-234950</wp:posOffset>
            </wp:positionV>
            <wp:extent cx="7559675" cy="10691495"/>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side artwork.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p>
    <w:bookmarkStart w:id="8" w:name="_Toc43388516" w:displacedByCustomXml="next"/>
    <w:bookmarkStart w:id="9" w:name="_Toc43383628" w:displacedByCustomXml="next"/>
    <w:sdt>
      <w:sdtPr>
        <w:rPr>
          <w:rFonts w:ascii="VIC" w:eastAsia="Arial" w:hAnsi="VIC" w:cstheme="minorBidi"/>
          <w:color w:val="auto"/>
          <w:spacing w:val="0"/>
          <w:sz w:val="20"/>
          <w:szCs w:val="20"/>
        </w:rPr>
        <w:id w:val="300809668"/>
        <w:docPartObj>
          <w:docPartGallery w:val="Table of Contents"/>
          <w:docPartUnique/>
        </w:docPartObj>
      </w:sdtPr>
      <w:sdtEndPr>
        <w:rPr>
          <w:bCs/>
          <w:noProof/>
        </w:rPr>
      </w:sdtEndPr>
      <w:sdtContent>
        <w:p w14:paraId="27F9739A" w14:textId="3FDC7EBC" w:rsidR="00C5410D" w:rsidRDefault="00C5410D" w:rsidP="00185A02">
          <w:pPr>
            <w:pStyle w:val="TOCHeading"/>
            <w:framePr w:wrap="around"/>
          </w:pPr>
          <w:r>
            <w:t>Contents</w:t>
          </w:r>
        </w:p>
        <w:p w14:paraId="22502E76" w14:textId="1884EFBE" w:rsidR="006D6246" w:rsidRDefault="00C5410D">
          <w:pPr>
            <w:pStyle w:val="TOC2"/>
            <w:rPr>
              <w:rFonts w:asciiTheme="minorHAnsi" w:eastAsiaTheme="minorEastAsia" w:hAnsiTheme="minorHAnsi"/>
              <w:b w:val="0"/>
              <w:color w:val="auto"/>
              <w:sz w:val="22"/>
              <w:szCs w:val="22"/>
            </w:rPr>
          </w:pPr>
          <w:r>
            <w:fldChar w:fldCharType="begin"/>
          </w:r>
          <w:r>
            <w:instrText xml:space="preserve"> TOC \o "1-2" \h \z \u </w:instrText>
          </w:r>
          <w:r>
            <w:fldChar w:fldCharType="separate"/>
          </w:r>
          <w:hyperlink r:id="rId20" w:anchor="_Toc103871422" w:history="1">
            <w:r w:rsidR="006D6246" w:rsidRPr="009E0376">
              <w:rPr>
                <w:rStyle w:val="Hyperlink"/>
              </w:rPr>
              <w:t>Document version control</w:t>
            </w:r>
            <w:r w:rsidR="006D6246">
              <w:rPr>
                <w:webHidden/>
              </w:rPr>
              <w:tab/>
            </w:r>
            <w:r w:rsidR="006D6246">
              <w:rPr>
                <w:webHidden/>
              </w:rPr>
              <w:fldChar w:fldCharType="begin"/>
            </w:r>
            <w:r w:rsidR="006D6246">
              <w:rPr>
                <w:webHidden/>
              </w:rPr>
              <w:instrText xml:space="preserve"> PAGEREF _Toc103871422 \h </w:instrText>
            </w:r>
            <w:r w:rsidR="006D6246">
              <w:rPr>
                <w:webHidden/>
              </w:rPr>
            </w:r>
            <w:r w:rsidR="006D6246">
              <w:rPr>
                <w:webHidden/>
              </w:rPr>
              <w:fldChar w:fldCharType="separate"/>
            </w:r>
            <w:r w:rsidR="00987364">
              <w:rPr>
                <w:webHidden/>
              </w:rPr>
              <w:t>2</w:t>
            </w:r>
            <w:r w:rsidR="006D6246">
              <w:rPr>
                <w:webHidden/>
              </w:rPr>
              <w:fldChar w:fldCharType="end"/>
            </w:r>
          </w:hyperlink>
        </w:p>
        <w:p w14:paraId="791335F0" w14:textId="6CA882B8" w:rsidR="006D6246" w:rsidRDefault="006D6246">
          <w:pPr>
            <w:pStyle w:val="TOC1"/>
            <w:rPr>
              <w:rFonts w:asciiTheme="minorHAnsi" w:eastAsiaTheme="minorEastAsia" w:hAnsiTheme="minorHAnsi"/>
              <w:b w:val="0"/>
              <w:sz w:val="22"/>
              <w:szCs w:val="22"/>
              <w:lang w:eastAsia="en-AU"/>
            </w:rPr>
          </w:pPr>
          <w:hyperlink w:anchor="_Toc103871423" w:history="1">
            <w:r w:rsidRPr="009E0376">
              <w:rPr>
                <w:rStyle w:val="Hyperlink"/>
              </w:rPr>
              <w:t>What is this document about?</w:t>
            </w:r>
            <w:r>
              <w:rPr>
                <w:webHidden/>
              </w:rPr>
              <w:tab/>
            </w:r>
            <w:r>
              <w:rPr>
                <w:webHidden/>
              </w:rPr>
              <w:fldChar w:fldCharType="begin"/>
            </w:r>
            <w:r>
              <w:rPr>
                <w:webHidden/>
              </w:rPr>
              <w:instrText xml:space="preserve"> PAGEREF _Toc103871423 \h </w:instrText>
            </w:r>
            <w:r>
              <w:rPr>
                <w:webHidden/>
              </w:rPr>
            </w:r>
            <w:r>
              <w:rPr>
                <w:webHidden/>
              </w:rPr>
              <w:fldChar w:fldCharType="separate"/>
            </w:r>
            <w:r w:rsidR="00987364">
              <w:rPr>
                <w:webHidden/>
              </w:rPr>
              <w:t>4</w:t>
            </w:r>
            <w:r>
              <w:rPr>
                <w:webHidden/>
              </w:rPr>
              <w:fldChar w:fldCharType="end"/>
            </w:r>
          </w:hyperlink>
        </w:p>
        <w:p w14:paraId="7109268E" w14:textId="31AA3C5A" w:rsidR="006D6246" w:rsidRDefault="006D6246">
          <w:pPr>
            <w:pStyle w:val="TOC2"/>
            <w:rPr>
              <w:rFonts w:asciiTheme="minorHAnsi" w:eastAsiaTheme="minorEastAsia" w:hAnsiTheme="minorHAnsi"/>
              <w:b w:val="0"/>
              <w:color w:val="auto"/>
              <w:sz w:val="22"/>
              <w:szCs w:val="22"/>
            </w:rPr>
          </w:pPr>
          <w:hyperlink w:anchor="_Toc103871424" w:history="1">
            <w:r w:rsidRPr="009E0376">
              <w:rPr>
                <w:rStyle w:val="Hyperlink"/>
              </w:rPr>
              <w:t>Who should read this document?</w:t>
            </w:r>
            <w:r>
              <w:rPr>
                <w:webHidden/>
              </w:rPr>
              <w:tab/>
            </w:r>
            <w:r>
              <w:rPr>
                <w:webHidden/>
              </w:rPr>
              <w:fldChar w:fldCharType="begin"/>
            </w:r>
            <w:r>
              <w:rPr>
                <w:webHidden/>
              </w:rPr>
              <w:instrText xml:space="preserve"> PAGEREF _Toc103871424 \h </w:instrText>
            </w:r>
            <w:r>
              <w:rPr>
                <w:webHidden/>
              </w:rPr>
            </w:r>
            <w:r>
              <w:rPr>
                <w:webHidden/>
              </w:rPr>
              <w:fldChar w:fldCharType="separate"/>
            </w:r>
            <w:r w:rsidR="00987364">
              <w:rPr>
                <w:webHidden/>
              </w:rPr>
              <w:t>4</w:t>
            </w:r>
            <w:r>
              <w:rPr>
                <w:webHidden/>
              </w:rPr>
              <w:fldChar w:fldCharType="end"/>
            </w:r>
          </w:hyperlink>
        </w:p>
        <w:p w14:paraId="071904DC" w14:textId="4E09CC54" w:rsidR="006D6246" w:rsidRDefault="006D6246">
          <w:pPr>
            <w:pStyle w:val="TOC1"/>
            <w:rPr>
              <w:rFonts w:asciiTheme="minorHAnsi" w:eastAsiaTheme="minorEastAsia" w:hAnsiTheme="minorHAnsi"/>
              <w:b w:val="0"/>
              <w:sz w:val="22"/>
              <w:szCs w:val="22"/>
              <w:lang w:eastAsia="en-AU"/>
            </w:rPr>
          </w:pPr>
          <w:hyperlink w:anchor="_Toc103871425" w:history="1">
            <w:r w:rsidRPr="009E0376">
              <w:rPr>
                <w:rStyle w:val="Hyperlink"/>
              </w:rPr>
              <w:t>Background</w:t>
            </w:r>
            <w:r>
              <w:rPr>
                <w:webHidden/>
              </w:rPr>
              <w:tab/>
            </w:r>
            <w:r>
              <w:rPr>
                <w:webHidden/>
              </w:rPr>
              <w:fldChar w:fldCharType="begin"/>
            </w:r>
            <w:r>
              <w:rPr>
                <w:webHidden/>
              </w:rPr>
              <w:instrText xml:space="preserve"> PAGEREF _Toc103871425 \h </w:instrText>
            </w:r>
            <w:r>
              <w:rPr>
                <w:webHidden/>
              </w:rPr>
            </w:r>
            <w:r>
              <w:rPr>
                <w:webHidden/>
              </w:rPr>
              <w:fldChar w:fldCharType="separate"/>
            </w:r>
            <w:r w:rsidR="00987364">
              <w:rPr>
                <w:webHidden/>
              </w:rPr>
              <w:t>5</w:t>
            </w:r>
            <w:r>
              <w:rPr>
                <w:webHidden/>
              </w:rPr>
              <w:fldChar w:fldCharType="end"/>
            </w:r>
          </w:hyperlink>
        </w:p>
        <w:p w14:paraId="65DC155B" w14:textId="6FBE0B4C" w:rsidR="006D6246" w:rsidRDefault="006D6246">
          <w:pPr>
            <w:pStyle w:val="TOC2"/>
            <w:rPr>
              <w:rFonts w:asciiTheme="minorHAnsi" w:eastAsiaTheme="minorEastAsia" w:hAnsiTheme="minorHAnsi"/>
              <w:b w:val="0"/>
              <w:color w:val="auto"/>
              <w:sz w:val="22"/>
              <w:szCs w:val="22"/>
            </w:rPr>
          </w:pPr>
          <w:hyperlink w:anchor="_Toc103871426" w:history="1">
            <w:r w:rsidRPr="009E0376">
              <w:rPr>
                <w:rStyle w:val="Hyperlink"/>
              </w:rPr>
              <w:t>Development of the AGS toolkit</w:t>
            </w:r>
            <w:r>
              <w:rPr>
                <w:webHidden/>
              </w:rPr>
              <w:tab/>
            </w:r>
            <w:r>
              <w:rPr>
                <w:webHidden/>
              </w:rPr>
              <w:fldChar w:fldCharType="begin"/>
            </w:r>
            <w:r>
              <w:rPr>
                <w:webHidden/>
              </w:rPr>
              <w:instrText xml:space="preserve"> PAGEREF _Toc103871426 \h </w:instrText>
            </w:r>
            <w:r>
              <w:rPr>
                <w:webHidden/>
              </w:rPr>
            </w:r>
            <w:r>
              <w:rPr>
                <w:webHidden/>
              </w:rPr>
              <w:fldChar w:fldCharType="separate"/>
            </w:r>
            <w:r w:rsidR="00987364">
              <w:rPr>
                <w:webHidden/>
              </w:rPr>
              <w:t>6</w:t>
            </w:r>
            <w:r>
              <w:rPr>
                <w:webHidden/>
              </w:rPr>
              <w:fldChar w:fldCharType="end"/>
            </w:r>
          </w:hyperlink>
        </w:p>
        <w:p w14:paraId="472C2F0E" w14:textId="4E0D39F8" w:rsidR="006D6246" w:rsidRDefault="008E53BA">
          <w:pPr>
            <w:pStyle w:val="TOC2"/>
            <w:rPr>
              <w:rFonts w:asciiTheme="minorHAnsi" w:eastAsiaTheme="minorEastAsia" w:hAnsiTheme="minorHAnsi"/>
              <w:b w:val="0"/>
              <w:color w:val="auto"/>
              <w:sz w:val="22"/>
              <w:szCs w:val="22"/>
            </w:rPr>
          </w:pPr>
          <w:hyperlink w:anchor="_Toc103871427" w:history="1">
            <w:r>
              <w:rPr>
                <w:rStyle w:val="Hyperlink"/>
              </w:rPr>
              <w:t>A</w:t>
            </w:r>
            <w:r w:rsidR="006D6246" w:rsidRPr="009E0376">
              <w:rPr>
                <w:rStyle w:val="Hyperlink"/>
              </w:rPr>
              <w:t>cknowledgements</w:t>
            </w:r>
            <w:r w:rsidR="006D6246">
              <w:rPr>
                <w:webHidden/>
              </w:rPr>
              <w:tab/>
            </w:r>
            <w:r w:rsidR="006D6246">
              <w:rPr>
                <w:webHidden/>
              </w:rPr>
              <w:fldChar w:fldCharType="begin"/>
            </w:r>
            <w:r w:rsidR="006D6246">
              <w:rPr>
                <w:webHidden/>
              </w:rPr>
              <w:instrText xml:space="preserve"> PAGEREF _Toc103871427 \h </w:instrText>
            </w:r>
            <w:r w:rsidR="006D6246">
              <w:rPr>
                <w:webHidden/>
              </w:rPr>
            </w:r>
            <w:r w:rsidR="006D6246">
              <w:rPr>
                <w:webHidden/>
              </w:rPr>
              <w:fldChar w:fldCharType="separate"/>
            </w:r>
            <w:r w:rsidR="00987364">
              <w:rPr>
                <w:webHidden/>
              </w:rPr>
              <w:t>6</w:t>
            </w:r>
            <w:r w:rsidR="006D6246">
              <w:rPr>
                <w:webHidden/>
              </w:rPr>
              <w:fldChar w:fldCharType="end"/>
            </w:r>
          </w:hyperlink>
        </w:p>
        <w:p w14:paraId="0516149D" w14:textId="7B081D35" w:rsidR="006D6246" w:rsidRDefault="006D6246">
          <w:pPr>
            <w:pStyle w:val="TOC2"/>
            <w:rPr>
              <w:rFonts w:asciiTheme="minorHAnsi" w:eastAsiaTheme="minorEastAsia" w:hAnsiTheme="minorHAnsi"/>
              <w:b w:val="0"/>
              <w:color w:val="auto"/>
              <w:sz w:val="22"/>
              <w:szCs w:val="22"/>
            </w:rPr>
          </w:pPr>
          <w:hyperlink w:anchor="_Toc103871428" w:history="1">
            <w:r w:rsidRPr="009E0376">
              <w:rPr>
                <w:rStyle w:val="Hyperlink"/>
              </w:rPr>
              <w:t>Further information</w:t>
            </w:r>
            <w:r>
              <w:rPr>
                <w:webHidden/>
              </w:rPr>
              <w:tab/>
            </w:r>
            <w:r>
              <w:rPr>
                <w:webHidden/>
              </w:rPr>
              <w:fldChar w:fldCharType="begin"/>
            </w:r>
            <w:r>
              <w:rPr>
                <w:webHidden/>
              </w:rPr>
              <w:instrText xml:space="preserve"> PAGEREF _Toc103871428 \h </w:instrText>
            </w:r>
            <w:r>
              <w:rPr>
                <w:webHidden/>
              </w:rPr>
            </w:r>
            <w:r>
              <w:rPr>
                <w:webHidden/>
              </w:rPr>
              <w:fldChar w:fldCharType="separate"/>
            </w:r>
            <w:r w:rsidR="00987364">
              <w:rPr>
                <w:webHidden/>
              </w:rPr>
              <w:t>6</w:t>
            </w:r>
            <w:r>
              <w:rPr>
                <w:webHidden/>
              </w:rPr>
              <w:fldChar w:fldCharType="end"/>
            </w:r>
          </w:hyperlink>
        </w:p>
        <w:p w14:paraId="3B218D6C" w14:textId="48B1DBF5" w:rsidR="006D6246" w:rsidRDefault="00D46DDC">
          <w:pPr>
            <w:pStyle w:val="TOC1"/>
            <w:rPr>
              <w:rFonts w:asciiTheme="minorHAnsi" w:eastAsiaTheme="minorEastAsia" w:hAnsiTheme="minorHAnsi"/>
              <w:b w:val="0"/>
              <w:sz w:val="22"/>
              <w:szCs w:val="22"/>
              <w:lang w:eastAsia="en-AU"/>
            </w:rPr>
          </w:pPr>
          <w:hyperlink w:anchor="_Toc103871429" w:history="1">
            <w:r>
              <w:rPr>
                <w:rStyle w:val="Hyperlink"/>
              </w:rPr>
              <w:t>Using</w:t>
            </w:r>
            <w:r w:rsidR="006D6246" w:rsidRPr="009E0376">
              <w:rPr>
                <w:rStyle w:val="Hyperlink"/>
              </w:rPr>
              <w:t xml:space="preserve"> the AGS toolkit</w:t>
            </w:r>
            <w:r w:rsidR="006D6246">
              <w:rPr>
                <w:webHidden/>
              </w:rPr>
              <w:tab/>
            </w:r>
            <w:r w:rsidR="006D6246">
              <w:rPr>
                <w:webHidden/>
              </w:rPr>
              <w:fldChar w:fldCharType="begin"/>
            </w:r>
            <w:r w:rsidR="006D6246">
              <w:rPr>
                <w:webHidden/>
              </w:rPr>
              <w:instrText xml:space="preserve"> PAGEREF _Toc103871429 \h </w:instrText>
            </w:r>
            <w:r w:rsidR="006D6246">
              <w:rPr>
                <w:webHidden/>
              </w:rPr>
            </w:r>
            <w:r w:rsidR="006D6246">
              <w:rPr>
                <w:webHidden/>
              </w:rPr>
              <w:fldChar w:fldCharType="separate"/>
            </w:r>
            <w:r w:rsidR="00987364">
              <w:rPr>
                <w:webHidden/>
              </w:rPr>
              <w:t>7</w:t>
            </w:r>
            <w:r w:rsidR="006D6246">
              <w:rPr>
                <w:webHidden/>
              </w:rPr>
              <w:fldChar w:fldCharType="end"/>
            </w:r>
          </w:hyperlink>
        </w:p>
        <w:p w14:paraId="113B3F87" w14:textId="1CC8F6CB" w:rsidR="006D6246" w:rsidRDefault="008E53BA">
          <w:pPr>
            <w:pStyle w:val="TOC2"/>
            <w:rPr>
              <w:rFonts w:asciiTheme="minorHAnsi" w:eastAsiaTheme="minorEastAsia" w:hAnsiTheme="minorHAnsi"/>
              <w:b w:val="0"/>
              <w:color w:val="auto"/>
              <w:sz w:val="22"/>
              <w:szCs w:val="22"/>
            </w:rPr>
          </w:pPr>
          <w:hyperlink w:anchor="_Toc103871430" w:history="1">
            <w:r>
              <w:rPr>
                <w:rStyle w:val="Hyperlink"/>
              </w:rPr>
              <w:t>C</w:t>
            </w:r>
            <w:r w:rsidR="006D6246" w:rsidRPr="009E0376">
              <w:rPr>
                <w:rStyle w:val="Hyperlink"/>
              </w:rPr>
              <w:t>linical care standards</w:t>
            </w:r>
            <w:r w:rsidR="006D6246">
              <w:rPr>
                <w:webHidden/>
              </w:rPr>
              <w:tab/>
            </w:r>
            <w:r w:rsidR="006D6246">
              <w:rPr>
                <w:webHidden/>
              </w:rPr>
              <w:fldChar w:fldCharType="begin"/>
            </w:r>
            <w:r w:rsidR="006D6246">
              <w:rPr>
                <w:webHidden/>
              </w:rPr>
              <w:instrText xml:space="preserve"> PAGEREF _Toc103871430 \h </w:instrText>
            </w:r>
            <w:r w:rsidR="006D6246">
              <w:rPr>
                <w:webHidden/>
              </w:rPr>
            </w:r>
            <w:r w:rsidR="006D6246">
              <w:rPr>
                <w:webHidden/>
              </w:rPr>
              <w:fldChar w:fldCharType="separate"/>
            </w:r>
            <w:r w:rsidR="00987364">
              <w:rPr>
                <w:webHidden/>
              </w:rPr>
              <w:t>8</w:t>
            </w:r>
            <w:r w:rsidR="006D6246">
              <w:rPr>
                <w:webHidden/>
              </w:rPr>
              <w:fldChar w:fldCharType="end"/>
            </w:r>
          </w:hyperlink>
        </w:p>
        <w:p w14:paraId="2900E8F9" w14:textId="60FD4E2C" w:rsidR="006D6246" w:rsidRDefault="006D6246">
          <w:pPr>
            <w:pStyle w:val="TOC1"/>
            <w:rPr>
              <w:rFonts w:asciiTheme="minorHAnsi" w:eastAsiaTheme="minorEastAsia" w:hAnsiTheme="minorHAnsi"/>
              <w:b w:val="0"/>
              <w:sz w:val="22"/>
              <w:szCs w:val="22"/>
              <w:lang w:eastAsia="en-AU"/>
            </w:rPr>
          </w:pPr>
          <w:hyperlink w:anchor="_Toc103871431" w:history="1">
            <w:r w:rsidRPr="009E0376">
              <w:rPr>
                <w:rStyle w:val="Hyperlink"/>
              </w:rPr>
              <w:t>Glossary</w:t>
            </w:r>
            <w:r>
              <w:rPr>
                <w:webHidden/>
              </w:rPr>
              <w:tab/>
            </w:r>
            <w:r>
              <w:rPr>
                <w:webHidden/>
              </w:rPr>
              <w:fldChar w:fldCharType="begin"/>
            </w:r>
            <w:r>
              <w:rPr>
                <w:webHidden/>
              </w:rPr>
              <w:instrText xml:space="preserve"> PAGEREF _Toc103871431 \h </w:instrText>
            </w:r>
            <w:r>
              <w:rPr>
                <w:webHidden/>
              </w:rPr>
            </w:r>
            <w:r>
              <w:rPr>
                <w:webHidden/>
              </w:rPr>
              <w:fldChar w:fldCharType="separate"/>
            </w:r>
            <w:r w:rsidR="00987364">
              <w:rPr>
                <w:webHidden/>
              </w:rPr>
              <w:t>9</w:t>
            </w:r>
            <w:r>
              <w:rPr>
                <w:webHidden/>
              </w:rPr>
              <w:fldChar w:fldCharType="end"/>
            </w:r>
          </w:hyperlink>
        </w:p>
        <w:p w14:paraId="22F66483" w14:textId="3129E7ED" w:rsidR="006D6246" w:rsidRDefault="006D6246">
          <w:pPr>
            <w:pStyle w:val="TOC1"/>
            <w:rPr>
              <w:rFonts w:asciiTheme="minorHAnsi" w:eastAsiaTheme="minorEastAsia" w:hAnsiTheme="minorHAnsi"/>
              <w:b w:val="0"/>
              <w:sz w:val="22"/>
              <w:szCs w:val="22"/>
              <w:lang w:eastAsia="en-AU"/>
            </w:rPr>
          </w:pPr>
          <w:hyperlink w:anchor="_Toc103871432" w:history="1">
            <w:r w:rsidRPr="009E0376">
              <w:rPr>
                <w:rStyle w:val="Hyperlink"/>
              </w:rPr>
              <w:t>Resources</w:t>
            </w:r>
            <w:r w:rsidRPr="009E0376">
              <w:rPr>
                <w:rStyle w:val="Hyperlink"/>
                <w:rFonts w:eastAsia="VIC"/>
              </w:rPr>
              <w:t xml:space="preserve"> and references</w:t>
            </w:r>
            <w:r>
              <w:rPr>
                <w:webHidden/>
              </w:rPr>
              <w:tab/>
            </w:r>
            <w:r>
              <w:rPr>
                <w:webHidden/>
              </w:rPr>
              <w:fldChar w:fldCharType="begin"/>
            </w:r>
            <w:r>
              <w:rPr>
                <w:webHidden/>
              </w:rPr>
              <w:instrText xml:space="preserve"> PAGEREF _Toc103871432 \h </w:instrText>
            </w:r>
            <w:r>
              <w:rPr>
                <w:webHidden/>
              </w:rPr>
            </w:r>
            <w:r>
              <w:rPr>
                <w:webHidden/>
              </w:rPr>
              <w:fldChar w:fldCharType="separate"/>
            </w:r>
            <w:r w:rsidR="00987364">
              <w:rPr>
                <w:webHidden/>
              </w:rPr>
              <w:t>11</w:t>
            </w:r>
            <w:r>
              <w:rPr>
                <w:webHidden/>
              </w:rPr>
              <w:fldChar w:fldCharType="end"/>
            </w:r>
          </w:hyperlink>
        </w:p>
        <w:p w14:paraId="27D4A833" w14:textId="617AB713" w:rsidR="00C5410D" w:rsidRDefault="00C5410D" w:rsidP="00185A02">
          <w:r>
            <w:rPr>
              <w:noProof/>
              <w:lang w:eastAsia="en-US"/>
            </w:rPr>
            <w:fldChar w:fldCharType="end"/>
          </w:r>
        </w:p>
      </w:sdtContent>
    </w:sdt>
    <w:p w14:paraId="6C424A98" w14:textId="77777777" w:rsidR="00C5410D" w:rsidRDefault="00C5410D">
      <w:r>
        <w:br w:type="page"/>
      </w:r>
    </w:p>
    <w:p w14:paraId="7917A0E0" w14:textId="051E08BF" w:rsidR="00C5410D" w:rsidRPr="005F00E9" w:rsidRDefault="00C5410D">
      <w:pPr>
        <w:pStyle w:val="Heading1"/>
        <w:framePr w:wrap="around"/>
      </w:pPr>
      <w:bookmarkStart w:id="10" w:name="_Toc44342433"/>
      <w:bookmarkStart w:id="11" w:name="_Toc103871423"/>
      <w:r w:rsidRPr="005F00E9">
        <w:lastRenderedPageBreak/>
        <w:t>What is this document about?</w:t>
      </w:r>
      <w:bookmarkEnd w:id="9"/>
      <w:bookmarkEnd w:id="8"/>
      <w:bookmarkEnd w:id="10"/>
      <w:bookmarkEnd w:id="11"/>
    </w:p>
    <w:p w14:paraId="45B6D52D" w14:textId="06E1236A" w:rsidR="00C5410D" w:rsidRPr="00CC36E3" w:rsidRDefault="00C5410D">
      <w:r w:rsidRPr="00CC36E3">
        <w:fldChar w:fldCharType="begin"/>
      </w:r>
      <w:r w:rsidRPr="00CC36E3">
        <w:instrText xml:space="preserve"> Macrobutton NoMacro  </w:instrText>
      </w:r>
      <w:r w:rsidRPr="00CC36E3">
        <w:fldChar w:fldCharType="end"/>
      </w:r>
      <w:r w:rsidRPr="00CC36E3">
        <w:t xml:space="preserve">This document is </w:t>
      </w:r>
      <w:r w:rsidR="0015782B">
        <w:t>an</w:t>
      </w:r>
      <w:r w:rsidRPr="00CC36E3">
        <w:t xml:space="preserve"> </w:t>
      </w:r>
      <w:r w:rsidR="007A2651" w:rsidRPr="007A2651">
        <w:rPr>
          <w:b/>
          <w:bCs/>
        </w:rPr>
        <w:t>Analgesic Stewardship Toolkit</w:t>
      </w:r>
      <w:r w:rsidR="0015782B">
        <w:t xml:space="preserve"> designed to assist Victorian health services to develop and embed </w:t>
      </w:r>
      <w:r w:rsidR="001A52F7">
        <w:t>analgesic stewardship programs.</w:t>
      </w:r>
    </w:p>
    <w:p w14:paraId="121CF285" w14:textId="77777777" w:rsidR="00C5410D" w:rsidRPr="005F00E9" w:rsidRDefault="00C5410D">
      <w:r w:rsidRPr="005F00E9">
        <w:t>This document contains:</w:t>
      </w:r>
    </w:p>
    <w:p w14:paraId="17680A02" w14:textId="77777777" w:rsidR="000E5C8A" w:rsidRPr="000E5C8A" w:rsidRDefault="000E5C8A" w:rsidP="00693946">
      <w:pPr>
        <w:pStyle w:val="Bullet1"/>
        <w:rPr>
          <w:rStyle w:val="eop"/>
        </w:rPr>
      </w:pPr>
      <w:r>
        <w:rPr>
          <w:rStyle w:val="normaltextrun"/>
          <w:rFonts w:cs="Arial"/>
        </w:rPr>
        <w:t>s</w:t>
      </w:r>
      <w:r w:rsidR="00693946" w:rsidRPr="00693946">
        <w:rPr>
          <w:rStyle w:val="normaltextrun"/>
          <w:rFonts w:cs="Arial"/>
        </w:rPr>
        <w:t>tructured approaches to governance and accountability, policy, education, monitoring and improvement activities</w:t>
      </w:r>
      <w:r w:rsidR="00693946" w:rsidRPr="00693946">
        <w:rPr>
          <w:rStyle w:val="eop"/>
          <w:rFonts w:ascii="Cambria" w:hAnsi="Cambria" w:cs="Cambria"/>
        </w:rPr>
        <w:t> </w:t>
      </w:r>
    </w:p>
    <w:p w14:paraId="11770020" w14:textId="7404B0A0" w:rsidR="000E5C8A" w:rsidRPr="000E5C8A" w:rsidRDefault="000E5C8A" w:rsidP="00693946">
      <w:pPr>
        <w:pStyle w:val="Bullet1"/>
        <w:rPr>
          <w:rStyle w:val="eop"/>
        </w:rPr>
      </w:pPr>
      <w:r>
        <w:rPr>
          <w:rStyle w:val="normaltextrun"/>
          <w:rFonts w:cs="Arial"/>
        </w:rPr>
        <w:t>f</w:t>
      </w:r>
      <w:r w:rsidR="00693946" w:rsidRPr="000E5C8A">
        <w:rPr>
          <w:rStyle w:val="normaltextrun"/>
          <w:rFonts w:cs="Arial"/>
        </w:rPr>
        <w:t>act</w:t>
      </w:r>
      <w:r w:rsidR="00693946" w:rsidRPr="000E5C8A">
        <w:rPr>
          <w:rStyle w:val="normaltextrun"/>
          <w:rFonts w:ascii="Cambria" w:hAnsi="Cambria" w:cs="Cambria"/>
        </w:rPr>
        <w:t> </w:t>
      </w:r>
      <w:r w:rsidR="00693946" w:rsidRPr="000E5C8A">
        <w:rPr>
          <w:rStyle w:val="normaltextrun"/>
          <w:rFonts w:cs="Arial"/>
        </w:rPr>
        <w:t>sheets</w:t>
      </w:r>
      <w:r w:rsidR="00693946" w:rsidRPr="000E5C8A">
        <w:rPr>
          <w:rStyle w:val="normaltextrun"/>
          <w:rFonts w:ascii="Cambria" w:hAnsi="Cambria" w:cs="Cambria"/>
        </w:rPr>
        <w:t> </w:t>
      </w:r>
      <w:r w:rsidR="00693946" w:rsidRPr="000E5C8A">
        <w:rPr>
          <w:rStyle w:val="normaltextrun"/>
          <w:rFonts w:cs="Arial"/>
        </w:rPr>
        <w:t>to introduce core elements of an analgesic stewardship program</w:t>
      </w:r>
      <w:r w:rsidR="00693946" w:rsidRPr="000E5C8A">
        <w:rPr>
          <w:rStyle w:val="eop"/>
          <w:rFonts w:ascii="Cambria" w:hAnsi="Cambria" w:cs="Cambria"/>
        </w:rPr>
        <w:t> </w:t>
      </w:r>
    </w:p>
    <w:p w14:paraId="65EE6C01" w14:textId="53BF46CA" w:rsidR="00693946" w:rsidRPr="005F00E9" w:rsidRDefault="000E5C8A" w:rsidP="000E5C8A">
      <w:pPr>
        <w:pStyle w:val="Bullet1"/>
      </w:pPr>
      <w:r>
        <w:rPr>
          <w:rStyle w:val="normaltextrun"/>
          <w:rFonts w:cs="Arial"/>
        </w:rPr>
        <w:t>a</w:t>
      </w:r>
      <w:r w:rsidR="00693946" w:rsidRPr="000E5C8A">
        <w:rPr>
          <w:rStyle w:val="normaltextrun"/>
          <w:rFonts w:cs="Arial"/>
        </w:rPr>
        <w:t>daptable resources</w:t>
      </w:r>
      <w:r w:rsidR="00693946" w:rsidRPr="000E5C8A">
        <w:rPr>
          <w:rStyle w:val="normaltextrun"/>
          <w:rFonts w:ascii="Cambria" w:hAnsi="Cambria" w:cs="Cambria"/>
        </w:rPr>
        <w:t> </w:t>
      </w:r>
      <w:r w:rsidR="00693946" w:rsidRPr="000E5C8A">
        <w:rPr>
          <w:rStyle w:val="normaltextrun"/>
          <w:rFonts w:cs="Arial"/>
        </w:rPr>
        <w:t>to assist test and implement core elements of an analgesic stewardship program</w:t>
      </w:r>
      <w:r w:rsidR="00693946" w:rsidRPr="000E5C8A">
        <w:rPr>
          <w:rStyle w:val="eop"/>
          <w:rFonts w:ascii="Cambria" w:hAnsi="Cambria" w:cs="Cambria"/>
        </w:rPr>
        <w:t> </w:t>
      </w:r>
    </w:p>
    <w:p w14:paraId="02532F20" w14:textId="0777CCE2" w:rsidR="00C5410D" w:rsidRDefault="00C5410D">
      <w:r w:rsidRPr="5C34B86A">
        <w:t>This document is intended to be a ‘living’ document and will be reviewed regularly to support the roll out of the</w:t>
      </w:r>
      <w:r w:rsidRPr="005F00E9">
        <w:t xml:space="preserve"> </w:t>
      </w:r>
      <w:r w:rsidR="000E5C8A">
        <w:t xml:space="preserve">implementation toolkit </w:t>
      </w:r>
      <w:r w:rsidR="00857037">
        <w:t xml:space="preserve">to </w:t>
      </w:r>
      <w:r w:rsidRPr="5C34B86A">
        <w:t xml:space="preserve">Victorian </w:t>
      </w:r>
      <w:r w:rsidR="000E5C8A">
        <w:t>health</w:t>
      </w:r>
      <w:r w:rsidRPr="5C34B86A">
        <w:t xml:space="preserve"> services.</w:t>
      </w:r>
    </w:p>
    <w:p w14:paraId="551DFA14" w14:textId="77777777" w:rsidR="00C5410D" w:rsidRPr="005F00E9" w:rsidRDefault="00C5410D">
      <w:pPr>
        <w:pStyle w:val="Heading2"/>
      </w:pPr>
      <w:bookmarkStart w:id="12" w:name="_Toc44342434"/>
      <w:bookmarkStart w:id="13" w:name="_Toc103871424"/>
      <w:r w:rsidRPr="005F00E9">
        <w:t>Who should read this document?</w:t>
      </w:r>
      <w:bookmarkEnd w:id="12"/>
      <w:bookmarkEnd w:id="13"/>
    </w:p>
    <w:p w14:paraId="47FB6745" w14:textId="42279C06" w:rsidR="00C5410D" w:rsidRDefault="00C5410D">
      <w:pPr>
        <w:pStyle w:val="Normalfollowingheading"/>
      </w:pPr>
      <w:r w:rsidRPr="5C34B86A">
        <w:t xml:space="preserve">This document is for all staff working in </w:t>
      </w:r>
      <w:r w:rsidR="000E5C8A">
        <w:t>health services</w:t>
      </w:r>
      <w:r w:rsidRPr="5C34B86A">
        <w:t xml:space="preserve">, including </w:t>
      </w:r>
      <w:r w:rsidR="00C65AF7">
        <w:t xml:space="preserve">medical, nursing, pharmacy, allied health </w:t>
      </w:r>
      <w:r w:rsidRPr="5C34B86A">
        <w:t xml:space="preserve">and quality improvement staff. The document is a resource for those supporting the </w:t>
      </w:r>
      <w:r w:rsidRPr="00CC36E3">
        <w:t>implementation of th</w:t>
      </w:r>
      <w:r w:rsidR="00C65AF7">
        <w:t xml:space="preserve">e </w:t>
      </w:r>
      <w:r w:rsidRPr="00CC36E3">
        <w:t>tool</w:t>
      </w:r>
      <w:r w:rsidR="00C65AF7">
        <w:t>kit</w:t>
      </w:r>
      <w:r w:rsidR="005251FB">
        <w:t>.</w:t>
      </w:r>
    </w:p>
    <w:p w14:paraId="70D39D35" w14:textId="10AD517F" w:rsidR="00396550" w:rsidRPr="00951B46" w:rsidRDefault="00396550" w:rsidP="00185A02">
      <w:pPr>
        <w:pStyle w:val="Heading3"/>
      </w:pPr>
      <w:r>
        <w:t>Key</w:t>
      </w:r>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6"/>
        <w:gridCol w:w="4010"/>
        <w:gridCol w:w="1092"/>
        <w:gridCol w:w="4006"/>
      </w:tblGrid>
      <w:tr w:rsidR="00C5410D" w:rsidRPr="000B702E" w14:paraId="07A3B666" w14:textId="77777777" w:rsidTr="00D60AE5">
        <w:trPr>
          <w:trHeight w:val="766"/>
        </w:trPr>
        <w:tc>
          <w:tcPr>
            <w:tcW w:w="537" w:type="pct"/>
          </w:tcPr>
          <w:p w14:paraId="0102F550" w14:textId="77777777" w:rsidR="00C5410D" w:rsidRPr="00D60AE5" w:rsidRDefault="00C5410D" w:rsidP="00185A02">
            <w:pPr>
              <w:rPr>
                <w:rFonts w:cs="Arial"/>
              </w:rPr>
            </w:pPr>
            <w:r w:rsidRPr="00D60AE5">
              <w:rPr>
                <w:noProof/>
              </w:rPr>
              <w:drawing>
                <wp:inline distT="0" distB="0" distL="0" distR="0" wp14:anchorId="573A7420" wp14:editId="1AC6D944">
                  <wp:extent cx="360000" cy="360000"/>
                  <wp:effectExtent l="0" t="0" r="0" b="2540"/>
                  <wp:docPr id="6" name="Graphic 6" descr="Link to appendi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aperclip.svg"/>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360000" cy="360000"/>
                          </a:xfrm>
                          <a:prstGeom prst="rect">
                            <a:avLst/>
                          </a:prstGeom>
                        </pic:spPr>
                      </pic:pic>
                    </a:graphicData>
                  </a:graphic>
                </wp:inline>
              </w:drawing>
            </w:r>
          </w:p>
        </w:tc>
        <w:tc>
          <w:tcPr>
            <w:tcW w:w="1965" w:type="pct"/>
          </w:tcPr>
          <w:p w14:paraId="62DFC7A2" w14:textId="6D8B0D88" w:rsidR="00C5410D" w:rsidRPr="00D60AE5" w:rsidRDefault="00C5410D">
            <w:r w:rsidRPr="00D60AE5">
              <w:t>Link to a</w:t>
            </w:r>
            <w:r w:rsidR="00C65AF7" w:rsidRPr="00D60AE5">
              <w:t xml:space="preserve"> fact sheet</w:t>
            </w:r>
          </w:p>
        </w:tc>
        <w:tc>
          <w:tcPr>
            <w:tcW w:w="535" w:type="pct"/>
          </w:tcPr>
          <w:p w14:paraId="3DFA6B51" w14:textId="03EF0B78" w:rsidR="00C5410D" w:rsidRPr="00D60AE5" w:rsidRDefault="00D60AE5">
            <w:pPr>
              <w:rPr>
                <w:rFonts w:cs="Arial"/>
              </w:rPr>
            </w:pPr>
            <w:r w:rsidRPr="00D60AE5">
              <w:rPr>
                <w:noProof/>
              </w:rPr>
              <w:drawing>
                <wp:inline distT="0" distB="0" distL="0" distR="0" wp14:anchorId="0497AF46" wp14:editId="4A2BB824">
                  <wp:extent cx="360000" cy="360000"/>
                  <wp:effectExtent l="0" t="0" r="2540" b="2540"/>
                  <wp:docPr id="2" name="Graphic 2" desc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ink.svg"/>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360000" cy="360000"/>
                          </a:xfrm>
                          <a:prstGeom prst="rect">
                            <a:avLst/>
                          </a:prstGeom>
                        </pic:spPr>
                      </pic:pic>
                    </a:graphicData>
                  </a:graphic>
                </wp:inline>
              </w:drawing>
            </w:r>
          </w:p>
        </w:tc>
        <w:tc>
          <w:tcPr>
            <w:tcW w:w="1963" w:type="pct"/>
          </w:tcPr>
          <w:p w14:paraId="4AF3D79E" w14:textId="135A3B8C" w:rsidR="00C5410D" w:rsidRPr="00D60AE5" w:rsidRDefault="00D60AE5">
            <w:r w:rsidRPr="00D60AE5">
              <w:t>Link to an adaptable resource</w:t>
            </w:r>
          </w:p>
        </w:tc>
      </w:tr>
      <w:tr w:rsidR="00C5410D" w:rsidRPr="00CC36E3" w14:paraId="70E8414F" w14:textId="77777777" w:rsidTr="00D60AE5">
        <w:trPr>
          <w:trHeight w:val="766"/>
        </w:trPr>
        <w:tc>
          <w:tcPr>
            <w:tcW w:w="537" w:type="pct"/>
          </w:tcPr>
          <w:p w14:paraId="2E990D0B" w14:textId="7E4DB4EC" w:rsidR="00C5410D" w:rsidRPr="000B702E" w:rsidRDefault="00C5410D">
            <w:pPr>
              <w:rPr>
                <w:noProof/>
                <w:highlight w:val="yellow"/>
              </w:rPr>
            </w:pPr>
          </w:p>
        </w:tc>
        <w:tc>
          <w:tcPr>
            <w:tcW w:w="1965" w:type="pct"/>
          </w:tcPr>
          <w:p w14:paraId="40963C5B" w14:textId="16EC322D" w:rsidR="00C5410D" w:rsidRPr="000B702E" w:rsidRDefault="00C5410D">
            <w:pPr>
              <w:rPr>
                <w:highlight w:val="yellow"/>
              </w:rPr>
            </w:pPr>
          </w:p>
        </w:tc>
        <w:tc>
          <w:tcPr>
            <w:tcW w:w="535" w:type="pct"/>
          </w:tcPr>
          <w:p w14:paraId="5E965556" w14:textId="07AB1AB7" w:rsidR="00C5410D" w:rsidRPr="000B702E" w:rsidRDefault="00C5410D">
            <w:pPr>
              <w:rPr>
                <w:rFonts w:cs="Arial"/>
                <w:highlight w:val="yellow"/>
              </w:rPr>
            </w:pPr>
          </w:p>
        </w:tc>
        <w:tc>
          <w:tcPr>
            <w:tcW w:w="1963" w:type="pct"/>
          </w:tcPr>
          <w:p w14:paraId="48549BC2" w14:textId="4A2CA271" w:rsidR="00C5410D" w:rsidRPr="00CC36E3" w:rsidRDefault="00C5410D"/>
        </w:tc>
      </w:tr>
    </w:tbl>
    <w:p w14:paraId="3CB7A7DB" w14:textId="0BF722BF" w:rsidR="00C5410D" w:rsidRDefault="00C5410D" w:rsidP="00185A02">
      <w:pPr>
        <w:rPr>
          <w:noProof/>
          <w:lang w:eastAsia="en-US"/>
        </w:rPr>
      </w:pPr>
      <w:r>
        <w:rPr>
          <w:noProof/>
          <w:lang w:eastAsia="en-US"/>
        </w:rPr>
        <w:br w:type="page"/>
      </w:r>
    </w:p>
    <w:p w14:paraId="2E7359B8" w14:textId="287C6F90" w:rsidR="00C5410D" w:rsidRPr="00CC36E3" w:rsidRDefault="00C5410D" w:rsidP="00185A02">
      <w:pPr>
        <w:pStyle w:val="Heading1"/>
        <w:framePr w:wrap="around"/>
      </w:pPr>
      <w:bookmarkStart w:id="14" w:name="_Toc43388522"/>
      <w:bookmarkStart w:id="15" w:name="_Toc44342439"/>
      <w:bookmarkStart w:id="16" w:name="_Toc103871425"/>
      <w:r w:rsidRPr="00CC36E3">
        <w:rPr>
          <w:rFonts w:eastAsia="Arial"/>
        </w:rPr>
        <w:lastRenderedPageBreak/>
        <w:t>Background</w:t>
      </w:r>
      <w:bookmarkEnd w:id="14"/>
      <w:bookmarkEnd w:id="15"/>
      <w:bookmarkEnd w:id="16"/>
    </w:p>
    <w:p w14:paraId="4103D5AE" w14:textId="3AB45A0F" w:rsidR="00203C23" w:rsidRPr="006F2A00" w:rsidRDefault="00203C23" w:rsidP="00203C23">
      <w:pPr>
        <w:rPr>
          <w:rFonts w:cs="Segoe UI"/>
        </w:rPr>
      </w:pPr>
      <w:r w:rsidRPr="006F2A00">
        <w:t xml:space="preserve">Opioid analgesics </w:t>
      </w:r>
      <w:r w:rsidR="00D02600" w:rsidRPr="006F2A00">
        <w:t xml:space="preserve">are </w:t>
      </w:r>
      <w:r w:rsidR="00D02600" w:rsidRPr="006F2A00">
        <w:rPr>
          <w:rFonts w:cs="Cambria"/>
        </w:rPr>
        <w:t>high</w:t>
      </w:r>
      <w:r w:rsidRPr="006F2A00">
        <w:t>-risk</w:t>
      </w:r>
      <w:r w:rsidRPr="006F2A00">
        <w:rPr>
          <w:rFonts w:cs="Cambria"/>
        </w:rPr>
        <w:t> </w:t>
      </w:r>
      <w:r w:rsidRPr="006F2A00">
        <w:t>medicine</w:t>
      </w:r>
      <w:r w:rsidR="00507CA3" w:rsidRPr="006F2A00">
        <w:t>s</w:t>
      </w:r>
      <w:r w:rsidR="004C4949" w:rsidRPr="006F2A00">
        <w:t xml:space="preserve"> (A</w:t>
      </w:r>
      <w:r w:rsidRPr="006F2A00">
        <w:t>CSQHC, 2021</w:t>
      </w:r>
      <w:r w:rsidR="004C4949" w:rsidRPr="006F2A00">
        <w:t>)</w:t>
      </w:r>
      <w:r w:rsidRPr="006F2A00">
        <w:t>.</w:t>
      </w:r>
      <w:r w:rsidRPr="006F2A00">
        <w:rPr>
          <w:rFonts w:cs="Cambria"/>
        </w:rPr>
        <w:t> </w:t>
      </w:r>
      <w:r w:rsidRPr="006F2A00">
        <w:t>Over a</w:t>
      </w:r>
      <w:r w:rsidRPr="006F2A00">
        <w:rPr>
          <w:rFonts w:cs="Cambria"/>
        </w:rPr>
        <w:t> </w:t>
      </w:r>
      <w:r w:rsidRPr="006F2A00">
        <w:t>10-year</w:t>
      </w:r>
      <w:r w:rsidRPr="006F2A00">
        <w:rPr>
          <w:rFonts w:cs="Cambria"/>
        </w:rPr>
        <w:t> </w:t>
      </w:r>
      <w:r w:rsidRPr="006F2A00">
        <w:t>period, pharmaceutical opioids contributed</w:t>
      </w:r>
      <w:r w:rsidRPr="006F2A00">
        <w:rPr>
          <w:rFonts w:cs="Cambria"/>
        </w:rPr>
        <w:t> </w:t>
      </w:r>
      <w:r w:rsidRPr="006F2A00">
        <w:t>to 1180 deaths in Victoria alone, contributing to an average of 41.3% of total overdose deaths each year</w:t>
      </w:r>
      <w:r w:rsidRPr="006F2A00">
        <w:rPr>
          <w:rFonts w:cs="Cambria"/>
        </w:rPr>
        <w:t> </w:t>
      </w:r>
      <w:r w:rsidR="004C4949" w:rsidRPr="006F2A00">
        <w:t>(</w:t>
      </w:r>
      <w:r w:rsidRPr="006F2A00">
        <w:t>Coroner</w:t>
      </w:r>
      <w:r w:rsidRPr="006F2A00">
        <w:rPr>
          <w:rFonts w:cs="VIC"/>
        </w:rPr>
        <w:t>’</w:t>
      </w:r>
      <w:r w:rsidRPr="006F2A00">
        <w:t>s Court of Victoria, 2021</w:t>
      </w:r>
      <w:r w:rsidR="004C4949" w:rsidRPr="006F2A00">
        <w:t>)</w:t>
      </w:r>
      <w:r w:rsidRPr="006F2A00">
        <w:t>.</w:t>
      </w:r>
      <w:r w:rsidRPr="006F2A00">
        <w:rPr>
          <w:rFonts w:cs="Cambria"/>
        </w:rPr>
        <w:t> </w:t>
      </w:r>
      <w:r w:rsidRPr="006F2A00">
        <w:t>There is growing recognition of the</w:t>
      </w:r>
      <w:r w:rsidRPr="006F2A00">
        <w:rPr>
          <w:rFonts w:cs="Cambria"/>
        </w:rPr>
        <w:t> </w:t>
      </w:r>
      <w:r w:rsidRPr="006F2A00">
        <w:t>contribution of health service-initiated</w:t>
      </w:r>
      <w:r w:rsidRPr="006F2A00">
        <w:rPr>
          <w:rFonts w:cs="Cambria"/>
        </w:rPr>
        <w:t> </w:t>
      </w:r>
      <w:r w:rsidRPr="006F2A00">
        <w:t>opioids</w:t>
      </w:r>
      <w:r w:rsidRPr="006F2A00">
        <w:rPr>
          <w:rFonts w:cs="Cambria"/>
        </w:rPr>
        <w:t> </w:t>
      </w:r>
      <w:r w:rsidR="00641A38" w:rsidRPr="006F2A00">
        <w:t>to</w:t>
      </w:r>
      <w:r w:rsidR="00641A38" w:rsidRPr="006F2A00">
        <w:rPr>
          <w:rFonts w:cs="Cambria"/>
        </w:rPr>
        <w:t xml:space="preserve"> patient</w:t>
      </w:r>
      <w:r w:rsidRPr="006F2A00">
        <w:t xml:space="preserve"> </w:t>
      </w:r>
      <w:r w:rsidR="0015782B" w:rsidRPr="006F2A00">
        <w:t xml:space="preserve">exposure </w:t>
      </w:r>
      <w:r w:rsidR="00281453" w:rsidRPr="006F2A00">
        <w:t xml:space="preserve">to these high-risk medicines </w:t>
      </w:r>
      <w:r w:rsidRPr="006F2A00">
        <w:t>after</w:t>
      </w:r>
      <w:r w:rsidRPr="006F2A00">
        <w:rPr>
          <w:rFonts w:cs="Cambria"/>
        </w:rPr>
        <w:t> </w:t>
      </w:r>
      <w:r w:rsidRPr="006F2A00">
        <w:t>discharge.</w:t>
      </w:r>
      <w:r w:rsidRPr="006F2A00">
        <w:rPr>
          <w:rFonts w:cs="Cambria"/>
        </w:rPr>
        <w:t> </w:t>
      </w:r>
      <w:r w:rsidRPr="006F2A00">
        <w:t>In one Australian study, three quarters of opioid-na</w:t>
      </w:r>
      <w:r w:rsidRPr="006F2A00">
        <w:rPr>
          <w:rFonts w:cs="VIC"/>
        </w:rPr>
        <w:t>ï</w:t>
      </w:r>
      <w:r w:rsidRPr="006F2A00">
        <w:t>ve patients admitted to a major metropolitan health service were discharged from hospital with an opioid</w:t>
      </w:r>
      <w:r w:rsidR="00DF10F3" w:rsidRPr="006F2A00">
        <w:rPr>
          <w:rFonts w:cs="Cambria"/>
        </w:rPr>
        <w:t xml:space="preserve"> </w:t>
      </w:r>
      <w:r w:rsidR="00DF10F3" w:rsidRPr="006F2A00">
        <w:t>(</w:t>
      </w:r>
      <w:r w:rsidRPr="006F2A00">
        <w:t>Bui, 2021</w:t>
      </w:r>
      <w:r w:rsidR="00DF10F3" w:rsidRPr="006F2A00">
        <w:t>)</w:t>
      </w:r>
      <w:r w:rsidRPr="006F2A00">
        <w:t>.</w:t>
      </w:r>
      <w:r w:rsidRPr="006F2A00">
        <w:rPr>
          <w:rFonts w:cs="Cambria"/>
        </w:rPr>
        <w:t>  </w:t>
      </w:r>
    </w:p>
    <w:p w14:paraId="06BE0F07" w14:textId="7F3C05DE" w:rsidR="00C41193" w:rsidRPr="006F2A00" w:rsidRDefault="00203C23" w:rsidP="00C41193">
      <w:pPr>
        <w:rPr>
          <w:rFonts w:cs="Cambria"/>
        </w:rPr>
      </w:pPr>
      <w:r w:rsidRPr="006F2A00">
        <w:t xml:space="preserve">Efforts to improve pain relief after surgery may have </w:t>
      </w:r>
      <w:r w:rsidR="00281453" w:rsidRPr="006F2A00">
        <w:t xml:space="preserve">inadvertently </w:t>
      </w:r>
      <w:r w:rsidRPr="006F2A00">
        <w:t>contributed to persistent postoperative opioid use in some patients</w:t>
      </w:r>
      <w:r w:rsidR="00DF10F3" w:rsidRPr="006F2A00">
        <w:t xml:space="preserve"> (Levy, 2020)</w:t>
      </w:r>
      <w:r w:rsidRPr="006F2A00">
        <w:t>.</w:t>
      </w:r>
      <w:r w:rsidRPr="006F2A00">
        <w:rPr>
          <w:rFonts w:cs="Cambria"/>
        </w:rPr>
        <w:t> </w:t>
      </w:r>
      <w:r w:rsidRPr="006F2A00">
        <w:t>For example, an Australian study of Department of Veterans Affairs</w:t>
      </w:r>
      <w:r w:rsidRPr="006F2A00">
        <w:rPr>
          <w:rFonts w:cs="Cambria"/>
        </w:rPr>
        <w:t> </w:t>
      </w:r>
      <w:r w:rsidRPr="006F2A00">
        <w:t>(DVA,</w:t>
      </w:r>
      <w:r w:rsidRPr="006F2A00">
        <w:rPr>
          <w:rFonts w:cs="Cambria"/>
        </w:rPr>
        <w:t> </w:t>
      </w:r>
      <w:r w:rsidRPr="006F2A00">
        <w:t>gold card)</w:t>
      </w:r>
      <w:r w:rsidRPr="006F2A00">
        <w:rPr>
          <w:rFonts w:cs="Cambria"/>
        </w:rPr>
        <w:t> </w:t>
      </w:r>
      <w:r w:rsidRPr="006F2A00">
        <w:t>surgical patients</w:t>
      </w:r>
      <w:r w:rsidRPr="006F2A00">
        <w:rPr>
          <w:rFonts w:cs="Cambria"/>
        </w:rPr>
        <w:t> </w:t>
      </w:r>
      <w:r w:rsidRPr="006F2A00">
        <w:t>who were na</w:t>
      </w:r>
      <w:r w:rsidRPr="006F2A00">
        <w:rPr>
          <w:rFonts w:cs="VIC"/>
        </w:rPr>
        <w:t>ï</w:t>
      </w:r>
      <w:r w:rsidRPr="006F2A00">
        <w:t>ve to opioid therapy prior to admission</w:t>
      </w:r>
      <w:r w:rsidRPr="006F2A00">
        <w:rPr>
          <w:rFonts w:cs="Cambria"/>
        </w:rPr>
        <w:t> </w:t>
      </w:r>
      <w:r w:rsidRPr="006F2A00">
        <w:t>found that</w:t>
      </w:r>
      <w:r w:rsidRPr="006F2A00">
        <w:rPr>
          <w:rFonts w:cs="Cambria"/>
        </w:rPr>
        <w:t> </w:t>
      </w:r>
      <w:r w:rsidRPr="006F2A00">
        <w:t>15.7% (3907) were discharged on opioids</w:t>
      </w:r>
      <w:r w:rsidR="00281453" w:rsidRPr="006F2A00">
        <w:rPr>
          <w:rFonts w:cs="Cambria"/>
        </w:rPr>
        <w:t xml:space="preserve">, of which 3.9% became chronic users </w:t>
      </w:r>
      <w:r w:rsidR="00DF10F3" w:rsidRPr="006F2A00">
        <w:t>(</w:t>
      </w:r>
      <w:r w:rsidRPr="006F2A00">
        <w:t>Roughead, 2019</w:t>
      </w:r>
      <w:r w:rsidR="00DF10F3" w:rsidRPr="006F2A00">
        <w:t>)</w:t>
      </w:r>
      <w:r w:rsidRPr="006F2A00">
        <w:t>.</w:t>
      </w:r>
      <w:r w:rsidRPr="006F2A00">
        <w:rPr>
          <w:rFonts w:cs="Cambria"/>
        </w:rPr>
        <w:t> </w:t>
      </w:r>
      <w:r w:rsidR="00776B36" w:rsidRPr="006F2A00">
        <w:t xml:space="preserve"> </w:t>
      </w:r>
      <w:r w:rsidRPr="006F2A00">
        <w:t>More is</w:t>
      </w:r>
      <w:r w:rsidRPr="006F2A00">
        <w:rPr>
          <w:rFonts w:cs="Cambria"/>
        </w:rPr>
        <w:t> </w:t>
      </w:r>
      <w:r w:rsidRPr="006F2A00">
        <w:t>now</w:t>
      </w:r>
      <w:r w:rsidRPr="006F2A00">
        <w:rPr>
          <w:rFonts w:cs="Cambria"/>
        </w:rPr>
        <w:t> </w:t>
      </w:r>
      <w:r w:rsidRPr="006F2A00">
        <w:t>understood about the drivers for poor patient outcomes</w:t>
      </w:r>
      <w:r w:rsidRPr="006F2A00">
        <w:rPr>
          <w:rFonts w:cs="Cambria"/>
        </w:rPr>
        <w:t> </w:t>
      </w:r>
      <w:r w:rsidRPr="006F2A00">
        <w:t>(</w:t>
      </w:r>
      <w:r w:rsidRPr="006F2A00">
        <w:rPr>
          <w:color w:val="000000"/>
        </w:rPr>
        <w:t>such as opioid dependence, abuse, or overdose)</w:t>
      </w:r>
      <w:r w:rsidRPr="006F2A00">
        <w:rPr>
          <w:rFonts w:cs="Cambria"/>
          <w:color w:val="000000"/>
        </w:rPr>
        <w:t> </w:t>
      </w:r>
      <w:r w:rsidRPr="006F2A00">
        <w:t>post</w:t>
      </w:r>
      <w:r w:rsidRPr="006F2A00">
        <w:rPr>
          <w:rFonts w:cs="Cambria"/>
        </w:rPr>
        <w:t> </w:t>
      </w:r>
      <w:r w:rsidRPr="006F2A00">
        <w:t>discharge. For example,</w:t>
      </w:r>
      <w:r w:rsidRPr="006F2A00">
        <w:rPr>
          <w:rFonts w:cs="Cambria"/>
        </w:rPr>
        <w:t> </w:t>
      </w:r>
      <w:r w:rsidRPr="006F2A00">
        <w:t>the</w:t>
      </w:r>
      <w:r w:rsidRPr="006F2A00">
        <w:rPr>
          <w:rFonts w:cs="Cambria"/>
        </w:rPr>
        <w:t> </w:t>
      </w:r>
      <w:r w:rsidR="00281453" w:rsidRPr="006F2A00">
        <w:rPr>
          <w:rFonts w:cs="Cambria"/>
        </w:rPr>
        <w:t xml:space="preserve">total </w:t>
      </w:r>
      <w:r w:rsidRPr="006F2A00">
        <w:t>duration of opioid analgesic</w:t>
      </w:r>
      <w:r w:rsidRPr="006F2A00">
        <w:rPr>
          <w:rFonts w:cs="Cambria"/>
        </w:rPr>
        <w:t> </w:t>
      </w:r>
      <w:r w:rsidRPr="006F2A00">
        <w:t>use</w:t>
      </w:r>
      <w:r w:rsidRPr="006F2A00">
        <w:rPr>
          <w:rFonts w:cs="Cambria"/>
        </w:rPr>
        <w:t> </w:t>
      </w:r>
      <w:r w:rsidRPr="006F2A00">
        <w:t>is</w:t>
      </w:r>
      <w:r w:rsidR="00281453" w:rsidRPr="006F2A00">
        <w:t xml:space="preserve"> a</w:t>
      </w:r>
      <w:r w:rsidRPr="006F2A00">
        <w:t xml:space="preserve"> strong</w:t>
      </w:r>
      <w:r w:rsidR="00281453" w:rsidRPr="006F2A00">
        <w:t>er predictor</w:t>
      </w:r>
      <w:r w:rsidRPr="006F2A00">
        <w:t xml:space="preserve"> </w:t>
      </w:r>
      <w:r w:rsidR="00281453" w:rsidRPr="006F2A00">
        <w:t>of opioid</w:t>
      </w:r>
      <w:r w:rsidRPr="006F2A00">
        <w:t xml:space="preserve"> misuse in the early postoperative </w:t>
      </w:r>
      <w:r w:rsidR="00A4537C" w:rsidRPr="006F2A00">
        <w:t>period</w:t>
      </w:r>
      <w:r w:rsidR="00A4537C" w:rsidRPr="006F2A00">
        <w:rPr>
          <w:rFonts w:cs="Cambria"/>
        </w:rPr>
        <w:t xml:space="preserve"> than</w:t>
      </w:r>
      <w:r w:rsidRPr="006F2A00">
        <w:t xml:space="preserve"> the </w:t>
      </w:r>
      <w:r w:rsidR="00281453" w:rsidRPr="006F2A00">
        <w:t xml:space="preserve">opioid </w:t>
      </w:r>
      <w:r w:rsidRPr="006F2A00">
        <w:t>dos</w:t>
      </w:r>
      <w:r w:rsidR="00281453" w:rsidRPr="006F2A00">
        <w:t>age</w:t>
      </w:r>
      <w:r w:rsidRPr="006F2A00">
        <w:t xml:space="preserve"> prescribed</w:t>
      </w:r>
      <w:r w:rsidRPr="006F2A00">
        <w:rPr>
          <w:rFonts w:cs="Cambria"/>
        </w:rPr>
        <w:t> </w:t>
      </w:r>
      <w:r w:rsidR="00776B36" w:rsidRPr="006F2A00">
        <w:t>(</w:t>
      </w:r>
      <w:r w:rsidRPr="006F2A00">
        <w:t>Brat,</w:t>
      </w:r>
      <w:r w:rsidRPr="006F2A00">
        <w:rPr>
          <w:rFonts w:cs="Cambria"/>
        </w:rPr>
        <w:t> </w:t>
      </w:r>
      <w:r w:rsidRPr="006F2A00">
        <w:t>2018</w:t>
      </w:r>
      <w:r w:rsidR="00776B36" w:rsidRPr="006F2A00">
        <w:t>)</w:t>
      </w:r>
      <w:r w:rsidRPr="006F2A00">
        <w:t>.</w:t>
      </w:r>
      <w:r w:rsidRPr="006F2A00">
        <w:rPr>
          <w:rFonts w:cs="Cambria"/>
        </w:rPr>
        <w:t>  </w:t>
      </w:r>
    </w:p>
    <w:p w14:paraId="765F917C" w14:textId="3584B966" w:rsidR="00AE4876" w:rsidRPr="006F2A00" w:rsidRDefault="00C41193" w:rsidP="00C41193">
      <w:pPr>
        <w:rPr>
          <w:rFonts w:cs="Cambria"/>
        </w:rPr>
      </w:pPr>
      <w:r w:rsidRPr="006F2A00">
        <w:t>Despite</w:t>
      </w:r>
      <w:r w:rsidRPr="006F2A00">
        <w:rPr>
          <w:rFonts w:cs="Cambria"/>
        </w:rPr>
        <w:t> </w:t>
      </w:r>
      <w:r w:rsidRPr="006F2A00">
        <w:t xml:space="preserve">recognition of </w:t>
      </w:r>
      <w:r w:rsidR="00281453" w:rsidRPr="006F2A00">
        <w:t>risks related to</w:t>
      </w:r>
      <w:r w:rsidRPr="006F2A00">
        <w:t xml:space="preserve"> </w:t>
      </w:r>
      <w:r w:rsidR="00281453" w:rsidRPr="006F2A00">
        <w:t xml:space="preserve">high volumes </w:t>
      </w:r>
      <w:r w:rsidRPr="006F2A00">
        <w:t>of</w:t>
      </w:r>
      <w:r w:rsidRPr="006F2A00">
        <w:rPr>
          <w:rFonts w:cs="Cambria"/>
        </w:rPr>
        <w:t> </w:t>
      </w:r>
      <w:r w:rsidRPr="006F2A00">
        <w:t>opioid</w:t>
      </w:r>
      <w:r w:rsidRPr="006F2A00">
        <w:rPr>
          <w:rFonts w:cs="Cambria"/>
        </w:rPr>
        <w:t> </w:t>
      </w:r>
      <w:r w:rsidRPr="006F2A00">
        <w:t>prescribing</w:t>
      </w:r>
      <w:r w:rsidRPr="006F2A00">
        <w:rPr>
          <w:rFonts w:cs="Cambria"/>
        </w:rPr>
        <w:t> </w:t>
      </w:r>
      <w:r w:rsidRPr="006F2A00">
        <w:t>in hospitals, less than 5% of Australian hospitals reported having a formal program</w:t>
      </w:r>
      <w:r w:rsidRPr="006F2A00">
        <w:rPr>
          <w:rFonts w:cs="Cambria"/>
        </w:rPr>
        <w:t> </w:t>
      </w:r>
      <w:r w:rsidRPr="006F2A00">
        <w:t>to manage opioid prescribing</w:t>
      </w:r>
      <w:r w:rsidRPr="006F2A00">
        <w:rPr>
          <w:rFonts w:cs="Cambria"/>
        </w:rPr>
        <w:t> </w:t>
      </w:r>
      <w:r w:rsidR="00D61BF9" w:rsidRPr="006F2A00">
        <w:t>(</w:t>
      </w:r>
      <w:r w:rsidRPr="006F2A00">
        <w:t>SHPA,</w:t>
      </w:r>
      <w:r w:rsidRPr="006F2A00">
        <w:rPr>
          <w:rFonts w:cs="Cambria"/>
        </w:rPr>
        <w:t> </w:t>
      </w:r>
      <w:r w:rsidRPr="006F2A00">
        <w:t>2018</w:t>
      </w:r>
      <w:r w:rsidR="00D61BF9" w:rsidRPr="006F2A00">
        <w:t>)</w:t>
      </w:r>
      <w:r w:rsidRPr="006F2A00">
        <w:t>.</w:t>
      </w:r>
      <w:r w:rsidRPr="006F2A00">
        <w:rPr>
          <w:rFonts w:cs="Cambria"/>
        </w:rPr>
        <w:t> </w:t>
      </w:r>
      <w:r w:rsidRPr="006F2A00">
        <w:t>In 2018, the Parliament of Victoria’s</w:t>
      </w:r>
      <w:r w:rsidRPr="006F2A00">
        <w:rPr>
          <w:rFonts w:cs="Cambria"/>
        </w:rPr>
        <w:t> </w:t>
      </w:r>
      <w:r w:rsidRPr="006F2A00">
        <w:t>Inquiry into</w:t>
      </w:r>
      <w:r w:rsidRPr="006F2A00">
        <w:rPr>
          <w:rFonts w:cs="Cambria"/>
        </w:rPr>
        <w:t> </w:t>
      </w:r>
      <w:r w:rsidRPr="006F2A00">
        <w:t>Drug Law Reform</w:t>
      </w:r>
      <w:r w:rsidRPr="006F2A00">
        <w:rPr>
          <w:rFonts w:cs="Cambria"/>
        </w:rPr>
        <w:t> </w:t>
      </w:r>
      <w:r w:rsidRPr="006F2A00">
        <w:t>recommended</w:t>
      </w:r>
      <w:r w:rsidRPr="006F2A00">
        <w:rPr>
          <w:rFonts w:cs="Cambria"/>
        </w:rPr>
        <w:t> </w:t>
      </w:r>
      <w:r w:rsidRPr="006F2A00">
        <w:t>that</w:t>
      </w:r>
      <w:r w:rsidRPr="006F2A00">
        <w:rPr>
          <w:rFonts w:cs="Cambria"/>
        </w:rPr>
        <w:t> </w:t>
      </w:r>
      <w:r w:rsidRPr="006F2A00">
        <w:t>a</w:t>
      </w:r>
      <w:r w:rsidRPr="006F2A00">
        <w:rPr>
          <w:rFonts w:cs="Cambria"/>
        </w:rPr>
        <w:t> </w:t>
      </w:r>
      <w:r w:rsidRPr="006F2A00">
        <w:t>sector wide</w:t>
      </w:r>
      <w:r w:rsidRPr="006F2A00">
        <w:rPr>
          <w:rFonts w:cs="Cambria"/>
        </w:rPr>
        <w:t> </w:t>
      </w:r>
      <w:r w:rsidRPr="006F2A00">
        <w:t>stewardship trial for medicines with potential for misuse</w:t>
      </w:r>
      <w:r w:rsidR="00D61BF9" w:rsidRPr="006F2A00">
        <w:t xml:space="preserve"> </w:t>
      </w:r>
      <w:r w:rsidRPr="006F2A00">
        <w:t>be implemented</w:t>
      </w:r>
      <w:r w:rsidRPr="006F2A00">
        <w:rPr>
          <w:rFonts w:cs="Cambria"/>
        </w:rPr>
        <w:t> </w:t>
      </w:r>
      <w:r w:rsidR="00D61BF9" w:rsidRPr="006F2A00">
        <w:t>(</w:t>
      </w:r>
      <w:r w:rsidRPr="006F2A00">
        <w:t>Parliament of Victoria, 2018</w:t>
      </w:r>
      <w:r w:rsidR="00D61BF9" w:rsidRPr="006F2A00">
        <w:t>)</w:t>
      </w:r>
      <w:r w:rsidRPr="006F2A00">
        <w:t>.</w:t>
      </w:r>
      <w:r w:rsidRPr="006F2A00">
        <w:rPr>
          <w:rFonts w:cs="Cambria"/>
        </w:rPr>
        <w:t> </w:t>
      </w:r>
    </w:p>
    <w:p w14:paraId="0D629320" w14:textId="4E7F7C40" w:rsidR="00463B52" w:rsidRPr="006F2A00" w:rsidRDefault="00C41193" w:rsidP="00C41193">
      <w:r w:rsidRPr="006F2A00">
        <w:t>To address this</w:t>
      </w:r>
      <w:r w:rsidRPr="006F2A00">
        <w:rPr>
          <w:rFonts w:cs="Cambria"/>
        </w:rPr>
        <w:t> </w:t>
      </w:r>
      <w:r w:rsidRPr="006F2A00">
        <w:t>recommendation,</w:t>
      </w:r>
      <w:r w:rsidRPr="006F2A00">
        <w:rPr>
          <w:rFonts w:cs="Cambria"/>
        </w:rPr>
        <w:t> </w:t>
      </w:r>
      <w:r w:rsidRPr="006F2A00">
        <w:t>Safer Care Victoria</w:t>
      </w:r>
      <w:r w:rsidRPr="006F2A00">
        <w:rPr>
          <w:rFonts w:cs="Cambria"/>
        </w:rPr>
        <w:t> </w:t>
      </w:r>
      <w:r w:rsidRPr="006F2A00">
        <w:t>(SCV)</w:t>
      </w:r>
      <w:r w:rsidRPr="006F2A00">
        <w:rPr>
          <w:rFonts w:cs="Cambria"/>
        </w:rPr>
        <w:t> </w:t>
      </w:r>
      <w:r w:rsidR="00CB60C2" w:rsidRPr="006F2A00">
        <w:t>i</w:t>
      </w:r>
      <w:r w:rsidR="004270A7" w:rsidRPr="006F2A00">
        <w:t>n consultation with clinical experts, have developed the Analgesic Stewardship Implementation Toolkit</w:t>
      </w:r>
      <w:r w:rsidR="00C82D5A" w:rsidRPr="006F2A00">
        <w:t xml:space="preserve"> (AGS toolkit)</w:t>
      </w:r>
      <w:r w:rsidR="004C6A50" w:rsidRPr="006F2A00">
        <w:t>. The</w:t>
      </w:r>
      <w:r w:rsidR="00C82D5A" w:rsidRPr="006F2A00">
        <w:t xml:space="preserve"> AGS</w:t>
      </w:r>
      <w:r w:rsidR="004C6A50" w:rsidRPr="006F2A00">
        <w:t xml:space="preserve"> toolkit is based on current evidence</w:t>
      </w:r>
      <w:r w:rsidR="00D61BF9" w:rsidRPr="006F2A00">
        <w:t xml:space="preserve"> </w:t>
      </w:r>
      <w:r w:rsidR="00463B52" w:rsidRPr="006F2A00">
        <w:t xml:space="preserve">and the </w:t>
      </w:r>
      <w:r w:rsidR="00FD570E" w:rsidRPr="006F2A00">
        <w:t>Opioid Analgesic Stewardship in Acute Pain Clinical Care Standard launched on 27 April 2022 by the Australian Commission on Safety and Quality in Healthcare (ACSQHC). These</w:t>
      </w:r>
      <w:r w:rsidR="009D5A7D" w:rsidRPr="006F2A00">
        <w:t xml:space="preserve"> </w:t>
      </w:r>
      <w:r w:rsidR="00A80B7E" w:rsidRPr="006F2A00">
        <w:t>standards describe the key components of care that patients can expect when they are prescribed opioid analgesics for acute pain in acute care settings.</w:t>
      </w:r>
    </w:p>
    <w:p w14:paraId="48F3B6B7" w14:textId="4AF50C17" w:rsidR="00C41193" w:rsidRPr="00C41193" w:rsidRDefault="00C41193" w:rsidP="00C41193">
      <w:pPr>
        <w:pStyle w:val="Tablechartdiagramheading"/>
        <w:spacing w:before="120"/>
      </w:pPr>
      <w:r w:rsidRPr="00C41193">
        <w:rPr>
          <w:rFonts w:ascii="VIC" w:hAnsi="VIC" w:cs="Arial"/>
          <w:b/>
          <w:bCs/>
          <w:szCs w:val="20"/>
        </w:rPr>
        <w:t>What</w:t>
      </w:r>
      <w:r w:rsidRPr="00C41193">
        <w:rPr>
          <w:rFonts w:ascii="Cambria" w:hAnsi="Cambria" w:cs="Cambria"/>
          <w:b/>
          <w:bCs/>
          <w:szCs w:val="20"/>
        </w:rPr>
        <w:t> </w:t>
      </w:r>
      <w:r w:rsidRPr="00C41193">
        <w:rPr>
          <w:rFonts w:ascii="VIC" w:hAnsi="VIC" w:cs="Arial"/>
          <w:b/>
          <w:bCs/>
          <w:szCs w:val="20"/>
        </w:rPr>
        <w:t>is an</w:t>
      </w:r>
      <w:r w:rsidRPr="00C41193">
        <w:rPr>
          <w:rFonts w:ascii="Cambria" w:hAnsi="Cambria" w:cs="Cambria"/>
          <w:b/>
          <w:bCs/>
          <w:szCs w:val="20"/>
        </w:rPr>
        <w:t> </w:t>
      </w:r>
      <w:r w:rsidRPr="00C41193">
        <w:rPr>
          <w:rFonts w:ascii="VIC" w:hAnsi="VIC" w:cs="Arial"/>
          <w:b/>
          <w:bCs/>
          <w:szCs w:val="20"/>
        </w:rPr>
        <w:t>analgesic</w:t>
      </w:r>
      <w:r w:rsidRPr="00C41193">
        <w:rPr>
          <w:rFonts w:ascii="Cambria" w:hAnsi="Cambria" w:cs="Cambria"/>
          <w:b/>
          <w:bCs/>
          <w:szCs w:val="20"/>
        </w:rPr>
        <w:t> </w:t>
      </w:r>
      <w:r w:rsidRPr="00C41193">
        <w:rPr>
          <w:rFonts w:ascii="VIC" w:hAnsi="VIC" w:cs="Arial"/>
          <w:b/>
          <w:bCs/>
          <w:szCs w:val="20"/>
        </w:rPr>
        <w:t>stewardship</w:t>
      </w:r>
      <w:r w:rsidRPr="00C41193">
        <w:rPr>
          <w:rFonts w:ascii="Cambria" w:hAnsi="Cambria" w:cs="Cambria"/>
          <w:b/>
          <w:bCs/>
          <w:szCs w:val="20"/>
        </w:rPr>
        <w:t> </w:t>
      </w:r>
      <w:r w:rsidRPr="00C41193">
        <w:rPr>
          <w:rFonts w:ascii="VIC" w:hAnsi="VIC" w:cs="Arial"/>
          <w:b/>
          <w:bCs/>
          <w:szCs w:val="20"/>
        </w:rPr>
        <w:t>program?</w:t>
      </w:r>
      <w:r w:rsidRPr="00C41193">
        <w:rPr>
          <w:rFonts w:ascii="Cambria" w:hAnsi="Cambria" w:cs="Cambria"/>
          <w:b/>
          <w:bCs/>
          <w:szCs w:val="20"/>
        </w:rPr>
        <w:t> </w:t>
      </w:r>
    </w:p>
    <w:p w14:paraId="48B57255" w14:textId="1B8BB7BD" w:rsidR="00C41193" w:rsidRPr="00C41193" w:rsidRDefault="00C41193" w:rsidP="00C41193">
      <w:pPr>
        <w:rPr>
          <w:rFonts w:eastAsia="Times New Roman" w:cs="Segoe UI"/>
        </w:rPr>
      </w:pPr>
      <w:r w:rsidRPr="00C41193">
        <w:rPr>
          <w:rFonts w:eastAsia="Times New Roman" w:cs="Arial"/>
        </w:rPr>
        <w:t>An</w:t>
      </w:r>
      <w:r w:rsidRPr="00C41193">
        <w:rPr>
          <w:rFonts w:ascii="Cambria" w:eastAsia="Times New Roman" w:hAnsi="Cambria" w:cs="Cambria"/>
        </w:rPr>
        <w:t> </w:t>
      </w:r>
      <w:r w:rsidRPr="00C41193">
        <w:rPr>
          <w:rFonts w:eastAsia="Times New Roman" w:cs="Arial"/>
        </w:rPr>
        <w:t>analgesic</w:t>
      </w:r>
      <w:r w:rsidRPr="00C41193">
        <w:rPr>
          <w:rFonts w:ascii="Cambria" w:eastAsia="Times New Roman" w:hAnsi="Cambria" w:cs="Cambria"/>
        </w:rPr>
        <w:t> </w:t>
      </w:r>
      <w:r w:rsidRPr="00C41193">
        <w:rPr>
          <w:rFonts w:eastAsia="Times New Roman" w:cs="Arial"/>
        </w:rPr>
        <w:t>stewardship</w:t>
      </w:r>
      <w:r w:rsidRPr="00C41193">
        <w:rPr>
          <w:rFonts w:ascii="Cambria" w:eastAsia="Times New Roman" w:hAnsi="Cambria" w:cs="Cambria"/>
        </w:rPr>
        <w:t> </w:t>
      </w:r>
      <w:r w:rsidRPr="00C41193">
        <w:rPr>
          <w:rFonts w:eastAsia="Times New Roman" w:cs="Arial"/>
        </w:rPr>
        <w:t>program</w:t>
      </w:r>
      <w:r w:rsidRPr="00C41193">
        <w:rPr>
          <w:rFonts w:ascii="Cambria" w:eastAsia="Times New Roman" w:hAnsi="Cambria" w:cs="Cambria"/>
        </w:rPr>
        <w:t> </w:t>
      </w:r>
      <w:r w:rsidRPr="00C41193">
        <w:rPr>
          <w:rFonts w:eastAsia="Times New Roman" w:cs="Arial"/>
        </w:rPr>
        <w:t>facilitates appropriate use and review of analgesics to optimise patient outcomes and reduce the potential for</w:t>
      </w:r>
      <w:r w:rsidRPr="00C41193">
        <w:rPr>
          <w:rFonts w:ascii="Cambria" w:eastAsia="Times New Roman" w:hAnsi="Cambria" w:cs="Cambria"/>
        </w:rPr>
        <w:t> </w:t>
      </w:r>
      <w:r w:rsidRPr="00C41193">
        <w:rPr>
          <w:rFonts w:eastAsia="Times New Roman" w:cs="Arial"/>
        </w:rPr>
        <w:t>analgesic-related harm</w:t>
      </w:r>
      <w:r w:rsidRPr="00C41193">
        <w:rPr>
          <w:rFonts w:ascii="Cambria" w:eastAsia="Times New Roman" w:hAnsi="Cambria" w:cs="Cambria"/>
        </w:rPr>
        <w:t> </w:t>
      </w:r>
      <w:r w:rsidR="00131580">
        <w:rPr>
          <w:rFonts w:eastAsia="Times New Roman" w:cs="Arial"/>
        </w:rPr>
        <w:t>(</w:t>
      </w:r>
      <w:r w:rsidRPr="00C41193">
        <w:rPr>
          <w:rFonts w:eastAsia="Times New Roman" w:cs="Arial"/>
        </w:rPr>
        <w:t>ACSQHC,</w:t>
      </w:r>
      <w:r w:rsidRPr="00C41193">
        <w:rPr>
          <w:rFonts w:ascii="Cambria" w:eastAsia="Times New Roman" w:hAnsi="Cambria" w:cs="Cambria"/>
        </w:rPr>
        <w:t> </w:t>
      </w:r>
      <w:r w:rsidRPr="00C41193">
        <w:rPr>
          <w:rFonts w:eastAsia="Times New Roman" w:cs="Arial"/>
        </w:rPr>
        <w:t>202</w:t>
      </w:r>
      <w:r w:rsidR="0015782B">
        <w:rPr>
          <w:rFonts w:eastAsia="Times New Roman" w:cs="Arial"/>
        </w:rPr>
        <w:t>2</w:t>
      </w:r>
      <w:r w:rsidR="00131580">
        <w:rPr>
          <w:rFonts w:eastAsia="Times New Roman" w:cs="Arial"/>
        </w:rPr>
        <w:t>)</w:t>
      </w:r>
      <w:r w:rsidRPr="00C41193">
        <w:rPr>
          <w:rFonts w:eastAsia="Times New Roman" w:cs="Arial"/>
        </w:rPr>
        <w:t>.</w:t>
      </w:r>
      <w:r w:rsidRPr="00C41193">
        <w:rPr>
          <w:rFonts w:ascii="Cambria" w:eastAsia="Times New Roman" w:hAnsi="Cambria" w:cs="Cambria"/>
        </w:rPr>
        <w:t> </w:t>
      </w:r>
      <w:r w:rsidRPr="00C41193">
        <w:rPr>
          <w:rFonts w:eastAsia="Times New Roman" w:cs="Arial"/>
        </w:rPr>
        <w:t>Like other stewardship programs</w:t>
      </w:r>
      <w:r w:rsidR="00637411">
        <w:rPr>
          <w:rFonts w:eastAsia="Times New Roman" w:cs="Arial"/>
        </w:rPr>
        <w:t>,</w:t>
      </w:r>
      <w:r w:rsidR="00131580">
        <w:rPr>
          <w:rFonts w:eastAsia="Times New Roman" w:cs="Arial"/>
        </w:rPr>
        <w:t xml:space="preserve"> </w:t>
      </w:r>
      <w:r w:rsidRPr="00C41193">
        <w:rPr>
          <w:rFonts w:eastAsia="Times New Roman" w:cs="Arial"/>
        </w:rPr>
        <w:t>an</w:t>
      </w:r>
      <w:r w:rsidRPr="00C41193">
        <w:rPr>
          <w:rFonts w:ascii="Cambria" w:eastAsia="Times New Roman" w:hAnsi="Cambria" w:cs="Cambria"/>
        </w:rPr>
        <w:t> </w:t>
      </w:r>
      <w:r w:rsidRPr="00C41193">
        <w:rPr>
          <w:rFonts w:eastAsia="Times New Roman" w:cs="Arial"/>
        </w:rPr>
        <w:t>analgesic</w:t>
      </w:r>
      <w:r w:rsidRPr="00C41193">
        <w:rPr>
          <w:rFonts w:ascii="Cambria" w:eastAsia="Times New Roman" w:hAnsi="Cambria" w:cs="Cambria"/>
        </w:rPr>
        <w:t> </w:t>
      </w:r>
      <w:r w:rsidRPr="00C41193">
        <w:rPr>
          <w:rFonts w:eastAsia="Times New Roman" w:cs="Arial"/>
        </w:rPr>
        <w:t>stewardship</w:t>
      </w:r>
      <w:r w:rsidRPr="00C41193">
        <w:rPr>
          <w:rFonts w:ascii="Cambria" w:eastAsia="Times New Roman" w:hAnsi="Cambria" w:cs="Cambria"/>
        </w:rPr>
        <w:t> </w:t>
      </w:r>
      <w:r w:rsidRPr="00C41193">
        <w:rPr>
          <w:rFonts w:eastAsia="Times New Roman" w:cs="Arial"/>
        </w:rPr>
        <w:t>program</w:t>
      </w:r>
      <w:r w:rsidRPr="00C41193">
        <w:rPr>
          <w:rFonts w:ascii="Cambria" w:eastAsia="Times New Roman" w:hAnsi="Cambria" w:cs="Cambria"/>
        </w:rPr>
        <w:t> </w:t>
      </w:r>
      <w:r w:rsidRPr="00C41193">
        <w:rPr>
          <w:rFonts w:eastAsia="Times New Roman" w:cs="Arial"/>
        </w:rPr>
        <w:t>includes</w:t>
      </w:r>
      <w:r w:rsidRPr="00C41193">
        <w:rPr>
          <w:rFonts w:ascii="Cambria" w:eastAsia="Times New Roman" w:hAnsi="Cambria" w:cs="Cambria"/>
        </w:rPr>
        <w:t> </w:t>
      </w:r>
      <w:r w:rsidRPr="00C41193">
        <w:rPr>
          <w:rFonts w:eastAsia="Times New Roman" w:cs="Arial"/>
        </w:rPr>
        <w:t>structured</w:t>
      </w:r>
      <w:r w:rsidRPr="00C41193">
        <w:rPr>
          <w:rFonts w:ascii="Cambria" w:eastAsia="Times New Roman" w:hAnsi="Cambria" w:cs="Cambria"/>
        </w:rPr>
        <w:t> </w:t>
      </w:r>
      <w:r w:rsidRPr="00C41193">
        <w:rPr>
          <w:rFonts w:eastAsia="Times New Roman" w:cs="Arial"/>
        </w:rPr>
        <w:t>approaches to</w:t>
      </w:r>
      <w:r w:rsidRPr="00C41193">
        <w:rPr>
          <w:rFonts w:ascii="Cambria" w:eastAsia="Times New Roman" w:hAnsi="Cambria" w:cs="Cambria"/>
        </w:rPr>
        <w:t> </w:t>
      </w:r>
      <w:r w:rsidRPr="00C41193">
        <w:rPr>
          <w:rFonts w:eastAsia="Times New Roman" w:cs="Arial"/>
        </w:rPr>
        <w:t>governance and accountability, policy, education,</w:t>
      </w:r>
      <w:r w:rsidRPr="00C41193">
        <w:rPr>
          <w:rFonts w:ascii="Cambria" w:eastAsia="Times New Roman" w:hAnsi="Cambria" w:cs="Cambria"/>
        </w:rPr>
        <w:t> </w:t>
      </w:r>
      <w:r w:rsidRPr="00C41193">
        <w:rPr>
          <w:rFonts w:eastAsia="Times New Roman" w:cs="Arial"/>
        </w:rPr>
        <w:t>monitoring</w:t>
      </w:r>
      <w:r w:rsidRPr="00C41193">
        <w:rPr>
          <w:rFonts w:ascii="Cambria" w:eastAsia="Times New Roman" w:hAnsi="Cambria" w:cs="Cambria"/>
        </w:rPr>
        <w:t> </w:t>
      </w:r>
      <w:r w:rsidRPr="00C41193">
        <w:rPr>
          <w:rFonts w:eastAsia="Times New Roman" w:cs="Arial"/>
        </w:rPr>
        <w:t>and improvement activities</w:t>
      </w:r>
      <w:r w:rsidRPr="00C41193">
        <w:rPr>
          <w:rFonts w:ascii="Cambria" w:eastAsia="Times New Roman" w:hAnsi="Cambria" w:cs="Cambria"/>
        </w:rPr>
        <w:t> </w:t>
      </w:r>
      <w:r w:rsidR="00637411">
        <w:rPr>
          <w:rFonts w:eastAsia="Times New Roman" w:cs="Arial"/>
        </w:rPr>
        <w:t>(</w:t>
      </w:r>
      <w:r w:rsidRPr="00C41193">
        <w:rPr>
          <w:rFonts w:eastAsia="Times New Roman" w:cs="Arial"/>
        </w:rPr>
        <w:t>Bui, 2021</w:t>
      </w:r>
      <w:r w:rsidR="00637411">
        <w:rPr>
          <w:rFonts w:eastAsia="Times New Roman" w:cs="Arial"/>
        </w:rPr>
        <w:t>)</w:t>
      </w:r>
      <w:r w:rsidRPr="00C41193">
        <w:rPr>
          <w:rFonts w:eastAsia="Times New Roman" w:cs="Arial"/>
        </w:rPr>
        <w:t>.</w:t>
      </w:r>
      <w:r w:rsidRPr="00C41193">
        <w:rPr>
          <w:rFonts w:ascii="Cambria" w:eastAsia="Times New Roman" w:hAnsi="Cambria" w:cs="Cambria"/>
        </w:rPr>
        <w:t> </w:t>
      </w:r>
    </w:p>
    <w:p w14:paraId="73EFF746" w14:textId="6EF8E822" w:rsidR="00C41193" w:rsidRPr="00C41193" w:rsidRDefault="00C41193" w:rsidP="00C41193">
      <w:pPr>
        <w:rPr>
          <w:rFonts w:eastAsia="Times New Roman" w:cs="Segoe UI"/>
        </w:rPr>
      </w:pPr>
      <w:r w:rsidRPr="00C41193">
        <w:rPr>
          <w:rFonts w:eastAsia="Times New Roman" w:cs="Arial"/>
        </w:rPr>
        <w:t>Activities</w:t>
      </w:r>
      <w:r w:rsidRPr="00C41193">
        <w:rPr>
          <w:rFonts w:ascii="Cambria" w:eastAsia="Times New Roman" w:hAnsi="Cambria" w:cs="Cambria"/>
        </w:rPr>
        <w:t> </w:t>
      </w:r>
      <w:r w:rsidRPr="00C41193">
        <w:rPr>
          <w:rFonts w:eastAsia="Times New Roman" w:cs="Arial"/>
        </w:rPr>
        <w:t>of an</w:t>
      </w:r>
      <w:r w:rsidRPr="00C41193">
        <w:rPr>
          <w:rFonts w:ascii="Cambria" w:eastAsia="Times New Roman" w:hAnsi="Cambria" w:cs="Cambria"/>
        </w:rPr>
        <w:t> </w:t>
      </w:r>
      <w:r w:rsidRPr="00C41193">
        <w:rPr>
          <w:rFonts w:eastAsia="Times New Roman" w:cs="Arial"/>
        </w:rPr>
        <w:t>analgesic</w:t>
      </w:r>
      <w:r w:rsidRPr="00C41193">
        <w:rPr>
          <w:rFonts w:ascii="Cambria" w:eastAsia="Times New Roman" w:hAnsi="Cambria" w:cs="Cambria"/>
        </w:rPr>
        <w:t> </w:t>
      </w:r>
      <w:r w:rsidRPr="00C41193">
        <w:rPr>
          <w:rFonts w:eastAsia="Times New Roman" w:cs="Arial"/>
        </w:rPr>
        <w:t>stewardship</w:t>
      </w:r>
      <w:r w:rsidRPr="00C41193">
        <w:rPr>
          <w:rFonts w:ascii="Cambria" w:eastAsia="Times New Roman" w:hAnsi="Cambria" w:cs="Cambria"/>
        </w:rPr>
        <w:t> </w:t>
      </w:r>
      <w:r w:rsidRPr="00C41193">
        <w:rPr>
          <w:rFonts w:eastAsia="Times New Roman" w:cs="Arial"/>
        </w:rPr>
        <w:t>program</w:t>
      </w:r>
      <w:r w:rsidRPr="00C41193">
        <w:rPr>
          <w:rFonts w:ascii="Cambria" w:eastAsia="Times New Roman" w:hAnsi="Cambria" w:cs="Cambria"/>
        </w:rPr>
        <w:t> </w:t>
      </w:r>
      <w:r w:rsidRPr="00C41193">
        <w:rPr>
          <w:rFonts w:eastAsia="Times New Roman" w:cs="Arial"/>
        </w:rPr>
        <w:t>include the development of guidelines</w:t>
      </w:r>
      <w:r w:rsidRPr="00C41193">
        <w:rPr>
          <w:rFonts w:ascii="Cambria" w:eastAsia="Times New Roman" w:hAnsi="Cambria" w:cs="Cambria"/>
        </w:rPr>
        <w:t> </w:t>
      </w:r>
      <w:r w:rsidRPr="00C41193">
        <w:rPr>
          <w:rFonts w:eastAsia="Times New Roman" w:cs="Arial"/>
        </w:rPr>
        <w:t>(such as</w:t>
      </w:r>
      <w:r w:rsidRPr="00C41193">
        <w:rPr>
          <w:rFonts w:ascii="Cambria" w:eastAsia="Times New Roman" w:hAnsi="Cambria" w:cs="Cambria"/>
        </w:rPr>
        <w:t> </w:t>
      </w:r>
      <w:r w:rsidRPr="00C41193">
        <w:rPr>
          <w:rFonts w:eastAsia="Times New Roman" w:cs="Arial"/>
        </w:rPr>
        <w:t>opioid prescribing on discharge),</w:t>
      </w:r>
      <w:r w:rsidRPr="00C41193">
        <w:rPr>
          <w:rFonts w:ascii="Cambria" w:eastAsia="Times New Roman" w:hAnsi="Cambria" w:cs="Cambria"/>
        </w:rPr>
        <w:t> </w:t>
      </w:r>
      <w:r w:rsidRPr="00C41193">
        <w:rPr>
          <w:rFonts w:eastAsia="Times New Roman" w:cs="Arial"/>
        </w:rPr>
        <w:t>monitoring of</w:t>
      </w:r>
      <w:r w:rsidRPr="00C41193">
        <w:rPr>
          <w:rFonts w:ascii="Cambria" w:eastAsia="Times New Roman" w:hAnsi="Cambria" w:cs="Cambria"/>
        </w:rPr>
        <w:t> </w:t>
      </w:r>
      <w:r w:rsidRPr="00C41193">
        <w:rPr>
          <w:rFonts w:eastAsia="Times New Roman" w:cs="Arial"/>
        </w:rPr>
        <w:t>analgesic</w:t>
      </w:r>
      <w:r w:rsidRPr="00C41193">
        <w:rPr>
          <w:rFonts w:ascii="Cambria" w:eastAsia="Times New Roman" w:hAnsi="Cambria" w:cs="Cambria"/>
        </w:rPr>
        <w:t> </w:t>
      </w:r>
      <w:r w:rsidRPr="00C41193">
        <w:rPr>
          <w:rFonts w:eastAsia="Times New Roman" w:cs="Arial"/>
        </w:rPr>
        <w:t>usage and trends (such as oxycodone quantities on discharge), facilitation of communication</w:t>
      </w:r>
      <w:r w:rsidRPr="00C41193">
        <w:rPr>
          <w:rFonts w:ascii="Cambria" w:eastAsia="Times New Roman" w:hAnsi="Cambria" w:cs="Cambria"/>
        </w:rPr>
        <w:t> </w:t>
      </w:r>
      <w:r w:rsidRPr="00C41193">
        <w:rPr>
          <w:rFonts w:eastAsia="Times New Roman" w:cs="Arial"/>
        </w:rPr>
        <w:t>at transitions of care</w:t>
      </w:r>
      <w:r w:rsidRPr="00C41193">
        <w:rPr>
          <w:rFonts w:ascii="Cambria" w:eastAsia="Times New Roman" w:hAnsi="Cambria" w:cs="Cambria"/>
        </w:rPr>
        <w:t> </w:t>
      </w:r>
      <w:r w:rsidRPr="00C41193">
        <w:rPr>
          <w:rFonts w:eastAsia="Times New Roman" w:cs="Arial"/>
        </w:rPr>
        <w:t>(such as</w:t>
      </w:r>
      <w:r w:rsidRPr="00C41193">
        <w:rPr>
          <w:rFonts w:ascii="Cambria" w:eastAsia="Times New Roman" w:hAnsi="Cambria" w:cs="Cambria"/>
        </w:rPr>
        <w:t> </w:t>
      </w:r>
      <w:r w:rsidRPr="00C41193">
        <w:rPr>
          <w:rFonts w:eastAsia="Times New Roman" w:cs="Arial"/>
        </w:rPr>
        <w:t>opioid</w:t>
      </w:r>
      <w:r w:rsidRPr="00C41193">
        <w:rPr>
          <w:rFonts w:ascii="Cambria" w:eastAsia="Times New Roman" w:hAnsi="Cambria" w:cs="Cambria"/>
        </w:rPr>
        <w:t> </w:t>
      </w:r>
      <w:r w:rsidRPr="00C41193">
        <w:rPr>
          <w:rFonts w:eastAsia="Times New Roman" w:cs="Arial"/>
        </w:rPr>
        <w:t>cessation plans</w:t>
      </w:r>
      <w:r w:rsidRPr="00C41193">
        <w:rPr>
          <w:rFonts w:ascii="Cambria" w:eastAsia="Times New Roman" w:hAnsi="Cambria" w:cs="Cambria"/>
        </w:rPr>
        <w:t> </w:t>
      </w:r>
      <w:r w:rsidRPr="00C41193">
        <w:rPr>
          <w:rFonts w:eastAsia="Times New Roman" w:cs="Arial"/>
        </w:rPr>
        <w:t>to primary care providers)</w:t>
      </w:r>
      <w:r w:rsidRPr="00C41193">
        <w:rPr>
          <w:rFonts w:ascii="Cambria" w:eastAsia="Times New Roman" w:hAnsi="Cambria" w:cs="Cambria"/>
        </w:rPr>
        <w:t> </w:t>
      </w:r>
      <w:r w:rsidRPr="00C41193">
        <w:rPr>
          <w:rFonts w:eastAsia="Times New Roman" w:cs="Arial"/>
        </w:rPr>
        <w:t>and</w:t>
      </w:r>
      <w:r w:rsidRPr="00C41193">
        <w:rPr>
          <w:rFonts w:ascii="Cambria" w:eastAsia="Times New Roman" w:hAnsi="Cambria" w:cs="Cambria"/>
        </w:rPr>
        <w:t> </w:t>
      </w:r>
      <w:r w:rsidRPr="00C41193">
        <w:rPr>
          <w:rFonts w:eastAsia="Times New Roman" w:cs="Arial"/>
        </w:rPr>
        <w:t>provision of</w:t>
      </w:r>
      <w:r w:rsidRPr="00C41193">
        <w:rPr>
          <w:rFonts w:ascii="Cambria" w:eastAsia="Times New Roman" w:hAnsi="Cambria" w:cs="Cambria"/>
        </w:rPr>
        <w:t> </w:t>
      </w:r>
      <w:r w:rsidRPr="00C41193">
        <w:rPr>
          <w:rFonts w:eastAsia="Times New Roman" w:cs="Arial"/>
        </w:rPr>
        <w:t xml:space="preserve">patient materials </w:t>
      </w:r>
      <w:r w:rsidR="00AB718F">
        <w:rPr>
          <w:rFonts w:eastAsia="Times New Roman" w:cs="Arial"/>
        </w:rPr>
        <w:t>(</w:t>
      </w:r>
      <w:r w:rsidRPr="00C41193">
        <w:rPr>
          <w:rFonts w:eastAsia="Times New Roman" w:cs="Arial"/>
        </w:rPr>
        <w:t>such as leaflets and</w:t>
      </w:r>
      <w:r w:rsidRPr="00C41193">
        <w:rPr>
          <w:rFonts w:ascii="Cambria" w:eastAsia="Times New Roman" w:hAnsi="Cambria" w:cs="Cambria"/>
        </w:rPr>
        <w:t> </w:t>
      </w:r>
      <w:r w:rsidRPr="00C41193">
        <w:rPr>
          <w:rFonts w:eastAsia="Times New Roman" w:cs="Arial"/>
        </w:rPr>
        <w:t>cessation plans)</w:t>
      </w:r>
      <w:r w:rsidRPr="00C41193">
        <w:rPr>
          <w:rFonts w:ascii="Cambria" w:eastAsia="Times New Roman" w:hAnsi="Cambria" w:cs="Cambria"/>
        </w:rPr>
        <w:t> </w:t>
      </w:r>
      <w:r w:rsidR="00BB0ED5">
        <w:rPr>
          <w:rFonts w:eastAsia="Times New Roman" w:cs="Arial"/>
        </w:rPr>
        <w:t>(</w:t>
      </w:r>
      <w:r w:rsidRPr="00C41193">
        <w:rPr>
          <w:rFonts w:eastAsia="Times New Roman" w:cs="Arial"/>
        </w:rPr>
        <w:t>Bui, 2021</w:t>
      </w:r>
      <w:r w:rsidR="00BB0ED5">
        <w:rPr>
          <w:rFonts w:eastAsia="Times New Roman" w:cs="Arial"/>
        </w:rPr>
        <w:t>)</w:t>
      </w:r>
      <w:r w:rsidRPr="00C41193">
        <w:rPr>
          <w:rFonts w:eastAsia="Times New Roman" w:cs="Arial"/>
        </w:rPr>
        <w:t>.</w:t>
      </w:r>
      <w:r w:rsidRPr="00C41193">
        <w:rPr>
          <w:rFonts w:ascii="Cambria" w:eastAsia="Times New Roman" w:hAnsi="Cambria" w:cs="Cambria"/>
        </w:rPr>
        <w:t> </w:t>
      </w:r>
    </w:p>
    <w:p w14:paraId="57EE34CF" w14:textId="08FA6BCA" w:rsidR="00C41193" w:rsidRPr="00C41193" w:rsidRDefault="00C41193" w:rsidP="00C41193">
      <w:pPr>
        <w:rPr>
          <w:rFonts w:eastAsia="Times New Roman" w:cs="Segoe UI"/>
        </w:rPr>
      </w:pPr>
      <w:r w:rsidRPr="00C41193">
        <w:rPr>
          <w:rFonts w:eastAsia="Times New Roman" w:cs="Arial"/>
        </w:rPr>
        <w:t>The benefits of</w:t>
      </w:r>
      <w:r w:rsidRPr="00C41193">
        <w:rPr>
          <w:rFonts w:ascii="Cambria" w:eastAsia="Times New Roman" w:hAnsi="Cambria" w:cs="Cambria"/>
        </w:rPr>
        <w:t> </w:t>
      </w:r>
      <w:r w:rsidRPr="00C41193">
        <w:rPr>
          <w:rFonts w:eastAsia="Times New Roman" w:cs="Arial"/>
        </w:rPr>
        <w:t>analgesic</w:t>
      </w:r>
      <w:r w:rsidRPr="00C41193">
        <w:rPr>
          <w:rFonts w:ascii="Cambria" w:eastAsia="Times New Roman" w:hAnsi="Cambria" w:cs="Cambria"/>
        </w:rPr>
        <w:t> </w:t>
      </w:r>
      <w:r w:rsidRPr="00C41193">
        <w:rPr>
          <w:rFonts w:eastAsia="Times New Roman" w:cs="Arial"/>
        </w:rPr>
        <w:t>stewardship</w:t>
      </w:r>
      <w:r w:rsidRPr="00C41193">
        <w:rPr>
          <w:rFonts w:ascii="Cambria" w:eastAsia="Times New Roman" w:hAnsi="Cambria" w:cs="Cambria"/>
        </w:rPr>
        <w:t> </w:t>
      </w:r>
      <w:r w:rsidRPr="00C41193">
        <w:rPr>
          <w:rFonts w:eastAsia="Times New Roman" w:cs="Arial"/>
        </w:rPr>
        <w:t>programs</w:t>
      </w:r>
      <w:r w:rsidRPr="00C41193">
        <w:rPr>
          <w:rFonts w:ascii="Cambria" w:eastAsia="Times New Roman" w:hAnsi="Cambria" w:cs="Cambria"/>
        </w:rPr>
        <w:t> </w:t>
      </w:r>
      <w:r w:rsidRPr="00C41193">
        <w:rPr>
          <w:rFonts w:eastAsia="Times New Roman" w:cs="Arial"/>
        </w:rPr>
        <w:t>include</w:t>
      </w:r>
      <w:r w:rsidRPr="00C41193">
        <w:rPr>
          <w:rFonts w:ascii="Cambria" w:eastAsia="Times New Roman" w:hAnsi="Cambria" w:cs="Cambria"/>
        </w:rPr>
        <w:t> </w:t>
      </w:r>
      <w:r w:rsidRPr="00C41193">
        <w:rPr>
          <w:rFonts w:eastAsia="Times New Roman" w:cs="Arial"/>
        </w:rPr>
        <w:t>reduced</w:t>
      </w:r>
      <w:r w:rsidRPr="00C41193">
        <w:rPr>
          <w:rFonts w:ascii="Cambria" w:eastAsia="Times New Roman" w:hAnsi="Cambria" w:cs="Cambria"/>
        </w:rPr>
        <w:t> </w:t>
      </w:r>
      <w:r w:rsidRPr="00C41193">
        <w:rPr>
          <w:rFonts w:eastAsia="Times New Roman" w:cs="Arial"/>
        </w:rPr>
        <w:t>incidence</w:t>
      </w:r>
      <w:r w:rsidRPr="00C41193">
        <w:rPr>
          <w:rFonts w:ascii="Cambria" w:eastAsia="Times New Roman" w:hAnsi="Cambria" w:cs="Cambria"/>
        </w:rPr>
        <w:t> </w:t>
      </w:r>
      <w:r w:rsidRPr="00C41193">
        <w:rPr>
          <w:rFonts w:eastAsia="Times New Roman" w:cs="Arial"/>
        </w:rPr>
        <w:t>of</w:t>
      </w:r>
      <w:r w:rsidRPr="00C41193">
        <w:rPr>
          <w:rFonts w:ascii="Cambria" w:eastAsia="Times New Roman" w:hAnsi="Cambria" w:cs="Cambria"/>
        </w:rPr>
        <w:t> </w:t>
      </w:r>
      <w:r w:rsidRPr="00C41193">
        <w:rPr>
          <w:rFonts w:eastAsia="Times New Roman" w:cs="Arial"/>
        </w:rPr>
        <w:t>opioid related harm and</w:t>
      </w:r>
      <w:r w:rsidRPr="00C41193">
        <w:rPr>
          <w:rFonts w:ascii="Cambria" w:eastAsia="Times New Roman" w:hAnsi="Cambria" w:cs="Cambria"/>
        </w:rPr>
        <w:t> </w:t>
      </w:r>
      <w:r w:rsidRPr="00C41193">
        <w:rPr>
          <w:rFonts w:eastAsia="Times New Roman" w:cs="Arial"/>
        </w:rPr>
        <w:t>reduced</w:t>
      </w:r>
      <w:r w:rsidRPr="00C41193">
        <w:rPr>
          <w:rFonts w:ascii="Cambria" w:eastAsia="Times New Roman" w:hAnsi="Cambria" w:cs="Cambria"/>
        </w:rPr>
        <w:t> </w:t>
      </w:r>
      <w:proofErr w:type="gramStart"/>
      <w:r w:rsidRPr="00C41193">
        <w:rPr>
          <w:rFonts w:eastAsia="Times New Roman" w:cs="Arial"/>
        </w:rPr>
        <w:t>healthcare</w:t>
      </w:r>
      <w:proofErr w:type="gramEnd"/>
      <w:r w:rsidRPr="00C41193">
        <w:rPr>
          <w:rFonts w:eastAsia="Times New Roman" w:cs="Arial"/>
        </w:rPr>
        <w:t xml:space="preserve"> and economic costs associated with inappropriate opioid analgesic use</w:t>
      </w:r>
      <w:r w:rsidRPr="00C41193">
        <w:rPr>
          <w:rFonts w:ascii="Cambria" w:eastAsia="Times New Roman" w:hAnsi="Cambria" w:cs="Cambria"/>
        </w:rPr>
        <w:t> </w:t>
      </w:r>
      <w:r w:rsidR="00BB0ED5">
        <w:rPr>
          <w:rFonts w:eastAsia="Times New Roman" w:cs="Arial"/>
        </w:rPr>
        <w:t>(</w:t>
      </w:r>
      <w:r w:rsidRPr="00C41193">
        <w:rPr>
          <w:rFonts w:eastAsia="Times New Roman" w:cs="Arial"/>
        </w:rPr>
        <w:t>ACSQHC,</w:t>
      </w:r>
      <w:r w:rsidRPr="00C41193">
        <w:rPr>
          <w:rFonts w:ascii="Cambria" w:eastAsia="Times New Roman" w:hAnsi="Cambria" w:cs="Cambria"/>
        </w:rPr>
        <w:t> </w:t>
      </w:r>
      <w:r w:rsidRPr="00C41193">
        <w:rPr>
          <w:rFonts w:eastAsia="Times New Roman" w:cs="Arial"/>
        </w:rPr>
        <w:t>202</w:t>
      </w:r>
      <w:r w:rsidR="0015782B">
        <w:rPr>
          <w:rFonts w:eastAsia="Times New Roman" w:cs="Arial"/>
        </w:rPr>
        <w:t>2</w:t>
      </w:r>
      <w:r w:rsidR="00BB0ED5">
        <w:rPr>
          <w:rFonts w:eastAsia="Times New Roman" w:cs="Arial"/>
        </w:rPr>
        <w:t>).</w:t>
      </w:r>
      <w:r w:rsidRPr="00C41193">
        <w:rPr>
          <w:rFonts w:ascii="Cambria" w:eastAsia="Times New Roman" w:hAnsi="Cambria" w:cs="Cambria"/>
        </w:rPr>
        <w:t> </w:t>
      </w:r>
    </w:p>
    <w:p w14:paraId="2EB6BE97" w14:textId="5EB697B4" w:rsidR="00C5410D" w:rsidRPr="00CC36E3" w:rsidRDefault="00C5410D" w:rsidP="00185A02">
      <w:pPr>
        <w:pStyle w:val="Heading2"/>
        <w:spacing w:before="120"/>
      </w:pPr>
      <w:bookmarkStart w:id="17" w:name="_Toc43383636"/>
      <w:bookmarkStart w:id="18" w:name="_Toc43388523"/>
      <w:bookmarkStart w:id="19" w:name="_Toc44342440"/>
      <w:bookmarkStart w:id="20" w:name="_Toc103871426"/>
      <w:r w:rsidRPr="00CC36E3">
        <w:lastRenderedPageBreak/>
        <w:t xml:space="preserve">Development of the </w:t>
      </w:r>
      <w:bookmarkEnd w:id="17"/>
      <w:bookmarkEnd w:id="18"/>
      <w:bookmarkEnd w:id="19"/>
      <w:r w:rsidR="00172983">
        <w:t xml:space="preserve">AGS </w:t>
      </w:r>
      <w:r w:rsidR="00C82D5A">
        <w:t>toolkit</w:t>
      </w:r>
      <w:bookmarkEnd w:id="20"/>
    </w:p>
    <w:p w14:paraId="7EF8BEF4" w14:textId="66908270" w:rsidR="00573901" w:rsidRDefault="00573901" w:rsidP="00185A02">
      <w:pPr>
        <w:pStyle w:val="Normalfollowingheading"/>
      </w:pPr>
      <w:r w:rsidRPr="00573901">
        <w:t>The</w:t>
      </w:r>
      <w:r>
        <w:t xml:space="preserve"> AGS toolkit</w:t>
      </w:r>
      <w:r w:rsidR="002D42AA">
        <w:t xml:space="preserve"> was developed to</w:t>
      </w:r>
      <w:r>
        <w:t xml:space="preserve"> support the introduction or enhancement of analgesic stewardship programs in Victorian health services.</w:t>
      </w:r>
      <w:r w:rsidR="003F55D0">
        <w:t xml:space="preserve"> It builds on the structures and resources developed by Alfred Health’s Analgesic Stewardship Program</w:t>
      </w:r>
      <w:r w:rsidR="00A541D6">
        <w:t>.</w:t>
      </w:r>
    </w:p>
    <w:p w14:paraId="0B682EB8" w14:textId="7EA14376" w:rsidR="0018212C" w:rsidRDefault="00653BD1" w:rsidP="00653BD1">
      <w:r>
        <w:t xml:space="preserve">The AGS toolkit was developed </w:t>
      </w:r>
      <w:r w:rsidR="009F2FA1">
        <w:t xml:space="preserve">and tested </w:t>
      </w:r>
      <w:r w:rsidR="002D42AA">
        <w:t>at six</w:t>
      </w:r>
      <w:r w:rsidR="009F2FA1">
        <w:t xml:space="preserve"> Victorian health services in the surgical setting as part of SCV’s time-limited Analgesic Stewardship Program in 2022. The toolkit </w:t>
      </w:r>
      <w:r w:rsidR="00E84641">
        <w:t xml:space="preserve">was developed </w:t>
      </w:r>
      <w:r w:rsidR="0018212C">
        <w:t xml:space="preserve">to address selected </w:t>
      </w:r>
      <w:r w:rsidR="00403403">
        <w:t>quality statements and indicators contained in the Opioid Analgesic Stewardship in Acute Pain Clinical Care Standard.</w:t>
      </w:r>
    </w:p>
    <w:p w14:paraId="7B7D5741" w14:textId="7ED50F89" w:rsidR="00C5410D" w:rsidRPr="00810D81" w:rsidRDefault="00C5410D" w:rsidP="00185A02">
      <w:pPr>
        <w:pStyle w:val="Tablechartdiagramheading"/>
        <w:spacing w:before="120"/>
      </w:pPr>
      <w:bookmarkStart w:id="21" w:name="_Toc43383637"/>
      <w:bookmarkStart w:id="22" w:name="_Toc43388524"/>
      <w:bookmarkStart w:id="23" w:name="_Toc44342441"/>
      <w:r w:rsidRPr="00810D81">
        <w:t xml:space="preserve">Benefits of using the </w:t>
      </w:r>
      <w:r w:rsidR="00810D81">
        <w:t>AGS</w:t>
      </w:r>
      <w:r w:rsidRPr="00810D81">
        <w:t xml:space="preserve"> tool</w:t>
      </w:r>
      <w:bookmarkEnd w:id="21"/>
      <w:bookmarkEnd w:id="22"/>
      <w:bookmarkEnd w:id="23"/>
      <w:r w:rsidR="00810D81">
        <w:t>kit</w:t>
      </w:r>
    </w:p>
    <w:tbl>
      <w:tblPr>
        <w:tblStyle w:val="TableGrid"/>
        <w:tblW w:w="10206" w:type="dxa"/>
        <w:tblLook w:val="04A0" w:firstRow="1" w:lastRow="0" w:firstColumn="1" w:lastColumn="0" w:noHBand="0" w:noVBand="1"/>
      </w:tblPr>
      <w:tblGrid>
        <w:gridCol w:w="1985"/>
        <w:gridCol w:w="8221"/>
      </w:tblGrid>
      <w:tr w:rsidR="00C5410D" w:rsidRPr="00172983" w14:paraId="34C9EED8" w14:textId="77777777" w:rsidTr="005F00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12895D9D" w14:textId="77777777" w:rsidR="00C5410D" w:rsidRPr="00810D81" w:rsidRDefault="00C5410D">
            <w:pPr>
              <w:rPr>
                <w:rFonts w:ascii="VIC SemiBold" w:hAnsi="VIC SemiBold"/>
                <w:b w:val="0"/>
                <w:bCs/>
                <w:sz w:val="18"/>
                <w:szCs w:val="18"/>
              </w:rPr>
            </w:pPr>
            <w:r w:rsidRPr="00810D81">
              <w:rPr>
                <w:rFonts w:ascii="VIC SemiBold" w:hAnsi="VIC SemiBold"/>
                <w:bCs/>
                <w:sz w:val="18"/>
                <w:szCs w:val="18"/>
              </w:rPr>
              <w:t>Benefit</w:t>
            </w:r>
          </w:p>
        </w:tc>
        <w:tc>
          <w:tcPr>
            <w:tcW w:w="8221" w:type="dxa"/>
          </w:tcPr>
          <w:p w14:paraId="3AD91365" w14:textId="77777777" w:rsidR="00C5410D" w:rsidRPr="00810D81" w:rsidRDefault="00C5410D">
            <w:pPr>
              <w:cnfStyle w:val="100000000000" w:firstRow="1" w:lastRow="0" w:firstColumn="0" w:lastColumn="0" w:oddVBand="0" w:evenVBand="0" w:oddHBand="0" w:evenHBand="0" w:firstRowFirstColumn="0" w:firstRowLastColumn="0" w:lastRowFirstColumn="0" w:lastRowLastColumn="0"/>
              <w:rPr>
                <w:rFonts w:ascii="VIC SemiBold" w:hAnsi="VIC SemiBold"/>
                <w:b w:val="0"/>
                <w:bCs/>
                <w:sz w:val="18"/>
                <w:szCs w:val="18"/>
              </w:rPr>
            </w:pPr>
            <w:r w:rsidRPr="00810D81">
              <w:rPr>
                <w:rFonts w:ascii="VIC SemiBold" w:hAnsi="VIC SemiBold"/>
                <w:bCs/>
                <w:sz w:val="18"/>
                <w:szCs w:val="18"/>
              </w:rPr>
              <w:t>Examples</w:t>
            </w:r>
          </w:p>
        </w:tc>
      </w:tr>
      <w:tr w:rsidR="00C5410D" w:rsidRPr="00172983" w14:paraId="0B53D798" w14:textId="77777777" w:rsidTr="005F00E9">
        <w:tc>
          <w:tcPr>
            <w:cnfStyle w:val="001000000000" w:firstRow="0" w:lastRow="0" w:firstColumn="1" w:lastColumn="0" w:oddVBand="0" w:evenVBand="0" w:oddHBand="0" w:evenHBand="0" w:firstRowFirstColumn="0" w:firstRowLastColumn="0" w:lastRowFirstColumn="0" w:lastRowLastColumn="0"/>
            <w:tcW w:w="1985" w:type="dxa"/>
          </w:tcPr>
          <w:p w14:paraId="41DCB68D" w14:textId="77777777" w:rsidR="00C5410D" w:rsidRPr="00172983" w:rsidRDefault="00C5410D">
            <w:pPr>
              <w:rPr>
                <w:sz w:val="18"/>
                <w:szCs w:val="18"/>
                <w:highlight w:val="yellow"/>
              </w:rPr>
            </w:pPr>
            <w:r w:rsidRPr="00A05D25">
              <w:rPr>
                <w:sz w:val="18"/>
                <w:szCs w:val="18"/>
              </w:rPr>
              <w:t>Improving clinical outcomes</w:t>
            </w:r>
          </w:p>
        </w:tc>
        <w:tc>
          <w:tcPr>
            <w:tcW w:w="8221" w:type="dxa"/>
          </w:tcPr>
          <w:p w14:paraId="621CF0EE" w14:textId="0EF8B0C1" w:rsidR="00C5410D" w:rsidRPr="003A1A76" w:rsidRDefault="006A60AE" w:rsidP="006A60AE">
            <w:pPr>
              <w:cnfStyle w:val="000000000000" w:firstRow="0" w:lastRow="0" w:firstColumn="0" w:lastColumn="0" w:oddVBand="0" w:evenVBand="0" w:oddHBand="0" w:evenHBand="0" w:firstRowFirstColumn="0" w:firstRowLastColumn="0" w:lastRowFirstColumn="0" w:lastRowLastColumn="0"/>
              <w:rPr>
                <w:sz w:val="18"/>
                <w:szCs w:val="18"/>
              </w:rPr>
            </w:pPr>
            <w:r w:rsidRPr="003A1A76">
              <w:rPr>
                <w:sz w:val="18"/>
                <w:szCs w:val="18"/>
              </w:rPr>
              <w:t xml:space="preserve">The AGS toolkit may support services </w:t>
            </w:r>
            <w:r w:rsidR="00D46DDC">
              <w:rPr>
                <w:sz w:val="18"/>
                <w:szCs w:val="18"/>
              </w:rPr>
              <w:t xml:space="preserve">to </w:t>
            </w:r>
            <w:r w:rsidRPr="003A1A76">
              <w:rPr>
                <w:sz w:val="18"/>
                <w:szCs w:val="18"/>
              </w:rPr>
              <w:t xml:space="preserve">develop strategies to improve </w:t>
            </w:r>
            <w:r w:rsidR="003A1A76" w:rsidRPr="003A1A76">
              <w:rPr>
                <w:sz w:val="18"/>
                <w:szCs w:val="18"/>
              </w:rPr>
              <w:t>acute pain management and support appropriate analgesic prescribing.</w:t>
            </w:r>
          </w:p>
        </w:tc>
      </w:tr>
      <w:tr w:rsidR="00C5410D" w:rsidRPr="00172983" w14:paraId="3C8A789C" w14:textId="77777777" w:rsidTr="005F00E9">
        <w:tc>
          <w:tcPr>
            <w:cnfStyle w:val="001000000000" w:firstRow="0" w:lastRow="0" w:firstColumn="1" w:lastColumn="0" w:oddVBand="0" w:evenVBand="0" w:oddHBand="0" w:evenHBand="0" w:firstRowFirstColumn="0" w:firstRowLastColumn="0" w:lastRowFirstColumn="0" w:lastRowLastColumn="0"/>
            <w:tcW w:w="1985" w:type="dxa"/>
          </w:tcPr>
          <w:p w14:paraId="2A82A2BC" w14:textId="77777777" w:rsidR="00C5410D" w:rsidRPr="00585A5C" w:rsidRDefault="00C5410D">
            <w:pPr>
              <w:rPr>
                <w:sz w:val="18"/>
                <w:szCs w:val="18"/>
              </w:rPr>
            </w:pPr>
            <w:r w:rsidRPr="00585A5C">
              <w:rPr>
                <w:sz w:val="18"/>
                <w:szCs w:val="18"/>
              </w:rPr>
              <w:t>Continuous improvement planning</w:t>
            </w:r>
          </w:p>
        </w:tc>
        <w:tc>
          <w:tcPr>
            <w:tcW w:w="8221" w:type="dxa"/>
          </w:tcPr>
          <w:p w14:paraId="70A9C8D5" w14:textId="43987810" w:rsidR="00C5410D" w:rsidRPr="00585A5C" w:rsidRDefault="00C5410D">
            <w:pPr>
              <w:cnfStyle w:val="000000000000" w:firstRow="0" w:lastRow="0" w:firstColumn="0" w:lastColumn="0" w:oddVBand="0" w:evenVBand="0" w:oddHBand="0" w:evenHBand="0" w:firstRowFirstColumn="0" w:firstRowLastColumn="0" w:lastRowFirstColumn="0" w:lastRowLastColumn="0"/>
              <w:rPr>
                <w:sz w:val="18"/>
                <w:szCs w:val="18"/>
              </w:rPr>
            </w:pPr>
            <w:r w:rsidRPr="00585A5C">
              <w:rPr>
                <w:sz w:val="18"/>
                <w:szCs w:val="18"/>
              </w:rPr>
              <w:t xml:space="preserve">This toolkit </w:t>
            </w:r>
            <w:r w:rsidR="00585A5C" w:rsidRPr="00585A5C">
              <w:rPr>
                <w:sz w:val="18"/>
                <w:szCs w:val="18"/>
              </w:rPr>
              <w:t>is</w:t>
            </w:r>
            <w:r w:rsidRPr="00585A5C">
              <w:rPr>
                <w:sz w:val="18"/>
                <w:szCs w:val="18"/>
              </w:rPr>
              <w:t xml:space="preserve"> designed to support continuous improvement</w:t>
            </w:r>
            <w:r w:rsidR="00D46DDC">
              <w:rPr>
                <w:sz w:val="18"/>
                <w:szCs w:val="18"/>
              </w:rPr>
              <w:t xml:space="preserve"> by facilitating ongoing monitoring of program initiatives and indicators</w:t>
            </w:r>
            <w:r w:rsidRPr="00585A5C">
              <w:rPr>
                <w:sz w:val="18"/>
                <w:szCs w:val="18"/>
              </w:rPr>
              <w:t xml:space="preserve">. </w:t>
            </w:r>
          </w:p>
        </w:tc>
      </w:tr>
      <w:tr w:rsidR="00C5410D" w:rsidRPr="00B77C5D" w14:paraId="32F32668" w14:textId="77777777" w:rsidTr="005F00E9">
        <w:tc>
          <w:tcPr>
            <w:cnfStyle w:val="001000000000" w:firstRow="0" w:lastRow="0" w:firstColumn="1" w:lastColumn="0" w:oddVBand="0" w:evenVBand="0" w:oddHBand="0" w:evenHBand="0" w:firstRowFirstColumn="0" w:firstRowLastColumn="0" w:lastRowFirstColumn="0" w:lastRowLastColumn="0"/>
            <w:tcW w:w="1985" w:type="dxa"/>
          </w:tcPr>
          <w:p w14:paraId="2741BB6F" w14:textId="77777777" w:rsidR="00C5410D" w:rsidRPr="00D05488" w:rsidRDefault="00C5410D">
            <w:pPr>
              <w:rPr>
                <w:sz w:val="18"/>
                <w:szCs w:val="18"/>
              </w:rPr>
            </w:pPr>
            <w:r w:rsidRPr="00D05488">
              <w:rPr>
                <w:sz w:val="18"/>
                <w:szCs w:val="18"/>
              </w:rPr>
              <w:t>Accreditation</w:t>
            </w:r>
          </w:p>
        </w:tc>
        <w:tc>
          <w:tcPr>
            <w:tcW w:w="8221" w:type="dxa"/>
          </w:tcPr>
          <w:p w14:paraId="1FC06519" w14:textId="7F63FAD5" w:rsidR="00C5410D" w:rsidRPr="00D05488" w:rsidRDefault="001E68C7">
            <w:pPr>
              <w:cnfStyle w:val="000000000000" w:firstRow="0" w:lastRow="0" w:firstColumn="0" w:lastColumn="0" w:oddVBand="0" w:evenVBand="0" w:oddHBand="0" w:evenHBand="0" w:firstRowFirstColumn="0" w:firstRowLastColumn="0" w:lastRowFirstColumn="0" w:lastRowLastColumn="0"/>
              <w:rPr>
                <w:sz w:val="18"/>
                <w:szCs w:val="18"/>
              </w:rPr>
            </w:pPr>
            <w:r>
              <w:rPr>
                <w:rStyle w:val="CommentReference"/>
                <w:sz w:val="18"/>
                <w:szCs w:val="18"/>
              </w:rPr>
              <w:t xml:space="preserve">The AGS toolkit </w:t>
            </w:r>
            <w:r w:rsidRPr="00CE634B">
              <w:rPr>
                <w:rStyle w:val="CommentReference"/>
                <w:sz w:val="18"/>
                <w:szCs w:val="18"/>
              </w:rPr>
              <w:t xml:space="preserve">may support services </w:t>
            </w:r>
            <w:r w:rsidR="00D46DDC" w:rsidRPr="00CE634B">
              <w:rPr>
                <w:rStyle w:val="CommentReference"/>
                <w:sz w:val="18"/>
                <w:szCs w:val="18"/>
              </w:rPr>
              <w:t>t</w:t>
            </w:r>
            <w:r w:rsidR="00D46DDC" w:rsidRPr="00AB7108">
              <w:rPr>
                <w:rStyle w:val="CommentReference"/>
                <w:sz w:val="18"/>
                <w:szCs w:val="18"/>
              </w:rPr>
              <w:t xml:space="preserve">o provide evidence of compliance </w:t>
            </w:r>
            <w:r w:rsidR="00D46DDC" w:rsidRPr="00CE634B">
              <w:rPr>
                <w:rStyle w:val="CommentReference"/>
                <w:sz w:val="18"/>
                <w:szCs w:val="18"/>
              </w:rPr>
              <w:t>w</w:t>
            </w:r>
            <w:r w:rsidR="00D46DDC" w:rsidRPr="00AB7108">
              <w:rPr>
                <w:rStyle w:val="CommentReference"/>
                <w:sz w:val="18"/>
                <w:szCs w:val="18"/>
              </w:rPr>
              <w:t>ith</w:t>
            </w:r>
            <w:r w:rsidRPr="00CE634B">
              <w:rPr>
                <w:rStyle w:val="CommentReference"/>
                <w:sz w:val="18"/>
                <w:szCs w:val="18"/>
              </w:rPr>
              <w:t xml:space="preserve"> the </w:t>
            </w:r>
            <w:r w:rsidR="00D46DDC" w:rsidRPr="00CE634B">
              <w:rPr>
                <w:rStyle w:val="CommentReference"/>
                <w:sz w:val="18"/>
                <w:szCs w:val="18"/>
              </w:rPr>
              <w:t>ACSQHC</w:t>
            </w:r>
            <w:r w:rsidR="00764D65" w:rsidRPr="00CE634B">
              <w:rPr>
                <w:rStyle w:val="CommentReference"/>
                <w:sz w:val="18"/>
                <w:szCs w:val="18"/>
              </w:rPr>
              <w:t xml:space="preserve"> Opioid Analgesic Stewardship in Acute Pain Clinical Care Standard</w:t>
            </w:r>
            <w:r w:rsidR="00764D65">
              <w:rPr>
                <w:rStyle w:val="CommentReference"/>
                <w:sz w:val="18"/>
                <w:szCs w:val="18"/>
              </w:rPr>
              <w:t xml:space="preserve">. </w:t>
            </w:r>
          </w:p>
        </w:tc>
      </w:tr>
    </w:tbl>
    <w:p w14:paraId="38035D7C" w14:textId="77777777" w:rsidR="000F2A02" w:rsidRDefault="000F2A02" w:rsidP="00185A02">
      <w:pPr>
        <w:pStyle w:val="Normalfollowingheading"/>
      </w:pPr>
    </w:p>
    <w:p w14:paraId="37ED1FDD" w14:textId="41F1E7CD" w:rsidR="006D6246" w:rsidRPr="00CC36E3" w:rsidRDefault="006D6246" w:rsidP="006D6246">
      <w:pPr>
        <w:pStyle w:val="Heading2"/>
      </w:pPr>
      <w:bookmarkStart w:id="24" w:name="_Toc103871427"/>
      <w:bookmarkStart w:id="25" w:name="_Toc43383634"/>
      <w:bookmarkStart w:id="26" w:name="_Toc43388521"/>
      <w:bookmarkStart w:id="27" w:name="_Toc44342438"/>
      <w:r>
        <w:t>acknowledgements</w:t>
      </w:r>
      <w:bookmarkEnd w:id="24"/>
    </w:p>
    <w:p w14:paraId="762A1471" w14:textId="3578FA55" w:rsidR="000F2A02" w:rsidRDefault="000F2A02" w:rsidP="000F2A02">
      <w:r>
        <w:t xml:space="preserve">The </w:t>
      </w:r>
      <w:r>
        <w:rPr>
          <w:rFonts w:ascii="VIC Medium" w:hAnsi="VIC Medium"/>
        </w:rPr>
        <w:t xml:space="preserve">Analgesic Stewardship Toolkit </w:t>
      </w:r>
      <w:r>
        <w:t>was developed by</w:t>
      </w:r>
      <w:r w:rsidRPr="0060096D">
        <w:rPr>
          <w:b/>
        </w:rPr>
        <w:t xml:space="preserve"> </w:t>
      </w:r>
      <w:r w:rsidRPr="0084555A">
        <w:rPr>
          <w:b/>
        </w:rPr>
        <w:t>Thuy Bui</w:t>
      </w:r>
      <w:r>
        <w:rPr>
          <w:b/>
        </w:rPr>
        <w:t>,</w:t>
      </w:r>
      <w:r w:rsidRPr="0084555A">
        <w:rPr>
          <w:b/>
        </w:rPr>
        <w:t xml:space="preserve"> </w:t>
      </w:r>
      <w:r w:rsidRPr="0084555A">
        <w:t>Analgesic Stewardship Pharmacist and Lead Pharmacist – Perioperative Services, Alfred Health</w:t>
      </w:r>
      <w:r>
        <w:t xml:space="preserve"> and </w:t>
      </w:r>
      <w:r w:rsidRPr="0060096D">
        <w:rPr>
          <w:b/>
          <w:bCs/>
        </w:rPr>
        <w:t>David Nguyen</w:t>
      </w:r>
      <w:r>
        <w:t xml:space="preserve">, </w:t>
      </w:r>
      <w:r w:rsidR="00F02B45">
        <w:t xml:space="preserve">(formerly) </w:t>
      </w:r>
      <w:r>
        <w:t xml:space="preserve">Senior Project Officer, Medicines Improvement, Safer Care Victoria. </w:t>
      </w:r>
    </w:p>
    <w:p w14:paraId="265003A0" w14:textId="6C906670" w:rsidR="000F2A02" w:rsidRDefault="000F2A02" w:rsidP="000F2A02">
      <w:r>
        <w:t xml:space="preserve">Safer Care Victoria </w:t>
      </w:r>
      <w:r w:rsidRPr="00CC36E3">
        <w:t>acknowledge</w:t>
      </w:r>
      <w:r>
        <w:t>s</w:t>
      </w:r>
      <w:r w:rsidRPr="00CC36E3">
        <w:t xml:space="preserve"> the contribution of </w:t>
      </w:r>
      <w:r>
        <w:t xml:space="preserve">clinicians </w:t>
      </w:r>
      <w:r w:rsidRPr="00CC36E3">
        <w:t xml:space="preserve">who provided input in </w:t>
      </w:r>
      <w:r>
        <w:t xml:space="preserve">the </w:t>
      </w:r>
      <w:r w:rsidRPr="00CC36E3">
        <w:t>develop</w:t>
      </w:r>
      <w:r>
        <w:t>ment of resources from Alfred Health that were adapted for use in this toolkit.</w:t>
      </w:r>
    </w:p>
    <w:p w14:paraId="66A7E20C" w14:textId="77777777" w:rsidR="000F2A02" w:rsidRPr="00CC36E3" w:rsidRDefault="000F2A02" w:rsidP="000F2A02">
      <w:pPr>
        <w:pStyle w:val="Heading2"/>
      </w:pPr>
      <w:bookmarkStart w:id="28" w:name="_Toc103871428"/>
      <w:r w:rsidRPr="00CC36E3">
        <w:t>Further information</w:t>
      </w:r>
      <w:bookmarkEnd w:id="25"/>
      <w:bookmarkEnd w:id="26"/>
      <w:bookmarkEnd w:id="27"/>
      <w:bookmarkEnd w:id="28"/>
    </w:p>
    <w:p w14:paraId="5197C6CB" w14:textId="1D1813A3" w:rsidR="000F2A02" w:rsidRPr="00185A02" w:rsidRDefault="000F2A02" w:rsidP="000F2A02">
      <w:pPr>
        <w:pStyle w:val="Normalfollowingheading"/>
        <w:rPr>
          <w:rFonts w:ascii="VIC SemiBold" w:hAnsi="VIC SemiBold"/>
        </w:rPr>
      </w:pPr>
      <w:r w:rsidRPr="00CC36E3">
        <w:t xml:space="preserve">For more information or to share your experiences of using the document, please </w:t>
      </w:r>
      <w:r>
        <w:t xml:space="preserve">email: </w:t>
      </w:r>
      <w:hyperlink r:id="rId25" w:history="1">
        <w:r w:rsidR="00A77C40" w:rsidRPr="00771972">
          <w:rPr>
            <w:rStyle w:val="Hyperlink"/>
          </w:rPr>
          <w:t>info@safercare.vic.gov.au</w:t>
        </w:r>
      </w:hyperlink>
      <w:r w:rsidRPr="000E4E0E">
        <w:rPr>
          <w:rStyle w:val="Hyperlink"/>
          <w:rFonts w:ascii="VIC SemiBold" w:hAnsi="VIC SemiBold" w:cs="Arial"/>
        </w:rPr>
        <w:t>.</w:t>
      </w:r>
    </w:p>
    <w:p w14:paraId="351531B5" w14:textId="33B814D1" w:rsidR="00C5410D" w:rsidRPr="00CC36E3" w:rsidRDefault="00C5410D" w:rsidP="00185A02">
      <w:pPr>
        <w:pStyle w:val="Normalfollowingheading"/>
      </w:pPr>
      <w:r w:rsidRPr="00CC36E3">
        <w:br w:type="page"/>
      </w:r>
    </w:p>
    <w:p w14:paraId="0920C300" w14:textId="64F49EE6" w:rsidR="00C5410D" w:rsidRPr="00CC36E3" w:rsidRDefault="00D46DDC" w:rsidP="00185A02">
      <w:pPr>
        <w:pStyle w:val="Heading1"/>
        <w:framePr w:wrap="around"/>
      </w:pPr>
      <w:bookmarkStart w:id="29" w:name="_Toc43388525"/>
      <w:bookmarkStart w:id="30" w:name="_Toc44342442"/>
      <w:bookmarkStart w:id="31" w:name="_Toc103871429"/>
      <w:r>
        <w:lastRenderedPageBreak/>
        <w:t>Using</w:t>
      </w:r>
      <w:r w:rsidRPr="00CC36E3">
        <w:t xml:space="preserve"> </w:t>
      </w:r>
      <w:r w:rsidR="00C5410D" w:rsidRPr="00CC36E3">
        <w:t xml:space="preserve">the </w:t>
      </w:r>
      <w:bookmarkEnd w:id="29"/>
      <w:bookmarkEnd w:id="30"/>
      <w:r w:rsidR="00C25D7C">
        <w:t xml:space="preserve">AGS </w:t>
      </w:r>
      <w:r w:rsidR="00BF5BCD">
        <w:t>toolkit</w:t>
      </w:r>
      <w:bookmarkEnd w:id="31"/>
    </w:p>
    <w:p w14:paraId="5D38CB77" w14:textId="18DC55D7" w:rsidR="007F6A05" w:rsidRPr="002A414D" w:rsidRDefault="00F3034B" w:rsidP="00444B52">
      <w:pPr>
        <w:pStyle w:val="Normalfollowingheading"/>
        <w:rPr>
          <w:rStyle w:val="normaltextrun"/>
          <w:color w:val="000000"/>
          <w:shd w:val="clear" w:color="auto" w:fill="FFFFFF"/>
          <w:lang w:val="en-US"/>
        </w:rPr>
      </w:pPr>
      <w:r>
        <w:t xml:space="preserve">The AGS toolkit </w:t>
      </w:r>
      <w:r w:rsidR="001F030F">
        <w:t xml:space="preserve">assists with the </w:t>
      </w:r>
      <w:r w:rsidR="00D46DDC">
        <w:t xml:space="preserve">development </w:t>
      </w:r>
      <w:r w:rsidR="001F030F">
        <w:t xml:space="preserve">of core elements of </w:t>
      </w:r>
      <w:r w:rsidR="00D46DDC">
        <w:t xml:space="preserve">an </w:t>
      </w:r>
      <w:r w:rsidR="001F030F">
        <w:t xml:space="preserve">Analgesic Stewardship </w:t>
      </w:r>
      <w:r w:rsidR="00FA4A82">
        <w:t xml:space="preserve">Program </w:t>
      </w:r>
      <w:proofErr w:type="gramStart"/>
      <w:r w:rsidR="00337972">
        <w:rPr>
          <w:rStyle w:val="normaltextrun"/>
          <w:color w:val="000000"/>
          <w:shd w:val="clear" w:color="auto" w:fill="FFFFFF"/>
          <w:lang w:val="en-US"/>
        </w:rPr>
        <w:t>including</w:t>
      </w:r>
      <w:r w:rsidR="00D46DDC">
        <w:rPr>
          <w:rStyle w:val="normaltextrun"/>
          <w:color w:val="000000"/>
          <w:shd w:val="clear" w:color="auto" w:fill="FFFFFF"/>
          <w:lang w:val="en-US"/>
        </w:rPr>
        <w:t>:</w:t>
      </w:r>
      <w:proofErr w:type="gramEnd"/>
      <w:r w:rsidR="00D46DDC">
        <w:rPr>
          <w:rStyle w:val="normaltextrun"/>
          <w:color w:val="000000"/>
          <w:shd w:val="clear" w:color="auto" w:fill="FFFFFF"/>
          <w:lang w:val="en-US"/>
        </w:rPr>
        <w:t xml:space="preserve"> establishing</w:t>
      </w:r>
      <w:r w:rsidR="00337972">
        <w:rPr>
          <w:rStyle w:val="normaltextrun"/>
          <w:color w:val="000000"/>
          <w:shd w:val="clear" w:color="auto" w:fill="FFFFFF"/>
          <w:lang w:val="en-US"/>
        </w:rPr>
        <w:t xml:space="preserve"> a</w:t>
      </w:r>
      <w:r w:rsidR="00D46DDC">
        <w:rPr>
          <w:rStyle w:val="normaltextrun"/>
          <w:color w:val="000000"/>
          <w:shd w:val="clear" w:color="auto" w:fill="FFFFFF"/>
          <w:lang w:val="en-US"/>
        </w:rPr>
        <w:t>n AGS program governance</w:t>
      </w:r>
      <w:r w:rsidR="001D51E1">
        <w:rPr>
          <w:rStyle w:val="normaltextrun"/>
          <w:color w:val="000000"/>
          <w:shd w:val="clear" w:color="auto" w:fill="FFFFFF"/>
          <w:lang w:val="en-US"/>
        </w:rPr>
        <w:t xml:space="preserve"> c</w:t>
      </w:r>
      <w:r w:rsidR="00337972">
        <w:rPr>
          <w:rStyle w:val="normaltextrun"/>
          <w:color w:val="000000"/>
          <w:shd w:val="clear" w:color="auto" w:fill="FFFFFF"/>
          <w:lang w:val="en-US"/>
        </w:rPr>
        <w:t>ommittee, monitoring</w:t>
      </w:r>
      <w:r w:rsidR="00D46DDC">
        <w:rPr>
          <w:rStyle w:val="normaltextrun"/>
          <w:color w:val="000000"/>
          <w:shd w:val="clear" w:color="auto" w:fill="FFFFFF"/>
          <w:lang w:val="en-US"/>
        </w:rPr>
        <w:t xml:space="preserve"> program indicators</w:t>
      </w:r>
      <w:r w:rsidR="00337972">
        <w:rPr>
          <w:rStyle w:val="normaltextrun"/>
          <w:color w:val="000000"/>
          <w:shd w:val="clear" w:color="auto" w:fill="FFFFFF"/>
          <w:lang w:val="en-US"/>
        </w:rPr>
        <w:t xml:space="preserve">, </w:t>
      </w:r>
      <w:r w:rsidR="00D46DDC">
        <w:rPr>
          <w:rStyle w:val="normaltextrun"/>
          <w:color w:val="000000"/>
          <w:shd w:val="clear" w:color="auto" w:fill="FFFFFF"/>
          <w:lang w:val="en-US"/>
        </w:rPr>
        <w:t>developing prescribing guidelines, providing clinician education, and supporting patient-</w:t>
      </w:r>
      <w:proofErr w:type="spellStart"/>
      <w:r w:rsidR="00D46DDC">
        <w:rPr>
          <w:rStyle w:val="normaltextrun"/>
          <w:color w:val="000000"/>
          <w:shd w:val="clear" w:color="auto" w:fill="FFFFFF"/>
          <w:lang w:val="en-US"/>
        </w:rPr>
        <w:t>centred</w:t>
      </w:r>
      <w:proofErr w:type="spellEnd"/>
      <w:r w:rsidR="00D46DDC">
        <w:rPr>
          <w:rStyle w:val="normaltextrun"/>
          <w:color w:val="000000"/>
          <w:shd w:val="clear" w:color="auto" w:fill="FFFFFF"/>
          <w:lang w:val="en-US"/>
        </w:rPr>
        <w:t xml:space="preserve"> care</w:t>
      </w:r>
      <w:r w:rsidR="00337972">
        <w:rPr>
          <w:rStyle w:val="normaltextrun"/>
          <w:color w:val="000000"/>
          <w:shd w:val="clear" w:color="auto" w:fill="FFFFFF"/>
          <w:lang w:val="en-US"/>
        </w:rPr>
        <w:t>.</w:t>
      </w:r>
      <w:r w:rsidR="00444B52">
        <w:rPr>
          <w:rStyle w:val="normaltextrun"/>
          <w:color w:val="000000"/>
          <w:shd w:val="clear" w:color="auto" w:fill="FFFFFF"/>
          <w:lang w:val="en-US"/>
        </w:rPr>
        <w:t xml:space="preserve"> </w:t>
      </w:r>
      <w:r w:rsidR="002A414D">
        <w:rPr>
          <w:rStyle w:val="normaltextrun"/>
          <w:color w:val="000000"/>
          <w:shd w:val="clear" w:color="auto" w:fill="FFFFFF"/>
          <w:lang w:val="en-US"/>
        </w:rPr>
        <w:t xml:space="preserve"> </w:t>
      </w:r>
      <w:r w:rsidR="00444B52">
        <w:rPr>
          <w:rStyle w:val="normaltextrun"/>
          <w:color w:val="000000"/>
          <w:shd w:val="clear" w:color="auto" w:fill="FFFFFF"/>
          <w:lang w:val="en-US"/>
        </w:rPr>
        <w:t>F</w:t>
      </w:r>
      <w:r w:rsidR="00444B52" w:rsidRPr="000E5C8A">
        <w:rPr>
          <w:rStyle w:val="normaltextrun"/>
          <w:rFonts w:cs="Arial"/>
        </w:rPr>
        <w:t>act</w:t>
      </w:r>
      <w:r w:rsidR="00444B52" w:rsidRPr="000E5C8A">
        <w:rPr>
          <w:rStyle w:val="normaltextrun"/>
          <w:rFonts w:ascii="Cambria" w:hAnsi="Cambria" w:cs="Cambria"/>
        </w:rPr>
        <w:t> </w:t>
      </w:r>
      <w:r w:rsidR="00444B52" w:rsidRPr="000E5C8A">
        <w:rPr>
          <w:rStyle w:val="normaltextrun"/>
          <w:rFonts w:cs="Arial"/>
        </w:rPr>
        <w:t>sheets</w:t>
      </w:r>
      <w:r w:rsidR="00444B52" w:rsidRPr="000E5C8A">
        <w:rPr>
          <w:rStyle w:val="normaltextrun"/>
          <w:rFonts w:ascii="Cambria" w:hAnsi="Cambria" w:cs="Cambria"/>
        </w:rPr>
        <w:t> </w:t>
      </w:r>
      <w:r w:rsidR="00444B52">
        <w:rPr>
          <w:rStyle w:val="normaltextrun"/>
          <w:rFonts w:cs="Arial"/>
        </w:rPr>
        <w:t>and adaptable resources have been developed to</w:t>
      </w:r>
      <w:r w:rsidR="00444B52" w:rsidRPr="000E5C8A">
        <w:rPr>
          <w:rStyle w:val="normaltextrun"/>
          <w:rFonts w:cs="Arial"/>
        </w:rPr>
        <w:t xml:space="preserve"> assist</w:t>
      </w:r>
      <w:r w:rsidR="00C1166A">
        <w:rPr>
          <w:rStyle w:val="normaltextrun"/>
          <w:rFonts w:cs="Arial"/>
        </w:rPr>
        <w:t xml:space="preserve"> </w:t>
      </w:r>
      <w:r w:rsidR="00D46DDC">
        <w:rPr>
          <w:rStyle w:val="normaltextrun"/>
          <w:rFonts w:cs="Arial"/>
        </w:rPr>
        <w:t xml:space="preserve">with </w:t>
      </w:r>
      <w:r w:rsidR="00C1166A">
        <w:rPr>
          <w:rStyle w:val="normaltextrun"/>
          <w:rFonts w:cs="Arial"/>
        </w:rPr>
        <w:t>the introduction of</w:t>
      </w:r>
      <w:r w:rsidR="00444B52" w:rsidRPr="000E5C8A">
        <w:rPr>
          <w:rStyle w:val="normaltextrun"/>
          <w:rFonts w:cs="Arial"/>
        </w:rPr>
        <w:t xml:space="preserve"> </w:t>
      </w:r>
      <w:r w:rsidR="007F6A05">
        <w:rPr>
          <w:rStyle w:val="normaltextrun"/>
          <w:rFonts w:cs="Arial"/>
        </w:rPr>
        <w:t xml:space="preserve">these elements alongside project management resources. </w:t>
      </w:r>
      <w:r w:rsidR="0010318A">
        <w:rPr>
          <w:rStyle w:val="normaltextrun"/>
          <w:rFonts w:cs="Arial"/>
        </w:rPr>
        <w:t>This toolkit</w:t>
      </w:r>
      <w:r w:rsidR="00F75D87">
        <w:rPr>
          <w:rStyle w:val="normaltextrun"/>
          <w:rFonts w:cs="Arial"/>
        </w:rPr>
        <w:t xml:space="preserve"> should </w:t>
      </w:r>
      <w:r w:rsidR="0010318A">
        <w:rPr>
          <w:rStyle w:val="normaltextrun"/>
          <w:rFonts w:cs="Arial"/>
        </w:rPr>
        <w:t xml:space="preserve">be used in conjunction with </w:t>
      </w:r>
      <w:r w:rsidR="00EA768B">
        <w:rPr>
          <w:rStyle w:val="normaltextrun"/>
          <w:rFonts w:cs="Arial"/>
        </w:rPr>
        <w:t xml:space="preserve">the Opioid Analgesic Stewardship </w:t>
      </w:r>
      <w:r w:rsidR="00D04E5B">
        <w:rPr>
          <w:rStyle w:val="normaltextrun"/>
          <w:rFonts w:cs="Arial"/>
        </w:rPr>
        <w:t xml:space="preserve">in Acute Pain Clinical Care Standard developed by the Australian Commission </w:t>
      </w:r>
      <w:r w:rsidR="008B1AAE">
        <w:rPr>
          <w:rStyle w:val="normaltextrun"/>
          <w:rFonts w:cs="Arial"/>
        </w:rPr>
        <w:t>on Safety and Quality in Health Care</w:t>
      </w:r>
      <w:r w:rsidR="0046443D">
        <w:rPr>
          <w:rStyle w:val="normaltextrun"/>
          <w:rFonts w:cs="Arial"/>
        </w:rPr>
        <w:t xml:space="preserve"> to </w:t>
      </w:r>
      <w:r w:rsidR="00782283">
        <w:rPr>
          <w:rStyle w:val="normaltextrun"/>
          <w:rFonts w:cs="Arial"/>
        </w:rPr>
        <w:t>understand the quality statements and identify relevant indicators</w:t>
      </w:r>
      <w:r w:rsidR="006D6246">
        <w:rPr>
          <w:rStyle w:val="normaltextrun"/>
          <w:rFonts w:cs="Arial"/>
        </w:rPr>
        <w:t>.</w:t>
      </w:r>
    </w:p>
    <w:tbl>
      <w:tblPr>
        <w:tblStyle w:val="TableGrid"/>
        <w:tblW w:w="0" w:type="auto"/>
        <w:tblLook w:val="04A0" w:firstRow="1" w:lastRow="0" w:firstColumn="1" w:lastColumn="0" w:noHBand="0" w:noVBand="1"/>
      </w:tblPr>
      <w:tblGrid>
        <w:gridCol w:w="4962"/>
        <w:gridCol w:w="5242"/>
      </w:tblGrid>
      <w:tr w:rsidR="00BF1028" w14:paraId="3C61E39C" w14:textId="77777777" w:rsidTr="00CA64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14:paraId="759528F9" w14:textId="380E3A63" w:rsidR="00BF1028" w:rsidRDefault="0094367B" w:rsidP="00444B52">
            <w:pPr>
              <w:rPr>
                <w:lang w:val="en-US"/>
              </w:rPr>
            </w:pPr>
            <w:r>
              <w:rPr>
                <w:lang w:val="en-US"/>
              </w:rPr>
              <w:t>Project Management</w:t>
            </w:r>
          </w:p>
        </w:tc>
        <w:tc>
          <w:tcPr>
            <w:tcW w:w="5242" w:type="dxa"/>
          </w:tcPr>
          <w:p w14:paraId="7651D4E9" w14:textId="77777777" w:rsidR="00BF1028" w:rsidRDefault="00BF1028" w:rsidP="00444B52">
            <w:pPr>
              <w:cnfStyle w:val="100000000000" w:firstRow="1" w:lastRow="0" w:firstColumn="0" w:lastColumn="0" w:oddVBand="0" w:evenVBand="0" w:oddHBand="0" w:evenHBand="0" w:firstRowFirstColumn="0" w:firstRowLastColumn="0" w:lastRowFirstColumn="0" w:lastRowLastColumn="0"/>
              <w:rPr>
                <w:lang w:val="en-US"/>
              </w:rPr>
            </w:pPr>
          </w:p>
        </w:tc>
      </w:tr>
      <w:tr w:rsidR="00BF1028" w14:paraId="0F1AD951" w14:textId="77777777" w:rsidTr="00CA6409">
        <w:tc>
          <w:tcPr>
            <w:cnfStyle w:val="001000000000" w:firstRow="0" w:lastRow="0" w:firstColumn="1" w:lastColumn="0" w:oddVBand="0" w:evenVBand="0" w:oddHBand="0" w:evenHBand="0" w:firstRowFirstColumn="0" w:firstRowLastColumn="0" w:lastRowFirstColumn="0" w:lastRowLastColumn="0"/>
            <w:tcW w:w="4962" w:type="dxa"/>
          </w:tcPr>
          <w:p w14:paraId="12659FFB" w14:textId="5FC7A01E" w:rsidR="00BF1028" w:rsidRDefault="0094367B" w:rsidP="00444B52">
            <w:pPr>
              <w:rPr>
                <w:lang w:val="en-US"/>
              </w:rPr>
            </w:pPr>
            <w:r>
              <w:rPr>
                <w:lang w:val="en-US"/>
              </w:rPr>
              <w:t>Adaptable resource</w:t>
            </w:r>
            <w:r w:rsidR="00CA6409">
              <w:rPr>
                <w:lang w:val="en-US"/>
              </w:rPr>
              <w:t>(s)</w:t>
            </w:r>
          </w:p>
        </w:tc>
        <w:tc>
          <w:tcPr>
            <w:tcW w:w="5242" w:type="dxa"/>
          </w:tcPr>
          <w:p w14:paraId="5D207529" w14:textId="1AA56E8C" w:rsidR="00BF1028" w:rsidRDefault="0094367B" w:rsidP="00444B52">
            <w:pPr>
              <w:cnfStyle w:val="000000000000" w:firstRow="0" w:lastRow="0" w:firstColumn="0" w:lastColumn="0" w:oddVBand="0" w:evenVBand="0" w:oddHBand="0" w:evenHBand="0" w:firstRowFirstColumn="0" w:firstRowLastColumn="0" w:lastRowFirstColumn="0" w:lastRowLastColumn="0"/>
              <w:rPr>
                <w:lang w:val="en-US"/>
              </w:rPr>
            </w:pPr>
            <w:r>
              <w:rPr>
                <w:lang w:val="en-US"/>
              </w:rPr>
              <w:t>Pro</w:t>
            </w:r>
            <w:r w:rsidR="00EA60D0">
              <w:rPr>
                <w:lang w:val="en-US"/>
              </w:rPr>
              <w:t>gram</w:t>
            </w:r>
            <w:r>
              <w:rPr>
                <w:lang w:val="en-US"/>
              </w:rPr>
              <w:t xml:space="preserve"> Plan Template</w:t>
            </w:r>
          </w:p>
          <w:p w14:paraId="6049D850" w14:textId="54186FEC" w:rsidR="0094367B" w:rsidRDefault="0094367B" w:rsidP="00444B52">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GANTT Planning </w:t>
            </w:r>
            <w:r w:rsidR="00CA6409">
              <w:rPr>
                <w:lang w:val="en-US"/>
              </w:rPr>
              <w:t>Template</w:t>
            </w:r>
          </w:p>
          <w:p w14:paraId="5FB71E86" w14:textId="24B8FB91" w:rsidR="00C10860" w:rsidRDefault="00CA6409" w:rsidP="000223EE">
            <w:pPr>
              <w:cnfStyle w:val="000000000000" w:firstRow="0" w:lastRow="0" w:firstColumn="0" w:lastColumn="0" w:oddVBand="0" w:evenVBand="0" w:oddHBand="0" w:evenHBand="0" w:firstRowFirstColumn="0" w:firstRowLastColumn="0" w:lastRowFirstColumn="0" w:lastRowLastColumn="0"/>
              <w:rPr>
                <w:lang w:val="en-US"/>
              </w:rPr>
            </w:pPr>
            <w:r>
              <w:rPr>
                <w:lang w:val="en-US"/>
              </w:rPr>
              <w:t>Sustainability Plan Template</w:t>
            </w:r>
          </w:p>
        </w:tc>
      </w:tr>
    </w:tbl>
    <w:p w14:paraId="56A2C769" w14:textId="77777777" w:rsidR="007F6A05" w:rsidRDefault="007F6A05" w:rsidP="00444B52">
      <w:pPr>
        <w:rPr>
          <w:lang w:val="en-US"/>
        </w:rPr>
      </w:pPr>
    </w:p>
    <w:tbl>
      <w:tblPr>
        <w:tblStyle w:val="TableGrid"/>
        <w:tblW w:w="0" w:type="auto"/>
        <w:tblLook w:val="04A0" w:firstRow="1" w:lastRow="0" w:firstColumn="1" w:lastColumn="0" w:noHBand="0" w:noVBand="1"/>
      </w:tblPr>
      <w:tblGrid>
        <w:gridCol w:w="4962"/>
        <w:gridCol w:w="5242"/>
      </w:tblGrid>
      <w:tr w:rsidR="00CA6409" w14:paraId="5AF9762B" w14:textId="77777777" w:rsidTr="008149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14:paraId="6C848042" w14:textId="3201F3BB" w:rsidR="00CA6409" w:rsidRDefault="00CA6409" w:rsidP="0081491B">
            <w:pPr>
              <w:rPr>
                <w:lang w:val="en-US"/>
              </w:rPr>
            </w:pPr>
            <w:r>
              <w:rPr>
                <w:lang w:val="en-US"/>
              </w:rPr>
              <w:t>Committee and governance</w:t>
            </w:r>
          </w:p>
        </w:tc>
        <w:tc>
          <w:tcPr>
            <w:tcW w:w="5242" w:type="dxa"/>
          </w:tcPr>
          <w:p w14:paraId="32394ADB" w14:textId="77777777" w:rsidR="00CA6409" w:rsidRDefault="00CA6409" w:rsidP="0081491B">
            <w:pPr>
              <w:cnfStyle w:val="100000000000" w:firstRow="1" w:lastRow="0" w:firstColumn="0" w:lastColumn="0" w:oddVBand="0" w:evenVBand="0" w:oddHBand="0" w:evenHBand="0" w:firstRowFirstColumn="0" w:firstRowLastColumn="0" w:lastRowFirstColumn="0" w:lastRowLastColumn="0"/>
              <w:rPr>
                <w:lang w:val="en-US"/>
              </w:rPr>
            </w:pPr>
          </w:p>
        </w:tc>
      </w:tr>
      <w:tr w:rsidR="00CA6409" w14:paraId="5C13BFC4" w14:textId="77777777" w:rsidTr="0081491B">
        <w:tc>
          <w:tcPr>
            <w:cnfStyle w:val="001000000000" w:firstRow="0" w:lastRow="0" w:firstColumn="1" w:lastColumn="0" w:oddVBand="0" w:evenVBand="0" w:oddHBand="0" w:evenHBand="0" w:firstRowFirstColumn="0" w:firstRowLastColumn="0" w:lastRowFirstColumn="0" w:lastRowLastColumn="0"/>
            <w:tcW w:w="4962" w:type="dxa"/>
          </w:tcPr>
          <w:p w14:paraId="31462EBB" w14:textId="599D6FCA" w:rsidR="00CA6409" w:rsidRDefault="00CA6409" w:rsidP="0081491B">
            <w:pPr>
              <w:rPr>
                <w:lang w:val="en-US"/>
              </w:rPr>
            </w:pPr>
            <w:r>
              <w:rPr>
                <w:lang w:val="en-US"/>
              </w:rPr>
              <w:t>Factsheet</w:t>
            </w:r>
          </w:p>
        </w:tc>
        <w:tc>
          <w:tcPr>
            <w:tcW w:w="5242" w:type="dxa"/>
          </w:tcPr>
          <w:p w14:paraId="6C7B9519" w14:textId="4ACD95DB" w:rsidR="00CA6409" w:rsidRDefault="000E5447" w:rsidP="0081491B">
            <w:pPr>
              <w:cnfStyle w:val="000000000000" w:firstRow="0" w:lastRow="0" w:firstColumn="0" w:lastColumn="0" w:oddVBand="0" w:evenVBand="0" w:oddHBand="0" w:evenHBand="0" w:firstRowFirstColumn="0" w:firstRowLastColumn="0" w:lastRowFirstColumn="0" w:lastRowLastColumn="0"/>
              <w:rPr>
                <w:lang w:val="en-US"/>
              </w:rPr>
            </w:pPr>
            <w:r>
              <w:rPr>
                <w:lang w:val="en-US"/>
              </w:rPr>
              <w:t>Committee and governance</w:t>
            </w:r>
          </w:p>
        </w:tc>
      </w:tr>
      <w:tr w:rsidR="00CA6409" w14:paraId="2FBF7F2E" w14:textId="77777777" w:rsidTr="0081491B">
        <w:tc>
          <w:tcPr>
            <w:cnfStyle w:val="001000000000" w:firstRow="0" w:lastRow="0" w:firstColumn="1" w:lastColumn="0" w:oddVBand="0" w:evenVBand="0" w:oddHBand="0" w:evenHBand="0" w:firstRowFirstColumn="0" w:firstRowLastColumn="0" w:lastRowFirstColumn="0" w:lastRowLastColumn="0"/>
            <w:tcW w:w="4962" w:type="dxa"/>
          </w:tcPr>
          <w:p w14:paraId="2F373BD2" w14:textId="77777777" w:rsidR="00CA6409" w:rsidRDefault="00CA6409" w:rsidP="0081491B">
            <w:pPr>
              <w:rPr>
                <w:lang w:val="en-US"/>
              </w:rPr>
            </w:pPr>
            <w:r>
              <w:rPr>
                <w:lang w:val="en-US"/>
              </w:rPr>
              <w:t>Adaptable resource(s)</w:t>
            </w:r>
          </w:p>
        </w:tc>
        <w:tc>
          <w:tcPr>
            <w:tcW w:w="5242" w:type="dxa"/>
          </w:tcPr>
          <w:p w14:paraId="33697722" w14:textId="77777777" w:rsidR="00CA6409" w:rsidRDefault="000E5447" w:rsidP="0081491B">
            <w:pPr>
              <w:cnfStyle w:val="000000000000" w:firstRow="0" w:lastRow="0" w:firstColumn="0" w:lastColumn="0" w:oddVBand="0" w:evenVBand="0" w:oddHBand="0" w:evenHBand="0" w:firstRowFirstColumn="0" w:firstRowLastColumn="0" w:lastRowFirstColumn="0" w:lastRowLastColumn="0"/>
              <w:rPr>
                <w:lang w:val="en-US"/>
              </w:rPr>
            </w:pPr>
            <w:r>
              <w:rPr>
                <w:lang w:val="en-US"/>
              </w:rPr>
              <w:t>Terms of Reference Template</w:t>
            </w:r>
          </w:p>
          <w:p w14:paraId="36EFFCBC" w14:textId="28F75606" w:rsidR="000E5447" w:rsidRDefault="000E5447" w:rsidP="0081491B">
            <w:pPr>
              <w:cnfStyle w:val="000000000000" w:firstRow="0" w:lastRow="0" w:firstColumn="0" w:lastColumn="0" w:oddVBand="0" w:evenVBand="0" w:oddHBand="0" w:evenHBand="0" w:firstRowFirstColumn="0" w:firstRowLastColumn="0" w:lastRowFirstColumn="0" w:lastRowLastColumn="0"/>
              <w:rPr>
                <w:lang w:val="en-US"/>
              </w:rPr>
            </w:pPr>
            <w:r>
              <w:rPr>
                <w:lang w:val="en-US"/>
              </w:rPr>
              <w:t>Sample Committee Agendas</w:t>
            </w:r>
          </w:p>
        </w:tc>
      </w:tr>
    </w:tbl>
    <w:p w14:paraId="1B14A394" w14:textId="77777777" w:rsidR="0094367B" w:rsidRPr="002A414D" w:rsidRDefault="0094367B" w:rsidP="00444B52">
      <w:pPr>
        <w:rPr>
          <w:sz w:val="10"/>
          <w:szCs w:val="10"/>
          <w:lang w:val="en-US"/>
        </w:rPr>
      </w:pPr>
    </w:p>
    <w:tbl>
      <w:tblPr>
        <w:tblStyle w:val="TableGrid"/>
        <w:tblW w:w="0" w:type="auto"/>
        <w:tblLook w:val="04A0" w:firstRow="1" w:lastRow="0" w:firstColumn="1" w:lastColumn="0" w:noHBand="0" w:noVBand="1"/>
      </w:tblPr>
      <w:tblGrid>
        <w:gridCol w:w="4962"/>
        <w:gridCol w:w="5242"/>
      </w:tblGrid>
      <w:tr w:rsidR="00CA6409" w14:paraId="6AC4B3F2" w14:textId="77777777" w:rsidTr="008149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14:paraId="43842AFC" w14:textId="4D46A8CD" w:rsidR="00CA6409" w:rsidRDefault="006E04D8" w:rsidP="0081491B">
            <w:pPr>
              <w:rPr>
                <w:lang w:val="en-US"/>
              </w:rPr>
            </w:pPr>
            <w:r>
              <w:rPr>
                <w:lang w:val="en-US"/>
              </w:rPr>
              <w:t>Monitoring</w:t>
            </w:r>
          </w:p>
        </w:tc>
        <w:tc>
          <w:tcPr>
            <w:tcW w:w="5242" w:type="dxa"/>
          </w:tcPr>
          <w:p w14:paraId="4071D9FE" w14:textId="77777777" w:rsidR="00CA6409" w:rsidRDefault="00CA6409" w:rsidP="0081491B">
            <w:pPr>
              <w:cnfStyle w:val="100000000000" w:firstRow="1" w:lastRow="0" w:firstColumn="0" w:lastColumn="0" w:oddVBand="0" w:evenVBand="0" w:oddHBand="0" w:evenHBand="0" w:firstRowFirstColumn="0" w:firstRowLastColumn="0" w:lastRowFirstColumn="0" w:lastRowLastColumn="0"/>
              <w:rPr>
                <w:lang w:val="en-US"/>
              </w:rPr>
            </w:pPr>
          </w:p>
        </w:tc>
      </w:tr>
      <w:tr w:rsidR="006E04D8" w14:paraId="76C1C38A" w14:textId="77777777" w:rsidTr="0081491B">
        <w:tc>
          <w:tcPr>
            <w:cnfStyle w:val="001000000000" w:firstRow="0" w:lastRow="0" w:firstColumn="1" w:lastColumn="0" w:oddVBand="0" w:evenVBand="0" w:oddHBand="0" w:evenHBand="0" w:firstRowFirstColumn="0" w:firstRowLastColumn="0" w:lastRowFirstColumn="0" w:lastRowLastColumn="0"/>
            <w:tcW w:w="4962" w:type="dxa"/>
          </w:tcPr>
          <w:p w14:paraId="629BB8DC" w14:textId="3B2F696D" w:rsidR="006E04D8" w:rsidRDefault="006E04D8" w:rsidP="0081491B">
            <w:pPr>
              <w:rPr>
                <w:lang w:val="en-US"/>
              </w:rPr>
            </w:pPr>
            <w:r>
              <w:rPr>
                <w:lang w:val="en-US"/>
              </w:rPr>
              <w:t>Factsheet</w:t>
            </w:r>
          </w:p>
        </w:tc>
        <w:tc>
          <w:tcPr>
            <w:tcW w:w="5242" w:type="dxa"/>
          </w:tcPr>
          <w:p w14:paraId="0B0FC33D" w14:textId="361E5436" w:rsidR="006E04D8" w:rsidRDefault="006E04D8" w:rsidP="0081491B">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Point Prevalence Audit </w:t>
            </w:r>
          </w:p>
        </w:tc>
      </w:tr>
      <w:tr w:rsidR="00CA6409" w14:paraId="54578DFF" w14:textId="77777777" w:rsidTr="0081491B">
        <w:tc>
          <w:tcPr>
            <w:cnfStyle w:val="001000000000" w:firstRow="0" w:lastRow="0" w:firstColumn="1" w:lastColumn="0" w:oddVBand="0" w:evenVBand="0" w:oddHBand="0" w:evenHBand="0" w:firstRowFirstColumn="0" w:firstRowLastColumn="0" w:lastRowFirstColumn="0" w:lastRowLastColumn="0"/>
            <w:tcW w:w="4962" w:type="dxa"/>
          </w:tcPr>
          <w:p w14:paraId="1738407B" w14:textId="77777777" w:rsidR="00CA6409" w:rsidRDefault="00CA6409" w:rsidP="0081491B">
            <w:pPr>
              <w:rPr>
                <w:lang w:val="en-US"/>
              </w:rPr>
            </w:pPr>
            <w:r>
              <w:rPr>
                <w:lang w:val="en-US"/>
              </w:rPr>
              <w:t>Adaptable resource(s)</w:t>
            </w:r>
          </w:p>
        </w:tc>
        <w:tc>
          <w:tcPr>
            <w:tcW w:w="5242" w:type="dxa"/>
          </w:tcPr>
          <w:p w14:paraId="30A21049" w14:textId="5D68D87A" w:rsidR="001D1120" w:rsidRDefault="006E04D8" w:rsidP="0081491B">
            <w:pPr>
              <w:cnfStyle w:val="000000000000" w:firstRow="0" w:lastRow="0" w:firstColumn="0" w:lastColumn="0" w:oddVBand="0" w:evenVBand="0" w:oddHBand="0" w:evenHBand="0" w:firstRowFirstColumn="0" w:firstRowLastColumn="0" w:lastRowFirstColumn="0" w:lastRowLastColumn="0"/>
              <w:rPr>
                <w:lang w:val="en-US"/>
              </w:rPr>
            </w:pPr>
            <w:r>
              <w:rPr>
                <w:lang w:val="en-US"/>
              </w:rPr>
              <w:t>Point Prevalence Audit</w:t>
            </w:r>
            <w:r w:rsidR="001D1120">
              <w:rPr>
                <w:lang w:val="en-US"/>
              </w:rPr>
              <w:t xml:space="preserve"> Tool</w:t>
            </w:r>
          </w:p>
        </w:tc>
      </w:tr>
    </w:tbl>
    <w:p w14:paraId="5F89E1CB" w14:textId="56121DE6" w:rsidR="006E0B4C" w:rsidRDefault="006E0B4C" w:rsidP="00444B52">
      <w:pPr>
        <w:rPr>
          <w:lang w:val="en-US"/>
        </w:rPr>
      </w:pPr>
    </w:p>
    <w:tbl>
      <w:tblPr>
        <w:tblStyle w:val="TableGrid"/>
        <w:tblW w:w="0" w:type="auto"/>
        <w:tblLook w:val="04A0" w:firstRow="1" w:lastRow="0" w:firstColumn="1" w:lastColumn="0" w:noHBand="0" w:noVBand="1"/>
      </w:tblPr>
      <w:tblGrid>
        <w:gridCol w:w="4962"/>
        <w:gridCol w:w="5242"/>
      </w:tblGrid>
      <w:tr w:rsidR="00CA6409" w14:paraId="64704C9D" w14:textId="77777777" w:rsidTr="008149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14:paraId="561F6DF1" w14:textId="5DA22623" w:rsidR="00CA6409" w:rsidRDefault="001D1120" w:rsidP="0081491B">
            <w:pPr>
              <w:rPr>
                <w:lang w:val="en-US"/>
              </w:rPr>
            </w:pPr>
            <w:r>
              <w:rPr>
                <w:lang w:val="en-US"/>
              </w:rPr>
              <w:t>Guideline Development</w:t>
            </w:r>
          </w:p>
        </w:tc>
        <w:tc>
          <w:tcPr>
            <w:tcW w:w="5242" w:type="dxa"/>
          </w:tcPr>
          <w:p w14:paraId="0EC987ED" w14:textId="77777777" w:rsidR="00CA6409" w:rsidRDefault="00CA6409" w:rsidP="0081491B">
            <w:pPr>
              <w:cnfStyle w:val="100000000000" w:firstRow="1" w:lastRow="0" w:firstColumn="0" w:lastColumn="0" w:oddVBand="0" w:evenVBand="0" w:oddHBand="0" w:evenHBand="0" w:firstRowFirstColumn="0" w:firstRowLastColumn="0" w:lastRowFirstColumn="0" w:lastRowLastColumn="0"/>
              <w:rPr>
                <w:lang w:val="en-US"/>
              </w:rPr>
            </w:pPr>
          </w:p>
        </w:tc>
      </w:tr>
      <w:tr w:rsidR="001D1120" w14:paraId="273D4D27" w14:textId="77777777" w:rsidTr="0081491B">
        <w:tc>
          <w:tcPr>
            <w:cnfStyle w:val="001000000000" w:firstRow="0" w:lastRow="0" w:firstColumn="1" w:lastColumn="0" w:oddVBand="0" w:evenVBand="0" w:oddHBand="0" w:evenHBand="0" w:firstRowFirstColumn="0" w:firstRowLastColumn="0" w:lastRowFirstColumn="0" w:lastRowLastColumn="0"/>
            <w:tcW w:w="4962" w:type="dxa"/>
          </w:tcPr>
          <w:p w14:paraId="25DDC0CE" w14:textId="71BFB189" w:rsidR="001D1120" w:rsidRDefault="001D1120" w:rsidP="0081491B">
            <w:pPr>
              <w:rPr>
                <w:lang w:val="en-US"/>
              </w:rPr>
            </w:pPr>
            <w:r>
              <w:rPr>
                <w:lang w:val="en-US"/>
              </w:rPr>
              <w:t>Factsheet</w:t>
            </w:r>
          </w:p>
        </w:tc>
        <w:tc>
          <w:tcPr>
            <w:tcW w:w="5242" w:type="dxa"/>
          </w:tcPr>
          <w:p w14:paraId="473A6B90" w14:textId="41CB0940" w:rsidR="001D1120" w:rsidRDefault="001D1120" w:rsidP="0081491B">
            <w:pPr>
              <w:cnfStyle w:val="000000000000" w:firstRow="0" w:lastRow="0" w:firstColumn="0" w:lastColumn="0" w:oddVBand="0" w:evenVBand="0" w:oddHBand="0" w:evenHBand="0" w:firstRowFirstColumn="0" w:firstRowLastColumn="0" w:lastRowFirstColumn="0" w:lastRowLastColumn="0"/>
              <w:rPr>
                <w:lang w:val="en-US"/>
              </w:rPr>
            </w:pPr>
            <w:r>
              <w:rPr>
                <w:lang w:val="en-US"/>
              </w:rPr>
              <w:t>Guideline development</w:t>
            </w:r>
          </w:p>
        </w:tc>
      </w:tr>
      <w:tr w:rsidR="00CA6409" w14:paraId="429E90A2" w14:textId="77777777" w:rsidTr="0081491B">
        <w:tc>
          <w:tcPr>
            <w:cnfStyle w:val="001000000000" w:firstRow="0" w:lastRow="0" w:firstColumn="1" w:lastColumn="0" w:oddVBand="0" w:evenVBand="0" w:oddHBand="0" w:evenHBand="0" w:firstRowFirstColumn="0" w:firstRowLastColumn="0" w:lastRowFirstColumn="0" w:lastRowLastColumn="0"/>
            <w:tcW w:w="4962" w:type="dxa"/>
          </w:tcPr>
          <w:p w14:paraId="433801BF" w14:textId="77777777" w:rsidR="00CA6409" w:rsidRDefault="00CA6409" w:rsidP="0081491B">
            <w:pPr>
              <w:rPr>
                <w:lang w:val="en-US"/>
              </w:rPr>
            </w:pPr>
            <w:r>
              <w:rPr>
                <w:lang w:val="en-US"/>
              </w:rPr>
              <w:t>Adaptable resource(s)</w:t>
            </w:r>
          </w:p>
        </w:tc>
        <w:tc>
          <w:tcPr>
            <w:tcW w:w="5242" w:type="dxa"/>
          </w:tcPr>
          <w:p w14:paraId="79242D00" w14:textId="77777777" w:rsidR="00CA6409" w:rsidRDefault="001D1120" w:rsidP="0081491B">
            <w:pPr>
              <w:cnfStyle w:val="000000000000" w:firstRow="0" w:lastRow="0" w:firstColumn="0" w:lastColumn="0" w:oddVBand="0" w:evenVBand="0" w:oddHBand="0" w:evenHBand="0" w:firstRowFirstColumn="0" w:firstRowLastColumn="0" w:lastRowFirstColumn="0" w:lastRowLastColumn="0"/>
              <w:rPr>
                <w:lang w:val="en-US"/>
              </w:rPr>
            </w:pPr>
            <w:r>
              <w:rPr>
                <w:lang w:val="en-US"/>
              </w:rPr>
              <w:t>Discharge Guideline Template</w:t>
            </w:r>
          </w:p>
          <w:p w14:paraId="26D48928" w14:textId="469F41C0" w:rsidR="001D1120" w:rsidRDefault="00680EFF" w:rsidP="0081491B">
            <w:pPr>
              <w:cnfStyle w:val="000000000000" w:firstRow="0" w:lastRow="0" w:firstColumn="0" w:lastColumn="0" w:oddVBand="0" w:evenVBand="0" w:oddHBand="0" w:evenHBand="0" w:firstRowFirstColumn="0" w:firstRowLastColumn="0" w:lastRowFirstColumn="0" w:lastRowLastColumn="0"/>
              <w:rPr>
                <w:lang w:val="en-US"/>
              </w:rPr>
            </w:pPr>
            <w:r>
              <w:rPr>
                <w:lang w:val="en-US"/>
              </w:rPr>
              <w:t>Sample Weaning and Cessation Protocol (Alfred Health)</w:t>
            </w:r>
          </w:p>
        </w:tc>
      </w:tr>
    </w:tbl>
    <w:p w14:paraId="1ED46B27" w14:textId="77777777" w:rsidR="00CA6409" w:rsidRDefault="00CA6409" w:rsidP="00444B52">
      <w:pPr>
        <w:rPr>
          <w:lang w:val="en-US"/>
        </w:rPr>
      </w:pPr>
    </w:p>
    <w:tbl>
      <w:tblPr>
        <w:tblStyle w:val="TableGrid"/>
        <w:tblW w:w="0" w:type="auto"/>
        <w:tblLook w:val="04A0" w:firstRow="1" w:lastRow="0" w:firstColumn="1" w:lastColumn="0" w:noHBand="0" w:noVBand="1"/>
      </w:tblPr>
      <w:tblGrid>
        <w:gridCol w:w="4962"/>
        <w:gridCol w:w="5242"/>
      </w:tblGrid>
      <w:tr w:rsidR="000471C9" w14:paraId="07588F5E" w14:textId="77777777" w:rsidTr="008149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14:paraId="3DF7B932" w14:textId="4DFD7CA8" w:rsidR="000471C9" w:rsidRDefault="00F50154" w:rsidP="0081491B">
            <w:pPr>
              <w:rPr>
                <w:lang w:val="en-US"/>
              </w:rPr>
            </w:pPr>
            <w:r>
              <w:rPr>
                <w:lang w:val="en-US"/>
              </w:rPr>
              <w:t>Clinician Education</w:t>
            </w:r>
          </w:p>
        </w:tc>
        <w:tc>
          <w:tcPr>
            <w:tcW w:w="5242" w:type="dxa"/>
          </w:tcPr>
          <w:p w14:paraId="638884B9" w14:textId="77777777" w:rsidR="000471C9" w:rsidRDefault="000471C9" w:rsidP="0081491B">
            <w:pPr>
              <w:cnfStyle w:val="100000000000" w:firstRow="1" w:lastRow="0" w:firstColumn="0" w:lastColumn="0" w:oddVBand="0" w:evenVBand="0" w:oddHBand="0" w:evenHBand="0" w:firstRowFirstColumn="0" w:firstRowLastColumn="0" w:lastRowFirstColumn="0" w:lastRowLastColumn="0"/>
              <w:rPr>
                <w:lang w:val="en-US"/>
              </w:rPr>
            </w:pPr>
          </w:p>
        </w:tc>
      </w:tr>
      <w:tr w:rsidR="000471C9" w14:paraId="71640557" w14:textId="77777777" w:rsidTr="0081491B">
        <w:tc>
          <w:tcPr>
            <w:cnfStyle w:val="001000000000" w:firstRow="0" w:lastRow="0" w:firstColumn="1" w:lastColumn="0" w:oddVBand="0" w:evenVBand="0" w:oddHBand="0" w:evenHBand="0" w:firstRowFirstColumn="0" w:firstRowLastColumn="0" w:lastRowFirstColumn="0" w:lastRowLastColumn="0"/>
            <w:tcW w:w="4962" w:type="dxa"/>
          </w:tcPr>
          <w:p w14:paraId="6B80BAAC" w14:textId="77777777" w:rsidR="000471C9" w:rsidRDefault="000471C9" w:rsidP="0081491B">
            <w:pPr>
              <w:rPr>
                <w:lang w:val="en-US"/>
              </w:rPr>
            </w:pPr>
            <w:r>
              <w:rPr>
                <w:lang w:val="en-US"/>
              </w:rPr>
              <w:t>Factsheet</w:t>
            </w:r>
          </w:p>
        </w:tc>
        <w:tc>
          <w:tcPr>
            <w:tcW w:w="5242" w:type="dxa"/>
          </w:tcPr>
          <w:p w14:paraId="44865B29" w14:textId="0EA32BBB" w:rsidR="000471C9" w:rsidRDefault="00F50154" w:rsidP="0081491B">
            <w:pPr>
              <w:cnfStyle w:val="000000000000" w:firstRow="0" w:lastRow="0" w:firstColumn="0" w:lastColumn="0" w:oddVBand="0" w:evenVBand="0" w:oddHBand="0" w:evenHBand="0" w:firstRowFirstColumn="0" w:firstRowLastColumn="0" w:lastRowFirstColumn="0" w:lastRowLastColumn="0"/>
              <w:rPr>
                <w:lang w:val="en-US"/>
              </w:rPr>
            </w:pPr>
            <w:r>
              <w:rPr>
                <w:lang w:val="en-US"/>
              </w:rPr>
              <w:t>Clinician Education</w:t>
            </w:r>
          </w:p>
        </w:tc>
      </w:tr>
      <w:tr w:rsidR="000471C9" w14:paraId="2038C3A3" w14:textId="77777777" w:rsidTr="0081491B">
        <w:tc>
          <w:tcPr>
            <w:cnfStyle w:val="001000000000" w:firstRow="0" w:lastRow="0" w:firstColumn="1" w:lastColumn="0" w:oddVBand="0" w:evenVBand="0" w:oddHBand="0" w:evenHBand="0" w:firstRowFirstColumn="0" w:firstRowLastColumn="0" w:lastRowFirstColumn="0" w:lastRowLastColumn="0"/>
            <w:tcW w:w="4962" w:type="dxa"/>
          </w:tcPr>
          <w:p w14:paraId="252DC575" w14:textId="77777777" w:rsidR="000471C9" w:rsidRDefault="000471C9" w:rsidP="0081491B">
            <w:pPr>
              <w:rPr>
                <w:lang w:val="en-US"/>
              </w:rPr>
            </w:pPr>
            <w:r>
              <w:rPr>
                <w:lang w:val="en-US"/>
              </w:rPr>
              <w:t>Adaptable resource(s)</w:t>
            </w:r>
          </w:p>
        </w:tc>
        <w:tc>
          <w:tcPr>
            <w:tcW w:w="5242" w:type="dxa"/>
          </w:tcPr>
          <w:p w14:paraId="6D249762" w14:textId="77777777" w:rsidR="000471C9" w:rsidRDefault="00F50154" w:rsidP="0081491B">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Education Presentation Template (Adaptable to </w:t>
            </w:r>
            <w:r w:rsidR="007261AE">
              <w:rPr>
                <w:lang w:val="en-US"/>
              </w:rPr>
              <w:t>different disciplines)</w:t>
            </w:r>
          </w:p>
          <w:p w14:paraId="6873094D" w14:textId="73EC9114" w:rsidR="007261AE" w:rsidRDefault="007261AE" w:rsidP="0081491B">
            <w:pPr>
              <w:cnfStyle w:val="000000000000" w:firstRow="0" w:lastRow="0" w:firstColumn="0" w:lastColumn="0" w:oddVBand="0" w:evenVBand="0" w:oddHBand="0" w:evenHBand="0" w:firstRowFirstColumn="0" w:firstRowLastColumn="0" w:lastRowFirstColumn="0" w:lastRowLastColumn="0"/>
              <w:rPr>
                <w:lang w:val="en-US"/>
              </w:rPr>
            </w:pPr>
            <w:r>
              <w:rPr>
                <w:lang w:val="en-US"/>
              </w:rPr>
              <w:t>Sample Newsletter Content</w:t>
            </w:r>
          </w:p>
        </w:tc>
      </w:tr>
    </w:tbl>
    <w:p w14:paraId="332F7066" w14:textId="77777777" w:rsidR="000471C9" w:rsidRDefault="000471C9" w:rsidP="00444B52">
      <w:pPr>
        <w:rPr>
          <w:lang w:val="en-US"/>
        </w:rPr>
      </w:pPr>
    </w:p>
    <w:tbl>
      <w:tblPr>
        <w:tblStyle w:val="TableGrid"/>
        <w:tblW w:w="0" w:type="auto"/>
        <w:tblLook w:val="04A0" w:firstRow="1" w:lastRow="0" w:firstColumn="1" w:lastColumn="0" w:noHBand="0" w:noVBand="1"/>
      </w:tblPr>
      <w:tblGrid>
        <w:gridCol w:w="4962"/>
        <w:gridCol w:w="5242"/>
      </w:tblGrid>
      <w:tr w:rsidR="003B0C99" w14:paraId="30CEE13F" w14:textId="77777777" w:rsidTr="008149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14:paraId="32941A98" w14:textId="4711226A" w:rsidR="003B0C99" w:rsidRDefault="003B0C99" w:rsidP="0081491B">
            <w:pPr>
              <w:rPr>
                <w:lang w:val="en-US"/>
              </w:rPr>
            </w:pPr>
            <w:r>
              <w:rPr>
                <w:lang w:val="en-US"/>
              </w:rPr>
              <w:t>Patient Communication Resources</w:t>
            </w:r>
          </w:p>
        </w:tc>
        <w:tc>
          <w:tcPr>
            <w:tcW w:w="5242" w:type="dxa"/>
          </w:tcPr>
          <w:p w14:paraId="76CCFB3A" w14:textId="77777777" w:rsidR="003B0C99" w:rsidRDefault="003B0C99" w:rsidP="0081491B">
            <w:pPr>
              <w:cnfStyle w:val="100000000000" w:firstRow="1" w:lastRow="0" w:firstColumn="0" w:lastColumn="0" w:oddVBand="0" w:evenVBand="0" w:oddHBand="0" w:evenHBand="0" w:firstRowFirstColumn="0" w:firstRowLastColumn="0" w:lastRowFirstColumn="0" w:lastRowLastColumn="0"/>
              <w:rPr>
                <w:lang w:val="en-US"/>
              </w:rPr>
            </w:pPr>
          </w:p>
        </w:tc>
      </w:tr>
      <w:tr w:rsidR="003B0C99" w14:paraId="5AE9F526" w14:textId="77777777" w:rsidTr="0081491B">
        <w:tc>
          <w:tcPr>
            <w:cnfStyle w:val="001000000000" w:firstRow="0" w:lastRow="0" w:firstColumn="1" w:lastColumn="0" w:oddVBand="0" w:evenVBand="0" w:oddHBand="0" w:evenHBand="0" w:firstRowFirstColumn="0" w:firstRowLastColumn="0" w:lastRowFirstColumn="0" w:lastRowLastColumn="0"/>
            <w:tcW w:w="4962" w:type="dxa"/>
          </w:tcPr>
          <w:p w14:paraId="476081A5" w14:textId="77777777" w:rsidR="003B0C99" w:rsidRDefault="003B0C99" w:rsidP="0081491B">
            <w:pPr>
              <w:rPr>
                <w:lang w:val="en-US"/>
              </w:rPr>
            </w:pPr>
            <w:r>
              <w:rPr>
                <w:lang w:val="en-US"/>
              </w:rPr>
              <w:t>Adaptable resource(s)</w:t>
            </w:r>
          </w:p>
        </w:tc>
        <w:tc>
          <w:tcPr>
            <w:tcW w:w="5242" w:type="dxa"/>
          </w:tcPr>
          <w:p w14:paraId="12AB9118" w14:textId="11CCF734" w:rsidR="003B0C99" w:rsidRDefault="003B0C99" w:rsidP="0081491B">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Short Term Pain Management and Medication Management Plan </w:t>
            </w:r>
            <w:r w:rsidR="002A414D">
              <w:rPr>
                <w:lang w:val="en-US"/>
              </w:rPr>
              <w:t>Patient Information Template</w:t>
            </w:r>
          </w:p>
        </w:tc>
      </w:tr>
    </w:tbl>
    <w:p w14:paraId="0EBAE29B" w14:textId="6A683445" w:rsidR="003B0C99" w:rsidRDefault="003B0C99" w:rsidP="00444B52">
      <w:pPr>
        <w:rPr>
          <w:lang w:val="en-US"/>
        </w:rPr>
      </w:pPr>
    </w:p>
    <w:p w14:paraId="097F1013" w14:textId="21392108" w:rsidR="002A414D" w:rsidRPr="00CC36E3" w:rsidRDefault="002A414D" w:rsidP="002A414D">
      <w:pPr>
        <w:pStyle w:val="Heading2"/>
      </w:pPr>
      <w:bookmarkStart w:id="32" w:name="_Toc103871430"/>
      <w:r>
        <w:t>clinical care standard</w:t>
      </w:r>
      <w:bookmarkEnd w:id="32"/>
    </w:p>
    <w:p w14:paraId="6A985D46" w14:textId="2044BD52" w:rsidR="002A414D" w:rsidRDefault="002A414D" w:rsidP="0057426D">
      <w:r>
        <w:t>The Australian Commission</w:t>
      </w:r>
      <w:r w:rsidR="00EB5877">
        <w:t xml:space="preserve"> on Safety and Quality in Health Care published the</w:t>
      </w:r>
      <w:r w:rsidR="009C0719">
        <w:t xml:space="preserve"> </w:t>
      </w:r>
      <w:r w:rsidR="0057426D">
        <w:t>Opioid Analgesic Stewardship in Acute Pain Clinical Care Standard</w:t>
      </w:r>
      <w:r w:rsidR="00EB5877">
        <w:t xml:space="preserve"> in </w:t>
      </w:r>
      <w:r w:rsidR="0012682B">
        <w:t xml:space="preserve">2022. The Standard </w:t>
      </w:r>
      <w:r w:rsidR="0057426D">
        <w:t>describes the key components of care that patients can expect when they are prescribed opioid analgesics for acute pain in acute care settings.</w:t>
      </w:r>
    </w:p>
    <w:p w14:paraId="3B007533" w14:textId="08E95D9E" w:rsidR="008124AF" w:rsidRDefault="008124AF" w:rsidP="0057426D">
      <w:r>
        <w:t>The Standard and accompanying resources and information are available from</w:t>
      </w:r>
      <w:r w:rsidR="0037449A">
        <w:t xml:space="preserve">: </w:t>
      </w:r>
      <w:hyperlink r:id="rId26" w:history="1">
        <w:r w:rsidR="0037449A" w:rsidRPr="0037449A">
          <w:rPr>
            <w:rStyle w:val="Hyperlink"/>
          </w:rPr>
          <w:t>Opioid Analgesic Stewardship in Acute Pain Clinical Care Standard | Australian Commission on Safety and Quality in Health Care</w:t>
        </w:r>
      </w:hyperlink>
      <w:r w:rsidR="008B7513">
        <w:t xml:space="preserve">. </w:t>
      </w:r>
    </w:p>
    <w:p w14:paraId="266DA82A" w14:textId="77777777" w:rsidR="002A414D" w:rsidRPr="00444B52" w:rsidRDefault="002A414D" w:rsidP="00444B52">
      <w:pPr>
        <w:rPr>
          <w:lang w:val="en-US"/>
        </w:rPr>
      </w:pPr>
    </w:p>
    <w:p w14:paraId="7AF04C7A" w14:textId="5D561395" w:rsidR="00C5410D" w:rsidRDefault="00C5410D" w:rsidP="00185A02">
      <w:r>
        <w:br w:type="page"/>
      </w:r>
    </w:p>
    <w:p w14:paraId="509A4957" w14:textId="754057F3" w:rsidR="00C5410D" w:rsidRPr="00CC36E3" w:rsidRDefault="00C5410D"/>
    <w:p w14:paraId="257A3F43" w14:textId="58169130" w:rsidR="00C5410D" w:rsidRPr="00CC36E3" w:rsidRDefault="00C5410D" w:rsidP="00185A02">
      <w:pPr>
        <w:pStyle w:val="Heading1"/>
        <w:framePr w:wrap="around"/>
      </w:pPr>
      <w:bookmarkStart w:id="33" w:name="_Toc43388549"/>
      <w:bookmarkStart w:id="34" w:name="_Toc44342455"/>
      <w:bookmarkStart w:id="35" w:name="_Toc103871431"/>
      <w:r w:rsidRPr="00CC36E3">
        <w:t>Glossary</w:t>
      </w:r>
      <w:bookmarkEnd w:id="33"/>
      <w:bookmarkEnd w:id="34"/>
      <w:bookmarkEnd w:id="35"/>
    </w:p>
    <w:p w14:paraId="71AFE341" w14:textId="3E435470" w:rsidR="00034B67" w:rsidRPr="00CD49B7" w:rsidRDefault="00341E2A" w:rsidP="003043D6">
      <w:r w:rsidRPr="00CD49B7">
        <w:rPr>
          <w:b/>
          <w:bCs/>
        </w:rPr>
        <w:t>A</w:t>
      </w:r>
      <w:r w:rsidR="00AF688C" w:rsidRPr="00CD49B7">
        <w:rPr>
          <w:b/>
          <w:bCs/>
        </w:rPr>
        <w:t>cute pain</w:t>
      </w:r>
      <w:r w:rsidRPr="00CD49B7">
        <w:t>:</w:t>
      </w:r>
      <w:r w:rsidR="00AF688C" w:rsidRPr="00CD49B7">
        <w:t xml:space="preserve"> A normal and time-limited response to trauma or other noxious experience, including pain related to medical procedures and acute medical conditions.</w:t>
      </w:r>
    </w:p>
    <w:p w14:paraId="4C16344B" w14:textId="2FB34AF7" w:rsidR="00034B67" w:rsidRPr="00CD49B7" w:rsidRDefault="00341E2A" w:rsidP="003043D6">
      <w:r w:rsidRPr="00CD49B7">
        <w:rPr>
          <w:b/>
          <w:bCs/>
        </w:rPr>
        <w:t>C</w:t>
      </w:r>
      <w:r w:rsidR="00AF688C" w:rsidRPr="00CD49B7">
        <w:rPr>
          <w:b/>
          <w:bCs/>
        </w:rPr>
        <w:t>linician</w:t>
      </w:r>
      <w:r w:rsidRPr="00CD49B7">
        <w:t>:</w:t>
      </w:r>
      <w:r w:rsidR="00AF688C" w:rsidRPr="00CD49B7">
        <w:t xml:space="preserve"> A trained health professional who provides direct clinical care to patients including registered and non-registered practitioners. Clinicians may provide care within a health service organisation as an employee, a contractor or a credentialed healthcare provider, or under other working arrangements. They include nurses, midwives, medical practitioners, allied health professionals, and other clinicians who provide health care, and students who provide health care under supervision.</w:t>
      </w:r>
    </w:p>
    <w:p w14:paraId="1FE33055" w14:textId="46670D66" w:rsidR="00AF688C" w:rsidRPr="00CD49B7" w:rsidRDefault="00341E2A" w:rsidP="003043D6">
      <w:r w:rsidRPr="00CD49B7">
        <w:rPr>
          <w:b/>
          <w:bCs/>
        </w:rPr>
        <w:t>D</w:t>
      </w:r>
      <w:r w:rsidR="00AF688C" w:rsidRPr="00CD49B7">
        <w:rPr>
          <w:b/>
          <w:bCs/>
        </w:rPr>
        <w:t>ischarge summary</w:t>
      </w:r>
      <w:r w:rsidRPr="00CD49B7">
        <w:t>:</w:t>
      </w:r>
      <w:r w:rsidR="00AF688C" w:rsidRPr="00CD49B7">
        <w:t xml:space="preserve"> A collection of information about events during care of a patient by a provider or organisation. The document is produced during a patient's stay in hospital as either an admitted or non-admitted </w:t>
      </w:r>
      <w:r w:rsidR="008E53BA" w:rsidRPr="00CD49B7">
        <w:t>patient and</w:t>
      </w:r>
      <w:r w:rsidR="00AF688C" w:rsidRPr="00CD49B7">
        <w:t xml:space="preserve"> issued when or after the patient leaves the care of the hospital.</w:t>
      </w:r>
    </w:p>
    <w:p w14:paraId="62208519" w14:textId="6B07AF1D" w:rsidR="00AF688C" w:rsidRPr="00CD49B7" w:rsidRDefault="00AF688C" w:rsidP="003043D6">
      <w:r w:rsidRPr="00CD49B7">
        <w:rPr>
          <w:b/>
          <w:bCs/>
        </w:rPr>
        <w:t>Immediate Release (IR) opioid analgesics</w:t>
      </w:r>
      <w:r w:rsidR="00341E2A" w:rsidRPr="00CD49B7">
        <w:t>:</w:t>
      </w:r>
      <w:r w:rsidRPr="00CD49B7">
        <w:rPr>
          <w:color w:val="000000"/>
        </w:rPr>
        <w:t xml:space="preserve"> Medicines formulated to release the full dose of the opioid analgesia immediately after administration, resulting in relatively rapid drug absorption and onset of analgesic effect.</w:t>
      </w:r>
    </w:p>
    <w:p w14:paraId="4E83AC53" w14:textId="20D5D8EF" w:rsidR="00AF688C" w:rsidRPr="00CD49B7" w:rsidRDefault="00341E2A" w:rsidP="003043D6">
      <w:r w:rsidRPr="00CD49B7">
        <w:rPr>
          <w:b/>
          <w:bCs/>
        </w:rPr>
        <w:t>I</w:t>
      </w:r>
      <w:r w:rsidR="00AF688C" w:rsidRPr="00CD49B7">
        <w:rPr>
          <w:b/>
          <w:bCs/>
        </w:rPr>
        <w:t>nappropriate prescribing</w:t>
      </w:r>
      <w:r w:rsidRPr="00CD49B7">
        <w:t>:</w:t>
      </w:r>
      <w:r w:rsidR="00AF688C" w:rsidRPr="00CD49B7">
        <w:rPr>
          <w:color w:val="000000"/>
        </w:rPr>
        <w:t xml:space="preserve"> The use of a medicine where there is an equal or more effective and lower risk alternative available, including prescribing non-pharmacological strategies.</w:t>
      </w:r>
    </w:p>
    <w:p w14:paraId="216C7A2C" w14:textId="0676E080" w:rsidR="00AF688C" w:rsidRPr="00CD49B7" w:rsidRDefault="00341E2A" w:rsidP="003043D6">
      <w:r w:rsidRPr="00CD49B7">
        <w:rPr>
          <w:b/>
          <w:bCs/>
        </w:rPr>
        <w:t>M</w:t>
      </w:r>
      <w:r w:rsidR="00AF688C" w:rsidRPr="00CD49B7">
        <w:rPr>
          <w:b/>
          <w:bCs/>
        </w:rPr>
        <w:t>odified release (MR) opioid analgesics</w:t>
      </w:r>
      <w:r w:rsidRPr="00CD49B7">
        <w:t>:</w:t>
      </w:r>
      <w:r w:rsidR="00AF688C" w:rsidRPr="00CD49B7">
        <w:rPr>
          <w:color w:val="000000"/>
        </w:rPr>
        <w:t xml:space="preserve"> </w:t>
      </w:r>
      <w:r w:rsidR="00301AFF">
        <w:rPr>
          <w:color w:val="000000"/>
        </w:rPr>
        <w:t xml:space="preserve">Medicines formulated to produce a constant plasma concentration over an extended period. </w:t>
      </w:r>
      <w:r w:rsidR="00AF688C" w:rsidRPr="00CD49B7">
        <w:rPr>
          <w:color w:val="000000"/>
        </w:rPr>
        <w:t>Also referred to as slow, controlled or sustained release.</w:t>
      </w:r>
    </w:p>
    <w:p w14:paraId="2A8E91E0" w14:textId="00CE5AB7" w:rsidR="00AF688C" w:rsidRPr="00CD49B7" w:rsidRDefault="00341E2A" w:rsidP="003043D6">
      <w:pPr>
        <w:rPr>
          <w:color w:val="000000"/>
        </w:rPr>
      </w:pPr>
      <w:r w:rsidRPr="00CD49B7">
        <w:rPr>
          <w:b/>
          <w:bCs/>
        </w:rPr>
        <w:t>M</w:t>
      </w:r>
      <w:r w:rsidR="00AF688C" w:rsidRPr="00CD49B7">
        <w:rPr>
          <w:b/>
          <w:bCs/>
        </w:rPr>
        <w:t>ulti-modal analgesia</w:t>
      </w:r>
      <w:r w:rsidRPr="00CD49B7">
        <w:t>:</w:t>
      </w:r>
      <w:r w:rsidR="00AF688C" w:rsidRPr="00CD49B7">
        <w:rPr>
          <w:color w:val="000000"/>
        </w:rPr>
        <w:t xml:space="preserve"> Consists of the administration of two or more medicines to provide analgesia with the aim to improve pain relief while reducing opioid analgesic requirements and opioid-related adverse effects.</w:t>
      </w:r>
    </w:p>
    <w:p w14:paraId="34F6D403" w14:textId="077ADB67" w:rsidR="00AF688C" w:rsidRPr="00CD49B7" w:rsidRDefault="00341E2A" w:rsidP="003043D6">
      <w:r w:rsidRPr="00CD49B7">
        <w:rPr>
          <w:b/>
          <w:bCs/>
          <w:color w:val="000000"/>
        </w:rPr>
        <w:t>N</w:t>
      </w:r>
      <w:r w:rsidR="00AF688C" w:rsidRPr="00CD49B7">
        <w:rPr>
          <w:b/>
          <w:bCs/>
        </w:rPr>
        <w:t>on-opioid naive</w:t>
      </w:r>
      <w:r w:rsidRPr="00CD49B7">
        <w:t>:</w:t>
      </w:r>
      <w:r w:rsidR="00AF688C" w:rsidRPr="00CD49B7">
        <w:rPr>
          <w:color w:val="000000"/>
        </w:rPr>
        <w:t xml:space="preserve"> Patients taking opioid analgesics prior to the acute event or surgery.</w:t>
      </w:r>
    </w:p>
    <w:p w14:paraId="0B99418E" w14:textId="13F0F7CC" w:rsidR="00341E2A" w:rsidRPr="00CD49B7" w:rsidRDefault="00AF688C" w:rsidP="003043D6">
      <w:pPr>
        <w:rPr>
          <w:color w:val="000000"/>
        </w:rPr>
      </w:pPr>
      <w:proofErr w:type="spellStart"/>
      <w:r w:rsidRPr="00CD49B7">
        <w:rPr>
          <w:b/>
          <w:bCs/>
        </w:rPr>
        <w:t>oMEDD</w:t>
      </w:r>
      <w:proofErr w:type="spellEnd"/>
      <w:r w:rsidRPr="00CD49B7">
        <w:rPr>
          <w:b/>
          <w:bCs/>
        </w:rPr>
        <w:t xml:space="preserve"> (Oral Morphine Equivalent Daily Dose)</w:t>
      </w:r>
      <w:r w:rsidR="00341E2A" w:rsidRPr="00CD49B7">
        <w:t>:</w:t>
      </w:r>
      <w:r w:rsidRPr="00CD49B7">
        <w:rPr>
          <w:color w:val="000000"/>
        </w:rPr>
        <w:t xml:space="preserve"> A marker of analgesic potency, allowing comparisons between different opioid analgesics in terms of their ability to produce the same analgesia as would be expected from a given dose of morphine.</w:t>
      </w:r>
    </w:p>
    <w:p w14:paraId="5F9779D5" w14:textId="19D27316" w:rsidR="00AF688C" w:rsidRPr="00CD49B7" w:rsidRDefault="00341E2A" w:rsidP="003043D6">
      <w:pPr>
        <w:rPr>
          <w:color w:val="000000"/>
        </w:rPr>
      </w:pPr>
      <w:r w:rsidRPr="00CD49B7">
        <w:rPr>
          <w:b/>
          <w:bCs/>
          <w:color w:val="000000"/>
        </w:rPr>
        <w:t>O</w:t>
      </w:r>
      <w:r w:rsidR="00AF688C" w:rsidRPr="00CD49B7">
        <w:rPr>
          <w:b/>
          <w:bCs/>
        </w:rPr>
        <w:t>pioid analgesics</w:t>
      </w:r>
      <w:r w:rsidRPr="00CD49B7">
        <w:t>:</w:t>
      </w:r>
      <w:r w:rsidR="00AF688C" w:rsidRPr="00CD49B7">
        <w:rPr>
          <w:color w:val="000000"/>
        </w:rPr>
        <w:t xml:space="preserve"> Medicines used to achieve analgesia by reducing transmission of nociceptive impulses (through effects at central nervous system mu-opioid receptors) and modulating the descending inhibitory pathways from the brain. Some opioid analgesics (for example, tramadol, and </w:t>
      </w:r>
      <w:proofErr w:type="spellStart"/>
      <w:r w:rsidR="00AF688C" w:rsidRPr="00CD49B7">
        <w:rPr>
          <w:color w:val="000000"/>
        </w:rPr>
        <w:t>tapentadol</w:t>
      </w:r>
      <w:proofErr w:type="spellEnd"/>
      <w:r w:rsidR="00AF688C" w:rsidRPr="00CD49B7">
        <w:rPr>
          <w:color w:val="000000"/>
        </w:rPr>
        <w:t>) also produce analgesia via non opioid receptors.</w:t>
      </w:r>
    </w:p>
    <w:p w14:paraId="4B4C6BD2" w14:textId="0023A4CD" w:rsidR="00AF688C" w:rsidRPr="00CD49B7" w:rsidRDefault="00341E2A" w:rsidP="003043D6">
      <w:pPr>
        <w:rPr>
          <w:color w:val="000000"/>
        </w:rPr>
      </w:pPr>
      <w:r w:rsidRPr="00CD49B7">
        <w:rPr>
          <w:b/>
          <w:bCs/>
        </w:rPr>
        <w:t>O</w:t>
      </w:r>
      <w:r w:rsidR="00AF688C" w:rsidRPr="00CD49B7">
        <w:rPr>
          <w:b/>
          <w:bCs/>
        </w:rPr>
        <w:t>pioid naive</w:t>
      </w:r>
      <w:r w:rsidRPr="00CD49B7">
        <w:t>:</w:t>
      </w:r>
      <w:r w:rsidR="00AF688C" w:rsidRPr="00CD49B7">
        <w:rPr>
          <w:color w:val="232323"/>
          <w:shd w:val="clear" w:color="auto" w:fill="FFFFFF"/>
        </w:rPr>
        <w:t xml:space="preserve"> Patients who have not received opioid analgesics in the 30 days prior to the acute event or surgery.</w:t>
      </w:r>
    </w:p>
    <w:p w14:paraId="6565F925" w14:textId="4CBD6C6D" w:rsidR="00AF688C" w:rsidRPr="00CD49B7" w:rsidRDefault="00341E2A" w:rsidP="003043D6">
      <w:pPr>
        <w:rPr>
          <w:color w:val="000000"/>
        </w:rPr>
      </w:pPr>
      <w:r w:rsidRPr="00CD49B7">
        <w:rPr>
          <w:b/>
          <w:bCs/>
          <w:color w:val="000000"/>
        </w:rPr>
        <w:t>P</w:t>
      </w:r>
      <w:r w:rsidR="00AF688C" w:rsidRPr="00CD49B7">
        <w:rPr>
          <w:b/>
          <w:bCs/>
        </w:rPr>
        <w:t>ain</w:t>
      </w:r>
      <w:r w:rsidRPr="00CD49B7">
        <w:t>:</w:t>
      </w:r>
      <w:r w:rsidR="00AF688C" w:rsidRPr="00CD49B7">
        <w:rPr>
          <w:color w:val="000000"/>
        </w:rPr>
        <w:t xml:space="preserve"> An unpleasant sensory and emotional experience associated with, or resembling that associated with, actual or potential tissue damage.</w:t>
      </w:r>
    </w:p>
    <w:p w14:paraId="5654BD7B" w14:textId="2885D6E0" w:rsidR="003043D6" w:rsidRPr="00CD49B7" w:rsidRDefault="00341E2A" w:rsidP="003043D6">
      <w:pPr>
        <w:rPr>
          <w:color w:val="000000"/>
        </w:rPr>
      </w:pPr>
      <w:r w:rsidRPr="00CD49B7">
        <w:rPr>
          <w:b/>
          <w:bCs/>
          <w:color w:val="000000"/>
        </w:rPr>
        <w:t>S</w:t>
      </w:r>
      <w:r w:rsidR="003043D6" w:rsidRPr="00CD49B7">
        <w:rPr>
          <w:b/>
          <w:bCs/>
        </w:rPr>
        <w:t>imple analgesic medicine</w:t>
      </w:r>
      <w:r w:rsidRPr="00CD49B7">
        <w:t>:</w:t>
      </w:r>
      <w:r w:rsidR="003043D6" w:rsidRPr="00CD49B7">
        <w:t xml:space="preserve"> A single ingredient analgesic formulation containing paracetamol or a non-steroidal anti-inflammatory drug (NSAID)</w:t>
      </w:r>
    </w:p>
    <w:p w14:paraId="16160BB8" w14:textId="319112E3" w:rsidR="003043D6" w:rsidRPr="00CD49B7" w:rsidRDefault="00341E2A" w:rsidP="003043D6">
      <w:pPr>
        <w:rPr>
          <w:color w:val="000000"/>
        </w:rPr>
      </w:pPr>
      <w:r w:rsidRPr="00CD49B7">
        <w:rPr>
          <w:b/>
          <w:bCs/>
          <w:color w:val="000000"/>
        </w:rPr>
        <w:lastRenderedPageBreak/>
        <w:t>S</w:t>
      </w:r>
      <w:r w:rsidR="003043D6" w:rsidRPr="00CD49B7">
        <w:rPr>
          <w:b/>
          <w:bCs/>
        </w:rPr>
        <w:t>tewardship program</w:t>
      </w:r>
      <w:r w:rsidRPr="00CD49B7">
        <w:t>:</w:t>
      </w:r>
      <w:r w:rsidR="003043D6" w:rsidRPr="00CD49B7">
        <w:rPr>
          <w:color w:val="000000"/>
        </w:rPr>
        <w:t xml:space="preserve"> Programs that ensure the best possible use of high-risk medicines such as antimicrobials, anticoagulants and opioid analgesics across a hospital by monitoring their use and coordinating interventions.</w:t>
      </w:r>
    </w:p>
    <w:p w14:paraId="1A61593F" w14:textId="2F17A6BA" w:rsidR="003043D6" w:rsidRPr="00CD49B7" w:rsidRDefault="00341E2A" w:rsidP="003043D6">
      <w:pPr>
        <w:rPr>
          <w:b/>
          <w:bCs/>
        </w:rPr>
      </w:pPr>
      <w:r w:rsidRPr="00CD49B7">
        <w:rPr>
          <w:b/>
          <w:bCs/>
        </w:rPr>
        <w:t>T</w:t>
      </w:r>
      <w:r w:rsidR="003043D6" w:rsidRPr="00CD49B7">
        <w:rPr>
          <w:b/>
          <w:bCs/>
        </w:rPr>
        <w:t>ransitions of care</w:t>
      </w:r>
      <w:r w:rsidRPr="00CD49B7">
        <w:t>:</w:t>
      </w:r>
      <w:r w:rsidR="003043D6" w:rsidRPr="00CD49B7">
        <w:rPr>
          <w:b/>
          <w:bCs/>
          <w:color w:val="000000"/>
        </w:rPr>
        <w:t xml:space="preserve"> </w:t>
      </w:r>
      <w:r w:rsidR="003043D6" w:rsidRPr="00CD49B7">
        <w:rPr>
          <w:color w:val="000000"/>
        </w:rPr>
        <w:t>Situations where all or part of a patient’s care is transferred between healthcare locations, clinicians, or levels of care within the same location, as the patient’s condition and care needs change.</w:t>
      </w:r>
    </w:p>
    <w:p w14:paraId="391A4584" w14:textId="3FE9AF92" w:rsidR="003043D6" w:rsidRPr="00CD49B7" w:rsidRDefault="003043D6" w:rsidP="003043D6">
      <w:pPr>
        <w:rPr>
          <w:color w:val="000000"/>
        </w:rPr>
      </w:pPr>
    </w:p>
    <w:p w14:paraId="03014CFC" w14:textId="63F303F6" w:rsidR="003043D6" w:rsidRPr="00CD49B7" w:rsidRDefault="003043D6" w:rsidP="003043D6">
      <w:pPr>
        <w:rPr>
          <w:color w:val="000000"/>
        </w:rPr>
      </w:pPr>
    </w:p>
    <w:p w14:paraId="7CEBD8D8" w14:textId="7EEADD90" w:rsidR="003043D6" w:rsidRPr="00CD49B7" w:rsidRDefault="003043D6" w:rsidP="003043D6">
      <w:pPr>
        <w:rPr>
          <w:color w:val="000000"/>
        </w:rPr>
      </w:pPr>
    </w:p>
    <w:p w14:paraId="1342CA56" w14:textId="045903D0" w:rsidR="003043D6" w:rsidRPr="00CD49B7" w:rsidRDefault="003043D6" w:rsidP="003043D6">
      <w:pPr>
        <w:rPr>
          <w:color w:val="000000"/>
        </w:rPr>
      </w:pPr>
    </w:p>
    <w:p w14:paraId="65F3E960" w14:textId="77777777" w:rsidR="003043D6" w:rsidRDefault="003043D6" w:rsidP="003043D6">
      <w:pPr>
        <w:rPr>
          <w:highlight w:val="yellow"/>
        </w:rPr>
      </w:pPr>
    </w:p>
    <w:p w14:paraId="72BCFBCB" w14:textId="77777777" w:rsidR="00034B67" w:rsidRPr="00C637B6" w:rsidRDefault="00034B67" w:rsidP="003043D6">
      <w:pPr>
        <w:rPr>
          <w:highlight w:val="yellow"/>
        </w:rPr>
      </w:pPr>
    </w:p>
    <w:p w14:paraId="25B6CDB4" w14:textId="77777777" w:rsidR="00C5410D" w:rsidRPr="00CC36E3" w:rsidRDefault="00C5410D" w:rsidP="003043D6">
      <w:pPr>
        <w:rPr>
          <w:rStyle w:val="Hyperlink"/>
          <w:rFonts w:eastAsia="VIC" w:cs="VIC"/>
        </w:rPr>
      </w:pPr>
      <w:r w:rsidRPr="00CC36E3">
        <w:rPr>
          <w:rStyle w:val="Hyperlink"/>
          <w:rFonts w:eastAsia="VIC" w:cs="VIC"/>
        </w:rPr>
        <w:br w:type="page"/>
      </w:r>
    </w:p>
    <w:p w14:paraId="38DB6EED" w14:textId="39A968EE" w:rsidR="00C5410D" w:rsidRPr="00CC36E3" w:rsidRDefault="00C5410D" w:rsidP="00185A02">
      <w:pPr>
        <w:pStyle w:val="Heading1"/>
        <w:framePr w:wrap="around"/>
        <w:rPr>
          <w:rFonts w:eastAsia="VIC"/>
        </w:rPr>
      </w:pPr>
      <w:bookmarkStart w:id="36" w:name="_Toc43388550"/>
      <w:bookmarkStart w:id="37" w:name="_Toc44342456"/>
      <w:bookmarkStart w:id="38" w:name="_Toc103871432"/>
      <w:r w:rsidRPr="00C5410D">
        <w:lastRenderedPageBreak/>
        <w:t>Resources</w:t>
      </w:r>
      <w:r w:rsidRPr="00CC36E3">
        <w:rPr>
          <w:rFonts w:eastAsia="VIC"/>
        </w:rPr>
        <w:t xml:space="preserve"> and </w:t>
      </w:r>
      <w:r w:rsidR="00C427BD">
        <w:rPr>
          <w:rFonts w:eastAsia="VIC"/>
        </w:rPr>
        <w:t>r</w:t>
      </w:r>
      <w:r w:rsidRPr="00CC36E3">
        <w:rPr>
          <w:rFonts w:eastAsia="VIC"/>
        </w:rPr>
        <w:t>eferences</w:t>
      </w:r>
      <w:bookmarkEnd w:id="36"/>
      <w:bookmarkEnd w:id="37"/>
      <w:bookmarkEnd w:id="38"/>
    </w:p>
    <w:p w14:paraId="4FAC0FF5" w14:textId="7C193626" w:rsidR="0015782B" w:rsidRDefault="0015782B" w:rsidP="00185A02">
      <w:r w:rsidRPr="0015782B">
        <w:t xml:space="preserve">Australian Commission on Safety and Quality in Health Care [internet] APINCHS classification of </w:t>
      </w:r>
      <w:proofErr w:type="gramStart"/>
      <w:r w:rsidRPr="0015782B">
        <w:t>high risk</w:t>
      </w:r>
      <w:proofErr w:type="gramEnd"/>
      <w:r w:rsidRPr="0015782B">
        <w:t xml:space="preserve"> medicines. Sydney: ACSQHC [cited 2021 Sep 9]. Available from: </w:t>
      </w:r>
      <w:hyperlink r:id="rId27" w:history="1">
        <w:r w:rsidRPr="00AA5B00">
          <w:rPr>
            <w:rStyle w:val="Hyperlink"/>
          </w:rPr>
          <w:t>https://www.safetyandquality.gov.au/our-work/medication-safety/high-risk-medicines/apinchs-classification-high-riskmedicines</w:t>
        </w:r>
      </w:hyperlink>
    </w:p>
    <w:p w14:paraId="33AF4726" w14:textId="1C4EF352" w:rsidR="000C6D45" w:rsidRDefault="00B721A2" w:rsidP="00185A02">
      <w:r>
        <w:t>Australian Commission on Safety and Quality in Health Care. Opioid Analgesic Stewardship in Acute Pain Clinical Care Standard – Acute care edition. Sydney:</w:t>
      </w:r>
      <w:r>
        <w:rPr>
          <w:rFonts w:ascii="Cambria" w:hAnsi="Cambria" w:cs="Cambria"/>
        </w:rPr>
        <w:t> </w:t>
      </w:r>
      <w:r>
        <w:t>ACSQHC; 2022.</w:t>
      </w:r>
      <w:r w:rsidR="0015782B">
        <w:t xml:space="preserve"> Available from </w:t>
      </w:r>
      <w:hyperlink r:id="rId28" w:history="1">
        <w:r w:rsidR="0015782B" w:rsidRPr="00BE58D8">
          <w:rPr>
            <w:rStyle w:val="Hyperlink"/>
          </w:rPr>
          <w:t>https://www.safetyandquality.gov.au/sites/default/files/2022-04/opioid-analgesic-stewardship-in-acute-pain-clinical-care-standard.pdf</w:t>
        </w:r>
      </w:hyperlink>
    </w:p>
    <w:p w14:paraId="1B15E5FE" w14:textId="77777777" w:rsidR="0015782B" w:rsidRDefault="0015782B" w:rsidP="00185A02">
      <w:r w:rsidRPr="0015782B">
        <w:t xml:space="preserve">Brat GA, </w:t>
      </w:r>
      <w:proofErr w:type="spellStart"/>
      <w:r w:rsidRPr="0015782B">
        <w:t>Agniel</w:t>
      </w:r>
      <w:proofErr w:type="spellEnd"/>
      <w:r w:rsidRPr="0015782B">
        <w:t xml:space="preserve"> D, Beam A, </w:t>
      </w:r>
      <w:proofErr w:type="spellStart"/>
      <w:r w:rsidRPr="0015782B">
        <w:t>Yorkgitis</w:t>
      </w:r>
      <w:proofErr w:type="spellEnd"/>
      <w:r w:rsidRPr="0015782B">
        <w:t xml:space="preserve"> B, Bicket M, Homer M, et al. Postsurgical prescriptions for opioid naive patients and association with overdose and misuse: retrospective cohort study. BMJ. 2018;</w:t>
      </w:r>
      <w:proofErr w:type="gramStart"/>
      <w:r w:rsidRPr="0015782B">
        <w:t>360:j</w:t>
      </w:r>
      <w:proofErr w:type="gramEnd"/>
      <w:r w:rsidRPr="0015782B">
        <w:t xml:space="preserve">5790. </w:t>
      </w:r>
    </w:p>
    <w:p w14:paraId="099FB16E" w14:textId="4DD4C843" w:rsidR="0015782B" w:rsidRDefault="0015782B" w:rsidP="00185A02">
      <w:r w:rsidRPr="0015782B">
        <w:t xml:space="preserve">Bui T, Bortz H, Cairns KA, Graudins LV, Corallo CE, </w:t>
      </w:r>
      <w:proofErr w:type="spellStart"/>
      <w:r w:rsidRPr="0015782B">
        <w:t>Konstantatos</w:t>
      </w:r>
      <w:proofErr w:type="spellEnd"/>
      <w:r w:rsidRPr="0015782B">
        <w:t xml:space="preserve"> A, et al. AAA stewardship: managing high-risk medications with dedicated antimicrobial, anticoagulation and analgesic stewardship programs. J Pharm </w:t>
      </w:r>
      <w:proofErr w:type="spellStart"/>
      <w:r w:rsidRPr="0015782B">
        <w:t>Pract</w:t>
      </w:r>
      <w:proofErr w:type="spellEnd"/>
      <w:r w:rsidRPr="0015782B">
        <w:t xml:space="preserve"> Res. 2021; 51: 342-347. </w:t>
      </w:r>
      <w:hyperlink r:id="rId29" w:history="1">
        <w:r w:rsidRPr="00AA5B00">
          <w:rPr>
            <w:rStyle w:val="Hyperlink"/>
          </w:rPr>
          <w:t>https://doi.org/10.1002/jppr.1716</w:t>
        </w:r>
      </w:hyperlink>
      <w:r w:rsidRPr="0015782B">
        <w:t xml:space="preserve"> </w:t>
      </w:r>
    </w:p>
    <w:p w14:paraId="23490784" w14:textId="77777777" w:rsidR="0015782B" w:rsidRDefault="0015782B" w:rsidP="00185A02">
      <w:r w:rsidRPr="0015782B">
        <w:t xml:space="preserve">Coroner's Court of Victoria. Victorian overdose deaths, 2011-2020. Melbourne: Coroner's Court of Victoria; 2021. </w:t>
      </w:r>
    </w:p>
    <w:p w14:paraId="3892529B" w14:textId="77777777" w:rsidR="0015782B" w:rsidRDefault="0015782B" w:rsidP="00185A02">
      <w:r w:rsidRPr="0015782B">
        <w:t>Levy N, Quinlan J, El-</w:t>
      </w:r>
      <w:proofErr w:type="spellStart"/>
      <w:r w:rsidRPr="0015782B">
        <w:t>Boghdadly</w:t>
      </w:r>
      <w:proofErr w:type="spellEnd"/>
      <w:r w:rsidRPr="0015782B">
        <w:t xml:space="preserve"> K, Fawcett WJ, Agarwal V, Bastable RB, et al. An international multidisciplinary consensus statement on the prevention of opioid-related harm in adult surgical patients. Anaesthesia. 2021 Apr;76(4):520-536. </w:t>
      </w:r>
    </w:p>
    <w:p w14:paraId="3396DA3C" w14:textId="77777777" w:rsidR="0015782B" w:rsidRDefault="0015782B" w:rsidP="00185A02">
      <w:r w:rsidRPr="0015782B">
        <w:t xml:space="preserve">Parliament of Victoria Law Reform, Road and Community Safety Committee. Inquiry into drug law reform PP No 376. Melbourne: Parliament of Victoria; 2018 </w:t>
      </w:r>
    </w:p>
    <w:p w14:paraId="5421E40C" w14:textId="77777777" w:rsidR="0015782B" w:rsidRDefault="0015782B" w:rsidP="00185A02">
      <w:r w:rsidRPr="0015782B">
        <w:t>Roughead EE, Lim R, Ramsay E, Moffat AK, Pratt NL. Persistence with opioids post discharge from hospitalisation for surgery in Australian adults: a retrospective cohort study. BMJ Open. 2019;9(4</w:t>
      </w:r>
      <w:proofErr w:type="gramStart"/>
      <w:r w:rsidRPr="0015782B">
        <w:t>):e</w:t>
      </w:r>
      <w:proofErr w:type="gramEnd"/>
      <w:r w:rsidRPr="0015782B">
        <w:t xml:space="preserve">023990. </w:t>
      </w:r>
    </w:p>
    <w:p w14:paraId="1672B2C1" w14:textId="2356CDCD" w:rsidR="0015782B" w:rsidRDefault="0015782B" w:rsidP="00185A02">
      <w:r w:rsidRPr="0015782B">
        <w:t>The Society of Hospital Pharmacists of Australia. Reducing opioid-related harm: a hospital pharmacy landscape paper. Melbourne: SHPA; 2018</w:t>
      </w:r>
    </w:p>
    <w:p w14:paraId="1AD6A1D9" w14:textId="77777777" w:rsidR="000C6D45" w:rsidRPr="0075229D" w:rsidRDefault="000C6D45" w:rsidP="00185A02"/>
    <w:p w14:paraId="23CD5BBD" w14:textId="77777777" w:rsidR="00727C45" w:rsidRDefault="00727C45">
      <w:r>
        <w:rPr>
          <w:noProof/>
        </w:rPr>
        <w:lastRenderedPageBreak/>
        <w:drawing>
          <wp:anchor distT="0" distB="0" distL="114300" distR="114300" simplePos="0" relativeHeight="251658241" behindDoc="1" locked="0" layoutInCell="1" allowOverlap="1" wp14:anchorId="0EF4500A" wp14:editId="4DAF3612">
            <wp:simplePos x="0" y="0"/>
            <wp:positionH relativeFrom="page">
              <wp:posOffset>0</wp:posOffset>
            </wp:positionH>
            <wp:positionV relativeFrom="page">
              <wp:posOffset>0</wp:posOffset>
            </wp:positionV>
            <wp:extent cx="7559675" cy="10691495"/>
            <wp:effectExtent l="0" t="0" r="3175" b="0"/>
            <wp:wrapTopAndBottom/>
            <wp:docPr id="4" name="back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ck cover.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p>
    <w:sectPr w:rsidR="00727C45" w:rsidSect="00173DD0">
      <w:footerReference w:type="default" r:id="rId31"/>
      <w:headerReference w:type="first" r:id="rId32"/>
      <w:type w:val="continuous"/>
      <w:pgSz w:w="11906" w:h="16838" w:code="9"/>
      <w:pgMar w:top="3402" w:right="851" w:bottom="1361" w:left="851" w:header="539" w:footer="62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1ECFE" w14:textId="77777777" w:rsidR="00301A37" w:rsidRDefault="00301A37" w:rsidP="005F00E9">
      <w:r>
        <w:separator/>
      </w:r>
    </w:p>
    <w:p w14:paraId="686DB612" w14:textId="77777777" w:rsidR="00301A37" w:rsidRDefault="00301A37" w:rsidP="005F00E9"/>
  </w:endnote>
  <w:endnote w:type="continuationSeparator" w:id="0">
    <w:p w14:paraId="08C87D5C" w14:textId="77777777" w:rsidR="00301A37" w:rsidRDefault="00301A37" w:rsidP="005F00E9">
      <w:r>
        <w:continuationSeparator/>
      </w:r>
    </w:p>
    <w:p w14:paraId="0E7DDD5C" w14:textId="77777777" w:rsidR="00301A37" w:rsidRDefault="00301A37" w:rsidP="005F00E9"/>
  </w:endnote>
  <w:endnote w:type="continuationNotice" w:id="1">
    <w:p w14:paraId="12A7B4ED" w14:textId="77777777" w:rsidR="00301A37" w:rsidRDefault="00301A3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IC">
    <w:altName w:val="Calibri"/>
    <w:panose1 w:val="000005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S PGothic">
    <w:panose1 w:val="020B0600070205080204"/>
    <w:charset w:val="80"/>
    <w:family w:val="swiss"/>
    <w:pitch w:val="variable"/>
    <w:sig w:usb0="E00002FF" w:usb1="6AC7FDFB" w:usb2="08000012" w:usb3="00000000" w:csb0="0002009F" w:csb1="00000000"/>
  </w:font>
  <w:font w:name="VIC SemiBold">
    <w:altName w:val="Calibri"/>
    <w:panose1 w:val="000007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IC Medium">
    <w:altName w:val="Calibri"/>
    <w:panose1 w:val="000006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92C45" w14:textId="79C98F85" w:rsidR="00654AAF" w:rsidRDefault="00654AAF" w:rsidP="005F00E9">
    <w:pPr>
      <w:pStyle w:val="FooterEven"/>
      <w:framePr w:wrap="around"/>
    </w:pPr>
    <w:r>
      <w:rPr>
        <w:noProof w:val="0"/>
      </w:rPr>
      <w:fldChar w:fldCharType="begin"/>
    </w:r>
    <w:r>
      <w:instrText xml:space="preserve"> PAGE   \* MERGEFORMAT </w:instrText>
    </w:r>
    <w:r>
      <w:rPr>
        <w:noProof w:val="0"/>
      </w:rPr>
      <w:fldChar w:fldCharType="separate"/>
    </w:r>
    <w:r>
      <w:t>4</w:t>
    </w:r>
    <w:r>
      <w:fldChar w:fldCharType="end"/>
    </w:r>
    <w:r>
      <w:t> </w:t>
    </w:r>
    <w:r>
      <w:t> </w:t>
    </w:r>
    <w:r w:rsidRPr="00724F74">
      <w:rPr>
        <w:b/>
      </w:rPr>
      <w:t>Safer Care Victoria</w:t>
    </w:r>
    <w:r>
      <w:t> </w:t>
    </w:r>
    <w:r>
      <w:t> </w:t>
    </w:r>
    <w:sdt>
      <w:sdtPr>
        <w:alias w:val="Title"/>
        <w:tag w:val=""/>
        <w:id w:val="-270466633"/>
        <w:dataBinding w:prefixMappings="xmlns:ns0='http://purl.org/dc/elements/1.1/' xmlns:ns1='http://schemas.openxmlformats.org/package/2006/metadata/core-properties' " w:xpath="/ns1:coreProperties[1]/ns0:title[1]" w:storeItemID="{6C3C8BC8-F283-45AE-878A-BAB7291924A1}"/>
        <w:text/>
      </w:sdtPr>
      <w:sdtContent>
        <w:r w:rsidR="00011CFF">
          <w:t>Analgesic stewardship toolkit</w:t>
        </w:r>
      </w:sdtContent>
    </w:sdt>
    <w:r>
      <w:t xml:space="preserve"> </w:t>
    </w:r>
    <w:r>
      <w:drawing>
        <wp:anchor distT="0" distB="0" distL="114300" distR="114300" simplePos="0" relativeHeight="251658241" behindDoc="0" locked="0" layoutInCell="1" allowOverlap="1" wp14:anchorId="00108B98" wp14:editId="15C7F9FF">
          <wp:simplePos x="0" y="0"/>
          <wp:positionH relativeFrom="column">
            <wp:posOffset>4256126</wp:posOffset>
          </wp:positionH>
          <wp:positionV relativeFrom="page">
            <wp:posOffset>9493250</wp:posOffset>
          </wp:positionV>
          <wp:extent cx="1956435" cy="582930"/>
          <wp:effectExtent l="0" t="0" r="5715" b="7620"/>
          <wp:wrapNone/>
          <wp:docPr id="4584871"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p w14:paraId="5A542051" w14:textId="77777777" w:rsidR="00654AAF" w:rsidRPr="002A5891" w:rsidRDefault="00654AAF" w:rsidP="00185A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59967" w14:textId="74C46527" w:rsidR="00654AAF" w:rsidRDefault="00000000" w:rsidP="00185A02">
    <w:pPr>
      <w:pStyle w:val="FooterOdd"/>
      <w:framePr w:wrap="around"/>
    </w:pPr>
    <w:sdt>
      <w:sdtPr>
        <w:alias w:val="Title"/>
        <w:tag w:val=""/>
        <w:id w:val="1181776495"/>
        <w:dataBinding w:prefixMappings="xmlns:ns0='http://purl.org/dc/elements/1.1/' xmlns:ns1='http://schemas.openxmlformats.org/package/2006/metadata/core-properties' " w:xpath="/ns1:coreProperties[1]/ns0:title[1]" w:storeItemID="{6C3C8BC8-F283-45AE-878A-BAB7291924A1}"/>
        <w:text/>
      </w:sdtPr>
      <w:sdtContent>
        <w:r w:rsidR="00011CFF">
          <w:t>Analgesic stewardship toolkit</w:t>
        </w:r>
      </w:sdtContent>
    </w:sdt>
    <w:r w:rsidR="00654AAF">
      <w:t> </w:t>
    </w:r>
    <w:r w:rsidR="00654AAF">
      <w:t> </w:t>
    </w:r>
    <w:r w:rsidR="00654AAF" w:rsidRPr="0097403D">
      <w:rPr>
        <w:b/>
      </w:rPr>
      <w:t>Safer Care Victoria</w:t>
    </w:r>
    <w:r w:rsidR="00654AAF">
      <w:t> </w:t>
    </w:r>
    <w:r w:rsidR="00654AAF">
      <w:t> </w:t>
    </w:r>
    <w:r w:rsidR="00654AAF">
      <w:rPr>
        <w:noProof w:val="0"/>
      </w:rPr>
      <w:fldChar w:fldCharType="begin"/>
    </w:r>
    <w:r w:rsidR="00654AAF">
      <w:instrText xml:space="preserve"> PAGE   \* MERGEFORMAT </w:instrText>
    </w:r>
    <w:r w:rsidR="00654AAF">
      <w:rPr>
        <w:noProof w:val="0"/>
      </w:rPr>
      <w:fldChar w:fldCharType="separate"/>
    </w:r>
    <w:r w:rsidR="00654AAF">
      <w:t>5</w:t>
    </w:r>
    <w:r w:rsidR="00654AAF">
      <w:fldChar w:fldCharType="end"/>
    </w:r>
  </w:p>
  <w:p w14:paraId="160ABA12" w14:textId="77777777" w:rsidR="00654AAF" w:rsidRPr="002A5891" w:rsidRDefault="00654AAF" w:rsidP="00185A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BD216" w14:textId="77777777" w:rsidR="00654AAF" w:rsidRDefault="00654AAF" w:rsidP="00185A0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4A650" w14:textId="77777777" w:rsidR="006A540D" w:rsidRPr="00616F53" w:rsidRDefault="006A540D" w:rsidP="00CB44F1">
    <w:pPr>
      <w:pStyle w:val="Footer"/>
    </w:pPr>
    <w:r>
      <mc:AlternateContent>
        <mc:Choice Requires="wps">
          <w:drawing>
            <wp:anchor distT="0" distB="0" distL="114300" distR="114300" simplePos="0" relativeHeight="251658244" behindDoc="0" locked="0" layoutInCell="0" allowOverlap="1" wp14:anchorId="7383010C" wp14:editId="03CC2D76">
              <wp:simplePos x="0" y="0"/>
              <wp:positionH relativeFrom="page">
                <wp:posOffset>0</wp:posOffset>
              </wp:positionH>
              <wp:positionV relativeFrom="page">
                <wp:posOffset>10234930</wp:posOffset>
              </wp:positionV>
              <wp:extent cx="7560310" cy="266700"/>
              <wp:effectExtent l="0" t="0" r="0" b="0"/>
              <wp:wrapNone/>
              <wp:docPr id="4584891" name="MSIPCM0fad4500bfa823a8b2c47d66"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EAEBCA" w14:textId="77777777" w:rsidR="006A540D" w:rsidRPr="00EF52D3" w:rsidRDefault="006A540D" w:rsidP="00CB44F1"/>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383010C" id="_x0000_t202" coordsize="21600,21600" o:spt="202" path="m,l,21600r21600,l21600,xe">
              <v:stroke joinstyle="miter"/>
              <v:path gradientshapeok="t" o:connecttype="rect"/>
            </v:shapetype>
            <v:shape id="MSIPCM0fad4500bfa823a8b2c47d66" o:spid="_x0000_s1027" type="#_x0000_t202" alt="{&quot;HashCode&quot;:904758361,&quot;Height&quot;:841.0,&quot;Width&quot;:595.0,&quot;Placement&quot;:&quot;Footer&quot;,&quot;Index&quot;:&quot;Primary&quot;,&quot;Section&quot;:1,&quot;Top&quot;:0.0,&quot;Left&quot;:0.0}" style="position:absolute;margin-left:0;margin-top:805.9pt;width:595.3pt;height:21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jTf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zo9mTeh0HB+Cy4WC5TEsrJsrA2G8tj6QhjhPSlf2XO&#10;jrgHZOwRTqpi5Tv4h9yBgOU+gGwTNxHYAc0Rb5Riomx8NlHrb/9T1uVxL34DAAD//wMAUEsDBBQA&#10;BgAIAAAAIQCDso8r3wAAAAsBAAAPAAAAZHJzL2Rvd25yZXYueG1sTI/NTsMwEITvSLyDtUjcqBMo&#10;URviVAjEBQkhCuLsxJufJl5Hsdsmb9/NCY47M5qdL9tNthcnHH3rSEG8ikAglc60VCv4+X6724Dw&#10;QZPRvSNUMKOHXX59lenUuDN94WkfasEl5FOtoAlhSKX0ZYNW+5UbkNir3Gh14HOspRn1mcttL++j&#10;KJFWt8QfGj3gS4Nltz9aBevPbVHJQ2cPH/P7PLdd9ftaVErd3kzPTyACTuEvDMt8ng45byrckYwX&#10;vQIGCawmccwEix9vowREsWiPDxuQeSb/M+QXAAAA//8DAFBLAQItABQABgAIAAAAIQC2gziS/gAA&#10;AOEBAAATAAAAAAAAAAAAAAAAAAAAAABbQ29udGVudF9UeXBlc10ueG1sUEsBAi0AFAAGAAgAAAAh&#10;ADj9If/WAAAAlAEAAAsAAAAAAAAAAAAAAAAALwEAAF9yZWxzLy5yZWxzUEsBAi0AFAAGAAgAAAAh&#10;AJ62NN8UAgAAJAQAAA4AAAAAAAAAAAAAAAAALgIAAGRycy9lMm9Eb2MueG1sUEsBAi0AFAAGAAgA&#10;AAAhAIOyjyvfAAAACwEAAA8AAAAAAAAAAAAAAAAAbgQAAGRycy9kb3ducmV2LnhtbFBLBQYAAAAA&#10;BAAEAPMAAAB6BQAAAAA=&#10;" o:allowincell="f" filled="f" stroked="f" strokeweight=".5pt">
              <v:textbox inset=",0,,0">
                <w:txbxContent>
                  <w:p w14:paraId="73EAEBCA" w14:textId="77777777" w:rsidR="006A540D" w:rsidRPr="00EF52D3" w:rsidRDefault="006A540D" w:rsidP="00CB44F1"/>
                </w:txbxContent>
              </v:textbox>
              <w10:wrap anchorx="page" anchory="page"/>
            </v:shape>
          </w:pict>
        </mc:Fallback>
      </mc:AlternateContent>
    </w:r>
    <w:sdt>
      <w:sdtPr>
        <w:rPr>
          <w:noProof w:val="0"/>
        </w:rPr>
        <w:id w:val="-904222563"/>
        <w:docPartObj>
          <w:docPartGallery w:val="Page Numbers (Bottom of Page)"/>
          <w:docPartUnique/>
        </w:docPartObj>
      </w:sdtPr>
      <w:sdtEndPr>
        <w:rPr>
          <w:noProof/>
        </w:rPr>
      </w:sdtEndPr>
      <w:sdtContent>
        <w:r w:rsidRPr="00616F53">
          <w:rPr>
            <w:noProof w:val="0"/>
          </w:rPr>
          <w:fldChar w:fldCharType="begin"/>
        </w:r>
        <w:r w:rsidRPr="00616F53">
          <w:instrText xml:space="preserve"> PAGE   \* MERGEFORMAT </w:instrText>
        </w:r>
        <w:r w:rsidRPr="00616F53">
          <w:rPr>
            <w:noProof w:val="0"/>
          </w:rPr>
          <w:fldChar w:fldCharType="separate"/>
        </w:r>
        <w:r w:rsidRPr="00616F53">
          <w:t>2</w:t>
        </w:r>
        <w:r w:rsidRPr="00616F53">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87C0C" w14:textId="77777777" w:rsidR="00301A37" w:rsidRDefault="00301A37" w:rsidP="005F00E9"/>
    <w:p w14:paraId="63CBC800" w14:textId="77777777" w:rsidR="00301A37" w:rsidRDefault="00301A37" w:rsidP="005F00E9"/>
  </w:footnote>
  <w:footnote w:type="continuationSeparator" w:id="0">
    <w:p w14:paraId="606A7C19" w14:textId="77777777" w:rsidR="00301A37" w:rsidRDefault="00301A37" w:rsidP="005F00E9"/>
    <w:p w14:paraId="7027B999" w14:textId="77777777" w:rsidR="00301A37" w:rsidRDefault="00301A37" w:rsidP="005F00E9"/>
  </w:footnote>
  <w:footnote w:type="continuationNotice" w:id="1">
    <w:p w14:paraId="35B57025" w14:textId="77777777" w:rsidR="00301A37" w:rsidRDefault="00301A3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CD467" w14:textId="77777777" w:rsidR="00654AAF" w:rsidRDefault="00654AAF" w:rsidP="005F00E9">
    <w:pPr>
      <w:pStyle w:val="Header"/>
    </w:pPr>
    <w:r>
      <w:rPr>
        <w:noProof/>
      </w:rPr>
      <w:drawing>
        <wp:anchor distT="0" distB="0" distL="114300" distR="114300" simplePos="0" relativeHeight="251658240" behindDoc="1" locked="0" layoutInCell="1" allowOverlap="1" wp14:anchorId="0A96F4EF" wp14:editId="5C3F363C">
          <wp:simplePos x="0" y="0"/>
          <wp:positionH relativeFrom="column">
            <wp:posOffset>-914400</wp:posOffset>
          </wp:positionH>
          <wp:positionV relativeFrom="page">
            <wp:posOffset>0</wp:posOffset>
          </wp:positionV>
          <wp:extent cx="7562088" cy="10698480"/>
          <wp:effectExtent l="0" t="0" r="1270" b="7620"/>
          <wp:wrapNone/>
          <wp:docPr id="4584869" name="Alternative back cove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PAGE_9545 DTF Covers A4 Final_Blue3 copy.jp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7FF81" w14:textId="77777777" w:rsidR="00654AAF" w:rsidRDefault="00654AAF" w:rsidP="0023694D">
    <w:pPr>
      <w:pStyle w:val="NoSpacing"/>
    </w:pPr>
    <w:r>
      <w:rPr>
        <w:noProof/>
      </w:rPr>
      <w:drawing>
        <wp:anchor distT="0" distB="0" distL="114300" distR="114300" simplePos="0" relativeHeight="251658242" behindDoc="1" locked="0" layoutInCell="1" allowOverlap="1" wp14:anchorId="33CE72D2" wp14:editId="1ED8AEE3">
          <wp:simplePos x="542925" y="342900"/>
          <wp:positionH relativeFrom="page">
            <wp:align>left</wp:align>
          </wp:positionH>
          <wp:positionV relativeFrom="page">
            <wp:align>top</wp:align>
          </wp:positionV>
          <wp:extent cx="7560000" cy="10691587"/>
          <wp:effectExtent l="0" t="0" r="3175" b="0"/>
          <wp:wrapNone/>
          <wp:docPr id="4584874" name="Picture 4584874" descr="SC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ont cover artwor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158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9F95C" w14:textId="77777777" w:rsidR="00654AAF" w:rsidRDefault="00654AAF" w:rsidP="0086277A">
    <w:pPr>
      <w:pStyle w:val="NoSpacing"/>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FC7DF" w14:textId="77777777" w:rsidR="006A540D" w:rsidRDefault="006A540D" w:rsidP="00CB44F1">
    <w:pPr>
      <w:pStyle w:val="Header"/>
    </w:pPr>
    <w:r>
      <w:rPr>
        <w:noProof/>
      </w:rPr>
      <w:drawing>
        <wp:anchor distT="0" distB="0" distL="114300" distR="114300" simplePos="0" relativeHeight="251658243" behindDoc="1" locked="0" layoutInCell="1" allowOverlap="1" wp14:anchorId="4AF8C455" wp14:editId="4490E11F">
          <wp:simplePos x="0" y="0"/>
          <wp:positionH relativeFrom="page">
            <wp:posOffset>208293</wp:posOffset>
          </wp:positionH>
          <wp:positionV relativeFrom="page">
            <wp:posOffset>209550</wp:posOffset>
          </wp:positionV>
          <wp:extent cx="1411180" cy="11176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1180" cy="111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F5E85"/>
    <w:multiLevelType w:val="hybridMultilevel"/>
    <w:tmpl w:val="7018BD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590480"/>
    <w:multiLevelType w:val="hybridMultilevel"/>
    <w:tmpl w:val="5D5AD21E"/>
    <w:lvl w:ilvl="0" w:tplc="6316BC84">
      <w:numFmt w:val="bullet"/>
      <w:lvlText w:val="•"/>
      <w:lvlJc w:val="left"/>
      <w:pPr>
        <w:ind w:left="1080" w:hanging="720"/>
      </w:pPr>
      <w:rPr>
        <w:rFonts w:ascii="VIC" w:eastAsia="Arial" w:hAnsi="V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7F4618"/>
    <w:multiLevelType w:val="hybridMultilevel"/>
    <w:tmpl w:val="7368DCE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62F3C03"/>
    <w:multiLevelType w:val="hybridMultilevel"/>
    <w:tmpl w:val="009E2B2C"/>
    <w:lvl w:ilvl="0" w:tplc="96C2123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CA76D53"/>
    <w:multiLevelType w:val="hybridMultilevel"/>
    <w:tmpl w:val="32207D1C"/>
    <w:lvl w:ilvl="0" w:tplc="178A6280">
      <w:numFmt w:val="bullet"/>
      <w:lvlText w:val="-"/>
      <w:lvlJc w:val="left"/>
      <w:pPr>
        <w:ind w:left="720" w:hanging="360"/>
      </w:pPr>
      <w:rPr>
        <w:rFonts w:ascii="VIC" w:eastAsia="VIC" w:hAnsi="VIC" w:cs="VIC"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D10458"/>
    <w:multiLevelType w:val="hybridMultilevel"/>
    <w:tmpl w:val="9FD2B5D4"/>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6" w15:restartNumberingAfterBreak="0">
    <w:nsid w:val="1F8F6EFC"/>
    <w:multiLevelType w:val="hybridMultilevel"/>
    <w:tmpl w:val="1F067812"/>
    <w:lvl w:ilvl="0" w:tplc="560C6750">
      <w:start w:val="3"/>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CC5B6C"/>
    <w:multiLevelType w:val="multilevel"/>
    <w:tmpl w:val="0DE42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5A306B"/>
    <w:multiLevelType w:val="hybridMultilevel"/>
    <w:tmpl w:val="1BE0E8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59C0CA1"/>
    <w:multiLevelType w:val="hybridMultilevel"/>
    <w:tmpl w:val="4726DA88"/>
    <w:lvl w:ilvl="0" w:tplc="0C090001">
      <w:start w:val="1"/>
      <w:numFmt w:val="bullet"/>
      <w:lvlText w:val=""/>
      <w:lvlJc w:val="left"/>
      <w:pPr>
        <w:ind w:left="1665" w:hanging="360"/>
      </w:pPr>
      <w:rPr>
        <w:rFonts w:ascii="Symbol" w:hAnsi="Symbol" w:hint="default"/>
      </w:rPr>
    </w:lvl>
    <w:lvl w:ilvl="1" w:tplc="0C090003" w:tentative="1">
      <w:start w:val="1"/>
      <w:numFmt w:val="bullet"/>
      <w:lvlText w:val="o"/>
      <w:lvlJc w:val="left"/>
      <w:pPr>
        <w:ind w:left="2385" w:hanging="360"/>
      </w:pPr>
      <w:rPr>
        <w:rFonts w:ascii="Courier New" w:hAnsi="Courier New" w:cs="Courier New" w:hint="default"/>
      </w:rPr>
    </w:lvl>
    <w:lvl w:ilvl="2" w:tplc="0C090005" w:tentative="1">
      <w:start w:val="1"/>
      <w:numFmt w:val="bullet"/>
      <w:lvlText w:val=""/>
      <w:lvlJc w:val="left"/>
      <w:pPr>
        <w:ind w:left="3105" w:hanging="360"/>
      </w:pPr>
      <w:rPr>
        <w:rFonts w:ascii="Wingdings" w:hAnsi="Wingdings" w:hint="default"/>
      </w:rPr>
    </w:lvl>
    <w:lvl w:ilvl="3" w:tplc="0C090001" w:tentative="1">
      <w:start w:val="1"/>
      <w:numFmt w:val="bullet"/>
      <w:lvlText w:val=""/>
      <w:lvlJc w:val="left"/>
      <w:pPr>
        <w:ind w:left="3825" w:hanging="360"/>
      </w:pPr>
      <w:rPr>
        <w:rFonts w:ascii="Symbol" w:hAnsi="Symbol" w:hint="default"/>
      </w:rPr>
    </w:lvl>
    <w:lvl w:ilvl="4" w:tplc="0C090003" w:tentative="1">
      <w:start w:val="1"/>
      <w:numFmt w:val="bullet"/>
      <w:lvlText w:val="o"/>
      <w:lvlJc w:val="left"/>
      <w:pPr>
        <w:ind w:left="4545" w:hanging="360"/>
      </w:pPr>
      <w:rPr>
        <w:rFonts w:ascii="Courier New" w:hAnsi="Courier New" w:cs="Courier New" w:hint="default"/>
      </w:rPr>
    </w:lvl>
    <w:lvl w:ilvl="5" w:tplc="0C090005" w:tentative="1">
      <w:start w:val="1"/>
      <w:numFmt w:val="bullet"/>
      <w:lvlText w:val=""/>
      <w:lvlJc w:val="left"/>
      <w:pPr>
        <w:ind w:left="5265" w:hanging="360"/>
      </w:pPr>
      <w:rPr>
        <w:rFonts w:ascii="Wingdings" w:hAnsi="Wingdings" w:hint="default"/>
      </w:rPr>
    </w:lvl>
    <w:lvl w:ilvl="6" w:tplc="0C090001" w:tentative="1">
      <w:start w:val="1"/>
      <w:numFmt w:val="bullet"/>
      <w:lvlText w:val=""/>
      <w:lvlJc w:val="left"/>
      <w:pPr>
        <w:ind w:left="5985" w:hanging="360"/>
      </w:pPr>
      <w:rPr>
        <w:rFonts w:ascii="Symbol" w:hAnsi="Symbol" w:hint="default"/>
      </w:rPr>
    </w:lvl>
    <w:lvl w:ilvl="7" w:tplc="0C090003" w:tentative="1">
      <w:start w:val="1"/>
      <w:numFmt w:val="bullet"/>
      <w:lvlText w:val="o"/>
      <w:lvlJc w:val="left"/>
      <w:pPr>
        <w:ind w:left="6705" w:hanging="360"/>
      </w:pPr>
      <w:rPr>
        <w:rFonts w:ascii="Courier New" w:hAnsi="Courier New" w:cs="Courier New" w:hint="default"/>
      </w:rPr>
    </w:lvl>
    <w:lvl w:ilvl="8" w:tplc="0C090005" w:tentative="1">
      <w:start w:val="1"/>
      <w:numFmt w:val="bullet"/>
      <w:lvlText w:val=""/>
      <w:lvlJc w:val="left"/>
      <w:pPr>
        <w:ind w:left="7425" w:hanging="360"/>
      </w:pPr>
      <w:rPr>
        <w:rFonts w:ascii="Wingdings" w:hAnsi="Wingdings" w:hint="default"/>
      </w:rPr>
    </w:lvl>
  </w:abstractNum>
  <w:abstractNum w:abstractNumId="10" w15:restartNumberingAfterBreak="0">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360773F9"/>
    <w:multiLevelType w:val="hybridMultilevel"/>
    <w:tmpl w:val="E3DC0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93615B0"/>
    <w:multiLevelType w:val="multilevel"/>
    <w:tmpl w:val="F27293EC"/>
    <w:name w:val="List num2"/>
    <w:lvl w:ilvl="0">
      <w:start w:val="1"/>
      <w:numFmt w:val="decimal"/>
      <w:pStyle w:val="Heading1numbered"/>
      <w:suff w:val="space"/>
      <w:lvlText w:val="Section %1.0"/>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3" w15:restartNumberingAfterBreak="0">
    <w:nsid w:val="393A12AA"/>
    <w:multiLevelType w:val="multilevel"/>
    <w:tmpl w:val="AC98B9AA"/>
    <w:lvl w:ilvl="0">
      <w:start w:val="1"/>
      <w:numFmt w:val="bullet"/>
      <w:pStyle w:val="Bullet1"/>
      <w:lvlText w:val=""/>
      <w:lvlJc w:val="left"/>
      <w:pPr>
        <w:ind w:left="284" w:hanging="284"/>
      </w:pPr>
      <w:rPr>
        <w:rFonts w:ascii="Wingdings 2" w:hAnsi="Wingdings 2" w:hint="default"/>
        <w:color w:val="4D92C0"/>
        <w:position w:val="2"/>
        <w:sz w:val="16"/>
      </w:rPr>
    </w:lvl>
    <w:lvl w:ilvl="1">
      <w:start w:val="1"/>
      <w:numFmt w:val="bullet"/>
      <w:pStyle w:val="Bullet2"/>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4"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46D3A6A"/>
    <w:multiLevelType w:val="multilevel"/>
    <w:tmpl w:val="F58A407A"/>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6" w15:restartNumberingAfterBreak="0">
    <w:nsid w:val="48F34B57"/>
    <w:multiLevelType w:val="hybridMultilevel"/>
    <w:tmpl w:val="3C6C8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B8A24E9"/>
    <w:multiLevelType w:val="multilevel"/>
    <w:tmpl w:val="7BD89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E920298"/>
    <w:multiLevelType w:val="multilevel"/>
    <w:tmpl w:val="67DA9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1020085"/>
    <w:multiLevelType w:val="hybridMultilevel"/>
    <w:tmpl w:val="6B8E8EAE"/>
    <w:lvl w:ilvl="0" w:tplc="0C09000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750FB2"/>
    <w:multiLevelType w:val="multilevel"/>
    <w:tmpl w:val="92B01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7D26CBC"/>
    <w:multiLevelType w:val="hybridMultilevel"/>
    <w:tmpl w:val="8FAEA29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5B2D0A79"/>
    <w:multiLevelType w:val="multilevel"/>
    <w:tmpl w:val="CE88C482"/>
    <w:lvl w:ilvl="0">
      <w:start w:val="1"/>
      <w:numFmt w:val="bullet"/>
      <w:lvlText w:val=""/>
      <w:lvlJc w:val="left"/>
      <w:pPr>
        <w:ind w:left="284" w:hanging="284"/>
      </w:pPr>
      <w:rPr>
        <w:rFonts w:ascii="Symbol" w:hAnsi="Symbol" w:hint="default"/>
        <w:color w:val="auto"/>
        <w:position w:val="2"/>
        <w:sz w:val="16"/>
      </w:rPr>
    </w:lvl>
    <w:lvl w:ilvl="1">
      <w:start w:val="1"/>
      <w:numFmt w:val="bullet"/>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23" w15:restartNumberingAfterBreak="0">
    <w:nsid w:val="5C822BB8"/>
    <w:multiLevelType w:val="multilevel"/>
    <w:tmpl w:val="BAE0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5151C6C"/>
    <w:multiLevelType w:val="hybridMultilevel"/>
    <w:tmpl w:val="18A4B3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5FF2150"/>
    <w:multiLevelType w:val="hybridMultilevel"/>
    <w:tmpl w:val="B810BBFA"/>
    <w:lvl w:ilvl="0" w:tplc="EBAE10DC">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9C04943"/>
    <w:multiLevelType w:val="hybridMultilevel"/>
    <w:tmpl w:val="E62842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C525B44"/>
    <w:multiLevelType w:val="hybridMultilevel"/>
    <w:tmpl w:val="01580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F001F22"/>
    <w:multiLevelType w:val="hybridMultilevel"/>
    <w:tmpl w:val="14601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36C3F69"/>
    <w:multiLevelType w:val="multilevel"/>
    <w:tmpl w:val="BD4EE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5742B90"/>
    <w:multiLevelType w:val="hybridMultilevel"/>
    <w:tmpl w:val="8A903182"/>
    <w:lvl w:ilvl="0" w:tplc="96C2123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74275E1"/>
    <w:multiLevelType w:val="hybridMultilevel"/>
    <w:tmpl w:val="830E53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8A8259F"/>
    <w:multiLevelType w:val="hybridMultilevel"/>
    <w:tmpl w:val="07BC2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854573"/>
    <w:multiLevelType w:val="multilevel"/>
    <w:tmpl w:val="31026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9BE491E"/>
    <w:multiLevelType w:val="hybridMultilevel"/>
    <w:tmpl w:val="9E36E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A7E12E5"/>
    <w:multiLevelType w:val="multilevel"/>
    <w:tmpl w:val="F74E2CE0"/>
    <w:lvl w:ilvl="0">
      <w:start w:val="1"/>
      <w:numFmt w:val="decimal"/>
      <w:pStyle w:val="Numpara"/>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6" w15:restartNumberingAfterBreak="0">
    <w:nsid w:val="7E8A3699"/>
    <w:multiLevelType w:val="multilevel"/>
    <w:tmpl w:val="8168F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FD44514"/>
    <w:multiLevelType w:val="multilevel"/>
    <w:tmpl w:val="457635A8"/>
    <w:name w:val="List num"/>
    <w:lvl w:ilvl="0">
      <w:start w:val="1"/>
      <w:numFmt w:val="lowerLetter"/>
      <w:pStyle w:val="Listnum"/>
      <w:lvlText w:val="(%1)"/>
      <w:lvlJc w:val="left"/>
      <w:pPr>
        <w:ind w:left="397" w:hanging="397"/>
      </w:pPr>
      <w:rPr>
        <w:rFonts w:hint="default"/>
      </w:rPr>
    </w:lvl>
    <w:lvl w:ilvl="1">
      <w:start w:val="1"/>
      <w:numFmt w:val="lowerRoman"/>
      <w:pStyle w:val="Listnum2"/>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16cid:durableId="347871325">
    <w:abstractNumId w:val="15"/>
  </w:num>
  <w:num w:numId="2" w16cid:durableId="736829098">
    <w:abstractNumId w:val="15"/>
  </w:num>
  <w:num w:numId="3" w16cid:durableId="1274050809">
    <w:abstractNumId w:val="15"/>
  </w:num>
  <w:num w:numId="4" w16cid:durableId="1259099156">
    <w:abstractNumId w:val="37"/>
  </w:num>
  <w:num w:numId="5" w16cid:durableId="1206791438">
    <w:abstractNumId w:val="10"/>
  </w:num>
  <w:num w:numId="6" w16cid:durableId="1625425178">
    <w:abstractNumId w:val="14"/>
  </w:num>
  <w:num w:numId="7" w16cid:durableId="645208744">
    <w:abstractNumId w:val="35"/>
  </w:num>
  <w:num w:numId="8" w16cid:durableId="848830793">
    <w:abstractNumId w:val="13"/>
  </w:num>
  <w:num w:numId="9" w16cid:durableId="369653747">
    <w:abstractNumId w:val="13"/>
  </w:num>
  <w:num w:numId="10" w16cid:durableId="1451389747">
    <w:abstractNumId w:val="12"/>
  </w:num>
  <w:num w:numId="11" w16cid:durableId="269943642">
    <w:abstractNumId w:val="0"/>
  </w:num>
  <w:num w:numId="12" w16cid:durableId="325398969">
    <w:abstractNumId w:val="6"/>
  </w:num>
  <w:num w:numId="13" w16cid:durableId="1067461882">
    <w:abstractNumId w:val="24"/>
  </w:num>
  <w:num w:numId="14" w16cid:durableId="741412487">
    <w:abstractNumId w:val="11"/>
  </w:num>
  <w:num w:numId="15" w16cid:durableId="1191384090">
    <w:abstractNumId w:val="21"/>
  </w:num>
  <w:num w:numId="16" w16cid:durableId="1658923493">
    <w:abstractNumId w:val="5"/>
  </w:num>
  <w:num w:numId="17" w16cid:durableId="1672833006">
    <w:abstractNumId w:val="9"/>
  </w:num>
  <w:num w:numId="18" w16cid:durableId="237906687">
    <w:abstractNumId w:val="8"/>
  </w:num>
  <w:num w:numId="19" w16cid:durableId="790055022">
    <w:abstractNumId w:val="19"/>
  </w:num>
  <w:num w:numId="20" w16cid:durableId="1219517281">
    <w:abstractNumId w:val="25"/>
  </w:num>
  <w:num w:numId="21" w16cid:durableId="1655252626">
    <w:abstractNumId w:val="32"/>
  </w:num>
  <w:num w:numId="22" w16cid:durableId="213397005">
    <w:abstractNumId w:val="30"/>
  </w:num>
  <w:num w:numId="23" w16cid:durableId="1792627017">
    <w:abstractNumId w:val="3"/>
  </w:num>
  <w:num w:numId="24" w16cid:durableId="1397581852">
    <w:abstractNumId w:val="4"/>
  </w:num>
  <w:num w:numId="25" w16cid:durableId="1910532335">
    <w:abstractNumId w:val="26"/>
  </w:num>
  <w:num w:numId="26" w16cid:durableId="1032455419">
    <w:abstractNumId w:val="22"/>
  </w:num>
  <w:num w:numId="27" w16cid:durableId="1790590078">
    <w:abstractNumId w:val="28"/>
  </w:num>
  <w:num w:numId="28" w16cid:durableId="209613684">
    <w:abstractNumId w:val="27"/>
  </w:num>
  <w:num w:numId="29" w16cid:durableId="902522866">
    <w:abstractNumId w:val="1"/>
  </w:num>
  <w:num w:numId="30" w16cid:durableId="82382282">
    <w:abstractNumId w:val="2"/>
  </w:num>
  <w:num w:numId="31" w16cid:durableId="876434179">
    <w:abstractNumId w:val="16"/>
  </w:num>
  <w:num w:numId="32" w16cid:durableId="1437098906">
    <w:abstractNumId w:val="36"/>
  </w:num>
  <w:num w:numId="33" w16cid:durableId="783963442">
    <w:abstractNumId w:val="20"/>
  </w:num>
  <w:num w:numId="34" w16cid:durableId="449125151">
    <w:abstractNumId w:val="29"/>
  </w:num>
  <w:num w:numId="35" w16cid:durableId="381445942">
    <w:abstractNumId w:val="7"/>
  </w:num>
  <w:num w:numId="36" w16cid:durableId="1264217443">
    <w:abstractNumId w:val="23"/>
  </w:num>
  <w:num w:numId="37" w16cid:durableId="267854372">
    <w:abstractNumId w:val="18"/>
  </w:num>
  <w:num w:numId="38" w16cid:durableId="1670980860">
    <w:abstractNumId w:val="33"/>
  </w:num>
  <w:num w:numId="39" w16cid:durableId="1940483278">
    <w:abstractNumId w:val="17"/>
  </w:num>
  <w:num w:numId="40" w16cid:durableId="2108501424">
    <w:abstractNumId w:val="34"/>
  </w:num>
  <w:num w:numId="41" w16cid:durableId="195470668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10D"/>
    <w:rsid w:val="000115E3"/>
    <w:rsid w:val="00011CFF"/>
    <w:rsid w:val="00012F6F"/>
    <w:rsid w:val="00014213"/>
    <w:rsid w:val="00014B55"/>
    <w:rsid w:val="00015171"/>
    <w:rsid w:val="00020B2A"/>
    <w:rsid w:val="00020E3E"/>
    <w:rsid w:val="000223EE"/>
    <w:rsid w:val="00023BF3"/>
    <w:rsid w:val="00026811"/>
    <w:rsid w:val="00033BCF"/>
    <w:rsid w:val="00034B67"/>
    <w:rsid w:val="0003637D"/>
    <w:rsid w:val="000415E0"/>
    <w:rsid w:val="0004185E"/>
    <w:rsid w:val="000434CB"/>
    <w:rsid w:val="000442F0"/>
    <w:rsid w:val="00044789"/>
    <w:rsid w:val="000471C9"/>
    <w:rsid w:val="0005211B"/>
    <w:rsid w:val="00056988"/>
    <w:rsid w:val="000576FB"/>
    <w:rsid w:val="00062706"/>
    <w:rsid w:val="00072279"/>
    <w:rsid w:val="00073407"/>
    <w:rsid w:val="00075E6C"/>
    <w:rsid w:val="00081C12"/>
    <w:rsid w:val="00087D42"/>
    <w:rsid w:val="0009393E"/>
    <w:rsid w:val="000A2CD1"/>
    <w:rsid w:val="000A396F"/>
    <w:rsid w:val="000A4E69"/>
    <w:rsid w:val="000B29AD"/>
    <w:rsid w:val="000B702E"/>
    <w:rsid w:val="000C5CE5"/>
    <w:rsid w:val="000C6372"/>
    <w:rsid w:val="000C6D45"/>
    <w:rsid w:val="000C7CA7"/>
    <w:rsid w:val="000D7841"/>
    <w:rsid w:val="000E392D"/>
    <w:rsid w:val="000E39B6"/>
    <w:rsid w:val="000E3D05"/>
    <w:rsid w:val="000E4E0E"/>
    <w:rsid w:val="000E5447"/>
    <w:rsid w:val="000E5C8A"/>
    <w:rsid w:val="000E730C"/>
    <w:rsid w:val="000F1CD6"/>
    <w:rsid w:val="000F2A02"/>
    <w:rsid w:val="000F4288"/>
    <w:rsid w:val="000F7165"/>
    <w:rsid w:val="00102379"/>
    <w:rsid w:val="0010318A"/>
    <w:rsid w:val="00103722"/>
    <w:rsid w:val="001065D6"/>
    <w:rsid w:val="001068D5"/>
    <w:rsid w:val="00121252"/>
    <w:rsid w:val="00124609"/>
    <w:rsid w:val="001254CE"/>
    <w:rsid w:val="0012682B"/>
    <w:rsid w:val="00131580"/>
    <w:rsid w:val="00135BF8"/>
    <w:rsid w:val="001422CC"/>
    <w:rsid w:val="00145346"/>
    <w:rsid w:val="0015782B"/>
    <w:rsid w:val="001617B6"/>
    <w:rsid w:val="00165E66"/>
    <w:rsid w:val="00172983"/>
    <w:rsid w:val="00173DD0"/>
    <w:rsid w:val="0017779E"/>
    <w:rsid w:val="0018212C"/>
    <w:rsid w:val="00185A02"/>
    <w:rsid w:val="001960C5"/>
    <w:rsid w:val="00196143"/>
    <w:rsid w:val="001A24FC"/>
    <w:rsid w:val="001A305C"/>
    <w:rsid w:val="001A52F7"/>
    <w:rsid w:val="001B31D2"/>
    <w:rsid w:val="001C7BAE"/>
    <w:rsid w:val="001D1120"/>
    <w:rsid w:val="001D51E1"/>
    <w:rsid w:val="001E31FA"/>
    <w:rsid w:val="001E48F9"/>
    <w:rsid w:val="001E64F6"/>
    <w:rsid w:val="001E68C7"/>
    <w:rsid w:val="001E7AEB"/>
    <w:rsid w:val="001F030F"/>
    <w:rsid w:val="001F07E6"/>
    <w:rsid w:val="00203C23"/>
    <w:rsid w:val="00204B82"/>
    <w:rsid w:val="00214BFC"/>
    <w:rsid w:val="00222BEB"/>
    <w:rsid w:val="00225E60"/>
    <w:rsid w:val="00230BBB"/>
    <w:rsid w:val="0023202C"/>
    <w:rsid w:val="00232BAA"/>
    <w:rsid w:val="00234619"/>
    <w:rsid w:val="0023694D"/>
    <w:rsid w:val="00245043"/>
    <w:rsid w:val="002510E2"/>
    <w:rsid w:val="00255DD0"/>
    <w:rsid w:val="00256904"/>
    <w:rsid w:val="00257461"/>
    <w:rsid w:val="0026028E"/>
    <w:rsid w:val="00263221"/>
    <w:rsid w:val="00265EC8"/>
    <w:rsid w:val="002714C8"/>
    <w:rsid w:val="00281453"/>
    <w:rsid w:val="00284FA2"/>
    <w:rsid w:val="00292D36"/>
    <w:rsid w:val="00294A5A"/>
    <w:rsid w:val="00297281"/>
    <w:rsid w:val="00297A47"/>
    <w:rsid w:val="002A414D"/>
    <w:rsid w:val="002A5891"/>
    <w:rsid w:val="002B0257"/>
    <w:rsid w:val="002B03F1"/>
    <w:rsid w:val="002B0FB1"/>
    <w:rsid w:val="002B1ADB"/>
    <w:rsid w:val="002B5E2B"/>
    <w:rsid w:val="002B6DAA"/>
    <w:rsid w:val="002D17D0"/>
    <w:rsid w:val="002D42AA"/>
    <w:rsid w:val="002D48EE"/>
    <w:rsid w:val="002D70F7"/>
    <w:rsid w:val="002D711A"/>
    <w:rsid w:val="002D7336"/>
    <w:rsid w:val="002E3396"/>
    <w:rsid w:val="002F2953"/>
    <w:rsid w:val="002F36AE"/>
    <w:rsid w:val="002F6595"/>
    <w:rsid w:val="002F765B"/>
    <w:rsid w:val="00301A37"/>
    <w:rsid w:val="00301AFF"/>
    <w:rsid w:val="003043D6"/>
    <w:rsid w:val="0031149C"/>
    <w:rsid w:val="0031239D"/>
    <w:rsid w:val="00313778"/>
    <w:rsid w:val="0031584F"/>
    <w:rsid w:val="00315E97"/>
    <w:rsid w:val="00327810"/>
    <w:rsid w:val="00337972"/>
    <w:rsid w:val="00340EEC"/>
    <w:rsid w:val="00341E2A"/>
    <w:rsid w:val="0036258C"/>
    <w:rsid w:val="0036778F"/>
    <w:rsid w:val="00370F92"/>
    <w:rsid w:val="003729B2"/>
    <w:rsid w:val="0037449A"/>
    <w:rsid w:val="003749D0"/>
    <w:rsid w:val="0037748E"/>
    <w:rsid w:val="0038771C"/>
    <w:rsid w:val="0039639D"/>
    <w:rsid w:val="00396550"/>
    <w:rsid w:val="003A1A76"/>
    <w:rsid w:val="003A430B"/>
    <w:rsid w:val="003A50B3"/>
    <w:rsid w:val="003A541A"/>
    <w:rsid w:val="003A6923"/>
    <w:rsid w:val="003B0C99"/>
    <w:rsid w:val="003B4851"/>
    <w:rsid w:val="003B7815"/>
    <w:rsid w:val="003B7B6F"/>
    <w:rsid w:val="003C2C67"/>
    <w:rsid w:val="003C2D4C"/>
    <w:rsid w:val="003C3B3A"/>
    <w:rsid w:val="003C531E"/>
    <w:rsid w:val="003C5BA4"/>
    <w:rsid w:val="003C7395"/>
    <w:rsid w:val="003D27D1"/>
    <w:rsid w:val="003E2FC5"/>
    <w:rsid w:val="003E3E1B"/>
    <w:rsid w:val="003E3E26"/>
    <w:rsid w:val="003E5DFC"/>
    <w:rsid w:val="003E608A"/>
    <w:rsid w:val="003F006F"/>
    <w:rsid w:val="003F1295"/>
    <w:rsid w:val="003F5102"/>
    <w:rsid w:val="003F55D0"/>
    <w:rsid w:val="003F76FC"/>
    <w:rsid w:val="004002EB"/>
    <w:rsid w:val="00403403"/>
    <w:rsid w:val="00407A79"/>
    <w:rsid w:val="00422DDC"/>
    <w:rsid w:val="004231B5"/>
    <w:rsid w:val="004236C8"/>
    <w:rsid w:val="00423988"/>
    <w:rsid w:val="004270A7"/>
    <w:rsid w:val="00427681"/>
    <w:rsid w:val="00433DB7"/>
    <w:rsid w:val="00444B52"/>
    <w:rsid w:val="00452FB5"/>
    <w:rsid w:val="00453750"/>
    <w:rsid w:val="00454C1F"/>
    <w:rsid w:val="00456941"/>
    <w:rsid w:val="00456CD9"/>
    <w:rsid w:val="004612B3"/>
    <w:rsid w:val="00461B4B"/>
    <w:rsid w:val="00463B52"/>
    <w:rsid w:val="0046443D"/>
    <w:rsid w:val="00465BF2"/>
    <w:rsid w:val="004702EA"/>
    <w:rsid w:val="00470609"/>
    <w:rsid w:val="004822CA"/>
    <w:rsid w:val="0048259C"/>
    <w:rsid w:val="00482D02"/>
    <w:rsid w:val="00484326"/>
    <w:rsid w:val="004851A3"/>
    <w:rsid w:val="00490369"/>
    <w:rsid w:val="00494B50"/>
    <w:rsid w:val="004A7519"/>
    <w:rsid w:val="004B0999"/>
    <w:rsid w:val="004B3DBC"/>
    <w:rsid w:val="004B64B1"/>
    <w:rsid w:val="004C4949"/>
    <w:rsid w:val="004C6A50"/>
    <w:rsid w:val="004C6C48"/>
    <w:rsid w:val="004D01AC"/>
    <w:rsid w:val="004D172E"/>
    <w:rsid w:val="004D3518"/>
    <w:rsid w:val="004D62D6"/>
    <w:rsid w:val="004D6898"/>
    <w:rsid w:val="004E251D"/>
    <w:rsid w:val="004F3531"/>
    <w:rsid w:val="004F3F4E"/>
    <w:rsid w:val="0050331F"/>
    <w:rsid w:val="0050356B"/>
    <w:rsid w:val="00507CA3"/>
    <w:rsid w:val="00510167"/>
    <w:rsid w:val="00513E86"/>
    <w:rsid w:val="005251FB"/>
    <w:rsid w:val="00525CA8"/>
    <w:rsid w:val="005306A2"/>
    <w:rsid w:val="00530D71"/>
    <w:rsid w:val="0053416C"/>
    <w:rsid w:val="00540588"/>
    <w:rsid w:val="00541C2F"/>
    <w:rsid w:val="00547454"/>
    <w:rsid w:val="00551B95"/>
    <w:rsid w:val="00552DE4"/>
    <w:rsid w:val="00563527"/>
    <w:rsid w:val="005701D6"/>
    <w:rsid w:val="00573901"/>
    <w:rsid w:val="0057407A"/>
    <w:rsid w:val="0057426D"/>
    <w:rsid w:val="0058124E"/>
    <w:rsid w:val="005835A8"/>
    <w:rsid w:val="00585A5C"/>
    <w:rsid w:val="00585DF2"/>
    <w:rsid w:val="005875A3"/>
    <w:rsid w:val="005953EA"/>
    <w:rsid w:val="005A33FD"/>
    <w:rsid w:val="005A3416"/>
    <w:rsid w:val="005A6325"/>
    <w:rsid w:val="005A66BB"/>
    <w:rsid w:val="005B27FE"/>
    <w:rsid w:val="005B5BF1"/>
    <w:rsid w:val="005B5D1B"/>
    <w:rsid w:val="005B5D69"/>
    <w:rsid w:val="005B6E75"/>
    <w:rsid w:val="005B75CF"/>
    <w:rsid w:val="005B76DF"/>
    <w:rsid w:val="005B79CB"/>
    <w:rsid w:val="005E08D7"/>
    <w:rsid w:val="005E2B6E"/>
    <w:rsid w:val="005E4C16"/>
    <w:rsid w:val="005E5947"/>
    <w:rsid w:val="005E6E8C"/>
    <w:rsid w:val="005F00E9"/>
    <w:rsid w:val="005F15F1"/>
    <w:rsid w:val="005F61DF"/>
    <w:rsid w:val="0060096D"/>
    <w:rsid w:val="0060163A"/>
    <w:rsid w:val="006023F9"/>
    <w:rsid w:val="00610559"/>
    <w:rsid w:val="00614076"/>
    <w:rsid w:val="00626178"/>
    <w:rsid w:val="00632F2E"/>
    <w:rsid w:val="006332F6"/>
    <w:rsid w:val="00637411"/>
    <w:rsid w:val="006413F2"/>
    <w:rsid w:val="0064199B"/>
    <w:rsid w:val="00641A38"/>
    <w:rsid w:val="006448B9"/>
    <w:rsid w:val="0064798F"/>
    <w:rsid w:val="006534B2"/>
    <w:rsid w:val="00653BD1"/>
    <w:rsid w:val="00654AAF"/>
    <w:rsid w:val="0065615D"/>
    <w:rsid w:val="00657011"/>
    <w:rsid w:val="00662F73"/>
    <w:rsid w:val="006641A7"/>
    <w:rsid w:val="006650B5"/>
    <w:rsid w:val="006651B1"/>
    <w:rsid w:val="00665778"/>
    <w:rsid w:val="00676E5F"/>
    <w:rsid w:val="00680EFF"/>
    <w:rsid w:val="00683501"/>
    <w:rsid w:val="0069041D"/>
    <w:rsid w:val="00693946"/>
    <w:rsid w:val="006945CA"/>
    <w:rsid w:val="006A0090"/>
    <w:rsid w:val="006A3309"/>
    <w:rsid w:val="006A3A5A"/>
    <w:rsid w:val="006A540D"/>
    <w:rsid w:val="006A5B34"/>
    <w:rsid w:val="006A60AE"/>
    <w:rsid w:val="006B6EF3"/>
    <w:rsid w:val="006C2E12"/>
    <w:rsid w:val="006C4DCC"/>
    <w:rsid w:val="006C77A9"/>
    <w:rsid w:val="006D4720"/>
    <w:rsid w:val="006D53E5"/>
    <w:rsid w:val="006D6246"/>
    <w:rsid w:val="006E04D8"/>
    <w:rsid w:val="006E0B4C"/>
    <w:rsid w:val="006E6CDF"/>
    <w:rsid w:val="006F16AC"/>
    <w:rsid w:val="006F2A00"/>
    <w:rsid w:val="006F37F2"/>
    <w:rsid w:val="006F6693"/>
    <w:rsid w:val="00707FE8"/>
    <w:rsid w:val="00714AAE"/>
    <w:rsid w:val="00716070"/>
    <w:rsid w:val="00716B0C"/>
    <w:rsid w:val="00724962"/>
    <w:rsid w:val="00724A0F"/>
    <w:rsid w:val="007261AE"/>
    <w:rsid w:val="00726D2F"/>
    <w:rsid w:val="00727C45"/>
    <w:rsid w:val="00736732"/>
    <w:rsid w:val="00740019"/>
    <w:rsid w:val="00746426"/>
    <w:rsid w:val="00750BF9"/>
    <w:rsid w:val="00750CBE"/>
    <w:rsid w:val="00764D65"/>
    <w:rsid w:val="007650D2"/>
    <w:rsid w:val="00766B5A"/>
    <w:rsid w:val="0076719D"/>
    <w:rsid w:val="00772209"/>
    <w:rsid w:val="00776B36"/>
    <w:rsid w:val="007770A5"/>
    <w:rsid w:val="00782283"/>
    <w:rsid w:val="00782D9F"/>
    <w:rsid w:val="007834F2"/>
    <w:rsid w:val="00787FCB"/>
    <w:rsid w:val="00791020"/>
    <w:rsid w:val="007A04D2"/>
    <w:rsid w:val="007A14B6"/>
    <w:rsid w:val="007A2651"/>
    <w:rsid w:val="007A5F82"/>
    <w:rsid w:val="007C4073"/>
    <w:rsid w:val="007D5F9E"/>
    <w:rsid w:val="007E098F"/>
    <w:rsid w:val="007E3BA2"/>
    <w:rsid w:val="007E3DD4"/>
    <w:rsid w:val="007F05A8"/>
    <w:rsid w:val="007F1A4C"/>
    <w:rsid w:val="007F6A05"/>
    <w:rsid w:val="007F723F"/>
    <w:rsid w:val="008022C3"/>
    <w:rsid w:val="008041E6"/>
    <w:rsid w:val="00805782"/>
    <w:rsid w:val="008065D2"/>
    <w:rsid w:val="00810D81"/>
    <w:rsid w:val="008116D8"/>
    <w:rsid w:val="008124AF"/>
    <w:rsid w:val="008136B4"/>
    <w:rsid w:val="0081491B"/>
    <w:rsid w:val="00815A8A"/>
    <w:rsid w:val="0082194C"/>
    <w:rsid w:val="008222FF"/>
    <w:rsid w:val="008241FF"/>
    <w:rsid w:val="00825341"/>
    <w:rsid w:val="008411E9"/>
    <w:rsid w:val="00841617"/>
    <w:rsid w:val="0084200F"/>
    <w:rsid w:val="00843B2C"/>
    <w:rsid w:val="00844F16"/>
    <w:rsid w:val="0084555A"/>
    <w:rsid w:val="00845CE6"/>
    <w:rsid w:val="00855FF9"/>
    <w:rsid w:val="00857037"/>
    <w:rsid w:val="0086277A"/>
    <w:rsid w:val="008668A8"/>
    <w:rsid w:val="008768AD"/>
    <w:rsid w:val="00880AC4"/>
    <w:rsid w:val="00887319"/>
    <w:rsid w:val="00897447"/>
    <w:rsid w:val="008A39CF"/>
    <w:rsid w:val="008A4900"/>
    <w:rsid w:val="008A55FE"/>
    <w:rsid w:val="008B146D"/>
    <w:rsid w:val="008B1AAE"/>
    <w:rsid w:val="008B3A42"/>
    <w:rsid w:val="008B42AD"/>
    <w:rsid w:val="008B518C"/>
    <w:rsid w:val="008B5666"/>
    <w:rsid w:val="008B7513"/>
    <w:rsid w:val="008C569F"/>
    <w:rsid w:val="008C7FC3"/>
    <w:rsid w:val="008D0281"/>
    <w:rsid w:val="008D512A"/>
    <w:rsid w:val="008D5BA3"/>
    <w:rsid w:val="008E2348"/>
    <w:rsid w:val="008E53BA"/>
    <w:rsid w:val="008E7DD9"/>
    <w:rsid w:val="008F24D0"/>
    <w:rsid w:val="008F3207"/>
    <w:rsid w:val="008F6D45"/>
    <w:rsid w:val="00906F2A"/>
    <w:rsid w:val="0091766A"/>
    <w:rsid w:val="00922944"/>
    <w:rsid w:val="009324A6"/>
    <w:rsid w:val="00936479"/>
    <w:rsid w:val="00937A10"/>
    <w:rsid w:val="0094367B"/>
    <w:rsid w:val="00945885"/>
    <w:rsid w:val="009458FB"/>
    <w:rsid w:val="00951B46"/>
    <w:rsid w:val="00952695"/>
    <w:rsid w:val="00953E44"/>
    <w:rsid w:val="009552BE"/>
    <w:rsid w:val="00966115"/>
    <w:rsid w:val="0097789F"/>
    <w:rsid w:val="009834C0"/>
    <w:rsid w:val="00986AAC"/>
    <w:rsid w:val="00987364"/>
    <w:rsid w:val="00992C21"/>
    <w:rsid w:val="009945B6"/>
    <w:rsid w:val="00995526"/>
    <w:rsid w:val="009A1DA2"/>
    <w:rsid w:val="009A3704"/>
    <w:rsid w:val="009A4739"/>
    <w:rsid w:val="009A674F"/>
    <w:rsid w:val="009A6D22"/>
    <w:rsid w:val="009B199C"/>
    <w:rsid w:val="009B2BA2"/>
    <w:rsid w:val="009B61F1"/>
    <w:rsid w:val="009B62E0"/>
    <w:rsid w:val="009C0719"/>
    <w:rsid w:val="009C11BA"/>
    <w:rsid w:val="009C3D88"/>
    <w:rsid w:val="009D03F8"/>
    <w:rsid w:val="009D159B"/>
    <w:rsid w:val="009D20E7"/>
    <w:rsid w:val="009D3020"/>
    <w:rsid w:val="009D5A7D"/>
    <w:rsid w:val="009E1651"/>
    <w:rsid w:val="009E3858"/>
    <w:rsid w:val="009E467D"/>
    <w:rsid w:val="009E70DD"/>
    <w:rsid w:val="009F12B1"/>
    <w:rsid w:val="009F2ED9"/>
    <w:rsid w:val="009F2FA1"/>
    <w:rsid w:val="009F3231"/>
    <w:rsid w:val="009F4B12"/>
    <w:rsid w:val="009F5C58"/>
    <w:rsid w:val="00A0020F"/>
    <w:rsid w:val="00A0227B"/>
    <w:rsid w:val="00A023A0"/>
    <w:rsid w:val="00A027CB"/>
    <w:rsid w:val="00A05D25"/>
    <w:rsid w:val="00A05EBC"/>
    <w:rsid w:val="00A1562B"/>
    <w:rsid w:val="00A170F4"/>
    <w:rsid w:val="00A21408"/>
    <w:rsid w:val="00A21CFD"/>
    <w:rsid w:val="00A24A37"/>
    <w:rsid w:val="00A25B78"/>
    <w:rsid w:val="00A4537C"/>
    <w:rsid w:val="00A46288"/>
    <w:rsid w:val="00A46BA8"/>
    <w:rsid w:val="00A47634"/>
    <w:rsid w:val="00A541D6"/>
    <w:rsid w:val="00A612FE"/>
    <w:rsid w:val="00A6519E"/>
    <w:rsid w:val="00A70B49"/>
    <w:rsid w:val="00A70BC7"/>
    <w:rsid w:val="00A77C40"/>
    <w:rsid w:val="00A80B7E"/>
    <w:rsid w:val="00A92D94"/>
    <w:rsid w:val="00AA26B8"/>
    <w:rsid w:val="00AB7108"/>
    <w:rsid w:val="00AB718F"/>
    <w:rsid w:val="00AC0B87"/>
    <w:rsid w:val="00AC2624"/>
    <w:rsid w:val="00AC32A8"/>
    <w:rsid w:val="00AD2B4D"/>
    <w:rsid w:val="00AD7E4E"/>
    <w:rsid w:val="00AE10A2"/>
    <w:rsid w:val="00AE4876"/>
    <w:rsid w:val="00AF4D58"/>
    <w:rsid w:val="00AF54DD"/>
    <w:rsid w:val="00AF6666"/>
    <w:rsid w:val="00AF688C"/>
    <w:rsid w:val="00AF7BC5"/>
    <w:rsid w:val="00B00866"/>
    <w:rsid w:val="00B05FB4"/>
    <w:rsid w:val="00B06362"/>
    <w:rsid w:val="00B1269F"/>
    <w:rsid w:val="00B21DAF"/>
    <w:rsid w:val="00B358B1"/>
    <w:rsid w:val="00B470D7"/>
    <w:rsid w:val="00B560C0"/>
    <w:rsid w:val="00B648F3"/>
    <w:rsid w:val="00B7147B"/>
    <w:rsid w:val="00B721A2"/>
    <w:rsid w:val="00B74EE1"/>
    <w:rsid w:val="00B77C5D"/>
    <w:rsid w:val="00B81B44"/>
    <w:rsid w:val="00B872E9"/>
    <w:rsid w:val="00B90087"/>
    <w:rsid w:val="00B9053B"/>
    <w:rsid w:val="00B91EFF"/>
    <w:rsid w:val="00BA0C37"/>
    <w:rsid w:val="00BA300E"/>
    <w:rsid w:val="00BA3782"/>
    <w:rsid w:val="00BB0ED5"/>
    <w:rsid w:val="00BB2F4A"/>
    <w:rsid w:val="00BB4D98"/>
    <w:rsid w:val="00BB4EBF"/>
    <w:rsid w:val="00BB59E0"/>
    <w:rsid w:val="00BC0602"/>
    <w:rsid w:val="00BC3422"/>
    <w:rsid w:val="00BC652E"/>
    <w:rsid w:val="00BC6E19"/>
    <w:rsid w:val="00BD0EAD"/>
    <w:rsid w:val="00BD11C2"/>
    <w:rsid w:val="00BD5018"/>
    <w:rsid w:val="00BE5ADC"/>
    <w:rsid w:val="00BF1028"/>
    <w:rsid w:val="00BF3854"/>
    <w:rsid w:val="00BF4F96"/>
    <w:rsid w:val="00BF5BCD"/>
    <w:rsid w:val="00BF5D20"/>
    <w:rsid w:val="00C015B9"/>
    <w:rsid w:val="00C022F9"/>
    <w:rsid w:val="00C032EA"/>
    <w:rsid w:val="00C0607F"/>
    <w:rsid w:val="00C06EB5"/>
    <w:rsid w:val="00C10860"/>
    <w:rsid w:val="00C1145F"/>
    <w:rsid w:val="00C1166A"/>
    <w:rsid w:val="00C11CD1"/>
    <w:rsid w:val="00C125C1"/>
    <w:rsid w:val="00C12CF7"/>
    <w:rsid w:val="00C230FD"/>
    <w:rsid w:val="00C25D7C"/>
    <w:rsid w:val="00C26641"/>
    <w:rsid w:val="00C32D49"/>
    <w:rsid w:val="00C33AD3"/>
    <w:rsid w:val="00C41193"/>
    <w:rsid w:val="00C41B3C"/>
    <w:rsid w:val="00C427BD"/>
    <w:rsid w:val="00C43F06"/>
    <w:rsid w:val="00C515C1"/>
    <w:rsid w:val="00C51C01"/>
    <w:rsid w:val="00C52D4F"/>
    <w:rsid w:val="00C5410D"/>
    <w:rsid w:val="00C637B6"/>
    <w:rsid w:val="00C637E1"/>
    <w:rsid w:val="00C65AF7"/>
    <w:rsid w:val="00C6707E"/>
    <w:rsid w:val="00C672CA"/>
    <w:rsid w:val="00C67EAC"/>
    <w:rsid w:val="00C70D50"/>
    <w:rsid w:val="00C70DD4"/>
    <w:rsid w:val="00C72252"/>
    <w:rsid w:val="00C82D5A"/>
    <w:rsid w:val="00C86009"/>
    <w:rsid w:val="00C907D7"/>
    <w:rsid w:val="00C909F2"/>
    <w:rsid w:val="00C92338"/>
    <w:rsid w:val="00C954FA"/>
    <w:rsid w:val="00CA05DC"/>
    <w:rsid w:val="00CA6409"/>
    <w:rsid w:val="00CA684F"/>
    <w:rsid w:val="00CA7B47"/>
    <w:rsid w:val="00CB3976"/>
    <w:rsid w:val="00CB44F1"/>
    <w:rsid w:val="00CB4B90"/>
    <w:rsid w:val="00CB5275"/>
    <w:rsid w:val="00CB5FC5"/>
    <w:rsid w:val="00CB60C2"/>
    <w:rsid w:val="00CB6EF2"/>
    <w:rsid w:val="00CD0307"/>
    <w:rsid w:val="00CD3D1B"/>
    <w:rsid w:val="00CD49B7"/>
    <w:rsid w:val="00CE1D2C"/>
    <w:rsid w:val="00CE634B"/>
    <w:rsid w:val="00D02600"/>
    <w:rsid w:val="00D02663"/>
    <w:rsid w:val="00D04E5B"/>
    <w:rsid w:val="00D05488"/>
    <w:rsid w:val="00D0633E"/>
    <w:rsid w:val="00D12E74"/>
    <w:rsid w:val="00D209A2"/>
    <w:rsid w:val="00D2312F"/>
    <w:rsid w:val="00D23B04"/>
    <w:rsid w:val="00D269C1"/>
    <w:rsid w:val="00D34C94"/>
    <w:rsid w:val="00D35A28"/>
    <w:rsid w:val="00D41B2F"/>
    <w:rsid w:val="00D41E08"/>
    <w:rsid w:val="00D44953"/>
    <w:rsid w:val="00D46DDC"/>
    <w:rsid w:val="00D542F3"/>
    <w:rsid w:val="00D54513"/>
    <w:rsid w:val="00D54AAE"/>
    <w:rsid w:val="00D5644B"/>
    <w:rsid w:val="00D56554"/>
    <w:rsid w:val="00D56E25"/>
    <w:rsid w:val="00D57E89"/>
    <w:rsid w:val="00D60AE5"/>
    <w:rsid w:val="00D61BF9"/>
    <w:rsid w:val="00D6560D"/>
    <w:rsid w:val="00D65D77"/>
    <w:rsid w:val="00D70D67"/>
    <w:rsid w:val="00D7189E"/>
    <w:rsid w:val="00D718D7"/>
    <w:rsid w:val="00D72C8C"/>
    <w:rsid w:val="00D775D4"/>
    <w:rsid w:val="00D814B7"/>
    <w:rsid w:val="00D90688"/>
    <w:rsid w:val="00DA3AAD"/>
    <w:rsid w:val="00DA53BD"/>
    <w:rsid w:val="00DA7744"/>
    <w:rsid w:val="00DB1478"/>
    <w:rsid w:val="00DB312B"/>
    <w:rsid w:val="00DC5607"/>
    <w:rsid w:val="00DC5654"/>
    <w:rsid w:val="00DC658F"/>
    <w:rsid w:val="00DC674A"/>
    <w:rsid w:val="00DD2BD9"/>
    <w:rsid w:val="00DE60CC"/>
    <w:rsid w:val="00DF10F3"/>
    <w:rsid w:val="00DF1949"/>
    <w:rsid w:val="00E04AA9"/>
    <w:rsid w:val="00E14767"/>
    <w:rsid w:val="00E153CB"/>
    <w:rsid w:val="00E15DF7"/>
    <w:rsid w:val="00E16138"/>
    <w:rsid w:val="00E17A85"/>
    <w:rsid w:val="00E213A3"/>
    <w:rsid w:val="00E21629"/>
    <w:rsid w:val="00E26B32"/>
    <w:rsid w:val="00E301AE"/>
    <w:rsid w:val="00E31C8A"/>
    <w:rsid w:val="00E31CD4"/>
    <w:rsid w:val="00E31E60"/>
    <w:rsid w:val="00E33E08"/>
    <w:rsid w:val="00E407B6"/>
    <w:rsid w:val="00E41EF1"/>
    <w:rsid w:val="00E42942"/>
    <w:rsid w:val="00E46C33"/>
    <w:rsid w:val="00E63564"/>
    <w:rsid w:val="00E65A0A"/>
    <w:rsid w:val="00E71BDF"/>
    <w:rsid w:val="00E75CCB"/>
    <w:rsid w:val="00E77E60"/>
    <w:rsid w:val="00E8245B"/>
    <w:rsid w:val="00E82C21"/>
    <w:rsid w:val="00E82EA4"/>
    <w:rsid w:val="00E82F59"/>
    <w:rsid w:val="00E83CA7"/>
    <w:rsid w:val="00E8430F"/>
    <w:rsid w:val="00E84641"/>
    <w:rsid w:val="00E87A9D"/>
    <w:rsid w:val="00E87FD0"/>
    <w:rsid w:val="00E92192"/>
    <w:rsid w:val="00E95A71"/>
    <w:rsid w:val="00EA065C"/>
    <w:rsid w:val="00EA60D0"/>
    <w:rsid w:val="00EA768B"/>
    <w:rsid w:val="00EB5877"/>
    <w:rsid w:val="00EB7014"/>
    <w:rsid w:val="00EC2D8E"/>
    <w:rsid w:val="00EC3B41"/>
    <w:rsid w:val="00EC5CDE"/>
    <w:rsid w:val="00ED3077"/>
    <w:rsid w:val="00ED346E"/>
    <w:rsid w:val="00ED487E"/>
    <w:rsid w:val="00ED64F1"/>
    <w:rsid w:val="00EE33A1"/>
    <w:rsid w:val="00EE660B"/>
    <w:rsid w:val="00EE7A0D"/>
    <w:rsid w:val="00F0222C"/>
    <w:rsid w:val="00F02B45"/>
    <w:rsid w:val="00F10F6C"/>
    <w:rsid w:val="00F12312"/>
    <w:rsid w:val="00F17CE1"/>
    <w:rsid w:val="00F2115C"/>
    <w:rsid w:val="00F22ABA"/>
    <w:rsid w:val="00F25F4B"/>
    <w:rsid w:val="00F3034B"/>
    <w:rsid w:val="00F36B12"/>
    <w:rsid w:val="00F417F2"/>
    <w:rsid w:val="00F50154"/>
    <w:rsid w:val="00F60F9F"/>
    <w:rsid w:val="00F61576"/>
    <w:rsid w:val="00F64F08"/>
    <w:rsid w:val="00F70055"/>
    <w:rsid w:val="00F734F5"/>
    <w:rsid w:val="00F737AB"/>
    <w:rsid w:val="00F73B5B"/>
    <w:rsid w:val="00F757E9"/>
    <w:rsid w:val="00F75D87"/>
    <w:rsid w:val="00F7660E"/>
    <w:rsid w:val="00F7721D"/>
    <w:rsid w:val="00F90EA5"/>
    <w:rsid w:val="00F91F5A"/>
    <w:rsid w:val="00F95B8B"/>
    <w:rsid w:val="00F966B1"/>
    <w:rsid w:val="00F96BB4"/>
    <w:rsid w:val="00F97D48"/>
    <w:rsid w:val="00FA0311"/>
    <w:rsid w:val="00FA1489"/>
    <w:rsid w:val="00FA4A82"/>
    <w:rsid w:val="00FB0405"/>
    <w:rsid w:val="00FC3BAC"/>
    <w:rsid w:val="00FD1979"/>
    <w:rsid w:val="00FD475F"/>
    <w:rsid w:val="00FD50F0"/>
    <w:rsid w:val="00FD570E"/>
    <w:rsid w:val="00FD640F"/>
    <w:rsid w:val="00FD6B4C"/>
    <w:rsid w:val="00FE0553"/>
    <w:rsid w:val="00FE25D0"/>
    <w:rsid w:val="00FE6CB3"/>
    <w:rsid w:val="00FE7F92"/>
    <w:rsid w:val="00FF4E99"/>
    <w:rsid w:val="0C678063"/>
    <w:rsid w:val="2A553782"/>
    <w:rsid w:val="39F65D69"/>
    <w:rsid w:val="47E7D42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988C4"/>
  <w15:docId w15:val="{EB97EB1D-9426-49E0-8636-0D77224C5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unhideWhenUsed="1" w:qFormat="1"/>
    <w:lsdException w:name="footnote text" w:semiHidden="1" w:uiPriority="99"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5F00E9"/>
    <w:rPr>
      <w:rFonts w:ascii="VIC" w:eastAsia="Arial" w:hAnsi="VIC"/>
    </w:rPr>
  </w:style>
  <w:style w:type="paragraph" w:styleId="Heading1">
    <w:name w:val="heading 1"/>
    <w:basedOn w:val="Normal"/>
    <w:next w:val="Normalfollowingheading"/>
    <w:link w:val="Heading1Char"/>
    <w:qFormat/>
    <w:rsid w:val="005F00E9"/>
    <w:pPr>
      <w:keepNext/>
      <w:keepLines/>
      <w:framePr w:wrap="around" w:vAnchor="page" w:hAnchor="margin" w:y="1022"/>
      <w:spacing w:before="0" w:after="120" w:line="240" w:lineRule="auto"/>
      <w:outlineLvl w:val="0"/>
    </w:pPr>
    <w:rPr>
      <w:rFonts w:ascii="VIC SemiBold" w:eastAsiaTheme="majorEastAsia" w:hAnsi="VIC SemiBold" w:cstheme="majorBidi"/>
      <w:color w:val="007586" w:themeColor="text2"/>
      <w:spacing w:val="-1"/>
      <w:sz w:val="48"/>
      <w:szCs w:val="28"/>
    </w:rPr>
  </w:style>
  <w:style w:type="paragraph" w:styleId="Heading2">
    <w:name w:val="heading 2"/>
    <w:basedOn w:val="Normal"/>
    <w:next w:val="Normalfollowingheading"/>
    <w:link w:val="Heading2Char"/>
    <w:qFormat/>
    <w:rsid w:val="005F00E9"/>
    <w:pPr>
      <w:keepNext/>
      <w:keepLines/>
      <w:spacing w:before="280" w:after="60" w:line="240" w:lineRule="auto"/>
      <w:outlineLvl w:val="1"/>
    </w:pPr>
    <w:rPr>
      <w:rFonts w:ascii="VIC SemiBold" w:eastAsiaTheme="majorEastAsia" w:hAnsi="VIC SemiBold" w:cstheme="majorBidi"/>
      <w:caps/>
      <w:color w:val="007586" w:themeColor="text2"/>
      <w:sz w:val="24"/>
      <w:szCs w:val="26"/>
    </w:rPr>
  </w:style>
  <w:style w:type="paragraph" w:styleId="Heading3">
    <w:name w:val="heading 3"/>
    <w:basedOn w:val="Normal"/>
    <w:next w:val="Normalfollowingheading"/>
    <w:link w:val="Heading3Char"/>
    <w:qFormat/>
    <w:rsid w:val="000A4E69"/>
    <w:pPr>
      <w:keepNext/>
      <w:keepLines/>
      <w:spacing w:before="240" w:after="50" w:line="240" w:lineRule="auto"/>
      <w:outlineLvl w:val="2"/>
    </w:pPr>
    <w:rPr>
      <w:rFonts w:ascii="VIC SemiBold" w:eastAsiaTheme="majorEastAsia" w:hAnsi="VIC SemiBold" w:cstheme="majorBidi"/>
      <w:color w:val="000000" w:themeColor="text1"/>
      <w:sz w:val="24"/>
      <w:szCs w:val="22"/>
    </w:rPr>
  </w:style>
  <w:style w:type="paragraph" w:styleId="Heading4">
    <w:name w:val="heading 4"/>
    <w:basedOn w:val="Normal"/>
    <w:next w:val="Normalfollowingheading"/>
    <w:link w:val="Heading4Char"/>
    <w:qFormat/>
    <w:rsid w:val="0026028E"/>
    <w:pPr>
      <w:keepNext/>
      <w:keepLines/>
      <w:spacing w:before="320" w:after="70" w:line="240" w:lineRule="auto"/>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9E1651"/>
    <w:pPr>
      <w:spacing w:before="60" w:after="60" w:line="192" w:lineRule="atLeast"/>
    </w:pPr>
    <w:rPr>
      <w:rFonts w:eastAsiaTheme="minorHAnsi"/>
      <w:sz w:val="16"/>
      <w:szCs w:val="21"/>
      <w:lang w:eastAsia="en-US"/>
    </w:rPr>
    <w:tblPr>
      <w:tblStyleColBandSize w:val="1"/>
      <w:tblBorders>
        <w:top w:val="single" w:sz="2" w:space="0" w:color="80808B" w:themeColor="accent5"/>
        <w:bottom w:val="single" w:sz="2" w:space="0" w:color="80808B" w:themeColor="accent5"/>
        <w:insideH w:val="single" w:sz="2" w:space="0" w:color="80808B" w:themeColor="accent5"/>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7586" w:themeColor="text2"/>
        <w:sz w:val="16"/>
      </w:rPr>
      <w:tblPr/>
      <w:tcPr>
        <w:tcBorders>
          <w:top w:val="single" w:sz="2" w:space="0" w:color="EDF5F7" w:themeColor="background2"/>
          <w:left w:val="nil"/>
          <w:bottom w:val="single" w:sz="24" w:space="0" w:color="CCCCD0" w:themeColor="accent6"/>
          <w:right w:val="nil"/>
          <w:insideH w:val="nil"/>
          <w:insideV w:val="nil"/>
          <w:tl2br w:val="nil"/>
          <w:tr2bl w:val="nil"/>
        </w:tcBorders>
        <w:shd w:val="clear" w:color="auto" w:fill="EDF5F7"/>
        <w:tcMar>
          <w:top w:w="80" w:type="dxa"/>
          <w:left w:w="113" w:type="dxa"/>
          <w:bottom w:w="80"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7586"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pPr>
        <w:spacing w:before="0" w:after="0" w:line="240" w:lineRule="auto"/>
      </w:pPr>
      <w:rPr>
        <w:b/>
        <w:bCs/>
        <w:color w:val="FFFFFF" w:themeColor="background1"/>
      </w:rPr>
      <w:tblPr/>
      <w:tcPr>
        <w:shd w:val="clear" w:color="auto" w:fill="4098A4" w:themeFill="accent1"/>
      </w:tcPr>
    </w:tblStylePr>
    <w:tblStylePr w:type="lastRow">
      <w:pPr>
        <w:spacing w:before="0" w:after="0" w:line="240" w:lineRule="auto"/>
      </w:pPr>
      <w:rPr>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tcBorders>
      </w:tcPr>
    </w:tblStylePr>
    <w:tblStylePr w:type="firstCol">
      <w:rPr>
        <w:b/>
        <w:bCs/>
      </w:rPr>
    </w:tblStylePr>
    <w:tblStylePr w:type="lastCol">
      <w:rPr>
        <w:b/>
        <w:bCs/>
      </w:r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style>
  <w:style w:type="paragraph" w:styleId="TOC1">
    <w:name w:val="toc 1"/>
    <w:basedOn w:val="Normal"/>
    <w:next w:val="Normal"/>
    <w:uiPriority w:val="39"/>
    <w:rsid w:val="00ED64F1"/>
    <w:pPr>
      <w:pBdr>
        <w:bottom w:val="single" w:sz="2" w:space="4" w:color="000016"/>
        <w:between w:val="single" w:sz="2" w:space="1" w:color="000000" w:themeColor="text1"/>
      </w:pBdr>
      <w:tabs>
        <w:tab w:val="right" w:pos="10206"/>
      </w:tabs>
      <w:spacing w:before="0" w:after="0"/>
      <w:ind w:right="57"/>
    </w:pPr>
    <w:rPr>
      <w:b/>
      <w:noProof/>
      <w:lang w:eastAsia="en-US"/>
    </w:rPr>
  </w:style>
  <w:style w:type="paragraph" w:styleId="TOC2">
    <w:name w:val="toc 2"/>
    <w:basedOn w:val="Normal"/>
    <w:next w:val="Normal"/>
    <w:uiPriority w:val="39"/>
    <w:rsid w:val="009E1651"/>
    <w:pPr>
      <w:pBdr>
        <w:bottom w:val="single" w:sz="2" w:space="4" w:color="000000" w:themeColor="text1"/>
        <w:between w:val="single" w:sz="2" w:space="0" w:color="000000" w:themeColor="text1"/>
      </w:pBdr>
      <w:tabs>
        <w:tab w:val="left" w:pos="340"/>
        <w:tab w:val="right" w:pos="10206"/>
      </w:tabs>
      <w:spacing w:after="60" w:line="240" w:lineRule="auto"/>
      <w:ind w:right="57"/>
    </w:pPr>
    <w:rPr>
      <w:b/>
      <w:noProof/>
      <w:color w:val="007586" w:themeColor="text2"/>
    </w:rPr>
  </w:style>
  <w:style w:type="paragraph" w:styleId="TOC3">
    <w:name w:val="toc 3"/>
    <w:basedOn w:val="TOC2"/>
    <w:next w:val="Normal"/>
    <w:uiPriority w:val="39"/>
    <w:rsid w:val="009E1651"/>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5B5BF1"/>
    <w:rPr>
      <w:color w:val="007586" w:themeColor="text2"/>
    </w:rPr>
  </w:style>
  <w:style w:type="character" w:customStyle="1" w:styleId="Heading1Char">
    <w:name w:val="Heading 1 Char"/>
    <w:basedOn w:val="DefaultParagraphFont"/>
    <w:link w:val="Heading1"/>
    <w:rsid w:val="005F00E9"/>
    <w:rPr>
      <w:rFonts w:ascii="VIC SemiBold" w:eastAsiaTheme="majorEastAsia" w:hAnsi="VIC SemiBold" w:cstheme="majorBidi"/>
      <w:color w:val="007586" w:themeColor="text2"/>
      <w:spacing w:val="-1"/>
      <w:sz w:val="48"/>
      <w:szCs w:val="28"/>
    </w:rPr>
  </w:style>
  <w:style w:type="character" w:customStyle="1" w:styleId="Heading2Char">
    <w:name w:val="Heading 2 Char"/>
    <w:basedOn w:val="DefaultParagraphFont"/>
    <w:link w:val="Heading2"/>
    <w:rsid w:val="005F00E9"/>
    <w:rPr>
      <w:rFonts w:ascii="VIC SemiBold" w:eastAsiaTheme="majorEastAsia" w:hAnsi="VIC SemiBold" w:cstheme="majorBidi"/>
      <w:caps/>
      <w:color w:val="007586" w:themeColor="text2"/>
      <w:sz w:val="24"/>
      <w:szCs w:val="26"/>
    </w:rPr>
  </w:style>
  <w:style w:type="paragraph" w:customStyle="1" w:styleId="Bullet1">
    <w:name w:val="Bullet 1"/>
    <w:uiPriority w:val="1"/>
    <w:qFormat/>
    <w:rsid w:val="005F00E9"/>
    <w:pPr>
      <w:numPr>
        <w:numId w:val="9"/>
      </w:numPr>
      <w:spacing w:before="60" w:after="60"/>
    </w:pPr>
    <w:rPr>
      <w:rFonts w:ascii="VIC" w:eastAsia="Times New Roman" w:hAnsi="VIC" w:cs="Calibri"/>
      <w:spacing w:val="2"/>
    </w:rPr>
  </w:style>
  <w:style w:type="paragraph" w:customStyle="1" w:styleId="Bullet2">
    <w:name w:val="Bullet 2"/>
    <w:basedOn w:val="Bullet1"/>
    <w:uiPriority w:val="1"/>
    <w:qFormat/>
    <w:rsid w:val="00294A5A"/>
    <w:pPr>
      <w:numPr>
        <w:ilvl w:val="1"/>
      </w:numPr>
    </w:pPr>
  </w:style>
  <w:style w:type="paragraph" w:styleId="Quote">
    <w:name w:val="Quote"/>
    <w:basedOn w:val="Normal"/>
    <w:next w:val="Normal"/>
    <w:link w:val="QuoteChar"/>
    <w:uiPriority w:val="1"/>
    <w:qFormat/>
    <w:rsid w:val="00A05EBC"/>
    <w:pPr>
      <w:ind w:left="567" w:right="567"/>
      <w:jc w:val="center"/>
    </w:pPr>
    <w:rPr>
      <w:i/>
      <w:iCs/>
      <w:color w:val="000000" w:themeColor="text1"/>
    </w:rPr>
  </w:style>
  <w:style w:type="paragraph" w:customStyle="1" w:styleId="Heading1numbered">
    <w:name w:val="Heading 1 numbered"/>
    <w:basedOn w:val="Heading1"/>
    <w:next w:val="NormalIndent"/>
    <w:qFormat/>
    <w:rsid w:val="00BD5018"/>
    <w:pPr>
      <w:framePr w:wrap="around"/>
      <w:numPr>
        <w:numId w:val="10"/>
      </w:numPr>
    </w:pPr>
  </w:style>
  <w:style w:type="paragraph" w:customStyle="1" w:styleId="Heading2numbered">
    <w:name w:val="Heading 2 numbered"/>
    <w:basedOn w:val="Heading2"/>
    <w:next w:val="NormalIndent"/>
    <w:qFormat/>
    <w:rsid w:val="00BD5018"/>
    <w:pPr>
      <w:numPr>
        <w:ilvl w:val="1"/>
        <w:numId w:val="10"/>
      </w:numPr>
    </w:pPr>
  </w:style>
  <w:style w:type="paragraph" w:customStyle="1" w:styleId="Heading3numbered">
    <w:name w:val="Heading 3 numbered"/>
    <w:basedOn w:val="Heading3"/>
    <w:next w:val="NormalIndent"/>
    <w:qFormat/>
    <w:rsid w:val="00BD5018"/>
    <w:pPr>
      <w:numPr>
        <w:ilvl w:val="2"/>
        <w:numId w:val="10"/>
      </w:numPr>
    </w:pPr>
  </w:style>
  <w:style w:type="character" w:customStyle="1" w:styleId="Heading3Char">
    <w:name w:val="Heading 3 Char"/>
    <w:basedOn w:val="DefaultParagraphFont"/>
    <w:link w:val="Heading3"/>
    <w:rsid w:val="000A4E69"/>
    <w:rPr>
      <w:rFonts w:ascii="VIC SemiBold" w:eastAsiaTheme="majorEastAsia" w:hAnsi="VIC SemiBold" w:cstheme="majorBidi"/>
      <w:color w:val="000000" w:themeColor="text1"/>
      <w:sz w:val="24"/>
      <w:szCs w:val="22"/>
    </w:rPr>
  </w:style>
  <w:style w:type="paragraph" w:customStyle="1" w:styleId="Heading4numbered">
    <w:name w:val="Heading 4 numbered"/>
    <w:basedOn w:val="Heading4"/>
    <w:next w:val="NormalIndent"/>
    <w:qFormat/>
    <w:rsid w:val="00BD5018"/>
    <w:pPr>
      <w:numPr>
        <w:ilvl w:val="3"/>
        <w:numId w:val="10"/>
      </w:numPr>
    </w:pPr>
  </w:style>
  <w:style w:type="character" w:customStyle="1" w:styleId="Heading4Char">
    <w:name w:val="Heading 4 Char"/>
    <w:basedOn w:val="DefaultParagraphFont"/>
    <w:link w:val="Heading4"/>
    <w:rsid w:val="00A05EBC"/>
    <w:rPr>
      <w:rFonts w:asciiTheme="majorHAnsi" w:eastAsiaTheme="majorEastAsia" w:hAnsiTheme="majorHAnsi" w:cstheme="majorBidi"/>
      <w:b/>
      <w:bCs/>
      <w:iCs/>
      <w:color w:val="000000" w:themeColor="text1"/>
    </w:rPr>
  </w:style>
  <w:style w:type="paragraph" w:styleId="NormalIndent">
    <w:name w:val="Normal Indent"/>
    <w:basedOn w:val="Normal"/>
    <w:uiPriority w:val="1"/>
    <w:qFormat/>
    <w:rsid w:val="009B62E0"/>
    <w:pPr>
      <w:spacing w:line="252" w:lineRule="auto"/>
      <w:ind w:left="792"/>
    </w:pPr>
  </w:style>
  <w:style w:type="paragraph" w:customStyle="1" w:styleId="NoteNormal">
    <w:name w:val="Note Normal"/>
    <w:basedOn w:val="Normal"/>
    <w:next w:val="Normal"/>
    <w:uiPriority w:val="1"/>
    <w:rsid w:val="00297A47"/>
    <w:pPr>
      <w:spacing w:line="240" w:lineRule="atLeast"/>
      <w:contextualSpacing/>
    </w:pPr>
    <w:rPr>
      <w:sz w:val="16"/>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rsid w:val="005F00E9"/>
    <w:pPr>
      <w:spacing w:before="0" w:after="0" w:line="240" w:lineRule="auto"/>
    </w:pPr>
    <w:rPr>
      <w:rFonts w:ascii="VIC SemiBold" w:eastAsia="Times New Roman" w:hAnsi="VIC SemiBold" w:cstheme="majorHAnsi"/>
      <w:bCs/>
      <w:color w:val="000000" w:themeColor="text1"/>
      <w:sz w:val="40"/>
      <w:szCs w:val="24"/>
    </w:rPr>
  </w:style>
  <w:style w:type="character" w:customStyle="1" w:styleId="SubtitleChar">
    <w:name w:val="Subtitle Char"/>
    <w:basedOn w:val="DefaultParagraphFont"/>
    <w:link w:val="Subtitle"/>
    <w:uiPriority w:val="99"/>
    <w:rsid w:val="005F00E9"/>
    <w:rPr>
      <w:rFonts w:ascii="VIC SemiBold" w:eastAsia="Times New Roman" w:hAnsi="VIC SemiBold" w:cstheme="majorHAnsi"/>
      <w:bCs/>
      <w:color w:val="000000" w:themeColor="text1"/>
      <w:sz w:val="4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rsid w:val="00C5410D"/>
    <w:pPr>
      <w:framePr w:hSpace="5670" w:wrap="around" w:vAnchor="page" w:hAnchor="page" w:x="852" w:y="4310"/>
      <w:spacing w:before="0" w:after="200" w:line="192" w:lineRule="auto"/>
      <w:ind w:right="284"/>
      <w:contextualSpacing/>
      <w:suppressOverlap/>
    </w:pPr>
    <w:rPr>
      <w:rFonts w:ascii="VIC SemiBold" w:eastAsia="Times New Roman" w:hAnsi="VIC SemiBold" w:cstheme="majorHAnsi"/>
      <w:bCs/>
      <w:color w:val="007F92"/>
      <w:spacing w:val="-4"/>
      <w:sz w:val="56"/>
      <w:szCs w:val="56"/>
      <w:lang w:eastAsia="en-US"/>
    </w:rPr>
  </w:style>
  <w:style w:type="character" w:customStyle="1" w:styleId="TitleChar">
    <w:name w:val="Title Char"/>
    <w:basedOn w:val="DefaultParagraphFont"/>
    <w:link w:val="Title"/>
    <w:uiPriority w:val="99"/>
    <w:rsid w:val="00C5410D"/>
    <w:rPr>
      <w:rFonts w:ascii="VIC SemiBold" w:eastAsia="Times New Roman" w:hAnsi="VIC SemiBold" w:cstheme="majorHAnsi"/>
      <w:bCs/>
      <w:color w:val="007F92"/>
      <w:spacing w:val="-4"/>
      <w:sz w:val="56"/>
      <w:szCs w:val="56"/>
      <w:lang w:eastAsia="en-US"/>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rsid w:val="00A05EBC"/>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F25F4B"/>
    <w:pPr>
      <w:pBdr>
        <w:bottom w:val="single" w:sz="24" w:space="1" w:color="CCCCD0" w:themeColor="accent6"/>
      </w:pBdr>
      <w:tabs>
        <w:tab w:val="center" w:pos="4513"/>
        <w:tab w:val="right" w:pos="9026"/>
      </w:tabs>
      <w:spacing w:before="0" w:line="240" w:lineRule="auto"/>
    </w:pPr>
  </w:style>
  <w:style w:type="character" w:customStyle="1" w:styleId="HeaderChar">
    <w:name w:val="Header Char"/>
    <w:basedOn w:val="DefaultParagraphFont"/>
    <w:link w:val="Header"/>
    <w:uiPriority w:val="99"/>
    <w:rsid w:val="00F25F4B"/>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39"/>
    <w:qFormat/>
    <w:rsid w:val="0026028E"/>
    <w:pPr>
      <w:framePr w:vSpace="1418" w:wrap="around"/>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ECEF" w:themeFill="accent1" w:themeFillTint="33"/>
    </w:tcPr>
    <w:tblStylePr w:type="firstRow">
      <w:rPr>
        <w:b/>
        <w:bCs/>
      </w:rPr>
      <w:tblPr/>
      <w:tcPr>
        <w:shd w:val="clear" w:color="auto" w:fill="ADD9DF" w:themeFill="accent1" w:themeFillTint="66"/>
      </w:tcPr>
    </w:tblStylePr>
    <w:tblStylePr w:type="lastRow">
      <w:rPr>
        <w:b/>
        <w:bCs/>
        <w:color w:val="000000" w:themeColor="text1"/>
      </w:rPr>
      <w:tblPr/>
      <w:tcPr>
        <w:shd w:val="clear" w:color="auto" w:fill="ADD9DF" w:themeFill="accent1" w:themeFillTint="66"/>
      </w:tcPr>
    </w:tblStylePr>
    <w:tblStylePr w:type="firstCol">
      <w:rPr>
        <w:color w:val="FFFFFF" w:themeColor="background1"/>
      </w:rPr>
      <w:tblPr/>
      <w:tcPr>
        <w:shd w:val="clear" w:color="auto" w:fill="30717A" w:themeFill="accent1" w:themeFillShade="BF"/>
      </w:tcPr>
    </w:tblStylePr>
    <w:tblStylePr w:type="lastCol">
      <w:rPr>
        <w:color w:val="FFFFFF" w:themeColor="background1"/>
      </w:rPr>
      <w:tblPr/>
      <w:tcPr>
        <w:shd w:val="clear" w:color="auto" w:fill="30717A" w:themeFill="accent1" w:themeFillShade="BF"/>
      </w:tc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paragraph" w:customStyle="1" w:styleId="Tabletext">
    <w:name w:val="Table text"/>
    <w:basedOn w:val="Normal"/>
    <w:uiPriority w:val="2"/>
    <w:qFormat/>
    <w:rsid w:val="005F00E9"/>
    <w:pPr>
      <w:keepNext/>
      <w:keepLines/>
      <w:spacing w:before="60" w:after="60" w:line="192" w:lineRule="atLeast"/>
    </w:pPr>
    <w:rPr>
      <w:rFonts w:eastAsiaTheme="minorHAnsi"/>
      <w:bCs/>
      <w:sz w:val="18"/>
      <w:szCs w:val="22"/>
      <w:lang w:eastAsia="en-US"/>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4A7519"/>
    <w:pPr>
      <w:numPr>
        <w:numId w:val="4"/>
      </w:numPr>
    </w:pPr>
  </w:style>
  <w:style w:type="paragraph" w:customStyle="1" w:styleId="Listnum2">
    <w:name w:val="List num 2"/>
    <w:basedOn w:val="Normal"/>
    <w:uiPriority w:val="1"/>
    <w:qFormat/>
    <w:rsid w:val="004A7519"/>
    <w:pPr>
      <w:numPr>
        <w:ilvl w:val="1"/>
        <w:numId w:val="4"/>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5F00E9"/>
    <w:pPr>
      <w:keepNext/>
      <w:keepLines/>
      <w:spacing w:before="0" w:after="0" w:line="260" w:lineRule="atLeast"/>
    </w:pPr>
    <w:rPr>
      <w:rFonts w:ascii="VIC SemiBold" w:eastAsiaTheme="minorHAnsi" w:hAnsi="VIC SemiBold"/>
      <w:color w:val="007586" w:themeColor="text2"/>
      <w:sz w:val="18"/>
      <w:szCs w:val="22"/>
      <w:lang w:eastAsia="en-US"/>
    </w:rPr>
  </w:style>
  <w:style w:type="paragraph" w:customStyle="1" w:styleId="Tablebullet">
    <w:name w:val="Table bullet"/>
    <w:basedOn w:val="Tabletext"/>
    <w:uiPriority w:val="2"/>
    <w:rsid w:val="00937A10"/>
    <w:pPr>
      <w:numPr>
        <w:numId w:val="5"/>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aliases w:val="List Paragraph1,Recommendation,NFP GP Bulleted List,Bullet table,Body text,Bulletr List Paragraph,Use Case List Paragraph,lp1,Figure_name,Numbered Indented Text,Bullet- First level,List NUmber,Listenabsatz1,List Paragraph11,Style 2,L"/>
    <w:basedOn w:val="Normal"/>
    <w:link w:val="ListParagraphChar"/>
    <w:uiPriority w:val="34"/>
    <w:qFormat/>
    <w:rsid w:val="004231B5"/>
    <w:pPr>
      <w:ind w:left="720"/>
      <w:contextualSpacing/>
    </w:pPr>
  </w:style>
  <w:style w:type="paragraph" w:customStyle="1" w:styleId="Numpara">
    <w:name w:val="Num para"/>
    <w:basedOn w:val="ListParagraph"/>
    <w:uiPriority w:val="1"/>
    <w:qFormat/>
    <w:rsid w:val="00C72252"/>
    <w:pPr>
      <w:numPr>
        <w:numId w:val="7"/>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uiPriority w:val="99"/>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F1F3" w:themeFill="accent2" w:themeFillTint="33"/>
    </w:tcPr>
    <w:tblStylePr w:type="firstRow">
      <w:rPr>
        <w:b/>
        <w:bCs/>
      </w:rPr>
      <w:tblPr/>
      <w:tcPr>
        <w:shd w:val="clear" w:color="auto" w:fill="CCE3E7" w:themeFill="accent2" w:themeFillTint="66"/>
      </w:tcPr>
    </w:tblStylePr>
    <w:tblStylePr w:type="lastRow">
      <w:rPr>
        <w:b/>
        <w:bCs/>
        <w:color w:val="000000" w:themeColor="text1"/>
      </w:rPr>
      <w:tblPr/>
      <w:tcPr>
        <w:shd w:val="clear" w:color="auto" w:fill="CCE3E7" w:themeFill="accent2" w:themeFillTint="66"/>
      </w:tcPr>
    </w:tblStylePr>
    <w:tblStylePr w:type="firstCol">
      <w:rPr>
        <w:color w:val="FFFFFF" w:themeColor="background1"/>
      </w:rPr>
      <w:tblPr/>
      <w:tcPr>
        <w:shd w:val="clear" w:color="auto" w:fill="4D98A4" w:themeFill="accent2" w:themeFillShade="BF"/>
      </w:tcPr>
    </w:tblStylePr>
    <w:tblStylePr w:type="lastCol">
      <w:rPr>
        <w:color w:val="FFFFFF" w:themeColor="background1"/>
      </w:rPr>
      <w:tblPr/>
      <w:tcPr>
        <w:shd w:val="clear" w:color="auto" w:fill="4D98A4" w:themeFill="accent2" w:themeFillShade="BF"/>
      </w:tc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8F9" w:themeFill="accent3" w:themeFillTint="33"/>
    </w:tcPr>
    <w:tblStylePr w:type="firstRow">
      <w:rPr>
        <w:b/>
        <w:bCs/>
      </w:rPr>
      <w:tblPr/>
      <w:tcPr>
        <w:shd w:val="clear" w:color="auto" w:fill="E5F1F3" w:themeFill="accent3" w:themeFillTint="66"/>
      </w:tcPr>
    </w:tblStylePr>
    <w:tblStylePr w:type="lastRow">
      <w:rPr>
        <w:b/>
        <w:bCs/>
        <w:color w:val="000000" w:themeColor="text1"/>
      </w:rPr>
      <w:tblPr/>
      <w:tcPr>
        <w:shd w:val="clear" w:color="auto" w:fill="E5F1F3" w:themeFill="accent3" w:themeFillTint="66"/>
      </w:tcPr>
    </w:tblStylePr>
    <w:tblStylePr w:type="firstCol">
      <w:rPr>
        <w:color w:val="FFFFFF" w:themeColor="background1"/>
      </w:rPr>
      <w:tblPr/>
      <w:tcPr>
        <w:shd w:val="clear" w:color="auto" w:fill="77B7BF" w:themeFill="accent3" w:themeFillShade="BF"/>
      </w:tcPr>
    </w:tblStylePr>
    <w:tblStylePr w:type="lastCol">
      <w:rPr>
        <w:color w:val="FFFFFF" w:themeColor="background1"/>
      </w:rPr>
      <w:tblPr/>
      <w:tcPr>
        <w:shd w:val="clear" w:color="auto" w:fill="77B7BF" w:themeFill="accent3" w:themeFillShade="BF"/>
      </w:tc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paragraph" w:customStyle="1" w:styleId="Tablenum1">
    <w:name w:val="Table num 1"/>
    <w:basedOn w:val="Normal"/>
    <w:uiPriority w:val="2"/>
    <w:rsid w:val="007F723F"/>
    <w:pPr>
      <w:numPr>
        <w:ilvl w:val="2"/>
        <w:numId w:val="5"/>
      </w:numPr>
      <w:spacing w:before="60" w:after="60"/>
    </w:pPr>
    <w:rPr>
      <w:sz w:val="17"/>
    </w:rPr>
  </w:style>
  <w:style w:type="paragraph" w:customStyle="1" w:styleId="Tablenum2">
    <w:name w:val="Table num 2"/>
    <w:basedOn w:val="Normal"/>
    <w:uiPriority w:val="2"/>
    <w:rsid w:val="007F723F"/>
    <w:pPr>
      <w:numPr>
        <w:ilvl w:val="3"/>
        <w:numId w:val="5"/>
      </w:numPr>
      <w:spacing w:before="60" w:after="60"/>
    </w:pPr>
    <w:rPr>
      <w:sz w:val="17"/>
    </w:rPr>
  </w:style>
  <w:style w:type="paragraph" w:styleId="Caption">
    <w:name w:val="caption"/>
    <w:basedOn w:val="Normal"/>
    <w:next w:val="Normal"/>
    <w:uiPriority w:val="1"/>
    <w:rsid w:val="00A92D94"/>
    <w:pPr>
      <w:spacing w:before="280" w:after="210" w:line="260" w:lineRule="atLeast"/>
    </w:pPr>
    <w:rPr>
      <w:b/>
      <w:bCs/>
      <w:color w:val="007586" w:themeColor="text2"/>
      <w:szCs w:val="18"/>
    </w:rPr>
  </w:style>
  <w:style w:type="paragraph" w:customStyle="1" w:styleId="Tablechartdiagramheading">
    <w:name w:val="Table/chart/diagram heading"/>
    <w:next w:val="Normal"/>
    <w:uiPriority w:val="2"/>
    <w:qFormat/>
    <w:rsid w:val="006641A7"/>
    <w:pPr>
      <w:tabs>
        <w:tab w:val="left" w:pos="1080"/>
      </w:tabs>
      <w:spacing w:before="280" w:after="210" w:line="260" w:lineRule="atLeast"/>
    </w:pPr>
    <w:rPr>
      <w:rFonts w:ascii="VIC SemiBold" w:eastAsia="Times New Roman" w:hAnsi="VIC SemiBold"/>
      <w:color w:val="007586" w:themeColor="text2"/>
      <w:spacing w:val="2"/>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0A4E69"/>
    <w:pPr>
      <w:spacing w:before="280" w:after="60"/>
    </w:pPr>
    <w:rPr>
      <w:rFonts w:ascii="VIC Medium" w:hAnsi="VIC Medium"/>
      <w:bCs/>
      <w:color w:val="007586" w:themeColor="text2"/>
      <w:sz w:val="22"/>
      <w:szCs w:val="22"/>
    </w:rPr>
  </w:style>
  <w:style w:type="paragraph" w:styleId="NoSpacing">
    <w:name w:val="No Spacing"/>
    <w:uiPriority w:val="1"/>
    <w:qFormat/>
    <w:rsid w:val="00294A5A"/>
    <w:pPr>
      <w:spacing w:before="0" w:after="0" w:line="240" w:lineRule="auto"/>
    </w:pPr>
  </w:style>
  <w:style w:type="paragraph" w:customStyle="1" w:styleId="Normalfollowingheading">
    <w:name w:val="Normal following heading"/>
    <w:basedOn w:val="Normal"/>
    <w:next w:val="Normal"/>
    <w:uiPriority w:val="1"/>
    <w:qFormat/>
    <w:rsid w:val="00294A5A"/>
    <w:pPr>
      <w:spacing w:before="0"/>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5F7" w:themeFill="accen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7EB" w:themeFill="accent1" w:themeFillTint="3F"/>
      </w:tcPr>
    </w:tblStylePr>
    <w:tblStylePr w:type="band1Horz">
      <w:tblPr/>
      <w:tcPr>
        <w:shd w:val="clear" w:color="auto" w:fill="D6ECEF"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8F9" w:themeFill="accent2"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DF0" w:themeFill="accent2" w:themeFillTint="3F"/>
      </w:tcPr>
    </w:tblStylePr>
    <w:tblStylePr w:type="band1Horz">
      <w:tblPr/>
      <w:tcPr>
        <w:shd w:val="clear" w:color="auto" w:fill="E5F1F3"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6F7" w:themeFill="accent3" w:themeFillTint="3F"/>
      </w:tcPr>
    </w:tblStylePr>
    <w:tblStylePr w:type="band1Horz">
      <w:tblPr/>
      <w:tcPr>
        <w:shd w:val="clear" w:color="auto" w:fill="F2F8F9"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6BEC6" w:themeFill="accent3" w:themeFillShade="CC"/>
      </w:tcPr>
    </w:tblStylePr>
    <w:tblStylePr w:type="lastRow">
      <w:rPr>
        <w:b/>
        <w:bCs/>
        <w:color w:val="86BEC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4098A4" w:themeColor="accent1"/>
        <w:bottom w:val="single" w:sz="4" w:space="0" w:color="4098A4" w:themeColor="accent1"/>
        <w:right w:val="single" w:sz="4" w:space="0" w:color="4098A4" w:themeColor="accent1"/>
        <w:insideH w:val="single" w:sz="4" w:space="0" w:color="FFFFFF" w:themeColor="background1"/>
        <w:insideV w:val="single" w:sz="4" w:space="0" w:color="FFFFFF" w:themeColor="background1"/>
      </w:tblBorders>
    </w:tblPr>
    <w:tcPr>
      <w:shd w:val="clear" w:color="auto" w:fill="EBF5F7" w:themeFill="accen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A62" w:themeFill="accent1" w:themeFillShade="99"/>
      </w:tcPr>
    </w:tblStylePr>
    <w:tblStylePr w:type="firstCol">
      <w:rPr>
        <w:color w:val="FFFFFF" w:themeColor="background1"/>
      </w:rPr>
      <w:tblPr/>
      <w:tcPr>
        <w:tcBorders>
          <w:top w:val="nil"/>
          <w:left w:val="nil"/>
          <w:bottom w:val="nil"/>
          <w:right w:val="nil"/>
          <w:insideH w:val="single" w:sz="4" w:space="0" w:color="265A62" w:themeColor="accent1" w:themeShade="99"/>
          <w:insideV w:val="nil"/>
        </w:tcBorders>
        <w:shd w:val="clear" w:color="auto" w:fill="265A6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A62" w:themeFill="accent1" w:themeFillShade="99"/>
      </w:tcPr>
    </w:tblStylePr>
    <w:tblStylePr w:type="band1Vert">
      <w:tblPr/>
      <w:tcPr>
        <w:shd w:val="clear" w:color="auto" w:fill="ADD9DF" w:themeFill="accent1" w:themeFillTint="66"/>
      </w:tcPr>
    </w:tblStylePr>
    <w:tblStylePr w:type="band1Horz">
      <w:tblPr/>
      <w:tcPr>
        <w:shd w:val="clear" w:color="auto" w:fill="99D0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80BAC3" w:themeColor="accent2"/>
        <w:bottom w:val="single" w:sz="4" w:space="0" w:color="80BAC3" w:themeColor="accent2"/>
        <w:right w:val="single" w:sz="4" w:space="0" w:color="80BAC3" w:themeColor="accent2"/>
        <w:insideH w:val="single" w:sz="4" w:space="0" w:color="FFFFFF" w:themeColor="background1"/>
        <w:insideV w:val="single" w:sz="4" w:space="0" w:color="FFFFFF" w:themeColor="background1"/>
      </w:tblBorders>
    </w:tblPr>
    <w:tcPr>
      <w:shd w:val="clear" w:color="auto" w:fill="F2F8F9" w:themeFill="accent2"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983" w:themeFill="accent2" w:themeFillShade="99"/>
      </w:tcPr>
    </w:tblStylePr>
    <w:tblStylePr w:type="firstCol">
      <w:rPr>
        <w:color w:val="FFFFFF" w:themeColor="background1"/>
      </w:rPr>
      <w:tblPr/>
      <w:tcPr>
        <w:tcBorders>
          <w:top w:val="nil"/>
          <w:left w:val="nil"/>
          <w:bottom w:val="nil"/>
          <w:right w:val="nil"/>
          <w:insideH w:val="single" w:sz="4" w:space="0" w:color="3E7983" w:themeColor="accent2" w:themeShade="99"/>
          <w:insideV w:val="nil"/>
        </w:tcBorders>
        <w:shd w:val="clear" w:color="auto" w:fill="3E798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7983" w:themeFill="accent2" w:themeFillShade="99"/>
      </w:tcPr>
    </w:tblStylePr>
    <w:tblStylePr w:type="band1Vert">
      <w:tblPr/>
      <w:tcPr>
        <w:shd w:val="clear" w:color="auto" w:fill="CCE3E7" w:themeFill="accent2" w:themeFillTint="66"/>
      </w:tcPr>
    </w:tblStylePr>
    <w:tblStylePr w:type="band1Horz">
      <w:tblPr/>
      <w:tcPr>
        <w:shd w:val="clear" w:color="auto" w:fill="BFDCE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DE1" w:themeColor="accent3"/>
        <w:bottom w:val="single" w:sz="4" w:space="0" w:color="BFDDE1" w:themeColor="accent3"/>
        <w:right w:val="single" w:sz="4" w:space="0" w:color="BFDDE1"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9FA9" w:themeFill="accent3" w:themeFillShade="99"/>
      </w:tcPr>
    </w:tblStylePr>
    <w:tblStylePr w:type="firstCol">
      <w:rPr>
        <w:color w:val="FFFFFF" w:themeColor="background1"/>
      </w:rPr>
      <w:tblPr/>
      <w:tcPr>
        <w:tcBorders>
          <w:top w:val="nil"/>
          <w:left w:val="nil"/>
          <w:bottom w:val="nil"/>
          <w:right w:val="nil"/>
          <w:insideH w:val="single" w:sz="4" w:space="0" w:color="4F9FA9" w:themeColor="accent3" w:themeShade="99"/>
          <w:insideV w:val="nil"/>
        </w:tcBorders>
        <w:shd w:val="clear" w:color="auto" w:fill="4F9FA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9FA9" w:themeFill="accent3" w:themeFillShade="99"/>
      </w:tcPr>
    </w:tblStylePr>
    <w:tblStylePr w:type="band1Vert">
      <w:tblPr/>
      <w:tcPr>
        <w:shd w:val="clear" w:color="auto" w:fill="E5F1F3" w:themeFill="accent3" w:themeFillTint="66"/>
      </w:tcPr>
    </w:tblStylePr>
    <w:tblStylePr w:type="band1Horz">
      <w:tblPr/>
      <w:tcPr>
        <w:shd w:val="clear" w:color="auto" w:fill="DFEEF0"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DE1"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98A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B5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717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717A" w:themeFill="accent1" w:themeFillShade="BF"/>
      </w:tcPr>
    </w:tblStylePr>
    <w:tblStylePr w:type="band1Vert">
      <w:tblPr/>
      <w:tcPr>
        <w:tcBorders>
          <w:top w:val="nil"/>
          <w:left w:val="nil"/>
          <w:bottom w:val="nil"/>
          <w:right w:val="nil"/>
          <w:insideH w:val="nil"/>
          <w:insideV w:val="nil"/>
        </w:tcBorders>
        <w:shd w:val="clear" w:color="auto" w:fill="30717A" w:themeFill="accent1" w:themeFillShade="BF"/>
      </w:tcPr>
    </w:tblStylePr>
    <w:tblStylePr w:type="band1Horz">
      <w:tblPr/>
      <w:tcPr>
        <w:tcBorders>
          <w:top w:val="nil"/>
          <w:left w:val="nil"/>
          <w:bottom w:val="nil"/>
          <w:right w:val="nil"/>
          <w:insideH w:val="nil"/>
          <w:insideV w:val="nil"/>
        </w:tcBorders>
        <w:shd w:val="clear" w:color="auto" w:fill="30717A"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AC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656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D98A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D98A4" w:themeFill="accent2" w:themeFillShade="BF"/>
      </w:tcPr>
    </w:tblStylePr>
    <w:tblStylePr w:type="band1Vert">
      <w:tblPr/>
      <w:tcPr>
        <w:tcBorders>
          <w:top w:val="nil"/>
          <w:left w:val="nil"/>
          <w:bottom w:val="nil"/>
          <w:right w:val="nil"/>
          <w:insideH w:val="nil"/>
          <w:insideV w:val="nil"/>
        </w:tcBorders>
        <w:shd w:val="clear" w:color="auto" w:fill="4D98A4" w:themeFill="accent2" w:themeFillShade="BF"/>
      </w:tcPr>
    </w:tblStylePr>
    <w:tblStylePr w:type="band1Horz">
      <w:tblPr/>
      <w:tcPr>
        <w:tcBorders>
          <w:top w:val="nil"/>
          <w:left w:val="nil"/>
          <w:bottom w:val="nil"/>
          <w:right w:val="nil"/>
          <w:insideH w:val="nil"/>
          <w:insideV w:val="nil"/>
        </w:tcBorders>
        <w:shd w:val="clear" w:color="auto" w:fill="4D98A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DE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848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7B7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7B7BF" w:themeFill="accent3" w:themeFillShade="BF"/>
      </w:tcPr>
    </w:tblStylePr>
    <w:tblStylePr w:type="band1Vert">
      <w:tblPr/>
      <w:tcPr>
        <w:tcBorders>
          <w:top w:val="nil"/>
          <w:left w:val="nil"/>
          <w:bottom w:val="nil"/>
          <w:right w:val="nil"/>
          <w:insideH w:val="nil"/>
          <w:insideV w:val="nil"/>
        </w:tcBorders>
        <w:shd w:val="clear" w:color="auto" w:fill="77B7BF" w:themeFill="accent3" w:themeFillShade="BF"/>
      </w:tcPr>
    </w:tblStylePr>
    <w:tblStylePr w:type="band1Horz">
      <w:tblPr/>
      <w:tcPr>
        <w:tcBorders>
          <w:top w:val="nil"/>
          <w:left w:val="nil"/>
          <w:bottom w:val="nil"/>
          <w:right w:val="nil"/>
          <w:insideH w:val="nil"/>
          <w:insideV w:val="nil"/>
        </w:tcBorders>
        <w:shd w:val="clear" w:color="auto" w:fill="77B7BF"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ADD9DF" w:themeColor="accent1" w:themeTint="66"/>
        <w:left w:val="single" w:sz="4" w:space="0" w:color="ADD9DF" w:themeColor="accent1" w:themeTint="66"/>
        <w:bottom w:val="single" w:sz="4" w:space="0" w:color="ADD9DF" w:themeColor="accent1" w:themeTint="66"/>
        <w:right w:val="single" w:sz="4" w:space="0" w:color="ADD9DF" w:themeColor="accent1" w:themeTint="66"/>
        <w:insideH w:val="single" w:sz="4" w:space="0" w:color="ADD9DF" w:themeColor="accent1" w:themeTint="66"/>
        <w:insideV w:val="single" w:sz="4" w:space="0" w:color="ADD9DF" w:themeColor="accent1" w:themeTint="66"/>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2" w:space="0" w:color="85C6C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CCE3E7" w:themeColor="accent2" w:themeTint="66"/>
        <w:left w:val="single" w:sz="4" w:space="0" w:color="CCE3E7" w:themeColor="accent2" w:themeTint="66"/>
        <w:bottom w:val="single" w:sz="4" w:space="0" w:color="CCE3E7" w:themeColor="accent2" w:themeTint="66"/>
        <w:right w:val="single" w:sz="4" w:space="0" w:color="CCE3E7" w:themeColor="accent2" w:themeTint="66"/>
        <w:insideH w:val="single" w:sz="4" w:space="0" w:color="CCE3E7" w:themeColor="accent2" w:themeTint="66"/>
        <w:insideV w:val="single" w:sz="4" w:space="0" w:color="CCE3E7" w:themeColor="accent2" w:themeTint="66"/>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2" w:space="0" w:color="B2D5D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E5F1F3" w:themeColor="accent3" w:themeTint="66"/>
        <w:left w:val="single" w:sz="4" w:space="0" w:color="E5F1F3" w:themeColor="accent3" w:themeTint="66"/>
        <w:bottom w:val="single" w:sz="4" w:space="0" w:color="E5F1F3" w:themeColor="accent3" w:themeTint="66"/>
        <w:right w:val="single" w:sz="4" w:space="0" w:color="E5F1F3" w:themeColor="accent3" w:themeTint="66"/>
        <w:insideH w:val="single" w:sz="4" w:space="0" w:color="E5F1F3" w:themeColor="accent3" w:themeTint="66"/>
        <w:insideV w:val="single" w:sz="4" w:space="0" w:color="E5F1F3" w:themeColor="accent3" w:themeTint="66"/>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2" w:space="0" w:color="D8EAE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85C6CF" w:themeColor="accent1" w:themeTint="99"/>
        <w:bottom w:val="single" w:sz="2" w:space="0" w:color="85C6CF" w:themeColor="accent1" w:themeTint="99"/>
        <w:insideH w:val="single" w:sz="2" w:space="0" w:color="85C6CF" w:themeColor="accent1" w:themeTint="99"/>
        <w:insideV w:val="single" w:sz="2" w:space="0" w:color="85C6CF" w:themeColor="accent1" w:themeTint="99"/>
      </w:tblBorders>
    </w:tblPr>
    <w:tblStylePr w:type="firstRow">
      <w:rPr>
        <w:b/>
        <w:bCs/>
      </w:rPr>
      <w:tblPr/>
      <w:tcPr>
        <w:tcBorders>
          <w:top w:val="nil"/>
          <w:bottom w:val="single" w:sz="12" w:space="0" w:color="85C6CF" w:themeColor="accent1" w:themeTint="99"/>
          <w:insideH w:val="nil"/>
          <w:insideV w:val="nil"/>
        </w:tcBorders>
        <w:shd w:val="clear" w:color="auto" w:fill="FFFFFF" w:themeFill="background1"/>
      </w:tcPr>
    </w:tblStylePr>
    <w:tblStylePr w:type="lastRow">
      <w:rPr>
        <w:b/>
        <w:bCs/>
      </w:rPr>
      <w:tblPr/>
      <w:tcPr>
        <w:tcBorders>
          <w:top w:val="double" w:sz="2" w:space="0" w:color="85C6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B2D5DB" w:themeColor="accent2" w:themeTint="99"/>
        <w:bottom w:val="single" w:sz="2" w:space="0" w:color="B2D5DB" w:themeColor="accent2" w:themeTint="99"/>
        <w:insideH w:val="single" w:sz="2" w:space="0" w:color="B2D5DB" w:themeColor="accent2" w:themeTint="99"/>
        <w:insideV w:val="single" w:sz="2" w:space="0" w:color="B2D5DB" w:themeColor="accent2" w:themeTint="99"/>
      </w:tblBorders>
    </w:tblPr>
    <w:tblStylePr w:type="firstRow">
      <w:rPr>
        <w:b/>
        <w:bCs/>
      </w:rPr>
      <w:tblPr/>
      <w:tcPr>
        <w:tcBorders>
          <w:top w:val="nil"/>
          <w:bottom w:val="single" w:sz="12" w:space="0" w:color="B2D5DB" w:themeColor="accent2" w:themeTint="99"/>
          <w:insideH w:val="nil"/>
          <w:insideV w:val="nil"/>
        </w:tcBorders>
        <w:shd w:val="clear" w:color="auto" w:fill="FFFFFF" w:themeFill="background1"/>
      </w:tcPr>
    </w:tblStylePr>
    <w:tblStylePr w:type="lastRow">
      <w:rPr>
        <w:b/>
        <w:bCs/>
      </w:rPr>
      <w:tblPr/>
      <w:tcPr>
        <w:tcBorders>
          <w:top w:val="double" w:sz="2" w:space="0" w:color="B2D5D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D8EAED" w:themeColor="accent3" w:themeTint="99"/>
        <w:bottom w:val="single" w:sz="2" w:space="0" w:color="D8EAED" w:themeColor="accent3" w:themeTint="99"/>
        <w:insideH w:val="single" w:sz="2" w:space="0" w:color="D8EAED" w:themeColor="accent3" w:themeTint="99"/>
        <w:insideV w:val="single" w:sz="2" w:space="0" w:color="D8EAED" w:themeColor="accent3" w:themeTint="99"/>
      </w:tblBorders>
    </w:tblPr>
    <w:tblStylePr w:type="firstRow">
      <w:rPr>
        <w:b/>
        <w:bCs/>
      </w:rPr>
      <w:tblPr/>
      <w:tcPr>
        <w:tcBorders>
          <w:top w:val="nil"/>
          <w:bottom w:val="single" w:sz="12" w:space="0" w:color="D8EAED" w:themeColor="accent3" w:themeTint="99"/>
          <w:insideH w:val="nil"/>
          <w:insideV w:val="nil"/>
        </w:tcBorders>
        <w:shd w:val="clear" w:color="auto" w:fill="FFFFFF" w:themeFill="background1"/>
      </w:tcPr>
    </w:tblStylePr>
    <w:tblStylePr w:type="lastRow">
      <w:rPr>
        <w:b/>
        <w:bCs/>
      </w:rPr>
      <w:tblPr/>
      <w:tcPr>
        <w:tcBorders>
          <w:top w:val="double" w:sz="2" w:space="0" w:color="D8EA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insideV w:val="nil"/>
        </w:tcBorders>
        <w:shd w:val="clear" w:color="auto" w:fill="4098A4" w:themeFill="accent1"/>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insideV w:val="nil"/>
        </w:tcBorders>
        <w:shd w:val="clear" w:color="auto" w:fill="80BAC3" w:themeFill="accent2"/>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insideV w:val="nil"/>
        </w:tcBorders>
        <w:shd w:val="clear" w:color="auto" w:fill="BFDDE1" w:themeFill="accent3"/>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C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98A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98A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98A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98A4" w:themeFill="accent1"/>
      </w:tcPr>
    </w:tblStylePr>
    <w:tblStylePr w:type="band1Vert">
      <w:tblPr/>
      <w:tcPr>
        <w:shd w:val="clear" w:color="auto" w:fill="ADD9DF" w:themeFill="accent1" w:themeFillTint="66"/>
      </w:tcPr>
    </w:tblStylePr>
    <w:tblStylePr w:type="band1Horz">
      <w:tblPr/>
      <w:tcPr>
        <w:shd w:val="clear" w:color="auto" w:fill="ADD9DF"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1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AC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AC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AC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AC3" w:themeFill="accent2"/>
      </w:tcPr>
    </w:tblStylePr>
    <w:tblStylePr w:type="band1Vert">
      <w:tblPr/>
      <w:tcPr>
        <w:shd w:val="clear" w:color="auto" w:fill="CCE3E7" w:themeFill="accent2" w:themeFillTint="66"/>
      </w:tcPr>
    </w:tblStylePr>
    <w:tblStylePr w:type="band1Horz">
      <w:tblPr/>
      <w:tcPr>
        <w:shd w:val="clear" w:color="auto" w:fill="CCE3E7"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8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D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D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D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DE1" w:themeFill="accent3"/>
      </w:tcPr>
    </w:tblStylePr>
    <w:tblStylePr w:type="band1Vert">
      <w:tblPr/>
      <w:tcPr>
        <w:shd w:val="clear" w:color="auto" w:fill="E5F1F3" w:themeFill="accent3" w:themeFillTint="66"/>
      </w:tcPr>
    </w:tblStylePr>
    <w:tblStylePr w:type="band1Horz">
      <w:tblPr/>
      <w:tcPr>
        <w:shd w:val="clear" w:color="auto" w:fill="E5F1F3"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18" w:space="0" w:color="4098A4" w:themeColor="accent1"/>
          <w:right w:val="single" w:sz="8" w:space="0" w:color="4098A4" w:themeColor="accent1"/>
          <w:insideH w:val="nil"/>
          <w:insideV w:val="single" w:sz="8" w:space="0" w:color="4098A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insideH w:val="nil"/>
          <w:insideV w:val="single" w:sz="8" w:space="0" w:color="4098A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shd w:val="clear" w:color="auto" w:fill="CCE7EB" w:themeFill="accent1" w:themeFillTint="3F"/>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shd w:val="clear" w:color="auto" w:fill="CCE7EB" w:themeFill="accent1" w:themeFillTint="3F"/>
      </w:tcPr>
    </w:tblStylePr>
    <w:tblStylePr w:type="band2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18" w:space="0" w:color="80BAC3" w:themeColor="accent2"/>
          <w:right w:val="single" w:sz="8" w:space="0" w:color="80BAC3" w:themeColor="accent2"/>
          <w:insideH w:val="nil"/>
          <w:insideV w:val="single" w:sz="8" w:space="0" w:color="80BAC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insideH w:val="nil"/>
          <w:insideV w:val="single" w:sz="8" w:space="0" w:color="80BAC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shd w:val="clear" w:color="auto" w:fill="DFEDF0" w:themeFill="accent2" w:themeFillTint="3F"/>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shd w:val="clear" w:color="auto" w:fill="DFEDF0" w:themeFill="accent2" w:themeFillTint="3F"/>
      </w:tcPr>
    </w:tblStylePr>
    <w:tblStylePr w:type="band2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18" w:space="0" w:color="BFDDE1" w:themeColor="accent3"/>
          <w:right w:val="single" w:sz="8" w:space="0" w:color="BFDDE1" w:themeColor="accent3"/>
          <w:insideH w:val="nil"/>
          <w:insideV w:val="single" w:sz="8" w:space="0" w:color="BFDDE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insideH w:val="nil"/>
          <w:insideV w:val="single" w:sz="8" w:space="0" w:color="BFDDE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shd w:val="clear" w:color="auto" w:fill="EFF6F7" w:themeFill="accent3" w:themeFillTint="3F"/>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shd w:val="clear" w:color="auto" w:fill="EFF6F7" w:themeFill="accent3" w:themeFillTint="3F"/>
      </w:tcPr>
    </w:tblStylePr>
    <w:tblStylePr w:type="band2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pPr>
        <w:spacing w:before="0" w:after="0" w:line="240" w:lineRule="auto"/>
      </w:pPr>
      <w:rPr>
        <w:b/>
        <w:bCs/>
        <w:color w:val="FFFFFF" w:themeColor="background1"/>
      </w:rPr>
      <w:tblPr/>
      <w:tcPr>
        <w:shd w:val="clear" w:color="auto" w:fill="80BAC3" w:themeFill="accent2"/>
      </w:tcPr>
    </w:tblStylePr>
    <w:tblStylePr w:type="lastRow">
      <w:pPr>
        <w:spacing w:before="0" w:after="0" w:line="240" w:lineRule="auto"/>
      </w:pPr>
      <w:rPr>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tcBorders>
      </w:tcPr>
    </w:tblStylePr>
    <w:tblStylePr w:type="firstCol">
      <w:rPr>
        <w:b/>
        <w:bCs/>
      </w:rPr>
    </w:tblStylePr>
    <w:tblStylePr w:type="lastCol">
      <w:rPr>
        <w:b/>
        <w:bCs/>
      </w:r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pPr>
        <w:spacing w:before="0" w:after="0" w:line="240" w:lineRule="auto"/>
      </w:pPr>
      <w:rPr>
        <w:b/>
        <w:bCs/>
        <w:color w:val="FFFFFF" w:themeColor="background1"/>
      </w:rPr>
      <w:tblPr/>
      <w:tcPr>
        <w:shd w:val="clear" w:color="auto" w:fill="BFDDE1" w:themeFill="accent3"/>
      </w:tcPr>
    </w:tblStylePr>
    <w:tblStylePr w:type="lastRow">
      <w:pPr>
        <w:spacing w:before="0" w:after="0" w:line="240" w:lineRule="auto"/>
      </w:pPr>
      <w:rPr>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tcBorders>
      </w:tcPr>
    </w:tblStylePr>
    <w:tblStylePr w:type="firstCol">
      <w:rPr>
        <w:b/>
        <w:bCs/>
      </w:rPr>
    </w:tblStylePr>
    <w:tblStylePr w:type="lastCol">
      <w:rPr>
        <w:b/>
        <w:bCs/>
      </w:r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717A" w:themeColor="accent1" w:themeShade="BF"/>
    </w:rPr>
    <w:tblPr>
      <w:tblStyleRowBandSize w:val="1"/>
      <w:tblStyleColBandSize w:val="1"/>
      <w:tblBorders>
        <w:top w:val="single" w:sz="8" w:space="0" w:color="4098A4" w:themeColor="accent1"/>
        <w:bottom w:val="single" w:sz="8" w:space="0" w:color="4098A4" w:themeColor="accent1"/>
      </w:tblBorders>
    </w:tblPr>
    <w:tblStylePr w:type="fir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la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left w:val="nil"/>
          <w:right w:val="nil"/>
          <w:insideH w:val="nil"/>
          <w:insideV w:val="nil"/>
        </w:tcBorders>
        <w:shd w:val="clear" w:color="auto" w:fill="CCE7EB"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D98A4" w:themeColor="accent2" w:themeShade="BF"/>
    </w:rPr>
    <w:tblPr>
      <w:tblStyleRowBandSize w:val="1"/>
      <w:tblStyleColBandSize w:val="1"/>
      <w:tblBorders>
        <w:top w:val="single" w:sz="8" w:space="0" w:color="80BAC3" w:themeColor="accent2"/>
        <w:bottom w:val="single" w:sz="8" w:space="0" w:color="80BAC3" w:themeColor="accent2"/>
      </w:tblBorders>
    </w:tblPr>
    <w:tblStylePr w:type="fir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la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left w:val="nil"/>
          <w:right w:val="nil"/>
          <w:insideH w:val="nil"/>
          <w:insideV w:val="nil"/>
        </w:tcBorders>
        <w:shd w:val="clear" w:color="auto" w:fill="DFEDF0"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7B7BF" w:themeColor="accent3" w:themeShade="BF"/>
    </w:rPr>
    <w:tblPr>
      <w:tblStyleRowBandSize w:val="1"/>
      <w:tblStyleColBandSize w:val="1"/>
      <w:tblBorders>
        <w:top w:val="single" w:sz="8" w:space="0" w:color="BFDDE1" w:themeColor="accent3"/>
        <w:bottom w:val="single" w:sz="8" w:space="0" w:color="BFDDE1" w:themeColor="accent3"/>
      </w:tblBorders>
    </w:tblPr>
    <w:tblStylePr w:type="fir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la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left w:val="nil"/>
          <w:right w:val="nil"/>
          <w:insideH w:val="nil"/>
          <w:insideV w:val="nil"/>
        </w:tcBorders>
        <w:shd w:val="clear" w:color="auto" w:fill="EFF6F7"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5C6CF" w:themeColor="accent1" w:themeTint="99"/>
        </w:tcBorders>
      </w:tcPr>
    </w:tblStylePr>
    <w:tblStylePr w:type="lastRow">
      <w:rPr>
        <w:b/>
        <w:bCs/>
      </w:rPr>
      <w:tblPr/>
      <w:tcPr>
        <w:tcBorders>
          <w:top w:val="sing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5DB" w:themeColor="accent2" w:themeTint="99"/>
        </w:tcBorders>
      </w:tcPr>
    </w:tblStylePr>
    <w:tblStylePr w:type="lastRow">
      <w:rPr>
        <w:b/>
        <w:bCs/>
      </w:rPr>
      <w:tblPr/>
      <w:tcPr>
        <w:tcBorders>
          <w:top w:val="sing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AED" w:themeColor="accent3" w:themeTint="99"/>
        </w:tcBorders>
      </w:tcPr>
    </w:tblStylePr>
    <w:tblStylePr w:type="lastRow">
      <w:rPr>
        <w:b/>
        <w:bCs/>
      </w:rPr>
      <w:tblPr/>
      <w:tcPr>
        <w:tcBorders>
          <w:top w:val="sing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85C6CF" w:themeColor="accent1" w:themeTint="99"/>
        <w:bottom w:val="single" w:sz="4" w:space="0" w:color="85C6CF" w:themeColor="accent1" w:themeTint="99"/>
        <w:insideH w:val="single" w:sz="4" w:space="0" w:color="85C6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B2D5DB" w:themeColor="accent2" w:themeTint="99"/>
        <w:bottom w:val="single" w:sz="4" w:space="0" w:color="B2D5DB" w:themeColor="accent2" w:themeTint="99"/>
        <w:insideH w:val="single" w:sz="4" w:space="0" w:color="B2D5D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D8EAED" w:themeColor="accent3" w:themeTint="99"/>
        <w:bottom w:val="single" w:sz="4" w:space="0" w:color="D8EAED" w:themeColor="accent3" w:themeTint="99"/>
        <w:insideH w:val="single" w:sz="4" w:space="0" w:color="D8EA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4098A4" w:themeColor="accent1"/>
        <w:left w:val="single" w:sz="4" w:space="0" w:color="4098A4" w:themeColor="accent1"/>
        <w:bottom w:val="single" w:sz="4" w:space="0" w:color="4098A4" w:themeColor="accent1"/>
        <w:right w:val="single" w:sz="4" w:space="0" w:color="4098A4" w:themeColor="accent1"/>
      </w:tblBorders>
    </w:tblPr>
    <w:tblStylePr w:type="firstRow">
      <w:rPr>
        <w:b/>
        <w:bCs/>
        <w:color w:val="FFFFFF" w:themeColor="background1"/>
      </w:rPr>
      <w:tblPr/>
      <w:tcPr>
        <w:shd w:val="clear" w:color="auto" w:fill="4098A4" w:themeFill="accent1"/>
      </w:tcPr>
    </w:tblStylePr>
    <w:tblStylePr w:type="lastRow">
      <w:rPr>
        <w:b/>
        <w:bCs/>
      </w:rPr>
      <w:tblPr/>
      <w:tcPr>
        <w:tcBorders>
          <w:top w:val="double" w:sz="4" w:space="0" w:color="4098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98A4" w:themeColor="accent1"/>
          <w:right w:val="single" w:sz="4" w:space="0" w:color="4098A4" w:themeColor="accent1"/>
        </w:tcBorders>
      </w:tcPr>
    </w:tblStylePr>
    <w:tblStylePr w:type="band1Horz">
      <w:tblPr/>
      <w:tcPr>
        <w:tcBorders>
          <w:top w:val="single" w:sz="4" w:space="0" w:color="4098A4" w:themeColor="accent1"/>
          <w:bottom w:val="single" w:sz="4" w:space="0" w:color="4098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98A4" w:themeColor="accent1"/>
          <w:left w:val="nil"/>
        </w:tcBorders>
      </w:tcPr>
    </w:tblStylePr>
    <w:tblStylePr w:type="swCell">
      <w:tblPr/>
      <w:tcPr>
        <w:tcBorders>
          <w:top w:val="double" w:sz="4" w:space="0" w:color="4098A4"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80BAC3" w:themeColor="accent2"/>
        <w:left w:val="single" w:sz="4" w:space="0" w:color="80BAC3" w:themeColor="accent2"/>
        <w:bottom w:val="single" w:sz="4" w:space="0" w:color="80BAC3" w:themeColor="accent2"/>
        <w:right w:val="single" w:sz="4" w:space="0" w:color="80BAC3" w:themeColor="accent2"/>
      </w:tblBorders>
    </w:tblPr>
    <w:tblStylePr w:type="firstRow">
      <w:rPr>
        <w:b/>
        <w:bCs/>
        <w:color w:val="FFFFFF" w:themeColor="background1"/>
      </w:rPr>
      <w:tblPr/>
      <w:tcPr>
        <w:shd w:val="clear" w:color="auto" w:fill="80BAC3" w:themeFill="accent2"/>
      </w:tcPr>
    </w:tblStylePr>
    <w:tblStylePr w:type="lastRow">
      <w:rPr>
        <w:b/>
        <w:bCs/>
      </w:rPr>
      <w:tblPr/>
      <w:tcPr>
        <w:tcBorders>
          <w:top w:val="double" w:sz="4" w:space="0" w:color="80BAC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AC3" w:themeColor="accent2"/>
          <w:right w:val="single" w:sz="4" w:space="0" w:color="80BAC3" w:themeColor="accent2"/>
        </w:tcBorders>
      </w:tcPr>
    </w:tblStylePr>
    <w:tblStylePr w:type="band1Horz">
      <w:tblPr/>
      <w:tcPr>
        <w:tcBorders>
          <w:top w:val="single" w:sz="4" w:space="0" w:color="80BAC3" w:themeColor="accent2"/>
          <w:bottom w:val="single" w:sz="4" w:space="0" w:color="80BAC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AC3" w:themeColor="accent2"/>
          <w:left w:val="nil"/>
        </w:tcBorders>
      </w:tcPr>
    </w:tblStylePr>
    <w:tblStylePr w:type="swCell">
      <w:tblPr/>
      <w:tcPr>
        <w:tcBorders>
          <w:top w:val="double" w:sz="4" w:space="0" w:color="80BAC3"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BFDDE1" w:themeColor="accent3"/>
        <w:left w:val="single" w:sz="4" w:space="0" w:color="BFDDE1" w:themeColor="accent3"/>
        <w:bottom w:val="single" w:sz="4" w:space="0" w:color="BFDDE1" w:themeColor="accent3"/>
        <w:right w:val="single" w:sz="4" w:space="0" w:color="BFDDE1" w:themeColor="accent3"/>
      </w:tblBorders>
    </w:tblPr>
    <w:tblStylePr w:type="firstRow">
      <w:rPr>
        <w:b/>
        <w:bCs/>
        <w:color w:val="FFFFFF" w:themeColor="background1"/>
      </w:rPr>
      <w:tblPr/>
      <w:tcPr>
        <w:shd w:val="clear" w:color="auto" w:fill="BFDDE1" w:themeFill="accent3"/>
      </w:tcPr>
    </w:tblStylePr>
    <w:tblStylePr w:type="lastRow">
      <w:rPr>
        <w:b/>
        <w:bCs/>
      </w:rPr>
      <w:tblPr/>
      <w:tcPr>
        <w:tcBorders>
          <w:top w:val="double" w:sz="4" w:space="0" w:color="BFDD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DE1" w:themeColor="accent3"/>
          <w:right w:val="single" w:sz="4" w:space="0" w:color="BFDDE1" w:themeColor="accent3"/>
        </w:tcBorders>
      </w:tcPr>
    </w:tblStylePr>
    <w:tblStylePr w:type="band1Horz">
      <w:tblPr/>
      <w:tcPr>
        <w:tcBorders>
          <w:top w:val="single" w:sz="4" w:space="0" w:color="BFDDE1" w:themeColor="accent3"/>
          <w:bottom w:val="single" w:sz="4" w:space="0" w:color="BFDD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DE1" w:themeColor="accent3"/>
          <w:left w:val="nil"/>
        </w:tcBorders>
      </w:tcPr>
    </w:tblStylePr>
    <w:tblStylePr w:type="swCell">
      <w:tblPr/>
      <w:tcPr>
        <w:tcBorders>
          <w:top w:val="double" w:sz="4" w:space="0" w:color="BFDDE1"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tcBorders>
        <w:shd w:val="clear" w:color="auto" w:fill="4098A4" w:themeFill="accent1"/>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tcBorders>
        <w:shd w:val="clear" w:color="auto" w:fill="80BAC3" w:themeFill="accent2"/>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tcBorders>
        <w:shd w:val="clear" w:color="auto" w:fill="BFDDE1" w:themeFill="accent3"/>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98A4" w:themeColor="accent1"/>
        <w:left w:val="single" w:sz="24" w:space="0" w:color="4098A4" w:themeColor="accent1"/>
        <w:bottom w:val="single" w:sz="24" w:space="0" w:color="4098A4" w:themeColor="accent1"/>
        <w:right w:val="single" w:sz="24" w:space="0" w:color="4098A4" w:themeColor="accent1"/>
      </w:tblBorders>
    </w:tblPr>
    <w:tcPr>
      <w:shd w:val="clear" w:color="auto" w:fill="4098A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AC3" w:themeColor="accent2"/>
        <w:left w:val="single" w:sz="24" w:space="0" w:color="80BAC3" w:themeColor="accent2"/>
        <w:bottom w:val="single" w:sz="24" w:space="0" w:color="80BAC3" w:themeColor="accent2"/>
        <w:right w:val="single" w:sz="24" w:space="0" w:color="80BAC3" w:themeColor="accent2"/>
      </w:tblBorders>
    </w:tblPr>
    <w:tcPr>
      <w:shd w:val="clear" w:color="auto" w:fill="80BAC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DE1" w:themeColor="accent3"/>
        <w:left w:val="single" w:sz="24" w:space="0" w:color="BFDDE1" w:themeColor="accent3"/>
        <w:bottom w:val="single" w:sz="24" w:space="0" w:color="BFDDE1" w:themeColor="accent3"/>
        <w:right w:val="single" w:sz="24" w:space="0" w:color="BFDDE1" w:themeColor="accent3"/>
      </w:tblBorders>
    </w:tblPr>
    <w:tcPr>
      <w:shd w:val="clear" w:color="auto" w:fill="BFDD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4098A4" w:themeColor="accent1"/>
        <w:bottom w:val="single" w:sz="4" w:space="0" w:color="4098A4" w:themeColor="accent1"/>
      </w:tblBorders>
    </w:tblPr>
    <w:tblStylePr w:type="firstRow">
      <w:rPr>
        <w:b/>
        <w:bCs/>
      </w:rPr>
      <w:tblPr/>
      <w:tcPr>
        <w:tcBorders>
          <w:bottom w:val="single" w:sz="4" w:space="0" w:color="4098A4" w:themeColor="accent1"/>
        </w:tcBorders>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80BAC3" w:themeColor="accent2"/>
        <w:bottom w:val="single" w:sz="4" w:space="0" w:color="80BAC3" w:themeColor="accent2"/>
      </w:tblBorders>
    </w:tblPr>
    <w:tblStylePr w:type="firstRow">
      <w:rPr>
        <w:b/>
        <w:bCs/>
      </w:rPr>
      <w:tblPr/>
      <w:tcPr>
        <w:tcBorders>
          <w:bottom w:val="single" w:sz="4" w:space="0" w:color="80BAC3" w:themeColor="accent2"/>
        </w:tcBorders>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BFDDE1" w:themeColor="accent3"/>
        <w:bottom w:val="single" w:sz="4" w:space="0" w:color="BFDDE1" w:themeColor="accent3"/>
      </w:tblBorders>
    </w:tblPr>
    <w:tblStylePr w:type="firstRow">
      <w:rPr>
        <w:b/>
        <w:bCs/>
      </w:rPr>
      <w:tblPr/>
      <w:tcPr>
        <w:tcBorders>
          <w:bottom w:val="single" w:sz="4" w:space="0" w:color="BFDDE1" w:themeColor="accent3"/>
        </w:tcBorders>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30717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98A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98A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98A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98A4" w:themeColor="accent1"/>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4D98A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AC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AC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AC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AC3" w:themeColor="accent2"/>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77B7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D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D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D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DE1" w:themeColor="accent3"/>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insideV w:val="single" w:sz="8" w:space="0" w:color="66B8C3" w:themeColor="accent1" w:themeTint="BF"/>
      </w:tblBorders>
    </w:tblPr>
    <w:tcPr>
      <w:shd w:val="clear" w:color="auto" w:fill="CCE7EB" w:themeFill="accent1" w:themeFillTint="3F"/>
    </w:tcPr>
    <w:tblStylePr w:type="firstRow">
      <w:rPr>
        <w:b/>
        <w:bCs/>
      </w:rPr>
    </w:tblStylePr>
    <w:tblStylePr w:type="lastRow">
      <w:rPr>
        <w:b/>
        <w:bCs/>
      </w:rPr>
      <w:tblPr/>
      <w:tcPr>
        <w:tcBorders>
          <w:top w:val="single" w:sz="18" w:space="0" w:color="66B8C3" w:themeColor="accent1" w:themeTint="BF"/>
        </w:tcBorders>
      </w:tcPr>
    </w:tblStylePr>
    <w:tblStylePr w:type="firstCol">
      <w:rPr>
        <w:b/>
        <w:bCs/>
      </w:rPr>
    </w:tblStylePr>
    <w:tblStylePr w:type="lastCol">
      <w:rPr>
        <w:b/>
        <w:bCs/>
      </w:r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insideV w:val="single" w:sz="8" w:space="0" w:color="9FCBD2" w:themeColor="accent2" w:themeTint="BF"/>
      </w:tblBorders>
    </w:tblPr>
    <w:tcPr>
      <w:shd w:val="clear" w:color="auto" w:fill="DFEDF0" w:themeFill="accent2" w:themeFillTint="3F"/>
    </w:tcPr>
    <w:tblStylePr w:type="firstRow">
      <w:rPr>
        <w:b/>
        <w:bCs/>
      </w:rPr>
    </w:tblStylePr>
    <w:tblStylePr w:type="lastRow">
      <w:rPr>
        <w:b/>
        <w:bCs/>
      </w:rPr>
      <w:tblPr/>
      <w:tcPr>
        <w:tcBorders>
          <w:top w:val="single" w:sz="18" w:space="0" w:color="9FCBD2" w:themeColor="accent2" w:themeTint="BF"/>
        </w:tcBorders>
      </w:tcPr>
    </w:tblStylePr>
    <w:tblStylePr w:type="firstCol">
      <w:rPr>
        <w:b/>
        <w:bCs/>
      </w:rPr>
    </w:tblStylePr>
    <w:tblStylePr w:type="lastCol">
      <w:rPr>
        <w:b/>
        <w:bCs/>
      </w:r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insideV w:val="single" w:sz="8" w:space="0" w:color="CEE5E8" w:themeColor="accent3" w:themeTint="BF"/>
      </w:tblBorders>
    </w:tblPr>
    <w:tcPr>
      <w:shd w:val="clear" w:color="auto" w:fill="EFF6F7" w:themeFill="accent3" w:themeFillTint="3F"/>
    </w:tcPr>
    <w:tblStylePr w:type="firstRow">
      <w:rPr>
        <w:b/>
        <w:bCs/>
      </w:rPr>
    </w:tblStylePr>
    <w:tblStylePr w:type="lastRow">
      <w:rPr>
        <w:b/>
        <w:bCs/>
      </w:rPr>
      <w:tblPr/>
      <w:tcPr>
        <w:tcBorders>
          <w:top w:val="single" w:sz="18" w:space="0" w:color="CEE5E8" w:themeColor="accent3" w:themeTint="BF"/>
        </w:tcBorders>
      </w:tcPr>
    </w:tblStylePr>
    <w:tblStylePr w:type="firstCol">
      <w:rPr>
        <w:b/>
        <w:bCs/>
      </w:rPr>
    </w:tblStylePr>
    <w:tblStylePr w:type="lastCol">
      <w:rPr>
        <w:b/>
        <w:bCs/>
      </w:r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cPr>
      <w:shd w:val="clear" w:color="auto" w:fill="CCE7EB" w:themeFill="accent1" w:themeFillTint="3F"/>
    </w:tcPr>
    <w:tblStylePr w:type="firstRow">
      <w:rPr>
        <w:b/>
        <w:bCs/>
        <w:color w:val="000000" w:themeColor="text1"/>
      </w:rPr>
      <w:tblPr/>
      <w:tcPr>
        <w:shd w:val="clear" w:color="auto" w:fill="EBF5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CEF" w:themeFill="accent1" w:themeFillTint="33"/>
      </w:tcPr>
    </w:tblStylePr>
    <w:tblStylePr w:type="band1Vert">
      <w:tblPr/>
      <w:tcPr>
        <w:shd w:val="clear" w:color="auto" w:fill="99D0D7" w:themeFill="accent1" w:themeFillTint="7F"/>
      </w:tcPr>
    </w:tblStylePr>
    <w:tblStylePr w:type="band1Horz">
      <w:tblPr/>
      <w:tcPr>
        <w:tcBorders>
          <w:insideH w:val="single" w:sz="6" w:space="0" w:color="4098A4" w:themeColor="accent1"/>
          <w:insideV w:val="single" w:sz="6" w:space="0" w:color="4098A4" w:themeColor="accent1"/>
        </w:tcBorders>
        <w:shd w:val="clear" w:color="auto" w:fill="99D0D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cPr>
      <w:shd w:val="clear" w:color="auto" w:fill="DFEDF0" w:themeFill="accent2" w:themeFillTint="3F"/>
    </w:tcPr>
    <w:tblStylePr w:type="firstRow">
      <w:rPr>
        <w:b/>
        <w:bCs/>
        <w:color w:val="000000" w:themeColor="text1"/>
      </w:rPr>
      <w:tblPr/>
      <w:tcPr>
        <w:shd w:val="clear" w:color="auto" w:fill="F2F8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F1F3" w:themeFill="accent2" w:themeFillTint="33"/>
      </w:tcPr>
    </w:tblStylePr>
    <w:tblStylePr w:type="band1Vert">
      <w:tblPr/>
      <w:tcPr>
        <w:shd w:val="clear" w:color="auto" w:fill="BFDCE1" w:themeFill="accent2" w:themeFillTint="7F"/>
      </w:tcPr>
    </w:tblStylePr>
    <w:tblStylePr w:type="band1Horz">
      <w:tblPr/>
      <w:tcPr>
        <w:tcBorders>
          <w:insideH w:val="single" w:sz="6" w:space="0" w:color="80BAC3" w:themeColor="accent2"/>
          <w:insideV w:val="single" w:sz="6" w:space="0" w:color="80BAC3" w:themeColor="accent2"/>
        </w:tcBorders>
        <w:shd w:val="clear" w:color="auto" w:fill="BFDCE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cPr>
      <w:shd w:val="clear" w:color="auto" w:fill="EFF6F7"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8F9" w:themeFill="accent3" w:themeFillTint="33"/>
      </w:tcPr>
    </w:tblStylePr>
    <w:tblStylePr w:type="band1Vert">
      <w:tblPr/>
      <w:tcPr>
        <w:shd w:val="clear" w:color="auto" w:fill="DFEEF0" w:themeFill="accent3" w:themeFillTint="7F"/>
      </w:tcPr>
    </w:tblStylePr>
    <w:tblStylePr w:type="band1Horz">
      <w:tblPr/>
      <w:tcPr>
        <w:tcBorders>
          <w:insideH w:val="single" w:sz="6" w:space="0" w:color="BFDDE1" w:themeColor="accent3"/>
          <w:insideV w:val="single" w:sz="6" w:space="0" w:color="BFDDE1" w:themeColor="accent3"/>
        </w:tcBorders>
        <w:shd w:val="clear" w:color="auto" w:fill="DFEE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7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98A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98A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D0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D0D7"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DF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AC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AC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CE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CE1"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6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DE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DE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E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EF0"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98A4" w:themeColor="accent1"/>
        <w:bottom w:val="single" w:sz="8" w:space="0" w:color="4098A4" w:themeColor="accent1"/>
      </w:tblBorders>
    </w:tblPr>
    <w:tblStylePr w:type="firstRow">
      <w:rPr>
        <w:rFonts w:asciiTheme="majorHAnsi" w:eastAsiaTheme="majorEastAsia" w:hAnsiTheme="majorHAnsi" w:cstheme="majorBidi"/>
      </w:rPr>
      <w:tblPr/>
      <w:tcPr>
        <w:tcBorders>
          <w:top w:val="nil"/>
          <w:bottom w:val="single" w:sz="8" w:space="0" w:color="4098A4" w:themeColor="accent1"/>
        </w:tcBorders>
      </w:tcPr>
    </w:tblStylePr>
    <w:tblStylePr w:type="lastRow">
      <w:rPr>
        <w:b/>
        <w:bCs/>
        <w:color w:val="007586" w:themeColor="text2"/>
      </w:rPr>
      <w:tblPr/>
      <w:tcPr>
        <w:tcBorders>
          <w:top w:val="single" w:sz="8" w:space="0" w:color="4098A4" w:themeColor="accent1"/>
          <w:bottom w:val="single" w:sz="8" w:space="0" w:color="4098A4" w:themeColor="accent1"/>
        </w:tcBorders>
      </w:tcPr>
    </w:tblStylePr>
    <w:tblStylePr w:type="firstCol">
      <w:rPr>
        <w:b/>
        <w:bCs/>
      </w:rPr>
    </w:tblStylePr>
    <w:tblStylePr w:type="lastCol">
      <w:rPr>
        <w:b/>
        <w:bCs/>
      </w:rPr>
      <w:tblPr/>
      <w:tcPr>
        <w:tcBorders>
          <w:top w:val="single" w:sz="8" w:space="0" w:color="4098A4" w:themeColor="accent1"/>
          <w:bottom w:val="single" w:sz="8" w:space="0" w:color="4098A4" w:themeColor="accent1"/>
        </w:tcBorders>
      </w:tcPr>
    </w:tblStylePr>
    <w:tblStylePr w:type="band1Vert">
      <w:tblPr/>
      <w:tcPr>
        <w:shd w:val="clear" w:color="auto" w:fill="CCE7EB" w:themeFill="accent1" w:themeFillTint="3F"/>
      </w:tcPr>
    </w:tblStylePr>
    <w:tblStylePr w:type="band1Horz">
      <w:tblPr/>
      <w:tcPr>
        <w:shd w:val="clear" w:color="auto" w:fill="CCE7EB"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AC3" w:themeColor="accent2"/>
        <w:bottom w:val="single" w:sz="8" w:space="0" w:color="80BAC3" w:themeColor="accent2"/>
      </w:tblBorders>
    </w:tblPr>
    <w:tblStylePr w:type="firstRow">
      <w:rPr>
        <w:rFonts w:asciiTheme="majorHAnsi" w:eastAsiaTheme="majorEastAsia" w:hAnsiTheme="majorHAnsi" w:cstheme="majorBidi"/>
      </w:rPr>
      <w:tblPr/>
      <w:tcPr>
        <w:tcBorders>
          <w:top w:val="nil"/>
          <w:bottom w:val="single" w:sz="8" w:space="0" w:color="80BAC3" w:themeColor="accent2"/>
        </w:tcBorders>
      </w:tcPr>
    </w:tblStylePr>
    <w:tblStylePr w:type="lastRow">
      <w:rPr>
        <w:b/>
        <w:bCs/>
        <w:color w:val="007586" w:themeColor="text2"/>
      </w:rPr>
      <w:tblPr/>
      <w:tcPr>
        <w:tcBorders>
          <w:top w:val="single" w:sz="8" w:space="0" w:color="80BAC3" w:themeColor="accent2"/>
          <w:bottom w:val="single" w:sz="8" w:space="0" w:color="80BAC3" w:themeColor="accent2"/>
        </w:tcBorders>
      </w:tcPr>
    </w:tblStylePr>
    <w:tblStylePr w:type="firstCol">
      <w:rPr>
        <w:b/>
        <w:bCs/>
      </w:rPr>
    </w:tblStylePr>
    <w:tblStylePr w:type="lastCol">
      <w:rPr>
        <w:b/>
        <w:bCs/>
      </w:rPr>
      <w:tblPr/>
      <w:tcPr>
        <w:tcBorders>
          <w:top w:val="single" w:sz="8" w:space="0" w:color="80BAC3" w:themeColor="accent2"/>
          <w:bottom w:val="single" w:sz="8" w:space="0" w:color="80BAC3" w:themeColor="accent2"/>
        </w:tcBorders>
      </w:tcPr>
    </w:tblStylePr>
    <w:tblStylePr w:type="band1Vert">
      <w:tblPr/>
      <w:tcPr>
        <w:shd w:val="clear" w:color="auto" w:fill="DFEDF0" w:themeFill="accent2" w:themeFillTint="3F"/>
      </w:tcPr>
    </w:tblStylePr>
    <w:tblStylePr w:type="band1Horz">
      <w:tblPr/>
      <w:tcPr>
        <w:shd w:val="clear" w:color="auto" w:fill="DFEDF0"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DE1" w:themeColor="accent3"/>
        <w:bottom w:val="single" w:sz="8" w:space="0" w:color="BFDDE1" w:themeColor="accent3"/>
      </w:tblBorders>
    </w:tblPr>
    <w:tblStylePr w:type="firstRow">
      <w:rPr>
        <w:rFonts w:asciiTheme="majorHAnsi" w:eastAsiaTheme="majorEastAsia" w:hAnsiTheme="majorHAnsi" w:cstheme="majorBidi"/>
      </w:rPr>
      <w:tblPr/>
      <w:tcPr>
        <w:tcBorders>
          <w:top w:val="nil"/>
          <w:bottom w:val="single" w:sz="8" w:space="0" w:color="BFDDE1" w:themeColor="accent3"/>
        </w:tcBorders>
      </w:tcPr>
    </w:tblStylePr>
    <w:tblStylePr w:type="lastRow">
      <w:rPr>
        <w:b/>
        <w:bCs/>
        <w:color w:val="007586" w:themeColor="text2"/>
      </w:rPr>
      <w:tblPr/>
      <w:tcPr>
        <w:tcBorders>
          <w:top w:val="single" w:sz="8" w:space="0" w:color="BFDDE1" w:themeColor="accent3"/>
          <w:bottom w:val="single" w:sz="8" w:space="0" w:color="BFDDE1" w:themeColor="accent3"/>
        </w:tcBorders>
      </w:tcPr>
    </w:tblStylePr>
    <w:tblStylePr w:type="firstCol">
      <w:rPr>
        <w:b/>
        <w:bCs/>
      </w:rPr>
    </w:tblStylePr>
    <w:tblStylePr w:type="lastCol">
      <w:rPr>
        <w:b/>
        <w:bCs/>
      </w:rPr>
      <w:tblPr/>
      <w:tcPr>
        <w:tcBorders>
          <w:top w:val="single" w:sz="8" w:space="0" w:color="BFDDE1" w:themeColor="accent3"/>
          <w:bottom w:val="single" w:sz="8" w:space="0" w:color="BFDDE1" w:themeColor="accent3"/>
        </w:tcBorders>
      </w:tcPr>
    </w:tblStylePr>
    <w:tblStylePr w:type="band1Vert">
      <w:tblPr/>
      <w:tcPr>
        <w:shd w:val="clear" w:color="auto" w:fill="EFF6F7" w:themeFill="accent3" w:themeFillTint="3F"/>
      </w:tcPr>
    </w:tblStylePr>
    <w:tblStylePr w:type="band1Horz">
      <w:tblPr/>
      <w:tcPr>
        <w:shd w:val="clear" w:color="auto" w:fill="EFF6F7"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7586"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7586"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7586"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rPr>
        <w:sz w:val="24"/>
        <w:szCs w:val="24"/>
      </w:rPr>
      <w:tblPr/>
      <w:tcPr>
        <w:tcBorders>
          <w:top w:val="nil"/>
          <w:left w:val="nil"/>
          <w:bottom w:val="single" w:sz="24" w:space="0" w:color="4098A4" w:themeColor="accent1"/>
          <w:right w:val="nil"/>
          <w:insideH w:val="nil"/>
          <w:insideV w:val="nil"/>
        </w:tcBorders>
        <w:shd w:val="clear" w:color="auto" w:fill="FFFFFF" w:themeFill="background1"/>
      </w:tcPr>
    </w:tblStylePr>
    <w:tblStylePr w:type="lastRow">
      <w:tblPr/>
      <w:tcPr>
        <w:tcBorders>
          <w:top w:val="single" w:sz="8" w:space="0" w:color="4098A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98A4" w:themeColor="accent1"/>
          <w:insideH w:val="nil"/>
          <w:insideV w:val="nil"/>
        </w:tcBorders>
        <w:shd w:val="clear" w:color="auto" w:fill="FFFFFF" w:themeFill="background1"/>
      </w:tcPr>
    </w:tblStylePr>
    <w:tblStylePr w:type="lastCol">
      <w:tblPr/>
      <w:tcPr>
        <w:tcBorders>
          <w:top w:val="nil"/>
          <w:left w:val="single" w:sz="8" w:space="0" w:color="4098A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top w:val="nil"/>
          <w:bottom w:val="nil"/>
          <w:insideH w:val="nil"/>
          <w:insideV w:val="nil"/>
        </w:tcBorders>
        <w:shd w:val="clear" w:color="auto" w:fill="CCE7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rPr>
        <w:sz w:val="24"/>
        <w:szCs w:val="24"/>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tblPr/>
      <w:tcPr>
        <w:tcBorders>
          <w:top w:val="single" w:sz="8" w:space="0" w:color="80BAC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AC3" w:themeColor="accent2"/>
          <w:insideH w:val="nil"/>
          <w:insideV w:val="nil"/>
        </w:tcBorders>
        <w:shd w:val="clear" w:color="auto" w:fill="FFFFFF" w:themeFill="background1"/>
      </w:tcPr>
    </w:tblStylePr>
    <w:tblStylePr w:type="lastCol">
      <w:tblPr/>
      <w:tcPr>
        <w:tcBorders>
          <w:top w:val="nil"/>
          <w:left w:val="single" w:sz="8" w:space="0" w:color="80BAC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top w:val="nil"/>
          <w:bottom w:val="nil"/>
          <w:insideH w:val="nil"/>
          <w:insideV w:val="nil"/>
        </w:tcBorders>
        <w:shd w:val="clear" w:color="auto" w:fill="DFED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rPr>
        <w:sz w:val="24"/>
        <w:szCs w:val="24"/>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tblPr/>
      <w:tcPr>
        <w:tcBorders>
          <w:top w:val="single" w:sz="8" w:space="0" w:color="BFDDE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DE1" w:themeColor="accent3"/>
          <w:insideH w:val="nil"/>
          <w:insideV w:val="nil"/>
        </w:tcBorders>
        <w:shd w:val="clear" w:color="auto" w:fill="FFFFFF" w:themeFill="background1"/>
      </w:tcPr>
    </w:tblStylePr>
    <w:tblStylePr w:type="lastCol">
      <w:tblPr/>
      <w:tcPr>
        <w:tcBorders>
          <w:top w:val="nil"/>
          <w:left w:val="single" w:sz="8" w:space="0" w:color="BFDDE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top w:val="nil"/>
          <w:bottom w:val="nil"/>
          <w:insideH w:val="nil"/>
          <w:insideV w:val="nil"/>
        </w:tcBorders>
        <w:shd w:val="clear" w:color="auto" w:fill="EFF6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tblBorders>
    </w:tblPr>
    <w:tblStylePr w:type="firstRow">
      <w:pPr>
        <w:spacing w:before="0" w:after="0" w:line="240" w:lineRule="auto"/>
      </w:pPr>
      <w:rPr>
        <w:b/>
        <w:bCs/>
        <w:color w:val="FFFFFF" w:themeColor="background1"/>
      </w:rPr>
      <w:tblPr/>
      <w:tcPr>
        <w:tc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shd w:val="clear" w:color="auto" w:fill="4098A4" w:themeFill="accent1"/>
      </w:tcPr>
    </w:tblStylePr>
    <w:tblStylePr w:type="lastRow">
      <w:pPr>
        <w:spacing w:before="0" w:after="0" w:line="240" w:lineRule="auto"/>
      </w:pPr>
      <w:rPr>
        <w:b/>
        <w:bCs/>
      </w:rPr>
      <w:tblPr/>
      <w:tcPr>
        <w:tcBorders>
          <w:top w:val="double" w:sz="6"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E7EB" w:themeFill="accent1" w:themeFillTint="3F"/>
      </w:tcPr>
    </w:tblStylePr>
    <w:tblStylePr w:type="band1Horz">
      <w:tblPr/>
      <w:tcPr>
        <w:tcBorders>
          <w:insideH w:val="nil"/>
          <w:insideV w:val="nil"/>
        </w:tcBorders>
        <w:shd w:val="clear" w:color="auto" w:fill="CCE7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tblBorders>
    </w:tblPr>
    <w:tblStylePr w:type="firstRow">
      <w:pPr>
        <w:spacing w:before="0" w:after="0" w:line="240" w:lineRule="auto"/>
      </w:pPr>
      <w:rPr>
        <w:b/>
        <w:bCs/>
        <w:color w:val="FFFFFF" w:themeColor="background1"/>
      </w:rPr>
      <w:tblPr/>
      <w:tcPr>
        <w:tc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shd w:val="clear" w:color="auto" w:fill="80BAC3" w:themeFill="accent2"/>
      </w:tcPr>
    </w:tblStylePr>
    <w:tblStylePr w:type="lastRow">
      <w:pPr>
        <w:spacing w:before="0" w:after="0" w:line="240" w:lineRule="auto"/>
      </w:pPr>
      <w:rPr>
        <w:b/>
        <w:bCs/>
      </w:rPr>
      <w:tblPr/>
      <w:tcPr>
        <w:tcBorders>
          <w:top w:val="double" w:sz="6"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DF0" w:themeFill="accent2" w:themeFillTint="3F"/>
      </w:tcPr>
    </w:tblStylePr>
    <w:tblStylePr w:type="band1Horz">
      <w:tblPr/>
      <w:tcPr>
        <w:tcBorders>
          <w:insideH w:val="nil"/>
          <w:insideV w:val="nil"/>
        </w:tcBorders>
        <w:shd w:val="clear" w:color="auto" w:fill="DFEDF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tblBorders>
    </w:tblPr>
    <w:tblStylePr w:type="firstRow">
      <w:pPr>
        <w:spacing w:before="0" w:after="0" w:line="240" w:lineRule="auto"/>
      </w:pPr>
      <w:rPr>
        <w:b/>
        <w:bCs/>
        <w:color w:val="FFFFFF" w:themeColor="background1"/>
      </w:rPr>
      <w:tblPr/>
      <w:tcPr>
        <w:tc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shd w:val="clear" w:color="auto" w:fill="BFDDE1" w:themeFill="accent3"/>
      </w:tcPr>
    </w:tblStylePr>
    <w:tblStylePr w:type="lastRow">
      <w:pPr>
        <w:spacing w:before="0" w:after="0" w:line="240" w:lineRule="auto"/>
      </w:pPr>
      <w:rPr>
        <w:b/>
        <w:bCs/>
      </w:rPr>
      <w:tblPr/>
      <w:tcPr>
        <w:tcBorders>
          <w:top w:val="double" w:sz="6"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6F7" w:themeFill="accent3" w:themeFillTint="3F"/>
      </w:tcPr>
    </w:tblStylePr>
    <w:tblStylePr w:type="band1Horz">
      <w:tblPr/>
      <w:tcPr>
        <w:tcBorders>
          <w:insideH w:val="nil"/>
          <w:insideV w:val="nil"/>
        </w:tcBorders>
        <w:shd w:val="clear" w:color="auto" w:fill="EFF6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98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98A4" w:themeFill="accent1"/>
      </w:tcPr>
    </w:tblStylePr>
    <w:tblStylePr w:type="lastCol">
      <w:rPr>
        <w:b/>
        <w:bCs/>
        <w:color w:val="FFFFFF" w:themeColor="background1"/>
      </w:rPr>
      <w:tblPr/>
      <w:tcPr>
        <w:tcBorders>
          <w:left w:val="nil"/>
          <w:right w:val="nil"/>
          <w:insideH w:val="nil"/>
          <w:insideV w:val="nil"/>
        </w:tcBorders>
        <w:shd w:val="clear" w:color="auto" w:fill="4098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AC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AC3" w:themeFill="accent2"/>
      </w:tcPr>
    </w:tblStylePr>
    <w:tblStylePr w:type="lastCol">
      <w:rPr>
        <w:b/>
        <w:bCs/>
        <w:color w:val="FFFFFF" w:themeColor="background1"/>
      </w:rPr>
      <w:tblPr/>
      <w:tcPr>
        <w:tcBorders>
          <w:left w:val="nil"/>
          <w:right w:val="nil"/>
          <w:insideH w:val="nil"/>
          <w:insideV w:val="nil"/>
        </w:tcBorders>
        <w:shd w:val="clear" w:color="auto" w:fill="80BAC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DE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DE1" w:themeFill="accent3"/>
      </w:tcPr>
    </w:tblStylePr>
    <w:tblStylePr w:type="lastCol">
      <w:rPr>
        <w:b/>
        <w:bCs/>
        <w:color w:val="FFFFFF" w:themeColor="background1"/>
      </w:rPr>
      <w:tblPr/>
      <w:tcPr>
        <w:tcBorders>
          <w:left w:val="nil"/>
          <w:right w:val="nil"/>
          <w:insideH w:val="nil"/>
          <w:insideV w:val="nil"/>
        </w:tcBorders>
        <w:shd w:val="clear" w:color="auto" w:fill="BFDD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7E098F"/>
    <w:pPr>
      <w:spacing w:before="100" w:after="100"/>
    </w:pPr>
    <w:rPr>
      <w:color w:val="007586" w:themeColor="text2"/>
    </w:rPr>
  </w:style>
  <w:style w:type="paragraph" w:customStyle="1" w:styleId="PulloutHeading">
    <w:name w:val="Pullout Heading"/>
    <w:basedOn w:val="PulloutText"/>
    <w:next w:val="PulloutText"/>
    <w:uiPriority w:val="1"/>
    <w:qFormat/>
    <w:rsid w:val="007E098F"/>
    <w:pPr>
      <w:spacing w:before="0" w:line="216" w:lineRule="auto"/>
    </w:pPr>
    <w:rPr>
      <w:b/>
      <w:sz w:val="24"/>
    </w:rPr>
  </w:style>
  <w:style w:type="table" w:customStyle="1" w:styleId="SCVInformationTable">
    <w:name w:val="SCV Information Table"/>
    <w:basedOn w:val="TableNormal"/>
    <w:uiPriority w:val="99"/>
    <w:rsid w:val="0086277A"/>
    <w:pPr>
      <w:spacing w:before="0" w:after="80" w:line="240" w:lineRule="auto"/>
      <w:ind w:left="170"/>
    </w:pPr>
    <w:rPr>
      <w:sz w:val="15"/>
    </w:rPr>
    <w:tblPr>
      <w:tblCellMar>
        <w:top w:w="323" w:type="dxa"/>
        <w:left w:w="0" w:type="dxa"/>
        <w:right w:w="0" w:type="dxa"/>
      </w:tblCellMar>
    </w:tblPr>
    <w:tcPr>
      <w:shd w:val="clear" w:color="auto" w:fill="F2F2F3"/>
    </w:tcPr>
  </w:style>
  <w:style w:type="paragraph" w:styleId="Date">
    <w:name w:val="Date"/>
    <w:basedOn w:val="Normal"/>
    <w:next w:val="Normal"/>
    <w:link w:val="DateChar"/>
    <w:uiPriority w:val="99"/>
    <w:rsid w:val="005F00E9"/>
    <w:pPr>
      <w:framePr w:hSpace="5670" w:wrap="around" w:vAnchor="page" w:hAnchor="page" w:x="852" w:y="4310"/>
      <w:spacing w:before="0" w:after="70" w:line="312" w:lineRule="auto"/>
      <w:suppressOverlap/>
    </w:pPr>
    <w:rPr>
      <w:rFonts w:ascii="VIC Medium" w:hAnsi="VIC Medium"/>
      <w:bCs/>
      <w:sz w:val="28"/>
    </w:rPr>
  </w:style>
  <w:style w:type="character" w:customStyle="1" w:styleId="DateChar">
    <w:name w:val="Date Char"/>
    <w:basedOn w:val="DefaultParagraphFont"/>
    <w:link w:val="Date"/>
    <w:uiPriority w:val="99"/>
    <w:rsid w:val="005F00E9"/>
    <w:rPr>
      <w:rFonts w:ascii="VIC Medium" w:hAnsi="VIC Medium"/>
      <w:bCs/>
      <w:sz w:val="28"/>
    </w:rPr>
  </w:style>
  <w:style w:type="paragraph" w:styleId="NormalWeb">
    <w:name w:val="Normal (Web)"/>
    <w:basedOn w:val="Normal"/>
    <w:uiPriority w:val="99"/>
    <w:semiHidden/>
    <w:rsid w:val="005F15F1"/>
    <w:pPr>
      <w:spacing w:before="0" w:after="0" w:line="260" w:lineRule="atLeast"/>
    </w:pPr>
    <w:rPr>
      <w:rFonts w:eastAsia="Times New Roman" w:cs="Times New Roman"/>
      <w:color w:val="000000" w:themeColor="text1"/>
      <w:szCs w:val="24"/>
    </w:rPr>
  </w:style>
  <w:style w:type="character" w:styleId="CommentReference">
    <w:name w:val="annotation reference"/>
    <w:basedOn w:val="DefaultParagraphFont"/>
    <w:uiPriority w:val="99"/>
    <w:semiHidden/>
    <w:unhideWhenUsed/>
    <w:rsid w:val="00C5410D"/>
    <w:rPr>
      <w:sz w:val="16"/>
      <w:szCs w:val="16"/>
    </w:rPr>
  </w:style>
  <w:style w:type="paragraph" w:customStyle="1" w:styleId="DHHSbody">
    <w:name w:val="DHHS body"/>
    <w:link w:val="DHHSbodyChar"/>
    <w:qFormat/>
    <w:rsid w:val="00C5410D"/>
    <w:pPr>
      <w:spacing w:before="0" w:after="120" w:line="270" w:lineRule="atLeast"/>
    </w:pPr>
    <w:rPr>
      <w:rFonts w:ascii="Arial" w:eastAsia="Times" w:hAnsi="Arial" w:cs="Times New Roman"/>
      <w:lang w:eastAsia="en-US"/>
    </w:rPr>
  </w:style>
  <w:style w:type="character" w:customStyle="1" w:styleId="DHHSbodyChar">
    <w:name w:val="DHHS body Char"/>
    <w:basedOn w:val="DefaultParagraphFont"/>
    <w:link w:val="DHHSbody"/>
    <w:locked/>
    <w:rsid w:val="00C5410D"/>
    <w:rPr>
      <w:rFonts w:ascii="Arial" w:eastAsia="Times" w:hAnsi="Arial" w:cs="Times New Roman"/>
      <w:lang w:eastAsia="en-US"/>
    </w:rPr>
  </w:style>
  <w:style w:type="character" w:styleId="UnresolvedMention">
    <w:name w:val="Unresolved Mention"/>
    <w:basedOn w:val="DefaultParagraphFont"/>
    <w:uiPriority w:val="99"/>
    <w:semiHidden/>
    <w:unhideWhenUsed/>
    <w:rsid w:val="006641A7"/>
    <w:rPr>
      <w:color w:val="605E5C"/>
      <w:shd w:val="clear" w:color="auto" w:fill="E1DFDD"/>
    </w:rPr>
  </w:style>
  <w:style w:type="character" w:styleId="FollowedHyperlink">
    <w:name w:val="FollowedHyperlink"/>
    <w:basedOn w:val="DefaultParagraphFont"/>
    <w:uiPriority w:val="1"/>
    <w:semiHidden/>
    <w:unhideWhenUsed/>
    <w:rsid w:val="00E82EA4"/>
    <w:rPr>
      <w:color w:val="007586" w:themeColor="followedHyperlink"/>
      <w:u w:val="single"/>
    </w:rPr>
  </w:style>
  <w:style w:type="paragraph" w:styleId="Revision">
    <w:name w:val="Revision"/>
    <w:hidden/>
    <w:uiPriority w:val="99"/>
    <w:semiHidden/>
    <w:rsid w:val="00185A02"/>
    <w:pPr>
      <w:spacing w:before="0" w:after="0" w:line="240" w:lineRule="auto"/>
    </w:pPr>
    <w:rPr>
      <w:rFonts w:ascii="VIC" w:eastAsia="Arial" w:hAnsi="VIC"/>
    </w:rPr>
  </w:style>
  <w:style w:type="paragraph" w:customStyle="1" w:styleId="paragraph">
    <w:name w:val="paragraph"/>
    <w:basedOn w:val="Normal"/>
    <w:rsid w:val="006939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93946"/>
  </w:style>
  <w:style w:type="character" w:customStyle="1" w:styleId="eop">
    <w:name w:val="eop"/>
    <w:basedOn w:val="DefaultParagraphFont"/>
    <w:rsid w:val="00693946"/>
  </w:style>
  <w:style w:type="character" w:customStyle="1" w:styleId="ListParagraphChar">
    <w:name w:val="List Paragraph Char"/>
    <w:aliases w:val="List Paragraph1 Char,Recommendation Char,NFP GP Bulleted List Char,Bullet table Char,Body text Char,Bulletr List Paragraph Char,Use Case List Paragraph Char,lp1 Char,Figure_name Char,Numbered Indented Text Char,List NUmber Char"/>
    <w:basedOn w:val="DefaultParagraphFont"/>
    <w:link w:val="ListParagraph"/>
    <w:uiPriority w:val="34"/>
    <w:qFormat/>
    <w:rsid w:val="00034B67"/>
    <w:rPr>
      <w:rFonts w:ascii="VIC" w:eastAsia="Arial" w:hAnsi="VIC"/>
    </w:rPr>
  </w:style>
  <w:style w:type="paragraph" w:styleId="CommentText">
    <w:name w:val="annotation text"/>
    <w:basedOn w:val="Normal"/>
    <w:link w:val="CommentTextChar"/>
    <w:uiPriority w:val="1"/>
    <w:unhideWhenUsed/>
    <w:rsid w:val="004822CA"/>
    <w:pPr>
      <w:spacing w:line="240" w:lineRule="auto"/>
    </w:pPr>
  </w:style>
  <w:style w:type="character" w:customStyle="1" w:styleId="CommentTextChar">
    <w:name w:val="Comment Text Char"/>
    <w:basedOn w:val="DefaultParagraphFont"/>
    <w:link w:val="CommentText"/>
    <w:uiPriority w:val="1"/>
    <w:rsid w:val="004822CA"/>
    <w:rPr>
      <w:rFonts w:ascii="VIC" w:eastAsia="Arial" w:hAnsi="VIC"/>
    </w:rPr>
  </w:style>
  <w:style w:type="paragraph" w:styleId="CommentSubject">
    <w:name w:val="annotation subject"/>
    <w:basedOn w:val="CommentText"/>
    <w:next w:val="CommentText"/>
    <w:link w:val="CommentSubjectChar"/>
    <w:uiPriority w:val="1"/>
    <w:semiHidden/>
    <w:unhideWhenUsed/>
    <w:rsid w:val="004822CA"/>
    <w:rPr>
      <w:b/>
      <w:bCs/>
    </w:rPr>
  </w:style>
  <w:style w:type="character" w:customStyle="1" w:styleId="CommentSubjectChar">
    <w:name w:val="Comment Subject Char"/>
    <w:basedOn w:val="CommentTextChar"/>
    <w:link w:val="CommentSubject"/>
    <w:uiPriority w:val="1"/>
    <w:semiHidden/>
    <w:rsid w:val="004822CA"/>
    <w:rPr>
      <w:rFonts w:ascii="VIC" w:eastAsia="Arial" w:hAnsi="VIC"/>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56505">
      <w:bodyDiv w:val="1"/>
      <w:marLeft w:val="0"/>
      <w:marRight w:val="0"/>
      <w:marTop w:val="0"/>
      <w:marBottom w:val="0"/>
      <w:divBdr>
        <w:top w:val="none" w:sz="0" w:space="0" w:color="auto"/>
        <w:left w:val="none" w:sz="0" w:space="0" w:color="auto"/>
        <w:bottom w:val="none" w:sz="0" w:space="0" w:color="auto"/>
        <w:right w:val="none" w:sz="0" w:space="0" w:color="auto"/>
      </w:divBdr>
      <w:divsChild>
        <w:div w:id="10500659">
          <w:marLeft w:val="0"/>
          <w:marRight w:val="0"/>
          <w:marTop w:val="0"/>
          <w:marBottom w:val="0"/>
          <w:divBdr>
            <w:top w:val="none" w:sz="0" w:space="0" w:color="auto"/>
            <w:left w:val="none" w:sz="0" w:space="0" w:color="auto"/>
            <w:bottom w:val="none" w:sz="0" w:space="0" w:color="auto"/>
            <w:right w:val="none" w:sz="0" w:space="0" w:color="auto"/>
          </w:divBdr>
        </w:div>
        <w:div w:id="20782673">
          <w:marLeft w:val="0"/>
          <w:marRight w:val="0"/>
          <w:marTop w:val="0"/>
          <w:marBottom w:val="0"/>
          <w:divBdr>
            <w:top w:val="none" w:sz="0" w:space="0" w:color="auto"/>
            <w:left w:val="none" w:sz="0" w:space="0" w:color="auto"/>
            <w:bottom w:val="none" w:sz="0" w:space="0" w:color="auto"/>
            <w:right w:val="none" w:sz="0" w:space="0" w:color="auto"/>
          </w:divBdr>
        </w:div>
        <w:div w:id="28917027">
          <w:marLeft w:val="0"/>
          <w:marRight w:val="0"/>
          <w:marTop w:val="0"/>
          <w:marBottom w:val="0"/>
          <w:divBdr>
            <w:top w:val="none" w:sz="0" w:space="0" w:color="auto"/>
            <w:left w:val="none" w:sz="0" w:space="0" w:color="auto"/>
            <w:bottom w:val="none" w:sz="0" w:space="0" w:color="auto"/>
            <w:right w:val="none" w:sz="0" w:space="0" w:color="auto"/>
          </w:divBdr>
        </w:div>
        <w:div w:id="345979353">
          <w:marLeft w:val="0"/>
          <w:marRight w:val="0"/>
          <w:marTop w:val="0"/>
          <w:marBottom w:val="0"/>
          <w:divBdr>
            <w:top w:val="none" w:sz="0" w:space="0" w:color="auto"/>
            <w:left w:val="none" w:sz="0" w:space="0" w:color="auto"/>
            <w:bottom w:val="none" w:sz="0" w:space="0" w:color="auto"/>
            <w:right w:val="none" w:sz="0" w:space="0" w:color="auto"/>
          </w:divBdr>
        </w:div>
        <w:div w:id="433206045">
          <w:marLeft w:val="0"/>
          <w:marRight w:val="0"/>
          <w:marTop w:val="0"/>
          <w:marBottom w:val="0"/>
          <w:divBdr>
            <w:top w:val="none" w:sz="0" w:space="0" w:color="auto"/>
            <w:left w:val="none" w:sz="0" w:space="0" w:color="auto"/>
            <w:bottom w:val="none" w:sz="0" w:space="0" w:color="auto"/>
            <w:right w:val="none" w:sz="0" w:space="0" w:color="auto"/>
          </w:divBdr>
        </w:div>
        <w:div w:id="627593272">
          <w:marLeft w:val="0"/>
          <w:marRight w:val="0"/>
          <w:marTop w:val="0"/>
          <w:marBottom w:val="0"/>
          <w:divBdr>
            <w:top w:val="none" w:sz="0" w:space="0" w:color="auto"/>
            <w:left w:val="none" w:sz="0" w:space="0" w:color="auto"/>
            <w:bottom w:val="none" w:sz="0" w:space="0" w:color="auto"/>
            <w:right w:val="none" w:sz="0" w:space="0" w:color="auto"/>
          </w:divBdr>
        </w:div>
        <w:div w:id="757865028">
          <w:marLeft w:val="0"/>
          <w:marRight w:val="0"/>
          <w:marTop w:val="0"/>
          <w:marBottom w:val="0"/>
          <w:divBdr>
            <w:top w:val="none" w:sz="0" w:space="0" w:color="auto"/>
            <w:left w:val="none" w:sz="0" w:space="0" w:color="auto"/>
            <w:bottom w:val="none" w:sz="0" w:space="0" w:color="auto"/>
            <w:right w:val="none" w:sz="0" w:space="0" w:color="auto"/>
          </w:divBdr>
        </w:div>
        <w:div w:id="1127814477">
          <w:marLeft w:val="0"/>
          <w:marRight w:val="0"/>
          <w:marTop w:val="0"/>
          <w:marBottom w:val="0"/>
          <w:divBdr>
            <w:top w:val="none" w:sz="0" w:space="0" w:color="auto"/>
            <w:left w:val="none" w:sz="0" w:space="0" w:color="auto"/>
            <w:bottom w:val="none" w:sz="0" w:space="0" w:color="auto"/>
            <w:right w:val="none" w:sz="0" w:space="0" w:color="auto"/>
          </w:divBdr>
        </w:div>
        <w:div w:id="1227034136">
          <w:marLeft w:val="0"/>
          <w:marRight w:val="0"/>
          <w:marTop w:val="0"/>
          <w:marBottom w:val="0"/>
          <w:divBdr>
            <w:top w:val="none" w:sz="0" w:space="0" w:color="auto"/>
            <w:left w:val="none" w:sz="0" w:space="0" w:color="auto"/>
            <w:bottom w:val="none" w:sz="0" w:space="0" w:color="auto"/>
            <w:right w:val="none" w:sz="0" w:space="0" w:color="auto"/>
          </w:divBdr>
        </w:div>
        <w:div w:id="1244535602">
          <w:marLeft w:val="0"/>
          <w:marRight w:val="0"/>
          <w:marTop w:val="0"/>
          <w:marBottom w:val="0"/>
          <w:divBdr>
            <w:top w:val="none" w:sz="0" w:space="0" w:color="auto"/>
            <w:left w:val="none" w:sz="0" w:space="0" w:color="auto"/>
            <w:bottom w:val="none" w:sz="0" w:space="0" w:color="auto"/>
            <w:right w:val="none" w:sz="0" w:space="0" w:color="auto"/>
          </w:divBdr>
        </w:div>
        <w:div w:id="1994216197">
          <w:marLeft w:val="0"/>
          <w:marRight w:val="0"/>
          <w:marTop w:val="0"/>
          <w:marBottom w:val="0"/>
          <w:divBdr>
            <w:top w:val="none" w:sz="0" w:space="0" w:color="auto"/>
            <w:left w:val="none" w:sz="0" w:space="0" w:color="auto"/>
            <w:bottom w:val="none" w:sz="0" w:space="0" w:color="auto"/>
            <w:right w:val="none" w:sz="0" w:space="0" w:color="auto"/>
          </w:divBdr>
        </w:div>
        <w:div w:id="2104643816">
          <w:marLeft w:val="0"/>
          <w:marRight w:val="0"/>
          <w:marTop w:val="0"/>
          <w:marBottom w:val="0"/>
          <w:divBdr>
            <w:top w:val="none" w:sz="0" w:space="0" w:color="auto"/>
            <w:left w:val="none" w:sz="0" w:space="0" w:color="auto"/>
            <w:bottom w:val="none" w:sz="0" w:space="0" w:color="auto"/>
            <w:right w:val="none" w:sz="0" w:space="0" w:color="auto"/>
          </w:divBdr>
        </w:div>
      </w:divsChild>
    </w:div>
    <w:div w:id="687289429">
      <w:bodyDiv w:val="1"/>
      <w:marLeft w:val="0"/>
      <w:marRight w:val="0"/>
      <w:marTop w:val="0"/>
      <w:marBottom w:val="0"/>
      <w:divBdr>
        <w:top w:val="none" w:sz="0" w:space="0" w:color="auto"/>
        <w:left w:val="none" w:sz="0" w:space="0" w:color="auto"/>
        <w:bottom w:val="none" w:sz="0" w:space="0" w:color="auto"/>
        <w:right w:val="none" w:sz="0" w:space="0" w:color="auto"/>
      </w:divBdr>
    </w:div>
    <w:div w:id="706953519">
      <w:bodyDiv w:val="1"/>
      <w:marLeft w:val="0"/>
      <w:marRight w:val="0"/>
      <w:marTop w:val="0"/>
      <w:marBottom w:val="0"/>
      <w:divBdr>
        <w:top w:val="none" w:sz="0" w:space="0" w:color="auto"/>
        <w:left w:val="none" w:sz="0" w:space="0" w:color="auto"/>
        <w:bottom w:val="none" w:sz="0" w:space="0" w:color="auto"/>
        <w:right w:val="none" w:sz="0" w:space="0" w:color="auto"/>
      </w:divBdr>
      <w:divsChild>
        <w:div w:id="1022515758">
          <w:marLeft w:val="0"/>
          <w:marRight w:val="0"/>
          <w:marTop w:val="0"/>
          <w:marBottom w:val="0"/>
          <w:divBdr>
            <w:top w:val="none" w:sz="0" w:space="0" w:color="auto"/>
            <w:left w:val="none" w:sz="0" w:space="0" w:color="auto"/>
            <w:bottom w:val="none" w:sz="0" w:space="0" w:color="auto"/>
            <w:right w:val="none" w:sz="0" w:space="0" w:color="auto"/>
          </w:divBdr>
        </w:div>
        <w:div w:id="1351106861">
          <w:marLeft w:val="0"/>
          <w:marRight w:val="0"/>
          <w:marTop w:val="0"/>
          <w:marBottom w:val="0"/>
          <w:divBdr>
            <w:top w:val="none" w:sz="0" w:space="0" w:color="auto"/>
            <w:left w:val="none" w:sz="0" w:space="0" w:color="auto"/>
            <w:bottom w:val="none" w:sz="0" w:space="0" w:color="auto"/>
            <w:right w:val="none" w:sz="0" w:space="0" w:color="auto"/>
          </w:divBdr>
        </w:div>
        <w:div w:id="1851138572">
          <w:marLeft w:val="0"/>
          <w:marRight w:val="0"/>
          <w:marTop w:val="0"/>
          <w:marBottom w:val="0"/>
          <w:divBdr>
            <w:top w:val="none" w:sz="0" w:space="0" w:color="auto"/>
            <w:left w:val="none" w:sz="0" w:space="0" w:color="auto"/>
            <w:bottom w:val="none" w:sz="0" w:space="0" w:color="auto"/>
            <w:right w:val="none" w:sz="0" w:space="0" w:color="auto"/>
          </w:divBdr>
        </w:div>
      </w:divsChild>
    </w:div>
    <w:div w:id="864830943">
      <w:bodyDiv w:val="1"/>
      <w:marLeft w:val="0"/>
      <w:marRight w:val="0"/>
      <w:marTop w:val="0"/>
      <w:marBottom w:val="0"/>
      <w:divBdr>
        <w:top w:val="none" w:sz="0" w:space="0" w:color="auto"/>
        <w:left w:val="none" w:sz="0" w:space="0" w:color="auto"/>
        <w:bottom w:val="none" w:sz="0" w:space="0" w:color="auto"/>
        <w:right w:val="none" w:sz="0" w:space="0" w:color="auto"/>
      </w:divBdr>
      <w:divsChild>
        <w:div w:id="540946854">
          <w:marLeft w:val="0"/>
          <w:marRight w:val="0"/>
          <w:marTop w:val="0"/>
          <w:marBottom w:val="0"/>
          <w:divBdr>
            <w:top w:val="none" w:sz="0" w:space="0" w:color="auto"/>
            <w:left w:val="none" w:sz="0" w:space="0" w:color="auto"/>
            <w:bottom w:val="none" w:sz="0" w:space="0" w:color="auto"/>
            <w:right w:val="none" w:sz="0" w:space="0" w:color="auto"/>
          </w:divBdr>
        </w:div>
        <w:div w:id="606280450">
          <w:marLeft w:val="0"/>
          <w:marRight w:val="0"/>
          <w:marTop w:val="0"/>
          <w:marBottom w:val="0"/>
          <w:divBdr>
            <w:top w:val="none" w:sz="0" w:space="0" w:color="auto"/>
            <w:left w:val="none" w:sz="0" w:space="0" w:color="auto"/>
            <w:bottom w:val="none" w:sz="0" w:space="0" w:color="auto"/>
            <w:right w:val="none" w:sz="0" w:space="0" w:color="auto"/>
          </w:divBdr>
        </w:div>
        <w:div w:id="906260616">
          <w:marLeft w:val="0"/>
          <w:marRight w:val="0"/>
          <w:marTop w:val="0"/>
          <w:marBottom w:val="0"/>
          <w:divBdr>
            <w:top w:val="none" w:sz="0" w:space="0" w:color="auto"/>
            <w:left w:val="none" w:sz="0" w:space="0" w:color="auto"/>
            <w:bottom w:val="none" w:sz="0" w:space="0" w:color="auto"/>
            <w:right w:val="none" w:sz="0" w:space="0" w:color="auto"/>
          </w:divBdr>
        </w:div>
        <w:div w:id="1694064738">
          <w:marLeft w:val="0"/>
          <w:marRight w:val="0"/>
          <w:marTop w:val="0"/>
          <w:marBottom w:val="0"/>
          <w:divBdr>
            <w:top w:val="none" w:sz="0" w:space="0" w:color="auto"/>
            <w:left w:val="none" w:sz="0" w:space="0" w:color="auto"/>
            <w:bottom w:val="none" w:sz="0" w:space="0" w:color="auto"/>
            <w:right w:val="none" w:sz="0" w:space="0" w:color="auto"/>
          </w:divBdr>
        </w:div>
      </w:divsChild>
    </w:div>
    <w:div w:id="1432316155">
      <w:bodyDiv w:val="1"/>
      <w:marLeft w:val="0"/>
      <w:marRight w:val="0"/>
      <w:marTop w:val="0"/>
      <w:marBottom w:val="0"/>
      <w:divBdr>
        <w:top w:val="none" w:sz="0" w:space="0" w:color="auto"/>
        <w:left w:val="none" w:sz="0" w:space="0" w:color="auto"/>
        <w:bottom w:val="none" w:sz="0" w:space="0" w:color="auto"/>
        <w:right w:val="none" w:sz="0" w:space="0" w:color="auto"/>
      </w:divBdr>
      <w:divsChild>
        <w:div w:id="1068462017">
          <w:marLeft w:val="0"/>
          <w:marRight w:val="0"/>
          <w:marTop w:val="0"/>
          <w:marBottom w:val="0"/>
          <w:divBdr>
            <w:top w:val="none" w:sz="0" w:space="0" w:color="auto"/>
            <w:left w:val="none" w:sz="0" w:space="0" w:color="auto"/>
            <w:bottom w:val="none" w:sz="0" w:space="0" w:color="auto"/>
            <w:right w:val="none" w:sz="0" w:space="0" w:color="auto"/>
          </w:divBdr>
        </w:div>
        <w:div w:id="1192305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hyperlink" Target="https://www.safetyandquality.gov.au/standards/clinical-care-standards/opioid-analgesic-stewardship-acute-pain-clinical-care-standard" TargetMode="External"/><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yperlink" Target="mailto:info@safercare.vic.gov.a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dhhsvicgovau.sharepoint.com/sites/SCV-SystemSafety-SystemPerformance/Shared%20Documents/Medicines%20Improvement%20Program/Medicines%20Improvement%20Program%202021%20-%2022/2.%20Analgesic%20Stewardship%20Program%20(AGS)/3.%20Toolkit/Toolkit%20(Reviewed%20by%20DN)/AGS%20Toolkit%20(Key%20Document).docx" TargetMode="External"/><Relationship Id="rId29" Type="http://schemas.openxmlformats.org/officeDocument/2006/relationships/hyperlink" Target="https://doi.org/10.1002/jppr.171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9.svg"/><Relationship Id="rId32"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www.safercare.vic" TargetMode="External"/><Relationship Id="rId23" Type="http://schemas.openxmlformats.org/officeDocument/2006/relationships/image" Target="media/image8.png"/><Relationship Id="rId28" Type="http://schemas.openxmlformats.org/officeDocument/2006/relationships/hyperlink" Target="https://www.safetyandquality.gov.au/sites/default/files/2022-04/opioid-analgesic-stewardship-in-acute-pain-clinical-care-standard.pdf" TargetMode="Externa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7.svg"/><Relationship Id="rId27" Type="http://schemas.openxmlformats.org/officeDocument/2006/relationships/hyperlink" Target="https://www.safetyandquality.gov.au/our-work/medication-safety/high-risk-medicines/apinchs-classification-high-riskmedicines" TargetMode="External"/><Relationship Id="rId30" Type="http://schemas.openxmlformats.org/officeDocument/2006/relationships/image" Target="media/image10.jpeg"/><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1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D699F26C689449DA34529243DE60F8D"/>
        <w:category>
          <w:name w:val="General"/>
          <w:gallery w:val="placeholder"/>
        </w:category>
        <w:types>
          <w:type w:val="bbPlcHdr"/>
        </w:types>
        <w:behaviors>
          <w:behavior w:val="content"/>
        </w:behaviors>
        <w:guid w:val="{323F6A61-D989-411F-9403-07631BF8087E}"/>
      </w:docPartPr>
      <w:docPartBody>
        <w:p w:rsidR="009D03F8" w:rsidRDefault="009D03F8">
          <w:pPr>
            <w:pStyle w:val="DD699F26C689449DA34529243DE60F8D"/>
          </w:pPr>
          <w:r w:rsidRPr="006C587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IC">
    <w:altName w:val="Calibri"/>
    <w:panose1 w:val="000005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S PGothic">
    <w:panose1 w:val="020B0600070205080204"/>
    <w:charset w:val="80"/>
    <w:family w:val="swiss"/>
    <w:pitch w:val="variable"/>
    <w:sig w:usb0="E00002FF" w:usb1="6AC7FDFB" w:usb2="08000012" w:usb3="00000000" w:csb0="0002009F" w:csb1="00000000"/>
  </w:font>
  <w:font w:name="VIC SemiBold">
    <w:altName w:val="Calibri"/>
    <w:panose1 w:val="000007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IC Medium">
    <w:altName w:val="Calibri"/>
    <w:panose1 w:val="000006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3F8"/>
    <w:rsid w:val="00015171"/>
    <w:rsid w:val="00103D07"/>
    <w:rsid w:val="002168FD"/>
    <w:rsid w:val="00256904"/>
    <w:rsid w:val="002714C8"/>
    <w:rsid w:val="0029403A"/>
    <w:rsid w:val="00294259"/>
    <w:rsid w:val="00316D6C"/>
    <w:rsid w:val="003749D0"/>
    <w:rsid w:val="00412BED"/>
    <w:rsid w:val="005E6A7D"/>
    <w:rsid w:val="006A0090"/>
    <w:rsid w:val="00716070"/>
    <w:rsid w:val="00785FB9"/>
    <w:rsid w:val="007962DA"/>
    <w:rsid w:val="007E4416"/>
    <w:rsid w:val="008C6A27"/>
    <w:rsid w:val="008E3B0D"/>
    <w:rsid w:val="009212C3"/>
    <w:rsid w:val="0094740C"/>
    <w:rsid w:val="009D03F8"/>
    <w:rsid w:val="00A002E0"/>
    <w:rsid w:val="00A16F1C"/>
    <w:rsid w:val="00AB7731"/>
    <w:rsid w:val="00B46BFE"/>
    <w:rsid w:val="00C125C1"/>
    <w:rsid w:val="00C26641"/>
    <w:rsid w:val="00C730B3"/>
    <w:rsid w:val="00CF7817"/>
    <w:rsid w:val="00DD5AD8"/>
    <w:rsid w:val="00E301AE"/>
    <w:rsid w:val="00E54D3C"/>
    <w:rsid w:val="00F7721D"/>
    <w:rsid w:val="00F83DBD"/>
    <w:rsid w:val="00FB0A3D"/>
    <w:rsid w:val="00FD197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
    <w:semiHidden/>
    <w:rsid w:val="009D03F8"/>
    <w:rPr>
      <w:color w:val="808080"/>
    </w:rPr>
  </w:style>
  <w:style w:type="paragraph" w:customStyle="1" w:styleId="DD699F26C689449DA34529243DE60F8D">
    <w:name w:val="DD699F26C689449DA34529243DE60F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SCV">
      <a:dk1>
        <a:srgbClr val="000000"/>
      </a:dk1>
      <a:lt1>
        <a:srgbClr val="FFFFFF"/>
      </a:lt1>
      <a:dk2>
        <a:srgbClr val="007586"/>
      </a:dk2>
      <a:lt2>
        <a:srgbClr val="EDF5F7"/>
      </a:lt2>
      <a:accent1>
        <a:srgbClr val="4098A4"/>
      </a:accent1>
      <a:accent2>
        <a:srgbClr val="80BAC3"/>
      </a:accent2>
      <a:accent3>
        <a:srgbClr val="BFDDE1"/>
      </a:accent3>
      <a:accent4>
        <a:srgbClr val="404050"/>
      </a:accent4>
      <a:accent5>
        <a:srgbClr val="80808B"/>
      </a:accent5>
      <a:accent6>
        <a:srgbClr val="CCCCD0"/>
      </a:accent6>
      <a:hlink>
        <a:srgbClr val="000000"/>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b2e4f9-c376-4e2f-bd2e-796d1bcd5746">
      <Terms xmlns="http://schemas.microsoft.com/office/infopath/2007/PartnerControls"/>
    </lcf76f155ced4ddcb4097134ff3c332f>
    <TaxCatchAll xmlns="5ce0f2b5-5be5-4508-bce9-d7011ece0659" xsi:nil="true"/>
    <Author0 xmlns="31b2e4f9-c376-4e2f-bd2e-796d1bcd5746" xsi:nil="true"/>
    <Folderuse xmlns="31b2e4f9-c376-4e2f-bd2e-796d1bcd574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21" ma:contentTypeDescription="Create a new document." ma:contentTypeScope="" ma:versionID="6461f27f99c843f6ae0aa2cf0bfbc8ac">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75a847202c3dcfd6749790cfd225b83f"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Folderuse" minOccurs="0"/>
                <xsd:element ref="ns2:Autho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Folderuse" ma:index="26" nillable="true" ma:displayName="Folder use" ma:description="Description of the types of sub folders you will find" ma:format="Dropdown" ma:internalName="Folderuse">
      <xsd:simpleType>
        <xsd:restriction base="dms:Text">
          <xsd:maxLength value="255"/>
        </xsd:restriction>
      </xsd:simpleType>
    </xsd:element>
    <xsd:element name="Author0" ma:index="27" nillable="true" ma:displayName="Author" ma:format="Dropdown" ma:internalName="Author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ba08298-1091-457f-9b79-8f925b23c502}"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E3495D-6420-489A-B373-5DBF3F79CA87}">
  <ds:schemaRefs>
    <ds:schemaRef ds:uri="http://schemas.microsoft.com/sharepoint/v3/contenttype/forms"/>
  </ds:schemaRefs>
</ds:datastoreItem>
</file>

<file path=customXml/itemProps2.xml><?xml version="1.0" encoding="utf-8"?>
<ds:datastoreItem xmlns:ds="http://schemas.openxmlformats.org/officeDocument/2006/customXml" ds:itemID="{766663BC-3B66-4A1B-995F-4AF7BDE16237}">
  <ds:schemaRefs>
    <ds:schemaRef ds:uri="http://schemas.openxmlformats.org/officeDocument/2006/bibliography"/>
  </ds:schemaRefs>
</ds:datastoreItem>
</file>

<file path=customXml/itemProps3.xml><?xml version="1.0" encoding="utf-8"?>
<ds:datastoreItem xmlns:ds="http://schemas.openxmlformats.org/officeDocument/2006/customXml" ds:itemID="{6F938530-630B-4332-BCC6-A092C6AE8C21}">
  <ds:schemaRefs>
    <ds:schemaRef ds:uri="http://schemas.microsoft.com/office/2006/metadata/properties"/>
    <ds:schemaRef ds:uri="http://schemas.microsoft.com/office/infopath/2007/PartnerControls"/>
    <ds:schemaRef ds:uri="31b2e4f9-c376-4e2f-bd2e-796d1bcd5746"/>
    <ds:schemaRef ds:uri="5ce0f2b5-5be5-4508-bce9-d7011ece0659"/>
  </ds:schemaRefs>
</ds:datastoreItem>
</file>

<file path=customXml/itemProps4.xml><?xml version="1.0" encoding="utf-8"?>
<ds:datastoreItem xmlns:ds="http://schemas.openxmlformats.org/officeDocument/2006/customXml" ds:itemID="{E5E9E35F-3AAE-4CE4-9B59-F612DD3C0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2362</Words>
  <Characters>13465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Analgesic stewardship toolkit</vt:lpstr>
    </vt:vector>
  </TitlesOfParts>
  <Company>Department of Treasury and Finance</Company>
  <LinksUpToDate>false</LinksUpToDate>
  <CharactersWithSpaces>15796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Analgesic stewardship toolkit</dc:title>
  <dc:subject/>
  <dc:creator>Safer Care Victoria</dc:creator>
  <cp:keywords/>
  <cp:lastModifiedBy>Max Arnold (Health)</cp:lastModifiedBy>
  <cp:revision>47</cp:revision>
  <cp:lastPrinted>2025-06-26T03:25:00Z</cp:lastPrinted>
  <dcterms:created xsi:type="dcterms:W3CDTF">2025-05-19T04:30:00Z</dcterms:created>
  <dcterms:modified xsi:type="dcterms:W3CDTF">2025-06-26T03:25:00Z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y fmtid="{D5CDD505-2E9C-101B-9397-08002B2CF9AE}" pid="4" name="MSIP_Label_efdf5488-3066-4b6c-8fea-9472b8a1f34c_Enabled">
    <vt:lpwstr>True</vt:lpwstr>
  </property>
  <property fmtid="{D5CDD505-2E9C-101B-9397-08002B2CF9AE}" pid="5" name="MSIP_Label_efdf5488-3066-4b6c-8fea-9472b8a1f34c_SiteId">
    <vt:lpwstr>c0e0601f-0fac-449c-9c88-a104c4eb9f28</vt:lpwstr>
  </property>
  <property fmtid="{D5CDD505-2E9C-101B-9397-08002B2CF9AE}" pid="6" name="MSIP_Label_efdf5488-3066-4b6c-8fea-9472b8a1f34c_Owner">
    <vt:lpwstr>Emma.Gumbleton@safercare.vic.gov.au</vt:lpwstr>
  </property>
  <property fmtid="{D5CDD505-2E9C-101B-9397-08002B2CF9AE}" pid="7" name="MSIP_Label_efdf5488-3066-4b6c-8fea-9472b8a1f34c_SetDate">
    <vt:lpwstr>2020-06-29T07:02:01.3127819Z</vt:lpwstr>
  </property>
  <property fmtid="{D5CDD505-2E9C-101B-9397-08002B2CF9AE}" pid="8" name="MSIP_Label_efdf5488-3066-4b6c-8fea-9472b8a1f34c_Name">
    <vt:lpwstr>DO NOT MARK</vt:lpwstr>
  </property>
  <property fmtid="{D5CDD505-2E9C-101B-9397-08002B2CF9AE}" pid="9" name="MSIP_Label_efdf5488-3066-4b6c-8fea-9472b8a1f34c_Application">
    <vt:lpwstr>Microsoft Azure Information Protection</vt:lpwstr>
  </property>
  <property fmtid="{D5CDD505-2E9C-101B-9397-08002B2CF9AE}" pid="10" name="MSIP_Label_efdf5488-3066-4b6c-8fea-9472b8a1f34c_ActionId">
    <vt:lpwstr>70de6cb0-bc15-4d7c-be36-0289cddd8ca5</vt:lpwstr>
  </property>
  <property fmtid="{D5CDD505-2E9C-101B-9397-08002B2CF9AE}" pid="11" name="MSIP_Label_efdf5488-3066-4b6c-8fea-9472b8a1f34c_Extended_MSFT_Method">
    <vt:lpwstr>Manual</vt:lpwstr>
  </property>
  <property fmtid="{D5CDD505-2E9C-101B-9397-08002B2CF9AE}" pid="12" name="Sensitivity">
    <vt:lpwstr>DO NOT MARK</vt:lpwstr>
  </property>
  <property fmtid="{D5CDD505-2E9C-101B-9397-08002B2CF9AE}" pid="13" name="ContentTypeId">
    <vt:lpwstr>0x01010026D179483B3A4E458E2DA955233B6DD4</vt:lpwstr>
  </property>
  <property fmtid="{D5CDD505-2E9C-101B-9397-08002B2CF9AE}" pid="14" name="MediaServiceImageTags">
    <vt:lpwstr/>
  </property>
</Properties>
</file>