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000D" w14:textId="4CFC30F0" w:rsidR="00521CA5" w:rsidRPr="00876171" w:rsidRDefault="00521CA5" w:rsidP="00521CA5">
      <w:pPr>
        <w:pStyle w:val="SCVborderabovetitle"/>
        <w:pBdr>
          <w:top w:val="single" w:sz="24" w:space="1" w:color="CCCCD0"/>
        </w:pBdr>
      </w:pPr>
    </w:p>
    <w:p w14:paraId="65C9EFC7"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50EAAE45" w14:textId="77777777" w:rsidR="00A82C39" w:rsidRDefault="00652B69" w:rsidP="00521CA5">
      <w:pPr>
        <w:pStyle w:val="SCVfactsheettitle"/>
        <w:spacing w:before="0"/>
      </w:pPr>
      <w:r>
        <w:t xml:space="preserve">Sample </w:t>
      </w:r>
      <w:r w:rsidR="0057473A">
        <w:t xml:space="preserve">Acute Pain and </w:t>
      </w:r>
      <w:r w:rsidR="00FB464E">
        <w:t>Opioid Analgesic Discharge Guideline</w:t>
      </w:r>
      <w:r w:rsidR="00A82C39">
        <w:t xml:space="preserve"> </w:t>
      </w:r>
    </w:p>
    <w:p w14:paraId="0F008548" w14:textId="0451CB23" w:rsidR="00C50A2B" w:rsidRPr="00A82C39" w:rsidRDefault="00A82C39" w:rsidP="00521CA5">
      <w:pPr>
        <w:pStyle w:val="SCVfactsheettitle"/>
        <w:spacing w:before="0"/>
      </w:pPr>
      <w:r w:rsidRPr="00A82C39">
        <w:rPr>
          <w:sz w:val="28"/>
          <w:szCs w:val="28"/>
        </w:rPr>
        <w:t>*Adapted from Alfred Health</w:t>
      </w:r>
    </w:p>
    <w:p w14:paraId="57A7C3B6" w14:textId="0CBD4CFE" w:rsidR="00C50A2B" w:rsidRPr="00876171" w:rsidRDefault="00B214D7" w:rsidP="00C15DBE">
      <w:pPr>
        <w:pStyle w:val="Heading1"/>
      </w:pPr>
      <w:r>
        <w:t>Target Audience</w:t>
      </w:r>
    </w:p>
    <w:p w14:paraId="061B21FD" w14:textId="14766955" w:rsidR="00B214D7" w:rsidRDefault="00B214D7" w:rsidP="00C50A2B">
      <w:pPr>
        <w:pStyle w:val="SCVbody"/>
      </w:pPr>
      <w:r>
        <w:t xml:space="preserve">Medical, nursing and pharmacy staff across </w:t>
      </w:r>
      <w:r w:rsidRPr="00541444">
        <w:rPr>
          <w:highlight w:val="yellow"/>
        </w:rPr>
        <w:t>[HEALTH SERVICE]</w:t>
      </w:r>
    </w:p>
    <w:p w14:paraId="50E996C2" w14:textId="1088260C" w:rsidR="00B214D7" w:rsidRPr="00876171" w:rsidRDefault="00B214D7" w:rsidP="00B214D7">
      <w:pPr>
        <w:pStyle w:val="Heading1"/>
      </w:pPr>
      <w:r>
        <w:t>Purpose</w:t>
      </w:r>
    </w:p>
    <w:p w14:paraId="4F1DC4F2" w14:textId="77777777" w:rsidR="0057473A" w:rsidRDefault="00B214D7" w:rsidP="00C50A2B">
      <w:pPr>
        <w:pStyle w:val="SCVbody"/>
      </w:pPr>
      <w:r>
        <w:t>This guideline is to</w:t>
      </w:r>
      <w:r w:rsidR="0057473A">
        <w:t>:</w:t>
      </w:r>
    </w:p>
    <w:p w14:paraId="0ECE741E" w14:textId="24DA77A6" w:rsidR="0057473A" w:rsidRDefault="0057473A" w:rsidP="00E72C93">
      <w:pPr>
        <w:pStyle w:val="SCVbullet1"/>
      </w:pPr>
      <w:r>
        <w:t xml:space="preserve">Provide a summary of management of acute pain in the adult population at </w:t>
      </w:r>
      <w:r w:rsidRPr="00541444">
        <w:rPr>
          <w:highlight w:val="yellow"/>
        </w:rPr>
        <w:t>[HEALTH SERVICE]</w:t>
      </w:r>
      <w:r>
        <w:t xml:space="preserve"> and outline an approach to treating acute pain using a multimodal analgesic approach based on the WHO analgesic ladder.</w:t>
      </w:r>
    </w:p>
    <w:p w14:paraId="1DB3A4DE" w14:textId="163D234E" w:rsidR="00B214D7" w:rsidRDefault="0057473A" w:rsidP="0057473A">
      <w:pPr>
        <w:pStyle w:val="SCVbullet1"/>
      </w:pPr>
      <w:r>
        <w:t>S</w:t>
      </w:r>
      <w:r w:rsidR="00B214D7">
        <w:t xml:space="preserve">upport clinicians support transfer of care patients discharged with opioid analgesics at </w:t>
      </w:r>
      <w:r w:rsidR="00B214D7" w:rsidRPr="00541444">
        <w:rPr>
          <w:highlight w:val="yellow"/>
        </w:rPr>
        <w:t>[HEALTH SERVICE].</w:t>
      </w:r>
      <w:r w:rsidR="00B214D7">
        <w:t xml:space="preserve"> The guideline is for use for clinicians to wean and cease analgesics</w:t>
      </w:r>
      <w:r w:rsidR="00FB464E">
        <w:t>,</w:t>
      </w:r>
      <w:r w:rsidR="00B214D7">
        <w:t xml:space="preserve"> provide guidance on required documentation to be provided to patients or carers and clinical handover documentation to be provided to general practitioners or other primary care clinicians.</w:t>
      </w:r>
    </w:p>
    <w:p w14:paraId="1389C81F" w14:textId="7BA0CE23" w:rsidR="00CF7DD3" w:rsidRPr="00876171" w:rsidRDefault="00CF7DD3" w:rsidP="00CF7DD3">
      <w:pPr>
        <w:pStyle w:val="Heading1"/>
      </w:pPr>
      <w:r>
        <w:t>Scope</w:t>
      </w:r>
    </w:p>
    <w:p w14:paraId="65B1F205" w14:textId="044D80D8" w:rsidR="00CF7DD3" w:rsidRDefault="00CF7DD3" w:rsidP="00C50A2B">
      <w:pPr>
        <w:pStyle w:val="SCVbody"/>
      </w:pPr>
      <w:r w:rsidRPr="0057473A">
        <w:t xml:space="preserve">This guideline is applicable to </w:t>
      </w:r>
      <w:r w:rsidR="0057473A" w:rsidRPr="00541444">
        <w:rPr>
          <w:highlight w:val="yellow"/>
        </w:rPr>
        <w:t>[HEALTH SERVICE</w:t>
      </w:r>
      <w:r w:rsidR="0057473A">
        <w:rPr>
          <w:highlight w:val="yellow"/>
        </w:rPr>
        <w:t xml:space="preserve"> TO DETERMINE</w:t>
      </w:r>
      <w:r w:rsidR="0057473A" w:rsidRPr="00541444">
        <w:rPr>
          <w:highlight w:val="yellow"/>
        </w:rPr>
        <w:t>]</w:t>
      </w:r>
    </w:p>
    <w:p w14:paraId="2C547FBD" w14:textId="33DDD712" w:rsidR="0057473A" w:rsidRDefault="0057473A" w:rsidP="00C50A2B">
      <w:pPr>
        <w:pStyle w:val="SCVbody"/>
      </w:pPr>
    </w:p>
    <w:p w14:paraId="60909AB7" w14:textId="4736491E" w:rsidR="0057473A" w:rsidRDefault="0057473A" w:rsidP="00C50A2B">
      <w:pPr>
        <w:pStyle w:val="SCVbody"/>
      </w:pPr>
    </w:p>
    <w:p w14:paraId="089FD067" w14:textId="63EA8E21" w:rsidR="0057473A" w:rsidRDefault="0057473A" w:rsidP="00C50A2B">
      <w:pPr>
        <w:pStyle w:val="SCVbody"/>
      </w:pPr>
    </w:p>
    <w:p w14:paraId="385B716A" w14:textId="183432DB" w:rsidR="0057473A" w:rsidRDefault="0057473A" w:rsidP="00C50A2B">
      <w:pPr>
        <w:pStyle w:val="SCVbody"/>
      </w:pPr>
    </w:p>
    <w:p w14:paraId="258FC956" w14:textId="08E4FCDA" w:rsidR="0057473A" w:rsidRDefault="0057473A" w:rsidP="00C50A2B">
      <w:pPr>
        <w:pStyle w:val="SCVbody"/>
      </w:pPr>
    </w:p>
    <w:p w14:paraId="53C4FBFB" w14:textId="59DA3FA1" w:rsidR="0057473A" w:rsidRDefault="0057473A" w:rsidP="00C50A2B">
      <w:pPr>
        <w:pStyle w:val="SCVbody"/>
      </w:pPr>
    </w:p>
    <w:p w14:paraId="24C7E74B" w14:textId="08512382" w:rsidR="0057473A" w:rsidRDefault="0057473A" w:rsidP="00C50A2B">
      <w:pPr>
        <w:pStyle w:val="SCVbody"/>
      </w:pPr>
    </w:p>
    <w:p w14:paraId="2BCBDA2A" w14:textId="1562B892" w:rsidR="0057473A" w:rsidRDefault="0057473A" w:rsidP="00C50A2B">
      <w:pPr>
        <w:pStyle w:val="SCVbody"/>
      </w:pPr>
    </w:p>
    <w:p w14:paraId="074F7583" w14:textId="11B78C28" w:rsidR="0057473A" w:rsidRDefault="0057473A" w:rsidP="00C50A2B">
      <w:pPr>
        <w:pStyle w:val="SCVbody"/>
      </w:pPr>
    </w:p>
    <w:p w14:paraId="49889221" w14:textId="5BC5C041" w:rsidR="0057473A" w:rsidRDefault="0057473A" w:rsidP="00C50A2B">
      <w:pPr>
        <w:pStyle w:val="SCVbody"/>
      </w:pPr>
    </w:p>
    <w:p w14:paraId="4C6D57FA" w14:textId="4922802E" w:rsidR="0057473A" w:rsidRDefault="0057473A" w:rsidP="00C50A2B">
      <w:pPr>
        <w:pStyle w:val="SCVbody"/>
      </w:pPr>
    </w:p>
    <w:p w14:paraId="4B9C31A9" w14:textId="3A8E3DED" w:rsidR="0057473A" w:rsidRDefault="0057473A" w:rsidP="00C50A2B">
      <w:pPr>
        <w:pStyle w:val="SCVbody"/>
      </w:pPr>
    </w:p>
    <w:p w14:paraId="7DEA73FA" w14:textId="7EBE8097" w:rsidR="0057473A" w:rsidRDefault="0057473A" w:rsidP="00C50A2B">
      <w:pPr>
        <w:pStyle w:val="SCVbody"/>
      </w:pPr>
    </w:p>
    <w:p w14:paraId="6D5823E7" w14:textId="3F0550F8" w:rsidR="0057473A" w:rsidRDefault="0057473A" w:rsidP="00C50A2B">
      <w:pPr>
        <w:pStyle w:val="SCVbody"/>
      </w:pPr>
    </w:p>
    <w:p w14:paraId="0243B371" w14:textId="218CAB7D" w:rsidR="0057473A" w:rsidRDefault="0057473A" w:rsidP="0057473A">
      <w:pPr>
        <w:pStyle w:val="Heading1"/>
      </w:pPr>
      <w:r>
        <w:t>Pharmacological Management of Acute Pain</w:t>
      </w:r>
    </w:p>
    <w:p w14:paraId="2C9BA411" w14:textId="1E65C24E" w:rsidR="0057473A" w:rsidRDefault="0057473A" w:rsidP="0057473A">
      <w:pPr>
        <w:pStyle w:val="SCVbullet1"/>
      </w:pPr>
      <w:r>
        <w:t>Goal is to improve function</w:t>
      </w:r>
    </w:p>
    <w:p w14:paraId="711CBD73" w14:textId="77777777" w:rsidR="0057473A" w:rsidRDefault="0057473A" w:rsidP="0057473A">
      <w:pPr>
        <w:pStyle w:val="SCVbullet1"/>
      </w:pPr>
      <w:r>
        <w:t>Start treatment appropriate for the reported severity of pain</w:t>
      </w:r>
    </w:p>
    <w:p w14:paraId="492F6166" w14:textId="77777777" w:rsidR="0057473A" w:rsidRDefault="0057473A" w:rsidP="0057473A">
      <w:pPr>
        <w:pStyle w:val="SCVbullet1"/>
        <w:rPr>
          <w:b/>
          <w:bCs/>
          <w:color w:val="004C97" w:themeColor="accent4"/>
        </w:rPr>
      </w:pPr>
      <w:r w:rsidRPr="0057473A">
        <w:rPr>
          <w:b/>
          <w:bCs/>
          <w:color w:val="004C97" w:themeColor="accent4"/>
        </w:rPr>
        <w:t xml:space="preserve">Aim for pain scores of </w:t>
      </w:r>
      <w:r w:rsidRPr="0057473A">
        <w:rPr>
          <w:b/>
          <w:bCs/>
          <w:color w:val="004C97" w:themeColor="accent4"/>
          <w:u w:val="single"/>
        </w:rPr>
        <w:t>&lt;</w:t>
      </w:r>
      <w:r w:rsidRPr="0057473A">
        <w:rPr>
          <w:b/>
          <w:bCs/>
          <w:color w:val="004C97" w:themeColor="accent4"/>
        </w:rPr>
        <w:t xml:space="preserve"> 4 &amp; Functional Activity Scores of A or B         </w:t>
      </w:r>
    </w:p>
    <w:p w14:paraId="17D8D0D9" w14:textId="2085D454" w:rsidR="0057473A" w:rsidRPr="0057473A" w:rsidRDefault="0057473A" w:rsidP="0057473A">
      <w:pPr>
        <w:pStyle w:val="SCVbullet1"/>
        <w:numPr>
          <w:ilvl w:val="0"/>
          <w:numId w:val="0"/>
        </w:numPr>
        <w:ind w:left="284"/>
        <w:rPr>
          <w:b/>
          <w:bCs/>
          <w:color w:val="004C97" w:themeColor="accent4"/>
        </w:rPr>
      </w:pPr>
      <w:r w:rsidRPr="0057473A">
        <w:rPr>
          <w:b/>
          <w:bCs/>
          <w:color w:val="004C97" w:themeColor="accent4"/>
        </w:rPr>
        <w:t xml:space="preserve">                                                                                                                                </w:t>
      </w:r>
    </w:p>
    <w:tbl>
      <w:tblPr>
        <w:tblStyle w:val="TableGrid"/>
        <w:tblW w:w="10343" w:type="dxa"/>
        <w:tblLook w:val="04A0" w:firstRow="1" w:lastRow="0" w:firstColumn="1" w:lastColumn="0" w:noHBand="0" w:noVBand="1"/>
      </w:tblPr>
      <w:tblGrid>
        <w:gridCol w:w="2972"/>
        <w:gridCol w:w="3544"/>
        <w:gridCol w:w="3827"/>
      </w:tblGrid>
      <w:tr w:rsidR="0057473A" w14:paraId="4FC783A3" w14:textId="77777777" w:rsidTr="0057473A">
        <w:trPr>
          <w:cnfStyle w:val="100000000000" w:firstRow="1" w:lastRow="0" w:firstColumn="0" w:lastColumn="0" w:oddVBand="0" w:evenVBand="0" w:oddHBand="0" w:evenHBand="0" w:firstRowFirstColumn="0" w:firstRowLastColumn="0" w:lastRowFirstColumn="0" w:lastRowLastColumn="0"/>
          <w:trHeight w:val="747"/>
        </w:trPr>
        <w:tc>
          <w:tcPr>
            <w:tcW w:w="2972" w:type="dxa"/>
            <w:tcBorders>
              <w:top w:val="single" w:sz="4" w:space="0" w:color="auto"/>
              <w:left w:val="single" w:sz="4" w:space="0" w:color="auto"/>
              <w:bottom w:val="single" w:sz="4" w:space="0" w:color="auto"/>
              <w:right w:val="single" w:sz="4" w:space="0" w:color="auto"/>
            </w:tcBorders>
            <w:shd w:val="clear" w:color="auto" w:fill="92D050"/>
            <w:hideMark/>
          </w:tcPr>
          <w:p w14:paraId="4A96F048" w14:textId="77777777" w:rsidR="0057473A" w:rsidRDefault="0057473A">
            <w:pPr>
              <w:jc w:val="center"/>
              <w:rPr>
                <w:b/>
                <w:bCs/>
                <w:sz w:val="20"/>
                <w:szCs w:val="20"/>
              </w:rPr>
            </w:pPr>
            <w:r>
              <w:rPr>
                <w:b/>
                <w:bCs/>
              </w:rPr>
              <w:t>Mild Pain</w:t>
            </w:r>
          </w:p>
          <w:p w14:paraId="1B8CC78F" w14:textId="77777777" w:rsidR="0057473A" w:rsidRDefault="0057473A">
            <w:pPr>
              <w:jc w:val="center"/>
              <w:rPr>
                <w:bCs/>
                <w:sz w:val="20"/>
                <w:szCs w:val="20"/>
              </w:rPr>
            </w:pPr>
            <w:r>
              <w:rPr>
                <w:bCs/>
              </w:rPr>
              <w:t>Pain Score 1-3</w:t>
            </w:r>
          </w:p>
          <w:p w14:paraId="02D084C8" w14:textId="77777777" w:rsidR="0057473A" w:rsidRDefault="0057473A">
            <w:pPr>
              <w:jc w:val="center"/>
              <w:rPr>
                <w:b/>
                <w:bCs/>
                <w:sz w:val="20"/>
                <w:szCs w:val="20"/>
              </w:rPr>
            </w:pPr>
            <w:r>
              <w:rPr>
                <w:bCs/>
              </w:rPr>
              <w:t>FAS A</w:t>
            </w:r>
          </w:p>
        </w:tc>
        <w:tc>
          <w:tcPr>
            <w:tcW w:w="3544" w:type="dxa"/>
            <w:tcBorders>
              <w:top w:val="single" w:sz="4" w:space="0" w:color="auto"/>
              <w:left w:val="single" w:sz="4" w:space="0" w:color="auto"/>
              <w:bottom w:val="single" w:sz="4" w:space="0" w:color="auto"/>
              <w:right w:val="single" w:sz="4" w:space="0" w:color="auto"/>
            </w:tcBorders>
            <w:shd w:val="clear" w:color="auto" w:fill="F8FD35"/>
            <w:hideMark/>
          </w:tcPr>
          <w:p w14:paraId="1482993E" w14:textId="77777777" w:rsidR="0057473A" w:rsidRDefault="0057473A">
            <w:pPr>
              <w:jc w:val="center"/>
              <w:rPr>
                <w:b/>
                <w:bCs/>
                <w:sz w:val="20"/>
                <w:szCs w:val="20"/>
              </w:rPr>
            </w:pPr>
            <w:r>
              <w:rPr>
                <w:b/>
                <w:bCs/>
              </w:rPr>
              <w:t>Moderate Pain</w:t>
            </w:r>
          </w:p>
          <w:p w14:paraId="713D95EC" w14:textId="77777777" w:rsidR="0057473A" w:rsidRDefault="0057473A">
            <w:pPr>
              <w:jc w:val="center"/>
              <w:rPr>
                <w:bCs/>
                <w:sz w:val="20"/>
                <w:szCs w:val="20"/>
              </w:rPr>
            </w:pPr>
            <w:r>
              <w:rPr>
                <w:bCs/>
              </w:rPr>
              <w:t>Pain Score 4-7</w:t>
            </w:r>
          </w:p>
          <w:p w14:paraId="62AD6AA1" w14:textId="77777777" w:rsidR="0057473A" w:rsidRDefault="0057473A">
            <w:pPr>
              <w:jc w:val="center"/>
              <w:rPr>
                <w:b/>
                <w:bCs/>
                <w:sz w:val="20"/>
                <w:szCs w:val="20"/>
              </w:rPr>
            </w:pPr>
            <w:r>
              <w:rPr>
                <w:bCs/>
              </w:rPr>
              <w:t>FAS B</w:t>
            </w:r>
          </w:p>
        </w:tc>
        <w:tc>
          <w:tcPr>
            <w:tcW w:w="3827" w:type="dxa"/>
            <w:tcBorders>
              <w:top w:val="single" w:sz="4" w:space="0" w:color="auto"/>
              <w:left w:val="single" w:sz="4" w:space="0" w:color="auto"/>
              <w:bottom w:val="single" w:sz="4" w:space="0" w:color="auto"/>
              <w:right w:val="single" w:sz="4" w:space="0" w:color="auto"/>
            </w:tcBorders>
            <w:shd w:val="clear" w:color="auto" w:fill="F0A28A" w:themeFill="accent6" w:themeFillTint="99"/>
            <w:hideMark/>
          </w:tcPr>
          <w:p w14:paraId="31E091E8" w14:textId="77777777" w:rsidR="0057473A" w:rsidRDefault="0057473A">
            <w:pPr>
              <w:jc w:val="center"/>
              <w:rPr>
                <w:b/>
                <w:bCs/>
                <w:sz w:val="20"/>
                <w:szCs w:val="20"/>
              </w:rPr>
            </w:pPr>
            <w:r>
              <w:rPr>
                <w:b/>
                <w:bCs/>
              </w:rPr>
              <w:t>Severe Pain</w:t>
            </w:r>
          </w:p>
          <w:p w14:paraId="0F4A4EF2" w14:textId="77777777" w:rsidR="0057473A" w:rsidRDefault="0057473A">
            <w:pPr>
              <w:jc w:val="center"/>
              <w:rPr>
                <w:bCs/>
                <w:sz w:val="20"/>
                <w:szCs w:val="20"/>
              </w:rPr>
            </w:pPr>
            <w:r>
              <w:rPr>
                <w:bCs/>
              </w:rPr>
              <w:t>Pain Score 8-10</w:t>
            </w:r>
          </w:p>
          <w:p w14:paraId="30C34F57" w14:textId="77777777" w:rsidR="0057473A" w:rsidRDefault="0057473A">
            <w:pPr>
              <w:jc w:val="center"/>
              <w:rPr>
                <w:b/>
                <w:bCs/>
                <w:sz w:val="20"/>
                <w:szCs w:val="20"/>
              </w:rPr>
            </w:pPr>
            <w:r>
              <w:rPr>
                <w:bCs/>
              </w:rPr>
              <w:t>FAS C</w:t>
            </w:r>
          </w:p>
        </w:tc>
      </w:tr>
      <w:tr w:rsidR="0057473A" w14:paraId="277D976B" w14:textId="77777777" w:rsidTr="0057473A">
        <w:trPr>
          <w:trHeight w:val="3395"/>
        </w:trPr>
        <w:tc>
          <w:tcPr>
            <w:tcW w:w="2972" w:type="dxa"/>
            <w:tcBorders>
              <w:top w:val="single" w:sz="4" w:space="0" w:color="auto"/>
              <w:left w:val="single" w:sz="4" w:space="0" w:color="auto"/>
              <w:bottom w:val="single" w:sz="4" w:space="0" w:color="auto"/>
              <w:right w:val="single" w:sz="4" w:space="0" w:color="auto"/>
            </w:tcBorders>
            <w:shd w:val="clear" w:color="auto" w:fill="92D050"/>
          </w:tcPr>
          <w:p w14:paraId="3411E58C" w14:textId="77777777" w:rsidR="0057473A" w:rsidRDefault="0057473A">
            <w:pPr>
              <w:rPr>
                <w:b/>
                <w:sz w:val="20"/>
                <w:szCs w:val="20"/>
              </w:rPr>
            </w:pPr>
          </w:p>
          <w:p w14:paraId="2DA003D4" w14:textId="77777777" w:rsidR="0057473A" w:rsidRDefault="0057473A">
            <w:pPr>
              <w:rPr>
                <w:sz w:val="20"/>
                <w:szCs w:val="20"/>
              </w:rPr>
            </w:pPr>
            <w:r>
              <w:rPr>
                <w:b/>
              </w:rPr>
              <w:t xml:space="preserve">Paracetamol </w:t>
            </w:r>
            <w:r>
              <w:t>1 g PO QID</w:t>
            </w:r>
          </w:p>
          <w:p w14:paraId="6EBF98EE" w14:textId="77777777" w:rsidR="0057473A" w:rsidRDefault="0057473A">
            <w:pPr>
              <w:ind w:left="720"/>
              <w:rPr>
                <w:sz w:val="20"/>
                <w:szCs w:val="20"/>
              </w:rPr>
            </w:pPr>
            <w:r>
              <w:t>AND/OR</w:t>
            </w:r>
          </w:p>
          <w:p w14:paraId="475AD626" w14:textId="77777777" w:rsidR="0057473A" w:rsidRDefault="0057473A">
            <w:pPr>
              <w:rPr>
                <w:sz w:val="20"/>
                <w:szCs w:val="20"/>
              </w:rPr>
            </w:pPr>
            <w:r>
              <w:rPr>
                <w:b/>
              </w:rPr>
              <w:t>Celecoxib</w:t>
            </w:r>
            <w:r>
              <w:t xml:space="preserve"> 100 - 200mg BD (unless contraindicated) or </w:t>
            </w:r>
            <w:r>
              <w:rPr>
                <w:b/>
              </w:rPr>
              <w:t>Ibuprofen</w:t>
            </w:r>
            <w:r>
              <w:t xml:space="preserve"> 400mg TDS-QID</w:t>
            </w:r>
            <w:r>
              <w:rPr>
                <w:sz w:val="20"/>
                <w:szCs w:val="20"/>
                <w:vertAlign w:val="superscript"/>
              </w:rPr>
              <w:t>#</w:t>
            </w:r>
          </w:p>
          <w:p w14:paraId="02D65B08" w14:textId="77777777" w:rsidR="0057473A" w:rsidRDefault="0057473A">
            <w:pPr>
              <w:jc w:val="center"/>
              <w:rPr>
                <w:b/>
                <w:bCs/>
                <w:color w:val="333333"/>
                <w:sz w:val="20"/>
                <w:szCs w:val="20"/>
              </w:rPr>
            </w:pPr>
          </w:p>
          <w:p w14:paraId="746EF29B" w14:textId="77777777" w:rsidR="0057473A" w:rsidRDefault="0057473A">
            <w:pPr>
              <w:rPr>
                <w:b/>
                <w:bCs/>
                <w:sz w:val="20"/>
                <w:szCs w:val="20"/>
              </w:rPr>
            </w:pPr>
            <w:r>
              <w:rPr>
                <w:i/>
                <w:iCs/>
                <w:u w:val="single"/>
              </w:rPr>
              <w:t>Consider all precautions, contraindications and side effects</w:t>
            </w:r>
          </w:p>
        </w:tc>
        <w:tc>
          <w:tcPr>
            <w:tcW w:w="3544" w:type="dxa"/>
            <w:tcBorders>
              <w:top w:val="single" w:sz="4" w:space="0" w:color="auto"/>
              <w:left w:val="single" w:sz="4" w:space="0" w:color="auto"/>
              <w:bottom w:val="single" w:sz="4" w:space="0" w:color="auto"/>
              <w:right w:val="single" w:sz="4" w:space="0" w:color="auto"/>
            </w:tcBorders>
            <w:shd w:val="clear" w:color="auto" w:fill="F8FD35"/>
          </w:tcPr>
          <w:p w14:paraId="5F5E270F" w14:textId="77777777" w:rsidR="0057473A" w:rsidRDefault="0057473A">
            <w:pPr>
              <w:rPr>
                <w:b/>
                <w:sz w:val="20"/>
                <w:szCs w:val="20"/>
              </w:rPr>
            </w:pPr>
          </w:p>
          <w:p w14:paraId="3A0D59DE" w14:textId="77777777" w:rsidR="0057473A" w:rsidRDefault="0057473A">
            <w:pPr>
              <w:rPr>
                <w:sz w:val="20"/>
                <w:szCs w:val="20"/>
              </w:rPr>
            </w:pPr>
            <w:r>
              <w:rPr>
                <w:b/>
              </w:rPr>
              <w:t xml:space="preserve">Paracetamol </w:t>
            </w:r>
            <w:r>
              <w:t>1 g PO QID</w:t>
            </w:r>
          </w:p>
          <w:p w14:paraId="2D3D774F" w14:textId="77777777" w:rsidR="0057473A" w:rsidRDefault="0057473A">
            <w:pPr>
              <w:rPr>
                <w:sz w:val="20"/>
                <w:szCs w:val="20"/>
              </w:rPr>
            </w:pPr>
            <w:r>
              <w:t xml:space="preserve">                 AND</w:t>
            </w:r>
          </w:p>
          <w:p w14:paraId="2A16ED7D" w14:textId="77777777" w:rsidR="0057473A" w:rsidRDefault="0057473A">
            <w:pPr>
              <w:rPr>
                <w:sz w:val="20"/>
                <w:szCs w:val="20"/>
              </w:rPr>
            </w:pPr>
            <w:r>
              <w:rPr>
                <w:b/>
                <w:sz w:val="20"/>
                <w:szCs w:val="20"/>
              </w:rPr>
              <w:t>Celecoxib</w:t>
            </w:r>
            <w:r>
              <w:rPr>
                <w:sz w:val="20"/>
                <w:szCs w:val="20"/>
              </w:rPr>
              <w:t xml:space="preserve"> 100 - 200mg BD (unless contraindicated) or </w:t>
            </w:r>
            <w:r>
              <w:rPr>
                <w:b/>
                <w:sz w:val="20"/>
                <w:szCs w:val="20"/>
              </w:rPr>
              <w:t>Ibuprofen</w:t>
            </w:r>
            <w:r>
              <w:rPr>
                <w:sz w:val="20"/>
                <w:szCs w:val="20"/>
              </w:rPr>
              <w:t xml:space="preserve"> 400mg TDS-QID</w:t>
            </w:r>
            <w:r>
              <w:rPr>
                <w:sz w:val="20"/>
                <w:szCs w:val="20"/>
                <w:vertAlign w:val="superscript"/>
              </w:rPr>
              <w:t>#</w:t>
            </w:r>
          </w:p>
          <w:p w14:paraId="4CA19B71" w14:textId="77777777" w:rsidR="0057473A" w:rsidRDefault="0057473A">
            <w:pPr>
              <w:ind w:left="720"/>
              <w:rPr>
                <w:sz w:val="20"/>
                <w:szCs w:val="20"/>
              </w:rPr>
            </w:pPr>
          </w:p>
          <w:p w14:paraId="6ED51F61" w14:textId="77777777" w:rsidR="0057473A" w:rsidRDefault="0057473A">
            <w:pPr>
              <w:rPr>
                <w:b/>
                <w:bCs/>
                <w:i/>
                <w:iCs/>
                <w:sz w:val="20"/>
                <w:szCs w:val="20"/>
              </w:rPr>
            </w:pPr>
            <w:r>
              <w:rPr>
                <w:b/>
                <w:bCs/>
                <w:i/>
                <w:iCs/>
              </w:rPr>
              <w:t>Consider adding:</w:t>
            </w:r>
          </w:p>
          <w:p w14:paraId="0121CA92" w14:textId="77777777" w:rsidR="0057473A" w:rsidRDefault="0057473A" w:rsidP="00E72C93">
            <w:pPr>
              <w:numPr>
                <w:ilvl w:val="0"/>
                <w:numId w:val="8"/>
              </w:numPr>
              <w:ind w:left="360"/>
              <w:rPr>
                <w:sz w:val="20"/>
                <w:szCs w:val="20"/>
              </w:rPr>
            </w:pPr>
            <w:r>
              <w:rPr>
                <w:b/>
              </w:rPr>
              <w:t>Tramadol</w:t>
            </w:r>
            <w:r>
              <w:t xml:space="preserve"> 50 – 100 mg PO or IV QID (Avoid in &gt;75 years old, history</w:t>
            </w:r>
            <w:r>
              <w:rPr>
                <w:sz w:val="20"/>
                <w:szCs w:val="20"/>
              </w:rPr>
              <w:t>/risk</w:t>
            </w:r>
            <w:r>
              <w:t xml:space="preserve"> seizures</w:t>
            </w:r>
            <w:r>
              <w:rPr>
                <w:sz w:val="20"/>
                <w:szCs w:val="20"/>
              </w:rPr>
              <w:t>, hyperbaric</w:t>
            </w:r>
            <w:r>
              <w:t>)</w:t>
            </w:r>
          </w:p>
          <w:p w14:paraId="0865001C" w14:textId="77777777" w:rsidR="0057473A" w:rsidRDefault="0057473A">
            <w:pPr>
              <w:rPr>
                <w:b/>
                <w:bCs/>
                <w:sz w:val="20"/>
                <w:szCs w:val="20"/>
              </w:rPr>
            </w:pPr>
            <w:r>
              <w:rPr>
                <w:b/>
                <w:bCs/>
              </w:rPr>
              <w:t xml:space="preserve">                              </w:t>
            </w:r>
          </w:p>
          <w:p w14:paraId="25C1E713" w14:textId="77777777" w:rsidR="0057473A" w:rsidRDefault="0057473A">
            <w:pPr>
              <w:rPr>
                <w:b/>
                <w:bCs/>
                <w:i/>
                <w:iCs/>
                <w:sz w:val="20"/>
                <w:szCs w:val="20"/>
              </w:rPr>
            </w:pPr>
            <w:r>
              <w:rPr>
                <w:b/>
                <w:bCs/>
                <w:i/>
                <w:iCs/>
              </w:rPr>
              <w:t>And if above unsuccessful/not suitable add:</w:t>
            </w:r>
          </w:p>
          <w:p w14:paraId="1ACA8C06" w14:textId="77777777" w:rsidR="0057473A" w:rsidRDefault="0057473A" w:rsidP="00E72C93">
            <w:pPr>
              <w:pStyle w:val="ListParagraph"/>
              <w:numPr>
                <w:ilvl w:val="0"/>
                <w:numId w:val="9"/>
              </w:numPr>
              <w:rPr>
                <w:b/>
                <w:sz w:val="20"/>
                <w:szCs w:val="20"/>
              </w:rPr>
            </w:pPr>
            <w:proofErr w:type="spellStart"/>
            <w:r>
              <w:rPr>
                <w:b/>
                <w:sz w:val="20"/>
                <w:szCs w:val="20"/>
              </w:rPr>
              <w:t>Tapentadol</w:t>
            </w:r>
            <w:proofErr w:type="spellEnd"/>
            <w:r>
              <w:rPr>
                <w:b/>
                <w:sz w:val="20"/>
                <w:szCs w:val="20"/>
              </w:rPr>
              <w:t xml:space="preserve"> immediate release</w:t>
            </w:r>
          </w:p>
          <w:p w14:paraId="676A8247" w14:textId="77777777" w:rsidR="0057473A" w:rsidRDefault="0057473A">
            <w:pPr>
              <w:pStyle w:val="ListParagraph"/>
              <w:ind w:left="360"/>
              <w:rPr>
                <w:sz w:val="20"/>
                <w:szCs w:val="20"/>
              </w:rPr>
            </w:pPr>
            <w:r>
              <w:rPr>
                <w:sz w:val="20"/>
                <w:szCs w:val="20"/>
              </w:rPr>
              <w:t>&lt; 70 years: 50mg every 3 hours</w:t>
            </w:r>
          </w:p>
          <w:p w14:paraId="7C14D9E9" w14:textId="77777777" w:rsidR="0057473A" w:rsidRDefault="0057473A" w:rsidP="00E72C93">
            <w:pPr>
              <w:pStyle w:val="ListParagraph"/>
              <w:numPr>
                <w:ilvl w:val="0"/>
                <w:numId w:val="9"/>
              </w:numPr>
              <w:rPr>
                <w:b/>
                <w:sz w:val="20"/>
                <w:szCs w:val="20"/>
              </w:rPr>
            </w:pPr>
            <w:r>
              <w:rPr>
                <w:b/>
                <w:sz w:val="20"/>
                <w:szCs w:val="20"/>
              </w:rPr>
              <w:t>Oxycodone immediate release</w:t>
            </w:r>
            <w:r>
              <w:rPr>
                <w:b/>
                <w:sz w:val="20"/>
                <w:szCs w:val="20"/>
                <w:vertAlign w:val="superscript"/>
              </w:rPr>
              <w:t xml:space="preserve"> </w:t>
            </w:r>
            <w:r>
              <w:rPr>
                <w:b/>
                <w:sz w:val="20"/>
                <w:szCs w:val="20"/>
              </w:rPr>
              <w:t xml:space="preserve">   </w:t>
            </w:r>
          </w:p>
          <w:p w14:paraId="46F8A865" w14:textId="77777777" w:rsidR="0057473A" w:rsidRDefault="0057473A">
            <w:pPr>
              <w:ind w:left="284"/>
              <w:rPr>
                <w:sz w:val="20"/>
                <w:szCs w:val="20"/>
              </w:rPr>
            </w:pPr>
            <w:r>
              <w:rPr>
                <w:sz w:val="20"/>
                <w:szCs w:val="20"/>
              </w:rPr>
              <w:t xml:space="preserve"> </w:t>
            </w:r>
            <w:r>
              <w:t xml:space="preserve">&lt; 70 years: 5mg every 3 hours </w:t>
            </w:r>
            <w:r>
              <w:rPr>
                <w:sz w:val="20"/>
                <w:szCs w:val="20"/>
              </w:rPr>
              <w:t xml:space="preserve">  </w:t>
            </w:r>
            <w:r>
              <w:t>PRN</w:t>
            </w:r>
          </w:p>
          <w:p w14:paraId="4C610222" w14:textId="77777777" w:rsidR="0057473A" w:rsidRDefault="0057473A" w:rsidP="00E72C93">
            <w:pPr>
              <w:pStyle w:val="ListParagraph"/>
              <w:numPr>
                <w:ilvl w:val="0"/>
                <w:numId w:val="10"/>
              </w:numPr>
              <w:rPr>
                <w:sz w:val="20"/>
                <w:szCs w:val="20"/>
              </w:rPr>
            </w:pPr>
            <w:r>
              <w:t>Halve the dose in the elderly and specify maximum dose per 24 hours.</w:t>
            </w:r>
            <w:r>
              <w:rPr>
                <w:i/>
                <w:iCs/>
                <w:u w:val="single"/>
              </w:rPr>
              <w:t xml:space="preserve"> </w:t>
            </w:r>
          </w:p>
          <w:p w14:paraId="409BAB38" w14:textId="77777777" w:rsidR="0057473A" w:rsidRDefault="0057473A">
            <w:pPr>
              <w:ind w:left="569"/>
              <w:rPr>
                <w:sz w:val="20"/>
                <w:szCs w:val="20"/>
              </w:rPr>
            </w:pPr>
          </w:p>
          <w:p w14:paraId="2F044728" w14:textId="77777777" w:rsidR="0057473A" w:rsidRDefault="0057473A">
            <w:pPr>
              <w:rPr>
                <w:b/>
                <w:bCs/>
                <w:sz w:val="20"/>
                <w:szCs w:val="20"/>
              </w:rPr>
            </w:pPr>
            <w:r>
              <w:rPr>
                <w:i/>
                <w:iCs/>
                <w:u w:val="single"/>
              </w:rPr>
              <w:t>Consider all precautions, contraindications and side effects</w:t>
            </w:r>
          </w:p>
        </w:tc>
        <w:tc>
          <w:tcPr>
            <w:tcW w:w="3827" w:type="dxa"/>
            <w:tcBorders>
              <w:top w:val="single" w:sz="4" w:space="0" w:color="auto"/>
              <w:left w:val="single" w:sz="4" w:space="0" w:color="auto"/>
              <w:bottom w:val="single" w:sz="4" w:space="0" w:color="auto"/>
              <w:right w:val="single" w:sz="4" w:space="0" w:color="auto"/>
            </w:tcBorders>
            <w:shd w:val="clear" w:color="auto" w:fill="F0A28A" w:themeFill="accent6" w:themeFillTint="99"/>
          </w:tcPr>
          <w:p w14:paraId="522A8BC4" w14:textId="77777777" w:rsidR="0057473A" w:rsidRDefault="0057473A">
            <w:pPr>
              <w:rPr>
                <w:b/>
                <w:sz w:val="20"/>
                <w:szCs w:val="20"/>
              </w:rPr>
            </w:pPr>
          </w:p>
          <w:p w14:paraId="4540CDEC" w14:textId="77777777" w:rsidR="0057473A" w:rsidRDefault="0057473A">
            <w:pPr>
              <w:rPr>
                <w:sz w:val="20"/>
                <w:szCs w:val="20"/>
              </w:rPr>
            </w:pPr>
            <w:r>
              <w:rPr>
                <w:b/>
              </w:rPr>
              <w:t>Paracetamol</w:t>
            </w:r>
            <w:r>
              <w:t xml:space="preserve"> 1 g PO QID</w:t>
            </w:r>
          </w:p>
          <w:p w14:paraId="6228A9E7" w14:textId="77777777" w:rsidR="0057473A" w:rsidRDefault="0057473A">
            <w:pPr>
              <w:rPr>
                <w:sz w:val="20"/>
                <w:szCs w:val="20"/>
              </w:rPr>
            </w:pPr>
            <w:r>
              <w:t xml:space="preserve">                            AND</w:t>
            </w:r>
          </w:p>
          <w:p w14:paraId="4D0AF495" w14:textId="77777777" w:rsidR="0057473A" w:rsidRDefault="0057473A">
            <w:pPr>
              <w:rPr>
                <w:sz w:val="20"/>
                <w:szCs w:val="20"/>
              </w:rPr>
            </w:pPr>
            <w:r>
              <w:rPr>
                <w:b/>
                <w:sz w:val="20"/>
                <w:szCs w:val="20"/>
              </w:rPr>
              <w:t>Celecoxib</w:t>
            </w:r>
            <w:r>
              <w:rPr>
                <w:sz w:val="20"/>
                <w:szCs w:val="20"/>
              </w:rPr>
              <w:t xml:space="preserve"> 100 - 200mg BD (unless contraindicated) or </w:t>
            </w:r>
            <w:r>
              <w:rPr>
                <w:b/>
                <w:sz w:val="20"/>
                <w:szCs w:val="20"/>
              </w:rPr>
              <w:t>Ibuprofen</w:t>
            </w:r>
            <w:r>
              <w:rPr>
                <w:sz w:val="20"/>
                <w:szCs w:val="20"/>
              </w:rPr>
              <w:t xml:space="preserve"> 400mg TDS-QID</w:t>
            </w:r>
            <w:r>
              <w:rPr>
                <w:sz w:val="20"/>
                <w:szCs w:val="20"/>
                <w:vertAlign w:val="superscript"/>
              </w:rPr>
              <w:t>#</w:t>
            </w:r>
          </w:p>
          <w:p w14:paraId="3855E706" w14:textId="77777777" w:rsidR="0057473A" w:rsidRDefault="0057473A">
            <w:pPr>
              <w:ind w:left="360"/>
              <w:rPr>
                <w:sz w:val="20"/>
                <w:szCs w:val="20"/>
              </w:rPr>
            </w:pPr>
          </w:p>
          <w:p w14:paraId="528CA46D" w14:textId="77777777" w:rsidR="0057473A" w:rsidRDefault="0057473A">
            <w:pPr>
              <w:rPr>
                <w:b/>
                <w:bCs/>
                <w:i/>
                <w:iCs/>
                <w:sz w:val="20"/>
                <w:szCs w:val="20"/>
              </w:rPr>
            </w:pPr>
            <w:r>
              <w:rPr>
                <w:b/>
                <w:bCs/>
                <w:i/>
                <w:iCs/>
                <w:u w:val="single"/>
              </w:rPr>
              <w:t>Strong opioids are usually required:</w:t>
            </w:r>
          </w:p>
          <w:p w14:paraId="788CBBDE" w14:textId="77777777" w:rsidR="0057473A" w:rsidRDefault="0057473A" w:rsidP="00E72C93">
            <w:pPr>
              <w:numPr>
                <w:ilvl w:val="0"/>
                <w:numId w:val="11"/>
              </w:numPr>
              <w:tabs>
                <w:tab w:val="num" w:pos="720"/>
              </w:tabs>
              <w:rPr>
                <w:b/>
                <w:bCs/>
                <w:sz w:val="20"/>
                <w:szCs w:val="20"/>
                <w:u w:val="single"/>
              </w:rPr>
            </w:pPr>
            <w:r>
              <w:rPr>
                <w:b/>
                <w:sz w:val="20"/>
                <w:szCs w:val="20"/>
              </w:rPr>
              <w:t>Oxycodone immediate release</w:t>
            </w:r>
          </w:p>
          <w:p w14:paraId="4A101E6C" w14:textId="77777777" w:rsidR="0057473A" w:rsidRDefault="0057473A">
            <w:pPr>
              <w:ind w:left="360"/>
              <w:rPr>
                <w:sz w:val="20"/>
                <w:szCs w:val="20"/>
              </w:rPr>
            </w:pPr>
            <w:r>
              <w:t>&lt; 70 years: 5mg every 3 hours PRN</w:t>
            </w:r>
          </w:p>
          <w:p w14:paraId="676BE8ED" w14:textId="77777777" w:rsidR="0057473A" w:rsidRDefault="0057473A">
            <w:pPr>
              <w:ind w:left="720"/>
              <w:rPr>
                <w:b/>
                <w:bCs/>
                <w:sz w:val="20"/>
                <w:szCs w:val="20"/>
                <w:u w:val="single"/>
              </w:rPr>
            </w:pPr>
          </w:p>
          <w:p w14:paraId="31D3C82E" w14:textId="10E29B79" w:rsidR="0057473A" w:rsidRDefault="0057473A">
            <w:pPr>
              <w:rPr>
                <w:b/>
                <w:bCs/>
                <w:sz w:val="20"/>
                <w:szCs w:val="20"/>
              </w:rPr>
            </w:pPr>
            <w:r>
              <w:rPr>
                <w:b/>
                <w:bCs/>
              </w:rPr>
              <w:t>If the patient has</w:t>
            </w:r>
            <w:r>
              <w:rPr>
                <w:b/>
                <w:bCs/>
                <w:u w:val="single"/>
              </w:rPr>
              <w:t xml:space="preserve"> </w:t>
            </w:r>
            <w:r>
              <w:rPr>
                <w:b/>
                <w:bCs/>
                <w:i/>
                <w:u w:val="single"/>
              </w:rPr>
              <w:t>NO ENT</w:t>
            </w:r>
            <w:r w:rsidR="007005AA" w:rsidRPr="007005AA">
              <w:rPr>
                <w:b/>
                <w:bCs/>
                <w:i/>
                <w:highlight w:val="yellow"/>
                <w:u w:val="single"/>
              </w:rPr>
              <w:t>E</w:t>
            </w:r>
            <w:r>
              <w:rPr>
                <w:b/>
                <w:bCs/>
                <w:i/>
                <w:u w:val="single"/>
              </w:rPr>
              <w:t xml:space="preserve">RAL ACCESS </w:t>
            </w:r>
            <w:r>
              <w:rPr>
                <w:b/>
                <w:bCs/>
              </w:rPr>
              <w:t xml:space="preserve">to tolerate oral meds:  </w:t>
            </w:r>
          </w:p>
          <w:p w14:paraId="24B35EC2" w14:textId="77777777" w:rsidR="0057473A" w:rsidRDefault="0057473A" w:rsidP="00E72C93">
            <w:pPr>
              <w:numPr>
                <w:ilvl w:val="0"/>
                <w:numId w:val="11"/>
              </w:numPr>
              <w:tabs>
                <w:tab w:val="num" w:pos="720"/>
              </w:tabs>
              <w:rPr>
                <w:sz w:val="20"/>
                <w:szCs w:val="20"/>
              </w:rPr>
            </w:pPr>
            <w:r>
              <w:rPr>
                <w:b/>
                <w:bCs/>
              </w:rPr>
              <w:t>Morphine subcutaneous OR Oxycodone</w:t>
            </w:r>
          </w:p>
          <w:p w14:paraId="10470E59" w14:textId="77777777" w:rsidR="0057473A" w:rsidRDefault="0057473A">
            <w:pPr>
              <w:ind w:left="360"/>
              <w:rPr>
                <w:sz w:val="20"/>
                <w:szCs w:val="20"/>
              </w:rPr>
            </w:pPr>
            <w:r>
              <w:t>&lt; 70 years: 1 - 2mg every 4 hours PRN</w:t>
            </w:r>
          </w:p>
          <w:p w14:paraId="10FE25F5" w14:textId="7552F681" w:rsidR="0057473A" w:rsidRDefault="0057473A" w:rsidP="00E72C93">
            <w:pPr>
              <w:pStyle w:val="ListParagraph"/>
              <w:numPr>
                <w:ilvl w:val="0"/>
                <w:numId w:val="12"/>
              </w:numPr>
              <w:rPr>
                <w:sz w:val="20"/>
                <w:szCs w:val="20"/>
              </w:rPr>
            </w:pPr>
            <w:r>
              <w:rPr>
                <w:bCs/>
                <w:sz w:val="20"/>
                <w:szCs w:val="20"/>
              </w:rPr>
              <w:t xml:space="preserve">Halve the dose in the </w:t>
            </w:r>
            <w:r w:rsidR="00760253" w:rsidRPr="007005AA">
              <w:rPr>
                <w:bCs/>
                <w:sz w:val="20"/>
                <w:szCs w:val="20"/>
                <w:highlight w:val="yellow"/>
              </w:rPr>
              <w:t>elderly</w:t>
            </w:r>
            <w:r>
              <w:rPr>
                <w:bCs/>
                <w:sz w:val="20"/>
                <w:szCs w:val="20"/>
              </w:rPr>
              <w:t xml:space="preserve"> and s</w:t>
            </w:r>
            <w:r>
              <w:rPr>
                <w:bCs/>
              </w:rPr>
              <w:t>pecify maximum dose per 24hrs</w:t>
            </w:r>
          </w:p>
          <w:p w14:paraId="0102CF45" w14:textId="525E0A51" w:rsidR="0057473A" w:rsidRDefault="0057473A" w:rsidP="00E72C93">
            <w:pPr>
              <w:pStyle w:val="ListParagraph"/>
              <w:numPr>
                <w:ilvl w:val="0"/>
                <w:numId w:val="11"/>
              </w:numPr>
              <w:rPr>
                <w:b/>
                <w:bCs/>
                <w:sz w:val="20"/>
                <w:szCs w:val="20"/>
              </w:rPr>
            </w:pPr>
            <w:r>
              <w:rPr>
                <w:b/>
                <w:bCs/>
              </w:rPr>
              <w:t xml:space="preserve">Consider referral to Acute Pain Service (APS) </w:t>
            </w:r>
          </w:p>
          <w:p w14:paraId="63D6446F" w14:textId="77777777" w:rsidR="0057473A" w:rsidRDefault="0057473A">
            <w:pPr>
              <w:spacing w:before="120"/>
              <w:rPr>
                <w:bCs/>
                <w:i/>
                <w:iCs/>
                <w:sz w:val="20"/>
                <w:szCs w:val="20"/>
                <w:u w:val="single"/>
              </w:rPr>
            </w:pPr>
            <w:r>
              <w:rPr>
                <w:bCs/>
                <w:i/>
                <w:iCs/>
                <w:u w:val="single"/>
              </w:rPr>
              <w:t>Consider all precautions, contraindications and side effects</w:t>
            </w:r>
          </w:p>
          <w:p w14:paraId="2E0C4346" w14:textId="77777777" w:rsidR="0057473A" w:rsidRDefault="0057473A">
            <w:pPr>
              <w:rPr>
                <w:b/>
                <w:bCs/>
                <w:sz w:val="20"/>
                <w:szCs w:val="20"/>
              </w:rPr>
            </w:pPr>
          </w:p>
        </w:tc>
      </w:tr>
    </w:tbl>
    <w:p w14:paraId="32E3A863" w14:textId="65BF5AE2" w:rsidR="0057473A" w:rsidRDefault="0057473A" w:rsidP="0057473A">
      <w:pPr>
        <w:pStyle w:val="SCVbody"/>
      </w:pPr>
      <w:r>
        <w:rPr>
          <w:vertAlign w:val="superscript"/>
        </w:rPr>
        <w:t>#</w:t>
      </w:r>
      <w:r>
        <w:t>Considerations for NSAIDs:                                                                                                                                              - Post GI/colorectal surgery confirm with OGB/HPB/CRS for appropriateness                                                                   - Cardiovascular adverse effects -&gt; celecoxib, ibuprofen or naproxen may be preferred</w:t>
      </w:r>
    </w:p>
    <w:p w14:paraId="148017D7" w14:textId="2563148D" w:rsidR="002F1547" w:rsidRDefault="002F1547" w:rsidP="002F1547">
      <w:pPr>
        <w:pStyle w:val="Heading3"/>
      </w:pPr>
      <w:r>
        <w:t xml:space="preserve">Referral to Acute Pain Service </w:t>
      </w:r>
    </w:p>
    <w:p w14:paraId="65183E76" w14:textId="03484025" w:rsidR="002F1547" w:rsidRPr="002F1547" w:rsidRDefault="002F1547" w:rsidP="002F1547">
      <w:pPr>
        <w:pStyle w:val="SCVbody"/>
      </w:pPr>
      <w:r w:rsidRPr="00541444">
        <w:rPr>
          <w:highlight w:val="yellow"/>
        </w:rPr>
        <w:t>[HEALTH SERVICE</w:t>
      </w:r>
      <w:r>
        <w:rPr>
          <w:highlight w:val="yellow"/>
        </w:rPr>
        <w:t xml:space="preserve"> TO DETERMINE CRITERIA FOR REFERRAL TO ACUTE PAIN SERVICE AND PROCESS</w:t>
      </w:r>
      <w:r w:rsidRPr="00541444">
        <w:rPr>
          <w:highlight w:val="yellow"/>
        </w:rPr>
        <w:t>]</w:t>
      </w:r>
    </w:p>
    <w:p w14:paraId="6D50B8CD" w14:textId="73D0C71B" w:rsidR="0057473A" w:rsidRPr="0057473A" w:rsidRDefault="0057473A" w:rsidP="0057473A">
      <w:pPr>
        <w:pStyle w:val="SCVbody"/>
      </w:pPr>
    </w:p>
    <w:p w14:paraId="4A002218" w14:textId="77777777" w:rsidR="0057473A" w:rsidRDefault="0057473A" w:rsidP="00C50A2B">
      <w:pPr>
        <w:pStyle w:val="SCVbody"/>
      </w:pPr>
    </w:p>
    <w:p w14:paraId="27F5931E" w14:textId="139CEE43" w:rsidR="002F1547" w:rsidRDefault="002F1547" w:rsidP="002F1547">
      <w:pPr>
        <w:pStyle w:val="Heading1"/>
      </w:pPr>
      <w:r>
        <w:lastRenderedPageBreak/>
        <w:t>Principles of pain management</w:t>
      </w:r>
    </w:p>
    <w:p w14:paraId="667C6C5C" w14:textId="021CFB28" w:rsidR="002F1547" w:rsidRDefault="002F1547" w:rsidP="002F1547">
      <w:pPr>
        <w:pStyle w:val="Heading3"/>
      </w:pPr>
      <w:r>
        <w:t>Performing a comprehensive pain assessment</w:t>
      </w:r>
    </w:p>
    <w:p w14:paraId="4E56046D" w14:textId="77777777" w:rsidR="002F1547" w:rsidRPr="002F1547" w:rsidRDefault="002F1547" w:rsidP="002F1547">
      <w:pPr>
        <w:pStyle w:val="Default"/>
        <w:spacing w:line="276" w:lineRule="auto"/>
        <w:rPr>
          <w:rFonts w:asciiTheme="minorHAnsi" w:hAnsiTheme="minorHAnsi" w:cstheme="minorHAnsi"/>
          <w:sz w:val="20"/>
          <w:szCs w:val="20"/>
        </w:rPr>
      </w:pPr>
      <w:r w:rsidRPr="002F1547">
        <w:rPr>
          <w:rFonts w:asciiTheme="minorHAnsi" w:hAnsiTheme="minorHAnsi" w:cstheme="minorHAnsi"/>
          <w:sz w:val="20"/>
          <w:szCs w:val="20"/>
        </w:rPr>
        <w:t>Obtain basic elements of the patient’s pain history including:</w:t>
      </w:r>
    </w:p>
    <w:p w14:paraId="54F4B5DE" w14:textId="77777777" w:rsidR="002F1547" w:rsidRPr="002F1547" w:rsidRDefault="002F1547" w:rsidP="002F1547">
      <w:pPr>
        <w:pStyle w:val="SCVbullet1"/>
      </w:pPr>
      <w:r w:rsidRPr="002F1547">
        <w:t>Onset and timing of pain(s)</w:t>
      </w:r>
    </w:p>
    <w:p w14:paraId="4AF1F18B" w14:textId="77777777" w:rsidR="002F1547" w:rsidRPr="002F1547" w:rsidRDefault="002F1547" w:rsidP="002F1547">
      <w:pPr>
        <w:pStyle w:val="SCVbullet1"/>
      </w:pPr>
      <w:r w:rsidRPr="002F1547">
        <w:t>Locations of pains(s) and radiation</w:t>
      </w:r>
    </w:p>
    <w:p w14:paraId="3ECC50EA" w14:textId="77777777" w:rsidR="002F1547" w:rsidRPr="002F1547" w:rsidRDefault="002F1547" w:rsidP="002F1547">
      <w:pPr>
        <w:pStyle w:val="SCVbullet1"/>
      </w:pPr>
      <w:r w:rsidRPr="002F1547">
        <w:t>Description of pain(s) to determine type of pain (nociceptive, neuropathic, or mixed) and cause of pain</w:t>
      </w:r>
    </w:p>
    <w:p w14:paraId="3F48FEAB" w14:textId="77777777" w:rsidR="002F1547" w:rsidRPr="002F1547" w:rsidRDefault="002F1547" w:rsidP="002F1547">
      <w:pPr>
        <w:pStyle w:val="SCVbullet1"/>
      </w:pPr>
      <w:r w:rsidRPr="002F1547">
        <w:t>Severity of pain(s) and impact of pain on function/activities (refer to Appendix 1 for pain assessment and Functional Activity Score)</w:t>
      </w:r>
    </w:p>
    <w:p w14:paraId="6E5EC1E8" w14:textId="77777777" w:rsidR="002F1547" w:rsidRPr="002F1547" w:rsidRDefault="002F1547" w:rsidP="002F1547">
      <w:pPr>
        <w:pStyle w:val="SCVbullet1"/>
      </w:pPr>
      <w:r w:rsidRPr="002F1547">
        <w:t>Aggravating factors</w:t>
      </w:r>
    </w:p>
    <w:p w14:paraId="4441CEAD" w14:textId="77777777" w:rsidR="002F1547" w:rsidRPr="002F1547" w:rsidRDefault="002F1547" w:rsidP="002F1547">
      <w:pPr>
        <w:pStyle w:val="SCVbullet1"/>
      </w:pPr>
      <w:r w:rsidRPr="002F1547">
        <w:t>Relieving factors</w:t>
      </w:r>
    </w:p>
    <w:p w14:paraId="2BA2A42E" w14:textId="77777777" w:rsidR="002F1547" w:rsidRPr="002F1547" w:rsidRDefault="002F1547" w:rsidP="002F1547">
      <w:pPr>
        <w:pStyle w:val="SCVbullet1"/>
      </w:pPr>
      <w:r w:rsidRPr="002F1547">
        <w:t>Associated symptoms</w:t>
      </w:r>
    </w:p>
    <w:p w14:paraId="198150AE" w14:textId="77777777" w:rsidR="002F1547" w:rsidRPr="002F1547" w:rsidRDefault="002F1547" w:rsidP="002F1547">
      <w:pPr>
        <w:pStyle w:val="SCVbullet1"/>
      </w:pPr>
      <w:r w:rsidRPr="002F1547">
        <w:t>Impact of pain</w:t>
      </w:r>
    </w:p>
    <w:p w14:paraId="1100E021" w14:textId="77777777" w:rsidR="002F1547" w:rsidRPr="002F1547" w:rsidRDefault="002F1547" w:rsidP="002F1547">
      <w:pPr>
        <w:pStyle w:val="SCVbullet1"/>
      </w:pPr>
      <w:r w:rsidRPr="002F1547">
        <w:t>Current and prior treatments for pain</w:t>
      </w:r>
    </w:p>
    <w:p w14:paraId="69A31F50" w14:textId="77777777" w:rsidR="002F1547" w:rsidRPr="002F1547" w:rsidRDefault="002F1547" w:rsidP="002F1547">
      <w:pPr>
        <w:pStyle w:val="SCVbullet1"/>
      </w:pPr>
      <w:r w:rsidRPr="002F1547">
        <w:t>Relevant medical +/- surgical history</w:t>
      </w:r>
    </w:p>
    <w:p w14:paraId="258A6697" w14:textId="566E3A1F" w:rsidR="002F1547" w:rsidRPr="002F1547" w:rsidRDefault="002F1547" w:rsidP="002F1547">
      <w:pPr>
        <w:pStyle w:val="SCVbullet1"/>
      </w:pPr>
      <w:r w:rsidRPr="002F1547">
        <w:t xml:space="preserve">Other patient factors which </w:t>
      </w:r>
      <w:proofErr w:type="gramStart"/>
      <w:r w:rsidRPr="002F1547">
        <w:t>includes</w:t>
      </w:r>
      <w:proofErr w:type="gramEnd"/>
      <w:r w:rsidRPr="002F1547">
        <w:t xml:space="preserve"> the psycho-social aspects like beliefs, expectations, coping skills and mood disorders like anxiety and depression</w:t>
      </w:r>
    </w:p>
    <w:p w14:paraId="498E64E1" w14:textId="06F5138A" w:rsidR="002F1547" w:rsidRDefault="002F1547" w:rsidP="002F1547">
      <w:pPr>
        <w:pStyle w:val="Heading3"/>
      </w:pPr>
      <w:r>
        <w:t xml:space="preserve">Set realistic expectations around pain </w:t>
      </w:r>
    </w:p>
    <w:p w14:paraId="76C0E427" w14:textId="6D34116D" w:rsidR="002F1547" w:rsidRDefault="002F1547" w:rsidP="002F1547">
      <w:pPr>
        <w:pStyle w:val="SCVbullet1"/>
      </w:pPr>
      <w:r>
        <w:t xml:space="preserve">Expect some pain </w:t>
      </w:r>
      <w:r w:rsidR="0085737F">
        <w:t xml:space="preserve">after acute injury, </w:t>
      </w:r>
      <w:r>
        <w:t>especially after surgery</w:t>
      </w:r>
    </w:p>
    <w:p w14:paraId="60FD92E5" w14:textId="77777777" w:rsidR="002F1547" w:rsidRDefault="002F1547" w:rsidP="002F1547">
      <w:pPr>
        <w:pStyle w:val="SCVbullet1"/>
      </w:pPr>
      <w:r>
        <w:t xml:space="preserve">Use of pre-emptive pain medication for incidental/procedural pain </w:t>
      </w:r>
    </w:p>
    <w:p w14:paraId="7AF9363A" w14:textId="77777777" w:rsidR="002F1547" w:rsidRDefault="002F1547" w:rsidP="002F1547">
      <w:pPr>
        <w:pStyle w:val="SCVbullet1"/>
      </w:pPr>
      <w:r>
        <w:t xml:space="preserve">Goal is to improve function </w:t>
      </w:r>
    </w:p>
    <w:p w14:paraId="7D04B68D" w14:textId="50E9D598" w:rsidR="002F1547" w:rsidRDefault="002F1547" w:rsidP="002F1547">
      <w:pPr>
        <w:spacing w:line="276" w:lineRule="auto"/>
      </w:pPr>
      <w:r w:rsidRPr="002F1547">
        <w:rPr>
          <w:rStyle w:val="Heading3Char"/>
        </w:rPr>
        <w:t>Management should include non-pharmacological treatments such as:</w:t>
      </w:r>
    </w:p>
    <w:p w14:paraId="38DC47BE" w14:textId="77777777" w:rsidR="002F1547" w:rsidRDefault="002F1547" w:rsidP="002F1547">
      <w:pPr>
        <w:pStyle w:val="SCVbullet1"/>
      </w:pPr>
      <w:r>
        <w:t>Physical therapy (splinting, dressings, positioning, plaster cast)</w:t>
      </w:r>
    </w:p>
    <w:p w14:paraId="75B91C10" w14:textId="77777777" w:rsidR="002F1547" w:rsidRDefault="002F1547" w:rsidP="002F1547">
      <w:pPr>
        <w:pStyle w:val="SCVbullet1"/>
      </w:pPr>
      <w:r>
        <w:t xml:space="preserve">Physiotherapy exercises +/- Occupational Therapy </w:t>
      </w:r>
    </w:p>
    <w:p w14:paraId="31823B2B" w14:textId="0C4205CC" w:rsidR="002F1547" w:rsidRPr="002F1547" w:rsidRDefault="002F1547" w:rsidP="002F1547">
      <w:pPr>
        <w:pStyle w:val="SCVbullet1"/>
      </w:pPr>
      <w:r>
        <w:t>Psychological approaches (relaxation, education)</w:t>
      </w:r>
    </w:p>
    <w:p w14:paraId="6C24B3CA" w14:textId="3FEDEDA7" w:rsidR="002F1547" w:rsidRDefault="002F1547" w:rsidP="002F1547">
      <w:pPr>
        <w:pStyle w:val="Heading3"/>
      </w:pPr>
      <w:r>
        <w:t xml:space="preserve">Pharmacological Management of pain: </w:t>
      </w:r>
    </w:p>
    <w:p w14:paraId="57123E0C" w14:textId="77777777" w:rsidR="002F1547" w:rsidRPr="002F1547" w:rsidRDefault="002F1547" w:rsidP="002F1547">
      <w:pPr>
        <w:pStyle w:val="Default"/>
        <w:spacing w:line="276" w:lineRule="auto"/>
        <w:rPr>
          <w:sz w:val="20"/>
          <w:szCs w:val="20"/>
        </w:rPr>
      </w:pPr>
      <w:r w:rsidRPr="002F1547">
        <w:rPr>
          <w:sz w:val="20"/>
          <w:szCs w:val="20"/>
        </w:rPr>
        <w:t xml:space="preserve">The pharmacological management of acute pain is based on the WHO analgesic ladder. The key principle is to use a </w:t>
      </w:r>
      <w:r w:rsidRPr="002F1547">
        <w:rPr>
          <w:i/>
          <w:sz w:val="20"/>
          <w:szCs w:val="20"/>
        </w:rPr>
        <w:t>multimodal approach</w:t>
      </w:r>
      <w:r w:rsidRPr="002F1547">
        <w:rPr>
          <w:sz w:val="20"/>
          <w:szCs w:val="20"/>
        </w:rPr>
        <w:t xml:space="preserve">. The goal of analgesia is to improve </w:t>
      </w:r>
      <w:r w:rsidRPr="002F1547">
        <w:rPr>
          <w:b/>
          <w:color w:val="004C97" w:themeColor="accent4"/>
          <w:sz w:val="20"/>
          <w:szCs w:val="20"/>
        </w:rPr>
        <w:t>FUNCTION</w:t>
      </w:r>
      <w:r w:rsidRPr="002F1547">
        <w:rPr>
          <w:sz w:val="20"/>
          <w:szCs w:val="20"/>
        </w:rPr>
        <w:t>.</w:t>
      </w:r>
    </w:p>
    <w:p w14:paraId="71E34153" w14:textId="77777777" w:rsidR="002F1547" w:rsidRPr="002F1547" w:rsidRDefault="002F1547" w:rsidP="002F1547">
      <w:pPr>
        <w:pStyle w:val="paragraph"/>
        <w:spacing w:before="0" w:beforeAutospacing="0" w:after="0" w:afterAutospacing="0" w:line="276" w:lineRule="auto"/>
        <w:textAlignment w:val="baseline"/>
        <w:rPr>
          <w:rStyle w:val="normaltextrun"/>
          <w:rFonts w:ascii="Arial" w:hAnsi="Arial" w:cs="Arial"/>
          <w:color w:val="000000"/>
          <w:position w:val="2"/>
          <w:sz w:val="20"/>
          <w:szCs w:val="20"/>
        </w:rPr>
      </w:pPr>
    </w:p>
    <w:p w14:paraId="364E0DBB" w14:textId="77777777" w:rsidR="002F1547" w:rsidRPr="002F1547" w:rsidRDefault="002F1547" w:rsidP="002F1547">
      <w:pPr>
        <w:pStyle w:val="paragraph"/>
        <w:spacing w:before="0" w:beforeAutospacing="0" w:after="0" w:afterAutospacing="0" w:line="276" w:lineRule="auto"/>
        <w:textAlignment w:val="baseline"/>
        <w:rPr>
          <w:rFonts w:asciiTheme="minorHAnsi" w:hAnsiTheme="minorHAnsi" w:cstheme="minorHAnsi"/>
          <w:color w:val="004C97" w:themeColor="accent4"/>
          <w:sz w:val="20"/>
          <w:szCs w:val="20"/>
          <w:lang w:val="en-US"/>
        </w:rPr>
      </w:pPr>
      <w:r w:rsidRPr="002F1547">
        <w:rPr>
          <w:rStyle w:val="normaltextrun"/>
          <w:rFonts w:asciiTheme="minorHAnsi" w:hAnsiTheme="minorHAnsi" w:cstheme="minorHAnsi"/>
          <w:color w:val="000000"/>
          <w:position w:val="2"/>
          <w:sz w:val="20"/>
          <w:szCs w:val="20"/>
        </w:rPr>
        <w:t>General principles</w:t>
      </w:r>
      <w:r w:rsidRPr="002F1547">
        <w:rPr>
          <w:rStyle w:val="eop"/>
          <w:rFonts w:asciiTheme="minorHAnsi" w:hAnsiTheme="minorHAnsi" w:cstheme="minorHAnsi"/>
          <w:sz w:val="20"/>
          <w:szCs w:val="20"/>
          <w:lang w:val="en-US"/>
        </w:rPr>
        <w:t xml:space="preserve">​ for </w:t>
      </w:r>
      <w:r w:rsidRPr="002F1547">
        <w:rPr>
          <w:rStyle w:val="eop"/>
          <w:rFonts w:asciiTheme="minorHAnsi" w:hAnsiTheme="minorHAnsi" w:cstheme="minorHAnsi"/>
          <w:b/>
          <w:color w:val="004C97" w:themeColor="accent4"/>
          <w:sz w:val="20"/>
          <w:szCs w:val="20"/>
          <w:lang w:val="en-US"/>
        </w:rPr>
        <w:t>opioids</w:t>
      </w:r>
    </w:p>
    <w:p w14:paraId="6B718D15" w14:textId="77777777" w:rsidR="002F1547" w:rsidRPr="002F1547" w:rsidRDefault="002F1547" w:rsidP="002F1547">
      <w:pPr>
        <w:pStyle w:val="SCVbullet1"/>
        <w:rPr>
          <w:lang w:val="en-US"/>
        </w:rPr>
      </w:pPr>
      <w:r w:rsidRPr="002F1547">
        <w:rPr>
          <w:rStyle w:val="normaltextrun"/>
          <w:rFonts w:cstheme="minorHAnsi"/>
          <w:color w:val="000000"/>
          <w:position w:val="-1"/>
        </w:rPr>
        <w:t>Effective in acute pain; </w:t>
      </w:r>
      <w:r w:rsidRPr="002F1547">
        <w:rPr>
          <w:rStyle w:val="normaltextrun"/>
          <w:rFonts w:cstheme="minorHAnsi"/>
          <w:i/>
          <w:iCs/>
          <w:color w:val="000000"/>
          <w:position w:val="-1"/>
        </w:rPr>
        <w:t>not</w:t>
      </w:r>
      <w:r w:rsidRPr="002F1547">
        <w:rPr>
          <w:rStyle w:val="normaltextrun"/>
          <w:rFonts w:cstheme="minorHAnsi"/>
          <w:color w:val="000000"/>
          <w:position w:val="-1"/>
        </w:rPr>
        <w:t> in chronic non-cancer pain</w:t>
      </w:r>
      <w:r w:rsidRPr="002F1547">
        <w:rPr>
          <w:rStyle w:val="eop"/>
          <w:rFonts w:cstheme="minorHAnsi"/>
          <w:lang w:val="en-US"/>
        </w:rPr>
        <w:t>​</w:t>
      </w:r>
    </w:p>
    <w:p w14:paraId="7E3E49C6" w14:textId="77777777" w:rsidR="002F1547" w:rsidRPr="002F1547" w:rsidRDefault="002F1547" w:rsidP="002F1547">
      <w:pPr>
        <w:pStyle w:val="SCVbullet1"/>
        <w:rPr>
          <w:lang w:val="en-US"/>
        </w:rPr>
      </w:pPr>
      <w:r w:rsidRPr="002F1547">
        <w:rPr>
          <w:rStyle w:val="normaltextrun"/>
          <w:rFonts w:cstheme="minorHAnsi"/>
          <w:color w:val="000000"/>
          <w:position w:val="-1"/>
        </w:rPr>
        <w:t>Use age to guide dose</w:t>
      </w:r>
      <w:r w:rsidRPr="002F1547">
        <w:rPr>
          <w:rStyle w:val="eop"/>
          <w:rFonts w:cstheme="minorHAnsi"/>
          <w:lang w:val="en-US"/>
        </w:rPr>
        <w:t>​, lower doses in the elderly/frail</w:t>
      </w:r>
    </w:p>
    <w:p w14:paraId="36A1278B" w14:textId="77777777" w:rsidR="002F1547" w:rsidRPr="002F1547" w:rsidRDefault="002F1547" w:rsidP="002F1547">
      <w:pPr>
        <w:pStyle w:val="SCVbullet1"/>
        <w:rPr>
          <w:rStyle w:val="eop"/>
          <w:rFonts w:cstheme="minorHAnsi"/>
        </w:rPr>
      </w:pPr>
      <w:r w:rsidRPr="002F1547">
        <w:rPr>
          <w:rStyle w:val="normaltextrun"/>
          <w:rFonts w:cstheme="minorHAnsi"/>
          <w:color w:val="000000"/>
          <w:position w:val="-1"/>
        </w:rPr>
        <w:t>One strong opioid at a time</w:t>
      </w:r>
      <w:r w:rsidRPr="002F1547">
        <w:rPr>
          <w:rStyle w:val="eop"/>
          <w:rFonts w:cstheme="minorHAnsi"/>
          <w:lang w:val="en-US"/>
        </w:rPr>
        <w:t>​</w:t>
      </w:r>
    </w:p>
    <w:p w14:paraId="5F76C7A7" w14:textId="77777777" w:rsidR="002F1547" w:rsidRPr="002F1547" w:rsidRDefault="002F1547" w:rsidP="002F1547">
      <w:pPr>
        <w:pStyle w:val="SCVbullet1"/>
        <w:rPr>
          <w:rStyle w:val="normaltextrun"/>
          <w:rFonts w:cstheme="minorHAnsi"/>
        </w:rPr>
      </w:pPr>
      <w:r w:rsidRPr="002F1547">
        <w:rPr>
          <w:rStyle w:val="eop"/>
          <w:rFonts w:cstheme="minorHAnsi"/>
          <w:lang w:val="en-US"/>
        </w:rPr>
        <w:t xml:space="preserve">Start with PRN </w:t>
      </w:r>
      <w:r w:rsidRPr="002F1547">
        <w:rPr>
          <w:lang w:val="en-US"/>
        </w:rPr>
        <w:t xml:space="preserve">and </w:t>
      </w:r>
      <w:r w:rsidRPr="002F1547">
        <w:rPr>
          <w:rStyle w:val="normaltextrun"/>
          <w:rFonts w:cstheme="minorHAnsi"/>
          <w:b/>
          <w:bCs/>
          <w:color w:val="004C97" w:themeColor="accent4"/>
          <w:position w:val="-1"/>
        </w:rPr>
        <w:t>limit use of slow-release opioids </w:t>
      </w:r>
      <w:r w:rsidRPr="002F1547">
        <w:rPr>
          <w:rStyle w:val="normaltextrun"/>
          <w:rFonts w:cstheme="minorHAnsi"/>
          <w:color w:val="000000"/>
          <w:position w:val="-1"/>
        </w:rPr>
        <w:t>to prolonged painful situations such as major surgery or multi-trauma patients</w:t>
      </w:r>
    </w:p>
    <w:p w14:paraId="6AD6286F" w14:textId="41668CFA" w:rsidR="002F1547" w:rsidRPr="002F1547" w:rsidRDefault="002F1547" w:rsidP="002F1547">
      <w:pPr>
        <w:pStyle w:val="SCVbullet1"/>
        <w:rPr>
          <w:rStyle w:val="eop"/>
          <w:rFonts w:cstheme="minorHAnsi"/>
        </w:rPr>
      </w:pPr>
      <w:r w:rsidRPr="002F1547">
        <w:rPr>
          <w:rStyle w:val="normaltextrun"/>
          <w:rFonts w:cstheme="minorHAnsi"/>
          <w:color w:val="000000"/>
          <w:position w:val="-1"/>
        </w:rPr>
        <w:t xml:space="preserve"> Prescribe regular laxatives and antiemetics </w:t>
      </w:r>
    </w:p>
    <w:p w14:paraId="2BB805EB" w14:textId="77777777" w:rsidR="002F1547" w:rsidRDefault="002F1547" w:rsidP="002F1547">
      <w:pPr>
        <w:rPr>
          <w:b/>
          <w:sz w:val="24"/>
          <w:szCs w:val="24"/>
        </w:rPr>
      </w:pPr>
      <w:bookmarkStart w:id="0" w:name="_Toc369100630"/>
      <w:bookmarkStart w:id="1" w:name="_Toc508359265"/>
    </w:p>
    <w:p w14:paraId="422FEB05" w14:textId="77777777" w:rsidR="002F1547" w:rsidRDefault="002F1547" w:rsidP="002F1547">
      <w:pPr>
        <w:pStyle w:val="Heading1"/>
      </w:pPr>
      <w:r>
        <w:lastRenderedPageBreak/>
        <w:t>Assessment of analgesic side effects and review of analgesia</w:t>
      </w:r>
    </w:p>
    <w:bookmarkEnd w:id="0"/>
    <w:bookmarkEnd w:id="1"/>
    <w:p w14:paraId="2C845B0B" w14:textId="77777777" w:rsidR="008F2B85" w:rsidRDefault="002F1547" w:rsidP="002F1547">
      <w:pPr>
        <w:spacing w:before="120" w:line="360" w:lineRule="auto"/>
      </w:pPr>
      <w:r w:rsidRPr="002F1547">
        <w:rPr>
          <w:rStyle w:val="Heading3Char"/>
        </w:rPr>
        <w:t>Assessment of potential side effects of analgesics</w:t>
      </w:r>
      <w:r>
        <w:t xml:space="preserve"> </w:t>
      </w:r>
    </w:p>
    <w:p w14:paraId="21010303" w14:textId="78172F74" w:rsidR="002F1547" w:rsidRDefault="002F1547" w:rsidP="002F1547">
      <w:pPr>
        <w:spacing w:before="120" w:line="360" w:lineRule="auto"/>
      </w:pPr>
      <w:r>
        <w:t>Assessment should include:</w:t>
      </w:r>
    </w:p>
    <w:p w14:paraId="11ACB3F0" w14:textId="77EB82AC" w:rsidR="002F1547" w:rsidRDefault="002F1547" w:rsidP="002F1547">
      <w:pPr>
        <w:pStyle w:val="SCVbullet1"/>
      </w:pPr>
      <w:r>
        <w:t>Sedation score</w:t>
      </w:r>
    </w:p>
    <w:p w14:paraId="297FB257" w14:textId="77777777" w:rsidR="002F1547" w:rsidRDefault="002F1547" w:rsidP="002F1547">
      <w:pPr>
        <w:pStyle w:val="SCVbullet1"/>
      </w:pPr>
      <w:r>
        <w:t>Respiratory Rate</w:t>
      </w:r>
    </w:p>
    <w:p w14:paraId="22E97745" w14:textId="77777777" w:rsidR="002F1547" w:rsidRDefault="002F1547" w:rsidP="002F1547">
      <w:pPr>
        <w:pStyle w:val="SCVbullet1"/>
      </w:pPr>
      <w:r>
        <w:t>Oxygen saturation (Sp02)</w:t>
      </w:r>
    </w:p>
    <w:p w14:paraId="7191465D" w14:textId="77777777" w:rsidR="002F1547" w:rsidRDefault="002F1547" w:rsidP="002F1547">
      <w:r>
        <w:t>All patients receiving opioids or sedative agents should have their sedation score and respiratory rate assessed and documented regularly on EMR interactive document.</w:t>
      </w:r>
    </w:p>
    <w:p w14:paraId="6D4555BE" w14:textId="3EDDC6A1" w:rsidR="002F1547" w:rsidRDefault="002F1547" w:rsidP="002F1547">
      <w:pPr>
        <w:tabs>
          <w:tab w:val="num" w:pos="1080"/>
        </w:tabs>
        <w:spacing w:before="120" w:line="360" w:lineRule="auto"/>
      </w:pPr>
      <w:r>
        <w:t>**</w:t>
      </w:r>
      <w:r>
        <w:rPr>
          <w:u w:val="single"/>
        </w:rPr>
        <w:t xml:space="preserve">Escalate care per </w:t>
      </w:r>
      <w:r w:rsidRPr="002F1547">
        <w:rPr>
          <w:highlight w:val="yellow"/>
          <w:u w:val="single"/>
        </w:rPr>
        <w:t>[HEALTH SERVICE]</w:t>
      </w:r>
      <w:r>
        <w:rPr>
          <w:u w:val="single"/>
        </w:rPr>
        <w:t xml:space="preserve"> METCALL or clinical review criteria.</w:t>
      </w:r>
    </w:p>
    <w:tbl>
      <w:tblPr>
        <w:tblStyle w:val="TableGrid"/>
        <w:tblW w:w="0" w:type="auto"/>
        <w:tblLook w:val="04A0" w:firstRow="1" w:lastRow="0" w:firstColumn="1" w:lastColumn="0" w:noHBand="0" w:noVBand="1"/>
      </w:tblPr>
      <w:tblGrid>
        <w:gridCol w:w="2721"/>
        <w:gridCol w:w="7251"/>
      </w:tblGrid>
      <w:tr w:rsidR="002F1547" w14:paraId="048C2C18" w14:textId="77777777" w:rsidTr="00E72C93">
        <w:trPr>
          <w:cnfStyle w:val="100000000000" w:firstRow="1" w:lastRow="0" w:firstColumn="0" w:lastColumn="0" w:oddVBand="0" w:evenVBand="0" w:oddHBand="0" w:evenHBand="0" w:firstRowFirstColumn="0" w:firstRowLastColumn="0" w:lastRowFirstColumn="0" w:lastRowLastColumn="0"/>
        </w:trPr>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17F752E3" w14:textId="77777777" w:rsidR="002F1547" w:rsidRDefault="002F1547">
            <w:pPr>
              <w:pStyle w:val="Heading1"/>
              <w:rPr>
                <w:sz w:val="20"/>
                <w:szCs w:val="20"/>
              </w:rPr>
            </w:pPr>
            <w:bookmarkStart w:id="2" w:name="_Toc369100635"/>
            <w:bookmarkStart w:id="3" w:name="_Toc508359269"/>
            <w:r>
              <w:rPr>
                <w:sz w:val="20"/>
                <w:szCs w:val="20"/>
              </w:rPr>
              <w:t>Sedation (0-3 score)</w:t>
            </w:r>
          </w:p>
        </w:tc>
        <w:tc>
          <w:tcPr>
            <w:tcW w:w="7251" w:type="dxa"/>
            <w:tcBorders>
              <w:top w:val="single" w:sz="4" w:space="0" w:color="auto"/>
              <w:left w:val="single" w:sz="4" w:space="0" w:color="auto"/>
              <w:bottom w:val="single" w:sz="4" w:space="0" w:color="auto"/>
              <w:right w:val="single" w:sz="4" w:space="0" w:color="auto"/>
            </w:tcBorders>
            <w:shd w:val="clear" w:color="auto" w:fill="auto"/>
          </w:tcPr>
          <w:p w14:paraId="0633817F" w14:textId="159263B4" w:rsidR="002F1547" w:rsidRDefault="002F1547">
            <w:pPr>
              <w:pStyle w:val="Heading1"/>
              <w:rPr>
                <w:b w:val="0"/>
                <w:bCs w:val="0"/>
                <w:sz w:val="20"/>
                <w:szCs w:val="20"/>
              </w:rPr>
            </w:pPr>
            <w:r>
              <w:rPr>
                <w:b w:val="0"/>
                <w:bCs w:val="0"/>
                <w:sz w:val="20"/>
                <w:szCs w:val="20"/>
              </w:rPr>
              <w:t xml:space="preserve">Respiratory depression is almost always </w:t>
            </w:r>
            <w:r>
              <w:rPr>
                <w:bCs w:val="0"/>
                <w:sz w:val="20"/>
                <w:szCs w:val="20"/>
                <w:u w:val="single"/>
              </w:rPr>
              <w:t>preceded</w:t>
            </w:r>
            <w:r>
              <w:rPr>
                <w:b w:val="0"/>
                <w:bCs w:val="0"/>
                <w:sz w:val="20"/>
                <w:szCs w:val="20"/>
              </w:rPr>
              <w:t xml:space="preserve"> by sedation.</w:t>
            </w:r>
            <w:r>
              <w:rPr>
                <w:b w:val="0"/>
                <w:sz w:val="20"/>
                <w:szCs w:val="20"/>
              </w:rPr>
              <w:t xml:space="preserve"> The best early clinical indicator of respiratory depression is </w:t>
            </w:r>
            <w:r>
              <w:rPr>
                <w:b w:val="0"/>
                <w:bCs w:val="0"/>
                <w:sz w:val="20"/>
                <w:szCs w:val="20"/>
              </w:rPr>
              <w:t>increasing sedation.</w:t>
            </w:r>
          </w:p>
          <w:p w14:paraId="438AF406" w14:textId="77777777" w:rsidR="00E72C93" w:rsidRDefault="00E72C93">
            <w:pPr>
              <w:autoSpaceDE w:val="0"/>
              <w:autoSpaceDN w:val="0"/>
              <w:adjustRightInd w:val="0"/>
              <w:rPr>
                <w:bCs/>
                <w:sz w:val="20"/>
                <w:szCs w:val="20"/>
                <w:lang w:val="en-US"/>
              </w:rPr>
            </w:pPr>
          </w:p>
          <w:p w14:paraId="00FB8D01" w14:textId="634B4730" w:rsidR="002F1547" w:rsidRDefault="002F1547">
            <w:pPr>
              <w:autoSpaceDE w:val="0"/>
              <w:autoSpaceDN w:val="0"/>
              <w:adjustRightInd w:val="0"/>
              <w:rPr>
                <w:bCs/>
                <w:sz w:val="20"/>
                <w:szCs w:val="20"/>
                <w:lang w:val="en-US"/>
              </w:rPr>
            </w:pPr>
            <w:r>
              <w:rPr>
                <w:bCs/>
                <w:sz w:val="20"/>
                <w:szCs w:val="20"/>
                <w:lang w:val="en-US"/>
              </w:rPr>
              <w:t xml:space="preserve">If you are unable to rouse a patient to have 30 seconds of eyes open </w:t>
            </w:r>
            <w:r w:rsidR="00682661">
              <w:rPr>
                <w:bCs/>
                <w:sz w:val="20"/>
                <w:szCs w:val="20"/>
                <w:lang w:val="en-US"/>
              </w:rPr>
              <w:t>w</w:t>
            </w:r>
            <w:r w:rsidR="00682661">
              <w:rPr>
                <w:bCs/>
                <w:lang w:val="en-US"/>
              </w:rPr>
              <w:t xml:space="preserve">ith </w:t>
            </w:r>
            <w:r>
              <w:rPr>
                <w:bCs/>
                <w:sz w:val="20"/>
                <w:szCs w:val="20"/>
                <w:lang w:val="en-US"/>
              </w:rPr>
              <w:t xml:space="preserve">appropriate </w:t>
            </w:r>
            <w:r w:rsidR="003A707D">
              <w:rPr>
                <w:bCs/>
                <w:sz w:val="20"/>
                <w:szCs w:val="20"/>
                <w:lang w:val="en-US"/>
              </w:rPr>
              <w:t>conversation</w:t>
            </w:r>
            <w:r w:rsidR="003A707D">
              <w:rPr>
                <w:bCs/>
                <w:lang w:val="en-US"/>
              </w:rPr>
              <w:t>,</w:t>
            </w:r>
            <w:r>
              <w:rPr>
                <w:bCs/>
                <w:sz w:val="20"/>
                <w:szCs w:val="20"/>
                <w:lang w:val="en-US"/>
              </w:rPr>
              <w:t xml:space="preserve"> they may be over sedated.  </w:t>
            </w:r>
          </w:p>
          <w:p w14:paraId="4D5D04C1" w14:textId="77777777" w:rsidR="002F1547" w:rsidRDefault="002F1547">
            <w:pPr>
              <w:rPr>
                <w:sz w:val="20"/>
                <w:szCs w:val="20"/>
              </w:rPr>
            </w:pPr>
          </w:p>
        </w:tc>
      </w:tr>
      <w:tr w:rsidR="002F1547" w14:paraId="090116AA" w14:textId="77777777" w:rsidTr="002F1547">
        <w:tc>
          <w:tcPr>
            <w:tcW w:w="2721" w:type="dxa"/>
            <w:tcBorders>
              <w:top w:val="single" w:sz="4" w:space="0" w:color="auto"/>
              <w:left w:val="single" w:sz="4" w:space="0" w:color="auto"/>
              <w:bottom w:val="single" w:sz="4" w:space="0" w:color="auto"/>
              <w:right w:val="single" w:sz="4" w:space="0" w:color="auto"/>
            </w:tcBorders>
            <w:hideMark/>
          </w:tcPr>
          <w:p w14:paraId="10845AB4" w14:textId="77777777" w:rsidR="002F1547" w:rsidRDefault="002F1547">
            <w:pPr>
              <w:pStyle w:val="Heading1"/>
              <w:rPr>
                <w:sz w:val="20"/>
                <w:szCs w:val="20"/>
              </w:rPr>
            </w:pPr>
            <w:r>
              <w:rPr>
                <w:sz w:val="20"/>
                <w:szCs w:val="20"/>
              </w:rPr>
              <w:t>Respiratory Rate (RR)</w:t>
            </w:r>
          </w:p>
        </w:tc>
        <w:tc>
          <w:tcPr>
            <w:tcW w:w="7251" w:type="dxa"/>
            <w:tcBorders>
              <w:top w:val="single" w:sz="4" w:space="0" w:color="auto"/>
              <w:left w:val="single" w:sz="4" w:space="0" w:color="auto"/>
              <w:bottom w:val="single" w:sz="4" w:space="0" w:color="auto"/>
              <w:right w:val="single" w:sz="4" w:space="0" w:color="auto"/>
            </w:tcBorders>
            <w:hideMark/>
          </w:tcPr>
          <w:p w14:paraId="409877E5" w14:textId="7F4AF66F" w:rsidR="002F1547" w:rsidRDefault="002F1547">
            <w:pPr>
              <w:pStyle w:val="Heading1"/>
              <w:rPr>
                <w:b w:val="0"/>
                <w:sz w:val="20"/>
                <w:szCs w:val="20"/>
              </w:rPr>
            </w:pPr>
            <w:r>
              <w:rPr>
                <w:b w:val="0"/>
                <w:sz w:val="20"/>
                <w:szCs w:val="20"/>
                <w:u w:val="single"/>
              </w:rPr>
              <w:t>&lt;</w:t>
            </w:r>
            <w:r>
              <w:rPr>
                <w:b w:val="0"/>
                <w:sz w:val="20"/>
                <w:szCs w:val="20"/>
              </w:rPr>
              <w:t>8 breaths/min</w:t>
            </w:r>
          </w:p>
          <w:p w14:paraId="79DCECE4" w14:textId="77777777" w:rsidR="00E72C93" w:rsidRPr="00E72C93" w:rsidRDefault="00E72C93" w:rsidP="00E72C93">
            <w:pPr>
              <w:pStyle w:val="SCVbody"/>
            </w:pPr>
          </w:p>
          <w:p w14:paraId="343C5120" w14:textId="77777777" w:rsidR="002F1547" w:rsidRDefault="002F1547">
            <w:pPr>
              <w:rPr>
                <w:sz w:val="20"/>
                <w:szCs w:val="20"/>
              </w:rPr>
            </w:pPr>
            <w:r>
              <w:rPr>
                <w:sz w:val="20"/>
                <w:szCs w:val="20"/>
              </w:rPr>
              <w:t>**Unreliable indicator as respiratory depression can coexist with normal RR</w:t>
            </w:r>
          </w:p>
        </w:tc>
      </w:tr>
      <w:tr w:rsidR="002F1547" w14:paraId="5E661B47" w14:textId="77777777" w:rsidTr="002F1547">
        <w:tc>
          <w:tcPr>
            <w:tcW w:w="2721" w:type="dxa"/>
            <w:tcBorders>
              <w:top w:val="single" w:sz="4" w:space="0" w:color="auto"/>
              <w:left w:val="single" w:sz="4" w:space="0" w:color="auto"/>
              <w:bottom w:val="single" w:sz="4" w:space="0" w:color="auto"/>
              <w:right w:val="single" w:sz="4" w:space="0" w:color="auto"/>
            </w:tcBorders>
            <w:hideMark/>
          </w:tcPr>
          <w:p w14:paraId="09CF29AA" w14:textId="77777777" w:rsidR="002F1547" w:rsidRDefault="002F1547">
            <w:pPr>
              <w:pStyle w:val="Heading1"/>
              <w:rPr>
                <w:sz w:val="20"/>
                <w:szCs w:val="20"/>
              </w:rPr>
            </w:pPr>
            <w:r>
              <w:rPr>
                <w:sz w:val="20"/>
                <w:szCs w:val="20"/>
              </w:rPr>
              <w:t>Oxygen Saturation (Sp02)</w:t>
            </w:r>
          </w:p>
        </w:tc>
        <w:tc>
          <w:tcPr>
            <w:tcW w:w="7251" w:type="dxa"/>
            <w:tcBorders>
              <w:top w:val="single" w:sz="4" w:space="0" w:color="auto"/>
              <w:left w:val="single" w:sz="4" w:space="0" w:color="auto"/>
              <w:bottom w:val="single" w:sz="4" w:space="0" w:color="auto"/>
              <w:right w:val="single" w:sz="4" w:space="0" w:color="auto"/>
            </w:tcBorders>
            <w:hideMark/>
          </w:tcPr>
          <w:p w14:paraId="25280CB6" w14:textId="77777777" w:rsidR="002F1547" w:rsidRDefault="002F1547">
            <w:pPr>
              <w:pStyle w:val="Heading1"/>
              <w:rPr>
                <w:b w:val="0"/>
                <w:sz w:val="20"/>
                <w:szCs w:val="20"/>
              </w:rPr>
            </w:pPr>
            <w:r>
              <w:rPr>
                <w:b w:val="0"/>
                <w:sz w:val="20"/>
                <w:szCs w:val="20"/>
              </w:rPr>
              <w:t>Unreliable indicator of respiratory depression, especially if the patient is receiving supplemental O</w:t>
            </w:r>
            <w:r w:rsidRPr="00D13F0E">
              <w:rPr>
                <w:b w:val="0"/>
                <w:sz w:val="20"/>
                <w:szCs w:val="20"/>
                <w:vertAlign w:val="subscript"/>
              </w:rPr>
              <w:t>2</w:t>
            </w:r>
          </w:p>
          <w:p w14:paraId="6B7E112F" w14:textId="2189239D" w:rsidR="00E72C93" w:rsidRPr="00E72C93" w:rsidRDefault="00E72C93" w:rsidP="00E72C93">
            <w:pPr>
              <w:pStyle w:val="SCVbody"/>
            </w:pPr>
          </w:p>
        </w:tc>
      </w:tr>
      <w:bookmarkEnd w:id="2"/>
      <w:bookmarkEnd w:id="3"/>
    </w:tbl>
    <w:p w14:paraId="0E315F84" w14:textId="77777777" w:rsidR="002F1547" w:rsidRDefault="002F1547" w:rsidP="002F1547">
      <w:pPr>
        <w:pStyle w:val="Heading1"/>
        <w:spacing w:after="0"/>
        <w:rPr>
          <w:rFonts w:ascii="Arial" w:hAnsi="Arial" w:cs="Arial"/>
          <w:sz w:val="20"/>
          <w:szCs w:val="20"/>
          <w:lang w:eastAsia="en-US"/>
        </w:rPr>
      </w:pPr>
    </w:p>
    <w:p w14:paraId="6A824EA5" w14:textId="77777777" w:rsidR="00E72C93" w:rsidRDefault="002F1547" w:rsidP="002F1547">
      <w:pPr>
        <w:rPr>
          <w:b/>
        </w:rPr>
      </w:pPr>
      <w:r w:rsidRPr="00E72C93">
        <w:rPr>
          <w:rStyle w:val="Heading3Char"/>
        </w:rPr>
        <w:t>Regular review of analgesia</w:t>
      </w:r>
      <w:r>
        <w:rPr>
          <w:b/>
        </w:rPr>
        <w:t xml:space="preserve"> </w:t>
      </w:r>
    </w:p>
    <w:p w14:paraId="172A13F0" w14:textId="776010D2" w:rsidR="002F1547" w:rsidRDefault="00E72C93" w:rsidP="002F1547">
      <w:pPr>
        <w:rPr>
          <w:sz w:val="22"/>
          <w:szCs w:val="22"/>
        </w:rPr>
      </w:pPr>
      <w:r>
        <w:t xml:space="preserve">Regular review </w:t>
      </w:r>
      <w:r w:rsidR="002F1547">
        <w:t>to adjust or de-escalate and cease, if short-term use is expected.</w:t>
      </w:r>
    </w:p>
    <w:p w14:paraId="21A73DDD" w14:textId="77777777" w:rsidR="002F1547" w:rsidRDefault="002F1547" w:rsidP="00E72C93">
      <w:pPr>
        <w:pStyle w:val="SCVbullet1"/>
      </w:pPr>
      <w:r>
        <w:t>Where possible, wean opioids prior to discharge</w:t>
      </w:r>
    </w:p>
    <w:p w14:paraId="2822DEC0" w14:textId="77777777" w:rsidR="00CF211E" w:rsidRDefault="00CF211E" w:rsidP="00FB464E">
      <w:pPr>
        <w:pStyle w:val="Heading1"/>
      </w:pPr>
    </w:p>
    <w:p w14:paraId="1B7BA9D1" w14:textId="77777777" w:rsidR="00CF211E" w:rsidRDefault="00CF211E" w:rsidP="00FB464E">
      <w:pPr>
        <w:pStyle w:val="Heading1"/>
      </w:pPr>
    </w:p>
    <w:p w14:paraId="30657069" w14:textId="77777777" w:rsidR="00CF211E" w:rsidRDefault="00CF211E" w:rsidP="00FB464E">
      <w:pPr>
        <w:pStyle w:val="Heading1"/>
      </w:pPr>
    </w:p>
    <w:p w14:paraId="515DEAF8" w14:textId="77777777" w:rsidR="00CF211E" w:rsidRDefault="00CF211E" w:rsidP="00FB464E">
      <w:pPr>
        <w:pStyle w:val="Heading1"/>
      </w:pPr>
    </w:p>
    <w:p w14:paraId="79996A18" w14:textId="77777777" w:rsidR="00CF211E" w:rsidRDefault="00CF211E" w:rsidP="00CF211E">
      <w:pPr>
        <w:pStyle w:val="SCVbody"/>
      </w:pPr>
    </w:p>
    <w:p w14:paraId="131269F3" w14:textId="77777777" w:rsidR="00CF211E" w:rsidRPr="00CF211E" w:rsidRDefault="00CF211E" w:rsidP="00CF211E">
      <w:pPr>
        <w:pStyle w:val="SCVbody"/>
      </w:pPr>
    </w:p>
    <w:p w14:paraId="5C657AF5" w14:textId="2D836D50" w:rsidR="00CF211E" w:rsidRDefault="00CF211E" w:rsidP="00CF211E">
      <w:pPr>
        <w:pStyle w:val="Heading1"/>
      </w:pPr>
      <w:r>
        <w:t xml:space="preserve">Opioid analgesic weaning and cessation </w:t>
      </w:r>
    </w:p>
    <w:p w14:paraId="6C2A9FF5" w14:textId="7A911633" w:rsidR="004054A5" w:rsidRDefault="004054A5" w:rsidP="004054A5">
      <w:pPr>
        <w:pStyle w:val="Heading3"/>
      </w:pPr>
      <w:r>
        <w:t>General principles for weaning and ceasing analgesics</w:t>
      </w:r>
    </w:p>
    <w:p w14:paraId="2ACC37BA" w14:textId="266B57B9" w:rsidR="00F26F38" w:rsidRDefault="00F26F38" w:rsidP="00F26F38">
      <w:pPr>
        <w:pStyle w:val="SCVbullet1"/>
      </w:pPr>
      <w:r>
        <w:t>If applicable, de-escalate analgesics per the Acute Pain Service (APS) plan outlined in the medical notes</w:t>
      </w:r>
    </w:p>
    <w:p w14:paraId="454BC796" w14:textId="21C37589" w:rsidR="00967099" w:rsidRDefault="001834D3" w:rsidP="001834D3">
      <w:pPr>
        <w:pStyle w:val="SCVbullet1"/>
        <w:rPr>
          <w:rFonts w:eastAsia="Calibri"/>
          <w:lang w:eastAsia="en-US"/>
        </w:rPr>
      </w:pPr>
      <w:r>
        <w:rPr>
          <w:rFonts w:eastAsia="Calibri"/>
          <w:lang w:eastAsia="en-US"/>
        </w:rPr>
        <w:t>W</w:t>
      </w:r>
      <w:r w:rsidRPr="00385C33">
        <w:rPr>
          <w:rFonts w:eastAsia="Calibri"/>
          <w:lang w:eastAsia="en-US"/>
        </w:rPr>
        <w:t>eaning and cessation</w:t>
      </w:r>
      <w:r>
        <w:rPr>
          <w:rFonts w:eastAsia="Calibri"/>
          <w:lang w:eastAsia="en-US"/>
        </w:rPr>
        <w:t xml:space="preserve"> of analgesic should follow a multimodal analgesia and opioid-sparing strategy to minimise overall opioid analgesic use </w:t>
      </w:r>
    </w:p>
    <w:p w14:paraId="5D60DCFC" w14:textId="422F8A47" w:rsidR="001834D3" w:rsidRPr="00F160A6" w:rsidRDefault="00967099" w:rsidP="001834D3">
      <w:pPr>
        <w:pStyle w:val="SCVbullet1"/>
        <w:rPr>
          <w:rFonts w:eastAsia="Calibri" w:cstheme="minorHAnsi"/>
          <w:lang w:eastAsia="en-US"/>
        </w:rPr>
      </w:pPr>
      <w:r>
        <w:rPr>
          <w:rFonts w:eastAsia="Calibri"/>
          <w:lang w:eastAsia="en-US"/>
        </w:rPr>
        <w:t>C</w:t>
      </w:r>
      <w:r w:rsidR="001834D3">
        <w:rPr>
          <w:rFonts w:eastAsia="Calibri"/>
          <w:lang w:eastAsia="en-US"/>
        </w:rPr>
        <w:t xml:space="preserve">onsider the individual patient’s characteristics such as age, weight, hepatic and renal function, allergies, other health conditions, other </w:t>
      </w:r>
      <w:r w:rsidR="001834D3" w:rsidRPr="00F160A6">
        <w:rPr>
          <w:rFonts w:eastAsia="Calibri" w:cstheme="minorHAnsi"/>
          <w:lang w:eastAsia="en-US"/>
        </w:rPr>
        <w:t>medicines prescribed and patient’s opioid status</w:t>
      </w:r>
    </w:p>
    <w:p w14:paraId="7782B382" w14:textId="0102A42C" w:rsidR="00F26F38" w:rsidRPr="00F160A6" w:rsidRDefault="00F26F38" w:rsidP="00F26F38">
      <w:pPr>
        <w:pStyle w:val="SCVbullet1"/>
        <w:rPr>
          <w:rFonts w:cstheme="minorHAnsi"/>
        </w:rPr>
      </w:pPr>
      <w:r w:rsidRPr="00F160A6">
        <w:rPr>
          <w:rFonts w:cstheme="minorHAnsi"/>
        </w:rPr>
        <w:t>Wean and cease one, at most two, analgesics at a time</w:t>
      </w:r>
    </w:p>
    <w:p w14:paraId="26AFC1C7" w14:textId="02B58064" w:rsidR="00F26F38" w:rsidRPr="00F160A6" w:rsidRDefault="00F26F38" w:rsidP="00F26F38">
      <w:pPr>
        <w:pStyle w:val="SCVbullet1"/>
        <w:rPr>
          <w:rFonts w:cstheme="minorHAnsi"/>
        </w:rPr>
      </w:pPr>
      <w:r w:rsidRPr="00F160A6">
        <w:rPr>
          <w:rFonts w:cstheme="minorHAnsi"/>
        </w:rPr>
        <w:t>In acute on chronic pain aim to wean and/or cease analgesics to baseline medications and/or doses before discharge</w:t>
      </w:r>
    </w:p>
    <w:p w14:paraId="35EA9B8C" w14:textId="0523B1F3" w:rsidR="004054A5" w:rsidRPr="00F160A6" w:rsidRDefault="00F26F38" w:rsidP="00F26F38">
      <w:pPr>
        <w:pStyle w:val="SCVbullet1"/>
        <w:rPr>
          <w:rFonts w:cstheme="minorHAnsi"/>
        </w:rPr>
      </w:pPr>
      <w:r w:rsidRPr="00F160A6">
        <w:rPr>
          <w:rFonts w:cstheme="minorHAnsi"/>
        </w:rPr>
        <w:t xml:space="preserve">If weaning and cessation cannot be completed in hospital, then provide a </w:t>
      </w:r>
      <w:r w:rsidR="00E22BBF" w:rsidRPr="00F160A6">
        <w:rPr>
          <w:rFonts w:cstheme="minorHAnsi"/>
        </w:rPr>
        <w:t xml:space="preserve">medication management plan </w:t>
      </w:r>
      <w:r w:rsidR="0013759D" w:rsidRPr="00F160A6">
        <w:rPr>
          <w:rFonts w:cstheme="minorHAnsi"/>
        </w:rPr>
        <w:t xml:space="preserve">with a specific weaning and cessation plan </w:t>
      </w:r>
      <w:r w:rsidRPr="00F160A6">
        <w:rPr>
          <w:rFonts w:cstheme="minorHAnsi"/>
        </w:rPr>
        <w:t>on discharge</w:t>
      </w:r>
    </w:p>
    <w:p w14:paraId="4FBCD7F5" w14:textId="4ED4FBBC" w:rsidR="00E22BBF" w:rsidRDefault="0052674B" w:rsidP="0052674B">
      <w:pPr>
        <w:pStyle w:val="Heading3"/>
      </w:pPr>
      <w:r>
        <w:t>Criteria to commence de-escalation of analgesics</w:t>
      </w:r>
    </w:p>
    <w:p w14:paraId="75687E10" w14:textId="77777777" w:rsidR="0052674B" w:rsidRDefault="0052674B" w:rsidP="0052674B">
      <w:pPr>
        <w:pStyle w:val="SCVbodyafterheading"/>
      </w:pPr>
      <w:r>
        <w:t xml:space="preserve">Patients who meet </w:t>
      </w:r>
      <w:proofErr w:type="gramStart"/>
      <w:r>
        <w:t>ALL of</w:t>
      </w:r>
      <w:proofErr w:type="gramEnd"/>
      <w:r>
        <w:t xml:space="preserve"> the following criteria:</w:t>
      </w:r>
    </w:p>
    <w:p w14:paraId="44B9342F" w14:textId="65EDD402" w:rsidR="0052674B" w:rsidRDefault="0052674B" w:rsidP="0052674B">
      <w:pPr>
        <w:pStyle w:val="SCVbullet1"/>
      </w:pPr>
      <w:r>
        <w:t>Nil further surgery or painful intervention (e.g. theatre, dressing or VAC change) in the short-term</w:t>
      </w:r>
    </w:p>
    <w:p w14:paraId="1013B908" w14:textId="7973C442" w:rsidR="0052674B" w:rsidRDefault="0052674B" w:rsidP="0052674B">
      <w:pPr>
        <w:pStyle w:val="SCVbullet1"/>
      </w:pPr>
      <w:r>
        <w:t>Functional activity score (FAS) A or B, refer to Appendix 1 for definition</w:t>
      </w:r>
    </w:p>
    <w:p w14:paraId="5FAE2618" w14:textId="2BB8998E" w:rsidR="0052674B" w:rsidRDefault="0052674B" w:rsidP="0052674B">
      <w:pPr>
        <w:pStyle w:val="SCVbullet1"/>
      </w:pPr>
      <w:r>
        <w:t>Limited use of PRN analgesia (i.e. &lt; 4 doses in the preceding 24 hours)</w:t>
      </w:r>
    </w:p>
    <w:p w14:paraId="04C89C18" w14:textId="6C429758" w:rsidR="00B77278" w:rsidRDefault="0052674B" w:rsidP="000A351F">
      <w:pPr>
        <w:pStyle w:val="SCVbullet1"/>
      </w:pPr>
      <w:r>
        <w:t>No reports of uncontrolled pain in the preceding 24 hours (i.e. pain score &lt; 8 and FAS A/B)</w:t>
      </w:r>
    </w:p>
    <w:p w14:paraId="78256F41" w14:textId="77777777" w:rsidR="00B77278" w:rsidRDefault="00B77278" w:rsidP="00B77278">
      <w:pPr>
        <w:pStyle w:val="SCVbullet1"/>
        <w:numPr>
          <w:ilvl w:val="0"/>
          <w:numId w:val="0"/>
        </w:numPr>
        <w:ind w:left="284" w:hanging="284"/>
      </w:pPr>
    </w:p>
    <w:p w14:paraId="694A14D7" w14:textId="77777777" w:rsidR="00B77278" w:rsidRDefault="00B77278" w:rsidP="00B77278">
      <w:pPr>
        <w:pStyle w:val="SCVbullet1"/>
        <w:numPr>
          <w:ilvl w:val="0"/>
          <w:numId w:val="0"/>
        </w:numPr>
        <w:ind w:left="284" w:hanging="284"/>
      </w:pPr>
    </w:p>
    <w:p w14:paraId="29956795" w14:textId="77777777" w:rsidR="00B77278" w:rsidRDefault="00B77278" w:rsidP="00B77278">
      <w:pPr>
        <w:pStyle w:val="SCVbullet1"/>
        <w:numPr>
          <w:ilvl w:val="0"/>
          <w:numId w:val="0"/>
        </w:numPr>
        <w:ind w:left="284" w:hanging="284"/>
      </w:pPr>
    </w:p>
    <w:p w14:paraId="32B68CAE" w14:textId="77777777" w:rsidR="00B77278" w:rsidRDefault="00B77278" w:rsidP="00B77278">
      <w:pPr>
        <w:pStyle w:val="SCVbullet1"/>
        <w:numPr>
          <w:ilvl w:val="0"/>
          <w:numId w:val="0"/>
        </w:numPr>
        <w:ind w:left="284" w:hanging="284"/>
      </w:pPr>
    </w:p>
    <w:p w14:paraId="3EE9587C" w14:textId="77777777" w:rsidR="00B77278" w:rsidRDefault="00B77278" w:rsidP="00B77278">
      <w:pPr>
        <w:pStyle w:val="SCVbullet1"/>
        <w:numPr>
          <w:ilvl w:val="0"/>
          <w:numId w:val="0"/>
        </w:numPr>
        <w:ind w:left="284" w:hanging="284"/>
      </w:pPr>
    </w:p>
    <w:p w14:paraId="3CB4D741" w14:textId="77777777" w:rsidR="00B77278" w:rsidRDefault="00B77278" w:rsidP="00B77278">
      <w:pPr>
        <w:pStyle w:val="SCVbullet1"/>
        <w:numPr>
          <w:ilvl w:val="0"/>
          <w:numId w:val="0"/>
        </w:numPr>
        <w:ind w:left="284" w:hanging="284"/>
      </w:pPr>
    </w:p>
    <w:p w14:paraId="267B8F9A" w14:textId="77777777" w:rsidR="00B77278" w:rsidRDefault="00B77278" w:rsidP="00B77278">
      <w:pPr>
        <w:pStyle w:val="SCVbullet1"/>
        <w:numPr>
          <w:ilvl w:val="0"/>
          <w:numId w:val="0"/>
        </w:numPr>
        <w:ind w:left="284" w:hanging="284"/>
      </w:pPr>
    </w:p>
    <w:p w14:paraId="7D0CE880" w14:textId="77777777" w:rsidR="00B77278" w:rsidRDefault="00B77278" w:rsidP="00B77278">
      <w:pPr>
        <w:pStyle w:val="SCVbullet1"/>
        <w:numPr>
          <w:ilvl w:val="0"/>
          <w:numId w:val="0"/>
        </w:numPr>
        <w:ind w:left="284" w:hanging="284"/>
      </w:pPr>
    </w:p>
    <w:p w14:paraId="2CEFEA0E" w14:textId="77777777" w:rsidR="00B77278" w:rsidRDefault="00B77278" w:rsidP="00B77278">
      <w:pPr>
        <w:pStyle w:val="SCVbullet1"/>
        <w:numPr>
          <w:ilvl w:val="0"/>
          <w:numId w:val="0"/>
        </w:numPr>
        <w:ind w:left="284" w:hanging="284"/>
      </w:pPr>
    </w:p>
    <w:p w14:paraId="71EDA8DA" w14:textId="77777777" w:rsidR="00B77278" w:rsidRDefault="00B77278" w:rsidP="00B77278">
      <w:pPr>
        <w:pStyle w:val="SCVbullet1"/>
        <w:numPr>
          <w:ilvl w:val="0"/>
          <w:numId w:val="0"/>
        </w:numPr>
        <w:ind w:left="284" w:hanging="284"/>
      </w:pPr>
    </w:p>
    <w:p w14:paraId="1DF2F80B" w14:textId="77777777" w:rsidR="00B77278" w:rsidRDefault="00B77278" w:rsidP="00B77278">
      <w:pPr>
        <w:pStyle w:val="SCVbullet1"/>
        <w:numPr>
          <w:ilvl w:val="0"/>
          <w:numId w:val="0"/>
        </w:numPr>
        <w:ind w:left="284" w:hanging="284"/>
      </w:pPr>
    </w:p>
    <w:p w14:paraId="349A1F98" w14:textId="77777777" w:rsidR="00B77278" w:rsidRDefault="00B77278" w:rsidP="00B77278">
      <w:pPr>
        <w:pStyle w:val="SCVbullet1"/>
        <w:numPr>
          <w:ilvl w:val="0"/>
          <w:numId w:val="0"/>
        </w:numPr>
        <w:ind w:left="284" w:hanging="284"/>
      </w:pPr>
    </w:p>
    <w:p w14:paraId="0C726E69" w14:textId="77777777" w:rsidR="00B77278" w:rsidRDefault="00B77278" w:rsidP="00B77278">
      <w:pPr>
        <w:pStyle w:val="SCVbullet1"/>
        <w:numPr>
          <w:ilvl w:val="0"/>
          <w:numId w:val="0"/>
        </w:numPr>
        <w:ind w:left="284" w:hanging="284"/>
      </w:pPr>
    </w:p>
    <w:p w14:paraId="092EA6A5" w14:textId="77777777" w:rsidR="00B77278" w:rsidRDefault="00B77278" w:rsidP="00B77278">
      <w:pPr>
        <w:pStyle w:val="SCVbullet1"/>
        <w:numPr>
          <w:ilvl w:val="0"/>
          <w:numId w:val="0"/>
        </w:numPr>
        <w:ind w:left="284" w:hanging="284"/>
      </w:pPr>
    </w:p>
    <w:p w14:paraId="5036AECD" w14:textId="77777777" w:rsidR="00B77278" w:rsidRDefault="00B77278" w:rsidP="00B77278">
      <w:pPr>
        <w:pStyle w:val="SCVbullet1"/>
        <w:numPr>
          <w:ilvl w:val="0"/>
          <w:numId w:val="0"/>
        </w:numPr>
        <w:ind w:left="284" w:hanging="284"/>
      </w:pPr>
    </w:p>
    <w:p w14:paraId="0ACB2A92" w14:textId="77777777" w:rsidR="00B77278" w:rsidRDefault="00B77278" w:rsidP="00B77278">
      <w:pPr>
        <w:pStyle w:val="SCVbullet1"/>
        <w:numPr>
          <w:ilvl w:val="0"/>
          <w:numId w:val="0"/>
        </w:numPr>
        <w:ind w:left="284" w:hanging="284"/>
      </w:pPr>
    </w:p>
    <w:p w14:paraId="53A758BD" w14:textId="77777777" w:rsidR="00B77278" w:rsidRDefault="00B77278" w:rsidP="00B77278">
      <w:pPr>
        <w:pStyle w:val="SCVbullet1"/>
        <w:numPr>
          <w:ilvl w:val="0"/>
          <w:numId w:val="0"/>
        </w:numPr>
        <w:ind w:left="284" w:hanging="284"/>
      </w:pPr>
    </w:p>
    <w:p w14:paraId="473E05EE" w14:textId="77777777" w:rsidR="00B77278" w:rsidRDefault="00B77278" w:rsidP="00B77278">
      <w:pPr>
        <w:pStyle w:val="SCVbullet1"/>
        <w:numPr>
          <w:ilvl w:val="0"/>
          <w:numId w:val="0"/>
        </w:numPr>
        <w:ind w:left="284" w:hanging="284"/>
      </w:pPr>
    </w:p>
    <w:p w14:paraId="1CDD10FD" w14:textId="77777777" w:rsidR="00B77278" w:rsidRDefault="00B77278" w:rsidP="00B77278">
      <w:pPr>
        <w:pStyle w:val="SCVbullet1"/>
        <w:numPr>
          <w:ilvl w:val="0"/>
          <w:numId w:val="0"/>
        </w:numPr>
        <w:ind w:left="284" w:hanging="284"/>
      </w:pPr>
    </w:p>
    <w:p w14:paraId="49C2F6CF" w14:textId="101806C6" w:rsidR="000A351F" w:rsidRDefault="000A351F" w:rsidP="000A351F">
      <w:pPr>
        <w:pStyle w:val="Heading3"/>
      </w:pPr>
      <w:r>
        <w:t xml:space="preserve">De-escalating analgesics in those treated for </w:t>
      </w:r>
      <w:r w:rsidR="00126050">
        <w:rPr>
          <w:rFonts w:cstheme="majorHAnsi"/>
        </w:rPr>
        <w:t>≤</w:t>
      </w:r>
      <w:r w:rsidR="00126050">
        <w:t xml:space="preserve"> 2 weeks</w:t>
      </w:r>
    </w:p>
    <w:p w14:paraId="303F9757" w14:textId="57CE8988" w:rsidR="00106C48" w:rsidRDefault="00492EF6" w:rsidP="00874E2F">
      <w:pPr>
        <w:pStyle w:val="SCVbody"/>
      </w:pPr>
      <w:r w:rsidRPr="005C44F9">
        <w:t>Aim to de-escalate analgesics prior to discharge.  The order and rate of de-escalation for analgesics may be adjusted based on the patient’s type of pain, response, side</w:t>
      </w:r>
      <w:r>
        <w:t xml:space="preserve"> </w:t>
      </w:r>
      <w:r w:rsidRPr="005C44F9">
        <w:t>effects and risk of adverse effects</w:t>
      </w:r>
      <w:r>
        <w:t>.</w:t>
      </w:r>
    </w:p>
    <w:p w14:paraId="69F2707D" w14:textId="48848D21" w:rsidR="00492EF6" w:rsidRDefault="00A510B1" w:rsidP="00874E2F">
      <w:pPr>
        <w:pStyle w:val="SCVbody"/>
      </w:pPr>
      <w:r w:rsidRPr="00A510B1">
        <w:rPr>
          <w:highlight w:val="yellow"/>
        </w:rPr>
        <w:t>[INSERT DE-ESCALATION FLOWCHART</w:t>
      </w:r>
      <w:r w:rsidR="0002711D">
        <w:rPr>
          <w:highlight w:val="yellow"/>
        </w:rPr>
        <w:t xml:space="preserve"> – SEE </w:t>
      </w:r>
      <w:r w:rsidR="00127878">
        <w:rPr>
          <w:highlight w:val="yellow"/>
        </w:rPr>
        <w:t xml:space="preserve">ADAPTABLE </w:t>
      </w:r>
      <w:r w:rsidR="0002711D">
        <w:rPr>
          <w:highlight w:val="yellow"/>
        </w:rPr>
        <w:t>SAMPLE FROM ALFRED HEALTH (ACKNOWLEDGEMENT TO ALFRED HEALTH FLOWCHART REQUIRED</w:t>
      </w:r>
      <w:r w:rsidRPr="00A510B1">
        <w:rPr>
          <w:highlight w:val="yellow"/>
        </w:rPr>
        <w:t>]</w:t>
      </w:r>
    </w:p>
    <w:p w14:paraId="293E6858" w14:textId="2C04CAF9" w:rsidR="00106C48" w:rsidRDefault="00106C48" w:rsidP="00874E2F">
      <w:pPr>
        <w:pStyle w:val="SCVbody"/>
      </w:pPr>
    </w:p>
    <w:p w14:paraId="4EEB8541" w14:textId="59F230C1" w:rsidR="0057473A" w:rsidRDefault="0057473A" w:rsidP="00874E2F">
      <w:pPr>
        <w:pStyle w:val="SCVbody"/>
      </w:pPr>
    </w:p>
    <w:p w14:paraId="3B454D41" w14:textId="115794F6" w:rsidR="0057473A" w:rsidRDefault="0057473A" w:rsidP="00874E2F">
      <w:pPr>
        <w:pStyle w:val="SCVbody"/>
      </w:pPr>
    </w:p>
    <w:p w14:paraId="67FA4E79" w14:textId="74C28E5A" w:rsidR="0057473A" w:rsidRDefault="0057473A" w:rsidP="00874E2F">
      <w:pPr>
        <w:pStyle w:val="SCVbody"/>
      </w:pPr>
    </w:p>
    <w:p w14:paraId="66DC166B" w14:textId="022772E1" w:rsidR="0057473A" w:rsidRDefault="0057473A" w:rsidP="00874E2F">
      <w:pPr>
        <w:pStyle w:val="SCVbody"/>
      </w:pPr>
    </w:p>
    <w:p w14:paraId="3E6EE267" w14:textId="1D34A6EB" w:rsidR="0057473A" w:rsidRDefault="0057473A" w:rsidP="00874E2F">
      <w:pPr>
        <w:pStyle w:val="SCVbody"/>
      </w:pPr>
    </w:p>
    <w:p w14:paraId="07F45240" w14:textId="3F234727" w:rsidR="0057473A" w:rsidRDefault="0057473A" w:rsidP="00874E2F">
      <w:pPr>
        <w:pStyle w:val="SCVbody"/>
      </w:pPr>
    </w:p>
    <w:p w14:paraId="476D7AC2" w14:textId="3463CF6A" w:rsidR="0057473A" w:rsidRDefault="0057473A" w:rsidP="00874E2F">
      <w:pPr>
        <w:pStyle w:val="SCVbody"/>
      </w:pPr>
    </w:p>
    <w:p w14:paraId="7418E8FA" w14:textId="38BFD888" w:rsidR="0057473A" w:rsidRDefault="0057473A" w:rsidP="00874E2F">
      <w:pPr>
        <w:pStyle w:val="SCVbody"/>
      </w:pPr>
    </w:p>
    <w:p w14:paraId="32E29B58" w14:textId="0539860A" w:rsidR="0057473A" w:rsidRDefault="0057473A" w:rsidP="00874E2F">
      <w:pPr>
        <w:pStyle w:val="SCVbody"/>
      </w:pPr>
    </w:p>
    <w:p w14:paraId="0AD7EF59" w14:textId="26822445" w:rsidR="0057473A" w:rsidRDefault="0057473A" w:rsidP="00874E2F">
      <w:pPr>
        <w:pStyle w:val="SCVbody"/>
      </w:pPr>
    </w:p>
    <w:p w14:paraId="69B642BB" w14:textId="6EBCA69F" w:rsidR="0057473A" w:rsidRDefault="0057473A" w:rsidP="00874E2F">
      <w:pPr>
        <w:pStyle w:val="SCVbody"/>
      </w:pPr>
    </w:p>
    <w:p w14:paraId="56511DEB" w14:textId="7C6712A9" w:rsidR="0057473A" w:rsidRDefault="0057473A" w:rsidP="00874E2F">
      <w:pPr>
        <w:pStyle w:val="SCVbody"/>
      </w:pPr>
    </w:p>
    <w:p w14:paraId="1943C8C5" w14:textId="61AF8405" w:rsidR="0057473A" w:rsidRDefault="0057473A" w:rsidP="00874E2F">
      <w:pPr>
        <w:pStyle w:val="SCVbody"/>
      </w:pPr>
    </w:p>
    <w:p w14:paraId="25688E08" w14:textId="00FD075B" w:rsidR="0057473A" w:rsidRDefault="0057473A" w:rsidP="00874E2F">
      <w:pPr>
        <w:pStyle w:val="SCVbody"/>
      </w:pPr>
    </w:p>
    <w:p w14:paraId="060FEA88" w14:textId="0A65567C" w:rsidR="0057473A" w:rsidRDefault="0057473A" w:rsidP="00874E2F">
      <w:pPr>
        <w:pStyle w:val="SCVbody"/>
      </w:pPr>
    </w:p>
    <w:p w14:paraId="6CB3938F" w14:textId="5E05047F" w:rsidR="0057473A" w:rsidRDefault="0057473A" w:rsidP="00874E2F">
      <w:pPr>
        <w:pStyle w:val="SCVbody"/>
      </w:pPr>
    </w:p>
    <w:p w14:paraId="018A6FE8" w14:textId="7E3B7A32" w:rsidR="0057473A" w:rsidRDefault="0057473A" w:rsidP="00874E2F">
      <w:pPr>
        <w:pStyle w:val="SCVbody"/>
      </w:pPr>
    </w:p>
    <w:p w14:paraId="4ACBBEAF" w14:textId="76BE6373" w:rsidR="0057473A" w:rsidRDefault="0057473A" w:rsidP="00874E2F">
      <w:pPr>
        <w:pStyle w:val="SCVbody"/>
      </w:pPr>
    </w:p>
    <w:p w14:paraId="00FA1C0E" w14:textId="300F7C82" w:rsidR="0057473A" w:rsidRDefault="0057473A" w:rsidP="00874E2F">
      <w:pPr>
        <w:pStyle w:val="SCVbody"/>
      </w:pPr>
    </w:p>
    <w:p w14:paraId="5D2855E6" w14:textId="54AD1DF6" w:rsidR="0057473A" w:rsidRDefault="0057473A" w:rsidP="00874E2F">
      <w:pPr>
        <w:pStyle w:val="SCVbody"/>
      </w:pPr>
    </w:p>
    <w:p w14:paraId="10634C0C" w14:textId="6BED4713" w:rsidR="0057473A" w:rsidRDefault="0057473A" w:rsidP="00874E2F">
      <w:pPr>
        <w:pStyle w:val="SCVbody"/>
      </w:pPr>
    </w:p>
    <w:p w14:paraId="08CC9785" w14:textId="1CED4180" w:rsidR="0057473A" w:rsidRDefault="0057473A" w:rsidP="00874E2F">
      <w:pPr>
        <w:pStyle w:val="SCVbody"/>
      </w:pPr>
    </w:p>
    <w:p w14:paraId="54F6862B" w14:textId="1123E923" w:rsidR="0057473A" w:rsidRDefault="0057473A" w:rsidP="00874E2F">
      <w:pPr>
        <w:pStyle w:val="SCVbody"/>
      </w:pPr>
    </w:p>
    <w:p w14:paraId="29B3A44E" w14:textId="7B45DCC9" w:rsidR="0057473A" w:rsidRDefault="0057473A" w:rsidP="00874E2F">
      <w:pPr>
        <w:pStyle w:val="SCVbody"/>
      </w:pPr>
    </w:p>
    <w:p w14:paraId="71A0C646" w14:textId="67A9A5FB" w:rsidR="00FB464E" w:rsidRDefault="002F7ADE" w:rsidP="007807B7">
      <w:pPr>
        <w:pStyle w:val="Heading1"/>
      </w:pPr>
      <w:r>
        <w:t>Discharge of patients on analgesics</w:t>
      </w:r>
    </w:p>
    <w:p w14:paraId="03540EDB" w14:textId="77777777" w:rsidR="005A5F31" w:rsidRPr="005A5F31" w:rsidRDefault="005A5F31" w:rsidP="004E1761">
      <w:pPr>
        <w:pStyle w:val="Heading3"/>
      </w:pPr>
      <w:r w:rsidRPr="005A5F31">
        <w:t>Paracetamol and NSAIDs</w:t>
      </w:r>
    </w:p>
    <w:p w14:paraId="121D5E66" w14:textId="1E7ED8E8" w:rsidR="005A5F31" w:rsidRPr="005A5F31" w:rsidRDefault="005A5F31" w:rsidP="005A5F31">
      <w:pPr>
        <w:pStyle w:val="SCVbullet1"/>
      </w:pPr>
      <w:r>
        <w:t>Use the smallest dose for the shortest time and consider risks.</w:t>
      </w:r>
    </w:p>
    <w:p w14:paraId="0BBB2B3A" w14:textId="50E8EA17" w:rsidR="005A5F31" w:rsidRDefault="005A5F31" w:rsidP="005A5F31">
      <w:pPr>
        <w:pStyle w:val="SCVbullet1"/>
      </w:pPr>
      <w:r>
        <w:t>5 to 7 days’ supply is usually adequate.</w:t>
      </w:r>
    </w:p>
    <w:p w14:paraId="346A34BD" w14:textId="7F75ECE6" w:rsidR="005A5F31" w:rsidRDefault="005A5F31" w:rsidP="005A5F31">
      <w:pPr>
        <w:pStyle w:val="SCVbullet1"/>
      </w:pPr>
      <w:r>
        <w:t>Consider using a proton pump inhibitor in patients who must have a NSAID but are at risk of GI adverse effects.</w:t>
      </w:r>
    </w:p>
    <w:p w14:paraId="24E1C3CA" w14:textId="63C1C291" w:rsidR="005A5F31" w:rsidRDefault="003C5C0B" w:rsidP="00720B2A">
      <w:pPr>
        <w:pStyle w:val="Heading3"/>
      </w:pPr>
      <w:r w:rsidRPr="003C5C0B">
        <w:t>Opioid analgesics</w:t>
      </w:r>
    </w:p>
    <w:p w14:paraId="791052FC" w14:textId="7F5CF715" w:rsidR="003C5C0B" w:rsidRDefault="003C5C0B" w:rsidP="003C5C0B">
      <w:pPr>
        <w:pStyle w:val="SCVbullet1"/>
      </w:pPr>
      <w:r>
        <w:t xml:space="preserve">Where possible, wean patients from opioids </w:t>
      </w:r>
      <w:r w:rsidR="00957DDF">
        <w:t>prior to discharge. If this is not possible, a documented medication management plan for opioid analgesic weaning and cessation and/or follow-up and information for the GP is required.</w:t>
      </w:r>
    </w:p>
    <w:p w14:paraId="3C3EA0DA" w14:textId="64555D33" w:rsidR="00502A19" w:rsidRPr="001C4E0F" w:rsidRDefault="00502A19" w:rsidP="00AB49A4">
      <w:pPr>
        <w:pStyle w:val="SCVbullet1"/>
        <w:rPr>
          <w:rFonts w:eastAsia="Calibri" w:cs="Arial"/>
          <w:lang w:eastAsia="en-US"/>
        </w:rPr>
      </w:pPr>
      <w:r>
        <w:rPr>
          <w:rFonts w:eastAsia="Calibri" w:cs="Arial"/>
          <w:lang w:eastAsia="en-US"/>
        </w:rPr>
        <w:t xml:space="preserve">Prescribing of opioid analgesics at discharge should be guided by the </w:t>
      </w:r>
      <w:r w:rsidRPr="00385C33">
        <w:rPr>
          <w:rFonts w:eastAsia="Calibri"/>
          <w:lang w:eastAsia="en-US"/>
        </w:rPr>
        <w:t>assess</w:t>
      </w:r>
      <w:r>
        <w:rPr>
          <w:rFonts w:eastAsia="Calibri"/>
          <w:lang w:eastAsia="en-US"/>
        </w:rPr>
        <w:t>ment of</w:t>
      </w:r>
      <w:r w:rsidRPr="00385C33">
        <w:rPr>
          <w:rFonts w:eastAsia="Calibri"/>
          <w:lang w:eastAsia="en-US"/>
        </w:rPr>
        <w:t xml:space="preserve"> the patient’s functional activity and pain scores and the amount of opioid analgesic use in </w:t>
      </w:r>
      <w:r>
        <w:rPr>
          <w:rFonts w:eastAsia="Calibri"/>
          <w:lang w:eastAsia="en-US"/>
        </w:rPr>
        <w:t xml:space="preserve">the </w:t>
      </w:r>
      <w:proofErr w:type="gramStart"/>
      <w:r w:rsidRPr="00385C33">
        <w:rPr>
          <w:rFonts w:eastAsia="Calibri"/>
          <w:lang w:eastAsia="en-US"/>
        </w:rPr>
        <w:t>24 hour</w:t>
      </w:r>
      <w:proofErr w:type="gramEnd"/>
      <w:r w:rsidRPr="00385C33">
        <w:rPr>
          <w:rFonts w:eastAsia="Calibri"/>
          <w:lang w:eastAsia="en-US"/>
        </w:rPr>
        <w:t xml:space="preserve"> period</w:t>
      </w:r>
      <w:r>
        <w:rPr>
          <w:rFonts w:eastAsia="Calibri"/>
          <w:lang w:eastAsia="en-US"/>
        </w:rPr>
        <w:t xml:space="preserve"> before discharge, using an OMEDD</w:t>
      </w:r>
      <w:r w:rsidRPr="00385C33">
        <w:rPr>
          <w:rFonts w:eastAsia="Calibri"/>
          <w:lang w:eastAsia="en-US"/>
        </w:rPr>
        <w:t>.</w:t>
      </w:r>
    </w:p>
    <w:p w14:paraId="6A843967" w14:textId="774AE25C" w:rsidR="007A58A5" w:rsidRPr="005F6028" w:rsidRDefault="007A58A5" w:rsidP="007A58A5">
      <w:pPr>
        <w:pStyle w:val="Heading3"/>
      </w:pPr>
      <w:r>
        <w:t>Supply of opioid analgesic</w:t>
      </w:r>
      <w:r w:rsidR="00B31F77">
        <w:t>s</w:t>
      </w:r>
      <w:r>
        <w:t xml:space="preserve"> at discharge </w:t>
      </w:r>
    </w:p>
    <w:p w14:paraId="50E1E48F" w14:textId="1EFD0554" w:rsidR="00A9323D" w:rsidRDefault="00B31F77" w:rsidP="00B31F77">
      <w:pPr>
        <w:pStyle w:val="SCVbullet1"/>
      </w:pPr>
      <w:r>
        <w:t>Strong opioids are not recommended for routine prescription on discharge, particularly in opioid naïve patients.</w:t>
      </w:r>
      <w:r w:rsidR="00A9323D">
        <w:t xml:space="preserve"> </w:t>
      </w:r>
      <w:r>
        <w:t xml:space="preserve">This can be dangerous or even fatal. </w:t>
      </w:r>
    </w:p>
    <w:p w14:paraId="28D915EE" w14:textId="1A8A90CE" w:rsidR="00B31F77" w:rsidRPr="008F0DA3" w:rsidRDefault="00B31F77" w:rsidP="00B31F77">
      <w:pPr>
        <w:pStyle w:val="SCVbullet1"/>
      </w:pPr>
      <w:r>
        <w:t xml:space="preserve">If opioids need to be prescribed on discharge, they should be prescribed at the </w:t>
      </w:r>
      <w:r w:rsidRPr="00A9323D">
        <w:rPr>
          <w:b/>
          <w:bCs/>
        </w:rPr>
        <w:t>lowest appropriate dose</w:t>
      </w:r>
      <w:r>
        <w:t xml:space="preserve"> and for the </w:t>
      </w:r>
      <w:r w:rsidRPr="00A9323D">
        <w:rPr>
          <w:b/>
          <w:bCs/>
        </w:rPr>
        <w:t>shortest time</w:t>
      </w:r>
      <w:r>
        <w:t>. It is recommended that if a patient requires greater than 3-day supply, they are reviewed by their GP prior to continuation of opioid therapy.</w:t>
      </w:r>
    </w:p>
    <w:p w14:paraId="03B4B243" w14:textId="082A22ED" w:rsidR="00B31F77" w:rsidRDefault="00B31F77" w:rsidP="00B31F77">
      <w:pPr>
        <w:pStyle w:val="SCVbullet1"/>
        <w:rPr>
          <w:rFonts w:eastAsia="Calibri" w:cs="Arial"/>
          <w:lang w:eastAsia="en-US"/>
        </w:rPr>
      </w:pPr>
      <w:r>
        <w:rPr>
          <w:rFonts w:eastAsia="Calibri"/>
          <w:lang w:eastAsia="en-US"/>
        </w:rPr>
        <w:t xml:space="preserve">If a patient is discharged with an opioid analgesic, the quantity should be for up to a </w:t>
      </w:r>
      <w:r w:rsidRPr="005248BA">
        <w:rPr>
          <w:rFonts w:eastAsia="Calibri"/>
          <w:b/>
          <w:bCs/>
          <w:lang w:eastAsia="en-US"/>
        </w:rPr>
        <w:t xml:space="preserve">maximum of seven days treatment </w:t>
      </w:r>
      <w:r w:rsidR="00272965" w:rsidRPr="00315C5D">
        <w:rPr>
          <w:rFonts w:eastAsia="Calibri"/>
          <w:lang w:eastAsia="en-US"/>
        </w:rPr>
        <w:t>with a plan</w:t>
      </w:r>
      <w:r w:rsidR="00272965">
        <w:rPr>
          <w:rFonts w:eastAsia="Calibri"/>
          <w:b/>
          <w:bCs/>
          <w:lang w:eastAsia="en-US"/>
        </w:rPr>
        <w:t xml:space="preserve"> </w:t>
      </w:r>
      <w:r>
        <w:rPr>
          <w:rFonts w:eastAsia="Calibri"/>
          <w:lang w:eastAsia="en-US"/>
        </w:rPr>
        <w:t>to reduce and stop the opioid analgesic</w:t>
      </w:r>
    </w:p>
    <w:p w14:paraId="46275EE6" w14:textId="77777777" w:rsidR="00B31F77" w:rsidRPr="00247E65" w:rsidRDefault="00B31F77" w:rsidP="00B31F77">
      <w:pPr>
        <w:pStyle w:val="SCVbullet1"/>
      </w:pPr>
      <w:r>
        <w:t xml:space="preserve">The quantity of supply should </w:t>
      </w:r>
      <w:proofErr w:type="gramStart"/>
      <w:r>
        <w:t>take</w:t>
      </w:r>
      <w:r w:rsidRPr="00247E65">
        <w:t xml:space="preserve"> into account</w:t>
      </w:r>
      <w:proofErr w:type="gramEnd"/>
      <w:r w:rsidRPr="00247E65">
        <w:t xml:space="preserve"> the day of discharge and when the patient can reasonably be expected to access primary care and other healthcare services post-discharge </w:t>
      </w:r>
    </w:p>
    <w:p w14:paraId="6F707DFC" w14:textId="213F07B3" w:rsidR="00B31F77" w:rsidRPr="0020709D" w:rsidRDefault="00B31F77" w:rsidP="00B31F77">
      <w:pPr>
        <w:pStyle w:val="SCVbullet1"/>
      </w:pPr>
      <w:r w:rsidRPr="00247E65">
        <w:t>For patients who live in locations with limited access to prescribers and pharmacies, consider their individual circumstances and expected course of their condition</w:t>
      </w:r>
    </w:p>
    <w:p w14:paraId="235D819F" w14:textId="08C1C46F" w:rsidR="007A58A5" w:rsidRPr="007A58A5" w:rsidRDefault="007A58A5" w:rsidP="00720B2A">
      <w:pPr>
        <w:pStyle w:val="SCVbullet1"/>
        <w:rPr>
          <w:rFonts w:eastAsia="Calibri" w:cs="Arial"/>
          <w:lang w:eastAsia="en-US"/>
        </w:rPr>
      </w:pPr>
      <w:r>
        <w:rPr>
          <w:rFonts w:eastAsia="Calibri"/>
          <w:lang w:eastAsia="en-US"/>
        </w:rPr>
        <w:t xml:space="preserve">Prescribing of </w:t>
      </w:r>
      <w:r w:rsidRPr="00967099">
        <w:rPr>
          <w:rFonts w:eastAsia="Calibri"/>
          <w:b/>
          <w:bCs/>
          <w:lang w:eastAsia="en-US"/>
        </w:rPr>
        <w:t>modified-release opioid analgesics</w:t>
      </w:r>
      <w:r w:rsidRPr="00247E65">
        <w:rPr>
          <w:rFonts w:eastAsia="Calibri"/>
          <w:lang w:eastAsia="en-US"/>
        </w:rPr>
        <w:t xml:space="preserve"> </w:t>
      </w:r>
      <w:r>
        <w:rPr>
          <w:rFonts w:eastAsia="Calibri"/>
          <w:lang w:eastAsia="en-US"/>
        </w:rPr>
        <w:t xml:space="preserve">should be limited </w:t>
      </w:r>
      <w:r w:rsidRPr="00247E65">
        <w:rPr>
          <w:rFonts w:eastAsia="Calibri"/>
          <w:lang w:eastAsia="en-US"/>
        </w:rPr>
        <w:t>for acute pain to specific circumstances, and for as short</w:t>
      </w:r>
      <w:r w:rsidR="007B09EF">
        <w:rPr>
          <w:rFonts w:eastAsia="Calibri"/>
          <w:lang w:eastAsia="en-US"/>
        </w:rPr>
        <w:t xml:space="preserve"> a</w:t>
      </w:r>
      <w:r w:rsidRPr="00247E65">
        <w:rPr>
          <w:rFonts w:eastAsia="Calibri"/>
          <w:lang w:eastAsia="en-US"/>
        </w:rPr>
        <w:t xml:space="preserve"> duration as possible, before ceasing opioid analgesics or changing to an immediate release opioid analgesic if required. </w:t>
      </w:r>
    </w:p>
    <w:p w14:paraId="09C5D968" w14:textId="1346EF78" w:rsidR="005F6028" w:rsidRPr="005F6028" w:rsidRDefault="00DF7CEC" w:rsidP="00720B2A">
      <w:pPr>
        <w:pStyle w:val="Heading3"/>
      </w:pPr>
      <w:r>
        <w:t xml:space="preserve">Supply of </w:t>
      </w:r>
      <w:r w:rsidR="00967099">
        <w:t>immediate release opioid analgesic at discharge</w:t>
      </w:r>
      <w:r w:rsidR="00502A19">
        <w:t xml:space="preserve"> </w:t>
      </w:r>
    </w:p>
    <w:p w14:paraId="4BED61FA" w14:textId="05763947" w:rsidR="006E012D" w:rsidRDefault="002975A4" w:rsidP="00874E2F">
      <w:pPr>
        <w:pStyle w:val="SCVbody"/>
      </w:pPr>
      <w:r w:rsidRPr="007B638E">
        <w:t xml:space="preserve">If </w:t>
      </w:r>
      <w:r w:rsidR="00AA3C23" w:rsidRPr="007B638E">
        <w:t>immediate release opioid analgesics are required at discharge</w:t>
      </w:r>
    </w:p>
    <w:p w14:paraId="6078266B" w14:textId="42ED9FBB" w:rsidR="007B638E" w:rsidRDefault="007B638E" w:rsidP="007B638E">
      <w:pPr>
        <w:pStyle w:val="SCVbullet1"/>
      </w:pPr>
      <w:r>
        <w:t>Prescribe nece</w:t>
      </w:r>
      <w:r w:rsidR="00F061E6">
        <w:t xml:space="preserve">ssary quantities, </w:t>
      </w:r>
      <w:r w:rsidR="00F061E6" w:rsidRPr="00F061E6">
        <w:rPr>
          <w:b/>
          <w:bCs/>
        </w:rPr>
        <w:t>NOT</w:t>
      </w:r>
      <w:r w:rsidR="00F061E6">
        <w:t xml:space="preserve"> full packs</w:t>
      </w:r>
    </w:p>
    <w:p w14:paraId="123C459B" w14:textId="6C362A0E" w:rsidR="00703521" w:rsidRDefault="00703521" w:rsidP="007B638E">
      <w:pPr>
        <w:pStyle w:val="SCVbullet1"/>
      </w:pPr>
      <w:r>
        <w:t xml:space="preserve">Assess number of PRN doses in </w:t>
      </w:r>
      <w:r w:rsidRPr="00C801E9">
        <w:rPr>
          <w:b/>
          <w:bCs/>
        </w:rPr>
        <w:t>last 24 hours</w:t>
      </w:r>
      <w:r>
        <w:t xml:space="preserve"> to guide quantities</w:t>
      </w:r>
    </w:p>
    <w:p w14:paraId="61F23EEA" w14:textId="1398BEEA" w:rsidR="00BA4176" w:rsidRDefault="00C801E9" w:rsidP="006E012D">
      <w:pPr>
        <w:pStyle w:val="SCVbullet1"/>
      </w:pPr>
      <w:r>
        <w:t xml:space="preserve">Prescribe at the lowest appropriate dose for the shortest time, a </w:t>
      </w:r>
      <w:r w:rsidRPr="00C801E9">
        <w:rPr>
          <w:b/>
          <w:bCs/>
        </w:rPr>
        <w:t xml:space="preserve">maximum of 3-5 </w:t>
      </w:r>
      <w:proofErr w:type="spellStart"/>
      <w:r w:rsidRPr="00C801E9">
        <w:rPr>
          <w:b/>
          <w:bCs/>
        </w:rPr>
        <w:t>days</w:t>
      </w:r>
      <w:proofErr w:type="spellEnd"/>
      <w:r>
        <w:t xml:space="preserve"> supply is recommended</w:t>
      </w:r>
    </w:p>
    <w:p w14:paraId="01670A0D" w14:textId="77777777" w:rsidR="0085769C" w:rsidRDefault="0085769C" w:rsidP="0085769C">
      <w:pPr>
        <w:pStyle w:val="SCVbullet1"/>
        <w:numPr>
          <w:ilvl w:val="0"/>
          <w:numId w:val="0"/>
        </w:numPr>
      </w:pPr>
    </w:p>
    <w:p w14:paraId="49C45FDD" w14:textId="70E26CC0" w:rsidR="0085769C" w:rsidRDefault="0085769C" w:rsidP="0085769C">
      <w:pPr>
        <w:pStyle w:val="SCVbullet1"/>
        <w:numPr>
          <w:ilvl w:val="0"/>
          <w:numId w:val="0"/>
        </w:numPr>
      </w:pPr>
      <w:proofErr w:type="spellStart"/>
      <w:r>
        <w:lastRenderedPageBreak/>
        <w:t>Eg.</w:t>
      </w:r>
      <w:proofErr w:type="spellEnd"/>
      <w:r>
        <w:t xml:space="preserve"> If a patient has used TWO 5mg doses of Oxycodone in the last 24hours, a maximum of 10 tablets </w:t>
      </w:r>
      <w:r w:rsidR="0084736C">
        <w:t>supply should be prescribed. (2 tablets x 5 days</w:t>
      </w:r>
      <w:r w:rsidR="00620CC0">
        <w:t xml:space="preserve"> </w:t>
      </w:r>
      <w:r w:rsidR="0084736C">
        <w:t>= 10 tablets)</w:t>
      </w:r>
    </w:p>
    <w:p w14:paraId="45E805FC" w14:textId="77777777" w:rsidR="00BA4176" w:rsidRDefault="00BA4176" w:rsidP="00BA4176">
      <w:pPr>
        <w:pStyle w:val="SCVbody"/>
      </w:pPr>
    </w:p>
    <w:p w14:paraId="16A3DC44" w14:textId="77777777" w:rsidR="00BA4176" w:rsidRPr="00BA4176" w:rsidRDefault="00BA4176" w:rsidP="00BA4176">
      <w:pPr>
        <w:pStyle w:val="SCVbody"/>
      </w:pPr>
    </w:p>
    <w:p w14:paraId="1E607667" w14:textId="676F61B6" w:rsidR="00BA4176" w:rsidRDefault="009C2670" w:rsidP="00BA4176">
      <w:pPr>
        <w:pStyle w:val="Heading3"/>
        <w:rPr>
          <w:noProof/>
        </w:rPr>
      </w:pPr>
      <w:r>
        <w:rPr>
          <w:noProof/>
        </w:rPr>
        <w:t>Opioid discharge quantity for short stay surgical patients</w:t>
      </w:r>
    </w:p>
    <w:p w14:paraId="4AE54004" w14:textId="63A9B588" w:rsidR="005B5063" w:rsidRPr="009C2670" w:rsidRDefault="009C2670" w:rsidP="009C2670">
      <w:pPr>
        <w:pStyle w:val="SCVbody"/>
      </w:pPr>
      <w:r>
        <w:t xml:space="preserve">For post-operative </w:t>
      </w:r>
      <w:r w:rsidR="00B20F2D">
        <w:t xml:space="preserve">surgical patients admitted for &lt;48 hours and discharged from a surgical unit, the highest reported pain score in the previous 24 hours (documented using the Numerical Rating Score – NRS) should determine the quantity of immediate release opioid analgesics supplied to patients </w:t>
      </w:r>
      <w:r w:rsidR="003A600B">
        <w:t xml:space="preserve">on </w:t>
      </w:r>
      <w:proofErr w:type="gramStart"/>
      <w:r w:rsidR="00B20F2D">
        <w:t>discharge</w:t>
      </w:r>
      <w:r w:rsidR="005B5063">
        <w:t>;</w:t>
      </w:r>
      <w:proofErr w:type="gramEnd"/>
    </w:p>
    <w:tbl>
      <w:tblPr>
        <w:tblStyle w:val="TableGrid"/>
        <w:tblW w:w="0" w:type="auto"/>
        <w:tblLook w:val="04A0" w:firstRow="1" w:lastRow="0" w:firstColumn="1" w:lastColumn="0" w:noHBand="0" w:noVBand="1"/>
      </w:tblPr>
      <w:tblGrid>
        <w:gridCol w:w="3402"/>
        <w:gridCol w:w="7030"/>
      </w:tblGrid>
      <w:tr w:rsidR="005B5063" w14:paraId="465DD0B3" w14:textId="77777777" w:rsidTr="00BA4176">
        <w:trPr>
          <w:cnfStyle w:val="100000000000" w:firstRow="1" w:lastRow="0" w:firstColumn="0" w:lastColumn="0" w:oddVBand="0" w:evenVBand="0" w:oddHBand="0" w:evenHBand="0" w:firstRowFirstColumn="0" w:firstRowLastColumn="0" w:lastRowFirstColumn="0" w:lastRowLastColumn="0"/>
        </w:trPr>
        <w:tc>
          <w:tcPr>
            <w:tcW w:w="3402" w:type="dxa"/>
          </w:tcPr>
          <w:p w14:paraId="459B72DD" w14:textId="5A101E99" w:rsidR="005B5063" w:rsidRPr="00A82C39" w:rsidRDefault="005B5063" w:rsidP="009C2670">
            <w:pPr>
              <w:pStyle w:val="SCVbody"/>
              <w:rPr>
                <w:b/>
                <w:bCs/>
              </w:rPr>
            </w:pPr>
            <w:r w:rsidRPr="00A82C39">
              <w:rPr>
                <w:b/>
                <w:bCs/>
              </w:rPr>
              <w:t>Numerical Rating Score (NRS)</w:t>
            </w:r>
          </w:p>
        </w:tc>
        <w:tc>
          <w:tcPr>
            <w:tcW w:w="7030" w:type="dxa"/>
          </w:tcPr>
          <w:p w14:paraId="779265F1" w14:textId="612A7666" w:rsidR="005B5063" w:rsidRPr="00A82C39" w:rsidRDefault="005B5063" w:rsidP="009C2670">
            <w:pPr>
              <w:pStyle w:val="SCVbody"/>
              <w:rPr>
                <w:b/>
                <w:bCs/>
              </w:rPr>
            </w:pPr>
            <w:r w:rsidRPr="00A82C39">
              <w:rPr>
                <w:b/>
                <w:bCs/>
              </w:rPr>
              <w:t>Quantity of immediate release opioid</w:t>
            </w:r>
          </w:p>
        </w:tc>
      </w:tr>
      <w:tr w:rsidR="005B5063" w14:paraId="38A29C88" w14:textId="77777777" w:rsidTr="00BA4176">
        <w:tc>
          <w:tcPr>
            <w:tcW w:w="3402" w:type="dxa"/>
          </w:tcPr>
          <w:p w14:paraId="181C5080" w14:textId="12CB9B15" w:rsidR="005B5063" w:rsidRDefault="00A82C39" w:rsidP="009C2670">
            <w:pPr>
              <w:pStyle w:val="SCVbody"/>
            </w:pPr>
            <w:r>
              <w:t xml:space="preserve">NRS </w:t>
            </w:r>
            <w:r>
              <w:rPr>
                <w:rFonts w:cstheme="minorHAnsi"/>
              </w:rPr>
              <w:t>≤</w:t>
            </w:r>
            <w:r>
              <w:t>1</w:t>
            </w:r>
          </w:p>
        </w:tc>
        <w:tc>
          <w:tcPr>
            <w:tcW w:w="7030" w:type="dxa"/>
          </w:tcPr>
          <w:p w14:paraId="305DBDD4" w14:textId="77777777" w:rsidR="00BA4176" w:rsidRPr="00BA4176" w:rsidRDefault="00BA4176" w:rsidP="00BA4176">
            <w:pPr>
              <w:autoSpaceDE w:val="0"/>
              <w:autoSpaceDN w:val="0"/>
              <w:adjustRightInd w:val="0"/>
              <w:rPr>
                <w:rFonts w:cstheme="minorHAnsi"/>
                <w:color w:val="000000"/>
              </w:rPr>
            </w:pPr>
            <w:r w:rsidRPr="00BA4176">
              <w:rPr>
                <w:rFonts w:cstheme="minorHAnsi"/>
                <w:b/>
                <w:bCs/>
                <w:color w:val="004C97" w:themeColor="accent4"/>
              </w:rPr>
              <w:t>Nil</w:t>
            </w:r>
            <w:r w:rsidRPr="00BA4176">
              <w:rPr>
                <w:rFonts w:cstheme="minorHAnsi"/>
                <w:color w:val="0000FF"/>
              </w:rPr>
              <w:t xml:space="preserve">, </w:t>
            </w:r>
            <w:r w:rsidRPr="00BA4176">
              <w:rPr>
                <w:rFonts w:cstheme="minorHAnsi"/>
                <w:color w:val="000000"/>
              </w:rPr>
              <w:t>prescribe simple analgesics e.g. paracetamol +/-</w:t>
            </w:r>
          </w:p>
          <w:p w14:paraId="17483546" w14:textId="77777777" w:rsidR="00BA4176" w:rsidRPr="00BA4176" w:rsidRDefault="00BA4176" w:rsidP="00BA4176">
            <w:pPr>
              <w:autoSpaceDE w:val="0"/>
              <w:autoSpaceDN w:val="0"/>
              <w:adjustRightInd w:val="0"/>
              <w:rPr>
                <w:rFonts w:cstheme="minorHAnsi"/>
                <w:color w:val="000000"/>
              </w:rPr>
            </w:pPr>
            <w:r w:rsidRPr="00BA4176">
              <w:rPr>
                <w:rFonts w:cstheme="minorHAnsi"/>
                <w:color w:val="000000"/>
              </w:rPr>
              <w:t>NSAIDs (if NSAID is not appropriate/contra-indicated</w:t>
            </w:r>
          </w:p>
          <w:p w14:paraId="11490071" w14:textId="48308E4E" w:rsidR="005B5063" w:rsidRPr="00BA4176" w:rsidRDefault="00BA4176" w:rsidP="00BA4176">
            <w:pPr>
              <w:pStyle w:val="SCVbody"/>
              <w:rPr>
                <w:rFonts w:cstheme="minorHAnsi"/>
              </w:rPr>
            </w:pPr>
            <w:r w:rsidRPr="00BA4176">
              <w:rPr>
                <w:rFonts w:cstheme="minorHAnsi"/>
                <w:color w:val="000000"/>
              </w:rPr>
              <w:t>consider tramadol)</w:t>
            </w:r>
          </w:p>
        </w:tc>
      </w:tr>
      <w:tr w:rsidR="005B5063" w14:paraId="41BFD004" w14:textId="77777777" w:rsidTr="00BA4176">
        <w:tc>
          <w:tcPr>
            <w:tcW w:w="3402" w:type="dxa"/>
          </w:tcPr>
          <w:p w14:paraId="515BF10F" w14:textId="58CEECE1" w:rsidR="005B5063" w:rsidRDefault="00A82C39" w:rsidP="009C2670">
            <w:pPr>
              <w:pStyle w:val="SCVbody"/>
            </w:pPr>
            <w:r>
              <w:t xml:space="preserve">NRS </w:t>
            </w:r>
            <w:r>
              <w:rPr>
                <w:rFonts w:cstheme="minorHAnsi"/>
              </w:rPr>
              <w:t>≥</w:t>
            </w:r>
            <w:r>
              <w:t xml:space="preserve">2 but </w:t>
            </w:r>
            <w:r>
              <w:rPr>
                <w:rFonts w:cstheme="minorHAnsi"/>
              </w:rPr>
              <w:t>≤5</w:t>
            </w:r>
          </w:p>
        </w:tc>
        <w:tc>
          <w:tcPr>
            <w:tcW w:w="7030" w:type="dxa"/>
          </w:tcPr>
          <w:p w14:paraId="4F710DDD" w14:textId="77777777" w:rsidR="00BA4176" w:rsidRPr="00BA4176" w:rsidRDefault="00BA4176" w:rsidP="00BA4176">
            <w:pPr>
              <w:autoSpaceDE w:val="0"/>
              <w:autoSpaceDN w:val="0"/>
              <w:adjustRightInd w:val="0"/>
              <w:rPr>
                <w:rFonts w:cstheme="minorHAnsi"/>
                <w:color w:val="000000"/>
              </w:rPr>
            </w:pPr>
            <w:r w:rsidRPr="00BA4176">
              <w:rPr>
                <w:rFonts w:cstheme="minorHAnsi"/>
                <w:b/>
                <w:bCs/>
                <w:color w:val="004C97" w:themeColor="accent4"/>
              </w:rPr>
              <w:t>5 tablets</w:t>
            </w:r>
            <w:r w:rsidRPr="00BA4176">
              <w:rPr>
                <w:rFonts w:cstheme="minorHAnsi"/>
                <w:color w:val="0000FF"/>
              </w:rPr>
              <w:t xml:space="preserve">, </w:t>
            </w:r>
            <w:r w:rsidRPr="00BA4176">
              <w:rPr>
                <w:rFonts w:cstheme="minorHAnsi"/>
                <w:color w:val="000000"/>
              </w:rPr>
              <w:t>prescribe simple analgesics e.g.</w:t>
            </w:r>
          </w:p>
          <w:p w14:paraId="3F2DC97A" w14:textId="77777777" w:rsidR="00BA4176" w:rsidRPr="00BA4176" w:rsidRDefault="00BA4176" w:rsidP="00BA4176">
            <w:pPr>
              <w:autoSpaceDE w:val="0"/>
              <w:autoSpaceDN w:val="0"/>
              <w:adjustRightInd w:val="0"/>
              <w:rPr>
                <w:rFonts w:cstheme="minorHAnsi"/>
                <w:color w:val="000000"/>
              </w:rPr>
            </w:pPr>
            <w:r w:rsidRPr="00BA4176">
              <w:rPr>
                <w:rFonts w:cstheme="minorHAnsi"/>
                <w:color w:val="000000"/>
              </w:rPr>
              <w:t>paracetamol +/- NSAID (if NSAID is not</w:t>
            </w:r>
          </w:p>
          <w:p w14:paraId="4F3BBC9E" w14:textId="5A972044" w:rsidR="005B5063" w:rsidRPr="00BA4176" w:rsidRDefault="00BA4176" w:rsidP="00BA4176">
            <w:pPr>
              <w:pStyle w:val="SCVbody"/>
              <w:rPr>
                <w:rFonts w:cstheme="minorHAnsi"/>
              </w:rPr>
            </w:pPr>
            <w:r w:rsidRPr="00BA4176">
              <w:rPr>
                <w:rFonts w:cstheme="minorHAnsi"/>
                <w:color w:val="000000"/>
              </w:rPr>
              <w:t>appropriate/contra-indicated consider tramadol)</w:t>
            </w:r>
          </w:p>
        </w:tc>
      </w:tr>
      <w:tr w:rsidR="005B5063" w14:paraId="65698B38" w14:textId="77777777" w:rsidTr="00BA4176">
        <w:tc>
          <w:tcPr>
            <w:tcW w:w="3402" w:type="dxa"/>
          </w:tcPr>
          <w:p w14:paraId="769C0264" w14:textId="2DD885D4" w:rsidR="005B5063" w:rsidRDefault="00A82C39" w:rsidP="009C2670">
            <w:pPr>
              <w:pStyle w:val="SCVbody"/>
            </w:pPr>
            <w:r>
              <w:t xml:space="preserve">NRS </w:t>
            </w:r>
            <w:r>
              <w:rPr>
                <w:rFonts w:cstheme="minorHAnsi"/>
              </w:rPr>
              <w:t>≥</w:t>
            </w:r>
            <w:r w:rsidR="00B0797F">
              <w:rPr>
                <w:rFonts w:cstheme="minorHAnsi"/>
              </w:rPr>
              <w:t>5</w:t>
            </w:r>
          </w:p>
        </w:tc>
        <w:tc>
          <w:tcPr>
            <w:tcW w:w="7030" w:type="dxa"/>
          </w:tcPr>
          <w:p w14:paraId="515F2961" w14:textId="77777777" w:rsidR="00BA4176" w:rsidRPr="00BA4176" w:rsidRDefault="00BA4176" w:rsidP="00BA4176">
            <w:pPr>
              <w:autoSpaceDE w:val="0"/>
              <w:autoSpaceDN w:val="0"/>
              <w:adjustRightInd w:val="0"/>
              <w:rPr>
                <w:rFonts w:cstheme="minorHAnsi"/>
                <w:color w:val="000000"/>
              </w:rPr>
            </w:pPr>
            <w:r w:rsidRPr="00BA4176">
              <w:rPr>
                <w:rFonts w:cstheme="minorHAnsi"/>
                <w:b/>
                <w:bCs/>
                <w:color w:val="004C97" w:themeColor="accent4"/>
              </w:rPr>
              <w:t>10 tablets</w:t>
            </w:r>
            <w:r w:rsidRPr="00BA4176">
              <w:rPr>
                <w:rFonts w:cstheme="minorHAnsi"/>
                <w:color w:val="0000FF"/>
              </w:rPr>
              <w:t xml:space="preserve">, </w:t>
            </w:r>
            <w:r w:rsidRPr="00BA4176">
              <w:rPr>
                <w:rFonts w:cstheme="minorHAnsi"/>
                <w:color w:val="000000"/>
              </w:rPr>
              <w:t>see GP if any concerns</w:t>
            </w:r>
            <w:r w:rsidRPr="00BA4176">
              <w:rPr>
                <w:rFonts w:cstheme="minorHAnsi"/>
                <w:b/>
                <w:bCs/>
                <w:color w:val="000000"/>
              </w:rPr>
              <w:t xml:space="preserve">; </w:t>
            </w:r>
            <w:r w:rsidRPr="00BA4176">
              <w:rPr>
                <w:rFonts w:cstheme="minorHAnsi"/>
                <w:color w:val="000000"/>
              </w:rPr>
              <w:t>prescribe simple</w:t>
            </w:r>
          </w:p>
          <w:p w14:paraId="4AC34E12" w14:textId="77777777" w:rsidR="00BA4176" w:rsidRPr="00BA4176" w:rsidRDefault="00BA4176" w:rsidP="00BA4176">
            <w:pPr>
              <w:autoSpaceDE w:val="0"/>
              <w:autoSpaceDN w:val="0"/>
              <w:adjustRightInd w:val="0"/>
              <w:rPr>
                <w:rFonts w:cstheme="minorHAnsi"/>
                <w:color w:val="000000"/>
              </w:rPr>
            </w:pPr>
            <w:r w:rsidRPr="00BA4176">
              <w:rPr>
                <w:rFonts w:cstheme="minorHAnsi"/>
                <w:color w:val="000000"/>
              </w:rPr>
              <w:t>analgesics e.g. paracetamol +/- NSAID (if NSAID is not</w:t>
            </w:r>
          </w:p>
          <w:p w14:paraId="5A14A778" w14:textId="4196EE97" w:rsidR="005B5063" w:rsidRPr="00BA4176" w:rsidRDefault="00BA4176" w:rsidP="00BA4176">
            <w:pPr>
              <w:pStyle w:val="SCVbody"/>
              <w:rPr>
                <w:rFonts w:cstheme="minorHAnsi"/>
              </w:rPr>
            </w:pPr>
            <w:r w:rsidRPr="00BA4176">
              <w:rPr>
                <w:rFonts w:cstheme="minorHAnsi"/>
                <w:color w:val="000000"/>
              </w:rPr>
              <w:t>appropriate/contra-indicated consider tramadol)</w:t>
            </w:r>
          </w:p>
        </w:tc>
      </w:tr>
    </w:tbl>
    <w:p w14:paraId="2A214B4B" w14:textId="0C3AC32B" w:rsidR="007D2511" w:rsidRDefault="0024092B" w:rsidP="007807B7">
      <w:pPr>
        <w:pStyle w:val="Heading3"/>
      </w:pPr>
      <w:proofErr w:type="spellStart"/>
      <w:r>
        <w:t>SafeScript</w:t>
      </w:r>
      <w:proofErr w:type="spellEnd"/>
    </w:p>
    <w:p w14:paraId="2CE94FEE" w14:textId="07660052" w:rsidR="007D2511" w:rsidRDefault="00C86AF1" w:rsidP="00AF2DFA">
      <w:pPr>
        <w:pStyle w:val="SCVbody"/>
      </w:pPr>
      <w:r>
        <w:t xml:space="preserve">Clinicians should obtain </w:t>
      </w:r>
      <w:r w:rsidR="00753096">
        <w:t xml:space="preserve">and check </w:t>
      </w:r>
      <w:r>
        <w:t xml:space="preserve">information from </w:t>
      </w:r>
      <w:proofErr w:type="spellStart"/>
      <w:r>
        <w:t>SafeScript</w:t>
      </w:r>
      <w:proofErr w:type="spellEnd"/>
      <w:r>
        <w:t xml:space="preserve"> to identify and assess patients at risk of harm </w:t>
      </w:r>
      <w:r w:rsidR="00AF2DFA">
        <w:t xml:space="preserve">including their opioid status </w:t>
      </w:r>
      <w:r w:rsidR="00A353FA">
        <w:t>and existing opioid analgesics in their possession</w:t>
      </w:r>
      <w:r w:rsidR="00753096">
        <w:t>, prior to the supply or prescription of opioid analgesics.</w:t>
      </w:r>
    </w:p>
    <w:p w14:paraId="4E6B2E89" w14:textId="6805EEED" w:rsidR="00DF7EB2" w:rsidRDefault="00DF7EB2" w:rsidP="00AF2DFA">
      <w:pPr>
        <w:pStyle w:val="SCVbody"/>
      </w:pPr>
      <w:r w:rsidRPr="00DF7EB2">
        <w:rPr>
          <w:highlight w:val="yellow"/>
        </w:rPr>
        <w:t>[INCLUDE RELEVANT LOCAL SAFE SCRIPT PROCESSES]</w:t>
      </w:r>
    </w:p>
    <w:p w14:paraId="1F8D7140" w14:textId="20A67528" w:rsidR="00FB464E" w:rsidRDefault="00FB464E" w:rsidP="00FD4AD9">
      <w:pPr>
        <w:pStyle w:val="Heading1"/>
      </w:pPr>
      <w:r>
        <w:t>Documentation for patients and carers</w:t>
      </w:r>
    </w:p>
    <w:p w14:paraId="111CC187" w14:textId="5502DE8A" w:rsidR="00326CD1" w:rsidRDefault="00441E0F" w:rsidP="00326CD1">
      <w:pPr>
        <w:pStyle w:val="SCVbody"/>
      </w:pPr>
      <w:r>
        <w:t>Patients or carers should receive written patient information and medication management plan that includes recommendations for reducing and cease opioid analgesics where appropriate.</w:t>
      </w:r>
      <w:r w:rsidR="0020709D">
        <w:t xml:space="preserve"> The medication management plan should be developed in discussion and agreeance with the patient or carer.</w:t>
      </w:r>
    </w:p>
    <w:p w14:paraId="28C62369" w14:textId="3E1EB409" w:rsidR="00B07F96" w:rsidRPr="00326CD1" w:rsidRDefault="00B07F96" w:rsidP="00326CD1">
      <w:pPr>
        <w:pStyle w:val="SCVbody"/>
      </w:pPr>
      <w:r>
        <w:t>Patients should be provided a copy of the relevant short term pain relief leaflet and a</w:t>
      </w:r>
      <w:r w:rsidR="009567D3">
        <w:t xml:space="preserve"> medication management plan (available on </w:t>
      </w:r>
      <w:r w:rsidR="009567D3" w:rsidRPr="009567D3">
        <w:rPr>
          <w:highlight w:val="yellow"/>
        </w:rPr>
        <w:t>[HEALTH SERVICE DEPENDENT]</w:t>
      </w:r>
      <w:r w:rsidR="009567D3">
        <w:t>)</w:t>
      </w:r>
    </w:p>
    <w:p w14:paraId="764B018A" w14:textId="7A697E21" w:rsidR="00FB464E" w:rsidRDefault="00FB464E" w:rsidP="00FD4AD9">
      <w:pPr>
        <w:pStyle w:val="Heading1"/>
      </w:pPr>
      <w:r>
        <w:t>Clinical Handover</w:t>
      </w:r>
    </w:p>
    <w:p w14:paraId="6318FE21" w14:textId="77777777" w:rsidR="00E72C93" w:rsidRDefault="00B91BBB" w:rsidP="00874E2F">
      <w:pPr>
        <w:pStyle w:val="SCVbody"/>
      </w:pPr>
      <w:r>
        <w:t>Clinicians should ensure there is prompt communication of a clinical handover to the patient</w:t>
      </w:r>
      <w:r w:rsidR="00533CD3">
        <w:t>’</w:t>
      </w:r>
      <w:r>
        <w:t xml:space="preserve">s general practitioner or other primary care clinician that includes </w:t>
      </w:r>
    </w:p>
    <w:p w14:paraId="1BA88CCF" w14:textId="57979B8D" w:rsidR="00E72C93" w:rsidRDefault="00E72C93" w:rsidP="00E72C93">
      <w:pPr>
        <w:pStyle w:val="SCVbullet1"/>
      </w:pPr>
      <w:r>
        <w:t>C</w:t>
      </w:r>
      <w:r w:rsidR="00B91BBB">
        <w:t xml:space="preserve">ause of the pain </w:t>
      </w:r>
      <w:r w:rsidR="00247E63">
        <w:t>for which the opioid analgesic was prescr</w:t>
      </w:r>
      <w:r w:rsidR="00D22B9C">
        <w:t xml:space="preserve">ibed </w:t>
      </w:r>
    </w:p>
    <w:p w14:paraId="3C18BDD0" w14:textId="27CDA503" w:rsidR="00874E2F" w:rsidRDefault="00E72C93" w:rsidP="00E72C93">
      <w:pPr>
        <w:pStyle w:val="SCVbullet1"/>
      </w:pPr>
      <w:r>
        <w:t>M</w:t>
      </w:r>
      <w:r w:rsidR="00D22B9C">
        <w:t xml:space="preserve">edication management plan that includes recommendations for reducing and ceasing the opioid analgesic </w:t>
      </w:r>
      <w:r w:rsidR="00D739CD">
        <w:t xml:space="preserve">as </w:t>
      </w:r>
      <w:r w:rsidR="00D22B9C">
        <w:t xml:space="preserve">appropriate. </w:t>
      </w:r>
    </w:p>
    <w:p w14:paraId="2A13CF55" w14:textId="073F9A91" w:rsidR="00533CD3" w:rsidRDefault="00533CD3" w:rsidP="00874E2F">
      <w:pPr>
        <w:pStyle w:val="SCVbody"/>
      </w:pPr>
      <w:r>
        <w:t xml:space="preserve">This should be documented in the medical discharge summary. </w:t>
      </w:r>
    </w:p>
    <w:p w14:paraId="4A1EC7C0" w14:textId="0EA8A12F" w:rsidR="009A77CE" w:rsidRPr="00874E2F" w:rsidRDefault="00E72C93" w:rsidP="00874E2F">
      <w:pPr>
        <w:pStyle w:val="SCVbody"/>
      </w:pPr>
      <w:r w:rsidRPr="00E72C93">
        <w:rPr>
          <w:highlight w:val="yellow"/>
        </w:rPr>
        <w:lastRenderedPageBreak/>
        <w:t>[REFER TO RELEVANT CLINICAL HANDOVER GUIDANCE EG SPECIFIC DOCUMENT OR AUTOTEXT OR TEMPLATE AVAILABLE LOCALLY]</w:t>
      </w:r>
    </w:p>
    <w:p w14:paraId="0856AB25" w14:textId="7042518C" w:rsidR="00FB464E" w:rsidRDefault="00FB464E" w:rsidP="007807B7">
      <w:pPr>
        <w:pStyle w:val="Heading3"/>
      </w:pPr>
      <w:r>
        <w:t>Referral to specialist services</w:t>
      </w:r>
    </w:p>
    <w:p w14:paraId="06EF2C2C" w14:textId="531B0F59" w:rsidR="00A329A9" w:rsidRDefault="00A329A9" w:rsidP="00A329A9">
      <w:pPr>
        <w:pStyle w:val="SCVbody"/>
      </w:pPr>
      <w:r>
        <w:t>For patients with pain post discharge that require support services and aids and equipment to manage safety post discharge, consider referrals to allied health services</w:t>
      </w:r>
      <w:r w:rsidR="0072301F">
        <w:t>.</w:t>
      </w:r>
    </w:p>
    <w:p w14:paraId="74E6F771" w14:textId="0FE9B59E" w:rsidR="00265DFE" w:rsidRPr="000B75C7" w:rsidRDefault="00265DFE" w:rsidP="00265DFE">
      <w:pPr>
        <w:pStyle w:val="SCVbody"/>
      </w:pPr>
      <w:r>
        <w:t xml:space="preserve">Patients ‘at risk’ of chronic pain issues who may be amenable and agreeable to further assessment or management can be referred to a chronic pain management service for follow up post discharge. </w:t>
      </w:r>
      <w:r w:rsidR="00366AA5" w:rsidRPr="002400A4">
        <w:rPr>
          <w:highlight w:val="yellow"/>
        </w:rPr>
        <w:t xml:space="preserve">[REFER TO </w:t>
      </w:r>
      <w:r w:rsidR="002400A4" w:rsidRPr="002400A4">
        <w:rPr>
          <w:highlight w:val="yellow"/>
        </w:rPr>
        <w:t xml:space="preserve">RELEVANT </w:t>
      </w:r>
      <w:r w:rsidR="00366AA5" w:rsidRPr="002400A4">
        <w:rPr>
          <w:highlight w:val="yellow"/>
        </w:rPr>
        <w:t xml:space="preserve">SERVICE </w:t>
      </w:r>
      <w:r w:rsidR="002400A4" w:rsidRPr="002400A4">
        <w:rPr>
          <w:highlight w:val="yellow"/>
        </w:rPr>
        <w:t xml:space="preserve">AVAILABLE </w:t>
      </w:r>
      <w:r w:rsidR="00366AA5" w:rsidRPr="002400A4">
        <w:rPr>
          <w:highlight w:val="yellow"/>
        </w:rPr>
        <w:t>AT HEALTH SERVICE</w:t>
      </w:r>
      <w:r w:rsidR="002400A4" w:rsidRPr="002400A4">
        <w:rPr>
          <w:highlight w:val="yellow"/>
        </w:rPr>
        <w:t xml:space="preserve"> OR IN AREA]</w:t>
      </w:r>
    </w:p>
    <w:p w14:paraId="577FE12C" w14:textId="5B116C75" w:rsidR="000B75C7" w:rsidRDefault="00F4790D" w:rsidP="000B75C7">
      <w:pPr>
        <w:pStyle w:val="SCVbody"/>
      </w:pPr>
      <w:r w:rsidRPr="00CF1809">
        <w:t>For o</w:t>
      </w:r>
      <w:r w:rsidR="009A77CE" w:rsidRPr="00CF1809">
        <w:t>pioid depend</w:t>
      </w:r>
      <w:r w:rsidR="00D066A3">
        <w:t>e</w:t>
      </w:r>
      <w:r w:rsidR="009A77CE" w:rsidRPr="00CF1809">
        <w:t>nt patients (</w:t>
      </w:r>
      <w:proofErr w:type="spellStart"/>
      <w:r w:rsidR="009A77CE" w:rsidRPr="00CF1809">
        <w:t>ie</w:t>
      </w:r>
      <w:proofErr w:type="spellEnd"/>
      <w:r w:rsidR="009A77CE" w:rsidRPr="00CF1809">
        <w:t xml:space="preserve">. </w:t>
      </w:r>
      <w:r w:rsidR="00BE2294">
        <w:t>p</w:t>
      </w:r>
      <w:r w:rsidR="009A77CE" w:rsidRPr="00CF1809">
        <w:t xml:space="preserve">atients admitted on regular opioid medications) and current or </w:t>
      </w:r>
      <w:r w:rsidRPr="00CF1809">
        <w:t xml:space="preserve">ex-intravenous drug users (IVDU) or patients who cannot communicate a verbal numerical pain score (VNPS) consider </w:t>
      </w:r>
      <w:r w:rsidR="00CF1809" w:rsidRPr="00CF1809">
        <w:t>referral to Acute Pain Service and Drug and Alcohol Services.</w:t>
      </w:r>
      <w:r w:rsidR="00CF1809">
        <w:t xml:space="preserve"> </w:t>
      </w:r>
    </w:p>
    <w:p w14:paraId="5B3F45DF" w14:textId="43D6505C" w:rsidR="00FB464E" w:rsidRPr="00876171" w:rsidRDefault="00FB464E" w:rsidP="009E0F94">
      <w:pPr>
        <w:pStyle w:val="Heading1"/>
      </w:pPr>
      <w:r>
        <w:t>Review</w:t>
      </w:r>
      <w:r w:rsidR="009E0F94">
        <w:t xml:space="preserve"> and adherence to guideline</w:t>
      </w:r>
    </w:p>
    <w:p w14:paraId="760CD3A0" w14:textId="07D41782" w:rsidR="006706AB" w:rsidRDefault="00391AD7" w:rsidP="006706AB">
      <w:pPr>
        <w:pStyle w:val="SCVbody"/>
      </w:pPr>
      <w:r w:rsidRPr="002E4282">
        <w:t xml:space="preserve">Use and adherence to this guideline will be monitored through </w:t>
      </w:r>
      <w:r w:rsidR="00C451A2">
        <w:t xml:space="preserve">regular auditing and monitoring via </w:t>
      </w:r>
      <w:r w:rsidRPr="002E4282">
        <w:t xml:space="preserve">the Analgesic Stewardship </w:t>
      </w:r>
      <w:r w:rsidR="002E4282" w:rsidRPr="002E4282">
        <w:t xml:space="preserve">Program’s Committee </w:t>
      </w:r>
      <w:r w:rsidR="00C451A2" w:rsidRPr="00C451A2">
        <w:rPr>
          <w:highlight w:val="yellow"/>
        </w:rPr>
        <w:t>[INCLUDE LOCAL GUIDELINE EVALUATION PROCESSES]</w:t>
      </w:r>
    </w:p>
    <w:p w14:paraId="009207F2" w14:textId="14BEA578" w:rsidR="0025186E" w:rsidRDefault="0025186E" w:rsidP="009E0F94">
      <w:pPr>
        <w:pStyle w:val="Heading1"/>
      </w:pPr>
      <w:r>
        <w:t>Keywords</w:t>
      </w:r>
    </w:p>
    <w:p w14:paraId="7F937624" w14:textId="2BE83E60" w:rsidR="002E015B" w:rsidRPr="002E015B" w:rsidRDefault="002E015B" w:rsidP="002E015B">
      <w:pPr>
        <w:pStyle w:val="SCVbody"/>
      </w:pPr>
      <w:r>
        <w:t>Pain management, acute pain, analgesic, weaning, opioids, discharge</w:t>
      </w:r>
    </w:p>
    <w:p w14:paraId="28E051BE" w14:textId="4AB44398" w:rsidR="00720B2A" w:rsidRDefault="0025186E" w:rsidP="009E0F94">
      <w:pPr>
        <w:pStyle w:val="Heading1"/>
      </w:pPr>
      <w:r>
        <w:t>Relevant guidelines</w:t>
      </w:r>
    </w:p>
    <w:p w14:paraId="4B752A81" w14:textId="0AD7A87B" w:rsidR="0025186E" w:rsidRPr="0025186E" w:rsidRDefault="00DF7EB2" w:rsidP="0025186E">
      <w:pPr>
        <w:pStyle w:val="SCVbody"/>
      </w:pPr>
      <w:r w:rsidRPr="00DF7EB2">
        <w:rPr>
          <w:highlight w:val="yellow"/>
        </w:rPr>
        <w:t>[</w:t>
      </w:r>
      <w:r w:rsidR="0025186E" w:rsidRPr="00DF7EB2">
        <w:rPr>
          <w:highlight w:val="yellow"/>
        </w:rPr>
        <w:t>LIST RELEVANT LOCAL GUIDELINES</w:t>
      </w:r>
      <w:r w:rsidRPr="00DF7EB2">
        <w:rPr>
          <w:highlight w:val="yellow"/>
        </w:rPr>
        <w:t>]</w:t>
      </w:r>
    </w:p>
    <w:p w14:paraId="68F00F82" w14:textId="77777777" w:rsidR="002D19EA" w:rsidRDefault="002D19EA" w:rsidP="002D19EA">
      <w:pPr>
        <w:pStyle w:val="Heading1"/>
      </w:pPr>
      <w:r>
        <w:t>References</w:t>
      </w:r>
    </w:p>
    <w:p w14:paraId="73E3CEA4" w14:textId="4A6DC3E1" w:rsidR="00694F1F" w:rsidRPr="00DD54CE" w:rsidRDefault="00C4257C" w:rsidP="00DD54CE">
      <w:pPr>
        <w:pStyle w:val="SCVbodyafterheading"/>
      </w:pPr>
      <w:r w:rsidRPr="00DD54CE">
        <w:t xml:space="preserve">Therapeutic Guidelines. </w:t>
      </w:r>
      <w:proofErr w:type="spellStart"/>
      <w:r w:rsidRPr="00DD54CE">
        <w:rPr>
          <w:i/>
          <w:iCs/>
        </w:rPr>
        <w:t>eTG</w:t>
      </w:r>
      <w:proofErr w:type="spellEnd"/>
      <w:r w:rsidRPr="00DD54CE">
        <w:rPr>
          <w:i/>
          <w:iCs/>
        </w:rPr>
        <w:t xml:space="preserve"> complete</w:t>
      </w:r>
      <w:r w:rsidRPr="00DD54CE">
        <w:t>. [Internet] Melbourne: Therapeutic Guidelines Limited; n.d. [updated 2019 June; cited 2022 January 14] Available from: https://www.tg.org.au.</w:t>
      </w:r>
    </w:p>
    <w:p w14:paraId="5F963932" w14:textId="643D2A28" w:rsidR="00694F1F" w:rsidRPr="00DD54CE" w:rsidRDefault="00694F1F" w:rsidP="00DD54CE">
      <w:pPr>
        <w:pStyle w:val="SCVbodyafterheading"/>
      </w:pPr>
      <w:r w:rsidRPr="00DD54CE">
        <w:t xml:space="preserve">Bui T et al. The impact of an innovative pharmacist-led inpatient opioid de-escalation intervention in post-operative orthopaedic patients. </w:t>
      </w:r>
      <w:r w:rsidRPr="00DD54CE">
        <w:rPr>
          <w:rFonts w:ascii="Arial-ItalicMT" w:hAnsi="Arial-ItalicMT" w:cs="Arial-ItalicMT"/>
          <w:i/>
          <w:iCs/>
        </w:rPr>
        <w:t xml:space="preserve">J Opioid Manag </w:t>
      </w:r>
      <w:r w:rsidRPr="00DD54CE">
        <w:t>2020;16(3):167-176.</w:t>
      </w:r>
    </w:p>
    <w:p w14:paraId="4D06B5DC" w14:textId="77777777" w:rsidR="00DD54CE" w:rsidRPr="00DD54CE" w:rsidRDefault="00DD54CE" w:rsidP="00DD54CE">
      <w:pPr>
        <w:pStyle w:val="SCVbodyafterheading"/>
        <w:rPr>
          <w:rFonts w:ascii="Arial" w:hAnsi="Arial" w:cs="Arial"/>
          <w:color w:val="000000"/>
        </w:rPr>
      </w:pPr>
      <w:r w:rsidRPr="00DD54CE">
        <w:rPr>
          <w:rFonts w:ascii="Arial" w:hAnsi="Arial" w:cs="Arial"/>
          <w:color w:val="000000"/>
        </w:rPr>
        <w:t xml:space="preserve">Schug S, Palmer G, Scott DA, Alcock M, Halliwell R, Mott J, editors. Acute pain management: scientific evidence. 5th ed. Melbourne: Australian and New Zealand College of Anaesthetists; 2020. </w:t>
      </w:r>
    </w:p>
    <w:p w14:paraId="37C41319" w14:textId="77777777" w:rsidR="00DD54CE" w:rsidRPr="00DD54CE" w:rsidRDefault="00DD54CE" w:rsidP="00DD54CE">
      <w:pPr>
        <w:pStyle w:val="SCVbodyafterheading"/>
        <w:rPr>
          <w:rFonts w:ascii="Arial" w:hAnsi="Arial" w:cs="Arial"/>
          <w:color w:val="000000"/>
        </w:rPr>
      </w:pPr>
      <w:r w:rsidRPr="00DD54CE">
        <w:rPr>
          <w:rFonts w:ascii="Arial" w:hAnsi="Arial" w:cs="Arial"/>
          <w:color w:val="000000"/>
        </w:rPr>
        <w:t xml:space="preserve">3. Australian and New Zealand College of Anaesthetists. Position statement on the use of slow-release opioid preparations in the treatment of acute pain. Melbourne: ANZCA; 2018. </w:t>
      </w:r>
    </w:p>
    <w:p w14:paraId="0B7E2BED" w14:textId="5C72B62F" w:rsidR="00694F1F" w:rsidRPr="00694F1F" w:rsidRDefault="00694F1F" w:rsidP="00DD54CE">
      <w:pPr>
        <w:pStyle w:val="SCVbodyafterheading"/>
      </w:pPr>
      <w:r w:rsidRPr="00DD54CE">
        <w:t xml:space="preserve">Kral LA. Opioid Tapering Safely Discontinuing Opioid Analgesics. Pain Treatment Topics 2006. </w:t>
      </w:r>
      <w:r w:rsidRPr="00DD54CE">
        <w:rPr>
          <w:color w:val="0000FF"/>
        </w:rPr>
        <w:t>http://www.Pain-Topics.com</w:t>
      </w:r>
    </w:p>
    <w:p w14:paraId="721B75F2" w14:textId="0267D24E" w:rsidR="00694F1F" w:rsidRDefault="00694F1F" w:rsidP="00694F1F">
      <w:pPr>
        <w:pStyle w:val="SCVbullet2"/>
        <w:numPr>
          <w:ilvl w:val="0"/>
          <w:numId w:val="0"/>
        </w:numPr>
      </w:pPr>
    </w:p>
    <w:p w14:paraId="4D489127" w14:textId="77777777" w:rsidR="00720B2A" w:rsidRDefault="00720B2A" w:rsidP="00720B2A">
      <w:pPr>
        <w:pStyle w:val="SCVbody"/>
      </w:pPr>
    </w:p>
    <w:p w14:paraId="553A8E23" w14:textId="77777777" w:rsidR="00720B2A" w:rsidRDefault="00720B2A" w:rsidP="00720B2A">
      <w:pPr>
        <w:pStyle w:val="SCVbody"/>
      </w:pPr>
    </w:p>
    <w:p w14:paraId="1F270810" w14:textId="77777777" w:rsidR="00720B2A" w:rsidRDefault="00720B2A" w:rsidP="00720B2A">
      <w:pPr>
        <w:pStyle w:val="SCVbody"/>
      </w:pPr>
    </w:p>
    <w:p w14:paraId="18849D33" w14:textId="36F9D154" w:rsidR="006706AB" w:rsidRDefault="006706AB" w:rsidP="006706AB">
      <w:pPr>
        <w:pStyle w:val="Heading1"/>
      </w:pPr>
      <w:r>
        <w:t>Appendices</w:t>
      </w:r>
    </w:p>
    <w:p w14:paraId="74389982" w14:textId="0AB959A6" w:rsidR="00874E2F" w:rsidRDefault="00874E2F" w:rsidP="00874E2F">
      <w:pPr>
        <w:pStyle w:val="Heading3"/>
      </w:pPr>
      <w:r>
        <w:t>Appendix 1</w:t>
      </w:r>
    </w:p>
    <w:p w14:paraId="7C014CDB" w14:textId="77777777" w:rsidR="00874E2F" w:rsidRPr="00F6240F" w:rsidRDefault="00874E2F" w:rsidP="00874E2F">
      <w:pPr>
        <w:pStyle w:val="SCVbodyafterheading"/>
        <w:rPr>
          <w:b/>
          <w:bCs/>
        </w:rPr>
      </w:pPr>
      <w:r w:rsidRPr="00F6240F">
        <w:rPr>
          <w:b/>
          <w:bCs/>
        </w:rPr>
        <w:t>Comprehensive Pain Assessment Including Pain Assessment Tools</w:t>
      </w:r>
    </w:p>
    <w:p w14:paraId="58EE76D3" w14:textId="77777777" w:rsidR="00874E2F" w:rsidRPr="00F6240F" w:rsidRDefault="00874E2F" w:rsidP="00855642">
      <w:pPr>
        <w:pStyle w:val="SCVtablebullet1"/>
        <w:numPr>
          <w:ilvl w:val="0"/>
          <w:numId w:val="0"/>
        </w:numPr>
        <w:ind w:left="227" w:hanging="227"/>
        <w:rPr>
          <w:sz w:val="20"/>
          <w:szCs w:val="20"/>
        </w:rPr>
      </w:pPr>
      <w:r w:rsidRPr="00F6240F">
        <w:rPr>
          <w:sz w:val="20"/>
          <w:szCs w:val="20"/>
        </w:rPr>
        <w:t>Obtain basic elements of the patient’s pain history including:</w:t>
      </w:r>
    </w:p>
    <w:p w14:paraId="4F5173DD" w14:textId="4DBBE910" w:rsidR="00874E2F" w:rsidRPr="00F6240F" w:rsidRDefault="00874E2F" w:rsidP="00F6240F">
      <w:pPr>
        <w:pStyle w:val="SCVtablebullet1"/>
        <w:rPr>
          <w:sz w:val="20"/>
          <w:szCs w:val="20"/>
        </w:rPr>
      </w:pPr>
      <w:r w:rsidRPr="00F6240F">
        <w:rPr>
          <w:sz w:val="20"/>
          <w:szCs w:val="20"/>
        </w:rPr>
        <w:t>Primary site of pain and any radiation</w:t>
      </w:r>
    </w:p>
    <w:p w14:paraId="02D6BEC1" w14:textId="57C58373" w:rsidR="00874E2F" w:rsidRPr="00F6240F" w:rsidRDefault="00874E2F" w:rsidP="00F6240F">
      <w:pPr>
        <w:pStyle w:val="SCVtablebullet1"/>
        <w:rPr>
          <w:sz w:val="20"/>
          <w:szCs w:val="20"/>
        </w:rPr>
      </w:pPr>
      <w:r w:rsidRPr="00F6240F">
        <w:rPr>
          <w:sz w:val="20"/>
          <w:szCs w:val="20"/>
        </w:rPr>
        <w:t>Conditions associated with the onset of pain</w:t>
      </w:r>
    </w:p>
    <w:p w14:paraId="2D0B2B8D" w14:textId="0F188FD2" w:rsidR="00874E2F" w:rsidRPr="00F6240F" w:rsidRDefault="00874E2F" w:rsidP="00F6240F">
      <w:pPr>
        <w:pStyle w:val="SCVtablebullet1"/>
        <w:rPr>
          <w:sz w:val="20"/>
          <w:szCs w:val="20"/>
        </w:rPr>
      </w:pPr>
      <w:r w:rsidRPr="00F6240F">
        <w:rPr>
          <w:sz w:val="20"/>
          <w:szCs w:val="20"/>
        </w:rPr>
        <w:t>Character of the pain – nociceptive or neuropathic, somatic or visceral, or combinations thereof</w:t>
      </w:r>
    </w:p>
    <w:p w14:paraId="20927D35" w14:textId="69D09C6A" w:rsidR="00874E2F" w:rsidRPr="00F6240F" w:rsidRDefault="00874E2F" w:rsidP="00F6240F">
      <w:pPr>
        <w:pStyle w:val="SCVtablebullet1"/>
        <w:rPr>
          <w:sz w:val="20"/>
          <w:szCs w:val="20"/>
        </w:rPr>
      </w:pPr>
      <w:r w:rsidRPr="00F6240F">
        <w:rPr>
          <w:sz w:val="20"/>
          <w:szCs w:val="20"/>
        </w:rPr>
        <w:t>Intensity of the pain</w:t>
      </w:r>
    </w:p>
    <w:p w14:paraId="2EDA1F4D" w14:textId="479BE4AF" w:rsidR="00874E2F" w:rsidRPr="00F6240F" w:rsidRDefault="00874E2F" w:rsidP="00F6240F">
      <w:pPr>
        <w:pStyle w:val="SCVtablebullet1"/>
        <w:rPr>
          <w:sz w:val="20"/>
          <w:szCs w:val="20"/>
        </w:rPr>
      </w:pPr>
      <w:r w:rsidRPr="00F6240F">
        <w:rPr>
          <w:sz w:val="20"/>
          <w:szCs w:val="20"/>
        </w:rPr>
        <w:t>Associated symptoms e.g. nausea, vomiting, sweating</w:t>
      </w:r>
    </w:p>
    <w:p w14:paraId="04316310" w14:textId="1EF3D799" w:rsidR="00874E2F" w:rsidRPr="003C74F3" w:rsidRDefault="00874E2F" w:rsidP="003C74F3">
      <w:pPr>
        <w:pStyle w:val="SCVtablebullet1"/>
        <w:rPr>
          <w:sz w:val="20"/>
          <w:szCs w:val="20"/>
        </w:rPr>
      </w:pPr>
      <w:r w:rsidRPr="00F6240F">
        <w:rPr>
          <w:sz w:val="20"/>
          <w:szCs w:val="20"/>
        </w:rPr>
        <w:t>The pain</w:t>
      </w:r>
      <w:r w:rsidR="00DE4C6D">
        <w:rPr>
          <w:sz w:val="20"/>
          <w:szCs w:val="20"/>
        </w:rPr>
        <w:t>’</w:t>
      </w:r>
      <w:r w:rsidRPr="00F6240F">
        <w:rPr>
          <w:sz w:val="20"/>
          <w:szCs w:val="20"/>
        </w:rPr>
        <w:t>s effects on the patient’s function, measured by the Functional Activity Score</w:t>
      </w:r>
      <w:r w:rsidR="00DE4C6D">
        <w:rPr>
          <w:sz w:val="20"/>
          <w:szCs w:val="20"/>
        </w:rPr>
        <w:t xml:space="preserve"> </w:t>
      </w:r>
      <w:r w:rsidRPr="003C74F3">
        <w:rPr>
          <w:sz w:val="20"/>
          <w:szCs w:val="20"/>
        </w:rPr>
        <w:t xml:space="preserve">(FAS) </w:t>
      </w:r>
    </w:p>
    <w:p w14:paraId="75B20FCD" w14:textId="77F7E176" w:rsidR="00874E2F" w:rsidRPr="00F6240F" w:rsidRDefault="00874E2F" w:rsidP="00F6240F">
      <w:pPr>
        <w:pStyle w:val="SCVtablebullet1"/>
        <w:rPr>
          <w:sz w:val="20"/>
          <w:szCs w:val="20"/>
        </w:rPr>
      </w:pPr>
      <w:r w:rsidRPr="00F6240F">
        <w:rPr>
          <w:sz w:val="20"/>
          <w:szCs w:val="20"/>
        </w:rPr>
        <w:t>Current and prior treatments for pain</w:t>
      </w:r>
    </w:p>
    <w:p w14:paraId="4B1514E4" w14:textId="50AB1E99" w:rsidR="00874E2F" w:rsidRPr="00F6240F" w:rsidRDefault="00874E2F" w:rsidP="00F6240F">
      <w:pPr>
        <w:pStyle w:val="SCVtablebullet1"/>
        <w:rPr>
          <w:sz w:val="20"/>
          <w:szCs w:val="20"/>
        </w:rPr>
      </w:pPr>
      <w:r w:rsidRPr="00F6240F">
        <w:rPr>
          <w:sz w:val="20"/>
          <w:szCs w:val="20"/>
        </w:rPr>
        <w:t>Relevant medical and surgical history</w:t>
      </w:r>
    </w:p>
    <w:p w14:paraId="6745C138" w14:textId="12E3CBED" w:rsidR="00874E2F" w:rsidRPr="00F6240F" w:rsidRDefault="00874E2F" w:rsidP="00F6240F">
      <w:pPr>
        <w:pStyle w:val="SCVtablebullet1"/>
        <w:rPr>
          <w:sz w:val="20"/>
          <w:szCs w:val="20"/>
        </w:rPr>
      </w:pPr>
      <w:r w:rsidRPr="00F6240F">
        <w:rPr>
          <w:sz w:val="20"/>
          <w:szCs w:val="20"/>
        </w:rPr>
        <w:t>Other patient factors, which includes the psycho-social aspects like beliefs, expectations, coping skills and mood disorders like anxiety and depression</w:t>
      </w:r>
    </w:p>
    <w:p w14:paraId="374425AF" w14:textId="77777777" w:rsidR="00874E2F" w:rsidRDefault="00874E2F" w:rsidP="00874E2F">
      <w:pPr>
        <w:autoSpaceDE w:val="0"/>
        <w:autoSpaceDN w:val="0"/>
        <w:adjustRightInd w:val="0"/>
        <w:spacing w:before="0" w:after="0" w:line="240" w:lineRule="auto"/>
        <w:rPr>
          <w:rFonts w:ascii="Arial" w:hAnsi="Arial" w:cs="Arial"/>
          <w:sz w:val="22"/>
          <w:szCs w:val="22"/>
        </w:rPr>
      </w:pPr>
    </w:p>
    <w:p w14:paraId="3093DC78" w14:textId="077633EA" w:rsidR="00874E2F" w:rsidRPr="00F6240F" w:rsidRDefault="00874E2F" w:rsidP="00F6240F">
      <w:pPr>
        <w:pStyle w:val="SCVbodyafterheading"/>
      </w:pPr>
      <w:r w:rsidRPr="00F6240F">
        <w:t>A full pain history should be obtained from the patient as part of their initial assessment and thereafter</w:t>
      </w:r>
      <w:r w:rsidR="00F6240F">
        <w:t xml:space="preserve"> </w:t>
      </w:r>
      <w:r w:rsidRPr="00F6240F">
        <w:t xml:space="preserve">should be </w:t>
      </w:r>
      <w:proofErr w:type="gramStart"/>
      <w:r w:rsidRPr="00F6240F">
        <w:t>obtained;</w:t>
      </w:r>
      <w:proofErr w:type="gramEnd"/>
    </w:p>
    <w:p w14:paraId="337DBFC9" w14:textId="6B55697B" w:rsidR="00874E2F" w:rsidRPr="00F6240F" w:rsidRDefault="00874E2F" w:rsidP="00F6240F">
      <w:pPr>
        <w:pStyle w:val="SCVtablebullet1"/>
        <w:rPr>
          <w:sz w:val="20"/>
          <w:szCs w:val="20"/>
        </w:rPr>
      </w:pPr>
      <w:r w:rsidRPr="00F6240F">
        <w:rPr>
          <w:sz w:val="20"/>
          <w:szCs w:val="20"/>
        </w:rPr>
        <w:t>As part of routine observations</w:t>
      </w:r>
    </w:p>
    <w:p w14:paraId="7A3353D7" w14:textId="24FD9EF8" w:rsidR="00874E2F" w:rsidRPr="00F6240F" w:rsidRDefault="00874E2F" w:rsidP="00F6240F">
      <w:pPr>
        <w:pStyle w:val="SCVtablebullet1"/>
        <w:rPr>
          <w:sz w:val="20"/>
          <w:szCs w:val="20"/>
        </w:rPr>
      </w:pPr>
      <w:r w:rsidRPr="00F6240F">
        <w:rPr>
          <w:sz w:val="20"/>
          <w:szCs w:val="20"/>
        </w:rPr>
        <w:t>Pre- and post- administration of analgesia</w:t>
      </w:r>
    </w:p>
    <w:p w14:paraId="1E24466F" w14:textId="32DF2C65" w:rsidR="00874E2F" w:rsidRPr="00F6240F" w:rsidRDefault="00874E2F" w:rsidP="00F6240F">
      <w:pPr>
        <w:pStyle w:val="SCVtablebullet2"/>
        <w:rPr>
          <w:sz w:val="20"/>
          <w:szCs w:val="20"/>
        </w:rPr>
      </w:pPr>
      <w:r w:rsidRPr="00F6240F">
        <w:rPr>
          <w:sz w:val="20"/>
          <w:szCs w:val="20"/>
        </w:rPr>
        <w:t>Within 60 minutes of administration of oral analgesia</w:t>
      </w:r>
    </w:p>
    <w:p w14:paraId="4039CA79" w14:textId="77777777" w:rsidR="00F6240F" w:rsidRPr="00F6240F" w:rsidRDefault="00874E2F" w:rsidP="00F6240F">
      <w:pPr>
        <w:pStyle w:val="SCVtablebullet2"/>
        <w:rPr>
          <w:sz w:val="20"/>
          <w:szCs w:val="20"/>
        </w:rPr>
      </w:pPr>
      <w:r w:rsidRPr="00F6240F">
        <w:rPr>
          <w:sz w:val="20"/>
          <w:szCs w:val="20"/>
        </w:rPr>
        <w:t xml:space="preserve">More frequently if alternate route of administration </w:t>
      </w:r>
    </w:p>
    <w:p w14:paraId="2B45F8EC" w14:textId="049416C2" w:rsidR="00874E2F" w:rsidRPr="00F6240F" w:rsidRDefault="00874E2F" w:rsidP="00F6240F">
      <w:pPr>
        <w:pStyle w:val="SCVtablebullet2"/>
        <w:rPr>
          <w:sz w:val="20"/>
          <w:szCs w:val="20"/>
        </w:rPr>
      </w:pPr>
      <w:r w:rsidRPr="00F6240F">
        <w:rPr>
          <w:sz w:val="20"/>
          <w:szCs w:val="20"/>
        </w:rPr>
        <w:t>If patient is experiencing pain</w:t>
      </w:r>
    </w:p>
    <w:p w14:paraId="0EDAA6B9" w14:textId="56F1D652" w:rsidR="00874E2F" w:rsidRDefault="00874E2F" w:rsidP="00874E2F">
      <w:pPr>
        <w:pStyle w:val="SCVbody"/>
        <w:rPr>
          <w:rFonts w:ascii="Arial" w:hAnsi="Arial" w:cs="Arial"/>
          <w:sz w:val="22"/>
          <w:szCs w:val="22"/>
        </w:rPr>
      </w:pPr>
    </w:p>
    <w:p w14:paraId="00864C57" w14:textId="722A08D1" w:rsidR="00874E2F" w:rsidRPr="00F6240F" w:rsidRDefault="00F6240F" w:rsidP="00F6240F">
      <w:pPr>
        <w:pStyle w:val="SCVbodyafterheading"/>
        <w:rPr>
          <w:b/>
          <w:bCs/>
        </w:rPr>
      </w:pPr>
      <w:r>
        <w:rPr>
          <w:b/>
          <w:bCs/>
        </w:rPr>
        <w:t>FUNCTIONAL ASSESSMENT</w:t>
      </w:r>
    </w:p>
    <w:p w14:paraId="331BBBD3" w14:textId="67626D23" w:rsidR="00874E2F" w:rsidRPr="00F6240F" w:rsidRDefault="00874E2F" w:rsidP="00F6240F">
      <w:pPr>
        <w:pStyle w:val="SCVbodyafterheading"/>
      </w:pPr>
      <w:r w:rsidRPr="00F6240F">
        <w:t>The more the pain is interfering with a patient’s ability to function e.g. deep breath, cough, mobilise,</w:t>
      </w:r>
      <w:r w:rsidR="00F6240F">
        <w:t xml:space="preserve"> </w:t>
      </w:r>
      <w:r w:rsidRPr="00F6240F">
        <w:t>the more likely they will have complications like chest infections or deep vein thrombosis (DVT). The</w:t>
      </w:r>
      <w:r w:rsidR="00F6240F">
        <w:t xml:space="preserve"> </w:t>
      </w:r>
      <w:r w:rsidRPr="00F6240F">
        <w:t>goal of pain management should be to improve patient’s functional ability and in turn to reduce</w:t>
      </w:r>
      <w:r w:rsidR="00F6240F">
        <w:t xml:space="preserve"> </w:t>
      </w:r>
      <w:r w:rsidRPr="00F6240F">
        <w:t>the risk of complications.</w:t>
      </w:r>
    </w:p>
    <w:p w14:paraId="1265EAED" w14:textId="77777777" w:rsidR="00F6240F" w:rsidRDefault="00874E2F" w:rsidP="00F6240F">
      <w:pPr>
        <w:pStyle w:val="SCVbodyafterheading"/>
      </w:pPr>
      <w:r w:rsidRPr="00F6240F">
        <w:t>The ability to function with pain can be graded by using the Functional Activity Score (FAS).</w:t>
      </w:r>
    </w:p>
    <w:p w14:paraId="434F8DE0" w14:textId="3A001CEA" w:rsidR="00874E2F" w:rsidRPr="00F6240F" w:rsidRDefault="00874E2F" w:rsidP="00F6240F">
      <w:pPr>
        <w:pStyle w:val="SCVbullet1"/>
      </w:pPr>
      <w:r w:rsidRPr="00F6240F">
        <w:rPr>
          <w:b/>
          <w:bCs/>
        </w:rPr>
        <w:t>FAS A</w:t>
      </w:r>
      <w:r w:rsidRPr="00F6240F">
        <w:t xml:space="preserve"> — no limitation; the patient </w:t>
      </w:r>
      <w:proofErr w:type="gramStart"/>
      <w:r w:rsidRPr="00F6240F">
        <w:t>is able to</w:t>
      </w:r>
      <w:proofErr w:type="gramEnd"/>
      <w:r w:rsidRPr="00F6240F">
        <w:t xml:space="preserve"> undertake the activity without limitation due to</w:t>
      </w:r>
      <w:r w:rsidR="00F6240F">
        <w:t xml:space="preserve"> </w:t>
      </w:r>
      <w:r w:rsidRPr="00F6240F">
        <w:t>pain (pain intensity score is typically 0 to 3</w:t>
      </w:r>
      <w:proofErr w:type="gramStart"/>
      <w:r w:rsidRPr="00F6240F">
        <w:t>);</w:t>
      </w:r>
      <w:proofErr w:type="gramEnd"/>
    </w:p>
    <w:p w14:paraId="244BFBB5" w14:textId="69952A38" w:rsidR="00874E2F" w:rsidRPr="00F6240F" w:rsidRDefault="00874E2F" w:rsidP="00F6240F">
      <w:pPr>
        <w:pStyle w:val="SCVbullet1"/>
      </w:pPr>
      <w:r w:rsidRPr="00F6240F">
        <w:rPr>
          <w:b/>
          <w:bCs/>
        </w:rPr>
        <w:t>FAS B</w:t>
      </w:r>
      <w:r w:rsidRPr="00F6240F">
        <w:t xml:space="preserve"> — mild limitation; the patient </w:t>
      </w:r>
      <w:proofErr w:type="gramStart"/>
      <w:r w:rsidRPr="00F6240F">
        <w:t>is able to</w:t>
      </w:r>
      <w:proofErr w:type="gramEnd"/>
      <w:r w:rsidRPr="00F6240F">
        <w:t xml:space="preserve"> undertake the activity but experiences</w:t>
      </w:r>
      <w:r w:rsidR="00F6240F">
        <w:t xml:space="preserve"> </w:t>
      </w:r>
      <w:r w:rsidRPr="00F6240F">
        <w:t>moderate to severe pain (pain intensity score is typically 4 to 7</w:t>
      </w:r>
      <w:proofErr w:type="gramStart"/>
      <w:r w:rsidRPr="00F6240F">
        <w:t>);</w:t>
      </w:r>
      <w:proofErr w:type="gramEnd"/>
    </w:p>
    <w:p w14:paraId="4ED63F0D" w14:textId="5379348E" w:rsidR="00874E2F" w:rsidRDefault="00874E2F" w:rsidP="00F6240F">
      <w:pPr>
        <w:pStyle w:val="SCVbullet1"/>
      </w:pPr>
      <w:r w:rsidRPr="00F6240F">
        <w:rPr>
          <w:b/>
          <w:bCs/>
        </w:rPr>
        <w:t>FAS C</w:t>
      </w:r>
      <w:r w:rsidRPr="00F6240F">
        <w:t xml:space="preserve"> — severe limitation; the patient is unable to complete the activity due to pain, or</w:t>
      </w:r>
      <w:r w:rsidR="00F6240F">
        <w:t xml:space="preserve"> </w:t>
      </w:r>
      <w:r w:rsidRPr="00F6240F">
        <w:t>analgesic-related side effects (pain intensity score is 8-10)</w:t>
      </w:r>
    </w:p>
    <w:p w14:paraId="6BE2086B" w14:textId="77777777" w:rsidR="00F6240F" w:rsidRPr="00F6240F" w:rsidRDefault="00F6240F" w:rsidP="00F6240F">
      <w:pPr>
        <w:pStyle w:val="SCVbullet1"/>
        <w:numPr>
          <w:ilvl w:val="0"/>
          <w:numId w:val="0"/>
        </w:numPr>
        <w:ind w:left="284"/>
      </w:pPr>
    </w:p>
    <w:p w14:paraId="18070FF3" w14:textId="77777777" w:rsidR="00874E2F" w:rsidRPr="00F6240F" w:rsidRDefault="00874E2F" w:rsidP="00F6240F">
      <w:pPr>
        <w:pStyle w:val="SCVbodyafterheading"/>
        <w:rPr>
          <w:b/>
          <w:bCs/>
        </w:rPr>
      </w:pPr>
      <w:r w:rsidRPr="00F6240F">
        <w:rPr>
          <w:b/>
          <w:bCs/>
        </w:rPr>
        <w:lastRenderedPageBreak/>
        <w:t>UNIDIMENSIONAL PAIN ASSESSMENT TOOLS FOR THOSE WHO CAN SELF-REPORT</w:t>
      </w:r>
    </w:p>
    <w:p w14:paraId="61FBA0A3" w14:textId="77777777" w:rsidR="00874E2F" w:rsidRPr="00F6240F" w:rsidRDefault="00874E2F" w:rsidP="00F6240F">
      <w:pPr>
        <w:pStyle w:val="SCVbodyafterheading"/>
      </w:pPr>
      <w:r w:rsidRPr="00F6240F">
        <w:t>Examples include:</w:t>
      </w:r>
    </w:p>
    <w:p w14:paraId="6DC4EC59" w14:textId="4042F411" w:rsidR="00874E2F" w:rsidRDefault="00874E2F" w:rsidP="00F6240F">
      <w:pPr>
        <w:pStyle w:val="SCVbodyafterheading"/>
        <w:rPr>
          <w:b/>
          <w:bCs/>
        </w:rPr>
      </w:pPr>
      <w:r w:rsidRPr="00F6240F">
        <w:rPr>
          <w:b/>
          <w:bCs/>
        </w:rPr>
        <w:t>Numeric Rating Scale (NRS)</w:t>
      </w:r>
    </w:p>
    <w:p w14:paraId="639A0E35" w14:textId="6CF914B5" w:rsidR="00F6240F" w:rsidRPr="00F6240F" w:rsidRDefault="00F6240F" w:rsidP="00F6240F">
      <w:pPr>
        <w:pStyle w:val="SCVbodyafterheading"/>
        <w:rPr>
          <w:b/>
          <w:bCs/>
        </w:rPr>
      </w:pPr>
      <w:r>
        <w:rPr>
          <w:noProof/>
        </w:rPr>
        <w:drawing>
          <wp:inline distT="0" distB="0" distL="0" distR="0" wp14:anchorId="2A9C532D" wp14:editId="28056214">
            <wp:extent cx="3265274"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77869" cy="1243026"/>
                    </a:xfrm>
                    <a:prstGeom prst="rect">
                      <a:avLst/>
                    </a:prstGeom>
                  </pic:spPr>
                </pic:pic>
              </a:graphicData>
            </a:graphic>
          </wp:inline>
        </w:drawing>
      </w:r>
    </w:p>
    <w:p w14:paraId="1141167C" w14:textId="74085CF2" w:rsidR="00874E2F" w:rsidRDefault="00874E2F" w:rsidP="00F6240F">
      <w:pPr>
        <w:pStyle w:val="SCVbodyafterheading"/>
        <w:rPr>
          <w:b/>
          <w:bCs/>
        </w:rPr>
      </w:pPr>
      <w:r w:rsidRPr="00F6240F">
        <w:rPr>
          <w:b/>
          <w:bCs/>
        </w:rPr>
        <w:t>Verbal Descriptor Scale (VDS)</w:t>
      </w:r>
    </w:p>
    <w:p w14:paraId="7FE2A014" w14:textId="785401D5" w:rsidR="00F6240F" w:rsidRPr="00F6240F" w:rsidRDefault="00F6240F" w:rsidP="00F6240F">
      <w:pPr>
        <w:pStyle w:val="SCVbodyafterheading"/>
        <w:rPr>
          <w:b/>
          <w:bCs/>
        </w:rPr>
      </w:pPr>
      <w:r>
        <w:rPr>
          <w:noProof/>
        </w:rPr>
        <w:drawing>
          <wp:inline distT="0" distB="0" distL="0" distR="0" wp14:anchorId="49D74236" wp14:editId="27877227">
            <wp:extent cx="3272653" cy="1157287"/>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9865" cy="1163374"/>
                    </a:xfrm>
                    <a:prstGeom prst="rect">
                      <a:avLst/>
                    </a:prstGeom>
                  </pic:spPr>
                </pic:pic>
              </a:graphicData>
            </a:graphic>
          </wp:inline>
        </w:drawing>
      </w:r>
    </w:p>
    <w:p w14:paraId="749C7483" w14:textId="3C870E64" w:rsidR="00874E2F" w:rsidRPr="00F6240F" w:rsidRDefault="00874E2F" w:rsidP="00F6240F">
      <w:pPr>
        <w:pStyle w:val="SCVbodyafterheading"/>
        <w:rPr>
          <w:b/>
          <w:bCs/>
        </w:rPr>
      </w:pPr>
      <w:r w:rsidRPr="00F6240F">
        <w:rPr>
          <w:b/>
          <w:bCs/>
        </w:rPr>
        <w:t xml:space="preserve">A pictorial pain scale, (FACES pain scale) </w:t>
      </w:r>
    </w:p>
    <w:p w14:paraId="2FCF6F50" w14:textId="2BF80878" w:rsidR="00874E2F" w:rsidRPr="00F6240F" w:rsidRDefault="00F6240F" w:rsidP="00F6240F">
      <w:pPr>
        <w:pStyle w:val="SCVbodyafterheading"/>
      </w:pPr>
      <w:r>
        <w:rPr>
          <w:noProof/>
        </w:rPr>
        <w:drawing>
          <wp:inline distT="0" distB="0" distL="0" distR="0" wp14:anchorId="65699D23" wp14:editId="4161675E">
            <wp:extent cx="3366417" cy="8667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5823" cy="869197"/>
                    </a:xfrm>
                    <a:prstGeom prst="rect">
                      <a:avLst/>
                    </a:prstGeom>
                  </pic:spPr>
                </pic:pic>
              </a:graphicData>
            </a:graphic>
          </wp:inline>
        </w:drawing>
      </w:r>
    </w:p>
    <w:p w14:paraId="5104A9F1" w14:textId="77777777" w:rsidR="00874E2F" w:rsidRPr="00F6240F" w:rsidRDefault="00874E2F" w:rsidP="00F6240F">
      <w:pPr>
        <w:pStyle w:val="SCVbodyafterheading"/>
        <w:rPr>
          <w:b/>
          <w:bCs/>
        </w:rPr>
      </w:pPr>
      <w:r w:rsidRPr="00F6240F">
        <w:rPr>
          <w:b/>
          <w:bCs/>
        </w:rPr>
        <w:t>BEHAVIOURAL RATING SCALE FOR PATIENTS WHO ARE UNABLE TO SELF-REPORT PAIN</w:t>
      </w:r>
    </w:p>
    <w:p w14:paraId="7C16A909" w14:textId="28A46C9E" w:rsidR="00874E2F" w:rsidRDefault="00874E2F" w:rsidP="00F6240F">
      <w:pPr>
        <w:pStyle w:val="SCVbodyafterheading"/>
      </w:pPr>
      <w:r w:rsidRPr="00F6240F">
        <w:t>For patients unable to provide a self-report of pain: scored 0–10 clinical observation</w:t>
      </w:r>
    </w:p>
    <w:p w14:paraId="3D57A632" w14:textId="09B58234" w:rsidR="00F6240F" w:rsidRPr="00F6240F" w:rsidRDefault="00F6240F" w:rsidP="00F6240F">
      <w:pPr>
        <w:pStyle w:val="SCVbodyafterheading"/>
      </w:pPr>
      <w:r>
        <w:rPr>
          <w:noProof/>
        </w:rPr>
        <w:lastRenderedPageBreak/>
        <w:drawing>
          <wp:inline distT="0" distB="0" distL="0" distR="0" wp14:anchorId="272F8F33" wp14:editId="2C57EBC2">
            <wp:extent cx="4933950" cy="3480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8801" cy="3483957"/>
                    </a:xfrm>
                    <a:prstGeom prst="rect">
                      <a:avLst/>
                    </a:prstGeom>
                  </pic:spPr>
                </pic:pic>
              </a:graphicData>
            </a:graphic>
          </wp:inline>
        </w:drawing>
      </w:r>
    </w:p>
    <w:p w14:paraId="0A4505AB" w14:textId="7C9E93CF" w:rsidR="00874E2F" w:rsidRPr="00F6240F" w:rsidRDefault="00874E2F" w:rsidP="00F6240F">
      <w:pPr>
        <w:pStyle w:val="SCVbodyafterheading"/>
      </w:pPr>
      <w:r w:rsidRPr="00F6240F">
        <w:t>* Assess muscle tone in patients with spinal cord lesion or injury at a level above the lesion injury.</w:t>
      </w:r>
      <w:r w:rsidR="00F6240F">
        <w:t xml:space="preserve">                       </w:t>
      </w:r>
      <w:r w:rsidRPr="00F6240F">
        <w:t>Assess patients with hemiplegia on the unaffected side.</w:t>
      </w:r>
      <w:r w:rsidR="00F6240F">
        <w:t xml:space="preserve">                                                                                                  </w:t>
      </w:r>
      <w:r w:rsidRPr="00F6240F">
        <w:t>** This item cannot be measured in patients with artificial airways.</w:t>
      </w:r>
    </w:p>
    <w:p w14:paraId="1856F376" w14:textId="77777777" w:rsidR="00F6240F" w:rsidRDefault="00874E2F" w:rsidP="00F6240F">
      <w:pPr>
        <w:pStyle w:val="SCVbodyafterheading"/>
      </w:pPr>
      <w:r w:rsidRPr="00F6240F">
        <w:t>Other recommended observational scales include:</w:t>
      </w:r>
    </w:p>
    <w:p w14:paraId="35ED8708" w14:textId="77777777" w:rsidR="00F6240F" w:rsidRDefault="00874E2F" w:rsidP="00F6240F">
      <w:pPr>
        <w:pStyle w:val="SCVbullet1"/>
      </w:pPr>
      <w:r w:rsidRPr="00F6240F">
        <w:t>Pain assessment checklist for seniors with limited ability to communicate (PACSLAC)</w:t>
      </w:r>
    </w:p>
    <w:p w14:paraId="0BCDAEE8" w14:textId="77777777" w:rsidR="00F6240F" w:rsidRDefault="00874E2F" w:rsidP="00F6240F">
      <w:pPr>
        <w:pStyle w:val="SCVbullet1"/>
      </w:pPr>
      <w:r w:rsidRPr="00F6240F">
        <w:t>Pain Assessment in Advanced Dementia (PAINAD)</w:t>
      </w:r>
    </w:p>
    <w:p w14:paraId="14EFE834" w14:textId="1D0C481F" w:rsidR="00F6240F" w:rsidRPr="00F6240F" w:rsidRDefault="00874E2F" w:rsidP="00F6240F">
      <w:pPr>
        <w:pStyle w:val="SCVbullet1"/>
      </w:pPr>
      <w:r w:rsidRPr="00F6240F">
        <w:t>Abbey pain scale</w:t>
      </w:r>
    </w:p>
    <w:p w14:paraId="420D7790" w14:textId="6495FD66" w:rsidR="00874E2F" w:rsidRDefault="00874E2F" w:rsidP="00874E2F">
      <w:pPr>
        <w:pStyle w:val="Heading3"/>
      </w:pPr>
      <w:r>
        <w:t>Appendix 2</w:t>
      </w:r>
    </w:p>
    <w:p w14:paraId="69272345" w14:textId="75419A14" w:rsidR="00874E2F" w:rsidRPr="00874E2F" w:rsidRDefault="00874E2F" w:rsidP="00874E2F">
      <w:pPr>
        <w:pStyle w:val="SCVbody"/>
        <w:rPr>
          <w:b/>
          <w:bCs/>
        </w:rPr>
      </w:pPr>
      <w:r w:rsidRPr="00874E2F">
        <w:rPr>
          <w:b/>
          <w:bCs/>
        </w:rPr>
        <w:t>Initial Opioid Prescribing Based on Age</w:t>
      </w:r>
    </w:p>
    <w:tbl>
      <w:tblPr>
        <w:tblStyle w:val="TableGrid"/>
        <w:tblW w:w="0" w:type="auto"/>
        <w:tblLook w:val="04A0" w:firstRow="1" w:lastRow="0" w:firstColumn="1" w:lastColumn="0" w:noHBand="0" w:noVBand="1"/>
      </w:tblPr>
      <w:tblGrid>
        <w:gridCol w:w="5216"/>
        <w:gridCol w:w="5216"/>
      </w:tblGrid>
      <w:tr w:rsidR="00874E2F" w14:paraId="2B29D9F9" w14:textId="77777777" w:rsidTr="003D3CE5">
        <w:trPr>
          <w:cnfStyle w:val="100000000000" w:firstRow="1" w:lastRow="0" w:firstColumn="0" w:lastColumn="0" w:oddVBand="0" w:evenVBand="0" w:oddHBand="0" w:evenHBand="0" w:firstRowFirstColumn="0" w:firstRowLastColumn="0" w:lastRowFirstColumn="0" w:lastRowLastColumn="0"/>
        </w:trPr>
        <w:tc>
          <w:tcPr>
            <w:tcW w:w="10432" w:type="dxa"/>
            <w:gridSpan w:val="2"/>
          </w:tcPr>
          <w:p w14:paraId="309DA759" w14:textId="1C867DF3" w:rsidR="00874E2F" w:rsidRDefault="00874E2F" w:rsidP="00874E2F">
            <w:pPr>
              <w:pStyle w:val="SCVbody"/>
            </w:pPr>
            <w:r w:rsidRPr="00874E2F">
              <w:rPr>
                <w:b/>
                <w:bCs/>
              </w:rPr>
              <w:t>Initial Endone® (immediate release oxycodone) dose, 4 hourly PRN*</w:t>
            </w:r>
          </w:p>
        </w:tc>
      </w:tr>
      <w:tr w:rsidR="00874E2F" w14:paraId="61B7E04A" w14:textId="77777777" w:rsidTr="00874E2F">
        <w:tc>
          <w:tcPr>
            <w:tcW w:w="5216" w:type="dxa"/>
            <w:tcBorders>
              <w:right w:val="single" w:sz="4" w:space="0" w:color="auto"/>
            </w:tcBorders>
          </w:tcPr>
          <w:p w14:paraId="7F9BFAB9" w14:textId="6BBCE713" w:rsidR="00874E2F" w:rsidRPr="00874E2F" w:rsidRDefault="00874E2F" w:rsidP="00874E2F">
            <w:pPr>
              <w:pStyle w:val="SCVbody"/>
              <w:rPr>
                <w:b/>
                <w:bCs/>
              </w:rPr>
            </w:pPr>
            <w:r w:rsidRPr="00874E2F">
              <w:rPr>
                <w:b/>
                <w:bCs/>
              </w:rPr>
              <w:t>Age (years)</w:t>
            </w:r>
          </w:p>
        </w:tc>
        <w:tc>
          <w:tcPr>
            <w:tcW w:w="5216" w:type="dxa"/>
            <w:tcBorders>
              <w:top w:val="single" w:sz="24" w:space="0" w:color="CCCCD0"/>
              <w:left w:val="single" w:sz="4" w:space="0" w:color="auto"/>
            </w:tcBorders>
          </w:tcPr>
          <w:p w14:paraId="1DEE802C" w14:textId="63456197" w:rsidR="00874E2F" w:rsidRPr="00874E2F" w:rsidRDefault="00874E2F" w:rsidP="00874E2F">
            <w:pPr>
              <w:pStyle w:val="SCVbody"/>
              <w:rPr>
                <w:b/>
                <w:bCs/>
              </w:rPr>
            </w:pPr>
            <w:r w:rsidRPr="00874E2F">
              <w:rPr>
                <w:b/>
                <w:bCs/>
              </w:rPr>
              <w:t>Dose range (mg)</w:t>
            </w:r>
          </w:p>
        </w:tc>
      </w:tr>
      <w:tr w:rsidR="00874E2F" w14:paraId="24D97D47" w14:textId="77777777" w:rsidTr="00874E2F">
        <w:tc>
          <w:tcPr>
            <w:tcW w:w="5216" w:type="dxa"/>
            <w:tcBorders>
              <w:right w:val="single" w:sz="4" w:space="0" w:color="auto"/>
            </w:tcBorders>
          </w:tcPr>
          <w:p w14:paraId="66245B96" w14:textId="6814997A" w:rsidR="00874E2F" w:rsidRDefault="00874E2F" w:rsidP="00874E2F">
            <w:pPr>
              <w:pStyle w:val="SCVbody"/>
            </w:pPr>
            <w:r>
              <w:t>18 – 39</w:t>
            </w:r>
          </w:p>
        </w:tc>
        <w:tc>
          <w:tcPr>
            <w:tcW w:w="5216" w:type="dxa"/>
            <w:tcBorders>
              <w:left w:val="single" w:sz="4" w:space="0" w:color="auto"/>
            </w:tcBorders>
          </w:tcPr>
          <w:p w14:paraId="1BDA6821" w14:textId="4A1E626E" w:rsidR="00874E2F" w:rsidRDefault="00874E2F" w:rsidP="00874E2F">
            <w:pPr>
              <w:pStyle w:val="SCVbody"/>
            </w:pPr>
            <w:r>
              <w:t>10 – 15</w:t>
            </w:r>
          </w:p>
        </w:tc>
      </w:tr>
      <w:tr w:rsidR="00874E2F" w14:paraId="70EC71B5" w14:textId="77777777" w:rsidTr="00874E2F">
        <w:tc>
          <w:tcPr>
            <w:tcW w:w="5216" w:type="dxa"/>
            <w:tcBorders>
              <w:right w:val="single" w:sz="4" w:space="0" w:color="auto"/>
            </w:tcBorders>
          </w:tcPr>
          <w:p w14:paraId="46A7C49D" w14:textId="3BE2CFDC" w:rsidR="00874E2F" w:rsidRDefault="00874E2F" w:rsidP="00874E2F">
            <w:pPr>
              <w:pStyle w:val="SCVbody"/>
            </w:pPr>
            <w:r>
              <w:t>40 – 59</w:t>
            </w:r>
          </w:p>
        </w:tc>
        <w:tc>
          <w:tcPr>
            <w:tcW w:w="5216" w:type="dxa"/>
            <w:tcBorders>
              <w:left w:val="single" w:sz="4" w:space="0" w:color="auto"/>
            </w:tcBorders>
          </w:tcPr>
          <w:p w14:paraId="2D2EA13D" w14:textId="24D37F35" w:rsidR="00874E2F" w:rsidRDefault="00874E2F" w:rsidP="00874E2F">
            <w:pPr>
              <w:pStyle w:val="SCVbody"/>
            </w:pPr>
            <w:r>
              <w:t>5 – 15</w:t>
            </w:r>
          </w:p>
        </w:tc>
      </w:tr>
      <w:tr w:rsidR="00874E2F" w14:paraId="12F28934" w14:textId="77777777" w:rsidTr="00874E2F">
        <w:tc>
          <w:tcPr>
            <w:tcW w:w="5216" w:type="dxa"/>
            <w:tcBorders>
              <w:right w:val="single" w:sz="4" w:space="0" w:color="auto"/>
            </w:tcBorders>
          </w:tcPr>
          <w:p w14:paraId="39D310B5" w14:textId="76D2DFC0" w:rsidR="00874E2F" w:rsidRDefault="00874E2F" w:rsidP="00874E2F">
            <w:pPr>
              <w:pStyle w:val="SCVbody"/>
            </w:pPr>
            <w:r>
              <w:t>60 – 69</w:t>
            </w:r>
          </w:p>
        </w:tc>
        <w:tc>
          <w:tcPr>
            <w:tcW w:w="5216" w:type="dxa"/>
            <w:tcBorders>
              <w:left w:val="single" w:sz="4" w:space="0" w:color="auto"/>
            </w:tcBorders>
          </w:tcPr>
          <w:p w14:paraId="7134D594" w14:textId="3ACBD55D" w:rsidR="00874E2F" w:rsidRDefault="00874E2F" w:rsidP="00874E2F">
            <w:pPr>
              <w:pStyle w:val="SCVbody"/>
            </w:pPr>
            <w:r>
              <w:t>5 – 10</w:t>
            </w:r>
          </w:p>
        </w:tc>
      </w:tr>
      <w:tr w:rsidR="00874E2F" w14:paraId="099C7AC4" w14:textId="77777777" w:rsidTr="00874E2F">
        <w:tc>
          <w:tcPr>
            <w:tcW w:w="5216" w:type="dxa"/>
            <w:tcBorders>
              <w:right w:val="single" w:sz="4" w:space="0" w:color="auto"/>
            </w:tcBorders>
          </w:tcPr>
          <w:p w14:paraId="7D863BDF" w14:textId="039C8118" w:rsidR="00874E2F" w:rsidRDefault="00874E2F" w:rsidP="00874E2F">
            <w:pPr>
              <w:pStyle w:val="SCVbody"/>
            </w:pPr>
            <w:r>
              <w:t>70 – 79</w:t>
            </w:r>
          </w:p>
        </w:tc>
        <w:tc>
          <w:tcPr>
            <w:tcW w:w="5216" w:type="dxa"/>
            <w:tcBorders>
              <w:left w:val="single" w:sz="4" w:space="0" w:color="auto"/>
            </w:tcBorders>
          </w:tcPr>
          <w:p w14:paraId="21B3CBC1" w14:textId="55B15BE2" w:rsidR="00874E2F" w:rsidRDefault="00874E2F" w:rsidP="00874E2F">
            <w:pPr>
              <w:pStyle w:val="SCVbody"/>
            </w:pPr>
            <w:r>
              <w:t>5</w:t>
            </w:r>
          </w:p>
        </w:tc>
      </w:tr>
      <w:tr w:rsidR="00874E2F" w14:paraId="12ABD8CB" w14:textId="77777777" w:rsidTr="00874E2F">
        <w:tc>
          <w:tcPr>
            <w:tcW w:w="5216" w:type="dxa"/>
            <w:tcBorders>
              <w:right w:val="single" w:sz="4" w:space="0" w:color="auto"/>
            </w:tcBorders>
          </w:tcPr>
          <w:p w14:paraId="531E67E6" w14:textId="6ECB590A" w:rsidR="00874E2F" w:rsidRDefault="00874E2F" w:rsidP="00874E2F">
            <w:pPr>
              <w:pStyle w:val="SCVbody"/>
            </w:pPr>
            <w:r>
              <w:t>&gt;80</w:t>
            </w:r>
          </w:p>
        </w:tc>
        <w:tc>
          <w:tcPr>
            <w:tcW w:w="5216" w:type="dxa"/>
            <w:tcBorders>
              <w:left w:val="single" w:sz="4" w:space="0" w:color="auto"/>
            </w:tcBorders>
          </w:tcPr>
          <w:p w14:paraId="5084D352" w14:textId="0EA1DA6A" w:rsidR="00874E2F" w:rsidRDefault="00874E2F" w:rsidP="00874E2F">
            <w:pPr>
              <w:pStyle w:val="SCVbody"/>
            </w:pPr>
            <w:r>
              <w:t>2.5</w:t>
            </w:r>
          </w:p>
        </w:tc>
      </w:tr>
    </w:tbl>
    <w:p w14:paraId="70C0F68F" w14:textId="5020D3DF" w:rsidR="00874E2F" w:rsidRDefault="00874E2F" w:rsidP="00874E2F">
      <w:pPr>
        <w:pStyle w:val="SCVbody"/>
      </w:pPr>
      <w:r>
        <w:t>*Specify maximum dose in 24 hours</w:t>
      </w:r>
    </w:p>
    <w:p w14:paraId="166CE76F" w14:textId="4CB845A1" w:rsidR="00F6240F" w:rsidRDefault="00F6240F" w:rsidP="00874E2F">
      <w:pPr>
        <w:pStyle w:val="SCVbody"/>
      </w:pPr>
    </w:p>
    <w:p w14:paraId="5454125F" w14:textId="39D98422" w:rsidR="00F6240F" w:rsidRDefault="00F6240F" w:rsidP="00874E2F">
      <w:pPr>
        <w:pStyle w:val="SCVbody"/>
      </w:pPr>
    </w:p>
    <w:p w14:paraId="68AED242" w14:textId="1E76F9ED" w:rsidR="00F6240F" w:rsidRDefault="00F6240F" w:rsidP="00874E2F">
      <w:pPr>
        <w:pStyle w:val="SCVbody"/>
      </w:pPr>
    </w:p>
    <w:p w14:paraId="0E786D7D" w14:textId="0209A8C4" w:rsidR="00F6240F" w:rsidRDefault="00F6240F" w:rsidP="00F6240F">
      <w:pPr>
        <w:pStyle w:val="Heading3"/>
      </w:pPr>
      <w:r>
        <w:lastRenderedPageBreak/>
        <w:t>Appendix 3</w:t>
      </w:r>
    </w:p>
    <w:p w14:paraId="52F968CD" w14:textId="035748A8" w:rsidR="00F6240F" w:rsidRDefault="00F6240F" w:rsidP="00874E2F">
      <w:pPr>
        <w:pStyle w:val="SCVbody"/>
      </w:pPr>
      <w:proofErr w:type="gramStart"/>
      <w:r>
        <w:t>In order to</w:t>
      </w:r>
      <w:proofErr w:type="gramEnd"/>
      <w:r>
        <w:t xml:space="preserve"> calculate an oral Morphine Equivalent Daily Dose (</w:t>
      </w:r>
      <w:proofErr w:type="spellStart"/>
      <w:r>
        <w:t>oMEDD</w:t>
      </w:r>
      <w:proofErr w:type="spellEnd"/>
      <w:r>
        <w:t xml:space="preserve">), multiply the current daily opioid dose by the conversion in column 2. </w:t>
      </w:r>
      <w:r w:rsidR="009126C9">
        <w:t xml:space="preserve">                                                                                                                                                </w:t>
      </w:r>
      <w:r>
        <w:t xml:space="preserve">For example, </w:t>
      </w:r>
      <w:proofErr w:type="spellStart"/>
      <w:r>
        <w:t>oMEDD</w:t>
      </w:r>
      <w:proofErr w:type="spellEnd"/>
      <w:r>
        <w:t xml:space="preserve"> of oxycodone 40mg/day = 40 x 1.5 = 60mg/day</w:t>
      </w:r>
    </w:p>
    <w:tbl>
      <w:tblPr>
        <w:tblStyle w:val="TableGrid"/>
        <w:tblW w:w="0" w:type="auto"/>
        <w:tblLook w:val="04A0" w:firstRow="1" w:lastRow="0" w:firstColumn="1" w:lastColumn="0" w:noHBand="0" w:noVBand="1"/>
      </w:tblPr>
      <w:tblGrid>
        <w:gridCol w:w="2608"/>
        <w:gridCol w:w="2608"/>
        <w:gridCol w:w="2608"/>
        <w:gridCol w:w="2608"/>
      </w:tblGrid>
      <w:tr w:rsidR="00137544" w14:paraId="486482E7" w14:textId="77777777" w:rsidTr="00137544">
        <w:trPr>
          <w:cnfStyle w:val="100000000000" w:firstRow="1" w:lastRow="0" w:firstColumn="0" w:lastColumn="0" w:oddVBand="0" w:evenVBand="0" w:oddHBand="0" w:evenHBand="0" w:firstRowFirstColumn="0" w:firstRowLastColumn="0" w:lastRowFirstColumn="0" w:lastRowLastColumn="0"/>
        </w:trPr>
        <w:tc>
          <w:tcPr>
            <w:tcW w:w="10432" w:type="dxa"/>
            <w:gridSpan w:val="4"/>
            <w:tcBorders>
              <w:bottom w:val="single" w:sz="4" w:space="0" w:color="auto"/>
            </w:tcBorders>
          </w:tcPr>
          <w:p w14:paraId="0FDDBB3B" w14:textId="1119E5E6" w:rsidR="00137544" w:rsidRPr="00137544" w:rsidRDefault="00137544" w:rsidP="00874E2F">
            <w:pPr>
              <w:pStyle w:val="SCVbody"/>
              <w:rPr>
                <w:b/>
                <w:bCs/>
              </w:rPr>
            </w:pPr>
            <w:r w:rsidRPr="00F6240F">
              <w:rPr>
                <w:b/>
                <w:bCs/>
              </w:rPr>
              <w:t>Opioid Dose Equivalence Calculation Table</w:t>
            </w:r>
          </w:p>
        </w:tc>
      </w:tr>
      <w:tr w:rsidR="00137544" w14:paraId="68BE746F" w14:textId="77777777" w:rsidTr="009126C9">
        <w:tc>
          <w:tcPr>
            <w:tcW w:w="5216" w:type="dxa"/>
            <w:gridSpan w:val="2"/>
            <w:tcBorders>
              <w:top w:val="single" w:sz="4" w:space="0" w:color="auto"/>
              <w:left w:val="single" w:sz="4" w:space="0" w:color="auto"/>
              <w:bottom w:val="single" w:sz="4" w:space="0" w:color="auto"/>
              <w:right w:val="single" w:sz="4" w:space="0" w:color="auto"/>
            </w:tcBorders>
            <w:shd w:val="clear" w:color="auto" w:fill="EDF5F7" w:themeFill="background2"/>
          </w:tcPr>
          <w:p w14:paraId="202AA1B9" w14:textId="439E9CE1" w:rsidR="00137544" w:rsidRPr="00137544" w:rsidRDefault="00137544" w:rsidP="00137544">
            <w:pPr>
              <w:pStyle w:val="SCVbody"/>
              <w:rPr>
                <w:b/>
                <w:bCs/>
              </w:rPr>
            </w:pPr>
            <w:r w:rsidRPr="00137544">
              <w:rPr>
                <w:b/>
                <w:bCs/>
              </w:rPr>
              <w:t>Current Opioid</w:t>
            </w:r>
          </w:p>
        </w:tc>
        <w:tc>
          <w:tcPr>
            <w:tcW w:w="2608" w:type="dxa"/>
            <w:tcBorders>
              <w:top w:val="single" w:sz="4" w:space="0" w:color="auto"/>
              <w:left w:val="single" w:sz="4" w:space="0" w:color="auto"/>
              <w:bottom w:val="single" w:sz="4" w:space="0" w:color="auto"/>
              <w:right w:val="single" w:sz="4" w:space="0" w:color="auto"/>
            </w:tcBorders>
            <w:shd w:val="clear" w:color="auto" w:fill="EDF5F7" w:themeFill="background2"/>
          </w:tcPr>
          <w:p w14:paraId="1E8AF06E" w14:textId="36F54BE4" w:rsidR="00137544" w:rsidRPr="00137544" w:rsidRDefault="00137544" w:rsidP="00137544">
            <w:pPr>
              <w:pStyle w:val="SCVbody"/>
              <w:rPr>
                <w:b/>
                <w:bCs/>
              </w:rPr>
            </w:pPr>
            <w:r w:rsidRPr="00137544">
              <w:rPr>
                <w:b/>
                <w:bCs/>
              </w:rPr>
              <w:t>Conversion Factor</w:t>
            </w:r>
          </w:p>
        </w:tc>
        <w:tc>
          <w:tcPr>
            <w:tcW w:w="2608" w:type="dxa"/>
            <w:tcBorders>
              <w:top w:val="single" w:sz="4" w:space="0" w:color="auto"/>
              <w:left w:val="single" w:sz="4" w:space="0" w:color="auto"/>
              <w:bottom w:val="single" w:sz="4" w:space="0" w:color="auto"/>
              <w:right w:val="single" w:sz="4" w:space="0" w:color="auto"/>
            </w:tcBorders>
            <w:shd w:val="clear" w:color="auto" w:fill="EDF5F7" w:themeFill="background2"/>
          </w:tcPr>
          <w:p w14:paraId="5336649B" w14:textId="7B6D2FBC" w:rsidR="00137544" w:rsidRPr="00137544" w:rsidRDefault="00137544" w:rsidP="00137544">
            <w:pPr>
              <w:pStyle w:val="SCVbody"/>
              <w:rPr>
                <w:b/>
                <w:bCs/>
              </w:rPr>
            </w:pPr>
            <w:r w:rsidRPr="00137544">
              <w:rPr>
                <w:b/>
                <w:bCs/>
              </w:rPr>
              <w:t>Proprietary Names</w:t>
            </w:r>
          </w:p>
        </w:tc>
      </w:tr>
      <w:tr w:rsidR="00137544" w14:paraId="21354A7D" w14:textId="77777777" w:rsidTr="00137544">
        <w:tc>
          <w:tcPr>
            <w:tcW w:w="10432" w:type="dxa"/>
            <w:gridSpan w:val="4"/>
            <w:tcBorders>
              <w:top w:val="single" w:sz="4" w:space="0" w:color="auto"/>
              <w:left w:val="single" w:sz="4" w:space="0" w:color="auto"/>
              <w:bottom w:val="single" w:sz="4" w:space="0" w:color="auto"/>
              <w:right w:val="single" w:sz="4" w:space="0" w:color="auto"/>
            </w:tcBorders>
            <w:shd w:val="clear" w:color="auto" w:fill="5AB9EB" w:themeFill="accent3"/>
          </w:tcPr>
          <w:p w14:paraId="4C6D8933" w14:textId="40113571" w:rsidR="00137544" w:rsidRDefault="00137544" w:rsidP="00137544">
            <w:pPr>
              <w:pStyle w:val="SCVbody"/>
            </w:pPr>
            <w:r w:rsidRPr="00137544">
              <w:rPr>
                <w:b/>
                <w:bCs/>
              </w:rPr>
              <w:t>ORAL PREPARATIONS</w:t>
            </w:r>
          </w:p>
        </w:tc>
      </w:tr>
      <w:tr w:rsidR="00137544" w14:paraId="3EFB2F24" w14:textId="77777777" w:rsidTr="00137544">
        <w:tc>
          <w:tcPr>
            <w:tcW w:w="2608" w:type="dxa"/>
            <w:tcBorders>
              <w:top w:val="single" w:sz="4" w:space="0" w:color="auto"/>
              <w:left w:val="single" w:sz="4" w:space="0" w:color="auto"/>
              <w:bottom w:val="single" w:sz="4" w:space="0" w:color="auto"/>
              <w:right w:val="single" w:sz="4" w:space="0" w:color="auto"/>
            </w:tcBorders>
          </w:tcPr>
          <w:p w14:paraId="1477528A" w14:textId="33871975" w:rsidR="00137544" w:rsidRDefault="00137544" w:rsidP="00137544">
            <w:pPr>
              <w:pStyle w:val="SCVbody"/>
            </w:pPr>
            <w:r>
              <w:t>Morphine</w:t>
            </w:r>
          </w:p>
        </w:tc>
        <w:tc>
          <w:tcPr>
            <w:tcW w:w="2608" w:type="dxa"/>
            <w:tcBorders>
              <w:top w:val="single" w:sz="4" w:space="0" w:color="auto"/>
              <w:left w:val="single" w:sz="4" w:space="0" w:color="auto"/>
              <w:bottom w:val="single" w:sz="4" w:space="0" w:color="auto"/>
              <w:right w:val="single" w:sz="4" w:space="0" w:color="auto"/>
            </w:tcBorders>
          </w:tcPr>
          <w:p w14:paraId="40A6234B" w14:textId="2BF026C8"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40A4BFB3" w14:textId="687AFC29" w:rsidR="00137544" w:rsidRDefault="00137544" w:rsidP="00137544">
            <w:pPr>
              <w:pStyle w:val="SCVbody"/>
            </w:pPr>
            <w:r>
              <w:t>1</w:t>
            </w:r>
          </w:p>
        </w:tc>
        <w:tc>
          <w:tcPr>
            <w:tcW w:w="2608" w:type="dxa"/>
            <w:tcBorders>
              <w:top w:val="single" w:sz="4" w:space="0" w:color="auto"/>
              <w:left w:val="single" w:sz="4" w:space="0" w:color="auto"/>
              <w:bottom w:val="single" w:sz="4" w:space="0" w:color="auto"/>
              <w:right w:val="single" w:sz="4" w:space="0" w:color="auto"/>
            </w:tcBorders>
          </w:tcPr>
          <w:p w14:paraId="0B5B0C80" w14:textId="0F8690BE" w:rsidR="00137544" w:rsidRDefault="00137544" w:rsidP="00137544">
            <w:pPr>
              <w:pStyle w:val="SCVbody"/>
            </w:pPr>
            <w:r>
              <w:t xml:space="preserve">Anamorph, </w:t>
            </w:r>
            <w:proofErr w:type="spellStart"/>
            <w:r>
              <w:t>Kapanol</w:t>
            </w:r>
            <w:proofErr w:type="spellEnd"/>
            <w:r>
              <w:t xml:space="preserve"> (MR), MS Contin (MR), MS Mono (MR), </w:t>
            </w:r>
            <w:proofErr w:type="spellStart"/>
            <w:r>
              <w:t>Ordine</w:t>
            </w:r>
            <w:proofErr w:type="spellEnd"/>
            <w:r>
              <w:t xml:space="preserve">, </w:t>
            </w:r>
            <w:proofErr w:type="spellStart"/>
            <w:r>
              <w:t>Sevredol</w:t>
            </w:r>
            <w:proofErr w:type="spellEnd"/>
          </w:p>
        </w:tc>
      </w:tr>
      <w:tr w:rsidR="00137544" w14:paraId="484C2DF9" w14:textId="77777777" w:rsidTr="00137544">
        <w:tc>
          <w:tcPr>
            <w:tcW w:w="2608" w:type="dxa"/>
            <w:tcBorders>
              <w:top w:val="single" w:sz="4" w:space="0" w:color="auto"/>
              <w:left w:val="single" w:sz="4" w:space="0" w:color="auto"/>
              <w:bottom w:val="single" w:sz="4" w:space="0" w:color="auto"/>
              <w:right w:val="single" w:sz="4" w:space="0" w:color="auto"/>
            </w:tcBorders>
          </w:tcPr>
          <w:p w14:paraId="454C4B19" w14:textId="1117A0D2" w:rsidR="00137544" w:rsidRDefault="00137544" w:rsidP="00137544">
            <w:pPr>
              <w:pStyle w:val="SCVbody"/>
            </w:pPr>
            <w:r>
              <w:t>Oxycodone</w:t>
            </w:r>
          </w:p>
        </w:tc>
        <w:tc>
          <w:tcPr>
            <w:tcW w:w="2608" w:type="dxa"/>
            <w:tcBorders>
              <w:top w:val="single" w:sz="4" w:space="0" w:color="auto"/>
              <w:left w:val="single" w:sz="4" w:space="0" w:color="auto"/>
              <w:bottom w:val="single" w:sz="4" w:space="0" w:color="auto"/>
              <w:right w:val="single" w:sz="4" w:space="0" w:color="auto"/>
            </w:tcBorders>
          </w:tcPr>
          <w:p w14:paraId="1AE9E1D0" w14:textId="03D1F873"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1988B956" w14:textId="3C913F7C" w:rsidR="00137544" w:rsidRDefault="00137544" w:rsidP="00137544">
            <w:pPr>
              <w:pStyle w:val="SCVbody"/>
            </w:pPr>
            <w:r>
              <w:t>1.5</w:t>
            </w:r>
          </w:p>
        </w:tc>
        <w:tc>
          <w:tcPr>
            <w:tcW w:w="2608" w:type="dxa"/>
            <w:tcBorders>
              <w:top w:val="single" w:sz="4" w:space="0" w:color="auto"/>
              <w:left w:val="single" w:sz="4" w:space="0" w:color="auto"/>
              <w:bottom w:val="single" w:sz="4" w:space="0" w:color="auto"/>
              <w:right w:val="single" w:sz="4" w:space="0" w:color="auto"/>
            </w:tcBorders>
          </w:tcPr>
          <w:p w14:paraId="2D3AEABD" w14:textId="1DE4023B" w:rsidR="00137544" w:rsidRDefault="00137544" w:rsidP="00137544">
            <w:pPr>
              <w:pStyle w:val="SCVbody"/>
            </w:pPr>
            <w:r>
              <w:t xml:space="preserve">Endone, OxyContin (MR), </w:t>
            </w:r>
            <w:proofErr w:type="spellStart"/>
            <w:r>
              <w:t>OxyNorm</w:t>
            </w:r>
            <w:proofErr w:type="spellEnd"/>
            <w:r>
              <w:t xml:space="preserve">, </w:t>
            </w:r>
            <w:proofErr w:type="spellStart"/>
            <w:r>
              <w:t>Targin</w:t>
            </w:r>
            <w:proofErr w:type="spellEnd"/>
            <w:r>
              <w:t xml:space="preserve"> (MR)</w:t>
            </w:r>
          </w:p>
        </w:tc>
      </w:tr>
      <w:tr w:rsidR="00137544" w14:paraId="5E3D2D29" w14:textId="77777777" w:rsidTr="00137544">
        <w:tc>
          <w:tcPr>
            <w:tcW w:w="2608" w:type="dxa"/>
            <w:tcBorders>
              <w:top w:val="single" w:sz="4" w:space="0" w:color="auto"/>
              <w:left w:val="single" w:sz="4" w:space="0" w:color="auto"/>
              <w:bottom w:val="single" w:sz="4" w:space="0" w:color="auto"/>
              <w:right w:val="single" w:sz="4" w:space="0" w:color="auto"/>
            </w:tcBorders>
          </w:tcPr>
          <w:p w14:paraId="2D8C9714" w14:textId="6B827400" w:rsidR="00137544" w:rsidRDefault="00137544" w:rsidP="00137544">
            <w:pPr>
              <w:pStyle w:val="SCVbody"/>
            </w:pPr>
            <w:r>
              <w:t>Hydromorphone</w:t>
            </w:r>
          </w:p>
        </w:tc>
        <w:tc>
          <w:tcPr>
            <w:tcW w:w="2608" w:type="dxa"/>
            <w:tcBorders>
              <w:top w:val="single" w:sz="4" w:space="0" w:color="auto"/>
              <w:left w:val="single" w:sz="4" w:space="0" w:color="auto"/>
              <w:bottom w:val="single" w:sz="4" w:space="0" w:color="auto"/>
              <w:right w:val="single" w:sz="4" w:space="0" w:color="auto"/>
            </w:tcBorders>
          </w:tcPr>
          <w:p w14:paraId="058CAA25" w14:textId="2B86FB74"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0067F2AF" w14:textId="5EE65A55" w:rsidR="00137544" w:rsidRDefault="00137544" w:rsidP="00137544">
            <w:pPr>
              <w:pStyle w:val="SCVbody"/>
            </w:pPr>
            <w:r>
              <w:t>5</w:t>
            </w:r>
          </w:p>
        </w:tc>
        <w:tc>
          <w:tcPr>
            <w:tcW w:w="2608" w:type="dxa"/>
            <w:tcBorders>
              <w:top w:val="single" w:sz="4" w:space="0" w:color="auto"/>
              <w:left w:val="single" w:sz="4" w:space="0" w:color="auto"/>
              <w:bottom w:val="single" w:sz="4" w:space="0" w:color="auto"/>
              <w:right w:val="single" w:sz="4" w:space="0" w:color="auto"/>
            </w:tcBorders>
          </w:tcPr>
          <w:p w14:paraId="2ED5E19E" w14:textId="2C85D460" w:rsidR="00137544" w:rsidRDefault="00137544" w:rsidP="00137544">
            <w:pPr>
              <w:pStyle w:val="SCVbody"/>
            </w:pPr>
            <w:proofErr w:type="spellStart"/>
            <w:r>
              <w:t>Dilaudid</w:t>
            </w:r>
            <w:proofErr w:type="spellEnd"/>
            <w:r>
              <w:t xml:space="preserve">, </w:t>
            </w:r>
            <w:proofErr w:type="spellStart"/>
            <w:r>
              <w:t>Jurnista</w:t>
            </w:r>
            <w:proofErr w:type="spellEnd"/>
            <w:r>
              <w:t xml:space="preserve"> (MR)</w:t>
            </w:r>
          </w:p>
        </w:tc>
      </w:tr>
      <w:tr w:rsidR="00137544" w14:paraId="44893EE7" w14:textId="77777777" w:rsidTr="00137544">
        <w:tc>
          <w:tcPr>
            <w:tcW w:w="2608" w:type="dxa"/>
            <w:tcBorders>
              <w:top w:val="single" w:sz="4" w:space="0" w:color="auto"/>
              <w:left w:val="single" w:sz="4" w:space="0" w:color="auto"/>
              <w:bottom w:val="single" w:sz="4" w:space="0" w:color="auto"/>
              <w:right w:val="single" w:sz="4" w:space="0" w:color="auto"/>
            </w:tcBorders>
          </w:tcPr>
          <w:p w14:paraId="6BFA600C" w14:textId="30FDC16D" w:rsidR="00137544" w:rsidRDefault="00137544" w:rsidP="00137544">
            <w:pPr>
              <w:pStyle w:val="SCVbody"/>
            </w:pPr>
            <w:r>
              <w:t>Codeine</w:t>
            </w:r>
          </w:p>
        </w:tc>
        <w:tc>
          <w:tcPr>
            <w:tcW w:w="2608" w:type="dxa"/>
            <w:tcBorders>
              <w:top w:val="single" w:sz="4" w:space="0" w:color="auto"/>
              <w:left w:val="single" w:sz="4" w:space="0" w:color="auto"/>
              <w:bottom w:val="single" w:sz="4" w:space="0" w:color="auto"/>
              <w:right w:val="single" w:sz="4" w:space="0" w:color="auto"/>
            </w:tcBorders>
          </w:tcPr>
          <w:p w14:paraId="7F43AA9C" w14:textId="48B0CEA5"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61F5256C" w14:textId="24E1197B" w:rsidR="00137544" w:rsidRDefault="00137544" w:rsidP="00137544">
            <w:pPr>
              <w:pStyle w:val="SCVbody"/>
            </w:pPr>
            <w:r>
              <w:t>0.13</w:t>
            </w:r>
          </w:p>
        </w:tc>
        <w:tc>
          <w:tcPr>
            <w:tcW w:w="2608" w:type="dxa"/>
            <w:tcBorders>
              <w:top w:val="single" w:sz="4" w:space="0" w:color="auto"/>
              <w:left w:val="single" w:sz="4" w:space="0" w:color="auto"/>
              <w:bottom w:val="single" w:sz="4" w:space="0" w:color="auto"/>
              <w:right w:val="single" w:sz="4" w:space="0" w:color="auto"/>
            </w:tcBorders>
          </w:tcPr>
          <w:p w14:paraId="14A978BA" w14:textId="38DB5D0A" w:rsidR="00137544" w:rsidRDefault="00137544" w:rsidP="00137544">
            <w:pPr>
              <w:pStyle w:val="SCVbody"/>
            </w:pPr>
            <w:proofErr w:type="spellStart"/>
            <w:r>
              <w:t>Aspalgin</w:t>
            </w:r>
            <w:proofErr w:type="spellEnd"/>
            <w:r>
              <w:t xml:space="preserve">, </w:t>
            </w:r>
            <w:proofErr w:type="spellStart"/>
            <w:r>
              <w:t>Codalgin</w:t>
            </w:r>
            <w:proofErr w:type="spellEnd"/>
            <w:r>
              <w:t xml:space="preserve">, </w:t>
            </w:r>
            <w:proofErr w:type="spellStart"/>
            <w:r>
              <w:t>Panadeine</w:t>
            </w:r>
            <w:proofErr w:type="spellEnd"/>
            <w:r>
              <w:t xml:space="preserve">, </w:t>
            </w:r>
            <w:proofErr w:type="spellStart"/>
            <w:r>
              <w:t>Panadeine</w:t>
            </w:r>
            <w:proofErr w:type="spellEnd"/>
            <w:r>
              <w:t xml:space="preserve"> Forte, </w:t>
            </w:r>
            <w:proofErr w:type="spellStart"/>
            <w:r>
              <w:t>Mersyndol</w:t>
            </w:r>
            <w:proofErr w:type="spellEnd"/>
            <w:r>
              <w:t>, Nurofen Plus, others</w:t>
            </w:r>
          </w:p>
        </w:tc>
      </w:tr>
      <w:tr w:rsidR="00137544" w14:paraId="4BFBC131" w14:textId="77777777" w:rsidTr="00137544">
        <w:tc>
          <w:tcPr>
            <w:tcW w:w="2608" w:type="dxa"/>
            <w:tcBorders>
              <w:top w:val="single" w:sz="4" w:space="0" w:color="auto"/>
              <w:left w:val="single" w:sz="4" w:space="0" w:color="auto"/>
              <w:bottom w:val="single" w:sz="4" w:space="0" w:color="auto"/>
              <w:right w:val="single" w:sz="4" w:space="0" w:color="auto"/>
            </w:tcBorders>
          </w:tcPr>
          <w:p w14:paraId="603EFAC2" w14:textId="2BAA12B8" w:rsidR="00137544" w:rsidRDefault="00137544" w:rsidP="00137544">
            <w:pPr>
              <w:pStyle w:val="SCVbody"/>
            </w:pPr>
            <w:r>
              <w:t>Tramadol</w:t>
            </w:r>
          </w:p>
        </w:tc>
        <w:tc>
          <w:tcPr>
            <w:tcW w:w="2608" w:type="dxa"/>
            <w:tcBorders>
              <w:top w:val="single" w:sz="4" w:space="0" w:color="auto"/>
              <w:left w:val="single" w:sz="4" w:space="0" w:color="auto"/>
              <w:bottom w:val="single" w:sz="4" w:space="0" w:color="auto"/>
              <w:right w:val="single" w:sz="4" w:space="0" w:color="auto"/>
            </w:tcBorders>
          </w:tcPr>
          <w:p w14:paraId="6B26D252" w14:textId="21003C35"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4B5F7891" w14:textId="3C6A1DFC" w:rsidR="00137544" w:rsidRDefault="00137544" w:rsidP="00137544">
            <w:pPr>
              <w:pStyle w:val="SCVbody"/>
            </w:pPr>
            <w:r>
              <w:t>0.2</w:t>
            </w:r>
          </w:p>
        </w:tc>
        <w:tc>
          <w:tcPr>
            <w:tcW w:w="2608" w:type="dxa"/>
            <w:tcBorders>
              <w:top w:val="single" w:sz="4" w:space="0" w:color="auto"/>
              <w:left w:val="single" w:sz="4" w:space="0" w:color="auto"/>
              <w:bottom w:val="single" w:sz="4" w:space="0" w:color="auto"/>
              <w:right w:val="single" w:sz="4" w:space="0" w:color="auto"/>
            </w:tcBorders>
          </w:tcPr>
          <w:p w14:paraId="28A1385B" w14:textId="633913E2" w:rsidR="00137544" w:rsidRDefault="00137544" w:rsidP="00137544">
            <w:pPr>
              <w:pStyle w:val="SCVbody"/>
            </w:pPr>
            <w:proofErr w:type="spellStart"/>
            <w:r>
              <w:t>Durotram</w:t>
            </w:r>
            <w:proofErr w:type="spellEnd"/>
            <w:r>
              <w:t>-XR (MR</w:t>
            </w:r>
            <w:proofErr w:type="gramStart"/>
            <w:r>
              <w:t>) ,</w:t>
            </w:r>
            <w:proofErr w:type="gramEnd"/>
            <w:r>
              <w:t xml:space="preserve"> Tramal, Tramadol SR (MR), </w:t>
            </w:r>
            <w:proofErr w:type="spellStart"/>
            <w:r>
              <w:t>Zydol</w:t>
            </w:r>
            <w:proofErr w:type="spellEnd"/>
            <w:r>
              <w:t xml:space="preserve">, </w:t>
            </w:r>
            <w:proofErr w:type="spellStart"/>
            <w:r>
              <w:t>Zydol</w:t>
            </w:r>
            <w:proofErr w:type="spellEnd"/>
            <w:r>
              <w:t xml:space="preserve"> SR (MR), others</w:t>
            </w:r>
          </w:p>
        </w:tc>
      </w:tr>
      <w:tr w:rsidR="00137544" w14:paraId="5F21197C" w14:textId="77777777" w:rsidTr="00137544">
        <w:tc>
          <w:tcPr>
            <w:tcW w:w="2608" w:type="dxa"/>
            <w:tcBorders>
              <w:top w:val="single" w:sz="4" w:space="0" w:color="auto"/>
              <w:left w:val="single" w:sz="4" w:space="0" w:color="auto"/>
              <w:bottom w:val="single" w:sz="4" w:space="0" w:color="auto"/>
              <w:right w:val="single" w:sz="4" w:space="0" w:color="auto"/>
            </w:tcBorders>
          </w:tcPr>
          <w:p w14:paraId="142F4F3E" w14:textId="7862E6BA" w:rsidR="00137544" w:rsidRDefault="00137544" w:rsidP="00137544">
            <w:pPr>
              <w:pStyle w:val="SCVbody"/>
            </w:pPr>
            <w:proofErr w:type="spellStart"/>
            <w:r>
              <w:t>Tapentadol</w:t>
            </w:r>
            <w:proofErr w:type="spellEnd"/>
          </w:p>
        </w:tc>
        <w:tc>
          <w:tcPr>
            <w:tcW w:w="2608" w:type="dxa"/>
            <w:tcBorders>
              <w:top w:val="single" w:sz="4" w:space="0" w:color="auto"/>
              <w:left w:val="single" w:sz="4" w:space="0" w:color="auto"/>
              <w:bottom w:val="single" w:sz="4" w:space="0" w:color="auto"/>
              <w:right w:val="single" w:sz="4" w:space="0" w:color="auto"/>
            </w:tcBorders>
          </w:tcPr>
          <w:p w14:paraId="75FFBA36" w14:textId="121ED527"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6E97AEC3" w14:textId="7E30313F" w:rsidR="00137544" w:rsidRDefault="00137544" w:rsidP="00137544">
            <w:pPr>
              <w:pStyle w:val="SCVbody"/>
            </w:pPr>
            <w:r>
              <w:t>0.3</w:t>
            </w:r>
          </w:p>
        </w:tc>
        <w:tc>
          <w:tcPr>
            <w:tcW w:w="2608" w:type="dxa"/>
            <w:tcBorders>
              <w:top w:val="single" w:sz="4" w:space="0" w:color="auto"/>
              <w:left w:val="single" w:sz="4" w:space="0" w:color="auto"/>
              <w:bottom w:val="single" w:sz="4" w:space="0" w:color="auto"/>
              <w:right w:val="single" w:sz="4" w:space="0" w:color="auto"/>
            </w:tcBorders>
          </w:tcPr>
          <w:p w14:paraId="4C186680" w14:textId="6A9EC91A" w:rsidR="00137544" w:rsidRDefault="00137544" w:rsidP="00137544">
            <w:pPr>
              <w:pStyle w:val="SCVbody"/>
            </w:pPr>
            <w:proofErr w:type="spellStart"/>
            <w:r>
              <w:t>Palexia</w:t>
            </w:r>
            <w:proofErr w:type="spellEnd"/>
            <w:r>
              <w:t xml:space="preserve">-SR (MR), </w:t>
            </w:r>
            <w:proofErr w:type="spellStart"/>
            <w:r>
              <w:t>Palexia</w:t>
            </w:r>
            <w:proofErr w:type="spellEnd"/>
            <w:r>
              <w:t>-IR</w:t>
            </w:r>
          </w:p>
        </w:tc>
      </w:tr>
      <w:tr w:rsidR="00137544" w14:paraId="27A04920" w14:textId="77777777" w:rsidTr="00137544">
        <w:tc>
          <w:tcPr>
            <w:tcW w:w="10432" w:type="dxa"/>
            <w:gridSpan w:val="4"/>
            <w:tcBorders>
              <w:top w:val="single" w:sz="4" w:space="0" w:color="auto"/>
              <w:left w:val="single" w:sz="4" w:space="0" w:color="auto"/>
              <w:bottom w:val="single" w:sz="4" w:space="0" w:color="auto"/>
              <w:right w:val="single" w:sz="4" w:space="0" w:color="auto"/>
            </w:tcBorders>
            <w:shd w:val="clear" w:color="auto" w:fill="5AB9EB" w:themeFill="accent3"/>
          </w:tcPr>
          <w:p w14:paraId="63A40D54" w14:textId="6AE85205" w:rsidR="00137544" w:rsidRPr="00137544" w:rsidRDefault="00137544" w:rsidP="00137544">
            <w:pPr>
              <w:pStyle w:val="SCVbody"/>
              <w:rPr>
                <w:b/>
                <w:bCs/>
              </w:rPr>
            </w:pPr>
            <w:r w:rsidRPr="00137544">
              <w:rPr>
                <w:b/>
                <w:bCs/>
              </w:rPr>
              <w:t>SUBLINGUAL PREPARATIONS</w:t>
            </w:r>
          </w:p>
        </w:tc>
      </w:tr>
      <w:tr w:rsidR="00137544" w14:paraId="7D28C282" w14:textId="77777777" w:rsidTr="00137544">
        <w:tc>
          <w:tcPr>
            <w:tcW w:w="2608" w:type="dxa"/>
            <w:tcBorders>
              <w:top w:val="single" w:sz="4" w:space="0" w:color="auto"/>
              <w:left w:val="single" w:sz="4" w:space="0" w:color="auto"/>
              <w:bottom w:val="single" w:sz="4" w:space="0" w:color="auto"/>
              <w:right w:val="single" w:sz="4" w:space="0" w:color="auto"/>
            </w:tcBorders>
          </w:tcPr>
          <w:p w14:paraId="04C83C4A" w14:textId="78A9D43A" w:rsidR="00137544" w:rsidRDefault="00137544" w:rsidP="00137544">
            <w:pPr>
              <w:pStyle w:val="SCVbody"/>
            </w:pPr>
            <w:r>
              <w:t>Buprenorphine</w:t>
            </w:r>
          </w:p>
        </w:tc>
        <w:tc>
          <w:tcPr>
            <w:tcW w:w="2608" w:type="dxa"/>
            <w:tcBorders>
              <w:top w:val="single" w:sz="4" w:space="0" w:color="auto"/>
              <w:left w:val="single" w:sz="4" w:space="0" w:color="auto"/>
              <w:bottom w:val="single" w:sz="4" w:space="0" w:color="auto"/>
              <w:right w:val="single" w:sz="4" w:space="0" w:color="auto"/>
            </w:tcBorders>
          </w:tcPr>
          <w:p w14:paraId="10BD9EE7" w14:textId="5959EFDD"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5585CA59" w14:textId="072E9CB8" w:rsidR="00137544" w:rsidRDefault="00137544" w:rsidP="00137544">
            <w:pPr>
              <w:pStyle w:val="SCVbody"/>
            </w:pPr>
            <w:r>
              <w:t>40</w:t>
            </w:r>
          </w:p>
        </w:tc>
        <w:tc>
          <w:tcPr>
            <w:tcW w:w="2608" w:type="dxa"/>
            <w:tcBorders>
              <w:top w:val="single" w:sz="4" w:space="0" w:color="auto"/>
              <w:left w:val="single" w:sz="4" w:space="0" w:color="auto"/>
              <w:bottom w:val="single" w:sz="4" w:space="0" w:color="auto"/>
              <w:right w:val="single" w:sz="4" w:space="0" w:color="auto"/>
            </w:tcBorders>
          </w:tcPr>
          <w:p w14:paraId="08B0AEA6" w14:textId="33C025EC" w:rsidR="00137544" w:rsidRDefault="00137544" w:rsidP="00137544">
            <w:pPr>
              <w:pStyle w:val="SCVbody"/>
            </w:pPr>
            <w:r>
              <w:t xml:space="preserve">Suboxone, Subutex, </w:t>
            </w:r>
            <w:proofErr w:type="spellStart"/>
            <w:r>
              <w:t>Temgesic</w:t>
            </w:r>
            <w:proofErr w:type="spellEnd"/>
          </w:p>
        </w:tc>
      </w:tr>
      <w:tr w:rsidR="00137544" w14:paraId="7C56E5E3" w14:textId="77777777" w:rsidTr="00137544">
        <w:tc>
          <w:tcPr>
            <w:tcW w:w="10432" w:type="dxa"/>
            <w:gridSpan w:val="4"/>
            <w:tcBorders>
              <w:top w:val="single" w:sz="4" w:space="0" w:color="auto"/>
              <w:left w:val="single" w:sz="4" w:space="0" w:color="auto"/>
              <w:bottom w:val="single" w:sz="4" w:space="0" w:color="auto"/>
              <w:right w:val="single" w:sz="4" w:space="0" w:color="auto"/>
            </w:tcBorders>
            <w:shd w:val="clear" w:color="auto" w:fill="5AB9EB" w:themeFill="accent3"/>
          </w:tcPr>
          <w:p w14:paraId="56830B57" w14:textId="196348F7" w:rsidR="00137544" w:rsidRPr="00137544" w:rsidRDefault="00137544" w:rsidP="00137544">
            <w:pPr>
              <w:pStyle w:val="SCVbody"/>
              <w:rPr>
                <w:b/>
                <w:bCs/>
              </w:rPr>
            </w:pPr>
            <w:r w:rsidRPr="00137544">
              <w:rPr>
                <w:b/>
                <w:bCs/>
              </w:rPr>
              <w:t>TRANSDERMAL PREPARATIONS</w:t>
            </w:r>
          </w:p>
        </w:tc>
      </w:tr>
      <w:tr w:rsidR="00137544" w14:paraId="1A99BEB0" w14:textId="77777777" w:rsidTr="00137544">
        <w:tc>
          <w:tcPr>
            <w:tcW w:w="2608" w:type="dxa"/>
            <w:tcBorders>
              <w:top w:val="single" w:sz="4" w:space="0" w:color="auto"/>
              <w:left w:val="single" w:sz="4" w:space="0" w:color="auto"/>
              <w:bottom w:val="single" w:sz="4" w:space="0" w:color="auto"/>
              <w:right w:val="single" w:sz="4" w:space="0" w:color="auto"/>
            </w:tcBorders>
          </w:tcPr>
          <w:p w14:paraId="4FBE873F" w14:textId="1AA43A68" w:rsidR="00137544" w:rsidRDefault="00137544" w:rsidP="00137544">
            <w:pPr>
              <w:pStyle w:val="SCVbody"/>
            </w:pPr>
            <w:r>
              <w:t>Buprenorphine</w:t>
            </w:r>
          </w:p>
        </w:tc>
        <w:tc>
          <w:tcPr>
            <w:tcW w:w="2608" w:type="dxa"/>
            <w:tcBorders>
              <w:top w:val="single" w:sz="4" w:space="0" w:color="auto"/>
              <w:left w:val="single" w:sz="4" w:space="0" w:color="auto"/>
              <w:bottom w:val="single" w:sz="4" w:space="0" w:color="auto"/>
              <w:right w:val="single" w:sz="4" w:space="0" w:color="auto"/>
            </w:tcBorders>
          </w:tcPr>
          <w:p w14:paraId="5B574C49" w14:textId="452BACE6" w:rsidR="00137544" w:rsidRDefault="00137544" w:rsidP="00137544">
            <w:pPr>
              <w:pStyle w:val="SCVbody"/>
            </w:pPr>
            <w:r>
              <w:t>mcg/hr</w:t>
            </w:r>
          </w:p>
        </w:tc>
        <w:tc>
          <w:tcPr>
            <w:tcW w:w="2608" w:type="dxa"/>
            <w:tcBorders>
              <w:top w:val="single" w:sz="4" w:space="0" w:color="auto"/>
              <w:left w:val="single" w:sz="4" w:space="0" w:color="auto"/>
              <w:bottom w:val="single" w:sz="4" w:space="0" w:color="auto"/>
              <w:right w:val="single" w:sz="4" w:space="0" w:color="auto"/>
            </w:tcBorders>
          </w:tcPr>
          <w:p w14:paraId="3F16628A" w14:textId="083F4D88" w:rsidR="00137544" w:rsidRDefault="00137544" w:rsidP="00137544">
            <w:pPr>
              <w:pStyle w:val="SCVbody"/>
            </w:pPr>
            <w:r>
              <w:t>2</w:t>
            </w:r>
          </w:p>
        </w:tc>
        <w:tc>
          <w:tcPr>
            <w:tcW w:w="2608" w:type="dxa"/>
            <w:tcBorders>
              <w:top w:val="single" w:sz="4" w:space="0" w:color="auto"/>
              <w:left w:val="single" w:sz="4" w:space="0" w:color="auto"/>
              <w:bottom w:val="single" w:sz="4" w:space="0" w:color="auto"/>
              <w:right w:val="single" w:sz="4" w:space="0" w:color="auto"/>
            </w:tcBorders>
          </w:tcPr>
          <w:p w14:paraId="58CF0FB0" w14:textId="05731CBC" w:rsidR="00137544" w:rsidRDefault="00137544" w:rsidP="00137544">
            <w:pPr>
              <w:pStyle w:val="SCVbody"/>
            </w:pPr>
            <w:proofErr w:type="spellStart"/>
            <w:r>
              <w:t>Norspan</w:t>
            </w:r>
            <w:proofErr w:type="spellEnd"/>
          </w:p>
        </w:tc>
      </w:tr>
      <w:tr w:rsidR="00137544" w14:paraId="6ECA238B" w14:textId="77777777" w:rsidTr="00137544">
        <w:tc>
          <w:tcPr>
            <w:tcW w:w="2608" w:type="dxa"/>
            <w:tcBorders>
              <w:top w:val="single" w:sz="4" w:space="0" w:color="auto"/>
              <w:left w:val="single" w:sz="4" w:space="0" w:color="auto"/>
              <w:bottom w:val="single" w:sz="4" w:space="0" w:color="auto"/>
              <w:right w:val="single" w:sz="4" w:space="0" w:color="auto"/>
            </w:tcBorders>
          </w:tcPr>
          <w:p w14:paraId="66357F33" w14:textId="5D20D351" w:rsidR="00137544" w:rsidRDefault="00137544" w:rsidP="00137544">
            <w:pPr>
              <w:pStyle w:val="SCVbody"/>
            </w:pPr>
            <w:r>
              <w:t>Fentanyl</w:t>
            </w:r>
          </w:p>
        </w:tc>
        <w:tc>
          <w:tcPr>
            <w:tcW w:w="2608" w:type="dxa"/>
            <w:tcBorders>
              <w:top w:val="single" w:sz="4" w:space="0" w:color="auto"/>
              <w:left w:val="single" w:sz="4" w:space="0" w:color="auto"/>
              <w:bottom w:val="single" w:sz="4" w:space="0" w:color="auto"/>
              <w:right w:val="single" w:sz="4" w:space="0" w:color="auto"/>
            </w:tcBorders>
          </w:tcPr>
          <w:p w14:paraId="2D5DBF57" w14:textId="26D25476" w:rsidR="00137544" w:rsidRDefault="00137544" w:rsidP="00137544">
            <w:pPr>
              <w:pStyle w:val="SCVbody"/>
            </w:pPr>
            <w:r>
              <w:t>mcg/hr</w:t>
            </w:r>
          </w:p>
        </w:tc>
        <w:tc>
          <w:tcPr>
            <w:tcW w:w="2608" w:type="dxa"/>
            <w:tcBorders>
              <w:top w:val="single" w:sz="4" w:space="0" w:color="auto"/>
              <w:left w:val="single" w:sz="4" w:space="0" w:color="auto"/>
              <w:bottom w:val="single" w:sz="4" w:space="0" w:color="auto"/>
              <w:right w:val="single" w:sz="4" w:space="0" w:color="auto"/>
            </w:tcBorders>
          </w:tcPr>
          <w:p w14:paraId="00823118" w14:textId="31CFC53A" w:rsidR="00137544" w:rsidRDefault="00137544" w:rsidP="00137544">
            <w:pPr>
              <w:pStyle w:val="SCVbody"/>
            </w:pPr>
            <w:r>
              <w:t>3</w:t>
            </w:r>
          </w:p>
        </w:tc>
        <w:tc>
          <w:tcPr>
            <w:tcW w:w="2608" w:type="dxa"/>
            <w:tcBorders>
              <w:top w:val="single" w:sz="4" w:space="0" w:color="auto"/>
              <w:left w:val="single" w:sz="4" w:space="0" w:color="auto"/>
              <w:bottom w:val="single" w:sz="4" w:space="0" w:color="auto"/>
              <w:right w:val="single" w:sz="4" w:space="0" w:color="auto"/>
            </w:tcBorders>
          </w:tcPr>
          <w:p w14:paraId="1DA219F2" w14:textId="091F6D22" w:rsidR="00137544" w:rsidRDefault="00137544" w:rsidP="00137544">
            <w:pPr>
              <w:pStyle w:val="SCVbody"/>
            </w:pPr>
            <w:proofErr w:type="spellStart"/>
            <w:r>
              <w:t>Denpax</w:t>
            </w:r>
            <w:proofErr w:type="spellEnd"/>
            <w:r>
              <w:t xml:space="preserve">, </w:t>
            </w:r>
            <w:proofErr w:type="spellStart"/>
            <w:r>
              <w:t>Durogesic</w:t>
            </w:r>
            <w:proofErr w:type="spellEnd"/>
            <w:r>
              <w:t xml:space="preserve">, </w:t>
            </w:r>
            <w:proofErr w:type="spellStart"/>
            <w:r>
              <w:t>Dutran</w:t>
            </w:r>
            <w:proofErr w:type="spellEnd"/>
            <w:r>
              <w:t xml:space="preserve">, </w:t>
            </w:r>
            <w:proofErr w:type="spellStart"/>
            <w:r>
              <w:t>Fenpatch</w:t>
            </w:r>
            <w:proofErr w:type="spellEnd"/>
            <w:r>
              <w:t>, Fentanyl Sandoz</w:t>
            </w:r>
          </w:p>
        </w:tc>
      </w:tr>
      <w:tr w:rsidR="00137544" w14:paraId="00120E2B" w14:textId="77777777" w:rsidTr="00137544">
        <w:tc>
          <w:tcPr>
            <w:tcW w:w="10432" w:type="dxa"/>
            <w:gridSpan w:val="4"/>
            <w:tcBorders>
              <w:top w:val="single" w:sz="4" w:space="0" w:color="auto"/>
              <w:left w:val="single" w:sz="4" w:space="0" w:color="auto"/>
              <w:bottom w:val="single" w:sz="4" w:space="0" w:color="auto"/>
              <w:right w:val="single" w:sz="4" w:space="0" w:color="auto"/>
            </w:tcBorders>
            <w:shd w:val="clear" w:color="auto" w:fill="5AB9EB" w:themeFill="accent3"/>
          </w:tcPr>
          <w:p w14:paraId="2033D8D4" w14:textId="70784A85" w:rsidR="00137544" w:rsidRPr="00137544" w:rsidRDefault="00137544" w:rsidP="00137544">
            <w:pPr>
              <w:pStyle w:val="SCVbody"/>
              <w:rPr>
                <w:b/>
                <w:bCs/>
              </w:rPr>
            </w:pPr>
            <w:r w:rsidRPr="00137544">
              <w:rPr>
                <w:b/>
                <w:bCs/>
              </w:rPr>
              <w:t>PARENTERAL PREPARATIONS</w:t>
            </w:r>
          </w:p>
        </w:tc>
      </w:tr>
      <w:tr w:rsidR="00137544" w14:paraId="4A26F36D" w14:textId="77777777" w:rsidTr="00137544">
        <w:tc>
          <w:tcPr>
            <w:tcW w:w="2608" w:type="dxa"/>
            <w:tcBorders>
              <w:top w:val="single" w:sz="4" w:space="0" w:color="auto"/>
              <w:left w:val="single" w:sz="4" w:space="0" w:color="auto"/>
              <w:bottom w:val="single" w:sz="4" w:space="0" w:color="auto"/>
              <w:right w:val="single" w:sz="4" w:space="0" w:color="auto"/>
            </w:tcBorders>
          </w:tcPr>
          <w:p w14:paraId="509BC5D1" w14:textId="72DE31FF" w:rsidR="00137544" w:rsidRDefault="00137544" w:rsidP="00137544">
            <w:pPr>
              <w:pStyle w:val="SCVbody"/>
            </w:pPr>
            <w:r>
              <w:t>Morphine</w:t>
            </w:r>
          </w:p>
        </w:tc>
        <w:tc>
          <w:tcPr>
            <w:tcW w:w="2608" w:type="dxa"/>
            <w:tcBorders>
              <w:top w:val="single" w:sz="4" w:space="0" w:color="auto"/>
              <w:left w:val="single" w:sz="4" w:space="0" w:color="auto"/>
              <w:bottom w:val="single" w:sz="4" w:space="0" w:color="auto"/>
              <w:right w:val="single" w:sz="4" w:space="0" w:color="auto"/>
            </w:tcBorders>
          </w:tcPr>
          <w:p w14:paraId="0300B739" w14:textId="36AAEA3E"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4D81C672" w14:textId="4EF37242" w:rsidR="00137544" w:rsidRDefault="00137544" w:rsidP="00137544">
            <w:pPr>
              <w:pStyle w:val="SCVbody"/>
            </w:pPr>
            <w:r>
              <w:t>3</w:t>
            </w:r>
          </w:p>
        </w:tc>
        <w:tc>
          <w:tcPr>
            <w:tcW w:w="2608" w:type="dxa"/>
            <w:tcBorders>
              <w:top w:val="single" w:sz="4" w:space="0" w:color="auto"/>
              <w:left w:val="single" w:sz="4" w:space="0" w:color="auto"/>
              <w:bottom w:val="single" w:sz="4" w:space="0" w:color="auto"/>
              <w:right w:val="single" w:sz="4" w:space="0" w:color="auto"/>
            </w:tcBorders>
          </w:tcPr>
          <w:p w14:paraId="06A6DADD" w14:textId="50FFC639" w:rsidR="00137544" w:rsidRDefault="00137544" w:rsidP="00137544">
            <w:pPr>
              <w:pStyle w:val="SCVbody"/>
            </w:pPr>
            <w:r>
              <w:t>DBL morphine sulphate injection, DBL morphine tartrate injection</w:t>
            </w:r>
          </w:p>
        </w:tc>
      </w:tr>
      <w:tr w:rsidR="00137544" w14:paraId="3A6C7A8A" w14:textId="77777777" w:rsidTr="00137544">
        <w:tc>
          <w:tcPr>
            <w:tcW w:w="2608" w:type="dxa"/>
            <w:tcBorders>
              <w:top w:val="single" w:sz="4" w:space="0" w:color="auto"/>
              <w:left w:val="single" w:sz="4" w:space="0" w:color="auto"/>
              <w:bottom w:val="single" w:sz="4" w:space="0" w:color="auto"/>
              <w:right w:val="single" w:sz="4" w:space="0" w:color="auto"/>
            </w:tcBorders>
          </w:tcPr>
          <w:p w14:paraId="20F63CB7" w14:textId="37D9C028" w:rsidR="00137544" w:rsidRDefault="00137544" w:rsidP="00137544">
            <w:pPr>
              <w:pStyle w:val="SCVbody"/>
            </w:pPr>
            <w:r>
              <w:t>Oxycodone</w:t>
            </w:r>
          </w:p>
        </w:tc>
        <w:tc>
          <w:tcPr>
            <w:tcW w:w="2608" w:type="dxa"/>
            <w:tcBorders>
              <w:top w:val="single" w:sz="4" w:space="0" w:color="auto"/>
              <w:left w:val="single" w:sz="4" w:space="0" w:color="auto"/>
              <w:bottom w:val="single" w:sz="4" w:space="0" w:color="auto"/>
              <w:right w:val="single" w:sz="4" w:space="0" w:color="auto"/>
            </w:tcBorders>
          </w:tcPr>
          <w:p w14:paraId="2183F014" w14:textId="3A95CAFD"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5D9E0090" w14:textId="6E56DA54" w:rsidR="00137544" w:rsidRDefault="00137544" w:rsidP="00137544">
            <w:pPr>
              <w:pStyle w:val="SCVbody"/>
            </w:pPr>
            <w:r>
              <w:t>3</w:t>
            </w:r>
          </w:p>
        </w:tc>
        <w:tc>
          <w:tcPr>
            <w:tcW w:w="2608" w:type="dxa"/>
            <w:tcBorders>
              <w:top w:val="single" w:sz="4" w:space="0" w:color="auto"/>
              <w:left w:val="single" w:sz="4" w:space="0" w:color="auto"/>
              <w:bottom w:val="single" w:sz="4" w:space="0" w:color="auto"/>
              <w:right w:val="single" w:sz="4" w:space="0" w:color="auto"/>
            </w:tcBorders>
          </w:tcPr>
          <w:p w14:paraId="1188713A" w14:textId="5B0513FD" w:rsidR="00137544" w:rsidRDefault="00137544" w:rsidP="00137544">
            <w:pPr>
              <w:pStyle w:val="SCVbody"/>
            </w:pPr>
            <w:proofErr w:type="spellStart"/>
            <w:r>
              <w:t>OxyNorm</w:t>
            </w:r>
            <w:proofErr w:type="spellEnd"/>
            <w:r>
              <w:t xml:space="preserve"> FI</w:t>
            </w:r>
          </w:p>
        </w:tc>
      </w:tr>
      <w:tr w:rsidR="00137544" w14:paraId="766D47A3" w14:textId="77777777" w:rsidTr="00137544">
        <w:tc>
          <w:tcPr>
            <w:tcW w:w="2608" w:type="dxa"/>
            <w:tcBorders>
              <w:top w:val="single" w:sz="4" w:space="0" w:color="auto"/>
              <w:left w:val="single" w:sz="4" w:space="0" w:color="auto"/>
              <w:bottom w:val="single" w:sz="4" w:space="0" w:color="auto"/>
              <w:right w:val="single" w:sz="4" w:space="0" w:color="auto"/>
            </w:tcBorders>
          </w:tcPr>
          <w:p w14:paraId="2AFBA20C" w14:textId="11A17F7F" w:rsidR="00137544" w:rsidRDefault="00137544" w:rsidP="00137544">
            <w:pPr>
              <w:pStyle w:val="SCVbody"/>
            </w:pPr>
            <w:r>
              <w:t>Hydromorphone</w:t>
            </w:r>
          </w:p>
        </w:tc>
        <w:tc>
          <w:tcPr>
            <w:tcW w:w="2608" w:type="dxa"/>
            <w:tcBorders>
              <w:top w:val="single" w:sz="4" w:space="0" w:color="auto"/>
              <w:left w:val="single" w:sz="4" w:space="0" w:color="auto"/>
              <w:bottom w:val="single" w:sz="4" w:space="0" w:color="auto"/>
              <w:right w:val="single" w:sz="4" w:space="0" w:color="auto"/>
            </w:tcBorders>
          </w:tcPr>
          <w:p w14:paraId="12848153" w14:textId="2DEE5EE7" w:rsidR="00137544" w:rsidRDefault="00137544" w:rsidP="00137544">
            <w:pPr>
              <w:pStyle w:val="SCVbody"/>
            </w:pPr>
            <w:r>
              <w:t>mg/day</w:t>
            </w:r>
          </w:p>
        </w:tc>
        <w:tc>
          <w:tcPr>
            <w:tcW w:w="2608" w:type="dxa"/>
            <w:tcBorders>
              <w:top w:val="single" w:sz="4" w:space="0" w:color="auto"/>
              <w:left w:val="single" w:sz="4" w:space="0" w:color="auto"/>
              <w:bottom w:val="single" w:sz="4" w:space="0" w:color="auto"/>
              <w:right w:val="single" w:sz="4" w:space="0" w:color="auto"/>
            </w:tcBorders>
          </w:tcPr>
          <w:p w14:paraId="00621443" w14:textId="55E9B063" w:rsidR="00137544" w:rsidRDefault="00137544" w:rsidP="00137544">
            <w:pPr>
              <w:pStyle w:val="SCVbody"/>
            </w:pPr>
            <w:r>
              <w:t>15</w:t>
            </w:r>
          </w:p>
        </w:tc>
        <w:tc>
          <w:tcPr>
            <w:tcW w:w="2608" w:type="dxa"/>
            <w:tcBorders>
              <w:top w:val="single" w:sz="4" w:space="0" w:color="auto"/>
              <w:left w:val="single" w:sz="4" w:space="0" w:color="auto"/>
              <w:bottom w:val="single" w:sz="4" w:space="0" w:color="auto"/>
              <w:right w:val="single" w:sz="4" w:space="0" w:color="auto"/>
            </w:tcBorders>
          </w:tcPr>
          <w:p w14:paraId="4DB01047" w14:textId="68F3572C" w:rsidR="00137544" w:rsidRDefault="00137544" w:rsidP="00137544">
            <w:pPr>
              <w:pStyle w:val="SCVbody"/>
            </w:pPr>
            <w:proofErr w:type="spellStart"/>
            <w:r>
              <w:t>Dilaudid</w:t>
            </w:r>
            <w:proofErr w:type="spellEnd"/>
            <w:r>
              <w:t xml:space="preserve"> FI, </w:t>
            </w:r>
            <w:proofErr w:type="spellStart"/>
            <w:r>
              <w:t>Dilaudid</w:t>
            </w:r>
            <w:proofErr w:type="spellEnd"/>
            <w:r>
              <w:t>-HP FI</w:t>
            </w:r>
          </w:p>
        </w:tc>
      </w:tr>
      <w:tr w:rsidR="00137544" w14:paraId="629D044E" w14:textId="77777777" w:rsidTr="00137544">
        <w:tc>
          <w:tcPr>
            <w:tcW w:w="2608" w:type="dxa"/>
            <w:tcBorders>
              <w:top w:val="single" w:sz="4" w:space="0" w:color="auto"/>
              <w:left w:val="single" w:sz="4" w:space="0" w:color="auto"/>
              <w:bottom w:val="single" w:sz="4" w:space="0" w:color="auto"/>
              <w:right w:val="single" w:sz="4" w:space="0" w:color="auto"/>
            </w:tcBorders>
          </w:tcPr>
          <w:p w14:paraId="0244A9AB" w14:textId="2263183F" w:rsidR="00137544" w:rsidRDefault="00137544" w:rsidP="00137544">
            <w:pPr>
              <w:pStyle w:val="SCVbody"/>
            </w:pPr>
            <w:r>
              <w:t>Fentanyl</w:t>
            </w:r>
          </w:p>
        </w:tc>
        <w:tc>
          <w:tcPr>
            <w:tcW w:w="2608" w:type="dxa"/>
            <w:tcBorders>
              <w:top w:val="single" w:sz="4" w:space="0" w:color="auto"/>
              <w:left w:val="single" w:sz="4" w:space="0" w:color="auto"/>
              <w:bottom w:val="single" w:sz="4" w:space="0" w:color="auto"/>
              <w:right w:val="single" w:sz="4" w:space="0" w:color="auto"/>
            </w:tcBorders>
          </w:tcPr>
          <w:p w14:paraId="1F2DC962" w14:textId="23EE9B0A" w:rsidR="00137544" w:rsidRDefault="00137544" w:rsidP="00137544">
            <w:pPr>
              <w:pStyle w:val="SCVbody"/>
            </w:pPr>
            <w:r>
              <w:t>mcg/day</w:t>
            </w:r>
          </w:p>
        </w:tc>
        <w:tc>
          <w:tcPr>
            <w:tcW w:w="2608" w:type="dxa"/>
            <w:tcBorders>
              <w:top w:val="single" w:sz="4" w:space="0" w:color="auto"/>
              <w:left w:val="single" w:sz="4" w:space="0" w:color="auto"/>
              <w:bottom w:val="single" w:sz="4" w:space="0" w:color="auto"/>
              <w:right w:val="single" w:sz="4" w:space="0" w:color="auto"/>
            </w:tcBorders>
          </w:tcPr>
          <w:p w14:paraId="3A937A4A" w14:textId="5C2D6EF3" w:rsidR="00137544" w:rsidRDefault="00137544" w:rsidP="00137544">
            <w:pPr>
              <w:pStyle w:val="SCVbody"/>
            </w:pPr>
            <w:r>
              <w:t>0.2</w:t>
            </w:r>
          </w:p>
        </w:tc>
        <w:tc>
          <w:tcPr>
            <w:tcW w:w="2608" w:type="dxa"/>
            <w:tcBorders>
              <w:top w:val="single" w:sz="4" w:space="0" w:color="auto"/>
              <w:left w:val="single" w:sz="4" w:space="0" w:color="auto"/>
              <w:bottom w:val="single" w:sz="4" w:space="0" w:color="auto"/>
              <w:right w:val="single" w:sz="4" w:space="0" w:color="auto"/>
            </w:tcBorders>
          </w:tcPr>
          <w:p w14:paraId="46C73084" w14:textId="3839E73E" w:rsidR="00137544" w:rsidRDefault="00137544" w:rsidP="00137544">
            <w:pPr>
              <w:pStyle w:val="SCVbody"/>
            </w:pPr>
            <w:r>
              <w:t xml:space="preserve">DBL fentanyl injection, </w:t>
            </w:r>
            <w:proofErr w:type="spellStart"/>
            <w:r>
              <w:t>Sublimaze</w:t>
            </w:r>
            <w:proofErr w:type="spellEnd"/>
          </w:p>
        </w:tc>
      </w:tr>
    </w:tbl>
    <w:p w14:paraId="78154CAF" w14:textId="324C603C" w:rsidR="00F6240F" w:rsidRDefault="00137544" w:rsidP="00874E2F">
      <w:pPr>
        <w:pStyle w:val="SCVbody"/>
      </w:pPr>
      <w:r>
        <w:t>*Adapted from Faculty of Pain Medicine, ANZCA – June 2021</w:t>
      </w:r>
    </w:p>
    <w:p w14:paraId="681E95A0" w14:textId="77777777" w:rsidR="003C3FAA" w:rsidRPr="003C3FAA" w:rsidRDefault="003C3FAA" w:rsidP="003C3FAA">
      <w:pPr>
        <w:pStyle w:val="SCVbody"/>
      </w:pPr>
      <w:r w:rsidRPr="003C3FAA">
        <w:t xml:space="preserve">This opioid dose equivalence table is intended for comparison of different opioid and opioid formulations in individual patients or in patient cohorts. Caution is required if opioid dose equivalence tables are used to guide opioid switching, as the administration of a calculated ‘equivalent’ dose of the replacement opioid may lead to overdosage. It should be noted that there is considerable variability in pharmacokinetics and pharmacodynamics of the different opioids, within </w:t>
      </w:r>
      <w:r w:rsidRPr="003C3FAA">
        <w:lastRenderedPageBreak/>
        <w:t xml:space="preserve">and between individual patients. In </w:t>
      </w:r>
      <w:proofErr w:type="gramStart"/>
      <w:r w:rsidRPr="003C3FAA">
        <w:t>addition</w:t>
      </w:r>
      <w:proofErr w:type="gramEnd"/>
      <w:r w:rsidRPr="003C3FAA">
        <w:t xml:space="preserve"> interactions with non-opioid drugs can strongly influence opioid pharmacokinetics. Modified-release formulations can be sub-classified as delayed- or extended- release. Extended release of a drug can be achieved using sustained- or controlled-release delivery systems. When the opioid regimen includes modified- and immediate-release preparations, both should be included in calculation of the </w:t>
      </w:r>
      <w:proofErr w:type="spellStart"/>
      <w:r w:rsidRPr="003C3FAA">
        <w:t>oMEDD</w:t>
      </w:r>
      <w:proofErr w:type="spellEnd"/>
      <w:r w:rsidRPr="003C3FAA">
        <w:t>.</w:t>
      </w:r>
    </w:p>
    <w:p w14:paraId="134F07C0" w14:textId="77777777" w:rsidR="003C3FAA" w:rsidRPr="00874E2F" w:rsidRDefault="003C3FAA" w:rsidP="00874E2F">
      <w:pPr>
        <w:pStyle w:val="SCVbody"/>
      </w:pPr>
    </w:p>
    <w:p w14:paraId="71AD1603" w14:textId="77777777" w:rsidR="00FB464E" w:rsidRPr="00FB464E" w:rsidRDefault="00FB464E" w:rsidP="00FB464E">
      <w:pPr>
        <w:pStyle w:val="SCVbody"/>
      </w:pPr>
    </w:p>
    <w:p w14:paraId="7E2C4411" w14:textId="3B0419FE" w:rsidR="00B214D7" w:rsidRPr="00B214D7" w:rsidRDefault="00B214D7" w:rsidP="00B214D7">
      <w:pPr>
        <w:pStyle w:val="SCVbody"/>
        <w:rPr>
          <w:rFonts w:ascii="ArialMT" w:hAnsi="ArialMT" w:cs="ArialMT"/>
          <w:color w:val="0000FF"/>
          <w:sz w:val="22"/>
          <w:szCs w:val="22"/>
          <w:highlight w:val="yellow"/>
        </w:rPr>
      </w:pPr>
    </w:p>
    <w:p w14:paraId="1BC03DA2" w14:textId="0E20FC19" w:rsidR="00B214D7" w:rsidRPr="00B214D7" w:rsidRDefault="00B214D7" w:rsidP="00B214D7">
      <w:pPr>
        <w:pStyle w:val="SCVbody"/>
        <w:rPr>
          <w:highlight w:val="yellow"/>
        </w:rPr>
      </w:pPr>
    </w:p>
    <w:sectPr w:rsidR="00B214D7" w:rsidRPr="00B214D7" w:rsidSect="00C15DBE">
      <w:headerReference w:type="even" r:id="rId21"/>
      <w:headerReference w:type="default" r:id="rId22"/>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3448" w14:textId="77777777" w:rsidR="008D1319" w:rsidRDefault="008D1319" w:rsidP="002D711A">
      <w:pPr>
        <w:spacing w:after="0" w:line="240" w:lineRule="auto"/>
      </w:pPr>
      <w:r>
        <w:separator/>
      </w:r>
    </w:p>
  </w:endnote>
  <w:endnote w:type="continuationSeparator" w:id="0">
    <w:p w14:paraId="2EF09E3B" w14:textId="77777777" w:rsidR="008D1319" w:rsidRDefault="008D1319" w:rsidP="002D711A">
      <w:pPr>
        <w:spacing w:after="0" w:line="240" w:lineRule="auto"/>
      </w:pPr>
      <w:r>
        <w:continuationSeparator/>
      </w:r>
    </w:p>
  </w:endnote>
  <w:endnote w:type="continuationNotice" w:id="1">
    <w:p w14:paraId="08D40C82" w14:textId="77777777" w:rsidR="008D1319" w:rsidRDefault="008D13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DE12" w14:textId="77777777" w:rsidR="00385D03" w:rsidRDefault="00385D03">
    <w:pPr>
      <w:pStyle w:val="Footer"/>
    </w:pPr>
    <w:r>
      <mc:AlternateContent>
        <mc:Choice Requires="wps">
          <w:drawing>
            <wp:anchor distT="0" distB="0" distL="114300" distR="114300" simplePos="0" relativeHeight="251656192" behindDoc="0" locked="0" layoutInCell="0" allowOverlap="1" wp14:anchorId="2B8FFB81" wp14:editId="4DB0572F">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7B3B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FFB81"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19C7B3B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E003" w14:textId="57E75E8A" w:rsidR="00385D03" w:rsidRPr="006B337A" w:rsidRDefault="00CD27BE" w:rsidP="00C15DBE">
    <w:pPr>
      <w:pStyle w:val="SCVfooter"/>
      <w:jc w:val="right"/>
    </w:pPr>
    <w:r>
      <mc:AlternateContent>
        <mc:Choice Requires="wps">
          <w:drawing>
            <wp:anchor distT="0" distB="0" distL="114300" distR="114300" simplePos="0" relativeHeight="251658240" behindDoc="0" locked="0" layoutInCell="0" allowOverlap="1" wp14:anchorId="010D7F51" wp14:editId="7DDA06B6">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3344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0D7F51"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B9gkrqwCAABMBQAADgAAAAAA&#10;AAAAAAAAAAAuAgAAZHJzL2Uyb0RvYy54bWxQSwECLQAUAAYACAAAACEASA1emt8AAAALAQAADwAA&#10;AAAAAAAAAAAAAAAGBQAAZHJzL2Rvd25yZXYueG1sUEsFBgAAAAAEAAQA8wAAABIGAAAAAA==&#10;" o:allowincell="f" filled="f" stroked="f" strokeweight=".5pt">
              <v:textbox inset=",0,,0">
                <w:txbxContent>
                  <w:p w14:paraId="5133344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fldSimple w:instr=" STYLEREF  &quot;SCV factsheet title&quot;  \* MERGEFORMAT ">
      <w:r w:rsidR="008356B8">
        <w:t>*Adapted from Alfred Health</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02B4" w14:textId="77777777" w:rsidR="00E72C93" w:rsidRDefault="00E7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ED7F" w14:textId="77777777" w:rsidR="008D1319" w:rsidRDefault="008D1319" w:rsidP="00E33E08">
      <w:pPr>
        <w:spacing w:before="0" w:after="0" w:line="240" w:lineRule="auto"/>
      </w:pPr>
    </w:p>
  </w:footnote>
  <w:footnote w:type="continuationSeparator" w:id="0">
    <w:p w14:paraId="0CAE57B5" w14:textId="77777777" w:rsidR="008D1319" w:rsidRDefault="008D1319" w:rsidP="00E33E08">
      <w:pPr>
        <w:spacing w:before="0" w:after="0" w:line="240" w:lineRule="auto"/>
      </w:pPr>
    </w:p>
  </w:footnote>
  <w:footnote w:type="continuationNotice" w:id="1">
    <w:p w14:paraId="7683B906" w14:textId="77777777" w:rsidR="008D1319" w:rsidRDefault="008D13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95E3" w14:textId="77777777" w:rsidR="00E72C93" w:rsidRDefault="00E72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A637" w14:textId="77777777" w:rsidR="00385D03" w:rsidRDefault="00385D03">
    <w:pPr>
      <w:pStyle w:val="Header"/>
    </w:pPr>
    <w:r>
      <w:rPr>
        <w:noProof/>
      </w:rPr>
      <w:drawing>
        <wp:anchor distT="0" distB="0" distL="114300" distR="114300" simplePos="0" relativeHeight="251657216" behindDoc="1" locked="1" layoutInCell="1" allowOverlap="1" wp14:anchorId="2D5F4981" wp14:editId="3B93AE3C">
          <wp:simplePos x="0" y="0"/>
          <wp:positionH relativeFrom="page">
            <wp:align>left</wp:align>
          </wp:positionH>
          <wp:positionV relativeFrom="page">
            <wp:align>top</wp:align>
          </wp:positionV>
          <wp:extent cx="1522800" cy="1206000"/>
          <wp:effectExtent l="0" t="0" r="1270" b="0"/>
          <wp:wrapNone/>
          <wp:docPr id="5" name="Picture 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BA1B" w14:textId="77777777" w:rsidR="00E72C93" w:rsidRDefault="00E72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DCB6"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C3AF" w14:textId="29943256"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ED9"/>
    <w:multiLevelType w:val="hybridMultilevel"/>
    <w:tmpl w:val="AF9A53F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8043F34"/>
    <w:multiLevelType w:val="singleLevel"/>
    <w:tmpl w:val="08090001"/>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660745A"/>
    <w:multiLevelType w:val="hybridMultilevel"/>
    <w:tmpl w:val="F0F8E1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E0B5461"/>
    <w:multiLevelType w:val="hybridMultilevel"/>
    <w:tmpl w:val="8208D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C8A704E"/>
    <w:multiLevelType w:val="hybridMultilevel"/>
    <w:tmpl w:val="786074BC"/>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030833664">
    <w:abstractNumId w:val="10"/>
  </w:num>
  <w:num w:numId="2" w16cid:durableId="894395187">
    <w:abstractNumId w:val="5"/>
  </w:num>
  <w:num w:numId="3" w16cid:durableId="1063528517">
    <w:abstractNumId w:val="11"/>
  </w:num>
  <w:num w:numId="4" w16cid:durableId="452863792">
    <w:abstractNumId w:val="8"/>
  </w:num>
  <w:num w:numId="5" w16cid:durableId="1549534967">
    <w:abstractNumId w:val="6"/>
  </w:num>
  <w:num w:numId="6" w16cid:durableId="1141387056">
    <w:abstractNumId w:val="12"/>
  </w:num>
  <w:num w:numId="7" w16cid:durableId="735320329">
    <w:abstractNumId w:val="2"/>
  </w:num>
  <w:num w:numId="8" w16cid:durableId="271668416">
    <w:abstractNumId w:val="1"/>
  </w:num>
  <w:num w:numId="9" w16cid:durableId="1358696657">
    <w:abstractNumId w:val="9"/>
  </w:num>
  <w:num w:numId="10" w16cid:durableId="2073692176">
    <w:abstractNumId w:val="0"/>
  </w:num>
  <w:num w:numId="11" w16cid:durableId="1461145970">
    <w:abstractNumId w:val="7"/>
  </w:num>
  <w:num w:numId="12" w16cid:durableId="15399305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D7"/>
    <w:rsid w:val="00002ADD"/>
    <w:rsid w:val="00012F6F"/>
    <w:rsid w:val="00014213"/>
    <w:rsid w:val="00014B55"/>
    <w:rsid w:val="00020E3E"/>
    <w:rsid w:val="0002328B"/>
    <w:rsid w:val="00023BC3"/>
    <w:rsid w:val="00023BF3"/>
    <w:rsid w:val="00024184"/>
    <w:rsid w:val="00026811"/>
    <w:rsid w:val="0002711D"/>
    <w:rsid w:val="0004185E"/>
    <w:rsid w:val="0004698F"/>
    <w:rsid w:val="000477DC"/>
    <w:rsid w:val="00056988"/>
    <w:rsid w:val="00056B5C"/>
    <w:rsid w:val="00072279"/>
    <w:rsid w:val="00075895"/>
    <w:rsid w:val="00075E6C"/>
    <w:rsid w:val="00081C12"/>
    <w:rsid w:val="00087D42"/>
    <w:rsid w:val="000A2620"/>
    <w:rsid w:val="000A351F"/>
    <w:rsid w:val="000B29AD"/>
    <w:rsid w:val="000B75C7"/>
    <w:rsid w:val="000C6372"/>
    <w:rsid w:val="000D1042"/>
    <w:rsid w:val="000D7841"/>
    <w:rsid w:val="000E392D"/>
    <w:rsid w:val="000E39B6"/>
    <w:rsid w:val="000E3D05"/>
    <w:rsid w:val="000E6A07"/>
    <w:rsid w:val="000F4288"/>
    <w:rsid w:val="000F7165"/>
    <w:rsid w:val="00100361"/>
    <w:rsid w:val="00102379"/>
    <w:rsid w:val="00103722"/>
    <w:rsid w:val="00105EB8"/>
    <w:rsid w:val="001065D6"/>
    <w:rsid w:val="001068D5"/>
    <w:rsid w:val="00106C48"/>
    <w:rsid w:val="00114A51"/>
    <w:rsid w:val="00121252"/>
    <w:rsid w:val="00124609"/>
    <w:rsid w:val="001254CE"/>
    <w:rsid w:val="00126050"/>
    <w:rsid w:val="00127878"/>
    <w:rsid w:val="00137544"/>
    <w:rsid w:val="0013759D"/>
    <w:rsid w:val="001422CC"/>
    <w:rsid w:val="00142CC3"/>
    <w:rsid w:val="00145346"/>
    <w:rsid w:val="00150333"/>
    <w:rsid w:val="001617B6"/>
    <w:rsid w:val="00165E66"/>
    <w:rsid w:val="00174F38"/>
    <w:rsid w:val="00175250"/>
    <w:rsid w:val="001834D3"/>
    <w:rsid w:val="001849FD"/>
    <w:rsid w:val="0019351B"/>
    <w:rsid w:val="00194B79"/>
    <w:rsid w:val="00196143"/>
    <w:rsid w:val="001A24FC"/>
    <w:rsid w:val="001A773B"/>
    <w:rsid w:val="001C4E0F"/>
    <w:rsid w:val="001C7BAE"/>
    <w:rsid w:val="001E31FA"/>
    <w:rsid w:val="001E48F9"/>
    <w:rsid w:val="001E64F6"/>
    <w:rsid w:val="001E7AEB"/>
    <w:rsid w:val="001F014F"/>
    <w:rsid w:val="00204B82"/>
    <w:rsid w:val="00205C68"/>
    <w:rsid w:val="0020709D"/>
    <w:rsid w:val="00222BEB"/>
    <w:rsid w:val="00223217"/>
    <w:rsid w:val="00225E60"/>
    <w:rsid w:val="00230BBB"/>
    <w:rsid w:val="0023202C"/>
    <w:rsid w:val="00234253"/>
    <w:rsid w:val="00234619"/>
    <w:rsid w:val="002400A4"/>
    <w:rsid w:val="0024092B"/>
    <w:rsid w:val="00245043"/>
    <w:rsid w:val="00247E63"/>
    <w:rsid w:val="0025186E"/>
    <w:rsid w:val="0025578B"/>
    <w:rsid w:val="00256904"/>
    <w:rsid w:val="002570BD"/>
    <w:rsid w:val="0026028E"/>
    <w:rsid w:val="00265DFE"/>
    <w:rsid w:val="00267D39"/>
    <w:rsid w:val="00272965"/>
    <w:rsid w:val="00272EC4"/>
    <w:rsid w:val="00276717"/>
    <w:rsid w:val="00282118"/>
    <w:rsid w:val="00284FA2"/>
    <w:rsid w:val="00286657"/>
    <w:rsid w:val="00292D36"/>
    <w:rsid w:val="00294A5A"/>
    <w:rsid w:val="00297281"/>
    <w:rsid w:val="002975A4"/>
    <w:rsid w:val="00297A47"/>
    <w:rsid w:val="002A4AD5"/>
    <w:rsid w:val="002A5891"/>
    <w:rsid w:val="002A6877"/>
    <w:rsid w:val="002B03F1"/>
    <w:rsid w:val="002B3CAC"/>
    <w:rsid w:val="002B5E2B"/>
    <w:rsid w:val="002B6DAA"/>
    <w:rsid w:val="002C462C"/>
    <w:rsid w:val="002D19EA"/>
    <w:rsid w:val="002D6F3C"/>
    <w:rsid w:val="002D70F7"/>
    <w:rsid w:val="002D711A"/>
    <w:rsid w:val="002D7336"/>
    <w:rsid w:val="002E015B"/>
    <w:rsid w:val="002E3396"/>
    <w:rsid w:val="002E4282"/>
    <w:rsid w:val="002F1547"/>
    <w:rsid w:val="002F2953"/>
    <w:rsid w:val="002F4173"/>
    <w:rsid w:val="002F7ADE"/>
    <w:rsid w:val="00303E66"/>
    <w:rsid w:val="00306961"/>
    <w:rsid w:val="0031149C"/>
    <w:rsid w:val="00315B8F"/>
    <w:rsid w:val="00315C5D"/>
    <w:rsid w:val="00316FC9"/>
    <w:rsid w:val="00325E21"/>
    <w:rsid w:val="00326CD1"/>
    <w:rsid w:val="0033301B"/>
    <w:rsid w:val="00333447"/>
    <w:rsid w:val="00345B45"/>
    <w:rsid w:val="00345F0B"/>
    <w:rsid w:val="00350441"/>
    <w:rsid w:val="00354D98"/>
    <w:rsid w:val="00366089"/>
    <w:rsid w:val="00366AA5"/>
    <w:rsid w:val="0036778F"/>
    <w:rsid w:val="00385222"/>
    <w:rsid w:val="00385D03"/>
    <w:rsid w:val="0038771C"/>
    <w:rsid w:val="00391AD7"/>
    <w:rsid w:val="003A430B"/>
    <w:rsid w:val="003A541A"/>
    <w:rsid w:val="003A600B"/>
    <w:rsid w:val="003A6923"/>
    <w:rsid w:val="003A707D"/>
    <w:rsid w:val="003C2C67"/>
    <w:rsid w:val="003C2D4C"/>
    <w:rsid w:val="003C3B3A"/>
    <w:rsid w:val="003C3FAA"/>
    <w:rsid w:val="003C5BA4"/>
    <w:rsid w:val="003C5C0B"/>
    <w:rsid w:val="003C74F3"/>
    <w:rsid w:val="003E02EC"/>
    <w:rsid w:val="003E3E26"/>
    <w:rsid w:val="003F1295"/>
    <w:rsid w:val="003F5102"/>
    <w:rsid w:val="003F76FC"/>
    <w:rsid w:val="004002EB"/>
    <w:rsid w:val="004054A5"/>
    <w:rsid w:val="00407A79"/>
    <w:rsid w:val="004108A6"/>
    <w:rsid w:val="00422DDC"/>
    <w:rsid w:val="004231B5"/>
    <w:rsid w:val="004236C8"/>
    <w:rsid w:val="00427681"/>
    <w:rsid w:val="00433DB7"/>
    <w:rsid w:val="0043696B"/>
    <w:rsid w:val="00441E0F"/>
    <w:rsid w:val="00453750"/>
    <w:rsid w:val="004551F5"/>
    <w:rsid w:val="00456941"/>
    <w:rsid w:val="00463C5A"/>
    <w:rsid w:val="004702EA"/>
    <w:rsid w:val="004777DB"/>
    <w:rsid w:val="0048259C"/>
    <w:rsid w:val="00482D02"/>
    <w:rsid w:val="00484326"/>
    <w:rsid w:val="00490369"/>
    <w:rsid w:val="00492EF6"/>
    <w:rsid w:val="00497EB0"/>
    <w:rsid w:val="004A7519"/>
    <w:rsid w:val="004B64B1"/>
    <w:rsid w:val="004C61C2"/>
    <w:rsid w:val="004D01AC"/>
    <w:rsid w:val="004D0F21"/>
    <w:rsid w:val="004D3518"/>
    <w:rsid w:val="004D62D6"/>
    <w:rsid w:val="004D6898"/>
    <w:rsid w:val="004D7778"/>
    <w:rsid w:val="004E0327"/>
    <w:rsid w:val="004E1761"/>
    <w:rsid w:val="004F2019"/>
    <w:rsid w:val="004F3F4E"/>
    <w:rsid w:val="00501DA9"/>
    <w:rsid w:val="00502A19"/>
    <w:rsid w:val="00503956"/>
    <w:rsid w:val="00505EDA"/>
    <w:rsid w:val="005079B2"/>
    <w:rsid w:val="00510167"/>
    <w:rsid w:val="00511E12"/>
    <w:rsid w:val="00513E86"/>
    <w:rsid w:val="00515958"/>
    <w:rsid w:val="00521CA5"/>
    <w:rsid w:val="00523E77"/>
    <w:rsid w:val="005248BA"/>
    <w:rsid w:val="00525121"/>
    <w:rsid w:val="0052674B"/>
    <w:rsid w:val="005306A2"/>
    <w:rsid w:val="00533CD3"/>
    <w:rsid w:val="0053416C"/>
    <w:rsid w:val="00541444"/>
    <w:rsid w:val="005416D7"/>
    <w:rsid w:val="00541C2F"/>
    <w:rsid w:val="00544E17"/>
    <w:rsid w:val="005450D9"/>
    <w:rsid w:val="00547A71"/>
    <w:rsid w:val="00552DE4"/>
    <w:rsid w:val="005619BB"/>
    <w:rsid w:val="00563527"/>
    <w:rsid w:val="0057035E"/>
    <w:rsid w:val="0057407A"/>
    <w:rsid w:val="0057473A"/>
    <w:rsid w:val="00576382"/>
    <w:rsid w:val="0058124E"/>
    <w:rsid w:val="005848A5"/>
    <w:rsid w:val="005875A3"/>
    <w:rsid w:val="00593A04"/>
    <w:rsid w:val="005953EA"/>
    <w:rsid w:val="005A3416"/>
    <w:rsid w:val="005A5F31"/>
    <w:rsid w:val="005B27FE"/>
    <w:rsid w:val="005B5063"/>
    <w:rsid w:val="005B76DF"/>
    <w:rsid w:val="005B79CB"/>
    <w:rsid w:val="005C04F0"/>
    <w:rsid w:val="005C0E91"/>
    <w:rsid w:val="005C12A8"/>
    <w:rsid w:val="005D366B"/>
    <w:rsid w:val="005E08D7"/>
    <w:rsid w:val="005E4C16"/>
    <w:rsid w:val="005E57E1"/>
    <w:rsid w:val="005E5947"/>
    <w:rsid w:val="005F254A"/>
    <w:rsid w:val="005F6028"/>
    <w:rsid w:val="005F61DF"/>
    <w:rsid w:val="0060163A"/>
    <w:rsid w:val="006023F9"/>
    <w:rsid w:val="00610559"/>
    <w:rsid w:val="00614076"/>
    <w:rsid w:val="00616087"/>
    <w:rsid w:val="00617BB5"/>
    <w:rsid w:val="006208C4"/>
    <w:rsid w:val="00620CC0"/>
    <w:rsid w:val="0063004D"/>
    <w:rsid w:val="00632F2E"/>
    <w:rsid w:val="006332F6"/>
    <w:rsid w:val="00633C69"/>
    <w:rsid w:val="006413F2"/>
    <w:rsid w:val="00645E9B"/>
    <w:rsid w:val="00652B69"/>
    <w:rsid w:val="006534B2"/>
    <w:rsid w:val="0065615D"/>
    <w:rsid w:val="00657011"/>
    <w:rsid w:val="006650B5"/>
    <w:rsid w:val="006651B1"/>
    <w:rsid w:val="00665778"/>
    <w:rsid w:val="006706AB"/>
    <w:rsid w:val="00676E5F"/>
    <w:rsid w:val="00682661"/>
    <w:rsid w:val="006945CA"/>
    <w:rsid w:val="00694F1F"/>
    <w:rsid w:val="006A3309"/>
    <w:rsid w:val="006A3A5A"/>
    <w:rsid w:val="006A5B34"/>
    <w:rsid w:val="006B337A"/>
    <w:rsid w:val="006B5137"/>
    <w:rsid w:val="006C77A9"/>
    <w:rsid w:val="006D4720"/>
    <w:rsid w:val="006D5B85"/>
    <w:rsid w:val="006E012D"/>
    <w:rsid w:val="006E6CDF"/>
    <w:rsid w:val="006E7C80"/>
    <w:rsid w:val="006F37F2"/>
    <w:rsid w:val="006F6693"/>
    <w:rsid w:val="007005AA"/>
    <w:rsid w:val="00703521"/>
    <w:rsid w:val="00704C2E"/>
    <w:rsid w:val="00704EAC"/>
    <w:rsid w:val="00707FE8"/>
    <w:rsid w:val="00714AAE"/>
    <w:rsid w:val="00720B2A"/>
    <w:rsid w:val="0072301F"/>
    <w:rsid w:val="00724962"/>
    <w:rsid w:val="00724A0F"/>
    <w:rsid w:val="00726D2F"/>
    <w:rsid w:val="00736732"/>
    <w:rsid w:val="00740019"/>
    <w:rsid w:val="007432F9"/>
    <w:rsid w:val="00746426"/>
    <w:rsid w:val="00747C87"/>
    <w:rsid w:val="00750BF9"/>
    <w:rsid w:val="00750CBE"/>
    <w:rsid w:val="00753096"/>
    <w:rsid w:val="00756881"/>
    <w:rsid w:val="00760253"/>
    <w:rsid w:val="007650D2"/>
    <w:rsid w:val="00766B5A"/>
    <w:rsid w:val="00767B8C"/>
    <w:rsid w:val="00772209"/>
    <w:rsid w:val="007770A5"/>
    <w:rsid w:val="00777ABD"/>
    <w:rsid w:val="007807B7"/>
    <w:rsid w:val="007834F2"/>
    <w:rsid w:val="0078432C"/>
    <w:rsid w:val="00791020"/>
    <w:rsid w:val="00796484"/>
    <w:rsid w:val="007A04D2"/>
    <w:rsid w:val="007A58A5"/>
    <w:rsid w:val="007A5F82"/>
    <w:rsid w:val="007B09EF"/>
    <w:rsid w:val="007B19B7"/>
    <w:rsid w:val="007B55C7"/>
    <w:rsid w:val="007B638E"/>
    <w:rsid w:val="007D2511"/>
    <w:rsid w:val="007D5F9E"/>
    <w:rsid w:val="007D6713"/>
    <w:rsid w:val="007E098F"/>
    <w:rsid w:val="007E3BA2"/>
    <w:rsid w:val="007F1A4C"/>
    <w:rsid w:val="007F1BD8"/>
    <w:rsid w:val="007F723F"/>
    <w:rsid w:val="008022C3"/>
    <w:rsid w:val="008041E6"/>
    <w:rsid w:val="008065D2"/>
    <w:rsid w:val="00815A8A"/>
    <w:rsid w:val="0082194C"/>
    <w:rsid w:val="008222FF"/>
    <w:rsid w:val="008241FF"/>
    <w:rsid w:val="00827454"/>
    <w:rsid w:val="0083539D"/>
    <w:rsid w:val="008356B8"/>
    <w:rsid w:val="00836CC9"/>
    <w:rsid w:val="008411E9"/>
    <w:rsid w:val="00841617"/>
    <w:rsid w:val="0084200F"/>
    <w:rsid w:val="00843B2C"/>
    <w:rsid w:val="00844F16"/>
    <w:rsid w:val="0084736C"/>
    <w:rsid w:val="00847745"/>
    <w:rsid w:val="00855642"/>
    <w:rsid w:val="00855FF9"/>
    <w:rsid w:val="0085737F"/>
    <w:rsid w:val="0085769C"/>
    <w:rsid w:val="0086277A"/>
    <w:rsid w:val="00865A5B"/>
    <w:rsid w:val="008668A8"/>
    <w:rsid w:val="00870732"/>
    <w:rsid w:val="008719DF"/>
    <w:rsid w:val="00874E2F"/>
    <w:rsid w:val="00876171"/>
    <w:rsid w:val="008768AD"/>
    <w:rsid w:val="00880AC4"/>
    <w:rsid w:val="00897447"/>
    <w:rsid w:val="008A4900"/>
    <w:rsid w:val="008A55FE"/>
    <w:rsid w:val="008B146D"/>
    <w:rsid w:val="008B42AD"/>
    <w:rsid w:val="008B4D93"/>
    <w:rsid w:val="008B5666"/>
    <w:rsid w:val="008B67FA"/>
    <w:rsid w:val="008D0281"/>
    <w:rsid w:val="008D1319"/>
    <w:rsid w:val="008D6AEE"/>
    <w:rsid w:val="008E031D"/>
    <w:rsid w:val="008E2348"/>
    <w:rsid w:val="008E347D"/>
    <w:rsid w:val="008E4DFC"/>
    <w:rsid w:val="008F04C8"/>
    <w:rsid w:val="008F0DA3"/>
    <w:rsid w:val="008F2B85"/>
    <w:rsid w:val="008F6D45"/>
    <w:rsid w:val="00903F5A"/>
    <w:rsid w:val="00903F81"/>
    <w:rsid w:val="00905E6A"/>
    <w:rsid w:val="00907FF7"/>
    <w:rsid w:val="009126C9"/>
    <w:rsid w:val="00916FB6"/>
    <w:rsid w:val="00920E37"/>
    <w:rsid w:val="00922944"/>
    <w:rsid w:val="00931FD9"/>
    <w:rsid w:val="00934C41"/>
    <w:rsid w:val="00936479"/>
    <w:rsid w:val="00937A10"/>
    <w:rsid w:val="009464B0"/>
    <w:rsid w:val="00947A0F"/>
    <w:rsid w:val="00950E42"/>
    <w:rsid w:val="009567D3"/>
    <w:rsid w:val="009579EA"/>
    <w:rsid w:val="00957DDF"/>
    <w:rsid w:val="00966115"/>
    <w:rsid w:val="00967099"/>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A77CE"/>
    <w:rsid w:val="009B199C"/>
    <w:rsid w:val="009B201E"/>
    <w:rsid w:val="009B3673"/>
    <w:rsid w:val="009B3849"/>
    <w:rsid w:val="009B5979"/>
    <w:rsid w:val="009B61F1"/>
    <w:rsid w:val="009B62E0"/>
    <w:rsid w:val="009C2670"/>
    <w:rsid w:val="009C3D88"/>
    <w:rsid w:val="009E0ECD"/>
    <w:rsid w:val="009E0F94"/>
    <w:rsid w:val="009E1651"/>
    <w:rsid w:val="009E2A37"/>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29A9"/>
    <w:rsid w:val="00A353FA"/>
    <w:rsid w:val="00A400CC"/>
    <w:rsid w:val="00A40495"/>
    <w:rsid w:val="00A4075C"/>
    <w:rsid w:val="00A45CB0"/>
    <w:rsid w:val="00A46288"/>
    <w:rsid w:val="00A46BA8"/>
    <w:rsid w:val="00A47634"/>
    <w:rsid w:val="00A510B1"/>
    <w:rsid w:val="00A51649"/>
    <w:rsid w:val="00A60A2C"/>
    <w:rsid w:val="00A612FE"/>
    <w:rsid w:val="00A66F4D"/>
    <w:rsid w:val="00A703B3"/>
    <w:rsid w:val="00A70B49"/>
    <w:rsid w:val="00A740D4"/>
    <w:rsid w:val="00A8084F"/>
    <w:rsid w:val="00A82C39"/>
    <w:rsid w:val="00A92D94"/>
    <w:rsid w:val="00A9323D"/>
    <w:rsid w:val="00AA26B8"/>
    <w:rsid w:val="00AA3C23"/>
    <w:rsid w:val="00AA4288"/>
    <w:rsid w:val="00AA4907"/>
    <w:rsid w:val="00AB1B76"/>
    <w:rsid w:val="00AB24E4"/>
    <w:rsid w:val="00AB49A4"/>
    <w:rsid w:val="00AC0B87"/>
    <w:rsid w:val="00AC2624"/>
    <w:rsid w:val="00AC32A8"/>
    <w:rsid w:val="00AD1351"/>
    <w:rsid w:val="00AD4528"/>
    <w:rsid w:val="00AD7E4E"/>
    <w:rsid w:val="00AE271D"/>
    <w:rsid w:val="00AE5E04"/>
    <w:rsid w:val="00AF2DFA"/>
    <w:rsid w:val="00AF4D58"/>
    <w:rsid w:val="00AF6666"/>
    <w:rsid w:val="00AF7BC5"/>
    <w:rsid w:val="00B0797F"/>
    <w:rsid w:val="00B07F96"/>
    <w:rsid w:val="00B1051C"/>
    <w:rsid w:val="00B116E3"/>
    <w:rsid w:val="00B15592"/>
    <w:rsid w:val="00B16D2B"/>
    <w:rsid w:val="00B2040D"/>
    <w:rsid w:val="00B20F2D"/>
    <w:rsid w:val="00B214D7"/>
    <w:rsid w:val="00B23AE9"/>
    <w:rsid w:val="00B31F77"/>
    <w:rsid w:val="00B37FF8"/>
    <w:rsid w:val="00B41DEC"/>
    <w:rsid w:val="00B515DB"/>
    <w:rsid w:val="00B51C51"/>
    <w:rsid w:val="00B556E1"/>
    <w:rsid w:val="00B673BB"/>
    <w:rsid w:val="00B73B9C"/>
    <w:rsid w:val="00B77278"/>
    <w:rsid w:val="00B81B44"/>
    <w:rsid w:val="00B9053B"/>
    <w:rsid w:val="00B91BBB"/>
    <w:rsid w:val="00B9777C"/>
    <w:rsid w:val="00BA0C37"/>
    <w:rsid w:val="00BA3782"/>
    <w:rsid w:val="00BA4176"/>
    <w:rsid w:val="00BA4A09"/>
    <w:rsid w:val="00BA5BEB"/>
    <w:rsid w:val="00BB2246"/>
    <w:rsid w:val="00BB4D98"/>
    <w:rsid w:val="00BB4EBF"/>
    <w:rsid w:val="00BB59E0"/>
    <w:rsid w:val="00BB7DF0"/>
    <w:rsid w:val="00BC3422"/>
    <w:rsid w:val="00BC437C"/>
    <w:rsid w:val="00BC6008"/>
    <w:rsid w:val="00BC6E19"/>
    <w:rsid w:val="00BD05FA"/>
    <w:rsid w:val="00BD0B31"/>
    <w:rsid w:val="00BD4FF1"/>
    <w:rsid w:val="00BD5018"/>
    <w:rsid w:val="00BE1608"/>
    <w:rsid w:val="00BE2294"/>
    <w:rsid w:val="00BE2BD8"/>
    <w:rsid w:val="00BE4EDC"/>
    <w:rsid w:val="00BE5ADC"/>
    <w:rsid w:val="00BE763E"/>
    <w:rsid w:val="00BF1EA2"/>
    <w:rsid w:val="00BF4F96"/>
    <w:rsid w:val="00C015B9"/>
    <w:rsid w:val="00C022F9"/>
    <w:rsid w:val="00C032EA"/>
    <w:rsid w:val="00C0396D"/>
    <w:rsid w:val="00C06EB5"/>
    <w:rsid w:val="00C1145F"/>
    <w:rsid w:val="00C11CD1"/>
    <w:rsid w:val="00C15701"/>
    <w:rsid w:val="00C15DBE"/>
    <w:rsid w:val="00C258F2"/>
    <w:rsid w:val="00C2715F"/>
    <w:rsid w:val="00C32D49"/>
    <w:rsid w:val="00C33AD3"/>
    <w:rsid w:val="00C41B3C"/>
    <w:rsid w:val="00C4257C"/>
    <w:rsid w:val="00C43F06"/>
    <w:rsid w:val="00C451A2"/>
    <w:rsid w:val="00C45702"/>
    <w:rsid w:val="00C47503"/>
    <w:rsid w:val="00C50A2B"/>
    <w:rsid w:val="00C5196C"/>
    <w:rsid w:val="00C51C01"/>
    <w:rsid w:val="00C539DC"/>
    <w:rsid w:val="00C637E1"/>
    <w:rsid w:val="00C67EAC"/>
    <w:rsid w:val="00C70D50"/>
    <w:rsid w:val="00C72252"/>
    <w:rsid w:val="00C801E9"/>
    <w:rsid w:val="00C81050"/>
    <w:rsid w:val="00C86AF1"/>
    <w:rsid w:val="00C907D7"/>
    <w:rsid w:val="00C92338"/>
    <w:rsid w:val="00C95E66"/>
    <w:rsid w:val="00C96051"/>
    <w:rsid w:val="00C97B86"/>
    <w:rsid w:val="00CA05DC"/>
    <w:rsid w:val="00CA7B47"/>
    <w:rsid w:val="00CA7C2C"/>
    <w:rsid w:val="00CB1DD6"/>
    <w:rsid w:val="00CB3976"/>
    <w:rsid w:val="00CB441A"/>
    <w:rsid w:val="00CC6087"/>
    <w:rsid w:val="00CD0307"/>
    <w:rsid w:val="00CD27BE"/>
    <w:rsid w:val="00CD3D1B"/>
    <w:rsid w:val="00CE083F"/>
    <w:rsid w:val="00CF1809"/>
    <w:rsid w:val="00CF211E"/>
    <w:rsid w:val="00CF2474"/>
    <w:rsid w:val="00CF6EC4"/>
    <w:rsid w:val="00CF7DD3"/>
    <w:rsid w:val="00D02663"/>
    <w:rsid w:val="00D0633E"/>
    <w:rsid w:val="00D066A3"/>
    <w:rsid w:val="00D12E74"/>
    <w:rsid w:val="00D13F0E"/>
    <w:rsid w:val="00D15955"/>
    <w:rsid w:val="00D22B9C"/>
    <w:rsid w:val="00D2312F"/>
    <w:rsid w:val="00D23B04"/>
    <w:rsid w:val="00D269C1"/>
    <w:rsid w:val="00D27944"/>
    <w:rsid w:val="00D361BA"/>
    <w:rsid w:val="00D40D8B"/>
    <w:rsid w:val="00D41B2F"/>
    <w:rsid w:val="00D44953"/>
    <w:rsid w:val="00D510A0"/>
    <w:rsid w:val="00D542F3"/>
    <w:rsid w:val="00D54513"/>
    <w:rsid w:val="00D54AAE"/>
    <w:rsid w:val="00D5644B"/>
    <w:rsid w:val="00D56E25"/>
    <w:rsid w:val="00D57E89"/>
    <w:rsid w:val="00D60E1A"/>
    <w:rsid w:val="00D6560D"/>
    <w:rsid w:val="00D65D77"/>
    <w:rsid w:val="00D662E0"/>
    <w:rsid w:val="00D718D7"/>
    <w:rsid w:val="00D739CD"/>
    <w:rsid w:val="00D814B7"/>
    <w:rsid w:val="00D863EB"/>
    <w:rsid w:val="00D90688"/>
    <w:rsid w:val="00DA3AAD"/>
    <w:rsid w:val="00DB0804"/>
    <w:rsid w:val="00DB312B"/>
    <w:rsid w:val="00DC5654"/>
    <w:rsid w:val="00DC658F"/>
    <w:rsid w:val="00DC674A"/>
    <w:rsid w:val="00DD34D3"/>
    <w:rsid w:val="00DD54CE"/>
    <w:rsid w:val="00DD6383"/>
    <w:rsid w:val="00DD7FAE"/>
    <w:rsid w:val="00DE0E4E"/>
    <w:rsid w:val="00DE4C6D"/>
    <w:rsid w:val="00DE60CC"/>
    <w:rsid w:val="00DF52CC"/>
    <w:rsid w:val="00DF7CEC"/>
    <w:rsid w:val="00DF7EB2"/>
    <w:rsid w:val="00E01D9C"/>
    <w:rsid w:val="00E06416"/>
    <w:rsid w:val="00E22A20"/>
    <w:rsid w:val="00E22BBF"/>
    <w:rsid w:val="00E26B32"/>
    <w:rsid w:val="00E31CD4"/>
    <w:rsid w:val="00E31E60"/>
    <w:rsid w:val="00E33E08"/>
    <w:rsid w:val="00E407B6"/>
    <w:rsid w:val="00E41EF1"/>
    <w:rsid w:val="00E42942"/>
    <w:rsid w:val="00E543D9"/>
    <w:rsid w:val="00E65A0A"/>
    <w:rsid w:val="00E71BDF"/>
    <w:rsid w:val="00E72C93"/>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EF649E"/>
    <w:rsid w:val="00F0222C"/>
    <w:rsid w:val="00F024AD"/>
    <w:rsid w:val="00F061E6"/>
    <w:rsid w:val="00F12312"/>
    <w:rsid w:val="00F160A6"/>
    <w:rsid w:val="00F177C7"/>
    <w:rsid w:val="00F17CE1"/>
    <w:rsid w:val="00F2115C"/>
    <w:rsid w:val="00F22ABA"/>
    <w:rsid w:val="00F26F38"/>
    <w:rsid w:val="00F349C9"/>
    <w:rsid w:val="00F36B12"/>
    <w:rsid w:val="00F4790D"/>
    <w:rsid w:val="00F47C64"/>
    <w:rsid w:val="00F504CA"/>
    <w:rsid w:val="00F551CD"/>
    <w:rsid w:val="00F60F9F"/>
    <w:rsid w:val="00F6240F"/>
    <w:rsid w:val="00F635D9"/>
    <w:rsid w:val="00F64F08"/>
    <w:rsid w:val="00F70055"/>
    <w:rsid w:val="00F71150"/>
    <w:rsid w:val="00F71D46"/>
    <w:rsid w:val="00F734F5"/>
    <w:rsid w:val="00F73B5B"/>
    <w:rsid w:val="00F7721D"/>
    <w:rsid w:val="00F90EA5"/>
    <w:rsid w:val="00F91356"/>
    <w:rsid w:val="00F91F5A"/>
    <w:rsid w:val="00F966B1"/>
    <w:rsid w:val="00F97D48"/>
    <w:rsid w:val="00FA0311"/>
    <w:rsid w:val="00FA1489"/>
    <w:rsid w:val="00FA39E1"/>
    <w:rsid w:val="00FB396D"/>
    <w:rsid w:val="00FB464E"/>
    <w:rsid w:val="00FD4AD9"/>
    <w:rsid w:val="00FD50F0"/>
    <w:rsid w:val="00FD640F"/>
    <w:rsid w:val="00FD6B4C"/>
    <w:rsid w:val="00FD7069"/>
    <w:rsid w:val="00FE0553"/>
    <w:rsid w:val="00FE25D0"/>
    <w:rsid w:val="00FE2DE0"/>
    <w:rsid w:val="00FE6CB3"/>
    <w:rsid w:val="00FE7D14"/>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ACAD9"/>
  <w15:docId w15:val="{317E0A9F-47A2-4A89-9AC6-2E6FA44C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99"/>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5416D7"/>
    <w:rPr>
      <w:sz w:val="16"/>
      <w:szCs w:val="16"/>
    </w:rPr>
  </w:style>
  <w:style w:type="paragraph" w:styleId="CommentText">
    <w:name w:val="annotation text"/>
    <w:basedOn w:val="Normal"/>
    <w:link w:val="CommentTextChar"/>
    <w:uiPriority w:val="99"/>
    <w:semiHidden/>
    <w:unhideWhenUsed/>
    <w:rsid w:val="005416D7"/>
    <w:pPr>
      <w:spacing w:line="240" w:lineRule="auto"/>
    </w:pPr>
  </w:style>
  <w:style w:type="character" w:customStyle="1" w:styleId="CommentTextChar">
    <w:name w:val="Comment Text Char"/>
    <w:basedOn w:val="DefaultParagraphFont"/>
    <w:link w:val="CommentText"/>
    <w:uiPriority w:val="99"/>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Default">
    <w:name w:val="Default"/>
    <w:rsid w:val="002F1547"/>
    <w:pPr>
      <w:autoSpaceDE w:val="0"/>
      <w:autoSpaceDN w:val="0"/>
      <w:adjustRightInd w:val="0"/>
      <w:spacing w:before="0" w:after="0" w:line="240" w:lineRule="auto"/>
    </w:pPr>
    <w:rPr>
      <w:rFonts w:ascii="Arial" w:eastAsia="Times New Roman" w:hAnsi="Arial" w:cs="Arial"/>
      <w:color w:val="000000"/>
      <w:sz w:val="24"/>
      <w:szCs w:val="24"/>
      <w:lang w:val="en-US" w:eastAsia="en-US"/>
    </w:rPr>
  </w:style>
  <w:style w:type="paragraph" w:customStyle="1" w:styleId="paragraph">
    <w:name w:val="paragraph"/>
    <w:basedOn w:val="Normal"/>
    <w:uiPriority w:val="99"/>
    <w:rsid w:val="002F1547"/>
    <w:pPr>
      <w:spacing w:before="100" w:beforeAutospacing="1" w:after="100" w:afterAutospacing="1" w:line="240" w:lineRule="auto"/>
    </w:pPr>
    <w:rPr>
      <w:rFonts w:ascii="Times New Roman" w:eastAsia="Gulim" w:hAnsi="Times New Roman" w:cs="Times New Roman"/>
      <w:sz w:val="24"/>
      <w:szCs w:val="24"/>
    </w:rPr>
  </w:style>
  <w:style w:type="character" w:customStyle="1" w:styleId="normaltextrun">
    <w:name w:val="normaltextrun"/>
    <w:basedOn w:val="DefaultParagraphFont"/>
    <w:rsid w:val="002F1547"/>
  </w:style>
  <w:style w:type="character" w:customStyle="1" w:styleId="eop">
    <w:name w:val="eop"/>
    <w:basedOn w:val="DefaultParagraphFont"/>
    <w:rsid w:val="002F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608">
      <w:bodyDiv w:val="1"/>
      <w:marLeft w:val="0"/>
      <w:marRight w:val="0"/>
      <w:marTop w:val="0"/>
      <w:marBottom w:val="0"/>
      <w:divBdr>
        <w:top w:val="none" w:sz="0" w:space="0" w:color="auto"/>
        <w:left w:val="none" w:sz="0" w:space="0" w:color="auto"/>
        <w:bottom w:val="none" w:sz="0" w:space="0" w:color="auto"/>
        <w:right w:val="none" w:sz="0" w:space="0" w:color="auto"/>
      </w:divBdr>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160464166">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528447827">
      <w:bodyDiv w:val="1"/>
      <w:marLeft w:val="0"/>
      <w:marRight w:val="0"/>
      <w:marTop w:val="0"/>
      <w:marBottom w:val="0"/>
      <w:divBdr>
        <w:top w:val="none" w:sz="0" w:space="0" w:color="auto"/>
        <w:left w:val="none" w:sz="0" w:space="0" w:color="auto"/>
        <w:bottom w:val="none" w:sz="0" w:space="0" w:color="auto"/>
        <w:right w:val="none" w:sz="0" w:space="0" w:color="auto"/>
      </w:divBdr>
    </w:div>
    <w:div w:id="1548948988">
      <w:bodyDiv w:val="1"/>
      <w:marLeft w:val="0"/>
      <w:marRight w:val="0"/>
      <w:marTop w:val="0"/>
      <w:marBottom w:val="0"/>
      <w:divBdr>
        <w:top w:val="none" w:sz="0" w:space="0" w:color="auto"/>
        <w:left w:val="none" w:sz="0" w:space="0" w:color="auto"/>
        <w:bottom w:val="none" w:sz="0" w:space="0" w:color="auto"/>
        <w:right w:val="none" w:sz="0" w:space="0" w:color="auto"/>
      </w:divBdr>
    </w:div>
    <w:div w:id="19284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ch2n\OneDrive%20-%20DFFH,%20DH%20Victoria\AGS\Sample%20opioid%20analgesic%20discharge%20guidelin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87ff3da35c9856811cc21cb0eeee55a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b1f3ccd38e5c181ce7efc1a169791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element ref="ns2:Autho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element name="Author0" ma:index="27" nillable="true" ma:displayName="Author" ma:format="Dropdown" ma:internalName="Author0">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uthor0 xmlns="31b2e4f9-c376-4e2f-bd2e-796d1bcd5746" xsi:nil="true"/>
    <Folderuse xmlns="31b2e4f9-c376-4e2f-bd2e-796d1bcd5746" xsi:nil="true"/>
  </documentManagement>
</p:properties>
</file>

<file path=customXml/itemProps1.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2.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3.xml><?xml version="1.0" encoding="utf-8"?>
<ds:datastoreItem xmlns:ds="http://schemas.openxmlformats.org/officeDocument/2006/customXml" ds:itemID="{E60A44CB-9329-4B11-AEF9-4AD2C837B5CA}"/>
</file>

<file path=customXml/itemProps4.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Sample opioid analgesic discharge guideline</Template>
  <TotalTime>188</TotalTime>
  <Pages>14</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David Nguyen (DHHS)</dc:creator>
  <cp:lastModifiedBy>Kylie McIntosh</cp:lastModifiedBy>
  <cp:revision>76</cp:revision>
  <cp:lastPrinted>2020-08-13T04:56:00Z</cp:lastPrinted>
  <dcterms:created xsi:type="dcterms:W3CDTF">2022-03-28T00:40:00Z</dcterms:created>
  <dcterms:modified xsi:type="dcterms:W3CDTF">2025-06-26T06:29:00Z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2022-03-28T00:40:02Z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3ca463d2-de46-4484-b71b-4e50cf37d363</vt:lpwstr>
  </property>
  <property fmtid="{D5CDD505-2E9C-101B-9397-08002B2CF9AE}" pid="10" name="MSIP_Label_43e64453-338c-4f93-8a4d-0039a0a41f2a_ContentBits">
    <vt:lpwstr>2</vt:lpwstr>
  </property>
  <property fmtid="{D5CDD505-2E9C-101B-9397-08002B2CF9AE}" pid="11" name="MediaServiceImageTags">
    <vt:lpwstr/>
  </property>
</Properties>
</file>