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6D55" w14:textId="77777777" w:rsidR="00521CA5" w:rsidRPr="00876171" w:rsidRDefault="00521CA5" w:rsidP="00521CA5">
      <w:pPr>
        <w:pStyle w:val="SCVborderabovetitle"/>
        <w:pBdr>
          <w:top w:val="single" w:sz="24" w:space="1" w:color="CCCCD0"/>
        </w:pBdr>
      </w:pPr>
    </w:p>
    <w:p w14:paraId="714C0B26" w14:textId="77777777" w:rsidR="00521CA5" w:rsidRPr="00876171" w:rsidRDefault="00521CA5" w:rsidP="00521CA5">
      <w:pPr>
        <w:pStyle w:val="SCVborderabovetitle"/>
        <w:sectPr w:rsidR="00521CA5" w:rsidRPr="00876171" w:rsidSect="006F6D36">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0D54B6A1" w14:textId="1F110BAA" w:rsidR="00C50A2B" w:rsidRPr="00A35D9D" w:rsidRDefault="00750EFB" w:rsidP="00A35D9D">
      <w:pPr>
        <w:pStyle w:val="SCVfactsheettitle"/>
      </w:pPr>
      <w:r>
        <w:t>Timing of Birth</w:t>
      </w:r>
    </w:p>
    <w:p w14:paraId="05EF01DA" w14:textId="137DBD9B" w:rsidR="00C50A2B" w:rsidRPr="00876171" w:rsidRDefault="006F6D36" w:rsidP="00521CA5">
      <w:pPr>
        <w:pStyle w:val="SCVfactsheetsubtitle"/>
      </w:pPr>
      <w:r>
        <w:t>Good practice point</w:t>
      </w:r>
    </w:p>
    <w:p w14:paraId="3D26C6FC" w14:textId="77777777" w:rsidR="00C50A2B" w:rsidRPr="00876171" w:rsidRDefault="006F6D36" w:rsidP="00521CA5">
      <w:pPr>
        <w:pStyle w:val="SCVprotectivemarkingbelowsubtitle"/>
      </w:pPr>
      <w:fldSimple w:instr="FILLIN  &quot;Type the protective marking&quot; \d OFFICIAL \o  \* MERGEFORMAT">
        <w:r>
          <w:t>OFFICIAL</w:t>
        </w:r>
      </w:fldSimple>
    </w:p>
    <w:p w14:paraId="5EA85869" w14:textId="3686230E" w:rsidR="00C97B86" w:rsidRPr="00A35D9D" w:rsidRDefault="006F6D36" w:rsidP="00A35D9D">
      <w:pPr>
        <w:pStyle w:val="Heading1"/>
      </w:pPr>
      <w:bookmarkStart w:id="0" w:name="_Toc52978537"/>
      <w:bookmarkStart w:id="1" w:name="_Toc43470670"/>
      <w:r>
        <w:t xml:space="preserve">Aim </w:t>
      </w:r>
      <w:bookmarkEnd w:id="0"/>
    </w:p>
    <w:p w14:paraId="6FD49A84" w14:textId="6B76D183" w:rsidR="00EA6040" w:rsidRDefault="006F6D36" w:rsidP="00A45CB0">
      <w:pPr>
        <w:pStyle w:val="SCVbody"/>
      </w:pPr>
      <w:r>
        <w:t xml:space="preserve">To </w:t>
      </w:r>
      <w:r w:rsidR="00DB46A0">
        <w:t>promote</w:t>
      </w:r>
      <w:r w:rsidR="00A7226A" w:rsidRPr="00A7226A">
        <w:t xml:space="preserve"> evidence-based guidelines for the timing of birth in both uncomplicated and complicated pregnancies. It emphasizes that in low-risk pregnancies, allowing gestation to continue until 39</w:t>
      </w:r>
      <w:r w:rsidR="00DB46A0">
        <w:t xml:space="preserve"> </w:t>
      </w:r>
      <w:r w:rsidR="00A7226A" w:rsidRPr="00A7226A">
        <w:t xml:space="preserve">weeks </w:t>
      </w:r>
      <w:r w:rsidR="00DB46A0">
        <w:t xml:space="preserve">or later </w:t>
      </w:r>
      <w:r w:rsidR="00A7226A" w:rsidRPr="00A7226A">
        <w:t>improves neonatal outcomes, including reduced respiratory and feeding problems and better brain development. Conversely, in pregnancies with complications such as fetal growth restriction or pre-eclampsia, earlier delivery may be necessary to minimize risks to both the mother and baby. Th</w:t>
      </w:r>
      <w:r w:rsidR="00A7226A">
        <w:t xml:space="preserve">is GPP </w:t>
      </w:r>
      <w:r w:rsidR="00A7226A" w:rsidRPr="00A7226A">
        <w:t>underscores the importance of adhering to international and national guidelines, engaging in shared decision-making, and ensuring informed consent to optimize perinatal outcomes.</w:t>
      </w:r>
    </w:p>
    <w:p w14:paraId="20021DC4" w14:textId="77777777" w:rsidR="00EA6040" w:rsidRDefault="00EA6040" w:rsidP="006F1796">
      <w:pPr>
        <w:pStyle w:val="Heading2"/>
      </w:pPr>
      <w:r w:rsidRPr="006713C1">
        <w:t xml:space="preserve">Full-term birth in healthy pregnancies </w:t>
      </w:r>
    </w:p>
    <w:p w14:paraId="0C3CAF2A" w14:textId="3D22DA40" w:rsidR="00EA6040" w:rsidRPr="006713C1" w:rsidRDefault="00EA6040" w:rsidP="00EA6040">
      <w:r w:rsidRPr="006713C1">
        <w:t>Evidence shows that</w:t>
      </w:r>
      <w:r w:rsidR="00DB46A0">
        <w:t xml:space="preserve">, in uncomplicated pregnancies, </w:t>
      </w:r>
      <w:r w:rsidRPr="006713C1">
        <w:t>each extra week of gestation up to 39</w:t>
      </w:r>
      <w:r w:rsidR="00DB46A0">
        <w:t xml:space="preserve"> </w:t>
      </w:r>
      <w:r w:rsidRPr="006713C1">
        <w:t xml:space="preserve">weeks improves neonatal outcomes. Campaigns such as </w:t>
      </w:r>
      <w:r w:rsidRPr="006713C1">
        <w:rPr>
          <w:i/>
          <w:iCs/>
        </w:rPr>
        <w:t>Every Week Counts</w:t>
      </w:r>
      <w:r w:rsidRPr="006713C1">
        <w:t xml:space="preserve"> and the </w:t>
      </w:r>
      <w:proofErr w:type="spellStart"/>
      <w:r w:rsidRPr="006713C1">
        <w:rPr>
          <w:i/>
          <w:iCs/>
        </w:rPr>
        <w:t>The</w:t>
      </w:r>
      <w:proofErr w:type="spellEnd"/>
      <w:r w:rsidRPr="006713C1">
        <w:rPr>
          <w:i/>
          <w:iCs/>
        </w:rPr>
        <w:t xml:space="preserve"> Whole Nine Months</w:t>
      </w:r>
      <w:r w:rsidRPr="006713C1">
        <w:t xml:space="preserve"> highlight </w:t>
      </w:r>
      <w:proofErr w:type="gramStart"/>
      <w:r w:rsidRPr="006713C1">
        <w:t>that babies</w:t>
      </w:r>
      <w:proofErr w:type="gramEnd"/>
      <w:r w:rsidRPr="006713C1">
        <w:t xml:space="preserve"> born at 39–40 weeks have fewer respiratory and feeding problems and lower </w:t>
      </w:r>
      <w:r>
        <w:t>nursery</w:t>
      </w:r>
      <w:r w:rsidRPr="006713C1">
        <w:t xml:space="preserve"> admission rates than those born at 37–38 weeks. Infants born closer to 40 weeks also show better brain development and school-age cognitive outcomes. Accordingly, international and national guidelines now define “full term” as 39–40</w:t>
      </w:r>
      <w:r>
        <w:t>+6</w:t>
      </w:r>
      <w:r w:rsidRPr="006713C1">
        <w:t xml:space="preserve"> weeks. For uncomplicated pregnancies, routine induction </w:t>
      </w:r>
      <w:r>
        <w:t xml:space="preserve">of labour </w:t>
      </w:r>
      <w:r w:rsidRPr="006713C1">
        <w:t>or planned c</w:t>
      </w:r>
      <w:r>
        <w:t>a</w:t>
      </w:r>
      <w:r w:rsidRPr="006713C1">
        <w:t xml:space="preserve">esarean before 39+0 is </w:t>
      </w:r>
      <w:r>
        <w:t>medically inadvisable</w:t>
      </w:r>
      <w:r w:rsidR="00DB46A0">
        <w:t xml:space="preserve"> and ethically unsound.</w:t>
      </w:r>
    </w:p>
    <w:p w14:paraId="0F189243" w14:textId="77777777" w:rsidR="00EA6040" w:rsidRDefault="00EA6040" w:rsidP="006F1796">
      <w:pPr>
        <w:pStyle w:val="Heading2"/>
      </w:pPr>
      <w:r w:rsidRPr="006713C1">
        <w:t xml:space="preserve">Exceptions – Complicated pregnancies </w:t>
      </w:r>
    </w:p>
    <w:p w14:paraId="3CAFCA10" w14:textId="77777777" w:rsidR="00EA6040" w:rsidRDefault="00EA6040" w:rsidP="00EA6040">
      <w:r>
        <w:t>T</w:t>
      </w:r>
      <w:r w:rsidRPr="006713C1">
        <w:t xml:space="preserve">he above does </w:t>
      </w:r>
      <w:r w:rsidRPr="00EA6040">
        <w:rPr>
          <w:b/>
          <w:bCs/>
          <w:i/>
          <w:iCs/>
        </w:rPr>
        <w:t>not</w:t>
      </w:r>
      <w:r w:rsidRPr="006713C1">
        <w:t xml:space="preserve"> apply when obstetric complications are present. In pregnancies with fetal growth restriction (FGR), pre-eclampsia, hypertension, </w:t>
      </w:r>
      <w:r>
        <w:t xml:space="preserve">pre-existing or complex </w:t>
      </w:r>
      <w:r w:rsidRPr="006713C1">
        <w:t xml:space="preserve">diabetes, oligohydramnios, cholestasis, or other maternal/fetal pathology, the risks of continuing beyond 37–38 weeks </w:t>
      </w:r>
      <w:r>
        <w:t>may</w:t>
      </w:r>
      <w:r w:rsidRPr="006713C1">
        <w:t xml:space="preserve"> outweigh the benefits of a later </w:t>
      </w:r>
      <w:r>
        <w:t>birth</w:t>
      </w:r>
      <w:r w:rsidRPr="006713C1">
        <w:t xml:space="preserve">. </w:t>
      </w:r>
    </w:p>
    <w:p w14:paraId="3EE7AAB8" w14:textId="77777777" w:rsidR="00EA6040" w:rsidRPr="006713C1" w:rsidRDefault="00EA6040" w:rsidP="00EA6040">
      <w:r w:rsidRPr="006713C1">
        <w:t xml:space="preserve">Small-for-gestational-age </w:t>
      </w:r>
      <w:proofErr w:type="spellStart"/>
      <w:r w:rsidRPr="006713C1">
        <w:t>fetuses</w:t>
      </w:r>
      <w:proofErr w:type="spellEnd"/>
      <w:r w:rsidRPr="006713C1">
        <w:t xml:space="preserve"> (usually defined as &lt;10th percentile) carry a </w:t>
      </w:r>
      <w:r w:rsidRPr="006713C1">
        <w:rPr>
          <w:b/>
          <w:bCs/>
        </w:rPr>
        <w:t>high</w:t>
      </w:r>
      <w:r>
        <w:rPr>
          <w:b/>
          <w:bCs/>
        </w:rPr>
        <w:t>er</w:t>
      </w:r>
      <w:r w:rsidRPr="006713C1">
        <w:rPr>
          <w:b/>
          <w:bCs/>
        </w:rPr>
        <w:t xml:space="preserve"> risk of stillbirth</w:t>
      </w:r>
      <w:r w:rsidRPr="006713C1">
        <w:t xml:space="preserve">; in fact, SGA is the single biggest risk factor for stillbirth, and </w:t>
      </w:r>
      <w:r>
        <w:t>many</w:t>
      </w:r>
      <w:r w:rsidRPr="006713C1">
        <w:t xml:space="preserve"> such </w:t>
      </w:r>
      <w:proofErr w:type="spellStart"/>
      <w:r w:rsidRPr="006713C1">
        <w:t>fetuses</w:t>
      </w:r>
      <w:proofErr w:type="spellEnd"/>
      <w:r w:rsidRPr="006713C1">
        <w:t xml:space="preserve"> require early </w:t>
      </w:r>
      <w:r>
        <w:t>birth</w:t>
      </w:r>
      <w:r w:rsidRPr="006713C1">
        <w:t xml:space="preserve"> to </w:t>
      </w:r>
      <w:r>
        <w:t>reduce the chance of perinatal death</w:t>
      </w:r>
      <w:r w:rsidRPr="006713C1">
        <w:t>.</w:t>
      </w:r>
      <w:r>
        <w:t xml:space="preserve"> Similarly, there is consistent evidence that women with pre-eclampsia should be delivered at 37 weeks to optimise perinatal outcomes. Decisions regarding timing and mode of birth for these complicated pregnancies should involve senior clinicians, with reference to local and international guidelines to support information provision to women and their families to support shared decision making. </w:t>
      </w:r>
    </w:p>
    <w:p w14:paraId="588D25B1" w14:textId="77777777" w:rsidR="00EA6040" w:rsidRDefault="00EA6040" w:rsidP="006E1EBF">
      <w:pPr>
        <w:pStyle w:val="Heading2"/>
      </w:pPr>
      <w:r w:rsidRPr="006713C1">
        <w:t xml:space="preserve">Increased risks if prolonged </w:t>
      </w:r>
    </w:p>
    <w:p w14:paraId="39EBD0C4" w14:textId="52E551A9" w:rsidR="00EA6040" w:rsidRPr="006713C1" w:rsidRDefault="00EA6040" w:rsidP="00EA6040">
      <w:r w:rsidRPr="006713C1">
        <w:t xml:space="preserve">In complex pregnancies, extending gestation can significantly increase perinatal morbidity. For example, FGR increases intrauterine death risk roughly to 1.5% if estimated fetal weight is &lt;10th percentile (and to ~2.5% if &lt;5th) – about double the baseline risk in normally grown </w:t>
      </w:r>
      <w:proofErr w:type="spellStart"/>
      <w:r w:rsidRPr="006713C1">
        <w:t>fetuses</w:t>
      </w:r>
      <w:proofErr w:type="spellEnd"/>
      <w:r w:rsidRPr="006713C1">
        <w:t>.</w:t>
      </w:r>
      <w:r>
        <w:t xml:space="preserve"> </w:t>
      </w:r>
      <w:r w:rsidRPr="006713C1">
        <w:t xml:space="preserve">Likewise, untreated pre-eclampsia carries maternal and fetal risks that rise rapidly with gestation. Therefore, clinicians must distinguish </w:t>
      </w:r>
      <w:r>
        <w:t>routine</w:t>
      </w:r>
      <w:r w:rsidRPr="006713C1">
        <w:t xml:space="preserve"> from high-risk situations: </w:t>
      </w:r>
      <w:r w:rsidR="006E1EBF">
        <w:lastRenderedPageBreak/>
        <w:t>planning for full-term birth is</w:t>
      </w:r>
      <w:r w:rsidRPr="006713C1">
        <w:t xml:space="preserve"> appropriate in the former, </w:t>
      </w:r>
      <w:r w:rsidR="006E1EBF">
        <w:t>while timing of birth in pregnancies with complications needs to be individualised based on the degree of complexity and associated perinatal risk</w:t>
      </w:r>
      <w:r w:rsidRPr="006713C1">
        <w:t>.</w:t>
      </w:r>
    </w:p>
    <w:p w14:paraId="26B4C466" w14:textId="63AA3133" w:rsidR="00EA6040" w:rsidRPr="006713C1" w:rsidRDefault="00EA6040" w:rsidP="006E1EBF">
      <w:pPr>
        <w:pStyle w:val="Heading1"/>
      </w:pPr>
      <w:r w:rsidRPr="006713C1">
        <w:t>Key practice points</w:t>
      </w:r>
    </w:p>
    <w:p w14:paraId="7FDF44AF" w14:textId="77777777" w:rsidR="00EA6040" w:rsidRPr="006713C1" w:rsidRDefault="00EA6040" w:rsidP="00BE3B6D">
      <w:pPr>
        <w:pStyle w:val="SCVbullet1"/>
      </w:pPr>
      <w:r w:rsidRPr="006713C1">
        <w:rPr>
          <w:b/>
          <w:bCs/>
        </w:rPr>
        <w:t>Uncomplicated pregnancies:</w:t>
      </w:r>
      <w:r w:rsidRPr="006713C1">
        <w:t xml:space="preserve"> Aim for spontaneous or electively planned birth at </w:t>
      </w:r>
      <w:r>
        <w:t xml:space="preserve">or after </w:t>
      </w:r>
      <w:r w:rsidRPr="006713C1">
        <w:t>39+0 weeks. Avoid routine induction or c</w:t>
      </w:r>
      <w:r>
        <w:t>a</w:t>
      </w:r>
      <w:r w:rsidRPr="006713C1">
        <w:t>esarean before 39 weeks without a clear medical indication. Counsel women that delaying birth until 39–40 weeks (if safe) reduces NICU admission and supports optimal</w:t>
      </w:r>
      <w:r>
        <w:t xml:space="preserve"> fetal</w:t>
      </w:r>
      <w:r w:rsidRPr="006713C1">
        <w:t xml:space="preserve"> brain development.</w:t>
      </w:r>
    </w:p>
    <w:p w14:paraId="335AE04A" w14:textId="77777777" w:rsidR="00EA6040" w:rsidRPr="006713C1" w:rsidRDefault="00EA6040" w:rsidP="00BE3B6D">
      <w:pPr>
        <w:pStyle w:val="SCVbullet1"/>
      </w:pPr>
      <w:r w:rsidRPr="006713C1">
        <w:rPr>
          <w:b/>
          <w:bCs/>
        </w:rPr>
        <w:t>Complicated pregnancies:</w:t>
      </w:r>
      <w:r w:rsidRPr="006713C1">
        <w:t xml:space="preserve"> Apply condition-specific timing</w:t>
      </w:r>
      <w:r>
        <w:t xml:space="preserve"> derived from local and international guidelines.</w:t>
      </w:r>
    </w:p>
    <w:p w14:paraId="405B5452" w14:textId="6042A592" w:rsidR="00EA6040" w:rsidRPr="006713C1" w:rsidRDefault="00EA6040" w:rsidP="00BE3B6D">
      <w:pPr>
        <w:pStyle w:val="SCVbullet1"/>
      </w:pPr>
      <w:r w:rsidRPr="006713C1">
        <w:rPr>
          <w:b/>
          <w:bCs/>
        </w:rPr>
        <w:t>Counselling and consent:</w:t>
      </w:r>
      <w:r w:rsidRPr="006713C1">
        <w:t xml:space="preserve"> Explain that public-health messages about “every week counts” apply only to healthy pregnancies. In </w:t>
      </w:r>
      <w:r w:rsidR="000F4087">
        <w:t>uncomplicated</w:t>
      </w:r>
      <w:r w:rsidRPr="006713C1">
        <w:t xml:space="preserve"> </w:t>
      </w:r>
      <w:r>
        <w:t>pregnancies</w:t>
      </w:r>
      <w:r w:rsidRPr="006713C1">
        <w:t xml:space="preserve">, elective early delivery has no maternal benefit and carries neonatal downsides (more respiratory support, NICU time, potential long-term learning issues). Conversely, in </w:t>
      </w:r>
      <w:r>
        <w:t>complicated</w:t>
      </w:r>
      <w:r w:rsidRPr="006713C1">
        <w:t xml:space="preserve"> pregnancies emphasi</w:t>
      </w:r>
      <w:r>
        <w:t>s</w:t>
      </w:r>
      <w:r w:rsidRPr="006713C1">
        <w:t>e that prolonging gestation can lead to stillbirth or severe neonatal morbidity. Document informed consent for the timing of birth, ensuring the plan reflects current evidence and guidelines</w:t>
      </w:r>
      <w:r>
        <w:t>, and apply the principles of shared decision-making in determining the optimal time and mode of birth.</w:t>
      </w:r>
    </w:p>
    <w:p w14:paraId="0ABE94AD" w14:textId="0DB06DE5" w:rsidR="00EA6040" w:rsidRPr="006713C1" w:rsidRDefault="00EA6040" w:rsidP="00BE3B6D">
      <w:pPr>
        <w:pStyle w:val="SCVbullet1"/>
      </w:pPr>
      <w:r w:rsidRPr="006713C1">
        <w:rPr>
          <w:b/>
          <w:bCs/>
        </w:rPr>
        <w:t>Follow evidence and guidelines:</w:t>
      </w:r>
      <w:r w:rsidRPr="006713C1">
        <w:t xml:space="preserve"> Stay </w:t>
      </w:r>
      <w:r w:rsidR="000F4087" w:rsidRPr="006713C1">
        <w:t>up to date</w:t>
      </w:r>
      <w:r w:rsidRPr="006713C1">
        <w:t xml:space="preserve"> with RANZCOG, NICE, ACOG and WHO recommendations on timing. (For example, WHO recommends not inducing uncomplicated pregnancies before 41 weeks.) In audits, services are encouraged to monitor and reduce unwarranted early deliveries in low-risk cases.</w:t>
      </w:r>
    </w:p>
    <w:p w14:paraId="19562BE2" w14:textId="3D49CC42" w:rsidR="006E1EBF" w:rsidRDefault="00EA6040" w:rsidP="006E1EBF">
      <w:pPr>
        <w:pStyle w:val="Heading1"/>
      </w:pPr>
      <w:r w:rsidRPr="006713C1">
        <w:t>Summary</w:t>
      </w:r>
    </w:p>
    <w:p w14:paraId="4C5A5DE1" w14:textId="605433DA" w:rsidR="00EA6040" w:rsidRPr="006713C1" w:rsidRDefault="00EA6040" w:rsidP="00EA6040">
      <w:r w:rsidRPr="006713C1">
        <w:t>In summary, aim for 39+0</w:t>
      </w:r>
      <w:r>
        <w:t xml:space="preserve"> </w:t>
      </w:r>
      <w:r w:rsidRPr="006713C1">
        <w:t xml:space="preserve">weeks in </w:t>
      </w:r>
      <w:r>
        <w:t xml:space="preserve">uncomplicated </w:t>
      </w:r>
      <w:r w:rsidRPr="006713C1">
        <w:t xml:space="preserve">pregnancies, but </w:t>
      </w:r>
      <w:r>
        <w:t>carefully consider earlier birth</w:t>
      </w:r>
      <w:r w:rsidRPr="006713C1">
        <w:t xml:space="preserve"> in the presence of fetal or maternal pathology. Preterm or early-term birth is often </w:t>
      </w:r>
      <w:r w:rsidRPr="006713C1">
        <w:rPr>
          <w:i/>
          <w:iCs/>
        </w:rPr>
        <w:t>safer</w:t>
      </w:r>
      <w:r w:rsidRPr="006713C1">
        <w:t xml:space="preserve"> than term birth when complications like FGR or pre-eclampsia are present. Adhering to this evidence-based approach will minimise perinatal mortality and morbidity across all patient groups.</w:t>
      </w:r>
    </w:p>
    <w:p w14:paraId="3F0307D4" w14:textId="35E50405" w:rsidR="00EA6040" w:rsidRDefault="0021004A" w:rsidP="006F1796">
      <w:pPr>
        <w:pStyle w:val="Heading1"/>
      </w:pPr>
      <w:r>
        <w:t>Bibliography</w:t>
      </w:r>
    </w:p>
    <w:p w14:paraId="49CCE4E7" w14:textId="77777777" w:rsidR="00EC0813" w:rsidRPr="00EC0813" w:rsidRDefault="00EC0813" w:rsidP="00EC0813">
      <w:pPr>
        <w:pStyle w:val="SCVbody"/>
      </w:pPr>
      <w:r w:rsidRPr="00EC0813">
        <w:t>Every Week Counts: Preterm Alliance. (n.d.). </w:t>
      </w:r>
      <w:r w:rsidRPr="00EC0813">
        <w:rPr>
          <w:i/>
          <w:iCs/>
        </w:rPr>
        <w:t>Every Week Counts</w:t>
      </w:r>
      <w:r w:rsidRPr="00EC0813">
        <w:t>. Available at: https://pretermalliance.com.au/mothers-to-be/every-week-counts/ [Accessed 12 May 2025].</w:t>
      </w:r>
    </w:p>
    <w:p w14:paraId="4A1D9043" w14:textId="0842C49F" w:rsidR="00E91609" w:rsidRPr="00DB46A0" w:rsidRDefault="00CA4962" w:rsidP="00E91609">
      <w:pPr>
        <w:pStyle w:val="SCVbody"/>
      </w:pPr>
      <w:r w:rsidRPr="00CA4962">
        <w:t xml:space="preserve">Figueras, F. and </w:t>
      </w:r>
      <w:proofErr w:type="spellStart"/>
      <w:r w:rsidRPr="00CA4962">
        <w:t>Gratacós</w:t>
      </w:r>
      <w:proofErr w:type="spellEnd"/>
      <w:r w:rsidRPr="00CA4962">
        <w:t>, E., 2014. Update on the diagnosis and classification of fetal growth restriction and proposal of a stage-based management protocol. </w:t>
      </w:r>
      <w:r w:rsidRPr="00CA4962">
        <w:rPr>
          <w:i/>
          <w:iCs/>
        </w:rPr>
        <w:t>Fetal diagnosis and therapy</w:t>
      </w:r>
      <w:r w:rsidRPr="00CA4962">
        <w:t>, </w:t>
      </w:r>
      <w:r w:rsidRPr="00CA4962">
        <w:rPr>
          <w:i/>
          <w:iCs/>
        </w:rPr>
        <w:t>36</w:t>
      </w:r>
      <w:r w:rsidRPr="00CA4962">
        <w:t>(2), pp.86-98</w:t>
      </w:r>
      <w:r w:rsidR="00E91609" w:rsidRPr="00DB46A0">
        <w:t>.</w:t>
      </w:r>
    </w:p>
    <w:p w14:paraId="217BB6B1" w14:textId="77777777" w:rsidR="0021004A" w:rsidRDefault="0021004A" w:rsidP="00E91609">
      <w:pPr>
        <w:pStyle w:val="SCVbody"/>
      </w:pPr>
      <w:proofErr w:type="spellStart"/>
      <w:r w:rsidRPr="0021004A">
        <w:t>Hertting</w:t>
      </w:r>
      <w:proofErr w:type="spellEnd"/>
      <w:r w:rsidRPr="0021004A">
        <w:t>, E., Herling, L., Lindqvist, P.G. and Wiberg</w:t>
      </w:r>
      <w:r w:rsidRPr="0021004A">
        <w:rPr>
          <w:rFonts w:ascii="Cambria Math" w:hAnsi="Cambria Math" w:cs="Cambria Math"/>
        </w:rPr>
        <w:t>‐</w:t>
      </w:r>
      <w:r w:rsidRPr="0021004A">
        <w:t xml:space="preserve">Itzel, E., 2024. Importance of antenatal identification of small for gestational age </w:t>
      </w:r>
      <w:proofErr w:type="spellStart"/>
      <w:r w:rsidRPr="0021004A">
        <w:t>fetuses</w:t>
      </w:r>
      <w:proofErr w:type="spellEnd"/>
      <w:r w:rsidRPr="0021004A">
        <w:t xml:space="preserve"> on perinatal and childhood outcomes: A register</w:t>
      </w:r>
      <w:r w:rsidRPr="0021004A">
        <w:rPr>
          <w:rFonts w:ascii="Cambria Math" w:hAnsi="Cambria Math" w:cs="Cambria Math"/>
        </w:rPr>
        <w:t>‐</w:t>
      </w:r>
      <w:r w:rsidRPr="0021004A">
        <w:t>based cohort study.</w:t>
      </w:r>
      <w:r w:rsidRPr="0021004A">
        <w:rPr>
          <w:rFonts w:ascii="Arial" w:hAnsi="Arial" w:cs="Arial"/>
        </w:rPr>
        <w:t> </w:t>
      </w:r>
      <w:r w:rsidRPr="0021004A">
        <w:rPr>
          <w:i/>
          <w:iCs/>
        </w:rPr>
        <w:t xml:space="preserve">Acta </w:t>
      </w:r>
      <w:proofErr w:type="spellStart"/>
      <w:r w:rsidRPr="0021004A">
        <w:rPr>
          <w:i/>
          <w:iCs/>
        </w:rPr>
        <w:t>Obstetricia</w:t>
      </w:r>
      <w:proofErr w:type="spellEnd"/>
      <w:r w:rsidRPr="0021004A">
        <w:rPr>
          <w:i/>
          <w:iCs/>
        </w:rPr>
        <w:t xml:space="preserve"> et </w:t>
      </w:r>
      <w:proofErr w:type="spellStart"/>
      <w:r w:rsidRPr="0021004A">
        <w:rPr>
          <w:i/>
          <w:iCs/>
        </w:rPr>
        <w:t>Gynecologica</w:t>
      </w:r>
      <w:proofErr w:type="spellEnd"/>
      <w:r w:rsidRPr="0021004A">
        <w:rPr>
          <w:i/>
          <w:iCs/>
        </w:rPr>
        <w:t xml:space="preserve"> Scandinavica</w:t>
      </w:r>
      <w:r w:rsidRPr="0021004A">
        <w:t>, </w:t>
      </w:r>
      <w:r w:rsidRPr="0021004A">
        <w:rPr>
          <w:i/>
          <w:iCs/>
        </w:rPr>
        <w:t>103</w:t>
      </w:r>
      <w:r w:rsidRPr="0021004A">
        <w:t>(1), pp.42-50.</w:t>
      </w:r>
    </w:p>
    <w:p w14:paraId="7E50AE2A" w14:textId="61A8BD86" w:rsidR="00E91609" w:rsidRDefault="00E91609" w:rsidP="00E91609">
      <w:pPr>
        <w:pStyle w:val="SCVbody"/>
      </w:pPr>
      <w:r>
        <w:t xml:space="preserve">Society of Obstetric Medicine of Australia and New Zealand. </w:t>
      </w:r>
      <w:r>
        <w:rPr>
          <w:i/>
          <w:iCs/>
        </w:rPr>
        <w:t>Hypertension in Pregnancy Guideline 2023</w:t>
      </w:r>
      <w:r>
        <w:br/>
        <w:t xml:space="preserve">Available at </w:t>
      </w:r>
      <w:hyperlink r:id="rId14" w:history="1">
        <w:r w:rsidRPr="00B32D62">
          <w:rPr>
            <w:rStyle w:val="Hyperlink"/>
          </w:rPr>
          <w:t>https://www.somanz.org/hypertension-in-pregnancy-guideline-2023/</w:t>
        </w:r>
      </w:hyperlink>
      <w:r>
        <w:t xml:space="preserve"> [Accessed 17 May 2025]</w:t>
      </w:r>
    </w:p>
    <w:p w14:paraId="188998A5" w14:textId="51F30D92" w:rsidR="002A2453" w:rsidRPr="002A2453" w:rsidRDefault="00EC0813" w:rsidP="00A45CB0">
      <w:pPr>
        <w:pStyle w:val="SCVbody"/>
        <w:rPr>
          <w:b/>
          <w:bCs/>
        </w:rPr>
      </w:pPr>
      <w:r w:rsidRPr="00EC0813">
        <w:t>The Whole Nine Months: The Whole Nine Months. (n.d.). </w:t>
      </w:r>
      <w:r w:rsidRPr="00EC0813">
        <w:rPr>
          <w:i/>
          <w:iCs/>
        </w:rPr>
        <w:t>The Whole Nine Months</w:t>
      </w:r>
      <w:r w:rsidRPr="00EC0813">
        <w:t>. Available at: http://www.thewholeninemonths.com.au/ [Accessed 12 May 2025].</w:t>
      </w:r>
      <w:bookmarkEnd w:id="1"/>
    </w:p>
    <w:sectPr w:rsidR="002A2453" w:rsidRPr="002A2453" w:rsidSect="004608A5">
      <w:headerReference w:type="even" r:id="rId15"/>
      <w:headerReference w:type="default" r:id="rId16"/>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2F7E4" w14:textId="77777777" w:rsidR="009340A8" w:rsidRDefault="009340A8" w:rsidP="002D711A">
      <w:pPr>
        <w:spacing w:after="0" w:line="240" w:lineRule="auto"/>
      </w:pPr>
      <w:r>
        <w:separator/>
      </w:r>
    </w:p>
  </w:endnote>
  <w:endnote w:type="continuationSeparator" w:id="0">
    <w:p w14:paraId="130D7FCA" w14:textId="77777777" w:rsidR="009340A8" w:rsidRDefault="009340A8"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58C4" w14:textId="77777777" w:rsidR="00385D03" w:rsidRDefault="00385D03">
    <w:pPr>
      <w:pStyle w:val="Footer"/>
    </w:pPr>
    <w:r>
      <mc:AlternateContent>
        <mc:Choice Requires="wps">
          <w:drawing>
            <wp:anchor distT="0" distB="0" distL="114300" distR="114300" simplePos="0" relativeHeight="251662336" behindDoc="0" locked="0" layoutInCell="0" allowOverlap="1" wp14:anchorId="0BDF93E2" wp14:editId="1B390265">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302C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DF93E2"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7C9302C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F7E1" w14:textId="6A39C12F" w:rsidR="00385D03" w:rsidRPr="006B337A" w:rsidRDefault="00CD27BE" w:rsidP="005C12A6">
    <w:pPr>
      <w:pStyle w:val="SCVfooter"/>
    </w:pPr>
    <w:r>
      <mc:AlternateContent>
        <mc:Choice Requires="wps">
          <w:drawing>
            <wp:anchor distT="0" distB="0" distL="114300" distR="114300" simplePos="0" relativeHeight="251664384" behindDoc="0" locked="0" layoutInCell="0" allowOverlap="1" wp14:anchorId="751DA67E" wp14:editId="0D892CC2">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7BA7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1DA67E"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57BA7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5C12A6">
      <w:t xml:space="preserve">May 2025  </w:t>
    </w:r>
    <w:fldSimple w:instr=" STYLEREF  &quot;SCV factsheet title&quot;  \* MERGEFORMAT ">
      <w:r w:rsidR="009627F1">
        <w:t>Timing of Birth</w:t>
      </w:r>
    </w:fldSimple>
    <w:r w:rsidR="00385D03">
      <w:t> </w:t>
    </w:r>
    <w:r w:rsidR="00385D03">
      <w:t> </w:t>
    </w:r>
    <w:r w:rsidR="00A35D9D" w:rsidRPr="00A35D9D">
      <w:rPr>
        <w:b/>
      </w:rPr>
      <w:t>Consultative Council on Obstetric and Paediatric Mortality and Morbidity</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C893D" w14:textId="77777777" w:rsidR="009340A8" w:rsidRDefault="009340A8" w:rsidP="00E33E08">
      <w:pPr>
        <w:spacing w:before="0" w:after="0" w:line="240" w:lineRule="auto"/>
      </w:pPr>
    </w:p>
  </w:footnote>
  <w:footnote w:type="continuationSeparator" w:id="0">
    <w:p w14:paraId="7AB8F337" w14:textId="77777777" w:rsidR="009340A8" w:rsidRDefault="009340A8"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D4FF" w14:textId="77777777" w:rsidR="00385D03" w:rsidRDefault="00A35D9D">
    <w:pPr>
      <w:pStyle w:val="Header"/>
    </w:pPr>
    <w:r>
      <w:rPr>
        <w:noProof/>
      </w:rPr>
      <w:drawing>
        <wp:inline distT="0" distB="0" distL="0" distR="0" wp14:anchorId="71FD4590" wp14:editId="1C628D9D">
          <wp:extent cx="2448000" cy="958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12583" t="21776" b="22613"/>
                  <a:stretch/>
                </pic:blipFill>
                <pic:spPr bwMode="auto">
                  <a:xfrm>
                    <a:off x="0" y="0"/>
                    <a:ext cx="2448000" cy="95822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F221" w14:textId="77777777"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42F0"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4A3"/>
    <w:multiLevelType w:val="hybridMultilevel"/>
    <w:tmpl w:val="B486EEF0"/>
    <w:lvl w:ilvl="0" w:tplc="2FD6B224">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16DE9"/>
    <w:multiLevelType w:val="multilevel"/>
    <w:tmpl w:val="5A9EBDFC"/>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3" w15:restartNumberingAfterBreak="0">
    <w:nsid w:val="1910425D"/>
    <w:multiLevelType w:val="hybridMultilevel"/>
    <w:tmpl w:val="44F61D0A"/>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6456FFD"/>
    <w:multiLevelType w:val="multilevel"/>
    <w:tmpl w:val="47D41E60"/>
    <w:lvl w:ilvl="0">
      <w:start w:val="1"/>
      <w:numFmt w:val="bullet"/>
      <w:lvlText w:val=""/>
      <w:lvlJc w:val="left"/>
      <w:pPr>
        <w:ind w:left="284" w:hanging="284"/>
      </w:pPr>
      <w:rPr>
        <w:rFonts w:ascii="Symbol" w:hAnsi="Symbol" w:hint="default"/>
        <w:color w:val="4D92C0"/>
      </w:rPr>
    </w:lvl>
    <w:lvl w:ilvl="1">
      <w:start w:val="1"/>
      <w:numFmt w:val="bullet"/>
      <w:lvlText w:val="–"/>
      <w:lvlJc w:val="left"/>
      <w:pPr>
        <w:ind w:left="568" w:hanging="284"/>
      </w:pPr>
      <w:rPr>
        <w:rFonts w:ascii="Calibri" w:hAnsi="Calibri" w:hint="default"/>
        <w:color w:val="auto"/>
      </w:rPr>
    </w:lvl>
    <w:lvl w:ilvl="2">
      <w:start w:val="1"/>
      <w:numFmt w:val="decimal"/>
      <w:lvlText w:val="%3."/>
      <w:lvlJc w:val="left"/>
      <w:pPr>
        <w:tabs>
          <w:tab w:val="num" w:pos="284"/>
        </w:tabs>
        <w:ind w:left="284" w:hanging="284"/>
      </w:pPr>
      <w:rPr>
        <w:rFonts w:hint="default"/>
      </w:rPr>
    </w:lvl>
    <w:lvl w:ilvl="3">
      <w:start w:val="1"/>
      <w:numFmt w:val="lowerLetter"/>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8E03889"/>
    <w:multiLevelType w:val="hybridMultilevel"/>
    <w:tmpl w:val="61D0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244D6B"/>
    <w:multiLevelType w:val="hybridMultilevel"/>
    <w:tmpl w:val="AFA4943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9" w15:restartNumberingAfterBreak="0">
    <w:nsid w:val="393A12AA"/>
    <w:multiLevelType w:val="multilevel"/>
    <w:tmpl w:val="FFE0EB44"/>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1"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E62C1F"/>
    <w:multiLevelType w:val="hybridMultilevel"/>
    <w:tmpl w:val="58A407D2"/>
    <w:lvl w:ilvl="0" w:tplc="A3D6EC1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BC48E7"/>
    <w:multiLevelType w:val="multilevel"/>
    <w:tmpl w:val="1A74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FB35C0"/>
    <w:multiLevelType w:val="multilevel"/>
    <w:tmpl w:val="667C0604"/>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9" w15:restartNumberingAfterBreak="0">
    <w:nsid w:val="60DD4F8C"/>
    <w:multiLevelType w:val="multilevel"/>
    <w:tmpl w:val="F1AE3C58"/>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0"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2" w15:restartNumberingAfterBreak="0">
    <w:nsid w:val="661C1FFC"/>
    <w:multiLevelType w:val="hybridMultilevel"/>
    <w:tmpl w:val="8AD8F45C"/>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D20820"/>
    <w:multiLevelType w:val="multilevel"/>
    <w:tmpl w:val="F1AE3C5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4" w15:restartNumberingAfterBreak="0">
    <w:nsid w:val="6B6670D3"/>
    <w:multiLevelType w:val="hybridMultilevel"/>
    <w:tmpl w:val="5BDA3C9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955A07"/>
    <w:multiLevelType w:val="hybridMultilevel"/>
    <w:tmpl w:val="25B86FDE"/>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441C18"/>
    <w:multiLevelType w:val="hybridMultilevel"/>
    <w:tmpl w:val="FE5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A7E12E5"/>
    <w:multiLevelType w:val="multilevel"/>
    <w:tmpl w:val="F74E2CE0"/>
    <w:lvl w:ilvl="0">
      <w:start w:val="1"/>
      <w:numFmt w:val="decimal"/>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7D544298"/>
    <w:multiLevelType w:val="hybridMultilevel"/>
    <w:tmpl w:val="108A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221743236">
    <w:abstractNumId w:val="12"/>
  </w:num>
  <w:num w:numId="2" w16cid:durableId="695009707">
    <w:abstractNumId w:val="12"/>
  </w:num>
  <w:num w:numId="3" w16cid:durableId="1561744070">
    <w:abstractNumId w:val="12"/>
  </w:num>
  <w:num w:numId="4" w16cid:durableId="822427698">
    <w:abstractNumId w:val="30"/>
  </w:num>
  <w:num w:numId="5" w16cid:durableId="1416711094">
    <w:abstractNumId w:val="5"/>
  </w:num>
  <w:num w:numId="6" w16cid:durableId="999575957">
    <w:abstractNumId w:val="11"/>
  </w:num>
  <w:num w:numId="7" w16cid:durableId="481509721">
    <w:abstractNumId w:val="28"/>
  </w:num>
  <w:num w:numId="8" w16cid:durableId="1635215409">
    <w:abstractNumId w:val="9"/>
  </w:num>
  <w:num w:numId="9" w16cid:durableId="1321617833">
    <w:abstractNumId w:val="9"/>
  </w:num>
  <w:num w:numId="10" w16cid:durableId="954294428">
    <w:abstractNumId w:val="8"/>
  </w:num>
  <w:num w:numId="11" w16cid:durableId="211967118">
    <w:abstractNumId w:val="15"/>
  </w:num>
  <w:num w:numId="12" w16cid:durableId="1324234059">
    <w:abstractNumId w:val="1"/>
  </w:num>
  <w:num w:numId="13" w16cid:durableId="619266959">
    <w:abstractNumId w:val="20"/>
  </w:num>
  <w:num w:numId="14" w16cid:durableId="1919830045">
    <w:abstractNumId w:val="23"/>
  </w:num>
  <w:num w:numId="15" w16cid:durableId="66612199">
    <w:abstractNumId w:val="10"/>
  </w:num>
  <w:num w:numId="16" w16cid:durableId="1560942336">
    <w:abstractNumId w:val="18"/>
  </w:num>
  <w:num w:numId="17" w16cid:durableId="1397240785">
    <w:abstractNumId w:val="2"/>
  </w:num>
  <w:num w:numId="18" w16cid:durableId="790628757">
    <w:abstractNumId w:val="21"/>
  </w:num>
  <w:num w:numId="19" w16cid:durableId="433986912">
    <w:abstractNumId w:val="14"/>
  </w:num>
  <w:num w:numId="20" w16cid:durableId="16684422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14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3360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2865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5079943">
    <w:abstractNumId w:val="13"/>
  </w:num>
  <w:num w:numId="25" w16cid:durableId="15041259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481859">
    <w:abstractNumId w:val="19"/>
  </w:num>
  <w:num w:numId="27" w16cid:durableId="188979924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0538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7441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0245031">
    <w:abstractNumId w:val="27"/>
  </w:num>
  <w:num w:numId="31" w16cid:durableId="868569195">
    <w:abstractNumId w:val="29"/>
  </w:num>
  <w:num w:numId="32" w16cid:durableId="614287389">
    <w:abstractNumId w:val="0"/>
  </w:num>
  <w:num w:numId="33" w16cid:durableId="627056516">
    <w:abstractNumId w:val="26"/>
  </w:num>
  <w:num w:numId="34" w16cid:durableId="436566590">
    <w:abstractNumId w:val="6"/>
  </w:num>
  <w:num w:numId="35" w16cid:durableId="1175534985">
    <w:abstractNumId w:val="16"/>
  </w:num>
  <w:num w:numId="36" w16cid:durableId="1120488532">
    <w:abstractNumId w:val="25"/>
  </w:num>
  <w:num w:numId="37" w16cid:durableId="162280316">
    <w:abstractNumId w:val="3"/>
  </w:num>
  <w:num w:numId="38" w16cid:durableId="796920965">
    <w:abstractNumId w:val="7"/>
  </w:num>
  <w:num w:numId="39" w16cid:durableId="1582175683">
    <w:abstractNumId w:val="22"/>
  </w:num>
  <w:num w:numId="40" w16cid:durableId="1135565876">
    <w:abstractNumId w:val="24"/>
  </w:num>
  <w:num w:numId="41" w16cid:durableId="720446983">
    <w:abstractNumId w:val="10"/>
  </w:num>
  <w:num w:numId="42" w16cid:durableId="405996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6975835">
    <w:abstractNumId w:val="10"/>
  </w:num>
  <w:num w:numId="44" w16cid:durableId="826629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7574989">
    <w:abstractNumId w:val="4"/>
  </w:num>
  <w:num w:numId="46" w16cid:durableId="1442651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0896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4080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011534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66872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6"/>
    <w:rsid w:val="00012F6F"/>
    <w:rsid w:val="00014213"/>
    <w:rsid w:val="00014B55"/>
    <w:rsid w:val="00020E3E"/>
    <w:rsid w:val="0002328B"/>
    <w:rsid w:val="00023BF3"/>
    <w:rsid w:val="00024184"/>
    <w:rsid w:val="00026811"/>
    <w:rsid w:val="00030A96"/>
    <w:rsid w:val="00035870"/>
    <w:rsid w:val="0004185E"/>
    <w:rsid w:val="0004698F"/>
    <w:rsid w:val="000477DC"/>
    <w:rsid w:val="00056988"/>
    <w:rsid w:val="00056B0E"/>
    <w:rsid w:val="00061C95"/>
    <w:rsid w:val="00072279"/>
    <w:rsid w:val="00075895"/>
    <w:rsid w:val="00075E6C"/>
    <w:rsid w:val="00081C12"/>
    <w:rsid w:val="00087D42"/>
    <w:rsid w:val="000A2620"/>
    <w:rsid w:val="000B29AD"/>
    <w:rsid w:val="000C6372"/>
    <w:rsid w:val="000D0F7A"/>
    <w:rsid w:val="000D1042"/>
    <w:rsid w:val="000D7841"/>
    <w:rsid w:val="000E392D"/>
    <w:rsid w:val="000E39B6"/>
    <w:rsid w:val="000E3D05"/>
    <w:rsid w:val="000F4087"/>
    <w:rsid w:val="000F4288"/>
    <w:rsid w:val="000F7165"/>
    <w:rsid w:val="00100361"/>
    <w:rsid w:val="00102379"/>
    <w:rsid w:val="00103722"/>
    <w:rsid w:val="00105EB8"/>
    <w:rsid w:val="00106264"/>
    <w:rsid w:val="001065D6"/>
    <w:rsid w:val="001068D5"/>
    <w:rsid w:val="00121252"/>
    <w:rsid w:val="00124609"/>
    <w:rsid w:val="001254CE"/>
    <w:rsid w:val="001422CC"/>
    <w:rsid w:val="00142CC3"/>
    <w:rsid w:val="00145346"/>
    <w:rsid w:val="00150333"/>
    <w:rsid w:val="001617B6"/>
    <w:rsid w:val="00165E66"/>
    <w:rsid w:val="00174F38"/>
    <w:rsid w:val="00175FDC"/>
    <w:rsid w:val="001849FD"/>
    <w:rsid w:val="0019351B"/>
    <w:rsid w:val="00194B79"/>
    <w:rsid w:val="00196143"/>
    <w:rsid w:val="001A24FC"/>
    <w:rsid w:val="001C7BAE"/>
    <w:rsid w:val="001E31FA"/>
    <w:rsid w:val="001E48F9"/>
    <w:rsid w:val="001E64F6"/>
    <w:rsid w:val="001E7AEB"/>
    <w:rsid w:val="00204B82"/>
    <w:rsid w:val="00205C68"/>
    <w:rsid w:val="0021004A"/>
    <w:rsid w:val="00222BEB"/>
    <w:rsid w:val="00223217"/>
    <w:rsid w:val="00225E60"/>
    <w:rsid w:val="00230BBB"/>
    <w:rsid w:val="0023202C"/>
    <w:rsid w:val="00234253"/>
    <w:rsid w:val="00234619"/>
    <w:rsid w:val="00245043"/>
    <w:rsid w:val="0025578B"/>
    <w:rsid w:val="002570BD"/>
    <w:rsid w:val="0026028E"/>
    <w:rsid w:val="00267D39"/>
    <w:rsid w:val="00271253"/>
    <w:rsid w:val="00272EC4"/>
    <w:rsid w:val="00276717"/>
    <w:rsid w:val="00282118"/>
    <w:rsid w:val="00284FA2"/>
    <w:rsid w:val="00286657"/>
    <w:rsid w:val="00292D36"/>
    <w:rsid w:val="00294A5A"/>
    <w:rsid w:val="00297281"/>
    <w:rsid w:val="00297A47"/>
    <w:rsid w:val="002A2453"/>
    <w:rsid w:val="002A4AD5"/>
    <w:rsid w:val="002A5891"/>
    <w:rsid w:val="002B03F1"/>
    <w:rsid w:val="002B5E2B"/>
    <w:rsid w:val="002B6DAA"/>
    <w:rsid w:val="002C462C"/>
    <w:rsid w:val="002D6F3C"/>
    <w:rsid w:val="002D70F7"/>
    <w:rsid w:val="002D711A"/>
    <w:rsid w:val="002D7336"/>
    <w:rsid w:val="002E3396"/>
    <w:rsid w:val="002F2953"/>
    <w:rsid w:val="002F4173"/>
    <w:rsid w:val="00303E66"/>
    <w:rsid w:val="0031149C"/>
    <w:rsid w:val="00315B8F"/>
    <w:rsid w:val="00316FC9"/>
    <w:rsid w:val="00325E21"/>
    <w:rsid w:val="0033301B"/>
    <w:rsid w:val="00333447"/>
    <w:rsid w:val="00345B45"/>
    <w:rsid w:val="00345F0B"/>
    <w:rsid w:val="00350441"/>
    <w:rsid w:val="00354D98"/>
    <w:rsid w:val="0036778F"/>
    <w:rsid w:val="00385D03"/>
    <w:rsid w:val="00386DA3"/>
    <w:rsid w:val="0038771C"/>
    <w:rsid w:val="003A430B"/>
    <w:rsid w:val="003A541A"/>
    <w:rsid w:val="003A6923"/>
    <w:rsid w:val="003C2C67"/>
    <w:rsid w:val="003C2D4C"/>
    <w:rsid w:val="003C3B3A"/>
    <w:rsid w:val="003C5BA4"/>
    <w:rsid w:val="003E3E26"/>
    <w:rsid w:val="003F1295"/>
    <w:rsid w:val="003F5102"/>
    <w:rsid w:val="003F6131"/>
    <w:rsid w:val="003F76FC"/>
    <w:rsid w:val="004002EB"/>
    <w:rsid w:val="00401A2C"/>
    <w:rsid w:val="00406E30"/>
    <w:rsid w:val="00407A79"/>
    <w:rsid w:val="004108A6"/>
    <w:rsid w:val="00422DDC"/>
    <w:rsid w:val="004231B5"/>
    <w:rsid w:val="004236C8"/>
    <w:rsid w:val="00424A1A"/>
    <w:rsid w:val="00427681"/>
    <w:rsid w:val="00433DB7"/>
    <w:rsid w:val="0043696B"/>
    <w:rsid w:val="00453750"/>
    <w:rsid w:val="00456941"/>
    <w:rsid w:val="004608A5"/>
    <w:rsid w:val="00463C5A"/>
    <w:rsid w:val="004702EA"/>
    <w:rsid w:val="004777DB"/>
    <w:rsid w:val="0048259C"/>
    <w:rsid w:val="00482D02"/>
    <w:rsid w:val="00483071"/>
    <w:rsid w:val="00484326"/>
    <w:rsid w:val="00490369"/>
    <w:rsid w:val="00497EB0"/>
    <w:rsid w:val="004A047A"/>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2DE4"/>
    <w:rsid w:val="005619BB"/>
    <w:rsid w:val="00563527"/>
    <w:rsid w:val="00563891"/>
    <w:rsid w:val="0057407A"/>
    <w:rsid w:val="00576382"/>
    <w:rsid w:val="0058124E"/>
    <w:rsid w:val="005848A5"/>
    <w:rsid w:val="005875A3"/>
    <w:rsid w:val="00593A04"/>
    <w:rsid w:val="005953EA"/>
    <w:rsid w:val="005A19EF"/>
    <w:rsid w:val="005A3416"/>
    <w:rsid w:val="005B27FE"/>
    <w:rsid w:val="005B76DF"/>
    <w:rsid w:val="005B79CB"/>
    <w:rsid w:val="005C04F0"/>
    <w:rsid w:val="005C0E91"/>
    <w:rsid w:val="005C12A6"/>
    <w:rsid w:val="005C12A8"/>
    <w:rsid w:val="005E08D7"/>
    <w:rsid w:val="005E4C16"/>
    <w:rsid w:val="005E57E1"/>
    <w:rsid w:val="005E5947"/>
    <w:rsid w:val="005F61DF"/>
    <w:rsid w:val="0060163A"/>
    <w:rsid w:val="006023F9"/>
    <w:rsid w:val="00610559"/>
    <w:rsid w:val="00613F1E"/>
    <w:rsid w:val="00614076"/>
    <w:rsid w:val="00614B11"/>
    <w:rsid w:val="00616087"/>
    <w:rsid w:val="00617BB5"/>
    <w:rsid w:val="006208C4"/>
    <w:rsid w:val="00632F2E"/>
    <w:rsid w:val="006332F6"/>
    <w:rsid w:val="00633C69"/>
    <w:rsid w:val="006413F2"/>
    <w:rsid w:val="00645E9B"/>
    <w:rsid w:val="006534B2"/>
    <w:rsid w:val="0065615D"/>
    <w:rsid w:val="00657011"/>
    <w:rsid w:val="006650B5"/>
    <w:rsid w:val="006651B1"/>
    <w:rsid w:val="00665778"/>
    <w:rsid w:val="00676E5F"/>
    <w:rsid w:val="006945CA"/>
    <w:rsid w:val="006A3309"/>
    <w:rsid w:val="006A3A5A"/>
    <w:rsid w:val="006A5B34"/>
    <w:rsid w:val="006B337A"/>
    <w:rsid w:val="006C77A9"/>
    <w:rsid w:val="006D4720"/>
    <w:rsid w:val="006D5B85"/>
    <w:rsid w:val="006E1EBF"/>
    <w:rsid w:val="006E6CDF"/>
    <w:rsid w:val="006E7C80"/>
    <w:rsid w:val="006F1796"/>
    <w:rsid w:val="006F37F2"/>
    <w:rsid w:val="006F6693"/>
    <w:rsid w:val="006F6D36"/>
    <w:rsid w:val="00704EAC"/>
    <w:rsid w:val="00707FE8"/>
    <w:rsid w:val="00714AAE"/>
    <w:rsid w:val="00724962"/>
    <w:rsid w:val="00724A0F"/>
    <w:rsid w:val="00726D2F"/>
    <w:rsid w:val="00736732"/>
    <w:rsid w:val="00740019"/>
    <w:rsid w:val="007432F9"/>
    <w:rsid w:val="00746426"/>
    <w:rsid w:val="00747C87"/>
    <w:rsid w:val="00750BF9"/>
    <w:rsid w:val="00750CBE"/>
    <w:rsid w:val="00750EFB"/>
    <w:rsid w:val="007650D2"/>
    <w:rsid w:val="00766B5A"/>
    <w:rsid w:val="00767B8C"/>
    <w:rsid w:val="00772209"/>
    <w:rsid w:val="007770A5"/>
    <w:rsid w:val="00777ABD"/>
    <w:rsid w:val="007834F2"/>
    <w:rsid w:val="0078432C"/>
    <w:rsid w:val="00791020"/>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6171"/>
    <w:rsid w:val="008768AD"/>
    <w:rsid w:val="00880AC4"/>
    <w:rsid w:val="00897447"/>
    <w:rsid w:val="008A4900"/>
    <w:rsid w:val="008A55FE"/>
    <w:rsid w:val="008B146D"/>
    <w:rsid w:val="008B42AD"/>
    <w:rsid w:val="008B5666"/>
    <w:rsid w:val="008D0281"/>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0A8"/>
    <w:rsid w:val="00934C41"/>
    <w:rsid w:val="00936479"/>
    <w:rsid w:val="00937A10"/>
    <w:rsid w:val="009464B0"/>
    <w:rsid w:val="00947A0F"/>
    <w:rsid w:val="00950E42"/>
    <w:rsid w:val="009579EA"/>
    <w:rsid w:val="009627F1"/>
    <w:rsid w:val="00966115"/>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35D9D"/>
    <w:rsid w:val="00A400CC"/>
    <w:rsid w:val="00A40495"/>
    <w:rsid w:val="00A45CB0"/>
    <w:rsid w:val="00A46288"/>
    <w:rsid w:val="00A46BA8"/>
    <w:rsid w:val="00A47634"/>
    <w:rsid w:val="00A612FE"/>
    <w:rsid w:val="00A66F4D"/>
    <w:rsid w:val="00A703B3"/>
    <w:rsid w:val="00A70B49"/>
    <w:rsid w:val="00A7226A"/>
    <w:rsid w:val="00A740D4"/>
    <w:rsid w:val="00A8084F"/>
    <w:rsid w:val="00A92D94"/>
    <w:rsid w:val="00AA26B8"/>
    <w:rsid w:val="00AA4288"/>
    <w:rsid w:val="00AA4907"/>
    <w:rsid w:val="00AB1B76"/>
    <w:rsid w:val="00AB24E4"/>
    <w:rsid w:val="00AB34C3"/>
    <w:rsid w:val="00AC0B87"/>
    <w:rsid w:val="00AC2624"/>
    <w:rsid w:val="00AC32A8"/>
    <w:rsid w:val="00AD1351"/>
    <w:rsid w:val="00AD4528"/>
    <w:rsid w:val="00AD7E4E"/>
    <w:rsid w:val="00AE271D"/>
    <w:rsid w:val="00AE5E04"/>
    <w:rsid w:val="00AF4D58"/>
    <w:rsid w:val="00AF6666"/>
    <w:rsid w:val="00AF7BC5"/>
    <w:rsid w:val="00B1051C"/>
    <w:rsid w:val="00B116E3"/>
    <w:rsid w:val="00B15592"/>
    <w:rsid w:val="00B16D2B"/>
    <w:rsid w:val="00B23AE9"/>
    <w:rsid w:val="00B37FF8"/>
    <w:rsid w:val="00B41DEC"/>
    <w:rsid w:val="00B470FC"/>
    <w:rsid w:val="00B515DB"/>
    <w:rsid w:val="00B51C51"/>
    <w:rsid w:val="00B556E1"/>
    <w:rsid w:val="00B673BB"/>
    <w:rsid w:val="00B73B9C"/>
    <w:rsid w:val="00B81B44"/>
    <w:rsid w:val="00B9053B"/>
    <w:rsid w:val="00B9777C"/>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3B6D"/>
    <w:rsid w:val="00BE4EDC"/>
    <w:rsid w:val="00BE5ADC"/>
    <w:rsid w:val="00BE763E"/>
    <w:rsid w:val="00BF4F96"/>
    <w:rsid w:val="00C015B9"/>
    <w:rsid w:val="00C022F9"/>
    <w:rsid w:val="00C032EA"/>
    <w:rsid w:val="00C06EB5"/>
    <w:rsid w:val="00C1145F"/>
    <w:rsid w:val="00C11CD1"/>
    <w:rsid w:val="00C15701"/>
    <w:rsid w:val="00C15DBE"/>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81050"/>
    <w:rsid w:val="00C84B50"/>
    <w:rsid w:val="00C907D7"/>
    <w:rsid w:val="00C92338"/>
    <w:rsid w:val="00C95E66"/>
    <w:rsid w:val="00C96051"/>
    <w:rsid w:val="00C97B86"/>
    <w:rsid w:val="00CA05DC"/>
    <w:rsid w:val="00CA4962"/>
    <w:rsid w:val="00CA7B47"/>
    <w:rsid w:val="00CB1DD6"/>
    <w:rsid w:val="00CB3976"/>
    <w:rsid w:val="00CB441A"/>
    <w:rsid w:val="00CC6087"/>
    <w:rsid w:val="00CD0307"/>
    <w:rsid w:val="00CD27BE"/>
    <w:rsid w:val="00CD3D1B"/>
    <w:rsid w:val="00CE083F"/>
    <w:rsid w:val="00CF2474"/>
    <w:rsid w:val="00CF6EC4"/>
    <w:rsid w:val="00D02663"/>
    <w:rsid w:val="00D0633E"/>
    <w:rsid w:val="00D12E74"/>
    <w:rsid w:val="00D15955"/>
    <w:rsid w:val="00D2312F"/>
    <w:rsid w:val="00D23B04"/>
    <w:rsid w:val="00D269C1"/>
    <w:rsid w:val="00D27944"/>
    <w:rsid w:val="00D30F47"/>
    <w:rsid w:val="00D361BA"/>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63EB"/>
    <w:rsid w:val="00D90688"/>
    <w:rsid w:val="00DA3AAD"/>
    <w:rsid w:val="00DB0804"/>
    <w:rsid w:val="00DB312B"/>
    <w:rsid w:val="00DB46A0"/>
    <w:rsid w:val="00DC5654"/>
    <w:rsid w:val="00DC658F"/>
    <w:rsid w:val="00DC674A"/>
    <w:rsid w:val="00DD34D3"/>
    <w:rsid w:val="00DD6383"/>
    <w:rsid w:val="00DD7FAE"/>
    <w:rsid w:val="00DE0E4E"/>
    <w:rsid w:val="00DE60CC"/>
    <w:rsid w:val="00DF52CC"/>
    <w:rsid w:val="00E06416"/>
    <w:rsid w:val="00E22A20"/>
    <w:rsid w:val="00E26B32"/>
    <w:rsid w:val="00E31CD4"/>
    <w:rsid w:val="00E31E60"/>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1609"/>
    <w:rsid w:val="00E92192"/>
    <w:rsid w:val="00E95A71"/>
    <w:rsid w:val="00E975B0"/>
    <w:rsid w:val="00EA030C"/>
    <w:rsid w:val="00EA2B81"/>
    <w:rsid w:val="00EA5761"/>
    <w:rsid w:val="00EA6040"/>
    <w:rsid w:val="00EB0DAC"/>
    <w:rsid w:val="00EB363A"/>
    <w:rsid w:val="00EB6068"/>
    <w:rsid w:val="00EB7014"/>
    <w:rsid w:val="00EC0813"/>
    <w:rsid w:val="00EC5CDE"/>
    <w:rsid w:val="00ED3077"/>
    <w:rsid w:val="00ED487E"/>
    <w:rsid w:val="00ED64F1"/>
    <w:rsid w:val="00ED656C"/>
    <w:rsid w:val="00EE33A1"/>
    <w:rsid w:val="00EE7A0D"/>
    <w:rsid w:val="00EF295D"/>
    <w:rsid w:val="00EF4286"/>
    <w:rsid w:val="00F0222C"/>
    <w:rsid w:val="00F024AD"/>
    <w:rsid w:val="00F12312"/>
    <w:rsid w:val="00F177C7"/>
    <w:rsid w:val="00F17CE1"/>
    <w:rsid w:val="00F2115C"/>
    <w:rsid w:val="00F22ABA"/>
    <w:rsid w:val="00F349C9"/>
    <w:rsid w:val="00F36B12"/>
    <w:rsid w:val="00F37703"/>
    <w:rsid w:val="00F47C64"/>
    <w:rsid w:val="00F504CA"/>
    <w:rsid w:val="00F60F9F"/>
    <w:rsid w:val="00F635D9"/>
    <w:rsid w:val="00F64F08"/>
    <w:rsid w:val="00F70055"/>
    <w:rsid w:val="00F71150"/>
    <w:rsid w:val="00F71D46"/>
    <w:rsid w:val="00F734F5"/>
    <w:rsid w:val="00F73B5B"/>
    <w:rsid w:val="00F90EA5"/>
    <w:rsid w:val="00F91F5A"/>
    <w:rsid w:val="00F966B1"/>
    <w:rsid w:val="00F97D48"/>
    <w:rsid w:val="00FA0311"/>
    <w:rsid w:val="00FA1489"/>
    <w:rsid w:val="00FA39E1"/>
    <w:rsid w:val="00FB396D"/>
    <w:rsid w:val="00FD50F0"/>
    <w:rsid w:val="00FD640F"/>
    <w:rsid w:val="00FD6B4C"/>
    <w:rsid w:val="00FD7069"/>
    <w:rsid w:val="00FE0553"/>
    <w:rsid w:val="00FE25D0"/>
    <w:rsid w:val="00FE2DE0"/>
    <w:rsid w:val="00FE6CB3"/>
    <w:rsid w:val="00FF411C"/>
    <w:rsid w:val="00FF4E99"/>
    <w:rsid w:val="12C52B61"/>
    <w:rsid w:val="12FDA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8BD01"/>
  <w15:docId w15:val="{32DEF1E4-511A-4C8F-AD25-3E1DFCE8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A35D9D"/>
    <w:pPr>
      <w:keepNext/>
      <w:keepLines/>
      <w:suppressAutoHyphens/>
      <w:spacing w:before="320" w:line="240" w:lineRule="auto"/>
      <w:outlineLvl w:val="0"/>
    </w:pPr>
    <w:rPr>
      <w:rFonts w:asciiTheme="majorHAnsi" w:eastAsiaTheme="majorEastAsia" w:hAnsiTheme="majorHAnsi" w:cstheme="majorBidi"/>
      <w:b/>
      <w:bCs/>
      <w:color w:val="004EA8"/>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A35D9D"/>
    <w:pPr>
      <w:keepNext/>
      <w:keepLines/>
      <w:spacing w:before="240" w:after="80" w:line="240" w:lineRule="auto"/>
      <w:outlineLvl w:val="2"/>
    </w:pPr>
    <w:rPr>
      <w:rFonts w:asciiTheme="majorHAnsi" w:eastAsiaTheme="majorEastAsia" w:hAnsiTheme="majorHAnsi" w:cstheme="majorBidi"/>
      <w:b/>
      <w:bCs/>
      <w:color w:val="004EA8"/>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A35D9D"/>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4EA8"/>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A35D9D"/>
    <w:rPr>
      <w:rFonts w:asciiTheme="majorHAnsi" w:eastAsiaTheme="majorEastAsia" w:hAnsiTheme="majorHAnsi" w:cstheme="majorBidi"/>
      <w:b/>
      <w:bCs/>
      <w:color w:val="004EA8"/>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3"/>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A35D9D"/>
    <w:rPr>
      <w:rFonts w:asciiTheme="majorHAnsi" w:eastAsiaTheme="majorEastAsia" w:hAnsiTheme="majorHAnsi" w:cstheme="majorBidi"/>
      <w:b/>
      <w:bCs/>
      <w:color w:val="004EA8"/>
      <w:sz w:val="24"/>
      <w:szCs w:val="22"/>
    </w:rPr>
  </w:style>
  <w:style w:type="numbering" w:customStyle="1" w:styleId="ZZBullets">
    <w:name w:val="ZZ Bullets"/>
    <w:basedOn w:val="NoList"/>
    <w:uiPriority w:val="99"/>
    <w:rsid w:val="00E739E4"/>
    <w:pPr>
      <w:numPr>
        <w:numId w:val="13"/>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A35D9D"/>
    <w:pPr>
      <w:keepLines/>
      <w:suppressAutoHyphens/>
      <w:spacing w:before="0" w:line="216" w:lineRule="auto"/>
    </w:pPr>
    <w:rPr>
      <w:rFonts w:asciiTheme="majorHAnsi" w:eastAsia="Times New Roman" w:hAnsiTheme="majorHAnsi" w:cstheme="majorHAnsi"/>
      <w:b/>
      <w:color w:val="004EA8"/>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A35D9D"/>
    <w:pPr>
      <w:keepNext/>
      <w:tabs>
        <w:tab w:val="left" w:pos="1080"/>
      </w:tabs>
      <w:spacing w:before="280" w:after="120" w:line="264" w:lineRule="auto"/>
    </w:pPr>
    <w:rPr>
      <w:b/>
      <w:bCs/>
      <w:color w:val="004EA8"/>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A35D9D"/>
    <w:pPr>
      <w:spacing w:before="400" w:after="240"/>
    </w:pPr>
    <w:rPr>
      <w:b/>
      <w:color w:val="004EA8"/>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A35D9D"/>
    <w:pPr>
      <w:spacing w:before="0" w:after="120" w:line="300" w:lineRule="auto"/>
    </w:pPr>
    <w:rPr>
      <w:color w:val="004EA8"/>
    </w:rPr>
  </w:style>
  <w:style w:type="paragraph" w:customStyle="1" w:styleId="SCVpulloutheading">
    <w:name w:val="SCV pullout heading"/>
    <w:basedOn w:val="SCVpullouttext"/>
    <w:next w:val="SCVpullouttext"/>
    <w:uiPriority w:val="13"/>
    <w:qFormat/>
    <w:rsid w:val="00A35D9D"/>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15"/>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15"/>
      </w:numPr>
      <w:spacing w:before="60" w:after="60"/>
    </w:pPr>
    <w:rPr>
      <w:rFonts w:eastAsia="Times New Roman" w:cstheme="minorHAnsi"/>
      <w:lang w:eastAsia="en-US"/>
    </w:rPr>
  </w:style>
  <w:style w:type="paragraph" w:customStyle="1" w:styleId="SCVtablecolhead">
    <w:name w:val="SCV table col head"/>
    <w:uiPriority w:val="3"/>
    <w:qFormat/>
    <w:rsid w:val="00A35D9D"/>
    <w:pPr>
      <w:keepNext/>
      <w:keepLines/>
      <w:spacing w:before="80" w:after="60" w:line="240" w:lineRule="auto"/>
    </w:pPr>
    <w:rPr>
      <w:rFonts w:eastAsia="Times New Roman" w:cstheme="minorHAnsi"/>
      <w:b/>
      <w:color w:val="004EA8"/>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A35D9D"/>
    <w:pPr>
      <w:ind w:left="397"/>
    </w:pPr>
    <w:rPr>
      <w:rFonts w:eastAsia="Times New Roman" w:cstheme="minorHAnsi"/>
      <w:color w:val="004EA8"/>
      <w:szCs w:val="18"/>
      <w:lang w:eastAsia="en-US"/>
    </w:rPr>
  </w:style>
  <w:style w:type="numbering" w:customStyle="1" w:styleId="ZZBulletsafternumbers">
    <w:name w:val="ZZ Bullets after numbers"/>
    <w:basedOn w:val="NoList"/>
    <w:uiPriority w:val="99"/>
    <w:rsid w:val="00FF411C"/>
    <w:pPr>
      <w:numPr>
        <w:numId w:val="30"/>
      </w:numPr>
    </w:pPr>
  </w:style>
  <w:style w:type="paragraph" w:customStyle="1" w:styleId="SCVbulletafternumbers">
    <w:name w:val="SCV bullet after numbers"/>
    <w:basedOn w:val="SCVbody"/>
    <w:uiPriority w:val="24"/>
    <w:rsid w:val="00AE5E04"/>
    <w:pPr>
      <w:numPr>
        <w:ilvl w:val="1"/>
        <w:numId w:val="30"/>
      </w:numPr>
      <w:spacing w:before="60" w:after="60"/>
    </w:pPr>
  </w:style>
  <w:style w:type="paragraph" w:customStyle="1" w:styleId="SCVquotebullet1">
    <w:name w:val="SCV quote bullet 1"/>
    <w:basedOn w:val="SCVquote"/>
    <w:uiPriority w:val="29"/>
    <w:rsid w:val="00994B72"/>
    <w:pPr>
      <w:numPr>
        <w:numId w:val="18"/>
      </w:numPr>
      <w:spacing w:before="60" w:after="60"/>
    </w:pPr>
  </w:style>
  <w:style w:type="paragraph" w:customStyle="1" w:styleId="SCVquotebullet2">
    <w:name w:val="SCV quote bullet 2"/>
    <w:basedOn w:val="SCVquote"/>
    <w:uiPriority w:val="29"/>
    <w:rsid w:val="00994B72"/>
    <w:pPr>
      <w:numPr>
        <w:ilvl w:val="1"/>
        <w:numId w:val="18"/>
      </w:numPr>
      <w:spacing w:before="60" w:after="60"/>
    </w:pPr>
  </w:style>
  <w:style w:type="paragraph" w:customStyle="1" w:styleId="SCVtablebullet1">
    <w:name w:val="SCV table bullet 1"/>
    <w:basedOn w:val="SCVtablebody"/>
    <w:uiPriority w:val="23"/>
    <w:qFormat/>
    <w:rsid w:val="002D6F3C"/>
    <w:pPr>
      <w:numPr>
        <w:numId w:val="19"/>
      </w:numPr>
    </w:pPr>
    <w:rPr>
      <w:szCs w:val="18"/>
    </w:rPr>
  </w:style>
  <w:style w:type="paragraph" w:customStyle="1" w:styleId="SCVtablebullet2">
    <w:name w:val="SCV table bullet 2"/>
    <w:basedOn w:val="SCVtablebody"/>
    <w:uiPriority w:val="23"/>
    <w:rsid w:val="002D6F3C"/>
    <w:pPr>
      <w:numPr>
        <w:ilvl w:val="1"/>
        <w:numId w:val="19"/>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15"/>
      </w:numPr>
    </w:pPr>
  </w:style>
  <w:style w:type="numbering" w:customStyle="1" w:styleId="ZZTablebullets">
    <w:name w:val="ZZ Table bullets"/>
    <w:rsid w:val="0025578B"/>
    <w:pPr>
      <w:numPr>
        <w:numId w:val="19"/>
      </w:numPr>
    </w:pPr>
  </w:style>
  <w:style w:type="numbering" w:customStyle="1" w:styleId="ZZQuotebullets">
    <w:name w:val="ZZ Quote bullets"/>
    <w:rsid w:val="00994B72"/>
    <w:pPr>
      <w:numPr>
        <w:numId w:val="18"/>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24"/>
      </w:numPr>
    </w:pPr>
  </w:style>
  <w:style w:type="paragraph" w:customStyle="1" w:styleId="SCVtablenumber1">
    <w:name w:val="SCV table number 1"/>
    <w:basedOn w:val="SCVtablebody"/>
    <w:uiPriority w:val="29"/>
    <w:rsid w:val="00D863EB"/>
    <w:pPr>
      <w:numPr>
        <w:numId w:val="24"/>
      </w:numPr>
    </w:pPr>
  </w:style>
  <w:style w:type="paragraph" w:customStyle="1" w:styleId="SCVtablenumber2">
    <w:name w:val="SCV table number 2"/>
    <w:basedOn w:val="SCVtablebody"/>
    <w:uiPriority w:val="29"/>
    <w:rsid w:val="00D863EB"/>
    <w:pPr>
      <w:numPr>
        <w:ilvl w:val="1"/>
        <w:numId w:val="24"/>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45"/>
      </w:numPr>
    </w:pPr>
  </w:style>
  <w:style w:type="numbering" w:customStyle="1" w:styleId="ZZPulloutbullets">
    <w:name w:val="ZZ Pullout bullets"/>
    <w:basedOn w:val="NoList"/>
    <w:uiPriority w:val="99"/>
    <w:rsid w:val="002F4173"/>
    <w:pPr>
      <w:numPr>
        <w:numId w:val="45"/>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278491953">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8553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manz.org/hypertension-in-pregnancy-guideline-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73f5\Downloads\CCOPMM%20GPP%20templat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tatus xmlns="31b2e4f9-c376-4e2f-bd2e-796d1bcd5746" xsi:nil="true"/>
    <ContractStart xmlns="31b2e4f9-c376-4e2f-bd2e-796d1bcd5746">2024-07-14T14:00:00+00:00</ContractStart>
    <Date_x002f_Time xmlns="31b2e4f9-c376-4e2f-bd2e-796d1bcd5746" xsi:nil="true"/>
    <SharedWithUsers xmlns="7ee2ad8a-2b33-419f-875c-ac0e4cfc6b7f">
      <UserInfo>
        <DisplayName/>
        <AccountId xsi:nil="true"/>
        <AccountType/>
      </UserInfo>
    </SharedWithUsers>
    <ID_x002e_ xmlns="31b2e4f9-c376-4e2f-bd2e-796d1bcd57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3" ma:contentTypeDescription="Create a new document." ma:contentTypeScope="" ma:versionID="3927b205b6d6b10c5988396f2e883d03">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9e0eb5581eab0a15815aee6f343226b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Date_x002f_Time" minOccurs="0"/>
                <xsd:element ref="ns2:ContractStart" minOccurs="0"/>
                <xsd:element ref="ns2:ID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Current"/>
          <xsd:enumeration value="Can be archived"/>
          <xsd:enumeration value="Update in Progres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_x002f_Time" ma:index="27" nillable="true" ma:displayName="Date/Time" ma:format="DateOnly" ma:internalName="Date_x002f_Time">
      <xsd:simpleType>
        <xsd:restriction base="dms:DateTime"/>
      </xsd:simpleType>
    </xsd:element>
    <xsd:element name="ContractStart" ma:index="28" nillable="true" ma:displayName="Contract Start" ma:default="2024-07-14T14:00:00.000Z" ma:description="Contract Start Date" ma:format="DateOnly" ma:internalName="ContractStart">
      <xsd:simpleType>
        <xsd:restriction base="dms:DateTime"/>
      </xsd:simpleType>
    </xsd:element>
    <xsd:element name="ID_x002e_" ma:index="29" nillable="true" ma:displayName="ID." ma:format="Dropdown" ma:internalName="ID_x002e_" ma:percentage="FALSE">
      <xsd:simpleType>
        <xsd:restriction base="dms:Number"/>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caf7f7-e78e-45fb-a217-3a3dd7717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5C06F-2FE5-4183-A2FA-1143DA622393}">
  <ds:schemaRefs>
    <ds:schemaRef ds:uri="http://schemas.microsoft.com/sharepoint/v3/contenttype/forms"/>
  </ds:schemaRefs>
</ds:datastoreItem>
</file>

<file path=customXml/itemProps2.xml><?xml version="1.0" encoding="utf-8"?>
<ds:datastoreItem xmlns:ds="http://schemas.openxmlformats.org/officeDocument/2006/customXml" ds:itemID="{B11D2800-C427-4D88-A60B-14C198AFBED3}">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3.xml><?xml version="1.0" encoding="utf-8"?>
<ds:datastoreItem xmlns:ds="http://schemas.openxmlformats.org/officeDocument/2006/customXml" ds:itemID="{67AEB816-2CC2-4E19-A43D-418948ABFDE3}">
  <ds:schemaRefs>
    <ds:schemaRef ds:uri="http://schemas.openxmlformats.org/officeDocument/2006/bibliography"/>
  </ds:schemaRefs>
</ds:datastoreItem>
</file>

<file path=customXml/itemProps4.xml><?xml version="1.0" encoding="utf-8"?>
<ds:datastoreItem xmlns:ds="http://schemas.openxmlformats.org/officeDocument/2006/customXml" ds:itemID="{BB5AE648-09ED-427A-A8E0-D24CD1295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CCOPMM GPP template.dotx</Template>
  <TotalTime>0</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Timing of birth – Good practice point</dc:title>
  <dc:creator>Consultative Council on Obstetric and Paediatric Mortality and Morbidity</dc:creator>
  <cp:lastModifiedBy>Max Arnold (Health)</cp:lastModifiedBy>
  <cp:revision>2</cp:revision>
  <cp:lastPrinted>2020-08-13T04:56:00Z</cp:lastPrinted>
  <dcterms:created xsi:type="dcterms:W3CDTF">2025-06-24T04:18:00Z</dcterms:created>
  <dcterms:modified xsi:type="dcterms:W3CDTF">2025-06-24T04:18:00Z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2021-02-24T03:58:38Z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3ca463d2-de46-4484-b71b-4e50cf37d363</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